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ind w:right="-57" w:firstLine="0"/>
        <w:rPr>
          <w:rFonts w:ascii="宋体" w:hAnsi="宋体"/>
          <w:highlight w:val="none"/>
        </w:rPr>
      </w:pPr>
    </w:p>
    <w:p>
      <w:pPr>
        <w:pStyle w:val="25"/>
        <w:shd w:val="clear"/>
        <w:spacing w:before="0"/>
        <w:ind w:left="0" w:right="0" w:firstLine="0"/>
        <w:jc w:val="center"/>
        <w:rPr>
          <w:rFonts w:ascii="宋体" w:hAnsi="宋体"/>
          <w:b/>
          <w:spacing w:val="-4"/>
          <w:sz w:val="44"/>
          <w:szCs w:val="44"/>
          <w:highlight w:val="none"/>
        </w:rPr>
      </w:pPr>
      <w:r>
        <w:rPr>
          <w:rFonts w:hint="eastAsia" w:ascii="方正小标宋简体" w:hAnsi="方正小标宋简体" w:eastAsia="方正小标宋简体" w:cs="方正小标宋简体"/>
          <w:bCs/>
          <w:spacing w:val="-4"/>
          <w:sz w:val="44"/>
          <w:szCs w:val="44"/>
          <w:highlight w:val="none"/>
        </w:rPr>
        <w:t>控制中心电动汽车充电桩喷淋</w:t>
      </w:r>
      <w:r>
        <w:rPr>
          <w:rFonts w:hint="eastAsia" w:ascii="方正小标宋简体" w:hAnsi="方正小标宋简体" w:eastAsia="方正小标宋简体" w:cs="宋体"/>
          <w:color w:val="000000" w:themeColor="text1"/>
          <w:sz w:val="44"/>
          <w:szCs w:val="44"/>
          <w:highlight w:val="none"/>
          <w:shd w:val="clear" w:color="auto" w:fill="FFFFFF"/>
        </w:rPr>
        <w:t>系统采购项目</w:t>
      </w:r>
    </w:p>
    <w:p>
      <w:pPr>
        <w:shd w:val="clear"/>
        <w:spacing w:before="0"/>
        <w:ind w:left="0" w:right="-57" w:firstLine="0"/>
        <w:jc w:val="center"/>
        <w:rPr>
          <w:rFonts w:ascii="宋体" w:hAnsi="宋体"/>
          <w:sz w:val="32"/>
          <w:szCs w:val="32"/>
          <w:highlight w:val="none"/>
        </w:rPr>
      </w:pPr>
      <w:r>
        <w:rPr>
          <w:rFonts w:hint="eastAsia" w:ascii="宋体" w:hAnsi="宋体"/>
          <w:sz w:val="72"/>
          <w:szCs w:val="72"/>
          <w:highlight w:val="none"/>
        </w:rPr>
        <w:t>比选</w:t>
      </w:r>
      <w:r>
        <w:rPr>
          <w:rFonts w:ascii="宋体" w:hAnsi="宋体"/>
          <w:sz w:val="72"/>
          <w:szCs w:val="72"/>
          <w:highlight w:val="none"/>
        </w:rPr>
        <w:t>文件</w:t>
      </w:r>
    </w:p>
    <w:p>
      <w:pPr>
        <w:shd w:val="clear"/>
        <w:spacing w:before="720"/>
        <w:ind w:left="1801" w:right="-57" w:hanging="180"/>
        <w:rPr>
          <w:rFonts w:ascii="宋体" w:hAnsi="宋体"/>
          <w:b/>
          <w:sz w:val="32"/>
          <w:szCs w:val="32"/>
          <w:highlight w:val="none"/>
        </w:rPr>
      </w:pPr>
    </w:p>
    <w:p>
      <w:pPr>
        <w:shd w:val="clear"/>
        <w:spacing w:before="0"/>
        <w:ind w:left="0" w:right="-57" w:firstLine="0"/>
        <w:rPr>
          <w:rFonts w:ascii="宋体" w:hAnsi="宋体"/>
          <w:highlight w:val="none"/>
        </w:rPr>
      </w:pPr>
    </w:p>
    <w:p>
      <w:pPr>
        <w:shd w:val="clear"/>
        <w:spacing w:before="0"/>
        <w:ind w:left="1801" w:right="-57" w:hanging="180"/>
        <w:rPr>
          <w:rFonts w:ascii="宋体" w:hAnsi="宋体"/>
          <w:b/>
          <w:sz w:val="32"/>
          <w:szCs w:val="32"/>
          <w:highlight w:val="none"/>
          <w:u w:val="single"/>
        </w:rPr>
      </w:pPr>
      <w:r>
        <w:rPr>
          <w:rFonts w:hint="eastAsia" w:ascii="宋体" w:hAnsi="宋体"/>
          <w:b/>
          <w:sz w:val="32"/>
          <w:szCs w:val="32"/>
          <w:highlight w:val="none"/>
        </w:rPr>
        <w:t>项目编号：</w:t>
      </w:r>
      <w:r>
        <w:rPr>
          <w:rFonts w:ascii="宋体" w:hAnsi="宋体"/>
          <w:b/>
          <w:sz w:val="32"/>
          <w:szCs w:val="32"/>
          <w:highlight w:val="none"/>
        </w:rPr>
        <w:t>202306250002</w:t>
      </w:r>
    </w:p>
    <w:p>
      <w:pPr>
        <w:shd w:val="clear"/>
        <w:spacing w:before="0"/>
        <w:ind w:left="1801" w:right="-57" w:hanging="180"/>
        <w:rPr>
          <w:rFonts w:ascii="宋体" w:hAnsi="宋体"/>
          <w:b/>
          <w:sz w:val="32"/>
          <w:szCs w:val="32"/>
          <w:highlight w:val="none"/>
          <w:u w:val="single"/>
        </w:rPr>
      </w:pPr>
      <w:r>
        <w:rPr>
          <w:rFonts w:ascii="宋体" w:hAnsi="宋体"/>
          <w:b/>
          <w:sz w:val="32"/>
          <w:szCs w:val="32"/>
          <w:highlight w:val="none"/>
        </w:rPr>
        <w:t>比选人：</w:t>
      </w:r>
      <w:r>
        <w:rPr>
          <w:rFonts w:ascii="宋体" w:hAnsi="宋体"/>
          <w:b/>
          <w:sz w:val="32"/>
          <w:szCs w:val="32"/>
          <w:highlight w:val="none"/>
          <w:u w:val="single"/>
        </w:rPr>
        <w:t>南宁轨道交通</w:t>
      </w:r>
      <w:r>
        <w:rPr>
          <w:rFonts w:hint="eastAsia" w:ascii="宋体" w:hAnsi="宋体"/>
          <w:b/>
          <w:sz w:val="32"/>
          <w:szCs w:val="32"/>
          <w:highlight w:val="none"/>
          <w:u w:val="single"/>
        </w:rPr>
        <w:t>运营</w:t>
      </w:r>
      <w:r>
        <w:rPr>
          <w:rFonts w:ascii="宋体" w:hAnsi="宋体"/>
          <w:b/>
          <w:sz w:val="32"/>
          <w:szCs w:val="32"/>
          <w:highlight w:val="none"/>
          <w:u w:val="single"/>
        </w:rPr>
        <w:t>有限公司</w:t>
      </w:r>
    </w:p>
    <w:p>
      <w:pPr>
        <w:shd w:val="clear"/>
        <w:spacing w:before="0"/>
        <w:ind w:right="-57" w:firstLine="435"/>
        <w:jc w:val="center"/>
        <w:rPr>
          <w:rFonts w:ascii="宋体" w:hAnsi="宋体"/>
          <w:sz w:val="30"/>
          <w:szCs w:val="30"/>
          <w:highlight w:val="none"/>
        </w:rPr>
      </w:pPr>
    </w:p>
    <w:p>
      <w:pPr>
        <w:shd w:val="clear"/>
        <w:spacing w:before="0"/>
        <w:ind w:left="0" w:leftChars="0" w:right="-57" w:firstLine="0" w:firstLineChars="0"/>
        <w:jc w:val="center"/>
        <w:rPr>
          <w:rFonts w:ascii="宋体" w:hAnsi="宋体" w:cs="宋体"/>
          <w:b/>
          <w:sz w:val="36"/>
          <w:szCs w:val="36"/>
          <w:highlight w:val="none"/>
        </w:rPr>
        <w:sectPr>
          <w:headerReference r:id="rId5" w:type="default"/>
          <w:footerReference r:id="rId6" w:type="default"/>
          <w:pgSz w:w="11905" w:h="16838"/>
          <w:pgMar w:top="1417" w:right="1417" w:bottom="1417" w:left="1417" w:header="454" w:footer="567" w:gutter="0"/>
          <w:pgNumType w:fmt="decimal" w:start="1" w:chapStyle="1"/>
          <w:cols w:space="720" w:num="1"/>
          <w:docGrid w:linePitch="312" w:charSpace="0"/>
        </w:sectPr>
      </w:pPr>
      <w:r>
        <w:rPr>
          <w:rFonts w:hint="eastAsia" w:ascii="宋体" w:hAnsi="宋体"/>
          <w:b/>
          <w:sz w:val="36"/>
          <w:szCs w:val="36"/>
          <w:highlight w:val="none"/>
        </w:rPr>
        <w:t>202</w:t>
      </w:r>
      <w:r>
        <w:rPr>
          <w:rFonts w:ascii="宋体" w:hAnsi="宋体"/>
          <w:b/>
          <w:sz w:val="36"/>
          <w:szCs w:val="36"/>
          <w:highlight w:val="none"/>
        </w:rPr>
        <w:t>3年</w:t>
      </w:r>
      <w:r>
        <w:rPr>
          <w:rFonts w:hint="eastAsia" w:ascii="宋体" w:hAnsi="宋体"/>
          <w:b/>
          <w:sz w:val="36"/>
          <w:szCs w:val="36"/>
          <w:highlight w:val="none"/>
          <w:lang w:val="en-US" w:eastAsia="zh-CN"/>
        </w:rPr>
        <w:t>10</w:t>
      </w:r>
      <w:r>
        <w:rPr>
          <w:rFonts w:ascii="宋体" w:hAnsi="宋体"/>
          <w:b/>
          <w:sz w:val="36"/>
          <w:szCs w:val="36"/>
          <w:highlight w:val="none"/>
        </w:rPr>
        <w:t>月</w:t>
      </w:r>
    </w:p>
    <w:sdt>
      <w:sdtPr>
        <w:rPr>
          <w:rFonts w:hint="eastAsia" w:ascii="宋体" w:hAnsi="宋体" w:eastAsia="宋体" w:cs="宋体"/>
          <w:b w:val="0"/>
          <w:bCs w:val="0"/>
          <w:color w:val="auto"/>
          <w:sz w:val="21"/>
          <w:szCs w:val="21"/>
          <w:highlight w:val="none"/>
          <w:lang w:val="zh-CN"/>
        </w:rPr>
        <w:id w:val="1243295833"/>
        <w:docPartObj>
          <w:docPartGallery w:val="Table of Contents"/>
          <w:docPartUnique/>
        </w:docPartObj>
      </w:sdtPr>
      <w:sdtEndPr>
        <w:rPr>
          <w:rFonts w:hint="default" w:ascii="宋体" w:hAnsi="宋体" w:eastAsia="宋体" w:cs="Times New Roman"/>
          <w:b w:val="0"/>
          <w:bCs w:val="0"/>
          <w:color w:val="auto"/>
          <w:sz w:val="21"/>
          <w:szCs w:val="21"/>
          <w:highlight w:val="none"/>
          <w:lang w:val="zh-CN"/>
        </w:rPr>
      </w:sdtEndPr>
      <w:sdtContent>
        <w:p>
          <w:pPr>
            <w:pStyle w:val="49"/>
            <w:shd w:val="clear"/>
            <w:spacing w:before="0" w:line="240" w:lineRule="auto"/>
            <w:jc w:val="center"/>
            <w:rPr>
              <w:rFonts w:ascii="宋体" w:hAnsi="宋体" w:eastAsia="宋体"/>
              <w:color w:val="auto"/>
              <w:highlight w:val="none"/>
            </w:rPr>
          </w:pPr>
          <w:r>
            <w:rPr>
              <w:rFonts w:hint="eastAsia" w:ascii="宋体" w:hAnsi="宋体" w:eastAsia="宋体" w:cs="宋体"/>
              <w:color w:val="auto"/>
              <w:highlight w:val="none"/>
              <w:lang w:val="zh-CN"/>
            </w:rPr>
            <w:t>目录</w:t>
          </w:r>
        </w:p>
        <w:p>
          <w:pPr>
            <w:pStyle w:val="18"/>
            <w:shd w:val="clear"/>
            <w:tabs>
              <w:tab w:val="right" w:leader="dot" w:pos="9061"/>
            </w:tabs>
            <w:spacing w:line="240" w:lineRule="auto"/>
            <w:rPr>
              <w:rFonts w:asciiTheme="minorHAnsi" w:hAnsiTheme="minorHAnsi" w:eastAsiaTheme="minorEastAsia" w:cstheme="minorBidi"/>
              <w:kern w:val="2"/>
              <w:szCs w:val="22"/>
              <w:highlight w:val="none"/>
            </w:rPr>
          </w:pPr>
          <w:r>
            <w:rPr>
              <w:rFonts w:ascii="宋体" w:hAnsi="宋体"/>
              <w:highlight w:val="none"/>
            </w:rPr>
            <w:fldChar w:fldCharType="begin"/>
          </w:r>
          <w:r>
            <w:rPr>
              <w:rFonts w:ascii="宋体" w:hAnsi="宋体"/>
              <w:highlight w:val="none"/>
            </w:rPr>
            <w:instrText xml:space="preserve"> TOC \o "1-3" \h \z \u </w:instrText>
          </w:r>
          <w:r>
            <w:rPr>
              <w:rFonts w:ascii="宋体" w:hAnsi="宋体"/>
              <w:highlight w:val="none"/>
            </w:rPr>
            <w:fldChar w:fldCharType="separate"/>
          </w:r>
          <w:r>
            <w:rPr>
              <w:highlight w:val="none"/>
            </w:rPr>
            <w:fldChar w:fldCharType="begin"/>
          </w:r>
          <w:r>
            <w:rPr>
              <w:highlight w:val="none"/>
            </w:rPr>
            <w:instrText xml:space="preserve"> HYPERLINK \l "_Toc25750588" </w:instrText>
          </w:r>
          <w:r>
            <w:rPr>
              <w:highlight w:val="none"/>
            </w:rPr>
            <w:fldChar w:fldCharType="separate"/>
          </w:r>
          <w:r>
            <w:rPr>
              <w:rStyle w:val="34"/>
              <w:rFonts w:hint="eastAsia" w:hAnsi="宋体"/>
              <w:b/>
              <w:highlight w:val="none"/>
            </w:rPr>
            <w:t>第一章比选公告</w:t>
          </w:r>
          <w:r>
            <w:rPr>
              <w:highlight w:val="none"/>
            </w:rPr>
            <w:tab/>
          </w:r>
          <w:r>
            <w:rPr>
              <w:highlight w:val="none"/>
            </w:rPr>
            <w:fldChar w:fldCharType="begin"/>
          </w:r>
          <w:r>
            <w:rPr>
              <w:highlight w:val="none"/>
            </w:rPr>
            <w:instrText xml:space="preserve"> PAGEREF _Toc25750588 \h </w:instrText>
          </w:r>
          <w:r>
            <w:rPr>
              <w:highlight w:val="none"/>
            </w:rPr>
            <w:fldChar w:fldCharType="separate"/>
          </w:r>
          <w:r>
            <w:rPr>
              <w:highlight w:val="none"/>
            </w:rPr>
            <w:t>2</w:t>
          </w:r>
          <w:r>
            <w:rPr>
              <w:highlight w:val="none"/>
            </w:rPr>
            <w:fldChar w:fldCharType="end"/>
          </w:r>
          <w:r>
            <w:rPr>
              <w:highlight w:val="none"/>
            </w:rPr>
            <w:fldChar w:fldCharType="end"/>
          </w:r>
        </w:p>
        <w:p>
          <w:pPr>
            <w:pStyle w:val="18"/>
            <w:shd w:val="clear"/>
            <w:tabs>
              <w:tab w:val="right" w:leader="dot" w:pos="9061"/>
            </w:tabs>
            <w:spacing w:line="240" w:lineRule="auto"/>
            <w:rPr>
              <w:rFonts w:asciiTheme="minorHAnsi" w:hAnsiTheme="minorHAnsi" w:eastAsiaTheme="minorEastAsia" w:cstheme="minorBidi"/>
              <w:kern w:val="2"/>
              <w:szCs w:val="22"/>
              <w:highlight w:val="none"/>
            </w:rPr>
          </w:pPr>
          <w:r>
            <w:rPr>
              <w:highlight w:val="none"/>
            </w:rPr>
            <w:fldChar w:fldCharType="begin"/>
          </w:r>
          <w:r>
            <w:rPr>
              <w:highlight w:val="none"/>
            </w:rPr>
            <w:instrText xml:space="preserve"> HYPERLINK \l "_Toc25750589" </w:instrText>
          </w:r>
          <w:r>
            <w:rPr>
              <w:highlight w:val="none"/>
            </w:rPr>
            <w:fldChar w:fldCharType="separate"/>
          </w:r>
          <w:r>
            <w:rPr>
              <w:rStyle w:val="34"/>
              <w:rFonts w:hint="eastAsia" w:hAnsi="宋体"/>
              <w:b/>
              <w:highlight w:val="none"/>
            </w:rPr>
            <w:t>第二章比选申请须知</w:t>
          </w:r>
          <w:r>
            <w:rPr>
              <w:highlight w:val="none"/>
            </w:rPr>
            <w:tab/>
          </w:r>
          <w:r>
            <w:rPr>
              <w:highlight w:val="none"/>
            </w:rPr>
            <w:fldChar w:fldCharType="begin"/>
          </w:r>
          <w:r>
            <w:rPr>
              <w:highlight w:val="none"/>
            </w:rPr>
            <w:instrText xml:space="preserve"> PAGEREF _Toc25750589 \h </w:instrText>
          </w:r>
          <w:r>
            <w:rPr>
              <w:highlight w:val="none"/>
            </w:rPr>
            <w:fldChar w:fldCharType="separate"/>
          </w:r>
          <w:r>
            <w:rPr>
              <w:highlight w:val="none"/>
            </w:rPr>
            <w:t>4</w:t>
          </w:r>
          <w:r>
            <w:rPr>
              <w:highlight w:val="none"/>
            </w:rPr>
            <w:fldChar w:fldCharType="end"/>
          </w:r>
          <w:r>
            <w:rPr>
              <w:highlight w:val="none"/>
            </w:rPr>
            <w:fldChar w:fldCharType="end"/>
          </w:r>
        </w:p>
        <w:p>
          <w:pPr>
            <w:pStyle w:val="23"/>
            <w:shd w:val="clear"/>
            <w:tabs>
              <w:tab w:val="right" w:leader="dot" w:pos="9061"/>
            </w:tabs>
            <w:spacing w:line="240" w:lineRule="auto"/>
            <w:rPr>
              <w:rFonts w:asciiTheme="minorHAnsi" w:hAnsiTheme="minorHAnsi" w:eastAsiaTheme="minorEastAsia" w:cstheme="minorBidi"/>
              <w:kern w:val="2"/>
              <w:szCs w:val="22"/>
              <w:highlight w:val="none"/>
            </w:rPr>
          </w:pPr>
          <w:r>
            <w:rPr>
              <w:highlight w:val="none"/>
            </w:rPr>
            <w:fldChar w:fldCharType="begin"/>
          </w:r>
          <w:r>
            <w:rPr>
              <w:highlight w:val="none"/>
            </w:rPr>
            <w:instrText xml:space="preserve"> HYPERLINK \l "_Toc25750590" </w:instrText>
          </w:r>
          <w:r>
            <w:rPr>
              <w:highlight w:val="none"/>
            </w:rPr>
            <w:fldChar w:fldCharType="separate"/>
          </w:r>
          <w:r>
            <w:rPr>
              <w:rStyle w:val="34"/>
              <w:rFonts w:hint="eastAsia" w:ascii="宋体" w:hAnsi="宋体"/>
              <w:highlight w:val="none"/>
            </w:rPr>
            <w:t>一、说明</w:t>
          </w:r>
          <w:r>
            <w:rPr>
              <w:highlight w:val="none"/>
            </w:rPr>
            <w:tab/>
          </w:r>
          <w:r>
            <w:rPr>
              <w:highlight w:val="none"/>
            </w:rPr>
            <w:fldChar w:fldCharType="begin"/>
          </w:r>
          <w:r>
            <w:rPr>
              <w:highlight w:val="none"/>
            </w:rPr>
            <w:instrText xml:space="preserve"> PAGEREF _Toc25750590 \h </w:instrText>
          </w:r>
          <w:r>
            <w:rPr>
              <w:highlight w:val="none"/>
            </w:rPr>
            <w:fldChar w:fldCharType="separate"/>
          </w:r>
          <w:r>
            <w:rPr>
              <w:highlight w:val="none"/>
            </w:rPr>
            <w:t>8</w:t>
          </w:r>
          <w:r>
            <w:rPr>
              <w:highlight w:val="none"/>
            </w:rPr>
            <w:fldChar w:fldCharType="end"/>
          </w:r>
          <w:r>
            <w:rPr>
              <w:highlight w:val="none"/>
            </w:rPr>
            <w:fldChar w:fldCharType="end"/>
          </w:r>
        </w:p>
        <w:p>
          <w:pPr>
            <w:pStyle w:val="23"/>
            <w:shd w:val="clear"/>
            <w:tabs>
              <w:tab w:val="right" w:leader="dot" w:pos="9061"/>
            </w:tabs>
            <w:spacing w:line="240" w:lineRule="auto"/>
            <w:rPr>
              <w:rFonts w:asciiTheme="minorHAnsi" w:hAnsiTheme="minorHAnsi" w:eastAsiaTheme="minorEastAsia" w:cstheme="minorBidi"/>
              <w:kern w:val="2"/>
              <w:szCs w:val="22"/>
              <w:highlight w:val="none"/>
            </w:rPr>
          </w:pPr>
          <w:r>
            <w:rPr>
              <w:highlight w:val="none"/>
            </w:rPr>
            <w:fldChar w:fldCharType="begin"/>
          </w:r>
          <w:r>
            <w:rPr>
              <w:highlight w:val="none"/>
            </w:rPr>
            <w:instrText xml:space="preserve"> HYPERLINK \l "_Toc25750595" </w:instrText>
          </w:r>
          <w:r>
            <w:rPr>
              <w:highlight w:val="none"/>
            </w:rPr>
            <w:fldChar w:fldCharType="separate"/>
          </w:r>
          <w:r>
            <w:rPr>
              <w:rStyle w:val="34"/>
              <w:rFonts w:hint="eastAsia" w:ascii="宋体" w:hAnsi="宋体"/>
              <w:highlight w:val="none"/>
            </w:rPr>
            <w:t>二、比选文件</w:t>
          </w:r>
          <w:r>
            <w:rPr>
              <w:highlight w:val="none"/>
            </w:rPr>
            <w:tab/>
          </w:r>
          <w:r>
            <w:rPr>
              <w:highlight w:val="none"/>
            </w:rPr>
            <w:fldChar w:fldCharType="begin"/>
          </w:r>
          <w:r>
            <w:rPr>
              <w:highlight w:val="none"/>
            </w:rPr>
            <w:instrText xml:space="preserve"> PAGEREF _Toc25750595 \h </w:instrText>
          </w:r>
          <w:r>
            <w:rPr>
              <w:highlight w:val="none"/>
            </w:rPr>
            <w:fldChar w:fldCharType="separate"/>
          </w:r>
          <w:r>
            <w:rPr>
              <w:highlight w:val="none"/>
            </w:rPr>
            <w:t>9</w:t>
          </w:r>
          <w:r>
            <w:rPr>
              <w:highlight w:val="none"/>
            </w:rPr>
            <w:fldChar w:fldCharType="end"/>
          </w:r>
          <w:r>
            <w:rPr>
              <w:highlight w:val="none"/>
            </w:rPr>
            <w:fldChar w:fldCharType="end"/>
          </w:r>
        </w:p>
        <w:p>
          <w:pPr>
            <w:pStyle w:val="23"/>
            <w:shd w:val="clear"/>
            <w:tabs>
              <w:tab w:val="right" w:leader="dot" w:pos="9061"/>
            </w:tabs>
            <w:spacing w:line="240" w:lineRule="auto"/>
            <w:rPr>
              <w:rFonts w:asciiTheme="minorHAnsi" w:hAnsiTheme="minorHAnsi" w:eastAsiaTheme="minorEastAsia" w:cstheme="minorBidi"/>
              <w:kern w:val="2"/>
              <w:szCs w:val="22"/>
              <w:highlight w:val="none"/>
            </w:rPr>
          </w:pPr>
          <w:r>
            <w:rPr>
              <w:highlight w:val="none"/>
            </w:rPr>
            <w:fldChar w:fldCharType="begin"/>
          </w:r>
          <w:r>
            <w:rPr>
              <w:highlight w:val="none"/>
            </w:rPr>
            <w:instrText xml:space="preserve"> HYPERLINK \l "_Toc25750599" </w:instrText>
          </w:r>
          <w:r>
            <w:rPr>
              <w:highlight w:val="none"/>
            </w:rPr>
            <w:fldChar w:fldCharType="separate"/>
          </w:r>
          <w:r>
            <w:rPr>
              <w:rStyle w:val="34"/>
              <w:rFonts w:hint="eastAsia" w:ascii="宋体" w:hAnsi="宋体"/>
              <w:highlight w:val="none"/>
            </w:rPr>
            <w:t>三、比选申请文件的编制</w:t>
          </w:r>
          <w:r>
            <w:rPr>
              <w:highlight w:val="none"/>
            </w:rPr>
            <w:tab/>
          </w:r>
          <w:r>
            <w:rPr>
              <w:highlight w:val="none"/>
            </w:rPr>
            <w:fldChar w:fldCharType="begin"/>
          </w:r>
          <w:r>
            <w:rPr>
              <w:highlight w:val="none"/>
            </w:rPr>
            <w:instrText xml:space="preserve"> PAGEREF _Toc25750599 \h </w:instrText>
          </w:r>
          <w:r>
            <w:rPr>
              <w:highlight w:val="none"/>
            </w:rPr>
            <w:fldChar w:fldCharType="separate"/>
          </w:r>
          <w:r>
            <w:rPr>
              <w:highlight w:val="none"/>
            </w:rPr>
            <w:t>10</w:t>
          </w:r>
          <w:r>
            <w:rPr>
              <w:highlight w:val="none"/>
            </w:rPr>
            <w:fldChar w:fldCharType="end"/>
          </w:r>
          <w:r>
            <w:rPr>
              <w:highlight w:val="none"/>
            </w:rPr>
            <w:fldChar w:fldCharType="end"/>
          </w:r>
        </w:p>
        <w:p>
          <w:pPr>
            <w:pStyle w:val="23"/>
            <w:shd w:val="clear"/>
            <w:tabs>
              <w:tab w:val="right" w:leader="dot" w:pos="9061"/>
            </w:tabs>
            <w:spacing w:line="240" w:lineRule="auto"/>
            <w:rPr>
              <w:rFonts w:asciiTheme="minorHAnsi" w:hAnsiTheme="minorHAnsi" w:eastAsiaTheme="minorEastAsia" w:cstheme="minorBidi"/>
              <w:kern w:val="2"/>
              <w:szCs w:val="22"/>
              <w:highlight w:val="none"/>
            </w:rPr>
          </w:pPr>
          <w:r>
            <w:rPr>
              <w:highlight w:val="none"/>
            </w:rPr>
            <w:fldChar w:fldCharType="begin"/>
          </w:r>
          <w:r>
            <w:rPr>
              <w:highlight w:val="none"/>
            </w:rPr>
            <w:instrText xml:space="preserve"> HYPERLINK \l "_Toc25750608" </w:instrText>
          </w:r>
          <w:r>
            <w:rPr>
              <w:highlight w:val="none"/>
            </w:rPr>
            <w:fldChar w:fldCharType="separate"/>
          </w:r>
          <w:r>
            <w:rPr>
              <w:rStyle w:val="34"/>
              <w:rFonts w:hint="eastAsia" w:ascii="宋体" w:hAnsi="宋体"/>
              <w:highlight w:val="none"/>
            </w:rPr>
            <w:t>四、比选申请文件的密封和递交</w:t>
          </w:r>
          <w:r>
            <w:rPr>
              <w:highlight w:val="none"/>
            </w:rPr>
            <w:tab/>
          </w:r>
          <w:r>
            <w:rPr>
              <w:highlight w:val="none"/>
            </w:rPr>
            <w:fldChar w:fldCharType="begin"/>
          </w:r>
          <w:r>
            <w:rPr>
              <w:highlight w:val="none"/>
            </w:rPr>
            <w:instrText xml:space="preserve"> PAGEREF _Toc25750608 \h </w:instrText>
          </w:r>
          <w:r>
            <w:rPr>
              <w:highlight w:val="none"/>
            </w:rPr>
            <w:fldChar w:fldCharType="separate"/>
          </w:r>
          <w:r>
            <w:rPr>
              <w:highlight w:val="none"/>
            </w:rPr>
            <w:t>12</w:t>
          </w:r>
          <w:r>
            <w:rPr>
              <w:highlight w:val="none"/>
            </w:rPr>
            <w:fldChar w:fldCharType="end"/>
          </w:r>
          <w:r>
            <w:rPr>
              <w:highlight w:val="none"/>
            </w:rPr>
            <w:fldChar w:fldCharType="end"/>
          </w:r>
        </w:p>
        <w:p>
          <w:pPr>
            <w:pStyle w:val="23"/>
            <w:shd w:val="clear"/>
            <w:tabs>
              <w:tab w:val="right" w:leader="dot" w:pos="9061"/>
            </w:tabs>
            <w:spacing w:line="240" w:lineRule="auto"/>
            <w:rPr>
              <w:rFonts w:asciiTheme="minorHAnsi" w:hAnsiTheme="minorHAnsi" w:eastAsiaTheme="minorEastAsia" w:cstheme="minorBidi"/>
              <w:kern w:val="2"/>
              <w:szCs w:val="22"/>
              <w:highlight w:val="none"/>
            </w:rPr>
          </w:pPr>
          <w:r>
            <w:rPr>
              <w:highlight w:val="none"/>
            </w:rPr>
            <w:fldChar w:fldCharType="begin"/>
          </w:r>
          <w:r>
            <w:rPr>
              <w:highlight w:val="none"/>
            </w:rPr>
            <w:instrText xml:space="preserve"> HYPERLINK \l "_Toc25750613" </w:instrText>
          </w:r>
          <w:r>
            <w:rPr>
              <w:highlight w:val="none"/>
            </w:rPr>
            <w:fldChar w:fldCharType="separate"/>
          </w:r>
          <w:r>
            <w:rPr>
              <w:rStyle w:val="34"/>
              <w:rFonts w:hint="eastAsia" w:ascii="宋体" w:hAnsi="宋体"/>
              <w:highlight w:val="none"/>
            </w:rPr>
            <w:t>五、比选申请文件递交与评审</w:t>
          </w:r>
          <w:r>
            <w:rPr>
              <w:highlight w:val="none"/>
            </w:rPr>
            <w:tab/>
          </w:r>
          <w:r>
            <w:rPr>
              <w:highlight w:val="none"/>
            </w:rPr>
            <w:fldChar w:fldCharType="begin"/>
          </w:r>
          <w:r>
            <w:rPr>
              <w:highlight w:val="none"/>
            </w:rPr>
            <w:instrText xml:space="preserve"> PAGEREF _Toc25750613 \h </w:instrText>
          </w:r>
          <w:r>
            <w:rPr>
              <w:highlight w:val="none"/>
            </w:rPr>
            <w:fldChar w:fldCharType="separate"/>
          </w:r>
          <w:r>
            <w:rPr>
              <w:highlight w:val="none"/>
            </w:rPr>
            <w:t>13</w:t>
          </w:r>
          <w:r>
            <w:rPr>
              <w:highlight w:val="none"/>
            </w:rPr>
            <w:fldChar w:fldCharType="end"/>
          </w:r>
          <w:r>
            <w:rPr>
              <w:highlight w:val="none"/>
            </w:rPr>
            <w:fldChar w:fldCharType="end"/>
          </w:r>
        </w:p>
        <w:p>
          <w:pPr>
            <w:pStyle w:val="23"/>
            <w:shd w:val="clear"/>
            <w:tabs>
              <w:tab w:val="right" w:leader="dot" w:pos="9061"/>
            </w:tabs>
            <w:spacing w:line="240" w:lineRule="auto"/>
            <w:rPr>
              <w:rFonts w:asciiTheme="minorHAnsi" w:hAnsiTheme="minorHAnsi" w:eastAsiaTheme="minorEastAsia" w:cstheme="minorBidi"/>
              <w:kern w:val="2"/>
              <w:szCs w:val="22"/>
              <w:highlight w:val="none"/>
            </w:rPr>
          </w:pPr>
          <w:r>
            <w:rPr>
              <w:highlight w:val="none"/>
            </w:rPr>
            <w:fldChar w:fldCharType="begin"/>
          </w:r>
          <w:r>
            <w:rPr>
              <w:highlight w:val="none"/>
            </w:rPr>
            <w:instrText xml:space="preserve"> HYPERLINK \l "_Toc25750625" </w:instrText>
          </w:r>
          <w:r>
            <w:rPr>
              <w:highlight w:val="none"/>
            </w:rPr>
            <w:fldChar w:fldCharType="separate"/>
          </w:r>
          <w:r>
            <w:rPr>
              <w:rStyle w:val="34"/>
              <w:rFonts w:hint="eastAsia" w:ascii="宋体" w:hAnsi="宋体"/>
              <w:highlight w:val="none"/>
            </w:rPr>
            <w:t>六、授予合同</w:t>
          </w:r>
          <w:r>
            <w:rPr>
              <w:highlight w:val="none"/>
            </w:rPr>
            <w:tab/>
          </w:r>
          <w:r>
            <w:rPr>
              <w:highlight w:val="none"/>
            </w:rPr>
            <w:fldChar w:fldCharType="begin"/>
          </w:r>
          <w:r>
            <w:rPr>
              <w:highlight w:val="none"/>
            </w:rPr>
            <w:instrText xml:space="preserve"> PAGEREF _Toc25750625 \h </w:instrText>
          </w:r>
          <w:r>
            <w:rPr>
              <w:highlight w:val="none"/>
            </w:rPr>
            <w:fldChar w:fldCharType="separate"/>
          </w:r>
          <w:r>
            <w:rPr>
              <w:highlight w:val="none"/>
            </w:rPr>
            <w:t>15</w:t>
          </w:r>
          <w:r>
            <w:rPr>
              <w:highlight w:val="none"/>
            </w:rPr>
            <w:fldChar w:fldCharType="end"/>
          </w:r>
          <w:r>
            <w:rPr>
              <w:highlight w:val="none"/>
            </w:rPr>
            <w:fldChar w:fldCharType="end"/>
          </w:r>
        </w:p>
        <w:p>
          <w:pPr>
            <w:pStyle w:val="18"/>
            <w:shd w:val="clear"/>
            <w:tabs>
              <w:tab w:val="right" w:leader="dot" w:pos="9061"/>
            </w:tabs>
            <w:spacing w:line="240" w:lineRule="auto"/>
            <w:rPr>
              <w:rFonts w:asciiTheme="minorHAnsi" w:hAnsiTheme="minorHAnsi" w:eastAsiaTheme="minorEastAsia" w:cstheme="minorBidi"/>
              <w:kern w:val="2"/>
              <w:szCs w:val="22"/>
              <w:highlight w:val="none"/>
            </w:rPr>
          </w:pPr>
          <w:r>
            <w:rPr>
              <w:highlight w:val="none"/>
            </w:rPr>
            <w:fldChar w:fldCharType="begin"/>
          </w:r>
          <w:r>
            <w:rPr>
              <w:highlight w:val="none"/>
            </w:rPr>
            <w:instrText xml:space="preserve"> HYPERLINK \l "_Toc25750632" </w:instrText>
          </w:r>
          <w:r>
            <w:rPr>
              <w:highlight w:val="none"/>
            </w:rPr>
            <w:fldChar w:fldCharType="separate"/>
          </w:r>
          <w:r>
            <w:rPr>
              <w:rStyle w:val="34"/>
              <w:rFonts w:hint="eastAsia" w:hAnsi="宋体"/>
              <w:b/>
              <w:highlight w:val="none"/>
            </w:rPr>
            <w:t>第三章合同条款及格式</w:t>
          </w:r>
          <w:r>
            <w:rPr>
              <w:highlight w:val="none"/>
            </w:rPr>
            <w:tab/>
          </w:r>
          <w:r>
            <w:rPr>
              <w:highlight w:val="none"/>
            </w:rPr>
            <w:fldChar w:fldCharType="begin"/>
          </w:r>
          <w:r>
            <w:rPr>
              <w:highlight w:val="none"/>
            </w:rPr>
            <w:instrText xml:space="preserve"> PAGEREF _Toc25750632 \h </w:instrText>
          </w:r>
          <w:r>
            <w:rPr>
              <w:highlight w:val="none"/>
            </w:rPr>
            <w:fldChar w:fldCharType="separate"/>
          </w:r>
          <w:r>
            <w:rPr>
              <w:highlight w:val="none"/>
            </w:rPr>
            <w:t>17</w:t>
          </w:r>
          <w:r>
            <w:rPr>
              <w:highlight w:val="none"/>
            </w:rPr>
            <w:fldChar w:fldCharType="end"/>
          </w:r>
          <w:r>
            <w:rPr>
              <w:highlight w:val="none"/>
            </w:rPr>
            <w:fldChar w:fldCharType="end"/>
          </w:r>
        </w:p>
        <w:p>
          <w:pPr>
            <w:pStyle w:val="23"/>
            <w:shd w:val="clear"/>
            <w:tabs>
              <w:tab w:val="right" w:leader="dot" w:pos="9061"/>
            </w:tabs>
            <w:spacing w:line="240" w:lineRule="auto"/>
            <w:rPr>
              <w:rStyle w:val="34"/>
              <w:rFonts w:hint="eastAsia" w:ascii="宋体" w:hAnsi="宋体"/>
              <w:b/>
              <w:highlight w:val="none"/>
            </w:rPr>
          </w:pPr>
          <w:r>
            <w:rPr>
              <w:highlight w:val="none"/>
            </w:rPr>
            <w:fldChar w:fldCharType="begin"/>
          </w:r>
          <w:r>
            <w:rPr>
              <w:highlight w:val="none"/>
            </w:rPr>
            <w:instrText xml:space="preserve"> HYPERLINK \l "_Toc25750633" </w:instrText>
          </w:r>
          <w:r>
            <w:rPr>
              <w:highlight w:val="none"/>
            </w:rPr>
            <w:fldChar w:fldCharType="separate"/>
          </w:r>
          <w:r>
            <w:rPr>
              <w:rStyle w:val="34"/>
              <w:rFonts w:hint="eastAsia" w:ascii="宋体" w:hAnsi="宋体"/>
              <w:b/>
              <w:highlight w:val="none"/>
            </w:rPr>
            <w:t>一、合同协议书</w:t>
          </w:r>
          <w:r>
            <w:rPr>
              <w:highlight w:val="none"/>
            </w:rPr>
            <w:tab/>
          </w:r>
          <w:r>
            <w:rPr>
              <w:highlight w:val="none"/>
            </w:rPr>
            <w:fldChar w:fldCharType="begin"/>
          </w:r>
          <w:r>
            <w:rPr>
              <w:highlight w:val="none"/>
            </w:rPr>
            <w:instrText xml:space="preserve"> PAGEREF _Toc25750633 \h </w:instrText>
          </w:r>
          <w:r>
            <w:rPr>
              <w:highlight w:val="none"/>
            </w:rPr>
            <w:fldChar w:fldCharType="separate"/>
          </w:r>
          <w:r>
            <w:rPr>
              <w:highlight w:val="none"/>
            </w:rPr>
            <w:t>17</w:t>
          </w:r>
          <w:r>
            <w:rPr>
              <w:highlight w:val="none"/>
            </w:rPr>
            <w:fldChar w:fldCharType="end"/>
          </w:r>
          <w:r>
            <w:rPr>
              <w:highlight w:val="none"/>
            </w:rPr>
            <w:fldChar w:fldCharType="end"/>
          </w:r>
          <w:r>
            <w:rPr>
              <w:highlight w:val="none"/>
            </w:rPr>
            <w:fldChar w:fldCharType="begin"/>
          </w:r>
          <w:r>
            <w:rPr>
              <w:highlight w:val="none"/>
            </w:rPr>
            <w:instrText xml:space="preserve"> HYPERLINK \l "_Toc25750634" </w:instrText>
          </w:r>
          <w:r>
            <w:rPr>
              <w:highlight w:val="none"/>
            </w:rPr>
            <w:fldChar w:fldCharType="separate"/>
          </w:r>
        </w:p>
        <w:p>
          <w:pPr>
            <w:pStyle w:val="23"/>
            <w:shd w:val="clear"/>
            <w:tabs>
              <w:tab w:val="right" w:leader="dot" w:pos="9061"/>
            </w:tabs>
            <w:spacing w:line="240" w:lineRule="auto"/>
            <w:rPr>
              <w:rFonts w:asciiTheme="minorHAnsi" w:hAnsiTheme="minorHAnsi" w:eastAsiaTheme="minorEastAsia" w:cstheme="minorBidi"/>
              <w:kern w:val="2"/>
              <w:szCs w:val="22"/>
              <w:highlight w:val="none"/>
            </w:rPr>
          </w:pPr>
          <w:r>
            <w:rPr>
              <w:rStyle w:val="34"/>
              <w:rFonts w:hint="eastAsia" w:ascii="宋体" w:hAnsi="宋体"/>
              <w:b/>
              <w:highlight w:val="none"/>
              <w:lang w:val="en-US" w:eastAsia="zh-CN"/>
            </w:rPr>
            <w:t>二、中选通知书</w:t>
          </w:r>
          <w:r>
            <w:rPr>
              <w:highlight w:val="none"/>
            </w:rPr>
            <w:tab/>
          </w:r>
          <w:r>
            <w:rPr>
              <w:highlight w:val="none"/>
            </w:rPr>
            <w:fldChar w:fldCharType="begin"/>
          </w:r>
          <w:r>
            <w:rPr>
              <w:highlight w:val="none"/>
            </w:rPr>
            <w:instrText xml:space="preserve"> PAGEREF _Toc25750634 \h </w:instrText>
          </w:r>
          <w:r>
            <w:rPr>
              <w:highlight w:val="none"/>
            </w:rPr>
            <w:fldChar w:fldCharType="separate"/>
          </w:r>
          <w:r>
            <w:rPr>
              <w:highlight w:val="none"/>
            </w:rPr>
            <w:t>19</w:t>
          </w:r>
          <w:r>
            <w:rPr>
              <w:highlight w:val="none"/>
            </w:rPr>
            <w:fldChar w:fldCharType="end"/>
          </w:r>
          <w:r>
            <w:rPr>
              <w:highlight w:val="none"/>
            </w:rPr>
            <w:fldChar w:fldCharType="end"/>
          </w:r>
        </w:p>
        <w:p>
          <w:pPr>
            <w:pStyle w:val="23"/>
            <w:shd w:val="clear"/>
            <w:tabs>
              <w:tab w:val="right" w:leader="dot" w:pos="9061"/>
            </w:tabs>
            <w:spacing w:line="240" w:lineRule="auto"/>
            <w:rPr>
              <w:rFonts w:hint="eastAsia"/>
              <w:highlight w:val="none"/>
              <w:lang w:val="en-US" w:eastAsia="zh-CN"/>
            </w:rPr>
          </w:pPr>
          <w:r>
            <w:rPr>
              <w:highlight w:val="none"/>
            </w:rPr>
            <w:fldChar w:fldCharType="begin"/>
          </w:r>
          <w:r>
            <w:rPr>
              <w:highlight w:val="none"/>
            </w:rPr>
            <w:instrText xml:space="preserve"> HYPERLINK \l "_Toc25750672" </w:instrText>
          </w:r>
          <w:r>
            <w:rPr>
              <w:highlight w:val="none"/>
            </w:rPr>
            <w:fldChar w:fldCharType="separate"/>
          </w:r>
          <w:r>
            <w:rPr>
              <w:rFonts w:hint="eastAsia"/>
              <w:highlight w:val="none"/>
              <w:lang w:val="en-US" w:eastAsia="zh-CN"/>
            </w:rPr>
            <w:t>三</w:t>
          </w:r>
          <w:r>
            <w:rPr>
              <w:rStyle w:val="34"/>
              <w:rFonts w:hint="eastAsia" w:ascii="宋体" w:hAnsi="宋体"/>
              <w:b/>
              <w:highlight w:val="none"/>
            </w:rPr>
            <w:t>、合同条款</w:t>
          </w:r>
          <w:r>
            <w:rPr>
              <w:highlight w:val="none"/>
            </w:rPr>
            <w:tab/>
          </w:r>
          <w:r>
            <w:rPr>
              <w:rFonts w:hint="eastAsia"/>
              <w:highlight w:val="none"/>
              <w:lang w:val="en-US" w:eastAsia="zh-CN"/>
            </w:rPr>
            <w:t>2</w:t>
          </w:r>
          <w:r>
            <w:rPr>
              <w:highlight w:val="none"/>
            </w:rPr>
            <w:fldChar w:fldCharType="end"/>
          </w:r>
          <w:r>
            <w:rPr>
              <w:rFonts w:hint="eastAsia"/>
              <w:highlight w:val="none"/>
              <w:lang w:val="en-US" w:eastAsia="zh-CN"/>
            </w:rPr>
            <w:t>1</w:t>
          </w:r>
        </w:p>
        <w:p>
          <w:pPr>
            <w:pStyle w:val="23"/>
            <w:shd w:val="clear"/>
            <w:tabs>
              <w:tab w:val="right" w:leader="dot" w:pos="9061"/>
            </w:tabs>
            <w:spacing w:line="240" w:lineRule="auto"/>
            <w:rPr>
              <w:rFonts w:hint="eastAsia"/>
              <w:highlight w:val="none"/>
              <w:lang w:val="en-US" w:eastAsia="zh-CN"/>
            </w:rPr>
          </w:pPr>
          <w:r>
            <w:rPr>
              <w:highlight w:val="none"/>
            </w:rPr>
            <w:fldChar w:fldCharType="begin"/>
          </w:r>
          <w:r>
            <w:rPr>
              <w:highlight w:val="none"/>
            </w:rPr>
            <w:instrText xml:space="preserve"> HYPERLINK \l "_Toc25750672" </w:instrText>
          </w:r>
          <w:r>
            <w:rPr>
              <w:highlight w:val="none"/>
            </w:rPr>
            <w:fldChar w:fldCharType="separate"/>
          </w:r>
          <w:r>
            <w:rPr>
              <w:rStyle w:val="34"/>
              <w:rFonts w:hint="eastAsia" w:ascii="宋体" w:hAnsi="宋体"/>
              <w:b/>
              <w:highlight w:val="none"/>
              <w:lang w:val="en-US" w:eastAsia="zh-CN"/>
            </w:rPr>
            <w:t>四</w:t>
          </w:r>
          <w:r>
            <w:rPr>
              <w:rStyle w:val="34"/>
              <w:rFonts w:hint="eastAsia" w:ascii="宋体" w:hAnsi="宋体"/>
              <w:b/>
              <w:highlight w:val="none"/>
            </w:rPr>
            <w:t>、价格组成文件</w:t>
          </w:r>
          <w:r>
            <w:rPr>
              <w:highlight w:val="none"/>
            </w:rPr>
            <w:tab/>
          </w:r>
          <w:r>
            <w:rPr>
              <w:rFonts w:hint="eastAsia"/>
              <w:highlight w:val="none"/>
              <w:lang w:val="en-US" w:eastAsia="zh-CN"/>
            </w:rPr>
            <w:t>2</w:t>
          </w:r>
          <w:r>
            <w:rPr>
              <w:highlight w:val="none"/>
            </w:rPr>
            <w:fldChar w:fldCharType="end"/>
          </w:r>
          <w:r>
            <w:rPr>
              <w:rFonts w:hint="eastAsia"/>
              <w:highlight w:val="none"/>
              <w:lang w:val="en-US" w:eastAsia="zh-CN"/>
            </w:rPr>
            <w:t>9</w:t>
          </w:r>
        </w:p>
        <w:p>
          <w:pPr>
            <w:pStyle w:val="23"/>
            <w:shd w:val="clear"/>
            <w:tabs>
              <w:tab w:val="right" w:leader="dot" w:pos="9061"/>
            </w:tabs>
            <w:spacing w:line="240" w:lineRule="auto"/>
            <w:rPr>
              <w:rFonts w:hint="eastAsia" w:eastAsia="宋体"/>
              <w:lang w:val="en-US" w:eastAsia="zh-CN"/>
            </w:rPr>
          </w:pPr>
          <w:r>
            <w:rPr>
              <w:highlight w:val="none"/>
            </w:rPr>
            <w:fldChar w:fldCharType="begin"/>
          </w:r>
          <w:r>
            <w:rPr>
              <w:highlight w:val="none"/>
            </w:rPr>
            <w:instrText xml:space="preserve"> HYPERLINK \l "_Toc25750672" </w:instrText>
          </w:r>
          <w:r>
            <w:rPr>
              <w:highlight w:val="none"/>
            </w:rPr>
            <w:fldChar w:fldCharType="separate"/>
          </w:r>
          <w:r>
            <w:rPr>
              <w:rStyle w:val="34"/>
              <w:rFonts w:hint="eastAsia" w:ascii="宋体" w:hAnsi="宋体"/>
              <w:b/>
              <w:highlight w:val="none"/>
              <w:lang w:val="en-US" w:eastAsia="zh-CN"/>
            </w:rPr>
            <w:t>五</w:t>
          </w:r>
          <w:r>
            <w:rPr>
              <w:rStyle w:val="34"/>
              <w:rFonts w:hint="eastAsia" w:ascii="宋体" w:hAnsi="宋体"/>
              <w:b/>
              <w:highlight w:val="none"/>
            </w:rPr>
            <w:t>、</w:t>
          </w:r>
          <w:r>
            <w:rPr>
              <w:rStyle w:val="34"/>
              <w:rFonts w:hint="eastAsia" w:ascii="宋体" w:hAnsi="宋体"/>
              <w:b/>
              <w:highlight w:val="none"/>
              <w:lang w:val="en-US" w:eastAsia="zh-CN"/>
            </w:rPr>
            <w:t>技术规格书</w:t>
          </w:r>
          <w:r>
            <w:rPr>
              <w:highlight w:val="none"/>
            </w:rPr>
            <w:tab/>
          </w:r>
          <w:r>
            <w:rPr>
              <w:rFonts w:hint="eastAsia"/>
              <w:highlight w:val="none"/>
              <w:lang w:val="en-US" w:eastAsia="zh-CN"/>
            </w:rPr>
            <w:t>3</w:t>
          </w:r>
          <w:r>
            <w:rPr>
              <w:highlight w:val="none"/>
            </w:rPr>
            <w:fldChar w:fldCharType="end"/>
          </w:r>
          <w:r>
            <w:rPr>
              <w:rFonts w:hint="eastAsia"/>
              <w:highlight w:val="none"/>
              <w:lang w:val="en-US" w:eastAsia="zh-CN"/>
            </w:rPr>
            <w:t>0</w:t>
          </w:r>
        </w:p>
        <w:p>
          <w:pPr>
            <w:pStyle w:val="18"/>
            <w:shd w:val="clear"/>
            <w:tabs>
              <w:tab w:val="right" w:leader="dot" w:pos="9061"/>
            </w:tabs>
            <w:spacing w:line="240" w:lineRule="auto"/>
            <w:rPr>
              <w:rFonts w:asciiTheme="minorHAnsi" w:hAnsiTheme="minorHAnsi" w:eastAsiaTheme="minorEastAsia" w:cstheme="minorBidi"/>
              <w:kern w:val="2"/>
              <w:szCs w:val="22"/>
              <w:highlight w:val="none"/>
            </w:rPr>
          </w:pPr>
          <w:r>
            <w:rPr>
              <w:highlight w:val="none"/>
            </w:rPr>
            <w:fldChar w:fldCharType="begin"/>
          </w:r>
          <w:r>
            <w:rPr>
              <w:highlight w:val="none"/>
            </w:rPr>
            <w:instrText xml:space="preserve"> HYPERLINK \l "_Toc25750673" </w:instrText>
          </w:r>
          <w:r>
            <w:rPr>
              <w:highlight w:val="none"/>
            </w:rPr>
            <w:fldChar w:fldCharType="separate"/>
          </w:r>
          <w:r>
            <w:rPr>
              <w:rStyle w:val="34"/>
              <w:rFonts w:hint="eastAsia" w:hAnsi="宋体"/>
              <w:b/>
              <w:highlight w:val="none"/>
            </w:rPr>
            <w:t>第四章比选申请文件格式</w:t>
          </w:r>
          <w:r>
            <w:rPr>
              <w:highlight w:val="none"/>
            </w:rPr>
            <w:tab/>
          </w:r>
          <w:r>
            <w:rPr>
              <w:highlight w:val="none"/>
            </w:rPr>
            <w:fldChar w:fldCharType="begin"/>
          </w:r>
          <w:r>
            <w:rPr>
              <w:highlight w:val="none"/>
            </w:rPr>
            <w:instrText xml:space="preserve"> PAGEREF _Toc25750673 \h </w:instrText>
          </w:r>
          <w:r>
            <w:rPr>
              <w:highlight w:val="none"/>
            </w:rPr>
            <w:fldChar w:fldCharType="separate"/>
          </w:r>
          <w:r>
            <w:rPr>
              <w:highlight w:val="none"/>
            </w:rPr>
            <w:t>31</w:t>
          </w:r>
          <w:r>
            <w:rPr>
              <w:highlight w:val="none"/>
            </w:rPr>
            <w:fldChar w:fldCharType="end"/>
          </w:r>
          <w:r>
            <w:rPr>
              <w:highlight w:val="none"/>
            </w:rPr>
            <w:fldChar w:fldCharType="end"/>
          </w:r>
        </w:p>
        <w:p>
          <w:pPr>
            <w:pStyle w:val="18"/>
            <w:shd w:val="clear"/>
            <w:tabs>
              <w:tab w:val="right" w:leader="dot" w:pos="9061"/>
            </w:tabs>
            <w:spacing w:line="240" w:lineRule="auto"/>
            <w:rPr>
              <w:rFonts w:asciiTheme="minorHAnsi" w:hAnsiTheme="minorHAnsi" w:eastAsiaTheme="minorEastAsia" w:cstheme="minorBidi"/>
              <w:kern w:val="2"/>
              <w:szCs w:val="22"/>
              <w:highlight w:val="none"/>
            </w:rPr>
          </w:pPr>
          <w:r>
            <w:rPr>
              <w:highlight w:val="none"/>
            </w:rPr>
            <w:fldChar w:fldCharType="begin"/>
          </w:r>
          <w:r>
            <w:rPr>
              <w:highlight w:val="none"/>
            </w:rPr>
            <w:instrText xml:space="preserve"> HYPERLINK \l "_Toc25750674" </w:instrText>
          </w:r>
          <w:r>
            <w:rPr>
              <w:highlight w:val="none"/>
            </w:rPr>
            <w:fldChar w:fldCharType="separate"/>
          </w:r>
          <w:r>
            <w:rPr>
              <w:rStyle w:val="34"/>
              <w:highlight w:val="none"/>
            </w:rPr>
            <w:t xml:space="preserve">A  </w:t>
          </w:r>
          <w:r>
            <w:rPr>
              <w:rStyle w:val="34"/>
              <w:rFonts w:hint="eastAsia"/>
              <w:highlight w:val="none"/>
            </w:rPr>
            <w:t>资格审查文件</w:t>
          </w:r>
          <w:r>
            <w:rPr>
              <w:highlight w:val="none"/>
            </w:rPr>
            <w:tab/>
          </w:r>
          <w:r>
            <w:rPr>
              <w:highlight w:val="none"/>
            </w:rPr>
            <w:fldChar w:fldCharType="begin"/>
          </w:r>
          <w:r>
            <w:rPr>
              <w:highlight w:val="none"/>
            </w:rPr>
            <w:instrText xml:space="preserve"> PAGEREF _Toc25750674 \h </w:instrText>
          </w:r>
          <w:r>
            <w:rPr>
              <w:highlight w:val="none"/>
            </w:rPr>
            <w:fldChar w:fldCharType="separate"/>
          </w:r>
          <w:r>
            <w:rPr>
              <w:highlight w:val="none"/>
            </w:rPr>
            <w:t>43</w:t>
          </w:r>
          <w:r>
            <w:rPr>
              <w:highlight w:val="none"/>
            </w:rPr>
            <w:fldChar w:fldCharType="end"/>
          </w:r>
          <w:r>
            <w:rPr>
              <w:highlight w:val="none"/>
            </w:rPr>
            <w:fldChar w:fldCharType="end"/>
          </w:r>
        </w:p>
        <w:p>
          <w:pPr>
            <w:pStyle w:val="18"/>
            <w:shd w:val="clear"/>
            <w:tabs>
              <w:tab w:val="right" w:leader="dot" w:pos="9061"/>
            </w:tabs>
            <w:spacing w:line="240" w:lineRule="auto"/>
            <w:rPr>
              <w:rFonts w:asciiTheme="minorHAnsi" w:hAnsiTheme="minorHAnsi" w:eastAsiaTheme="minorEastAsia" w:cstheme="minorBidi"/>
              <w:kern w:val="2"/>
              <w:szCs w:val="22"/>
              <w:highlight w:val="none"/>
            </w:rPr>
          </w:pPr>
          <w:r>
            <w:rPr>
              <w:highlight w:val="none"/>
            </w:rPr>
            <w:fldChar w:fldCharType="begin"/>
          </w:r>
          <w:r>
            <w:rPr>
              <w:highlight w:val="none"/>
            </w:rPr>
            <w:instrText xml:space="preserve"> HYPERLINK \l "_Toc25750679" </w:instrText>
          </w:r>
          <w:r>
            <w:rPr>
              <w:highlight w:val="none"/>
            </w:rPr>
            <w:fldChar w:fldCharType="separate"/>
          </w:r>
          <w:r>
            <w:rPr>
              <w:rStyle w:val="34"/>
              <w:highlight w:val="none"/>
            </w:rPr>
            <w:t xml:space="preserve">B </w:t>
          </w:r>
          <w:r>
            <w:rPr>
              <w:rStyle w:val="34"/>
              <w:rFonts w:hint="eastAsia"/>
              <w:highlight w:val="none"/>
            </w:rPr>
            <w:t>价</w:t>
          </w:r>
          <w:r>
            <w:rPr>
              <w:rStyle w:val="34"/>
              <w:rFonts w:hint="eastAsia" w:ascii="宋体" w:hAnsi="宋体"/>
              <w:highlight w:val="none"/>
            </w:rPr>
            <w:t>格文件</w:t>
          </w:r>
          <w:r>
            <w:rPr>
              <w:highlight w:val="none"/>
            </w:rPr>
            <w:tab/>
          </w:r>
          <w:r>
            <w:rPr>
              <w:highlight w:val="none"/>
            </w:rPr>
            <w:fldChar w:fldCharType="begin"/>
          </w:r>
          <w:r>
            <w:rPr>
              <w:highlight w:val="none"/>
            </w:rPr>
            <w:instrText xml:space="preserve"> PAGEREF _Toc25750679 \h </w:instrText>
          </w:r>
          <w:r>
            <w:rPr>
              <w:highlight w:val="none"/>
            </w:rPr>
            <w:fldChar w:fldCharType="separate"/>
          </w:r>
          <w:r>
            <w:rPr>
              <w:highlight w:val="none"/>
            </w:rPr>
            <w:t>48</w:t>
          </w:r>
          <w:r>
            <w:rPr>
              <w:highlight w:val="none"/>
            </w:rPr>
            <w:fldChar w:fldCharType="end"/>
          </w:r>
          <w:r>
            <w:rPr>
              <w:highlight w:val="none"/>
            </w:rPr>
            <w:fldChar w:fldCharType="end"/>
          </w:r>
        </w:p>
        <w:p>
          <w:pPr>
            <w:pStyle w:val="18"/>
            <w:shd w:val="clear"/>
            <w:tabs>
              <w:tab w:val="right" w:leader="dot" w:pos="9061"/>
            </w:tabs>
            <w:spacing w:line="240" w:lineRule="auto"/>
            <w:rPr>
              <w:rFonts w:asciiTheme="minorHAnsi" w:hAnsiTheme="minorHAnsi" w:eastAsiaTheme="minorEastAsia" w:cstheme="minorBidi"/>
              <w:kern w:val="2"/>
              <w:szCs w:val="22"/>
              <w:highlight w:val="none"/>
            </w:rPr>
          </w:pPr>
          <w:r>
            <w:rPr>
              <w:highlight w:val="none"/>
            </w:rPr>
            <w:fldChar w:fldCharType="begin"/>
          </w:r>
          <w:r>
            <w:rPr>
              <w:highlight w:val="none"/>
            </w:rPr>
            <w:instrText xml:space="preserve"> HYPERLINK \l "_Toc25750683" </w:instrText>
          </w:r>
          <w:r>
            <w:rPr>
              <w:highlight w:val="none"/>
            </w:rPr>
            <w:fldChar w:fldCharType="separate"/>
          </w:r>
          <w:r>
            <w:rPr>
              <w:rStyle w:val="34"/>
              <w:highlight w:val="none"/>
            </w:rPr>
            <w:t>C</w:t>
          </w:r>
          <w:r>
            <w:rPr>
              <w:rStyle w:val="34"/>
              <w:rFonts w:hint="eastAsia" w:hAnsi="宋体"/>
              <w:highlight w:val="none"/>
            </w:rPr>
            <w:t>技术文件</w:t>
          </w:r>
          <w:r>
            <w:rPr>
              <w:highlight w:val="none"/>
            </w:rPr>
            <w:tab/>
          </w:r>
          <w:r>
            <w:rPr>
              <w:highlight w:val="none"/>
            </w:rPr>
            <w:fldChar w:fldCharType="begin"/>
          </w:r>
          <w:r>
            <w:rPr>
              <w:highlight w:val="none"/>
            </w:rPr>
            <w:instrText xml:space="preserve"> PAGEREF _Toc25750683 \h </w:instrText>
          </w:r>
          <w:r>
            <w:rPr>
              <w:highlight w:val="none"/>
            </w:rPr>
            <w:fldChar w:fldCharType="separate"/>
          </w:r>
          <w:r>
            <w:rPr>
              <w:highlight w:val="none"/>
            </w:rPr>
            <w:t>62</w:t>
          </w:r>
          <w:r>
            <w:rPr>
              <w:highlight w:val="none"/>
            </w:rPr>
            <w:fldChar w:fldCharType="end"/>
          </w:r>
          <w:r>
            <w:rPr>
              <w:highlight w:val="none"/>
            </w:rPr>
            <w:fldChar w:fldCharType="end"/>
          </w:r>
        </w:p>
        <w:p>
          <w:pPr>
            <w:pStyle w:val="18"/>
            <w:shd w:val="clear"/>
            <w:tabs>
              <w:tab w:val="right" w:leader="dot" w:pos="9061"/>
            </w:tabs>
            <w:spacing w:line="240" w:lineRule="auto"/>
            <w:rPr>
              <w:rFonts w:asciiTheme="minorHAnsi" w:hAnsiTheme="minorHAnsi" w:eastAsiaTheme="minorEastAsia" w:cstheme="minorBidi"/>
              <w:kern w:val="2"/>
              <w:szCs w:val="22"/>
              <w:highlight w:val="none"/>
            </w:rPr>
          </w:pPr>
          <w:r>
            <w:rPr>
              <w:highlight w:val="none"/>
            </w:rPr>
            <w:fldChar w:fldCharType="begin"/>
          </w:r>
          <w:r>
            <w:rPr>
              <w:highlight w:val="none"/>
            </w:rPr>
            <w:instrText xml:space="preserve"> HYPERLINK \l "_Toc25750688" </w:instrText>
          </w:r>
          <w:r>
            <w:rPr>
              <w:highlight w:val="none"/>
            </w:rPr>
            <w:fldChar w:fldCharType="separate"/>
          </w:r>
          <w:r>
            <w:rPr>
              <w:rStyle w:val="34"/>
              <w:rFonts w:hint="eastAsia" w:hAnsi="宋体"/>
              <w:b/>
              <w:highlight w:val="none"/>
            </w:rPr>
            <w:t>第五章用户需求书</w:t>
          </w:r>
          <w:r>
            <w:rPr>
              <w:highlight w:val="none"/>
            </w:rPr>
            <w:tab/>
          </w:r>
          <w:r>
            <w:rPr>
              <w:highlight w:val="none"/>
            </w:rPr>
            <w:fldChar w:fldCharType="begin"/>
          </w:r>
          <w:r>
            <w:rPr>
              <w:highlight w:val="none"/>
            </w:rPr>
            <w:instrText xml:space="preserve"> PAGEREF _Toc25750688 \h </w:instrText>
          </w:r>
          <w:r>
            <w:rPr>
              <w:highlight w:val="none"/>
            </w:rPr>
            <w:fldChar w:fldCharType="separate"/>
          </w:r>
          <w:r>
            <w:rPr>
              <w:highlight w:val="none"/>
            </w:rPr>
            <w:t>69</w:t>
          </w:r>
          <w:r>
            <w:rPr>
              <w:highlight w:val="none"/>
            </w:rPr>
            <w:fldChar w:fldCharType="end"/>
          </w:r>
          <w:r>
            <w:rPr>
              <w:highlight w:val="none"/>
            </w:rPr>
            <w:fldChar w:fldCharType="end"/>
          </w:r>
        </w:p>
        <w:p>
          <w:pPr>
            <w:pStyle w:val="18"/>
            <w:shd w:val="clear"/>
            <w:tabs>
              <w:tab w:val="right" w:leader="dot" w:pos="9061"/>
            </w:tabs>
            <w:spacing w:line="240" w:lineRule="auto"/>
            <w:rPr>
              <w:rFonts w:asciiTheme="minorHAnsi" w:hAnsiTheme="minorHAnsi" w:eastAsiaTheme="minorEastAsia" w:cstheme="minorBidi"/>
              <w:kern w:val="2"/>
              <w:szCs w:val="22"/>
              <w:highlight w:val="none"/>
            </w:rPr>
          </w:pPr>
          <w:r>
            <w:rPr>
              <w:highlight w:val="none"/>
            </w:rPr>
            <w:fldChar w:fldCharType="begin"/>
          </w:r>
          <w:r>
            <w:rPr>
              <w:highlight w:val="none"/>
            </w:rPr>
            <w:instrText xml:space="preserve"> HYPERLINK \l "_Toc25750691" </w:instrText>
          </w:r>
          <w:r>
            <w:rPr>
              <w:highlight w:val="none"/>
            </w:rPr>
            <w:fldChar w:fldCharType="separate"/>
          </w:r>
          <w:r>
            <w:rPr>
              <w:rStyle w:val="34"/>
              <w:rFonts w:hint="eastAsia" w:hAnsi="宋体"/>
              <w:b/>
              <w:highlight w:val="none"/>
            </w:rPr>
            <w:t>第六章评分办法</w:t>
          </w:r>
          <w:r>
            <w:rPr>
              <w:highlight w:val="none"/>
            </w:rPr>
            <w:tab/>
          </w:r>
          <w:r>
            <w:rPr>
              <w:highlight w:val="none"/>
            </w:rPr>
            <w:fldChar w:fldCharType="begin"/>
          </w:r>
          <w:r>
            <w:rPr>
              <w:highlight w:val="none"/>
            </w:rPr>
            <w:instrText xml:space="preserve"> PAGEREF _Toc25750691 \h </w:instrText>
          </w:r>
          <w:r>
            <w:rPr>
              <w:highlight w:val="none"/>
            </w:rPr>
            <w:fldChar w:fldCharType="separate"/>
          </w:r>
          <w:r>
            <w:rPr>
              <w:highlight w:val="none"/>
            </w:rPr>
            <w:t>105</w:t>
          </w:r>
          <w:r>
            <w:rPr>
              <w:highlight w:val="none"/>
            </w:rPr>
            <w:fldChar w:fldCharType="end"/>
          </w:r>
          <w:r>
            <w:rPr>
              <w:highlight w:val="none"/>
            </w:rPr>
            <w:fldChar w:fldCharType="end"/>
          </w:r>
        </w:p>
        <w:p>
          <w:pPr>
            <w:pStyle w:val="23"/>
            <w:shd w:val="clear"/>
            <w:tabs>
              <w:tab w:val="right" w:leader="dot" w:pos="9061"/>
            </w:tabs>
            <w:spacing w:line="240" w:lineRule="auto"/>
            <w:rPr>
              <w:rFonts w:asciiTheme="minorHAnsi" w:hAnsiTheme="minorHAnsi" w:eastAsiaTheme="minorEastAsia" w:cstheme="minorBidi"/>
              <w:kern w:val="2"/>
              <w:szCs w:val="22"/>
              <w:highlight w:val="none"/>
            </w:rPr>
          </w:pPr>
          <w:r>
            <w:rPr>
              <w:highlight w:val="none"/>
            </w:rPr>
            <w:fldChar w:fldCharType="begin"/>
          </w:r>
          <w:r>
            <w:rPr>
              <w:highlight w:val="none"/>
            </w:rPr>
            <w:instrText xml:space="preserve"> HYPERLINK \l "_Toc25750692" </w:instrText>
          </w:r>
          <w:r>
            <w:rPr>
              <w:highlight w:val="none"/>
            </w:rPr>
            <w:fldChar w:fldCharType="separate"/>
          </w:r>
          <w:r>
            <w:rPr>
              <w:rStyle w:val="34"/>
              <w:rFonts w:hint="eastAsia" w:ascii="宋体" w:hAnsi="宋体" w:cs="Arial"/>
              <w:b/>
              <w:bCs/>
              <w:highlight w:val="none"/>
            </w:rPr>
            <w:t>一、评审原则</w:t>
          </w:r>
          <w:r>
            <w:rPr>
              <w:highlight w:val="none"/>
            </w:rPr>
            <w:tab/>
          </w:r>
          <w:r>
            <w:rPr>
              <w:highlight w:val="none"/>
            </w:rPr>
            <w:fldChar w:fldCharType="begin"/>
          </w:r>
          <w:r>
            <w:rPr>
              <w:highlight w:val="none"/>
            </w:rPr>
            <w:instrText xml:space="preserve"> PAGEREF _Toc25750692 \h </w:instrText>
          </w:r>
          <w:r>
            <w:rPr>
              <w:highlight w:val="none"/>
            </w:rPr>
            <w:fldChar w:fldCharType="separate"/>
          </w:r>
          <w:r>
            <w:rPr>
              <w:highlight w:val="none"/>
            </w:rPr>
            <w:t>105</w:t>
          </w:r>
          <w:r>
            <w:rPr>
              <w:highlight w:val="none"/>
            </w:rPr>
            <w:fldChar w:fldCharType="end"/>
          </w:r>
          <w:r>
            <w:rPr>
              <w:highlight w:val="none"/>
            </w:rPr>
            <w:fldChar w:fldCharType="end"/>
          </w:r>
        </w:p>
        <w:p>
          <w:pPr>
            <w:pStyle w:val="23"/>
            <w:shd w:val="clear"/>
            <w:tabs>
              <w:tab w:val="right" w:leader="dot" w:pos="9061"/>
            </w:tabs>
            <w:spacing w:line="240" w:lineRule="auto"/>
            <w:rPr>
              <w:rFonts w:ascii="宋体" w:hAnsi="宋体"/>
              <w:highlight w:val="none"/>
            </w:rPr>
          </w:pPr>
          <w:r>
            <w:rPr>
              <w:highlight w:val="none"/>
            </w:rPr>
            <w:fldChar w:fldCharType="begin"/>
          </w:r>
          <w:r>
            <w:rPr>
              <w:highlight w:val="none"/>
            </w:rPr>
            <w:instrText xml:space="preserve"> HYPERLINK \l "_Toc25750693" </w:instrText>
          </w:r>
          <w:r>
            <w:rPr>
              <w:highlight w:val="none"/>
            </w:rPr>
            <w:fldChar w:fldCharType="separate"/>
          </w:r>
          <w:r>
            <w:rPr>
              <w:rStyle w:val="34"/>
              <w:rFonts w:hint="eastAsia" w:ascii="宋体" w:hAnsi="宋体" w:cs="Arial"/>
              <w:b/>
              <w:bCs/>
              <w:highlight w:val="none"/>
            </w:rPr>
            <w:t>二、评定方法</w:t>
          </w:r>
          <w:r>
            <w:rPr>
              <w:highlight w:val="none"/>
            </w:rPr>
            <w:tab/>
          </w:r>
          <w:r>
            <w:rPr>
              <w:highlight w:val="none"/>
            </w:rPr>
            <w:fldChar w:fldCharType="begin"/>
          </w:r>
          <w:r>
            <w:rPr>
              <w:highlight w:val="none"/>
            </w:rPr>
            <w:instrText xml:space="preserve"> PAGEREF _Toc25750693 \h </w:instrText>
          </w:r>
          <w:r>
            <w:rPr>
              <w:highlight w:val="none"/>
            </w:rPr>
            <w:fldChar w:fldCharType="separate"/>
          </w:r>
          <w:r>
            <w:rPr>
              <w:highlight w:val="none"/>
            </w:rPr>
            <w:t>105</w:t>
          </w:r>
          <w:r>
            <w:rPr>
              <w:highlight w:val="none"/>
            </w:rPr>
            <w:fldChar w:fldCharType="end"/>
          </w:r>
          <w:r>
            <w:rPr>
              <w:highlight w:val="none"/>
            </w:rPr>
            <w:fldChar w:fldCharType="end"/>
          </w:r>
          <w:r>
            <w:rPr>
              <w:rFonts w:ascii="宋体" w:hAnsi="宋体"/>
              <w:b/>
              <w:bCs/>
              <w:highlight w:val="none"/>
              <w:lang w:val="zh-CN"/>
            </w:rPr>
            <w:fldChar w:fldCharType="end"/>
          </w:r>
        </w:p>
      </w:sdtContent>
    </w:sdt>
    <w:p>
      <w:pPr>
        <w:pStyle w:val="2"/>
        <w:pageBreakBefore/>
        <w:shd w:val="clear"/>
        <w:ind w:left="0" w:leftChars="0" w:right="-57" w:firstLine="0" w:firstLineChars="0"/>
        <w:jc w:val="both"/>
        <w:outlineLvl w:val="0"/>
        <w:rPr>
          <w:rStyle w:val="42"/>
          <w:rFonts w:ascii="宋体" w:hAnsi="宋体" w:eastAsia="宋体"/>
          <w:highlight w:val="none"/>
        </w:rPr>
        <w:sectPr>
          <w:footerReference r:id="rId7" w:type="default"/>
          <w:pgSz w:w="11905" w:h="16838"/>
          <w:pgMar w:top="1417" w:right="1417" w:bottom="1417" w:left="1417" w:header="454" w:footer="567" w:gutter="0"/>
          <w:pgNumType w:fmt="decimal" w:start="1"/>
          <w:cols w:space="720" w:num="1"/>
          <w:docGrid w:linePitch="312" w:charSpace="0"/>
        </w:sectPr>
      </w:pPr>
      <w:bookmarkStart w:id="0" w:name="_Toc481"/>
      <w:bookmarkStart w:id="1" w:name="_Toc26939"/>
      <w:bookmarkStart w:id="2" w:name="_Toc3400"/>
      <w:bookmarkStart w:id="3" w:name="_Toc25355"/>
      <w:bookmarkStart w:id="4" w:name="_Toc14762"/>
      <w:bookmarkStart w:id="5" w:name="_Toc15211"/>
      <w:bookmarkStart w:id="6" w:name="_Toc26620"/>
      <w:bookmarkStart w:id="7" w:name="_Toc5910"/>
      <w:bookmarkStart w:id="8" w:name="_Toc30647"/>
      <w:bookmarkStart w:id="9" w:name="_Toc17906"/>
      <w:bookmarkStart w:id="10" w:name="_Toc375039061"/>
      <w:bookmarkStart w:id="11" w:name="_Toc492478714"/>
      <w:bookmarkStart w:id="12" w:name="_Toc23476"/>
      <w:bookmarkStart w:id="13" w:name="_Toc237"/>
      <w:bookmarkStart w:id="14" w:name="_Toc3658"/>
      <w:bookmarkStart w:id="15" w:name="_Toc1363"/>
      <w:bookmarkStart w:id="16" w:name="_Toc1227"/>
      <w:bookmarkStart w:id="17" w:name="_Toc25750588"/>
      <w:bookmarkStart w:id="18" w:name="_Toc23367"/>
      <w:bookmarkStart w:id="19" w:name="_Toc26192"/>
    </w:p>
    <w:p>
      <w:pPr>
        <w:pStyle w:val="2"/>
        <w:pageBreakBefore/>
        <w:shd w:val="clear"/>
        <w:ind w:right="-57"/>
        <w:jc w:val="center"/>
        <w:outlineLvl w:val="0"/>
        <w:rPr>
          <w:rStyle w:val="42"/>
          <w:rFonts w:ascii="宋体" w:hAnsi="宋体" w:eastAsia="宋体"/>
          <w:highlight w:val="none"/>
        </w:rPr>
      </w:pPr>
      <w:r>
        <w:rPr>
          <w:rStyle w:val="42"/>
          <w:rFonts w:hint="eastAsia" w:ascii="宋体" w:hAnsi="宋体" w:eastAsia="宋体"/>
          <w:highlight w:val="none"/>
        </w:rPr>
        <w:t>第一章比选公告</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pPr>
        <w:shd w:val="clear"/>
        <w:spacing w:before="0" w:after="0" w:afterAutospacing="0"/>
        <w:ind w:right="-57"/>
        <w:jc w:val="center"/>
        <w:rPr>
          <w:highlight w:val="none"/>
          <w:u w:val="none"/>
        </w:rPr>
      </w:pPr>
      <w:r>
        <w:rPr>
          <w:rFonts w:hint="eastAsia" w:ascii="宋体" w:hAnsi="宋体"/>
          <w:b/>
          <w:sz w:val="28"/>
          <w:szCs w:val="28"/>
          <w:highlight w:val="none"/>
          <w:u w:val="none"/>
        </w:rPr>
        <w:t>控制中心电动汽车充电桩喷淋系统采购项目比选公告</w:t>
      </w:r>
    </w:p>
    <w:p>
      <w:pPr>
        <w:shd w:val="clear"/>
        <w:spacing w:before="0" w:after="0" w:afterAutospacing="0"/>
        <w:ind w:left="0" w:right="0" w:firstLine="422" w:firstLineChars="200"/>
        <w:rPr>
          <w:rFonts w:ascii="宋体" w:hAnsi="宋体"/>
          <w:b/>
          <w:highlight w:val="none"/>
          <w:u w:val="none"/>
        </w:rPr>
      </w:pPr>
      <w:bookmarkStart w:id="20" w:name="OLE_LINK4"/>
      <w:bookmarkEnd w:id="20"/>
      <w:r>
        <w:rPr>
          <w:rFonts w:hint="eastAsia" w:ascii="宋体" w:hAnsi="宋体"/>
          <w:b/>
          <w:highlight w:val="none"/>
          <w:u w:val="none"/>
        </w:rPr>
        <w:t>1.比选条件</w:t>
      </w:r>
    </w:p>
    <w:p>
      <w:pPr>
        <w:shd w:val="clear"/>
        <w:spacing w:before="0" w:after="0" w:afterAutospacing="0"/>
        <w:ind w:left="0" w:right="0" w:firstLine="420" w:firstLineChars="200"/>
        <w:rPr>
          <w:rFonts w:ascii="宋体" w:hAnsi="宋体"/>
          <w:color w:val="auto"/>
          <w:highlight w:val="none"/>
          <w:u w:val="none"/>
        </w:rPr>
      </w:pPr>
      <w:r>
        <w:rPr>
          <w:rFonts w:hint="eastAsia" w:ascii="宋体" w:hAnsi="宋体"/>
          <w:color w:val="auto"/>
          <w:highlight w:val="none"/>
          <w:u w:val="none"/>
        </w:rPr>
        <w:t>本比选项目控制中心电动汽车充电桩喷淋系统采购项目比选人为</w:t>
      </w:r>
      <w:r>
        <w:rPr>
          <w:rFonts w:ascii="宋体" w:hAnsi="宋体"/>
          <w:color w:val="auto"/>
          <w:highlight w:val="none"/>
          <w:u w:val="none"/>
        </w:rPr>
        <w:t>南宁轨道交通</w:t>
      </w:r>
      <w:r>
        <w:rPr>
          <w:rFonts w:hint="eastAsia" w:ascii="宋体" w:hAnsi="宋体"/>
          <w:color w:val="auto"/>
          <w:highlight w:val="none"/>
          <w:u w:val="none"/>
        </w:rPr>
        <w:t>运营有限</w:t>
      </w:r>
      <w:r>
        <w:rPr>
          <w:rFonts w:ascii="宋体" w:hAnsi="宋体"/>
          <w:color w:val="auto"/>
          <w:highlight w:val="none"/>
          <w:u w:val="none"/>
        </w:rPr>
        <w:t>公司</w:t>
      </w:r>
      <w:r>
        <w:rPr>
          <w:rFonts w:hint="eastAsia" w:ascii="宋体" w:hAnsi="宋体"/>
          <w:color w:val="auto"/>
          <w:highlight w:val="none"/>
          <w:u w:val="none"/>
        </w:rPr>
        <w:t>，比选项目资金来源为建设资金（非工程概算）。</w:t>
      </w:r>
    </w:p>
    <w:p>
      <w:pPr>
        <w:shd w:val="clear"/>
        <w:spacing w:before="0" w:after="0" w:afterAutospacing="0"/>
        <w:ind w:left="0" w:right="0" w:firstLine="422" w:firstLineChars="200"/>
        <w:rPr>
          <w:rFonts w:ascii="宋体" w:hAnsi="宋体"/>
          <w:b/>
          <w:color w:val="auto"/>
          <w:highlight w:val="none"/>
          <w:u w:val="none"/>
        </w:rPr>
      </w:pPr>
      <w:r>
        <w:rPr>
          <w:rFonts w:hint="eastAsia" w:ascii="宋体" w:hAnsi="宋体"/>
          <w:b/>
          <w:color w:val="auto"/>
          <w:highlight w:val="none"/>
          <w:u w:val="none"/>
        </w:rPr>
        <w:t>2.项目概况与比选范围</w:t>
      </w:r>
    </w:p>
    <w:p>
      <w:pPr>
        <w:shd w:val="clear"/>
        <w:spacing w:before="0" w:after="0" w:afterAutospacing="0"/>
        <w:ind w:left="0" w:right="0" w:firstLine="420" w:firstLineChars="200"/>
        <w:rPr>
          <w:rFonts w:ascii="宋体" w:hAnsi="宋体"/>
          <w:color w:val="auto"/>
          <w:highlight w:val="none"/>
          <w:u w:val="none"/>
        </w:rPr>
      </w:pPr>
      <w:r>
        <w:rPr>
          <w:rFonts w:hint="eastAsia" w:ascii="宋体" w:hAnsi="宋体"/>
          <w:color w:val="auto"/>
          <w:highlight w:val="none"/>
          <w:u w:val="none"/>
        </w:rPr>
        <w:t>项目编号：</w:t>
      </w:r>
      <w:r>
        <w:rPr>
          <w:rFonts w:ascii="宋体" w:hAnsi="宋体"/>
          <w:color w:val="auto"/>
          <w:highlight w:val="none"/>
          <w:u w:val="none"/>
        </w:rPr>
        <w:t>202306250002</w:t>
      </w:r>
    </w:p>
    <w:p>
      <w:pPr>
        <w:shd w:val="clear"/>
        <w:spacing w:before="0" w:after="0" w:afterAutospacing="0"/>
        <w:ind w:left="0" w:right="0" w:firstLine="420" w:firstLineChars="200"/>
        <w:rPr>
          <w:rFonts w:ascii="宋体" w:hAnsi="宋体"/>
          <w:color w:val="auto"/>
          <w:highlight w:val="none"/>
          <w:u w:val="none"/>
        </w:rPr>
      </w:pPr>
      <w:r>
        <w:rPr>
          <w:rFonts w:hint="eastAsia" w:ascii="宋体" w:hAnsi="宋体"/>
          <w:color w:val="auto"/>
          <w:highlight w:val="none"/>
          <w:u w:val="none"/>
        </w:rPr>
        <w:t>项目名称：控制中心电动汽车充电桩喷淋系统采购项目</w:t>
      </w:r>
    </w:p>
    <w:p>
      <w:pPr>
        <w:shd w:val="clear"/>
        <w:spacing w:before="0" w:after="0" w:afterAutospacing="0"/>
        <w:ind w:left="0" w:right="0" w:firstLine="420" w:firstLineChars="200"/>
        <w:rPr>
          <w:rFonts w:ascii="宋体" w:hAnsi="宋体"/>
          <w:color w:val="auto"/>
          <w:highlight w:val="none"/>
          <w:u w:val="none"/>
        </w:rPr>
      </w:pPr>
      <w:r>
        <w:rPr>
          <w:rFonts w:hint="eastAsia" w:ascii="宋体" w:hAnsi="宋体"/>
          <w:color w:val="auto"/>
          <w:highlight w:val="none"/>
          <w:u w:val="none"/>
        </w:rPr>
        <w:t>上限控制价：本项目不含税上限控制价为人民币35</w:t>
      </w:r>
      <w:r>
        <w:rPr>
          <w:rFonts w:hint="eastAsia" w:ascii="宋体" w:hAnsi="宋体"/>
          <w:color w:val="auto"/>
          <w:highlight w:val="none"/>
          <w:u w:val="none"/>
          <w:lang w:val="en-US" w:eastAsia="zh-CN"/>
        </w:rPr>
        <w:t>3000.00</w:t>
      </w:r>
      <w:r>
        <w:rPr>
          <w:rFonts w:hint="eastAsia" w:ascii="宋体" w:hAnsi="宋体"/>
          <w:color w:val="auto"/>
          <w:highlight w:val="none"/>
          <w:u w:val="none"/>
        </w:rPr>
        <w:t>元。</w:t>
      </w:r>
    </w:p>
    <w:p>
      <w:pPr>
        <w:shd w:val="clear"/>
        <w:spacing w:before="0" w:after="0" w:afterAutospacing="0"/>
        <w:ind w:left="0" w:right="0" w:firstLine="420" w:firstLineChars="200"/>
        <w:rPr>
          <w:rFonts w:ascii="宋体" w:hAnsi="宋体"/>
          <w:color w:val="auto"/>
          <w:highlight w:val="none"/>
          <w:u w:val="none"/>
        </w:rPr>
      </w:pPr>
      <w:r>
        <w:rPr>
          <w:rFonts w:hint="eastAsia" w:ascii="宋体" w:hAnsi="宋体"/>
          <w:color w:val="auto"/>
          <w:highlight w:val="none"/>
          <w:u w:val="none"/>
        </w:rPr>
        <w:t>工期：共</w:t>
      </w:r>
      <w:r>
        <w:rPr>
          <w:rFonts w:ascii="宋体" w:hAnsi="宋体"/>
          <w:color w:val="auto"/>
          <w:highlight w:val="none"/>
          <w:u w:val="none"/>
        </w:rPr>
        <w:t>60</w:t>
      </w:r>
      <w:r>
        <w:rPr>
          <w:rFonts w:hint="eastAsia" w:ascii="宋体" w:hAnsi="宋体"/>
          <w:color w:val="auto"/>
          <w:highlight w:val="none"/>
          <w:u w:val="none"/>
        </w:rPr>
        <w:t>天（如遇特殊情况或极端天气则工期顺延），具体开工日期以比选人开工令发布时间为准。</w:t>
      </w:r>
    </w:p>
    <w:p>
      <w:pPr>
        <w:shd w:val="clear"/>
        <w:spacing w:before="0" w:after="0" w:afterAutospacing="0"/>
        <w:ind w:left="0" w:right="0" w:firstLine="420" w:firstLineChars="200"/>
        <w:rPr>
          <w:rFonts w:ascii="宋体" w:hAnsi="宋体"/>
          <w:color w:val="auto"/>
          <w:highlight w:val="none"/>
          <w:u w:val="none"/>
        </w:rPr>
      </w:pPr>
      <w:r>
        <w:rPr>
          <w:rFonts w:hint="eastAsia" w:ascii="宋体" w:hAnsi="宋体"/>
          <w:color w:val="auto"/>
          <w:highlight w:val="none"/>
          <w:u w:val="none"/>
        </w:rPr>
        <w:t>项目地点：广西壮族自治区南宁市云景路</w:t>
      </w:r>
      <w:r>
        <w:rPr>
          <w:rFonts w:ascii="宋体" w:hAnsi="宋体"/>
          <w:color w:val="auto"/>
          <w:highlight w:val="none"/>
          <w:u w:val="none"/>
        </w:rPr>
        <w:t>69</w:t>
      </w:r>
      <w:r>
        <w:rPr>
          <w:rFonts w:hint="eastAsia" w:ascii="宋体" w:hAnsi="宋体"/>
          <w:color w:val="auto"/>
          <w:highlight w:val="none"/>
          <w:u w:val="none"/>
        </w:rPr>
        <w:t>号南宁轨道交通运营有限公司控制中心，具体详见</w:t>
      </w:r>
      <w:r>
        <w:rPr>
          <w:rFonts w:hint="eastAsia" w:ascii="宋体" w:hAnsi="宋体"/>
          <w:color w:val="auto"/>
          <w:highlight w:val="none"/>
          <w:u w:val="none"/>
          <w:lang w:val="en-US" w:eastAsia="zh-CN"/>
        </w:rPr>
        <w:t>用户</w:t>
      </w:r>
      <w:r>
        <w:rPr>
          <w:rFonts w:hint="eastAsia" w:ascii="宋体" w:hAnsi="宋体"/>
          <w:color w:val="auto"/>
          <w:highlight w:val="none"/>
          <w:u w:val="none"/>
        </w:rPr>
        <w:t>需求书。</w:t>
      </w:r>
    </w:p>
    <w:p>
      <w:pPr>
        <w:shd w:val="clear"/>
        <w:spacing w:before="0" w:after="0" w:afterAutospacing="0"/>
        <w:ind w:left="0" w:right="0" w:firstLine="420" w:firstLineChars="200"/>
        <w:rPr>
          <w:rFonts w:ascii="宋体" w:hAnsi="宋体"/>
          <w:color w:val="auto"/>
          <w:highlight w:val="none"/>
          <w:u w:val="none"/>
        </w:rPr>
      </w:pPr>
      <w:r>
        <w:rPr>
          <w:rFonts w:hint="eastAsia" w:ascii="宋体" w:hAnsi="宋体"/>
          <w:color w:val="auto"/>
          <w:highlight w:val="none"/>
          <w:u w:val="none"/>
        </w:rPr>
        <w:t>比选范围：南宁轨道交通运营有限公司控制中心内70个电动汽车充电桩车棚上方加装自动喷淋灭火系统,具体详见</w:t>
      </w:r>
      <w:r>
        <w:rPr>
          <w:rFonts w:hint="eastAsia" w:ascii="宋体" w:hAnsi="宋体"/>
          <w:color w:val="auto"/>
          <w:highlight w:val="none"/>
          <w:u w:val="none"/>
          <w:lang w:val="en-US" w:eastAsia="zh-CN"/>
        </w:rPr>
        <w:t>用户</w:t>
      </w:r>
      <w:r>
        <w:rPr>
          <w:rFonts w:hint="eastAsia" w:ascii="宋体" w:hAnsi="宋体"/>
          <w:color w:val="auto"/>
          <w:highlight w:val="none"/>
          <w:u w:val="none"/>
        </w:rPr>
        <w:t>需求书。</w:t>
      </w:r>
    </w:p>
    <w:p>
      <w:pPr>
        <w:shd w:val="clear"/>
        <w:spacing w:before="0" w:after="0" w:afterAutospacing="0"/>
        <w:ind w:left="0" w:right="0" w:firstLine="422" w:firstLineChars="200"/>
        <w:rPr>
          <w:rFonts w:ascii="宋体" w:hAnsi="宋体"/>
          <w:highlight w:val="none"/>
        </w:rPr>
      </w:pPr>
      <w:r>
        <w:rPr>
          <w:rFonts w:hint="eastAsia" w:ascii="宋体" w:hAnsi="宋体"/>
          <w:b/>
          <w:highlight w:val="none"/>
        </w:rPr>
        <w:t>3.比选申请人资格要求</w:t>
      </w:r>
    </w:p>
    <w:p>
      <w:pPr>
        <w:shd w:val="clear"/>
        <w:spacing w:before="0" w:after="0" w:afterAutospacing="0"/>
        <w:ind w:left="0" w:right="0" w:firstLine="420" w:firstLineChars="200"/>
        <w:rPr>
          <w:rFonts w:ascii="宋体" w:hAnsi="宋体"/>
          <w:highlight w:val="none"/>
        </w:rPr>
      </w:pPr>
      <w:r>
        <w:rPr>
          <w:rFonts w:hint="eastAsia" w:ascii="宋体" w:hAnsi="宋体"/>
          <w:highlight w:val="none"/>
        </w:rPr>
        <w:t>3.1比选申请人为中华人民共和国境内依法设立的法人或其他组织（若以分公司名义参与投标，必须出具总公司授权参与的证明）。</w:t>
      </w:r>
    </w:p>
    <w:p>
      <w:pPr>
        <w:shd w:val="clear"/>
        <w:spacing w:before="0" w:after="0" w:afterAutospacing="0"/>
        <w:ind w:left="0" w:right="0" w:firstLine="420" w:firstLineChars="200"/>
        <w:rPr>
          <w:rFonts w:ascii="宋体" w:hAnsi="宋体"/>
          <w:highlight w:val="none"/>
        </w:rPr>
      </w:pPr>
      <w:r>
        <w:rPr>
          <w:rFonts w:hint="eastAsia" w:ascii="宋体" w:hAnsi="宋体"/>
          <w:highlight w:val="none"/>
        </w:rPr>
        <w:t>3.</w:t>
      </w:r>
      <w:r>
        <w:rPr>
          <w:rFonts w:ascii="宋体" w:hAnsi="宋体"/>
          <w:highlight w:val="none"/>
        </w:rPr>
        <w:t>2</w:t>
      </w:r>
      <w:r>
        <w:rPr>
          <w:rFonts w:hint="eastAsia" w:ascii="宋体" w:hAnsi="宋体"/>
          <w:highlight w:val="none"/>
        </w:rPr>
        <w:t>业绩条件：比选申请人自</w:t>
      </w:r>
      <w:r>
        <w:rPr>
          <w:rFonts w:hint="eastAsia" w:ascii="宋体" w:hAnsi="宋体"/>
          <w:color w:val="auto"/>
          <w:highlight w:val="none"/>
        </w:rPr>
        <w:t>201</w:t>
      </w:r>
      <w:r>
        <w:rPr>
          <w:rFonts w:ascii="宋体" w:hAnsi="宋体"/>
          <w:color w:val="auto"/>
          <w:highlight w:val="none"/>
        </w:rPr>
        <w:t>8</w:t>
      </w:r>
      <w:r>
        <w:rPr>
          <w:rFonts w:hint="eastAsia" w:ascii="宋体" w:hAnsi="宋体"/>
          <w:color w:val="auto"/>
          <w:highlight w:val="none"/>
        </w:rPr>
        <w:t>年1月1日（备注：</w:t>
      </w:r>
      <w:r>
        <w:rPr>
          <w:rFonts w:hint="eastAsia" w:ascii="宋体" w:hAnsi="宋体"/>
          <w:highlight w:val="none"/>
        </w:rPr>
        <w:t>近5年）至截标时间前至少承接过1项合同金额不少于10万元的消防设施安装项目。</w:t>
      </w:r>
    </w:p>
    <w:p>
      <w:pPr>
        <w:shd w:val="clear"/>
        <w:spacing w:before="0" w:after="0" w:afterAutospacing="0"/>
        <w:ind w:left="0" w:right="0" w:firstLine="420" w:firstLineChars="200"/>
        <w:rPr>
          <w:rFonts w:hint="eastAsia" w:ascii="宋体" w:hAnsi="宋体"/>
          <w:color w:val="auto"/>
          <w:highlight w:val="none"/>
        </w:rPr>
      </w:pPr>
      <w:r>
        <w:rPr>
          <w:rFonts w:hint="eastAsia" w:ascii="宋体" w:hAnsi="宋体"/>
          <w:highlight w:val="none"/>
        </w:rPr>
        <w:t>3.</w:t>
      </w:r>
      <w:r>
        <w:rPr>
          <w:rFonts w:ascii="宋体" w:hAnsi="宋体"/>
          <w:highlight w:val="none"/>
        </w:rPr>
        <w:t>3</w:t>
      </w:r>
      <w:r>
        <w:rPr>
          <w:rFonts w:hint="eastAsia" w:ascii="宋体" w:hAnsi="宋体"/>
          <w:highlight w:val="none"/>
        </w:rPr>
        <w:t>比选申请人没有处于被行政主管部门或业主取消比选申请资格的处罚期内，且没有处于被责令停业，财产被接管、破产状态；</w:t>
      </w:r>
      <w:r>
        <w:rPr>
          <w:rFonts w:hint="eastAsia" w:ascii="宋体" w:hAnsi="宋体"/>
          <w:color w:val="auto"/>
          <w:highlight w:val="none"/>
        </w:rPr>
        <w:t>自2018年1月1日至开标时间内没有骗取中标、严重违约或重大质量安全责任事故的情况。</w:t>
      </w:r>
    </w:p>
    <w:p>
      <w:pPr>
        <w:shd w:val="clear"/>
        <w:spacing w:before="0" w:after="0" w:afterAutospacing="0"/>
        <w:ind w:left="0" w:right="0" w:firstLine="420" w:firstLineChars="200"/>
        <w:rPr>
          <w:rFonts w:hint="eastAsia" w:ascii="宋体" w:hAnsi="宋体"/>
          <w:highlight w:val="none"/>
        </w:rPr>
      </w:pPr>
      <w:r>
        <w:rPr>
          <w:rFonts w:hint="eastAsia" w:ascii="宋体" w:hAnsi="宋体"/>
          <w:highlight w:val="none"/>
        </w:rPr>
        <w:t>3.</w:t>
      </w:r>
      <w:r>
        <w:rPr>
          <w:rFonts w:hint="eastAsia" w:ascii="宋体" w:hAnsi="宋体"/>
          <w:highlight w:val="none"/>
          <w:lang w:val="en-US" w:eastAsia="zh-CN"/>
        </w:rPr>
        <w:t>4</w:t>
      </w:r>
      <w:r>
        <w:rPr>
          <w:rFonts w:hint="eastAsia" w:ascii="宋体" w:hAnsi="宋体"/>
          <w:highlight w:val="none"/>
        </w:rPr>
        <w:t>比选申请人应具有消防设施工程专业承包二级或以上资质。</w:t>
      </w:r>
    </w:p>
    <w:p>
      <w:pPr>
        <w:shd w:val="clear"/>
        <w:spacing w:before="0" w:after="0" w:afterAutospacing="0"/>
        <w:ind w:left="0" w:right="0" w:firstLine="420" w:firstLineChars="200"/>
        <w:rPr>
          <w:rFonts w:hint="eastAsia" w:ascii="宋体" w:hAnsi="宋体"/>
          <w:highlight w:val="none"/>
        </w:rPr>
      </w:pPr>
      <w:r>
        <w:rPr>
          <w:rFonts w:hint="eastAsia" w:ascii="宋体" w:hAnsi="宋体"/>
          <w:highlight w:val="none"/>
        </w:rPr>
        <w:t>3.</w:t>
      </w:r>
      <w:r>
        <w:rPr>
          <w:rFonts w:hint="eastAsia" w:ascii="宋体" w:hAnsi="宋体"/>
          <w:highlight w:val="none"/>
          <w:lang w:val="en-US" w:eastAsia="zh-CN"/>
        </w:rPr>
        <w:t>5</w:t>
      </w:r>
      <w:r>
        <w:rPr>
          <w:rFonts w:hint="eastAsia" w:ascii="宋体" w:hAnsi="宋体"/>
          <w:highlight w:val="none"/>
        </w:rPr>
        <w:t>单位负责人为同一人或者存在控股、管理关系的不同单位，不得参加同一标段比选申请或者未划分标段的同一比选项目比选申请。</w:t>
      </w:r>
    </w:p>
    <w:p>
      <w:pPr>
        <w:shd w:val="clear"/>
        <w:spacing w:before="0" w:after="0" w:afterAutospacing="0"/>
        <w:ind w:left="0" w:right="0" w:firstLine="420" w:firstLineChars="200"/>
        <w:rPr>
          <w:rFonts w:hint="eastAsia" w:ascii="宋体" w:hAnsi="宋体"/>
          <w:highlight w:val="none"/>
        </w:rPr>
      </w:pPr>
      <w:r>
        <w:rPr>
          <w:rFonts w:hint="eastAsia" w:ascii="宋体" w:hAnsi="宋体"/>
          <w:highlight w:val="none"/>
        </w:rPr>
        <w:t>3.</w:t>
      </w:r>
      <w:r>
        <w:rPr>
          <w:rFonts w:hint="eastAsia" w:ascii="宋体" w:hAnsi="宋体"/>
          <w:highlight w:val="none"/>
          <w:lang w:val="en-US" w:eastAsia="zh-CN"/>
        </w:rPr>
        <w:t>6</w:t>
      </w:r>
      <w:r>
        <w:rPr>
          <w:rFonts w:hint="eastAsia" w:ascii="宋体" w:hAnsi="宋体"/>
          <w:highlight w:val="none"/>
        </w:rPr>
        <w:t>本项目不接受联合体比选申请。</w:t>
      </w:r>
    </w:p>
    <w:p>
      <w:pPr>
        <w:shd w:val="clear"/>
        <w:spacing w:before="0" w:after="0" w:afterAutospacing="0"/>
        <w:ind w:left="842" w:leftChars="200" w:right="0" w:hanging="422" w:hangingChars="200"/>
        <w:rPr>
          <w:rFonts w:ascii="宋体" w:hAnsi="宋体"/>
          <w:b/>
          <w:highlight w:val="none"/>
        </w:rPr>
      </w:pPr>
      <w:r>
        <w:rPr>
          <w:rFonts w:hint="eastAsia" w:ascii="宋体" w:hAnsi="宋体"/>
          <w:b/>
          <w:highlight w:val="none"/>
        </w:rPr>
        <w:t>4.资格审查方式</w:t>
      </w:r>
    </w:p>
    <w:p>
      <w:pPr>
        <w:shd w:val="clear"/>
        <w:spacing w:before="0" w:after="0" w:afterAutospacing="0"/>
        <w:ind w:left="0" w:right="0" w:firstLine="420" w:firstLineChars="200"/>
        <w:rPr>
          <w:rFonts w:ascii="宋体" w:hAnsi="宋体"/>
          <w:color w:val="FF0000"/>
          <w:highlight w:val="none"/>
        </w:rPr>
      </w:pPr>
      <w:r>
        <w:rPr>
          <w:rFonts w:hint="eastAsia" w:ascii="宋体" w:hAnsi="宋体"/>
          <w:highlight w:val="none"/>
        </w:rPr>
        <w:t>本项目对比选申请人的资格审查采用资格后审方式，只有资格审查合格的比选申请人才有可能被授予合同。</w:t>
      </w:r>
    </w:p>
    <w:p>
      <w:pPr>
        <w:shd w:val="clear"/>
        <w:spacing w:before="0" w:after="0" w:afterAutospacing="0"/>
        <w:ind w:left="0" w:right="0" w:firstLine="422" w:firstLineChars="200"/>
        <w:rPr>
          <w:rFonts w:ascii="宋体" w:hAnsi="宋体"/>
          <w:b/>
          <w:highlight w:val="none"/>
        </w:rPr>
      </w:pPr>
      <w:r>
        <w:rPr>
          <w:rFonts w:hint="eastAsia" w:ascii="宋体" w:hAnsi="宋体"/>
          <w:b/>
          <w:highlight w:val="none"/>
        </w:rPr>
        <w:t>5.比选文件的获取</w:t>
      </w:r>
    </w:p>
    <w:p>
      <w:pPr>
        <w:shd w:val="clear"/>
        <w:spacing w:before="0" w:after="0" w:afterAutospacing="0"/>
        <w:ind w:left="0" w:right="0" w:firstLine="420" w:firstLineChars="200"/>
        <w:rPr>
          <w:rFonts w:ascii="宋体" w:hAnsi="宋体"/>
          <w:highlight w:val="none"/>
        </w:rPr>
        <w:sectPr>
          <w:footerReference r:id="rId8" w:type="default"/>
          <w:pgSz w:w="11905" w:h="16838"/>
          <w:pgMar w:top="1417" w:right="1417" w:bottom="1417" w:left="1417" w:header="454" w:footer="567" w:gutter="0"/>
          <w:pgNumType w:fmt="decimal"/>
          <w:cols w:space="720" w:num="1"/>
          <w:docGrid w:linePitch="312" w:charSpace="0"/>
        </w:sectPr>
      </w:pPr>
      <w:r>
        <w:rPr>
          <w:rFonts w:hint="eastAsia" w:ascii="宋体" w:hAnsi="宋体"/>
          <w:highlight w:val="none"/>
        </w:rPr>
        <w:t>5.1比选文件获取</w:t>
      </w:r>
    </w:p>
    <w:p>
      <w:pPr>
        <w:shd w:val="clear"/>
        <w:spacing w:before="0" w:after="0" w:afterAutospacing="0"/>
        <w:ind w:left="0" w:leftChars="0" w:right="0" w:firstLine="0" w:firstLineChars="0"/>
        <w:rPr>
          <w:rFonts w:ascii="宋体" w:hAnsi="宋体"/>
          <w:highlight w:val="none"/>
        </w:rPr>
      </w:pPr>
      <w:r>
        <w:rPr>
          <w:rFonts w:hint="eastAsia" w:ascii="宋体" w:hAnsi="宋体"/>
          <w:highlight w:val="none"/>
        </w:rPr>
        <w:t>本项目不发放纸质文件，请各比选申请人自行网上下载。下载网址：南宁轨道交通集团有限责任公司官网(http://www.nngdjt.com)、中国e车网(http://www.ecrrc.com)。</w:t>
      </w:r>
    </w:p>
    <w:p>
      <w:pPr>
        <w:shd w:val="clear"/>
        <w:spacing w:before="0" w:after="0" w:afterAutospacing="0"/>
        <w:ind w:left="0" w:right="0" w:firstLine="422" w:firstLineChars="200"/>
        <w:rPr>
          <w:rFonts w:ascii="宋体" w:hAnsi="宋体"/>
          <w:b/>
          <w:highlight w:val="none"/>
        </w:rPr>
      </w:pPr>
      <w:r>
        <w:rPr>
          <w:rFonts w:hint="eastAsia" w:ascii="宋体" w:hAnsi="宋体"/>
          <w:b/>
          <w:highlight w:val="none"/>
        </w:rPr>
        <w:t xml:space="preserve">注：比选申请人如未完整下载相关文件，或由于未及时关注比选文件补充通知（补遗）、答疑等相关项目信息而影响比选申请的，其责任由比选申请人自行承担。 </w:t>
      </w:r>
    </w:p>
    <w:p>
      <w:pPr>
        <w:shd w:val="clear"/>
        <w:spacing w:before="0" w:after="0" w:afterAutospacing="0"/>
        <w:ind w:left="0" w:right="0" w:firstLine="422" w:firstLineChars="200"/>
        <w:rPr>
          <w:rFonts w:ascii="宋体" w:hAnsi="宋体"/>
          <w:b/>
          <w:highlight w:val="none"/>
        </w:rPr>
      </w:pPr>
      <w:r>
        <w:rPr>
          <w:rFonts w:hint="eastAsia" w:ascii="宋体" w:hAnsi="宋体"/>
          <w:b/>
          <w:highlight w:val="none"/>
        </w:rPr>
        <w:t>6.</w:t>
      </w:r>
      <w:r>
        <w:rPr>
          <w:rFonts w:ascii="宋体" w:hAnsi="宋体"/>
          <w:b/>
          <w:highlight w:val="none"/>
        </w:rPr>
        <w:t>比选申请截止时间</w:t>
      </w:r>
      <w:r>
        <w:rPr>
          <w:rFonts w:hint="eastAsia" w:ascii="宋体" w:hAnsi="宋体"/>
          <w:b/>
          <w:highlight w:val="none"/>
        </w:rPr>
        <w:t>和</w:t>
      </w:r>
      <w:r>
        <w:rPr>
          <w:rFonts w:ascii="宋体" w:hAnsi="宋体"/>
          <w:b/>
          <w:highlight w:val="none"/>
        </w:rPr>
        <w:t>地点</w:t>
      </w:r>
    </w:p>
    <w:p>
      <w:pPr>
        <w:shd w:val="clear"/>
        <w:spacing w:before="0" w:after="0" w:afterAutospacing="0"/>
        <w:ind w:left="0" w:right="0" w:firstLine="420" w:firstLineChars="200"/>
        <w:rPr>
          <w:rFonts w:ascii="宋体" w:hAnsi="宋体"/>
          <w:highlight w:val="none"/>
        </w:rPr>
      </w:pPr>
      <w:r>
        <w:rPr>
          <w:rFonts w:hint="eastAsia" w:ascii="宋体" w:hAnsi="宋体"/>
          <w:highlight w:val="none"/>
        </w:rPr>
        <w:t>6.1比选申请文件须密封后于</w:t>
      </w:r>
      <w:r>
        <w:rPr>
          <w:rFonts w:hint="eastAsia" w:ascii="宋体" w:hAnsi="宋体"/>
          <w:highlight w:val="none"/>
          <w:u w:val="single"/>
        </w:rPr>
        <w:t xml:space="preserve"> </w:t>
      </w:r>
      <w:r>
        <w:rPr>
          <w:rFonts w:ascii="宋体" w:hAnsi="宋体"/>
          <w:highlight w:val="none"/>
          <w:u w:val="single"/>
        </w:rPr>
        <w:t>2023</w:t>
      </w:r>
      <w:r>
        <w:rPr>
          <w:rFonts w:hint="eastAsia" w:ascii="宋体" w:hAnsi="宋体"/>
          <w:highlight w:val="none"/>
          <w:u w:val="single"/>
        </w:rPr>
        <w:t xml:space="preserve"> </w:t>
      </w:r>
      <w:r>
        <w:rPr>
          <w:rFonts w:hint="eastAsia" w:ascii="宋体" w:hAnsi="宋体"/>
          <w:highlight w:val="none"/>
        </w:rPr>
        <w:t>年</w:t>
      </w:r>
      <w:r>
        <w:rPr>
          <w:rFonts w:hint="eastAsia" w:ascii="宋体" w:hAnsi="宋体"/>
          <w:highlight w:val="none"/>
          <w:u w:val="single"/>
        </w:rPr>
        <w:t xml:space="preserve"> </w:t>
      </w:r>
      <w:r>
        <w:rPr>
          <w:rFonts w:hint="eastAsia" w:ascii="宋体" w:hAnsi="宋体"/>
          <w:highlight w:val="none"/>
          <w:u w:val="single"/>
          <w:lang w:val="en-US" w:eastAsia="zh-CN"/>
        </w:rPr>
        <w:t>12</w:t>
      </w:r>
      <w:r>
        <w:rPr>
          <w:rFonts w:hint="eastAsia" w:ascii="宋体" w:hAnsi="宋体"/>
          <w:highlight w:val="none"/>
        </w:rPr>
        <w:t>月</w:t>
      </w:r>
      <w:r>
        <w:rPr>
          <w:rFonts w:hint="eastAsia" w:ascii="宋体" w:hAnsi="宋体"/>
          <w:highlight w:val="none"/>
          <w:u w:val="single"/>
        </w:rPr>
        <w:t xml:space="preserve"> </w:t>
      </w:r>
      <w:r>
        <w:rPr>
          <w:rFonts w:ascii="宋体" w:hAnsi="宋体"/>
          <w:highlight w:val="none"/>
          <w:u w:val="single"/>
        </w:rPr>
        <w:t xml:space="preserve"> </w:t>
      </w:r>
      <w:r>
        <w:rPr>
          <w:rFonts w:hint="eastAsia" w:ascii="宋体" w:hAnsi="宋体"/>
          <w:highlight w:val="none"/>
          <w:u w:val="single"/>
          <w:lang w:val="en-US" w:eastAsia="zh-CN"/>
        </w:rPr>
        <w:t>5</w:t>
      </w:r>
      <w:r>
        <w:rPr>
          <w:rFonts w:hint="eastAsia" w:ascii="宋体" w:hAnsi="宋体"/>
          <w:highlight w:val="none"/>
          <w:u w:val="single"/>
        </w:rPr>
        <w:t xml:space="preserve"> </w:t>
      </w:r>
      <w:r>
        <w:rPr>
          <w:rFonts w:hint="eastAsia" w:ascii="宋体" w:hAnsi="宋体"/>
          <w:highlight w:val="none"/>
        </w:rPr>
        <w:t>日</w:t>
      </w:r>
      <w:r>
        <w:rPr>
          <w:rFonts w:hint="eastAsia" w:ascii="宋体" w:hAnsi="宋体"/>
          <w:highlight w:val="none"/>
          <w:u w:val="single"/>
        </w:rPr>
        <w:t xml:space="preserve"> </w:t>
      </w:r>
      <w:r>
        <w:rPr>
          <w:rFonts w:hint="eastAsia" w:ascii="宋体" w:hAnsi="宋体"/>
          <w:highlight w:val="none"/>
          <w:u w:val="single"/>
          <w:lang w:val="en-US" w:eastAsia="zh-CN"/>
        </w:rPr>
        <w:t>8</w:t>
      </w:r>
      <w:r>
        <w:rPr>
          <w:rFonts w:ascii="宋体" w:hAnsi="宋体"/>
          <w:highlight w:val="none"/>
          <w:u w:val="single"/>
        </w:rPr>
        <w:t xml:space="preserve"> </w:t>
      </w:r>
      <w:r>
        <w:rPr>
          <w:rFonts w:hint="eastAsia" w:ascii="宋体" w:hAnsi="宋体"/>
          <w:highlight w:val="none"/>
          <w:u w:val="single"/>
        </w:rPr>
        <w:t xml:space="preserve"> </w:t>
      </w:r>
      <w:r>
        <w:rPr>
          <w:rFonts w:hint="eastAsia" w:ascii="宋体" w:hAnsi="宋体"/>
          <w:highlight w:val="none"/>
        </w:rPr>
        <w:t>时</w:t>
      </w:r>
      <w:r>
        <w:rPr>
          <w:rFonts w:hint="eastAsia" w:ascii="宋体" w:hAnsi="宋体"/>
          <w:highlight w:val="none"/>
          <w:u w:val="single"/>
        </w:rPr>
        <w:t xml:space="preserve"> </w:t>
      </w:r>
      <w:r>
        <w:rPr>
          <w:rFonts w:ascii="宋体" w:hAnsi="宋体"/>
          <w:highlight w:val="none"/>
          <w:u w:val="single"/>
        </w:rPr>
        <w:t xml:space="preserve"> </w:t>
      </w:r>
      <w:r>
        <w:rPr>
          <w:rFonts w:hint="eastAsia" w:ascii="宋体" w:hAnsi="宋体"/>
          <w:highlight w:val="none"/>
          <w:u w:val="single"/>
          <w:lang w:val="en-US" w:eastAsia="zh-CN"/>
        </w:rPr>
        <w:t>30</w:t>
      </w:r>
      <w:r>
        <w:rPr>
          <w:rFonts w:hint="eastAsia" w:ascii="宋体" w:hAnsi="宋体"/>
          <w:highlight w:val="none"/>
          <w:u w:val="single"/>
        </w:rPr>
        <w:t xml:space="preserve"> </w:t>
      </w:r>
      <w:r>
        <w:rPr>
          <w:rFonts w:hint="eastAsia" w:ascii="宋体" w:hAnsi="宋体"/>
          <w:highlight w:val="none"/>
        </w:rPr>
        <w:t>分</w:t>
      </w:r>
      <w:r>
        <w:rPr>
          <w:rFonts w:hint="eastAsia" w:ascii="宋体" w:hAnsi="宋体"/>
          <w:highlight w:val="none"/>
          <w:lang w:val="en-US" w:eastAsia="zh-CN"/>
        </w:rPr>
        <w:t>-</w:t>
      </w:r>
      <w:r>
        <w:rPr>
          <w:rFonts w:hint="eastAsia" w:ascii="宋体" w:hAnsi="宋体"/>
          <w:highlight w:val="none"/>
          <w:u w:val="single"/>
        </w:rPr>
        <w:t xml:space="preserve"> </w:t>
      </w:r>
      <w:r>
        <w:rPr>
          <w:rFonts w:hint="eastAsia" w:ascii="宋体" w:hAnsi="宋体"/>
          <w:highlight w:val="none"/>
          <w:u w:val="single"/>
          <w:lang w:val="en-US" w:eastAsia="zh-CN"/>
        </w:rPr>
        <w:t>9</w:t>
      </w:r>
      <w:r>
        <w:rPr>
          <w:rFonts w:ascii="宋体" w:hAnsi="宋体"/>
          <w:highlight w:val="none"/>
          <w:u w:val="single"/>
        </w:rPr>
        <w:t xml:space="preserve"> </w:t>
      </w:r>
      <w:r>
        <w:rPr>
          <w:rFonts w:hint="eastAsia" w:ascii="宋体" w:hAnsi="宋体"/>
          <w:highlight w:val="none"/>
          <w:u w:val="single"/>
        </w:rPr>
        <w:t xml:space="preserve"> </w:t>
      </w:r>
      <w:r>
        <w:rPr>
          <w:rFonts w:hint="eastAsia" w:ascii="宋体" w:hAnsi="宋体"/>
          <w:highlight w:val="none"/>
        </w:rPr>
        <w:t>时</w:t>
      </w:r>
      <w:r>
        <w:rPr>
          <w:rFonts w:hint="eastAsia" w:ascii="宋体" w:hAnsi="宋体"/>
          <w:highlight w:val="none"/>
          <w:u w:val="single"/>
        </w:rPr>
        <w:t xml:space="preserve"> </w:t>
      </w:r>
      <w:r>
        <w:rPr>
          <w:rFonts w:hint="eastAsia" w:ascii="宋体" w:hAnsi="宋体"/>
          <w:highlight w:val="none"/>
          <w:u w:val="single"/>
          <w:lang w:val="en-US" w:eastAsia="zh-CN"/>
        </w:rPr>
        <w:t>00</w:t>
      </w:r>
      <w:r>
        <w:rPr>
          <w:rFonts w:ascii="宋体" w:hAnsi="宋体"/>
          <w:highlight w:val="none"/>
          <w:u w:val="single"/>
        </w:rPr>
        <w:t xml:space="preserve"> </w:t>
      </w:r>
      <w:r>
        <w:rPr>
          <w:rFonts w:hint="eastAsia" w:ascii="宋体" w:hAnsi="宋体"/>
          <w:highlight w:val="none"/>
          <w:u w:val="single"/>
        </w:rPr>
        <w:t xml:space="preserve"> </w:t>
      </w:r>
      <w:r>
        <w:rPr>
          <w:rFonts w:hint="eastAsia" w:ascii="宋体" w:hAnsi="宋体"/>
          <w:highlight w:val="none"/>
        </w:rPr>
        <w:t>分（北京时间）递交，递交地点在广西南宁市青秀区云景路 83 号 屯里车辆段综合楼20</w:t>
      </w:r>
      <w:r>
        <w:rPr>
          <w:rFonts w:hint="eastAsia" w:ascii="宋体" w:hAnsi="宋体"/>
          <w:highlight w:val="none"/>
          <w:lang w:val="en-US" w:eastAsia="zh-CN"/>
        </w:rPr>
        <w:t>5</w:t>
      </w:r>
      <w:r>
        <w:rPr>
          <w:rFonts w:hint="eastAsia" w:ascii="宋体" w:hAnsi="宋体"/>
          <w:highlight w:val="none"/>
        </w:rPr>
        <w:t>会议室，递交现场联系人：莫</w:t>
      </w:r>
      <w:r>
        <w:rPr>
          <w:rFonts w:hint="eastAsia" w:ascii="宋体" w:hAnsi="宋体"/>
          <w:highlight w:val="none"/>
          <w:lang w:val="en-US" w:eastAsia="zh-CN"/>
        </w:rPr>
        <w:t>工</w:t>
      </w:r>
      <w:r>
        <w:rPr>
          <w:rFonts w:hint="eastAsia" w:ascii="宋体" w:hAnsi="宋体"/>
          <w:highlight w:val="none"/>
        </w:rPr>
        <w:t xml:space="preserve"> 电话0771-2778312。</w:t>
      </w:r>
    </w:p>
    <w:p>
      <w:pPr>
        <w:shd w:val="clear"/>
        <w:spacing w:before="0" w:after="0" w:afterAutospacing="0"/>
        <w:ind w:left="0" w:right="0" w:firstLine="420" w:firstLineChars="200"/>
        <w:rPr>
          <w:rFonts w:ascii="宋体" w:hAnsi="宋体"/>
          <w:highlight w:val="none"/>
        </w:rPr>
      </w:pPr>
      <w:r>
        <w:rPr>
          <w:rFonts w:hint="eastAsia" w:ascii="宋体" w:hAnsi="宋体"/>
          <w:highlight w:val="none"/>
        </w:rPr>
        <w:t>6.2</w:t>
      </w:r>
      <w:r>
        <w:rPr>
          <w:rFonts w:ascii="宋体" w:hAnsi="宋体"/>
          <w:highlight w:val="none"/>
        </w:rPr>
        <w:t>逾期送达的或者未送达指定地点</w:t>
      </w:r>
      <w:r>
        <w:rPr>
          <w:rFonts w:hint="eastAsia" w:ascii="宋体" w:hAnsi="宋体"/>
          <w:highlight w:val="none"/>
        </w:rPr>
        <w:t>或者</w:t>
      </w:r>
      <w:r>
        <w:rPr>
          <w:rFonts w:ascii="宋体" w:hAnsi="宋体"/>
          <w:highlight w:val="none"/>
        </w:rPr>
        <w:t>未按</w:t>
      </w:r>
      <w:r>
        <w:rPr>
          <w:rFonts w:hint="eastAsia" w:ascii="宋体" w:hAnsi="宋体"/>
          <w:highlight w:val="none"/>
        </w:rPr>
        <w:t>比选</w:t>
      </w:r>
      <w:r>
        <w:rPr>
          <w:rFonts w:ascii="宋体" w:hAnsi="宋体"/>
          <w:highlight w:val="none"/>
        </w:rPr>
        <w:t>文件要求密封的</w:t>
      </w:r>
      <w:r>
        <w:rPr>
          <w:rFonts w:hint="eastAsia" w:ascii="宋体" w:hAnsi="宋体"/>
          <w:highlight w:val="none"/>
        </w:rPr>
        <w:t>比选申请</w:t>
      </w:r>
      <w:r>
        <w:rPr>
          <w:rFonts w:ascii="宋体" w:hAnsi="宋体"/>
          <w:highlight w:val="none"/>
        </w:rPr>
        <w:t>文件将被拒绝</w:t>
      </w:r>
      <w:r>
        <w:rPr>
          <w:rFonts w:hint="eastAsia" w:ascii="宋体" w:hAnsi="宋体"/>
          <w:highlight w:val="none"/>
        </w:rPr>
        <w:t>。</w:t>
      </w:r>
    </w:p>
    <w:p>
      <w:pPr>
        <w:shd w:val="clear"/>
        <w:spacing w:before="0" w:after="0" w:afterAutospacing="0"/>
        <w:ind w:left="0" w:right="0" w:firstLine="420" w:firstLineChars="200"/>
        <w:rPr>
          <w:rFonts w:ascii="宋体" w:hAnsi="宋体"/>
          <w:highlight w:val="none"/>
        </w:rPr>
      </w:pPr>
      <w:r>
        <w:rPr>
          <w:rFonts w:hint="eastAsia" w:ascii="宋体" w:hAnsi="宋体"/>
          <w:highlight w:val="none"/>
        </w:rPr>
        <w:t>6.3请比选申请人法定代表人或其授权代表携法人委托书原件准时参加。</w:t>
      </w:r>
      <w:r>
        <w:rPr>
          <w:rFonts w:ascii="宋体" w:hAnsi="宋体"/>
          <w:highlight w:val="none"/>
        </w:rPr>
        <w:t>比选申请文件必须由</w:t>
      </w:r>
      <w:r>
        <w:rPr>
          <w:rFonts w:hint="eastAsia" w:ascii="宋体" w:hAnsi="宋体"/>
          <w:highlight w:val="none"/>
        </w:rPr>
        <w:t>比选申请人</w:t>
      </w:r>
      <w:r>
        <w:rPr>
          <w:rFonts w:ascii="宋体" w:hAnsi="宋体"/>
          <w:highlight w:val="none"/>
        </w:rPr>
        <w:t>法定代表人或其授权代表递交，否则比选人不予受理。</w:t>
      </w:r>
    </w:p>
    <w:p>
      <w:pPr>
        <w:shd w:val="clear"/>
        <w:spacing w:before="0" w:after="0" w:afterAutospacing="0" w:line="360" w:lineRule="auto"/>
        <w:ind w:left="0" w:right="0" w:firstLine="422" w:firstLineChars="200"/>
        <w:rPr>
          <w:rFonts w:hint="eastAsia" w:ascii="宋体" w:hAnsi="宋体"/>
          <w:b/>
          <w:highlight w:val="none"/>
        </w:rPr>
      </w:pPr>
      <w:r>
        <w:rPr>
          <w:rFonts w:hint="eastAsia" w:ascii="宋体" w:hAnsi="宋体"/>
          <w:b/>
          <w:highlight w:val="none"/>
        </w:rPr>
        <w:t>7.发布公告的媒介</w:t>
      </w:r>
    </w:p>
    <w:p>
      <w:pPr>
        <w:shd w:val="clear"/>
        <w:spacing w:before="0" w:after="0" w:afterAutospacing="0"/>
        <w:ind w:left="0" w:right="0" w:firstLine="420" w:firstLineChars="200"/>
        <w:rPr>
          <w:rFonts w:hint="eastAsia" w:ascii="宋体" w:hAnsi="宋体"/>
          <w:highlight w:val="none"/>
        </w:rPr>
      </w:pPr>
      <w:r>
        <w:rPr>
          <w:rFonts w:hint="eastAsia" w:ascii="宋体" w:hAnsi="宋体"/>
          <w:highlight w:val="none"/>
        </w:rPr>
        <w:t>本次比选公告在南宁轨道交通集团有限责任公司官网(http://www.nngdjt.com)</w:t>
      </w:r>
      <w:r>
        <w:rPr>
          <w:rFonts w:hint="eastAsia" w:ascii="宋体" w:hAnsi="宋体"/>
          <w:highlight w:val="none"/>
          <w:lang w:eastAsia="zh-CN"/>
        </w:rPr>
        <w:t>、</w:t>
      </w:r>
      <w:r>
        <w:rPr>
          <w:rFonts w:hint="eastAsia" w:ascii="宋体" w:hAnsi="宋体"/>
          <w:highlight w:val="none"/>
        </w:rPr>
        <w:t>中国e车网(http://www.ecrrc.com)发布。</w:t>
      </w:r>
    </w:p>
    <w:p>
      <w:pPr>
        <w:shd w:val="clear"/>
        <w:spacing w:before="0" w:after="0" w:afterAutospacing="0"/>
        <w:ind w:left="0" w:right="0" w:firstLine="422" w:firstLineChars="200"/>
        <w:rPr>
          <w:rFonts w:hint="eastAsia" w:ascii="宋体" w:hAnsi="宋体"/>
          <w:b/>
          <w:bCs/>
          <w:highlight w:val="none"/>
        </w:rPr>
      </w:pPr>
      <w:r>
        <w:rPr>
          <w:rFonts w:hint="eastAsia" w:ascii="宋体" w:hAnsi="宋体"/>
          <w:b/>
          <w:bCs/>
          <w:highlight w:val="none"/>
        </w:rPr>
        <w:t>8.比选纪律监督部门及电话：南宁轨道交通运营有限公司纪检监察室0771-2778084。</w:t>
      </w:r>
    </w:p>
    <w:p>
      <w:pPr>
        <w:shd w:val="clear"/>
        <w:spacing w:before="0" w:after="0" w:afterAutospacing="0"/>
        <w:ind w:left="0" w:right="0" w:firstLine="422" w:firstLineChars="200"/>
        <w:rPr>
          <w:rFonts w:hint="eastAsia" w:ascii="宋体" w:hAnsi="宋体"/>
          <w:b/>
          <w:bCs/>
          <w:highlight w:val="none"/>
        </w:rPr>
      </w:pPr>
      <w:r>
        <w:rPr>
          <w:rFonts w:hint="eastAsia" w:ascii="宋体" w:hAnsi="宋体"/>
          <w:b/>
          <w:bCs/>
          <w:highlight w:val="none"/>
          <w:lang w:val="en-US" w:eastAsia="zh-CN"/>
        </w:rPr>
        <w:t>9</w:t>
      </w:r>
      <w:r>
        <w:rPr>
          <w:rFonts w:hint="eastAsia" w:ascii="宋体" w:hAnsi="宋体"/>
          <w:b/>
          <w:bCs/>
          <w:highlight w:val="none"/>
        </w:rPr>
        <w:t>.联系方式</w:t>
      </w:r>
    </w:p>
    <w:p>
      <w:pPr>
        <w:shd w:val="clear"/>
        <w:spacing w:before="0" w:after="0" w:afterAutospacing="0"/>
        <w:ind w:left="0" w:right="0" w:firstLine="420" w:firstLineChars="200"/>
        <w:rPr>
          <w:rFonts w:ascii="宋体" w:hAnsi="宋体"/>
          <w:highlight w:val="none"/>
          <w:u w:val="single"/>
        </w:rPr>
      </w:pPr>
      <w:r>
        <w:rPr>
          <w:rFonts w:hint="eastAsia" w:ascii="宋体" w:hAnsi="宋体"/>
          <w:highlight w:val="none"/>
        </w:rPr>
        <w:t>比</w:t>
      </w:r>
      <w:r>
        <w:rPr>
          <w:rFonts w:hint="eastAsia" w:ascii="宋体" w:hAnsi="宋体"/>
          <w:highlight w:val="none"/>
          <w:lang w:val="en-US" w:eastAsia="zh-CN"/>
        </w:rPr>
        <w:t xml:space="preserve"> </w:t>
      </w:r>
      <w:r>
        <w:rPr>
          <w:rFonts w:hint="eastAsia" w:ascii="宋体" w:hAnsi="宋体"/>
          <w:highlight w:val="none"/>
        </w:rPr>
        <w:t>选 人：</w:t>
      </w:r>
      <w:r>
        <w:rPr>
          <w:rFonts w:ascii="宋体" w:hAnsi="宋体"/>
          <w:highlight w:val="none"/>
          <w:u w:val="single"/>
        </w:rPr>
        <w:t>南宁轨道交通</w:t>
      </w:r>
      <w:r>
        <w:rPr>
          <w:rFonts w:hint="eastAsia" w:ascii="宋体" w:hAnsi="宋体"/>
          <w:highlight w:val="none"/>
          <w:u w:val="single"/>
        </w:rPr>
        <w:t>运营有限</w:t>
      </w:r>
      <w:r>
        <w:rPr>
          <w:rFonts w:ascii="宋体" w:hAnsi="宋体"/>
          <w:highlight w:val="none"/>
          <w:u w:val="single"/>
        </w:rPr>
        <w:t>公司</w:t>
      </w:r>
      <w:r>
        <w:rPr>
          <w:rFonts w:hint="eastAsia" w:ascii="宋体" w:hAnsi="宋体"/>
          <w:highlight w:val="none"/>
        </w:rPr>
        <w:t xml:space="preserve">     </w:t>
      </w:r>
    </w:p>
    <w:p>
      <w:pPr>
        <w:shd w:val="clear"/>
        <w:spacing w:before="0" w:after="0" w:afterAutospacing="0"/>
        <w:ind w:left="0" w:right="0" w:firstLine="420" w:firstLineChars="200"/>
        <w:rPr>
          <w:rFonts w:ascii="宋体" w:hAnsi="宋体"/>
          <w:highlight w:val="none"/>
          <w:u w:val="single"/>
        </w:rPr>
      </w:pPr>
      <w:r>
        <w:rPr>
          <w:rFonts w:hint="eastAsia" w:ascii="宋体" w:hAnsi="宋体"/>
          <w:highlight w:val="none"/>
        </w:rPr>
        <w:t xml:space="preserve">地    址：南宁市青秀区云景路83号         </w:t>
      </w:r>
    </w:p>
    <w:p>
      <w:pPr>
        <w:shd w:val="clear"/>
        <w:spacing w:before="0" w:after="0" w:afterAutospacing="0"/>
        <w:ind w:left="0" w:right="0" w:firstLine="420" w:firstLineChars="200"/>
        <w:rPr>
          <w:rFonts w:ascii="宋体" w:hAnsi="宋体"/>
          <w:highlight w:val="none"/>
          <w:u w:val="single"/>
        </w:rPr>
      </w:pPr>
      <w:r>
        <w:rPr>
          <w:rFonts w:hint="eastAsia" w:ascii="宋体" w:hAnsi="宋体"/>
          <w:highlight w:val="none"/>
        </w:rPr>
        <w:t xml:space="preserve">邮    编：530022                         </w:t>
      </w:r>
    </w:p>
    <w:p>
      <w:pPr>
        <w:shd w:val="clear"/>
        <w:spacing w:before="0" w:after="0" w:afterAutospacing="0"/>
        <w:ind w:left="0" w:right="0" w:firstLine="420" w:firstLineChars="200"/>
        <w:rPr>
          <w:rFonts w:hint="default" w:ascii="宋体" w:hAnsi="宋体" w:eastAsia="宋体"/>
          <w:highlight w:val="none"/>
          <w:u w:val="single"/>
          <w:lang w:val="en-US" w:eastAsia="zh-CN"/>
        </w:rPr>
      </w:pPr>
      <w:r>
        <w:rPr>
          <w:rFonts w:hint="eastAsia" w:ascii="宋体" w:hAnsi="宋体"/>
          <w:highlight w:val="none"/>
        </w:rPr>
        <w:t>联 系 人：</w:t>
      </w:r>
      <w:r>
        <w:rPr>
          <w:rFonts w:hint="eastAsia" w:ascii="宋体" w:hAnsi="宋体"/>
          <w:highlight w:val="none"/>
          <w:lang w:val="en-US" w:eastAsia="zh-CN"/>
        </w:rPr>
        <w:t>莫</w:t>
      </w:r>
      <w:r>
        <w:rPr>
          <w:rFonts w:hint="eastAsia" w:ascii="宋体" w:hAnsi="宋体"/>
          <w:highlight w:val="none"/>
        </w:rPr>
        <w:t>工</w:t>
      </w:r>
      <w:r>
        <w:rPr>
          <w:rFonts w:hint="eastAsia" w:ascii="宋体" w:hAnsi="宋体"/>
          <w:highlight w:val="none"/>
          <w:lang w:eastAsia="zh-CN"/>
        </w:rPr>
        <w:t>、</w:t>
      </w:r>
      <w:r>
        <w:rPr>
          <w:rFonts w:hint="eastAsia" w:ascii="宋体" w:hAnsi="宋体"/>
          <w:highlight w:val="none"/>
          <w:lang w:val="en-US" w:eastAsia="zh-CN"/>
        </w:rPr>
        <w:t>梁工</w:t>
      </w:r>
    </w:p>
    <w:p>
      <w:pPr>
        <w:shd w:val="clear"/>
        <w:spacing w:before="0" w:after="0" w:afterAutospacing="0"/>
        <w:ind w:left="0" w:right="0" w:firstLine="420" w:firstLineChars="200"/>
        <w:rPr>
          <w:rFonts w:ascii="宋体" w:hAnsi="宋体"/>
          <w:highlight w:val="none"/>
          <w:u w:val="single"/>
        </w:rPr>
      </w:pPr>
      <w:r>
        <w:rPr>
          <w:rFonts w:hint="eastAsia" w:ascii="宋体" w:hAnsi="宋体"/>
          <w:highlight w:val="none"/>
        </w:rPr>
        <w:t>电    话：</w:t>
      </w:r>
      <w:r>
        <w:rPr>
          <w:rFonts w:hint="eastAsia" w:ascii="宋体" w:hAnsi="宋体"/>
          <w:highlight w:val="none"/>
          <w:u w:val="single"/>
        </w:rPr>
        <w:t>0771-2778</w:t>
      </w:r>
      <w:r>
        <w:rPr>
          <w:rFonts w:ascii="宋体" w:hAnsi="宋体"/>
          <w:highlight w:val="none"/>
          <w:u w:val="single"/>
        </w:rPr>
        <w:t>3</w:t>
      </w:r>
      <w:r>
        <w:rPr>
          <w:rFonts w:hint="eastAsia" w:ascii="宋体" w:hAnsi="宋体"/>
          <w:highlight w:val="none"/>
          <w:u w:val="single"/>
          <w:lang w:val="en-US" w:eastAsia="zh-CN"/>
        </w:rPr>
        <w:t>12、</w:t>
      </w:r>
      <w:r>
        <w:rPr>
          <w:rFonts w:hint="eastAsia" w:ascii="宋体" w:hAnsi="宋体"/>
          <w:highlight w:val="none"/>
          <w:u w:val="single"/>
        </w:rPr>
        <w:t>0771-2778</w:t>
      </w:r>
      <w:r>
        <w:rPr>
          <w:rFonts w:hint="eastAsia" w:ascii="宋体" w:hAnsi="宋体"/>
          <w:highlight w:val="none"/>
          <w:u w:val="single"/>
          <w:lang w:val="en-US" w:eastAsia="zh-CN"/>
        </w:rPr>
        <w:t>623</w:t>
      </w:r>
    </w:p>
    <w:p>
      <w:pPr>
        <w:shd w:val="clear"/>
        <w:spacing w:before="0" w:after="0" w:afterAutospacing="0"/>
        <w:ind w:left="0" w:right="0" w:firstLine="420" w:firstLineChars="200"/>
        <w:rPr>
          <w:rFonts w:ascii="宋体" w:hAnsi="宋体"/>
          <w:highlight w:val="none"/>
          <w:u w:val="single"/>
        </w:rPr>
      </w:pPr>
      <w:r>
        <w:rPr>
          <w:rFonts w:hint="eastAsia" w:ascii="宋体" w:hAnsi="宋体"/>
          <w:highlight w:val="none"/>
        </w:rPr>
        <w:t>传    真：</w:t>
      </w:r>
      <w:r>
        <w:rPr>
          <w:rFonts w:hint="eastAsia" w:ascii="宋体" w:hAnsi="宋体"/>
          <w:highlight w:val="none"/>
          <w:u w:val="single"/>
        </w:rPr>
        <w:t xml:space="preserve">                          </w:t>
      </w:r>
    </w:p>
    <w:p>
      <w:pPr>
        <w:shd w:val="clear"/>
        <w:spacing w:before="0" w:after="0" w:afterAutospacing="0"/>
        <w:ind w:left="0" w:right="0" w:firstLine="420" w:firstLineChars="200"/>
        <w:rPr>
          <w:rFonts w:ascii="宋体" w:hAnsi="宋体"/>
          <w:highlight w:val="none"/>
          <w:u w:val="single"/>
        </w:rPr>
      </w:pPr>
      <w:r>
        <w:rPr>
          <w:rFonts w:hint="eastAsia" w:ascii="宋体" w:hAnsi="宋体"/>
          <w:highlight w:val="none"/>
        </w:rPr>
        <w:t>电子邮件：</w:t>
      </w:r>
      <w:r>
        <w:rPr>
          <w:rFonts w:hint="eastAsia" w:ascii="宋体" w:hAnsi="宋体"/>
          <w:highlight w:val="none"/>
          <w:u w:val="single"/>
        </w:rPr>
        <w:t xml:space="preserve">                          </w:t>
      </w:r>
    </w:p>
    <w:p>
      <w:pPr>
        <w:shd w:val="clear"/>
        <w:spacing w:before="0" w:after="120" w:line="380" w:lineRule="exact"/>
        <w:ind w:left="430" w:right="-57" w:firstLine="200"/>
        <w:rPr>
          <w:rFonts w:ascii="宋体" w:hAnsi="宋体"/>
          <w:highlight w:val="none"/>
        </w:rPr>
      </w:pPr>
    </w:p>
    <w:p>
      <w:pPr>
        <w:shd w:val="clear"/>
        <w:spacing w:before="0" w:after="120" w:line="380" w:lineRule="exact"/>
        <w:ind w:left="430" w:right="-57" w:firstLine="200"/>
        <w:rPr>
          <w:rFonts w:ascii="宋体" w:hAnsi="宋体"/>
          <w:highlight w:val="none"/>
        </w:rPr>
      </w:pPr>
    </w:p>
    <w:p>
      <w:pPr>
        <w:pStyle w:val="2"/>
        <w:pageBreakBefore/>
        <w:shd w:val="clear"/>
        <w:ind w:right="-57" w:firstLine="0"/>
        <w:jc w:val="center"/>
        <w:outlineLvl w:val="0"/>
        <w:rPr>
          <w:rStyle w:val="42"/>
          <w:rFonts w:ascii="宋体" w:hAnsi="宋体" w:eastAsia="宋体"/>
          <w:highlight w:val="none"/>
        </w:rPr>
        <w:sectPr>
          <w:footerReference r:id="rId9" w:type="default"/>
          <w:pgSz w:w="11905" w:h="16838"/>
          <w:pgMar w:top="1417" w:right="1417" w:bottom="1417" w:left="1417" w:header="454" w:footer="567" w:gutter="0"/>
          <w:pgNumType w:fmt="decimal"/>
          <w:cols w:space="720" w:num="1"/>
          <w:docGrid w:linePitch="312" w:charSpace="0"/>
        </w:sectPr>
      </w:pPr>
      <w:bookmarkStart w:id="21" w:name="_Toc322528192"/>
      <w:bookmarkEnd w:id="21"/>
      <w:bookmarkStart w:id="22" w:name="_Toc512357502"/>
      <w:bookmarkStart w:id="23" w:name="_Toc29836"/>
      <w:bookmarkStart w:id="24" w:name="_Toc30950"/>
      <w:bookmarkStart w:id="25" w:name="_Toc17594"/>
      <w:bookmarkStart w:id="26" w:name="_Toc22273"/>
      <w:bookmarkStart w:id="27" w:name="_Toc18454"/>
      <w:bookmarkStart w:id="28" w:name="_Toc30725"/>
      <w:bookmarkStart w:id="29" w:name="_Toc17735"/>
      <w:bookmarkStart w:id="30" w:name="_Toc1230"/>
      <w:bookmarkStart w:id="31" w:name="_Toc20201"/>
      <w:bookmarkStart w:id="32" w:name="_Toc21830"/>
      <w:bookmarkStart w:id="33" w:name="_Toc17240"/>
      <w:bookmarkStart w:id="34" w:name="_Toc24390"/>
      <w:bookmarkStart w:id="35" w:name="_Toc25750589"/>
      <w:bookmarkStart w:id="36" w:name="_Toc30883"/>
      <w:bookmarkStart w:id="37" w:name="_Toc24972"/>
      <w:bookmarkStart w:id="38" w:name="_Toc3495"/>
      <w:bookmarkStart w:id="39" w:name="_Toc12635"/>
      <w:bookmarkStart w:id="40" w:name="_Toc15976"/>
    </w:p>
    <w:p>
      <w:pPr>
        <w:pStyle w:val="2"/>
        <w:pageBreakBefore/>
        <w:shd w:val="clear"/>
        <w:ind w:right="-57" w:firstLine="0"/>
        <w:jc w:val="center"/>
        <w:outlineLvl w:val="0"/>
        <w:rPr>
          <w:rStyle w:val="42"/>
          <w:rFonts w:ascii="宋体" w:hAnsi="宋体" w:eastAsia="宋体"/>
          <w:highlight w:val="none"/>
        </w:rPr>
      </w:pPr>
      <w:r>
        <w:rPr>
          <w:rStyle w:val="42"/>
          <w:rFonts w:hint="eastAsia" w:ascii="宋体" w:hAnsi="宋体" w:eastAsia="宋体"/>
          <w:highlight w:val="none"/>
        </w:rPr>
        <w:t>第二章</w:t>
      </w:r>
      <w:bookmarkEnd w:id="22"/>
      <w:r>
        <w:rPr>
          <w:rStyle w:val="42"/>
          <w:rFonts w:hint="eastAsia" w:ascii="宋体" w:hAnsi="宋体" w:eastAsia="宋体"/>
          <w:highlight w:val="none"/>
        </w:rPr>
        <w:t>比选申请须知</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pPr>
        <w:pStyle w:val="2"/>
        <w:shd w:val="clear"/>
        <w:spacing w:before="0" w:after="0"/>
        <w:ind w:right="0" w:firstLine="0"/>
        <w:jc w:val="center"/>
        <w:rPr>
          <w:rFonts w:hAnsi="宋体"/>
          <w:b/>
          <w:sz w:val="30"/>
          <w:szCs w:val="30"/>
          <w:highlight w:val="none"/>
        </w:rPr>
      </w:pPr>
      <w:r>
        <w:rPr>
          <w:rFonts w:hint="eastAsia" w:hAnsi="宋体"/>
          <w:b/>
          <w:sz w:val="30"/>
          <w:szCs w:val="30"/>
          <w:highlight w:val="none"/>
        </w:rPr>
        <w:t>比选申请须知前附表</w:t>
      </w:r>
    </w:p>
    <w:tbl>
      <w:tblPr>
        <w:tblStyle w:val="28"/>
        <w:tblW w:w="9117" w:type="dxa"/>
        <w:tblInd w:w="112" w:type="dxa"/>
        <w:tblLayout w:type="fixed"/>
        <w:tblCellMar>
          <w:top w:w="0" w:type="dxa"/>
          <w:left w:w="108" w:type="dxa"/>
          <w:bottom w:w="0" w:type="dxa"/>
          <w:right w:w="108" w:type="dxa"/>
        </w:tblCellMar>
      </w:tblPr>
      <w:tblGrid>
        <w:gridCol w:w="902"/>
        <w:gridCol w:w="1290"/>
        <w:gridCol w:w="6925"/>
      </w:tblGrid>
      <w:tr>
        <w:tblPrEx>
          <w:tblCellMar>
            <w:top w:w="0" w:type="dxa"/>
            <w:left w:w="108" w:type="dxa"/>
            <w:bottom w:w="0" w:type="dxa"/>
            <w:right w:w="108" w:type="dxa"/>
          </w:tblCellMar>
        </w:tblPrEx>
        <w:trPr>
          <w:trHeight w:val="273" w:hRule="atLeast"/>
        </w:trPr>
        <w:tc>
          <w:tcPr>
            <w:tcW w:w="902" w:type="dxa"/>
            <w:tcBorders>
              <w:top w:val="single" w:color="auto" w:sz="4" w:space="0"/>
              <w:left w:val="single" w:color="auto" w:sz="4" w:space="0"/>
              <w:bottom w:val="single" w:color="auto" w:sz="4" w:space="0"/>
              <w:right w:val="single" w:color="auto" w:sz="4" w:space="0"/>
            </w:tcBorders>
            <w:vAlign w:val="center"/>
          </w:tcPr>
          <w:p>
            <w:pPr>
              <w:shd w:val="clear"/>
              <w:spacing w:before="0" w:after="0" w:afterAutospacing="0"/>
              <w:ind w:left="0" w:right="0" w:firstLine="0"/>
              <w:jc w:val="center"/>
              <w:rPr>
                <w:rFonts w:ascii="宋体" w:hAnsi="宋体"/>
                <w:highlight w:val="none"/>
              </w:rPr>
            </w:pPr>
            <w:r>
              <w:rPr>
                <w:rFonts w:hint="eastAsia" w:ascii="宋体" w:hAnsi="宋体"/>
                <w:highlight w:val="none"/>
              </w:rPr>
              <w:t>条款号</w:t>
            </w:r>
          </w:p>
        </w:tc>
        <w:tc>
          <w:tcPr>
            <w:tcW w:w="1290" w:type="dxa"/>
            <w:tcBorders>
              <w:top w:val="single" w:color="auto" w:sz="4" w:space="0"/>
              <w:left w:val="nil"/>
              <w:bottom w:val="single" w:color="auto" w:sz="4" w:space="0"/>
              <w:right w:val="single" w:color="auto" w:sz="4" w:space="0"/>
            </w:tcBorders>
            <w:vAlign w:val="center"/>
          </w:tcPr>
          <w:p>
            <w:pPr>
              <w:shd w:val="clear"/>
              <w:spacing w:before="0" w:after="0" w:afterAutospacing="0"/>
              <w:ind w:left="0" w:right="0" w:firstLine="0"/>
              <w:jc w:val="center"/>
              <w:rPr>
                <w:rFonts w:ascii="宋体" w:hAnsi="宋体"/>
                <w:highlight w:val="none"/>
              </w:rPr>
            </w:pPr>
            <w:r>
              <w:rPr>
                <w:rFonts w:hint="eastAsia" w:ascii="宋体" w:hAnsi="宋体"/>
                <w:highlight w:val="none"/>
              </w:rPr>
              <w:t>条款名称</w:t>
            </w:r>
          </w:p>
        </w:tc>
        <w:tc>
          <w:tcPr>
            <w:tcW w:w="6925" w:type="dxa"/>
            <w:tcBorders>
              <w:top w:val="single" w:color="auto" w:sz="4" w:space="0"/>
              <w:left w:val="nil"/>
              <w:bottom w:val="single" w:color="auto" w:sz="4" w:space="0"/>
              <w:right w:val="single" w:color="auto" w:sz="4" w:space="0"/>
            </w:tcBorders>
            <w:vAlign w:val="center"/>
          </w:tcPr>
          <w:p>
            <w:pPr>
              <w:shd w:val="clear"/>
              <w:spacing w:before="0" w:after="0" w:afterAutospacing="0"/>
              <w:ind w:left="0" w:right="0" w:firstLine="0"/>
              <w:jc w:val="center"/>
              <w:rPr>
                <w:rFonts w:ascii="宋体" w:hAnsi="宋体"/>
                <w:highlight w:val="none"/>
              </w:rPr>
            </w:pPr>
            <w:r>
              <w:rPr>
                <w:rFonts w:hint="eastAsia" w:ascii="宋体" w:hAnsi="宋体"/>
                <w:highlight w:val="none"/>
              </w:rPr>
              <w:t>详细内容</w:t>
            </w:r>
          </w:p>
        </w:tc>
      </w:tr>
      <w:tr>
        <w:tblPrEx>
          <w:tblCellMar>
            <w:top w:w="0" w:type="dxa"/>
            <w:left w:w="108" w:type="dxa"/>
            <w:bottom w:w="0" w:type="dxa"/>
            <w:right w:w="108" w:type="dxa"/>
          </w:tblCellMar>
        </w:tblPrEx>
        <w:trPr>
          <w:trHeight w:val="1197" w:hRule="atLeast"/>
        </w:trPr>
        <w:tc>
          <w:tcPr>
            <w:tcW w:w="902" w:type="dxa"/>
            <w:tcBorders>
              <w:top w:val="single" w:color="auto" w:sz="4" w:space="0"/>
              <w:left w:val="single" w:color="auto" w:sz="4" w:space="0"/>
              <w:bottom w:val="single" w:color="auto" w:sz="4" w:space="0"/>
              <w:right w:val="single" w:color="auto" w:sz="4" w:space="0"/>
            </w:tcBorders>
            <w:vAlign w:val="center"/>
          </w:tcPr>
          <w:p>
            <w:pPr>
              <w:shd w:val="clear"/>
              <w:spacing w:before="0" w:after="0" w:afterAutospacing="0"/>
              <w:ind w:left="0" w:right="0" w:firstLine="0"/>
              <w:rPr>
                <w:rFonts w:ascii="宋体" w:hAnsi="宋体"/>
                <w:highlight w:val="none"/>
              </w:rPr>
            </w:pPr>
            <w:r>
              <w:rPr>
                <w:rFonts w:hint="eastAsia" w:ascii="宋体" w:hAnsi="宋体"/>
                <w:highlight w:val="none"/>
              </w:rPr>
              <w:t>1.1</w:t>
            </w:r>
          </w:p>
        </w:tc>
        <w:tc>
          <w:tcPr>
            <w:tcW w:w="1290" w:type="dxa"/>
            <w:tcBorders>
              <w:top w:val="single" w:color="auto" w:sz="4" w:space="0"/>
              <w:left w:val="nil"/>
              <w:bottom w:val="single" w:color="auto" w:sz="4" w:space="0"/>
              <w:right w:val="single" w:color="auto" w:sz="4" w:space="0"/>
            </w:tcBorders>
            <w:vAlign w:val="center"/>
          </w:tcPr>
          <w:p>
            <w:pPr>
              <w:shd w:val="clear"/>
              <w:spacing w:before="0" w:after="0" w:afterAutospacing="0"/>
              <w:ind w:left="0" w:right="0" w:firstLine="0"/>
              <w:rPr>
                <w:rFonts w:ascii="宋体" w:hAnsi="宋体"/>
                <w:highlight w:val="none"/>
              </w:rPr>
            </w:pPr>
            <w:r>
              <w:rPr>
                <w:rFonts w:hint="eastAsia" w:ascii="宋体" w:hAnsi="宋体"/>
                <w:highlight w:val="none"/>
              </w:rPr>
              <w:t>比选人</w:t>
            </w:r>
          </w:p>
        </w:tc>
        <w:tc>
          <w:tcPr>
            <w:tcW w:w="6925" w:type="dxa"/>
            <w:tcBorders>
              <w:top w:val="single" w:color="auto" w:sz="4" w:space="0"/>
              <w:left w:val="nil"/>
              <w:bottom w:val="single" w:color="auto" w:sz="4" w:space="0"/>
              <w:right w:val="single" w:color="auto" w:sz="4" w:space="0"/>
            </w:tcBorders>
            <w:vAlign w:val="center"/>
          </w:tcPr>
          <w:p>
            <w:pPr>
              <w:shd w:val="clear"/>
              <w:spacing w:before="0" w:after="0" w:afterAutospacing="0"/>
              <w:ind w:left="0" w:right="0" w:firstLine="0"/>
              <w:rPr>
                <w:rFonts w:ascii="宋体" w:hAnsi="宋体"/>
                <w:highlight w:val="none"/>
              </w:rPr>
            </w:pPr>
            <w:r>
              <w:rPr>
                <w:rFonts w:hint="eastAsia" w:ascii="宋体" w:hAnsi="宋体"/>
                <w:highlight w:val="none"/>
              </w:rPr>
              <w:t>名称：南宁轨道交通运营有限公司</w:t>
            </w:r>
          </w:p>
          <w:p>
            <w:pPr>
              <w:shd w:val="clear"/>
              <w:spacing w:before="0" w:after="0" w:afterAutospacing="0"/>
              <w:ind w:left="0" w:right="0" w:firstLine="0"/>
              <w:rPr>
                <w:rFonts w:ascii="宋体" w:hAnsi="宋体"/>
                <w:highlight w:val="none"/>
              </w:rPr>
            </w:pPr>
            <w:r>
              <w:rPr>
                <w:rFonts w:hint="eastAsia" w:ascii="宋体" w:hAnsi="宋体"/>
                <w:highlight w:val="none"/>
              </w:rPr>
              <w:t>地址：南宁市青秀区云景路83号</w:t>
            </w:r>
          </w:p>
          <w:p>
            <w:pPr>
              <w:shd w:val="clear"/>
              <w:spacing w:before="0" w:after="0" w:afterAutospacing="0"/>
              <w:ind w:left="0" w:right="0" w:firstLine="0"/>
              <w:rPr>
                <w:rFonts w:ascii="宋体" w:hAnsi="宋体"/>
                <w:highlight w:val="none"/>
              </w:rPr>
            </w:pPr>
            <w:r>
              <w:rPr>
                <w:rFonts w:hint="eastAsia" w:ascii="宋体" w:hAnsi="宋体"/>
                <w:highlight w:val="none"/>
              </w:rPr>
              <w:t>联系人：</w:t>
            </w:r>
            <w:r>
              <w:rPr>
                <w:rFonts w:hint="eastAsia" w:ascii="宋体" w:hAnsi="宋体"/>
                <w:highlight w:val="none"/>
                <w:u w:val="none"/>
                <w:lang w:val="en-US" w:eastAsia="zh-CN"/>
              </w:rPr>
              <w:t>莫</w:t>
            </w:r>
            <w:r>
              <w:rPr>
                <w:rFonts w:hint="eastAsia" w:ascii="宋体" w:hAnsi="宋体"/>
                <w:highlight w:val="none"/>
                <w:u w:val="none"/>
              </w:rPr>
              <w:t>工</w:t>
            </w:r>
            <w:r>
              <w:rPr>
                <w:rFonts w:hint="eastAsia" w:ascii="宋体" w:hAnsi="宋体"/>
                <w:highlight w:val="none"/>
                <w:u w:val="none"/>
                <w:lang w:eastAsia="zh-CN"/>
              </w:rPr>
              <w:t>、</w:t>
            </w:r>
            <w:r>
              <w:rPr>
                <w:rFonts w:hint="eastAsia" w:ascii="宋体" w:hAnsi="宋体"/>
                <w:highlight w:val="none"/>
                <w:u w:val="none"/>
                <w:lang w:val="en-US" w:eastAsia="zh-CN"/>
              </w:rPr>
              <w:t>梁工</w:t>
            </w:r>
          </w:p>
          <w:p>
            <w:pPr>
              <w:shd w:val="clear"/>
              <w:spacing w:before="0" w:after="0" w:afterAutospacing="0"/>
              <w:ind w:left="0" w:right="0" w:firstLine="0"/>
              <w:rPr>
                <w:rFonts w:hint="default" w:ascii="宋体" w:hAnsi="宋体" w:eastAsia="宋体"/>
                <w:highlight w:val="none"/>
                <w:lang w:val="en-US" w:eastAsia="zh-CN"/>
              </w:rPr>
            </w:pPr>
            <w:r>
              <w:rPr>
                <w:rFonts w:hint="eastAsia" w:ascii="宋体" w:hAnsi="宋体"/>
                <w:highlight w:val="none"/>
              </w:rPr>
              <w:t>联系电话：</w:t>
            </w:r>
            <w:r>
              <w:rPr>
                <w:rFonts w:ascii="宋体" w:hAnsi="宋体"/>
                <w:highlight w:val="none"/>
              </w:rPr>
              <w:t>0771-27783</w:t>
            </w:r>
            <w:r>
              <w:rPr>
                <w:rFonts w:hint="eastAsia" w:ascii="宋体" w:hAnsi="宋体"/>
                <w:highlight w:val="none"/>
                <w:lang w:val="en-US" w:eastAsia="zh-CN"/>
              </w:rPr>
              <w:t>12、</w:t>
            </w:r>
            <w:r>
              <w:rPr>
                <w:rFonts w:hint="eastAsia" w:ascii="宋体" w:hAnsi="宋体"/>
                <w:highlight w:val="none"/>
                <w:u w:val="none"/>
              </w:rPr>
              <w:t>0771-2778</w:t>
            </w:r>
            <w:r>
              <w:rPr>
                <w:rFonts w:hint="eastAsia" w:ascii="宋体" w:hAnsi="宋体"/>
                <w:highlight w:val="none"/>
                <w:u w:val="none"/>
                <w:lang w:val="en-US" w:eastAsia="zh-CN"/>
              </w:rPr>
              <w:t>623</w:t>
            </w:r>
          </w:p>
        </w:tc>
      </w:tr>
      <w:tr>
        <w:tblPrEx>
          <w:tblCellMar>
            <w:top w:w="0" w:type="dxa"/>
            <w:left w:w="108" w:type="dxa"/>
            <w:bottom w:w="0" w:type="dxa"/>
            <w:right w:w="108" w:type="dxa"/>
          </w:tblCellMar>
        </w:tblPrEx>
        <w:trPr>
          <w:trHeight w:val="140" w:hRule="atLeast"/>
        </w:trPr>
        <w:tc>
          <w:tcPr>
            <w:tcW w:w="902" w:type="dxa"/>
            <w:tcBorders>
              <w:top w:val="single" w:color="auto" w:sz="4" w:space="0"/>
              <w:left w:val="single" w:color="auto" w:sz="4" w:space="0"/>
              <w:bottom w:val="single" w:color="auto" w:sz="4" w:space="0"/>
              <w:right w:val="single" w:color="auto" w:sz="4" w:space="0"/>
            </w:tcBorders>
            <w:vAlign w:val="center"/>
          </w:tcPr>
          <w:p>
            <w:pPr>
              <w:shd w:val="clear"/>
              <w:spacing w:before="0" w:after="0" w:afterAutospacing="0"/>
              <w:ind w:left="0" w:right="0" w:firstLine="0"/>
              <w:rPr>
                <w:rFonts w:ascii="宋体" w:hAnsi="宋体"/>
                <w:highlight w:val="none"/>
              </w:rPr>
            </w:pPr>
            <w:r>
              <w:rPr>
                <w:rFonts w:hint="eastAsia" w:ascii="宋体" w:hAnsi="宋体"/>
                <w:highlight w:val="none"/>
              </w:rPr>
              <w:t>1.2</w:t>
            </w:r>
          </w:p>
        </w:tc>
        <w:tc>
          <w:tcPr>
            <w:tcW w:w="1290" w:type="dxa"/>
            <w:tcBorders>
              <w:top w:val="single" w:color="auto" w:sz="4" w:space="0"/>
              <w:left w:val="nil"/>
              <w:bottom w:val="single" w:color="auto" w:sz="4" w:space="0"/>
              <w:right w:val="single" w:color="auto" w:sz="4" w:space="0"/>
            </w:tcBorders>
            <w:vAlign w:val="center"/>
          </w:tcPr>
          <w:p>
            <w:pPr>
              <w:shd w:val="clear"/>
              <w:spacing w:before="0" w:after="0" w:afterAutospacing="0"/>
              <w:ind w:left="0" w:right="0" w:firstLine="0"/>
              <w:rPr>
                <w:rFonts w:ascii="宋体" w:hAnsi="宋体"/>
                <w:color w:val="auto"/>
                <w:highlight w:val="none"/>
              </w:rPr>
            </w:pPr>
            <w:r>
              <w:rPr>
                <w:rFonts w:hint="eastAsia" w:ascii="宋体" w:hAnsi="宋体"/>
                <w:color w:val="auto"/>
                <w:highlight w:val="none"/>
              </w:rPr>
              <w:t>项目名称</w:t>
            </w:r>
          </w:p>
        </w:tc>
        <w:tc>
          <w:tcPr>
            <w:tcW w:w="6925" w:type="dxa"/>
            <w:tcBorders>
              <w:top w:val="single" w:color="auto" w:sz="4" w:space="0"/>
              <w:left w:val="nil"/>
              <w:bottom w:val="single" w:color="auto" w:sz="4" w:space="0"/>
              <w:right w:val="single" w:color="auto" w:sz="4" w:space="0"/>
            </w:tcBorders>
            <w:vAlign w:val="center"/>
          </w:tcPr>
          <w:p>
            <w:pPr>
              <w:shd w:val="clear"/>
              <w:spacing w:before="0" w:after="0" w:afterAutospacing="0"/>
              <w:ind w:left="0" w:right="0" w:firstLine="0"/>
              <w:rPr>
                <w:rFonts w:ascii="宋体" w:hAnsi="宋体"/>
                <w:color w:val="auto"/>
                <w:highlight w:val="none"/>
              </w:rPr>
            </w:pPr>
            <w:r>
              <w:rPr>
                <w:rFonts w:hint="eastAsia" w:ascii="宋体" w:hAnsi="宋体"/>
                <w:color w:val="auto"/>
                <w:highlight w:val="none"/>
              </w:rPr>
              <w:t>控制中心电动汽车充电桩喷淋系统采购项目</w:t>
            </w:r>
          </w:p>
        </w:tc>
      </w:tr>
      <w:tr>
        <w:tblPrEx>
          <w:tblCellMar>
            <w:top w:w="0" w:type="dxa"/>
            <w:left w:w="108" w:type="dxa"/>
            <w:bottom w:w="0" w:type="dxa"/>
            <w:right w:w="108" w:type="dxa"/>
          </w:tblCellMar>
        </w:tblPrEx>
        <w:trPr>
          <w:trHeight w:val="140" w:hRule="atLeast"/>
        </w:trPr>
        <w:tc>
          <w:tcPr>
            <w:tcW w:w="902" w:type="dxa"/>
            <w:tcBorders>
              <w:top w:val="single" w:color="auto" w:sz="4" w:space="0"/>
              <w:left w:val="single" w:color="auto" w:sz="4" w:space="0"/>
              <w:bottom w:val="single" w:color="auto" w:sz="4" w:space="0"/>
              <w:right w:val="single" w:color="auto" w:sz="4" w:space="0"/>
            </w:tcBorders>
            <w:vAlign w:val="center"/>
          </w:tcPr>
          <w:p>
            <w:pPr>
              <w:shd w:val="clear"/>
              <w:spacing w:before="0" w:after="0" w:afterAutospacing="0"/>
              <w:ind w:left="0" w:right="0" w:firstLine="0"/>
              <w:rPr>
                <w:rFonts w:ascii="宋体" w:hAnsi="宋体"/>
                <w:highlight w:val="none"/>
              </w:rPr>
            </w:pPr>
            <w:r>
              <w:rPr>
                <w:rFonts w:hint="eastAsia" w:ascii="宋体" w:hAnsi="宋体"/>
                <w:highlight w:val="none"/>
              </w:rPr>
              <w:t>1.3</w:t>
            </w:r>
          </w:p>
        </w:tc>
        <w:tc>
          <w:tcPr>
            <w:tcW w:w="1290" w:type="dxa"/>
            <w:tcBorders>
              <w:top w:val="single" w:color="auto" w:sz="4" w:space="0"/>
              <w:left w:val="nil"/>
              <w:bottom w:val="single" w:color="auto" w:sz="4" w:space="0"/>
              <w:right w:val="single" w:color="auto" w:sz="4" w:space="0"/>
            </w:tcBorders>
            <w:vAlign w:val="center"/>
          </w:tcPr>
          <w:p>
            <w:pPr>
              <w:shd w:val="clear"/>
              <w:spacing w:before="0" w:after="0" w:afterAutospacing="0"/>
              <w:ind w:left="0" w:right="0" w:firstLine="0"/>
              <w:rPr>
                <w:rFonts w:ascii="宋体" w:hAnsi="宋体"/>
                <w:color w:val="auto"/>
                <w:highlight w:val="none"/>
              </w:rPr>
            </w:pPr>
            <w:r>
              <w:rPr>
                <w:rFonts w:hint="eastAsia" w:ascii="宋体" w:hAnsi="宋体"/>
                <w:color w:val="auto"/>
                <w:highlight w:val="none"/>
              </w:rPr>
              <w:t>项目编号</w:t>
            </w:r>
          </w:p>
        </w:tc>
        <w:tc>
          <w:tcPr>
            <w:tcW w:w="6925" w:type="dxa"/>
            <w:tcBorders>
              <w:top w:val="single" w:color="auto" w:sz="4" w:space="0"/>
              <w:left w:val="nil"/>
              <w:bottom w:val="single" w:color="auto" w:sz="4" w:space="0"/>
              <w:right w:val="single" w:color="auto" w:sz="4" w:space="0"/>
            </w:tcBorders>
            <w:vAlign w:val="center"/>
          </w:tcPr>
          <w:p>
            <w:pPr>
              <w:shd w:val="clear"/>
              <w:spacing w:before="0" w:after="0" w:afterAutospacing="0"/>
              <w:ind w:left="0" w:right="0" w:firstLine="0"/>
              <w:rPr>
                <w:rFonts w:ascii="宋体" w:hAnsi="宋体"/>
                <w:color w:val="auto"/>
                <w:highlight w:val="none"/>
              </w:rPr>
            </w:pPr>
            <w:r>
              <w:rPr>
                <w:rFonts w:ascii="宋体" w:hAnsi="宋体"/>
                <w:color w:val="auto"/>
                <w:highlight w:val="none"/>
              </w:rPr>
              <w:t>202306250002</w:t>
            </w:r>
          </w:p>
        </w:tc>
      </w:tr>
      <w:tr>
        <w:tblPrEx>
          <w:tblCellMar>
            <w:top w:w="0" w:type="dxa"/>
            <w:left w:w="108" w:type="dxa"/>
            <w:bottom w:w="0" w:type="dxa"/>
            <w:right w:w="108" w:type="dxa"/>
          </w:tblCellMar>
        </w:tblPrEx>
        <w:trPr>
          <w:trHeight w:val="140" w:hRule="atLeast"/>
        </w:trPr>
        <w:tc>
          <w:tcPr>
            <w:tcW w:w="902" w:type="dxa"/>
            <w:tcBorders>
              <w:top w:val="single" w:color="auto" w:sz="4" w:space="0"/>
              <w:left w:val="single" w:color="auto" w:sz="4" w:space="0"/>
              <w:bottom w:val="single" w:color="auto" w:sz="4" w:space="0"/>
              <w:right w:val="single" w:color="auto" w:sz="4" w:space="0"/>
            </w:tcBorders>
            <w:vAlign w:val="center"/>
          </w:tcPr>
          <w:p>
            <w:pPr>
              <w:shd w:val="clear"/>
              <w:spacing w:before="0" w:after="0" w:afterAutospacing="0"/>
              <w:ind w:left="0" w:right="0" w:firstLine="0"/>
              <w:rPr>
                <w:rFonts w:ascii="宋体" w:hAnsi="宋体"/>
                <w:highlight w:val="none"/>
              </w:rPr>
            </w:pPr>
            <w:r>
              <w:rPr>
                <w:rFonts w:hint="eastAsia" w:ascii="宋体" w:hAnsi="宋体"/>
                <w:highlight w:val="none"/>
              </w:rPr>
              <w:t>1.4</w:t>
            </w:r>
          </w:p>
        </w:tc>
        <w:tc>
          <w:tcPr>
            <w:tcW w:w="1290" w:type="dxa"/>
            <w:tcBorders>
              <w:top w:val="single" w:color="auto" w:sz="4" w:space="0"/>
              <w:left w:val="nil"/>
              <w:bottom w:val="single" w:color="auto" w:sz="4" w:space="0"/>
              <w:right w:val="single" w:color="auto" w:sz="4" w:space="0"/>
            </w:tcBorders>
            <w:vAlign w:val="center"/>
          </w:tcPr>
          <w:p>
            <w:pPr>
              <w:shd w:val="clear"/>
              <w:spacing w:before="0" w:after="0" w:afterAutospacing="0"/>
              <w:ind w:left="0" w:right="0" w:firstLine="0"/>
              <w:rPr>
                <w:rFonts w:ascii="宋体" w:hAnsi="宋体"/>
                <w:color w:val="auto"/>
                <w:highlight w:val="none"/>
              </w:rPr>
            </w:pPr>
            <w:r>
              <w:rPr>
                <w:rFonts w:hint="eastAsia" w:ascii="宋体" w:hAnsi="宋体"/>
                <w:color w:val="auto"/>
                <w:highlight w:val="none"/>
              </w:rPr>
              <w:t>比选</w:t>
            </w:r>
            <w:r>
              <w:rPr>
                <w:rFonts w:ascii="宋体" w:hAnsi="宋体"/>
                <w:color w:val="auto"/>
                <w:highlight w:val="none"/>
              </w:rPr>
              <w:t>范围</w:t>
            </w:r>
          </w:p>
        </w:tc>
        <w:tc>
          <w:tcPr>
            <w:tcW w:w="6925" w:type="dxa"/>
            <w:tcBorders>
              <w:top w:val="single" w:color="auto" w:sz="4" w:space="0"/>
              <w:left w:val="nil"/>
              <w:bottom w:val="single" w:color="auto" w:sz="4" w:space="0"/>
              <w:right w:val="single" w:color="auto" w:sz="4" w:space="0"/>
            </w:tcBorders>
            <w:vAlign w:val="top"/>
          </w:tcPr>
          <w:p>
            <w:pPr>
              <w:shd w:val="clear"/>
              <w:spacing w:before="0" w:after="0" w:afterAutospacing="0"/>
              <w:ind w:left="755" w:leftChars="23" w:right="0" w:hanging="707" w:hangingChars="337"/>
              <w:jc w:val="both"/>
              <w:rPr>
                <w:rFonts w:hint="eastAsia" w:ascii="宋体" w:hAnsi="宋体"/>
                <w:color w:val="auto"/>
                <w:highlight w:val="none"/>
              </w:rPr>
            </w:pPr>
            <w:r>
              <w:rPr>
                <w:rFonts w:hint="eastAsia" w:ascii="宋体" w:hAnsi="宋体"/>
                <w:color w:val="auto"/>
                <w:highlight w:val="none"/>
              </w:rPr>
              <w:t>南宁轨道交通运营有限公司控制中心内70个电动汽车充电桩车棚上方加</w:t>
            </w:r>
          </w:p>
          <w:p>
            <w:pPr>
              <w:shd w:val="clear"/>
              <w:spacing w:before="0" w:after="0" w:afterAutospacing="0"/>
              <w:ind w:left="755" w:leftChars="23" w:right="0" w:hanging="707" w:hangingChars="337"/>
              <w:jc w:val="both"/>
              <w:rPr>
                <w:rFonts w:ascii="宋体" w:hAnsi="宋体"/>
                <w:color w:val="auto"/>
                <w:highlight w:val="none"/>
              </w:rPr>
            </w:pPr>
            <w:r>
              <w:rPr>
                <w:rFonts w:hint="eastAsia" w:ascii="宋体" w:hAnsi="宋体"/>
                <w:color w:val="auto"/>
                <w:highlight w:val="none"/>
              </w:rPr>
              <w:t>装自动喷淋灭火系统,具体详见用户需求书。</w:t>
            </w:r>
          </w:p>
        </w:tc>
      </w:tr>
      <w:tr>
        <w:tblPrEx>
          <w:tblCellMar>
            <w:top w:w="0" w:type="dxa"/>
            <w:left w:w="108" w:type="dxa"/>
            <w:bottom w:w="0" w:type="dxa"/>
            <w:right w:w="108" w:type="dxa"/>
          </w:tblCellMar>
        </w:tblPrEx>
        <w:trPr>
          <w:trHeight w:val="140" w:hRule="atLeast"/>
        </w:trPr>
        <w:tc>
          <w:tcPr>
            <w:tcW w:w="902" w:type="dxa"/>
            <w:tcBorders>
              <w:top w:val="single" w:color="auto" w:sz="4" w:space="0"/>
              <w:left w:val="single" w:color="auto" w:sz="4" w:space="0"/>
              <w:bottom w:val="single" w:color="auto" w:sz="4" w:space="0"/>
              <w:right w:val="single" w:color="auto" w:sz="4" w:space="0"/>
            </w:tcBorders>
            <w:vAlign w:val="center"/>
          </w:tcPr>
          <w:p>
            <w:pPr>
              <w:shd w:val="clear"/>
              <w:spacing w:before="0" w:after="0" w:afterAutospacing="0"/>
              <w:ind w:left="0" w:right="0" w:firstLine="0"/>
              <w:rPr>
                <w:rFonts w:ascii="宋体" w:hAnsi="宋体"/>
                <w:highlight w:val="none"/>
              </w:rPr>
            </w:pPr>
            <w:r>
              <w:rPr>
                <w:rFonts w:hint="eastAsia" w:ascii="宋体" w:hAnsi="宋体"/>
                <w:highlight w:val="none"/>
              </w:rPr>
              <w:t>1.5</w:t>
            </w:r>
          </w:p>
        </w:tc>
        <w:tc>
          <w:tcPr>
            <w:tcW w:w="1290" w:type="dxa"/>
            <w:tcBorders>
              <w:top w:val="single" w:color="auto" w:sz="4" w:space="0"/>
              <w:left w:val="nil"/>
              <w:bottom w:val="single" w:color="auto" w:sz="4" w:space="0"/>
              <w:right w:val="single" w:color="auto" w:sz="4" w:space="0"/>
            </w:tcBorders>
            <w:vAlign w:val="center"/>
          </w:tcPr>
          <w:p>
            <w:pPr>
              <w:shd w:val="clear"/>
              <w:spacing w:before="0" w:after="0" w:afterAutospacing="0"/>
              <w:ind w:left="0" w:right="0" w:firstLine="0"/>
              <w:rPr>
                <w:rFonts w:ascii="宋体" w:hAnsi="宋体"/>
                <w:color w:val="auto"/>
                <w:highlight w:val="none"/>
              </w:rPr>
            </w:pPr>
            <w:r>
              <w:rPr>
                <w:rFonts w:hint="eastAsia" w:ascii="宋体" w:hAnsi="宋体"/>
                <w:color w:val="auto"/>
                <w:highlight w:val="none"/>
              </w:rPr>
              <w:t>工期</w:t>
            </w:r>
          </w:p>
        </w:tc>
        <w:tc>
          <w:tcPr>
            <w:tcW w:w="6925" w:type="dxa"/>
            <w:tcBorders>
              <w:top w:val="single" w:color="auto" w:sz="4" w:space="0"/>
              <w:left w:val="nil"/>
              <w:bottom w:val="single" w:color="auto" w:sz="4" w:space="0"/>
              <w:right w:val="single" w:color="auto" w:sz="4" w:space="0"/>
            </w:tcBorders>
            <w:vAlign w:val="center"/>
          </w:tcPr>
          <w:p>
            <w:pPr>
              <w:shd w:val="clear"/>
              <w:spacing w:before="0" w:after="0" w:afterAutospacing="0"/>
              <w:ind w:left="0" w:right="0" w:firstLine="0"/>
              <w:rPr>
                <w:rFonts w:ascii="宋体" w:hAnsi="宋体"/>
                <w:color w:val="auto"/>
                <w:highlight w:val="none"/>
              </w:rPr>
            </w:pPr>
            <w:r>
              <w:rPr>
                <w:rFonts w:hint="eastAsia" w:ascii="宋体" w:hAnsi="宋体"/>
                <w:color w:val="auto"/>
                <w:highlight w:val="none"/>
              </w:rPr>
              <w:t>共</w:t>
            </w:r>
            <w:r>
              <w:rPr>
                <w:rFonts w:ascii="宋体" w:hAnsi="宋体"/>
                <w:color w:val="auto"/>
                <w:highlight w:val="none"/>
              </w:rPr>
              <w:t>60</w:t>
            </w:r>
            <w:r>
              <w:rPr>
                <w:rFonts w:hint="eastAsia" w:ascii="宋体" w:hAnsi="宋体"/>
                <w:color w:val="auto"/>
                <w:highlight w:val="none"/>
              </w:rPr>
              <w:t>天（如遇特殊情况或极端天气则工期顺延），具体开工日期以比选人开工令发布时间为准。</w:t>
            </w:r>
          </w:p>
        </w:tc>
      </w:tr>
      <w:tr>
        <w:tblPrEx>
          <w:tblCellMar>
            <w:top w:w="0" w:type="dxa"/>
            <w:left w:w="108" w:type="dxa"/>
            <w:bottom w:w="0" w:type="dxa"/>
            <w:right w:w="108" w:type="dxa"/>
          </w:tblCellMar>
        </w:tblPrEx>
        <w:trPr>
          <w:trHeight w:val="140" w:hRule="atLeast"/>
        </w:trPr>
        <w:tc>
          <w:tcPr>
            <w:tcW w:w="902" w:type="dxa"/>
            <w:tcBorders>
              <w:top w:val="single" w:color="auto" w:sz="4" w:space="0"/>
              <w:left w:val="single" w:color="auto" w:sz="4" w:space="0"/>
              <w:bottom w:val="single" w:color="auto" w:sz="4" w:space="0"/>
              <w:right w:val="single" w:color="auto" w:sz="4" w:space="0"/>
            </w:tcBorders>
            <w:vAlign w:val="center"/>
          </w:tcPr>
          <w:p>
            <w:pPr>
              <w:shd w:val="clear"/>
              <w:spacing w:before="0" w:after="0" w:afterAutospacing="0"/>
              <w:ind w:left="0" w:right="0" w:firstLine="0"/>
              <w:rPr>
                <w:rFonts w:ascii="宋体" w:hAnsi="宋体"/>
                <w:highlight w:val="none"/>
              </w:rPr>
            </w:pPr>
            <w:r>
              <w:rPr>
                <w:rFonts w:hint="eastAsia" w:ascii="宋体" w:hAnsi="宋体"/>
                <w:highlight w:val="none"/>
              </w:rPr>
              <w:t>1.6</w:t>
            </w:r>
          </w:p>
        </w:tc>
        <w:tc>
          <w:tcPr>
            <w:tcW w:w="1290" w:type="dxa"/>
            <w:tcBorders>
              <w:top w:val="single" w:color="auto" w:sz="4" w:space="0"/>
              <w:left w:val="nil"/>
              <w:bottom w:val="single" w:color="auto" w:sz="4" w:space="0"/>
              <w:right w:val="single" w:color="auto" w:sz="4" w:space="0"/>
            </w:tcBorders>
            <w:vAlign w:val="center"/>
          </w:tcPr>
          <w:p>
            <w:pPr>
              <w:shd w:val="clear"/>
              <w:spacing w:before="0" w:after="0" w:afterAutospacing="0"/>
              <w:ind w:left="0" w:right="0" w:firstLine="0"/>
              <w:rPr>
                <w:rFonts w:ascii="宋体" w:hAnsi="宋体"/>
                <w:color w:val="auto"/>
                <w:highlight w:val="none"/>
              </w:rPr>
            </w:pPr>
            <w:r>
              <w:rPr>
                <w:rFonts w:hint="eastAsia" w:ascii="宋体" w:hAnsi="宋体"/>
                <w:color w:val="auto"/>
                <w:highlight w:val="none"/>
              </w:rPr>
              <w:t>资金来源</w:t>
            </w:r>
          </w:p>
        </w:tc>
        <w:tc>
          <w:tcPr>
            <w:tcW w:w="6925" w:type="dxa"/>
            <w:tcBorders>
              <w:top w:val="single" w:color="auto" w:sz="4" w:space="0"/>
              <w:left w:val="nil"/>
              <w:bottom w:val="single" w:color="auto" w:sz="4" w:space="0"/>
              <w:right w:val="single" w:color="auto" w:sz="4" w:space="0"/>
            </w:tcBorders>
            <w:vAlign w:val="center"/>
          </w:tcPr>
          <w:p>
            <w:pPr>
              <w:shd w:val="clear"/>
              <w:spacing w:before="0" w:after="0" w:afterAutospacing="0"/>
              <w:ind w:left="0" w:right="0" w:firstLine="0"/>
              <w:rPr>
                <w:rFonts w:ascii="宋体" w:hAnsi="宋体"/>
                <w:color w:val="auto"/>
                <w:highlight w:val="none"/>
              </w:rPr>
            </w:pPr>
            <w:r>
              <w:rPr>
                <w:rFonts w:hint="eastAsia" w:ascii="宋体" w:hAnsi="宋体"/>
                <w:color w:val="auto"/>
                <w:highlight w:val="none"/>
              </w:rPr>
              <w:t>建设资金（非工程概算）</w:t>
            </w:r>
          </w:p>
        </w:tc>
      </w:tr>
      <w:tr>
        <w:tblPrEx>
          <w:tblCellMar>
            <w:top w:w="0" w:type="dxa"/>
            <w:left w:w="108" w:type="dxa"/>
            <w:bottom w:w="0" w:type="dxa"/>
            <w:right w:w="108" w:type="dxa"/>
          </w:tblCellMar>
        </w:tblPrEx>
        <w:trPr>
          <w:trHeight w:val="1207" w:hRule="atLeast"/>
        </w:trPr>
        <w:tc>
          <w:tcPr>
            <w:tcW w:w="902" w:type="dxa"/>
            <w:tcBorders>
              <w:top w:val="single" w:color="auto" w:sz="4" w:space="0"/>
              <w:left w:val="single" w:color="auto" w:sz="4" w:space="0"/>
              <w:bottom w:val="single" w:color="auto" w:sz="4" w:space="0"/>
              <w:right w:val="single" w:color="auto" w:sz="4" w:space="0"/>
            </w:tcBorders>
            <w:vAlign w:val="center"/>
          </w:tcPr>
          <w:p>
            <w:pPr>
              <w:shd w:val="clear"/>
              <w:spacing w:before="0" w:after="0" w:afterAutospacing="0"/>
              <w:ind w:left="0" w:right="0" w:firstLine="0"/>
              <w:rPr>
                <w:rFonts w:ascii="宋体" w:hAnsi="宋体"/>
                <w:highlight w:val="none"/>
              </w:rPr>
            </w:pPr>
            <w:r>
              <w:rPr>
                <w:rFonts w:hint="eastAsia" w:ascii="宋体" w:hAnsi="宋体"/>
                <w:highlight w:val="none"/>
              </w:rPr>
              <w:t>1.7</w:t>
            </w:r>
          </w:p>
        </w:tc>
        <w:tc>
          <w:tcPr>
            <w:tcW w:w="1290" w:type="dxa"/>
            <w:tcBorders>
              <w:top w:val="single" w:color="auto" w:sz="4" w:space="0"/>
              <w:left w:val="nil"/>
              <w:bottom w:val="single" w:color="auto" w:sz="4" w:space="0"/>
              <w:right w:val="single" w:color="auto" w:sz="4" w:space="0"/>
            </w:tcBorders>
            <w:vAlign w:val="center"/>
          </w:tcPr>
          <w:p>
            <w:pPr>
              <w:shd w:val="clear"/>
              <w:spacing w:before="0" w:after="0" w:afterAutospacing="0"/>
              <w:ind w:left="0" w:right="0" w:firstLine="0"/>
              <w:rPr>
                <w:rFonts w:ascii="宋体" w:hAnsi="宋体"/>
                <w:color w:val="auto"/>
                <w:highlight w:val="none"/>
              </w:rPr>
            </w:pPr>
            <w:r>
              <w:rPr>
                <w:rFonts w:hint="eastAsia" w:ascii="宋体" w:hAnsi="宋体"/>
                <w:color w:val="auto"/>
                <w:highlight w:val="none"/>
              </w:rPr>
              <w:t>上限控制价</w:t>
            </w:r>
          </w:p>
        </w:tc>
        <w:tc>
          <w:tcPr>
            <w:tcW w:w="6925" w:type="dxa"/>
            <w:tcBorders>
              <w:top w:val="single" w:color="auto" w:sz="4" w:space="0"/>
              <w:left w:val="nil"/>
              <w:bottom w:val="single" w:color="auto" w:sz="4" w:space="0"/>
              <w:right w:val="single" w:color="auto" w:sz="4" w:space="0"/>
            </w:tcBorders>
            <w:vAlign w:val="center"/>
          </w:tcPr>
          <w:p>
            <w:pPr>
              <w:shd w:val="clear"/>
              <w:spacing w:before="0" w:after="0" w:afterAutospacing="0"/>
              <w:ind w:left="0" w:right="0" w:firstLine="0"/>
              <w:rPr>
                <w:rFonts w:ascii="宋体" w:hAnsi="宋体"/>
                <w:color w:val="auto"/>
                <w:highlight w:val="none"/>
              </w:rPr>
            </w:pPr>
            <w:r>
              <w:rPr>
                <w:rFonts w:hint="eastAsia" w:ascii="宋体" w:hAnsi="宋体"/>
                <w:color w:val="auto"/>
                <w:highlight w:val="none"/>
              </w:rPr>
              <w:t>上限控制价：本项目不含税上限控制价为人民币</w:t>
            </w:r>
            <w:r>
              <w:rPr>
                <w:rFonts w:hint="eastAsia" w:ascii="宋体" w:hAnsi="宋体"/>
                <w:color w:val="auto"/>
                <w:highlight w:val="none"/>
                <w:u w:val="single"/>
              </w:rPr>
              <w:t>35</w:t>
            </w:r>
            <w:r>
              <w:rPr>
                <w:rFonts w:hint="eastAsia" w:ascii="宋体" w:hAnsi="宋体"/>
                <w:color w:val="auto"/>
                <w:highlight w:val="none"/>
                <w:u w:val="single"/>
                <w:lang w:val="en-US" w:eastAsia="zh-CN"/>
              </w:rPr>
              <w:t>3000.00</w:t>
            </w:r>
            <w:r>
              <w:rPr>
                <w:rFonts w:hint="eastAsia" w:ascii="宋体" w:hAnsi="宋体"/>
                <w:color w:val="auto"/>
                <w:highlight w:val="none"/>
              </w:rPr>
              <w:t>元。比选申请不含税报价高于上限控制价的比选申请文件将按否决比选申请处理。</w:t>
            </w:r>
          </w:p>
        </w:tc>
      </w:tr>
      <w:tr>
        <w:tblPrEx>
          <w:tblCellMar>
            <w:top w:w="0" w:type="dxa"/>
            <w:left w:w="108" w:type="dxa"/>
            <w:bottom w:w="0" w:type="dxa"/>
            <w:right w:w="108" w:type="dxa"/>
          </w:tblCellMar>
        </w:tblPrEx>
        <w:trPr>
          <w:trHeight w:val="4458" w:hRule="atLeast"/>
        </w:trPr>
        <w:tc>
          <w:tcPr>
            <w:tcW w:w="902" w:type="dxa"/>
            <w:tcBorders>
              <w:top w:val="single" w:color="auto" w:sz="4" w:space="0"/>
              <w:left w:val="single" w:color="auto" w:sz="4" w:space="0"/>
              <w:bottom w:val="single" w:color="auto" w:sz="4" w:space="0"/>
              <w:right w:val="single" w:color="auto" w:sz="4" w:space="0"/>
            </w:tcBorders>
            <w:vAlign w:val="center"/>
          </w:tcPr>
          <w:p>
            <w:pPr>
              <w:shd w:val="clear"/>
              <w:spacing w:before="0" w:after="0" w:afterAutospacing="0"/>
              <w:ind w:left="0" w:right="0" w:firstLine="0"/>
              <w:rPr>
                <w:rFonts w:ascii="宋体" w:hAnsi="宋体"/>
                <w:highlight w:val="none"/>
              </w:rPr>
            </w:pPr>
            <w:r>
              <w:rPr>
                <w:rFonts w:hint="eastAsia" w:ascii="宋体" w:hAnsi="宋体"/>
                <w:highlight w:val="none"/>
              </w:rPr>
              <w:t>3</w:t>
            </w:r>
          </w:p>
        </w:tc>
        <w:tc>
          <w:tcPr>
            <w:tcW w:w="1290" w:type="dxa"/>
            <w:tcBorders>
              <w:top w:val="single" w:color="auto" w:sz="4" w:space="0"/>
              <w:left w:val="nil"/>
              <w:bottom w:val="single" w:color="auto" w:sz="4" w:space="0"/>
              <w:right w:val="single" w:color="auto" w:sz="4" w:space="0"/>
            </w:tcBorders>
            <w:vAlign w:val="center"/>
          </w:tcPr>
          <w:p>
            <w:pPr>
              <w:shd w:val="clear"/>
              <w:spacing w:before="0" w:after="0" w:afterAutospacing="0" w:line="360" w:lineRule="auto"/>
              <w:ind w:left="0" w:right="0" w:firstLine="0"/>
              <w:rPr>
                <w:rFonts w:hint="eastAsia" w:ascii="宋体" w:hAnsi="宋体" w:eastAsia="宋体" w:cs="Times New Roman"/>
                <w:sz w:val="21"/>
                <w:szCs w:val="21"/>
                <w:highlight w:val="none"/>
                <w:lang w:val="en-US" w:eastAsia="zh-CN" w:bidi="ar-SA"/>
              </w:rPr>
            </w:pPr>
            <w:r>
              <w:rPr>
                <w:rFonts w:hint="eastAsia" w:ascii="宋体" w:hAnsi="宋体" w:eastAsia="宋体" w:cs="Times New Roman"/>
                <w:sz w:val="21"/>
                <w:szCs w:val="21"/>
                <w:highlight w:val="none"/>
                <w:lang w:val="en-US" w:eastAsia="zh-CN" w:bidi="ar-SA"/>
              </w:rPr>
              <w:t>比选申请人应具备的资格条件</w:t>
            </w:r>
          </w:p>
        </w:tc>
        <w:tc>
          <w:tcPr>
            <w:tcW w:w="6925" w:type="dxa"/>
            <w:tcBorders>
              <w:top w:val="single" w:color="auto" w:sz="4" w:space="0"/>
              <w:left w:val="nil"/>
              <w:bottom w:val="single" w:color="auto" w:sz="4" w:space="0"/>
              <w:right w:val="single" w:color="auto" w:sz="4" w:space="0"/>
            </w:tcBorders>
            <w:vAlign w:val="center"/>
          </w:tcPr>
          <w:p>
            <w:pPr>
              <w:shd w:val="clear"/>
              <w:spacing w:before="0" w:after="0" w:afterAutospacing="0" w:line="360" w:lineRule="auto"/>
              <w:ind w:left="0" w:right="0" w:firstLine="0"/>
              <w:rPr>
                <w:rFonts w:hint="eastAsia" w:ascii="宋体" w:hAnsi="宋体" w:eastAsia="宋体" w:cs="Times New Roman"/>
                <w:sz w:val="21"/>
                <w:szCs w:val="21"/>
                <w:highlight w:val="none"/>
                <w:lang w:val="en-US" w:eastAsia="zh-CN" w:bidi="ar-SA"/>
              </w:rPr>
            </w:pPr>
            <w:r>
              <w:rPr>
                <w:rFonts w:hint="eastAsia" w:ascii="宋体" w:hAnsi="宋体" w:eastAsia="宋体" w:cs="Times New Roman"/>
                <w:sz w:val="21"/>
                <w:szCs w:val="21"/>
                <w:highlight w:val="none"/>
                <w:lang w:val="en-US" w:eastAsia="zh-CN" w:bidi="ar-SA"/>
              </w:rPr>
              <w:t>（1）比选申请人为中华人民共和国境内依法设立的法人或其他组织。</w:t>
            </w:r>
          </w:p>
          <w:p>
            <w:pPr>
              <w:shd w:val="clear"/>
              <w:spacing w:before="0" w:after="0" w:afterAutospacing="0" w:line="360" w:lineRule="auto"/>
              <w:ind w:left="0" w:right="0" w:firstLine="0"/>
              <w:rPr>
                <w:rFonts w:hint="eastAsia" w:ascii="宋体" w:hAnsi="宋体" w:eastAsia="宋体" w:cs="Times New Roman"/>
                <w:sz w:val="21"/>
                <w:szCs w:val="21"/>
                <w:highlight w:val="none"/>
                <w:lang w:val="en-US" w:eastAsia="zh-CN" w:bidi="ar-SA"/>
              </w:rPr>
            </w:pPr>
            <w:r>
              <w:rPr>
                <w:rFonts w:hint="eastAsia" w:ascii="宋体" w:hAnsi="宋体" w:eastAsia="宋体" w:cs="Times New Roman"/>
                <w:sz w:val="21"/>
                <w:szCs w:val="21"/>
                <w:highlight w:val="none"/>
                <w:lang w:val="en-US" w:eastAsia="zh-CN" w:bidi="ar-SA"/>
              </w:rPr>
              <w:t>（2）业绩条件：比选申请人自2018年1月1日（备注：近5年）至截标时间前至少承接过1项合同金额不少于10万元的消防设施安装项目业绩。</w:t>
            </w:r>
          </w:p>
          <w:p>
            <w:pPr>
              <w:shd w:val="clear"/>
              <w:spacing w:before="0" w:after="0" w:afterAutospacing="0" w:line="360" w:lineRule="auto"/>
              <w:ind w:left="0" w:right="0" w:firstLine="0"/>
              <w:rPr>
                <w:rFonts w:hint="eastAsia" w:ascii="宋体" w:hAnsi="宋体" w:eastAsia="宋体" w:cs="Times New Roman"/>
                <w:sz w:val="21"/>
                <w:szCs w:val="21"/>
                <w:highlight w:val="none"/>
                <w:lang w:val="en-US" w:eastAsia="zh-CN" w:bidi="ar-SA"/>
              </w:rPr>
            </w:pPr>
            <w:r>
              <w:rPr>
                <w:rFonts w:hint="eastAsia" w:ascii="宋体" w:hAnsi="宋体" w:eastAsia="宋体" w:cs="Times New Roman"/>
                <w:sz w:val="21"/>
                <w:szCs w:val="21"/>
                <w:highlight w:val="none"/>
                <w:lang w:val="en-US" w:eastAsia="zh-CN" w:bidi="ar-SA"/>
              </w:rPr>
              <w:t>（3）比选申请人没有处于被行政管部门或业主取消比选申请资格的处罚期内，且没有处于被责令停业，财产被接管、破产状态；自2018年1月1日至开标时间内没有骗取中标、严重违约或重大质量安全责任事故的情况。</w:t>
            </w:r>
          </w:p>
          <w:p>
            <w:pPr>
              <w:shd w:val="clear"/>
              <w:spacing w:before="0" w:after="0" w:afterAutospacing="0" w:line="360" w:lineRule="auto"/>
              <w:ind w:left="0" w:right="0" w:firstLine="0"/>
              <w:rPr>
                <w:rFonts w:hint="eastAsia" w:ascii="宋体" w:hAnsi="宋体" w:eastAsia="宋体" w:cs="Times New Roman"/>
                <w:sz w:val="21"/>
                <w:szCs w:val="21"/>
                <w:highlight w:val="none"/>
                <w:lang w:val="en-US" w:eastAsia="zh-CN" w:bidi="ar-SA"/>
              </w:rPr>
            </w:pPr>
            <w:r>
              <w:rPr>
                <w:rFonts w:hint="eastAsia" w:ascii="宋体" w:hAnsi="宋体" w:eastAsia="宋体" w:cs="Times New Roman"/>
                <w:sz w:val="21"/>
                <w:szCs w:val="21"/>
                <w:highlight w:val="none"/>
                <w:lang w:val="en-US" w:eastAsia="zh-CN" w:bidi="ar-SA"/>
              </w:rPr>
              <w:t>（4）比选申请人应具有消防设施工程专业承包二级或以上资质。</w:t>
            </w:r>
          </w:p>
          <w:p>
            <w:pPr>
              <w:shd w:val="clear"/>
              <w:spacing w:before="0" w:after="0" w:afterAutospacing="0" w:line="360" w:lineRule="auto"/>
              <w:ind w:left="0" w:right="0" w:firstLine="0"/>
              <w:rPr>
                <w:rFonts w:hint="eastAsia" w:ascii="宋体" w:hAnsi="宋体" w:eastAsia="宋体" w:cs="Times New Roman"/>
                <w:sz w:val="21"/>
                <w:szCs w:val="21"/>
                <w:highlight w:val="none"/>
                <w:lang w:val="en-US" w:eastAsia="zh-CN" w:bidi="ar-SA"/>
              </w:rPr>
            </w:pPr>
            <w:r>
              <w:rPr>
                <w:rFonts w:hint="eastAsia" w:ascii="宋体" w:hAnsi="宋体" w:eastAsia="宋体" w:cs="Times New Roman"/>
                <w:sz w:val="21"/>
                <w:szCs w:val="21"/>
                <w:highlight w:val="none"/>
                <w:lang w:val="en-US" w:eastAsia="zh-CN" w:bidi="ar-SA"/>
              </w:rPr>
              <w:t>（5）单位负责人为同一人或者存在控股、管理关系的不同单位，不得参加同一标段比选申请或者未划分标段的同一比选项目比选申请。</w:t>
            </w:r>
          </w:p>
          <w:p>
            <w:pPr>
              <w:shd w:val="clear"/>
              <w:spacing w:before="0" w:after="0" w:afterAutospacing="0" w:line="360" w:lineRule="auto"/>
              <w:ind w:left="0" w:right="0" w:firstLine="0"/>
              <w:rPr>
                <w:rFonts w:hint="eastAsia" w:ascii="宋体" w:hAnsi="宋体" w:eastAsia="宋体" w:cs="Times New Roman"/>
                <w:sz w:val="21"/>
                <w:szCs w:val="21"/>
                <w:highlight w:val="none"/>
                <w:lang w:val="en-US" w:eastAsia="zh-CN" w:bidi="ar-SA"/>
              </w:rPr>
            </w:pPr>
            <w:r>
              <w:rPr>
                <w:rFonts w:hint="eastAsia" w:ascii="宋体" w:hAnsi="宋体" w:eastAsia="宋体" w:cs="Times New Roman"/>
                <w:sz w:val="21"/>
                <w:szCs w:val="21"/>
                <w:highlight w:val="none"/>
                <w:lang w:val="en-US" w:eastAsia="zh-CN" w:bidi="ar-SA"/>
              </w:rPr>
              <w:t>（6）本项目不接受联合体比选申请。</w:t>
            </w:r>
          </w:p>
        </w:tc>
      </w:tr>
      <w:tr>
        <w:tblPrEx>
          <w:tblCellMar>
            <w:top w:w="0" w:type="dxa"/>
            <w:left w:w="108" w:type="dxa"/>
            <w:bottom w:w="0" w:type="dxa"/>
            <w:right w:w="108" w:type="dxa"/>
          </w:tblCellMar>
        </w:tblPrEx>
        <w:trPr>
          <w:trHeight w:val="241" w:hRule="atLeast"/>
        </w:trPr>
        <w:tc>
          <w:tcPr>
            <w:tcW w:w="902" w:type="dxa"/>
            <w:vMerge w:val="restart"/>
            <w:tcBorders>
              <w:top w:val="single" w:color="auto" w:sz="4" w:space="0"/>
              <w:left w:val="single" w:color="auto" w:sz="4" w:space="0"/>
              <w:bottom w:val="single" w:color="auto" w:sz="4" w:space="0"/>
              <w:right w:val="single" w:color="auto" w:sz="4" w:space="0"/>
            </w:tcBorders>
            <w:vAlign w:val="center"/>
          </w:tcPr>
          <w:p>
            <w:pPr>
              <w:shd w:val="clear"/>
              <w:spacing w:before="0" w:after="0" w:afterAutospacing="0"/>
              <w:ind w:left="0" w:right="0" w:firstLine="0"/>
              <w:rPr>
                <w:rFonts w:ascii="宋体" w:hAnsi="宋体"/>
                <w:highlight w:val="none"/>
              </w:rPr>
            </w:pPr>
            <w:r>
              <w:rPr>
                <w:rFonts w:hint="eastAsia" w:ascii="宋体" w:hAnsi="宋体"/>
                <w:highlight w:val="none"/>
              </w:rPr>
              <w:t>6.1</w:t>
            </w:r>
          </w:p>
        </w:tc>
        <w:tc>
          <w:tcPr>
            <w:tcW w:w="1290" w:type="dxa"/>
            <w:tcBorders>
              <w:top w:val="single" w:color="auto" w:sz="4" w:space="0"/>
              <w:left w:val="nil"/>
              <w:bottom w:val="single" w:color="auto" w:sz="4" w:space="0"/>
              <w:right w:val="single" w:color="auto" w:sz="4" w:space="0"/>
            </w:tcBorders>
            <w:vAlign w:val="center"/>
          </w:tcPr>
          <w:p>
            <w:pPr>
              <w:shd w:val="clear"/>
              <w:spacing w:before="0" w:after="0" w:afterAutospacing="0"/>
              <w:ind w:left="0" w:right="0" w:firstLine="0"/>
              <w:rPr>
                <w:rFonts w:ascii="宋体" w:hAnsi="宋体"/>
                <w:color w:val="auto"/>
                <w:highlight w:val="none"/>
              </w:rPr>
            </w:pPr>
            <w:r>
              <w:rPr>
                <w:rFonts w:hint="eastAsia" w:ascii="宋体" w:hAnsi="宋体"/>
                <w:color w:val="auto"/>
                <w:highlight w:val="none"/>
              </w:rPr>
              <w:t>比选申请人要求澄清比选文件</w:t>
            </w:r>
          </w:p>
        </w:tc>
        <w:tc>
          <w:tcPr>
            <w:tcW w:w="6925" w:type="dxa"/>
            <w:tcBorders>
              <w:top w:val="single" w:color="auto" w:sz="4" w:space="0"/>
              <w:left w:val="nil"/>
              <w:bottom w:val="single" w:color="auto" w:sz="4" w:space="0"/>
              <w:right w:val="single" w:color="auto" w:sz="4" w:space="0"/>
            </w:tcBorders>
            <w:vAlign w:val="center"/>
          </w:tcPr>
          <w:p>
            <w:pPr>
              <w:shd w:val="clear"/>
              <w:spacing w:before="0" w:after="0" w:afterAutospacing="0"/>
              <w:ind w:left="0" w:right="0" w:firstLine="0"/>
              <w:rPr>
                <w:rFonts w:ascii="宋体" w:hAnsi="宋体"/>
                <w:color w:val="auto"/>
                <w:highlight w:val="none"/>
              </w:rPr>
            </w:pPr>
            <w:r>
              <w:rPr>
                <w:rFonts w:hint="eastAsia" w:ascii="宋体" w:hAnsi="宋体"/>
                <w:color w:val="auto"/>
                <w:highlight w:val="none"/>
              </w:rPr>
              <w:t>对比选文件提出疑问的截止时间：</w:t>
            </w:r>
            <w:r>
              <w:rPr>
                <w:rFonts w:hint="eastAsia" w:ascii="宋体" w:hAnsi="宋体"/>
                <w:color w:val="auto"/>
                <w:highlight w:val="none"/>
                <w:u w:val="single"/>
              </w:rPr>
              <w:t xml:space="preserve"> 202</w:t>
            </w:r>
            <w:r>
              <w:rPr>
                <w:rFonts w:ascii="宋体" w:hAnsi="宋体"/>
                <w:color w:val="auto"/>
                <w:highlight w:val="none"/>
                <w:u w:val="single"/>
              </w:rPr>
              <w:t>3</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11 </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28</w:t>
            </w:r>
            <w:r>
              <w:rPr>
                <w:rFonts w:ascii="宋体" w:hAnsi="宋体"/>
                <w:color w:val="auto"/>
                <w:highlight w:val="none"/>
                <w:u w:val="single"/>
              </w:rPr>
              <w:t xml:space="preserve"> </w:t>
            </w:r>
            <w:r>
              <w:rPr>
                <w:rFonts w:hint="eastAsia" w:ascii="宋体" w:hAnsi="宋体"/>
                <w:color w:val="auto"/>
                <w:highlight w:val="none"/>
                <w:u w:val="single"/>
              </w:rPr>
              <w:t xml:space="preserve"> </w:t>
            </w:r>
            <w:r>
              <w:rPr>
                <w:rFonts w:hint="eastAsia" w:ascii="宋体" w:hAnsi="宋体"/>
                <w:color w:val="auto"/>
                <w:highlight w:val="none"/>
              </w:rPr>
              <w:t>日前。比选申请人不在规定期限内提出，比选人有权不予答复，或答复后比选申请截止时间由比选人确定是否顺延。</w:t>
            </w:r>
          </w:p>
          <w:p>
            <w:pPr>
              <w:shd w:val="clear"/>
              <w:spacing w:before="0" w:after="0" w:afterAutospacing="0"/>
              <w:ind w:left="0" w:right="0" w:firstLine="0"/>
              <w:rPr>
                <w:rFonts w:ascii="宋体" w:hAnsi="宋体"/>
                <w:color w:val="auto"/>
                <w:highlight w:val="none"/>
                <w:u w:val="single"/>
              </w:rPr>
            </w:pPr>
            <w:r>
              <w:rPr>
                <w:rFonts w:hint="eastAsia" w:ascii="宋体" w:hAnsi="宋体"/>
                <w:color w:val="auto"/>
                <w:highlight w:val="none"/>
              </w:rPr>
              <w:t>形式：书面为准（加盖法人单位公章，电子扫描件有效）</w:t>
            </w:r>
          </w:p>
        </w:tc>
      </w:tr>
      <w:tr>
        <w:tblPrEx>
          <w:tblCellMar>
            <w:top w:w="0" w:type="dxa"/>
            <w:left w:w="108" w:type="dxa"/>
            <w:bottom w:w="0" w:type="dxa"/>
            <w:right w:w="108" w:type="dxa"/>
          </w:tblCellMar>
        </w:tblPrEx>
        <w:trPr>
          <w:trHeight w:val="340" w:hRule="atLeast"/>
        </w:trPr>
        <w:tc>
          <w:tcPr>
            <w:tcW w:w="902" w:type="dxa"/>
            <w:vMerge w:val="continue"/>
            <w:tcBorders>
              <w:top w:val="single" w:color="auto" w:sz="4" w:space="0"/>
              <w:left w:val="single" w:color="auto" w:sz="4" w:space="0"/>
              <w:bottom w:val="single" w:color="auto" w:sz="4" w:space="0"/>
              <w:right w:val="single" w:color="auto" w:sz="4" w:space="0"/>
            </w:tcBorders>
            <w:vAlign w:val="center"/>
          </w:tcPr>
          <w:p>
            <w:pPr>
              <w:shd w:val="clear"/>
              <w:spacing w:before="0" w:after="0" w:afterAutospacing="0"/>
              <w:ind w:left="0" w:right="0" w:firstLine="0"/>
              <w:rPr>
                <w:rFonts w:ascii="宋体" w:hAnsi="宋体"/>
                <w:highlight w:val="none"/>
              </w:rPr>
            </w:pPr>
          </w:p>
        </w:tc>
        <w:tc>
          <w:tcPr>
            <w:tcW w:w="1290" w:type="dxa"/>
            <w:tcBorders>
              <w:top w:val="single" w:color="auto" w:sz="4" w:space="0"/>
              <w:left w:val="nil"/>
              <w:bottom w:val="single" w:color="auto" w:sz="4" w:space="0"/>
              <w:right w:val="single" w:color="auto" w:sz="4" w:space="0"/>
            </w:tcBorders>
            <w:vAlign w:val="center"/>
          </w:tcPr>
          <w:p>
            <w:pPr>
              <w:shd w:val="clear"/>
              <w:spacing w:before="0" w:after="0" w:afterAutospacing="0"/>
              <w:ind w:left="0" w:right="0" w:firstLine="0"/>
              <w:rPr>
                <w:rFonts w:ascii="宋体" w:hAnsi="宋体"/>
                <w:highlight w:val="none"/>
              </w:rPr>
            </w:pPr>
            <w:r>
              <w:rPr>
                <w:rFonts w:hint="eastAsia" w:ascii="宋体" w:hAnsi="宋体"/>
                <w:highlight w:val="none"/>
              </w:rPr>
              <w:t>比选文件澄清发布方式</w:t>
            </w:r>
          </w:p>
        </w:tc>
        <w:tc>
          <w:tcPr>
            <w:tcW w:w="6925" w:type="dxa"/>
            <w:tcBorders>
              <w:top w:val="single" w:color="auto" w:sz="4" w:space="0"/>
              <w:left w:val="nil"/>
              <w:bottom w:val="single" w:color="auto" w:sz="4" w:space="0"/>
              <w:right w:val="single" w:color="auto" w:sz="4" w:space="0"/>
            </w:tcBorders>
            <w:vAlign w:val="center"/>
          </w:tcPr>
          <w:p>
            <w:pPr>
              <w:shd w:val="clear"/>
              <w:spacing w:before="0" w:after="0" w:afterAutospacing="0"/>
              <w:ind w:left="0" w:right="0" w:firstLine="0"/>
              <w:rPr>
                <w:rFonts w:hint="eastAsia" w:ascii="宋体" w:hAnsi="宋体" w:eastAsia="宋体"/>
                <w:highlight w:val="none"/>
                <w:lang w:eastAsia="zh-CN"/>
              </w:rPr>
            </w:pPr>
            <w:r>
              <w:rPr>
                <w:rFonts w:hint="eastAsia" w:ascii="宋体" w:hAnsi="宋体"/>
                <w:kern w:val="2"/>
                <w:highlight w:val="none"/>
              </w:rPr>
              <w:t>南宁轨道交通集团有限责任公司官网发布(http://www.nngdjt.com)</w:t>
            </w:r>
            <w:r>
              <w:rPr>
                <w:rFonts w:hint="eastAsia" w:ascii="宋体" w:hAnsi="宋体"/>
                <w:kern w:val="2"/>
                <w:highlight w:val="none"/>
                <w:lang w:eastAsia="zh-CN"/>
              </w:rPr>
              <w:t>、</w:t>
            </w:r>
            <w:r>
              <w:rPr>
                <w:rFonts w:hint="eastAsia" w:ascii="宋体" w:hAnsi="宋体"/>
                <w:highlight w:val="none"/>
              </w:rPr>
              <w:t>中国e车网(http://www.ecrrc.com)</w:t>
            </w:r>
          </w:p>
        </w:tc>
      </w:tr>
      <w:tr>
        <w:tblPrEx>
          <w:tblCellMar>
            <w:top w:w="0" w:type="dxa"/>
            <w:left w:w="108" w:type="dxa"/>
            <w:bottom w:w="0" w:type="dxa"/>
            <w:right w:w="108" w:type="dxa"/>
          </w:tblCellMar>
        </w:tblPrEx>
        <w:trPr>
          <w:trHeight w:val="241" w:hRule="atLeast"/>
        </w:trPr>
        <w:tc>
          <w:tcPr>
            <w:tcW w:w="902" w:type="dxa"/>
            <w:vMerge w:val="continue"/>
            <w:tcBorders>
              <w:top w:val="single" w:color="auto" w:sz="4" w:space="0"/>
              <w:left w:val="single" w:color="auto" w:sz="4" w:space="0"/>
              <w:bottom w:val="single" w:color="auto" w:sz="4" w:space="0"/>
              <w:right w:val="single" w:color="auto" w:sz="4" w:space="0"/>
            </w:tcBorders>
            <w:vAlign w:val="center"/>
          </w:tcPr>
          <w:p>
            <w:pPr>
              <w:shd w:val="clear"/>
              <w:spacing w:before="0" w:after="0" w:afterAutospacing="0"/>
              <w:ind w:left="0" w:right="0" w:firstLine="0"/>
              <w:rPr>
                <w:rFonts w:ascii="宋体" w:hAnsi="宋体"/>
                <w:highlight w:val="none"/>
              </w:rPr>
            </w:pPr>
          </w:p>
        </w:tc>
        <w:tc>
          <w:tcPr>
            <w:tcW w:w="1290" w:type="dxa"/>
            <w:tcBorders>
              <w:top w:val="single" w:color="auto" w:sz="4" w:space="0"/>
              <w:left w:val="nil"/>
              <w:bottom w:val="single" w:color="auto" w:sz="4" w:space="0"/>
              <w:right w:val="single" w:color="auto" w:sz="4" w:space="0"/>
            </w:tcBorders>
            <w:vAlign w:val="center"/>
          </w:tcPr>
          <w:p>
            <w:pPr>
              <w:shd w:val="clear"/>
              <w:spacing w:before="0" w:after="0" w:afterAutospacing="0"/>
              <w:ind w:left="0" w:right="0" w:firstLine="0"/>
              <w:rPr>
                <w:rFonts w:ascii="宋体" w:hAnsi="宋体"/>
                <w:highlight w:val="none"/>
              </w:rPr>
            </w:pPr>
            <w:r>
              <w:rPr>
                <w:rFonts w:hint="eastAsia" w:ascii="宋体" w:hAnsi="宋体"/>
                <w:highlight w:val="none"/>
              </w:rPr>
              <w:t>比选申请人确认收到澄清的方式</w:t>
            </w:r>
          </w:p>
        </w:tc>
        <w:tc>
          <w:tcPr>
            <w:tcW w:w="6925" w:type="dxa"/>
            <w:tcBorders>
              <w:top w:val="single" w:color="auto" w:sz="4" w:space="0"/>
              <w:left w:val="nil"/>
              <w:bottom w:val="single" w:color="auto" w:sz="4" w:space="0"/>
              <w:right w:val="single" w:color="auto" w:sz="4" w:space="0"/>
            </w:tcBorders>
            <w:vAlign w:val="center"/>
          </w:tcPr>
          <w:p>
            <w:pPr>
              <w:shd w:val="clear"/>
              <w:spacing w:before="0" w:after="0" w:afterAutospacing="0"/>
              <w:ind w:left="0" w:right="0" w:firstLine="0"/>
              <w:rPr>
                <w:rFonts w:ascii="宋体" w:hAnsi="宋体"/>
                <w:highlight w:val="none"/>
              </w:rPr>
            </w:pPr>
            <w:r>
              <w:rPr>
                <w:rFonts w:hint="eastAsia" w:ascii="宋体" w:hAnsi="宋体"/>
                <w:highlight w:val="none"/>
              </w:rPr>
              <w:t>不需要确认。澄清文件在发布公告的网站上发布之日起，视为比选申请人已收到该澄清。比选申请人未及时关注比选人在网站上发布的澄清文件造成的损失，由比选申请人自行负责。</w:t>
            </w:r>
          </w:p>
        </w:tc>
      </w:tr>
      <w:tr>
        <w:tblPrEx>
          <w:tblCellMar>
            <w:top w:w="0" w:type="dxa"/>
            <w:left w:w="108" w:type="dxa"/>
            <w:bottom w:w="0" w:type="dxa"/>
            <w:right w:w="108" w:type="dxa"/>
          </w:tblCellMar>
        </w:tblPrEx>
        <w:trPr>
          <w:trHeight w:val="1378" w:hRule="atLeast"/>
        </w:trPr>
        <w:tc>
          <w:tcPr>
            <w:tcW w:w="902" w:type="dxa"/>
            <w:tcBorders>
              <w:top w:val="single" w:color="auto" w:sz="4" w:space="0"/>
              <w:left w:val="single" w:color="auto" w:sz="4" w:space="0"/>
              <w:bottom w:val="single" w:color="auto" w:sz="4" w:space="0"/>
              <w:right w:val="single" w:color="auto" w:sz="4" w:space="0"/>
            </w:tcBorders>
            <w:vAlign w:val="center"/>
          </w:tcPr>
          <w:p>
            <w:pPr>
              <w:shd w:val="clear"/>
              <w:spacing w:before="0" w:after="0" w:afterAutospacing="0"/>
              <w:ind w:left="0" w:right="0" w:firstLine="0"/>
              <w:rPr>
                <w:rFonts w:ascii="宋体" w:hAnsi="宋体"/>
                <w:highlight w:val="none"/>
              </w:rPr>
            </w:pPr>
            <w:r>
              <w:rPr>
                <w:rFonts w:hint="eastAsia" w:ascii="宋体" w:hAnsi="宋体"/>
                <w:highlight w:val="none"/>
              </w:rPr>
              <w:t>9.1</w:t>
            </w:r>
          </w:p>
        </w:tc>
        <w:tc>
          <w:tcPr>
            <w:tcW w:w="1290" w:type="dxa"/>
            <w:tcBorders>
              <w:top w:val="single" w:color="auto" w:sz="4" w:space="0"/>
              <w:left w:val="nil"/>
              <w:bottom w:val="single" w:color="auto" w:sz="4" w:space="0"/>
              <w:right w:val="single" w:color="auto" w:sz="4" w:space="0"/>
            </w:tcBorders>
            <w:vAlign w:val="center"/>
          </w:tcPr>
          <w:p>
            <w:pPr>
              <w:shd w:val="clear"/>
              <w:spacing w:before="0" w:after="0" w:afterAutospacing="0"/>
              <w:ind w:left="0" w:right="0" w:firstLine="0"/>
              <w:rPr>
                <w:rFonts w:ascii="宋体" w:hAnsi="宋体"/>
                <w:highlight w:val="none"/>
              </w:rPr>
            </w:pPr>
            <w:r>
              <w:rPr>
                <w:rFonts w:hint="eastAsia" w:ascii="宋体" w:hAnsi="宋体"/>
                <w:highlight w:val="none"/>
              </w:rPr>
              <w:t>构成比选申请文件的组成</w:t>
            </w:r>
          </w:p>
        </w:tc>
        <w:tc>
          <w:tcPr>
            <w:tcW w:w="6925" w:type="dxa"/>
            <w:tcBorders>
              <w:top w:val="single" w:color="auto" w:sz="4" w:space="0"/>
              <w:left w:val="nil"/>
              <w:bottom w:val="single" w:color="auto" w:sz="4" w:space="0"/>
              <w:right w:val="single" w:color="auto" w:sz="4" w:space="0"/>
            </w:tcBorders>
            <w:vAlign w:val="center"/>
          </w:tcPr>
          <w:p>
            <w:pPr>
              <w:shd w:val="clear"/>
              <w:spacing w:before="0" w:after="0" w:afterAutospacing="0"/>
              <w:ind w:left="0" w:right="0" w:firstLine="0"/>
              <w:rPr>
                <w:rFonts w:ascii="宋体" w:hAnsi="宋体"/>
                <w:highlight w:val="none"/>
              </w:rPr>
            </w:pPr>
            <w:r>
              <w:rPr>
                <w:rFonts w:hint="eastAsia" w:ascii="宋体" w:hAnsi="宋体"/>
                <w:highlight w:val="none"/>
              </w:rPr>
              <w:t>比选申请文件组成部分：</w:t>
            </w:r>
            <w:r>
              <w:rPr>
                <w:rFonts w:hint="eastAsia"/>
                <w:highlight w:val="none"/>
              </w:rPr>
              <w:t>资格审查文件、价格文件、技术文件</w:t>
            </w:r>
          </w:p>
          <w:p>
            <w:pPr>
              <w:shd w:val="clear"/>
              <w:spacing w:before="0" w:after="0" w:afterAutospacing="0" w:line="276" w:lineRule="auto"/>
              <w:ind w:left="0" w:right="0" w:firstLine="0"/>
              <w:rPr>
                <w:b/>
                <w:highlight w:val="none"/>
              </w:rPr>
            </w:pPr>
            <w:r>
              <w:rPr>
                <w:rFonts w:hint="eastAsia"/>
                <w:b/>
                <w:highlight w:val="none"/>
              </w:rPr>
              <w:t>资格审查文件</w:t>
            </w:r>
          </w:p>
          <w:p>
            <w:pPr>
              <w:shd w:val="clear"/>
              <w:spacing w:before="0" w:after="0" w:afterAutospacing="0" w:line="276" w:lineRule="auto"/>
              <w:ind w:left="0" w:right="0" w:firstLine="0"/>
              <w:rPr>
                <w:highlight w:val="none"/>
              </w:rPr>
            </w:pPr>
            <w:r>
              <w:rPr>
                <w:rFonts w:hint="eastAsia"/>
                <w:highlight w:val="none"/>
              </w:rPr>
              <w:t>（</w:t>
            </w:r>
            <w:r>
              <w:rPr>
                <w:highlight w:val="none"/>
              </w:rPr>
              <w:t>1</w:t>
            </w:r>
            <w:r>
              <w:rPr>
                <w:rFonts w:hint="eastAsia"/>
                <w:highlight w:val="none"/>
              </w:rPr>
              <w:t>）法定代表人授权书（格式见A1）及法定代表人资格证明书（如无授权时，只需提供法定代表人资格证明书，格式见A2），法定代表人及被授权人身份证复印件；</w:t>
            </w:r>
          </w:p>
          <w:p>
            <w:pPr>
              <w:shd w:val="clear"/>
              <w:spacing w:before="0" w:after="0" w:afterAutospacing="0" w:line="276" w:lineRule="auto"/>
              <w:ind w:left="0" w:right="0" w:firstLine="0"/>
              <w:rPr>
                <w:highlight w:val="none"/>
              </w:rPr>
            </w:pPr>
            <w:r>
              <w:rPr>
                <w:rFonts w:hint="eastAsia"/>
                <w:highlight w:val="none"/>
              </w:rPr>
              <w:t>（</w:t>
            </w:r>
            <w:r>
              <w:rPr>
                <w:highlight w:val="none"/>
              </w:rPr>
              <w:t>2</w:t>
            </w:r>
            <w:r>
              <w:rPr>
                <w:rFonts w:hint="eastAsia"/>
                <w:highlight w:val="none"/>
              </w:rPr>
              <w:t>）比选申请人有效的营业执照副本复印件或事业单位法人证书复印件等证明文件；</w:t>
            </w:r>
          </w:p>
          <w:p>
            <w:pPr>
              <w:shd w:val="clear"/>
              <w:spacing w:before="0" w:after="0" w:afterAutospacing="0" w:line="276" w:lineRule="auto"/>
              <w:ind w:left="0" w:right="0" w:firstLine="0"/>
              <w:rPr>
                <w:highlight w:val="none"/>
              </w:rPr>
            </w:pPr>
            <w:r>
              <w:rPr>
                <w:rFonts w:hint="eastAsia"/>
                <w:highlight w:val="none"/>
              </w:rPr>
              <w:t>（</w:t>
            </w:r>
            <w:r>
              <w:rPr>
                <w:highlight w:val="none"/>
              </w:rPr>
              <w:t>3</w:t>
            </w:r>
            <w:r>
              <w:rPr>
                <w:rFonts w:hint="eastAsia"/>
                <w:highlight w:val="none"/>
              </w:rPr>
              <w:t>）承诺书（格式见A3）；</w:t>
            </w:r>
          </w:p>
          <w:p>
            <w:pPr>
              <w:shd w:val="clear"/>
              <w:spacing w:before="0" w:after="0" w:afterAutospacing="0" w:line="276" w:lineRule="auto"/>
              <w:ind w:left="0" w:right="0" w:firstLine="0"/>
              <w:rPr>
                <w:highlight w:val="none"/>
              </w:rPr>
            </w:pPr>
            <w:r>
              <w:rPr>
                <w:rFonts w:hint="eastAsia"/>
                <w:highlight w:val="none"/>
              </w:rPr>
              <w:t>（4）</w:t>
            </w:r>
            <w:r>
              <w:rPr>
                <w:rFonts w:hint="eastAsia" w:hAnsi="宋体"/>
                <w:highlight w:val="none"/>
              </w:rPr>
              <w:t>类似项目业绩表（A4）</w:t>
            </w:r>
            <w:r>
              <w:rPr>
                <w:rFonts w:hint="eastAsia"/>
                <w:color w:val="auto"/>
                <w:highlight w:val="none"/>
              </w:rPr>
              <w:t>[</w:t>
            </w:r>
            <w:r>
              <w:rPr>
                <w:rFonts w:hint="eastAsia" w:ascii="宋体" w:hAnsi="宋体"/>
                <w:color w:val="auto"/>
                <w:highlight w:val="none"/>
              </w:rPr>
              <w:t>比选申请人自201</w:t>
            </w:r>
            <w:r>
              <w:rPr>
                <w:rFonts w:ascii="宋体" w:hAnsi="宋体"/>
                <w:color w:val="auto"/>
                <w:highlight w:val="none"/>
              </w:rPr>
              <w:t>8</w:t>
            </w:r>
            <w:r>
              <w:rPr>
                <w:rFonts w:hint="eastAsia" w:ascii="宋体" w:hAnsi="宋体"/>
                <w:color w:val="auto"/>
                <w:highlight w:val="none"/>
              </w:rPr>
              <w:t>年1月1日（备注：近5年）至截标时间前至少承接过1项合同金额不少于10万元的消防设施安装项目业绩</w:t>
            </w:r>
            <w:r>
              <w:rPr>
                <w:rFonts w:hint="eastAsia"/>
                <w:color w:val="auto"/>
                <w:highlight w:val="none"/>
              </w:rPr>
              <w:t>]</w:t>
            </w:r>
            <w:r>
              <w:rPr>
                <w:rFonts w:hint="eastAsia" w:hAnsi="宋体"/>
                <w:color w:val="auto"/>
                <w:highlight w:val="none"/>
              </w:rPr>
              <w:t>；</w:t>
            </w:r>
          </w:p>
          <w:p>
            <w:pPr>
              <w:shd w:val="clear"/>
              <w:spacing w:before="0" w:after="0" w:afterAutospacing="0"/>
              <w:ind w:left="0" w:right="0" w:firstLine="0"/>
              <w:rPr>
                <w:highlight w:val="none"/>
              </w:rPr>
            </w:pPr>
            <w:r>
              <w:rPr>
                <w:rFonts w:hint="eastAsia"/>
                <w:highlight w:val="none"/>
              </w:rPr>
              <w:t>（5）比选申请人认为应提交的其他比选申请资料。</w:t>
            </w:r>
          </w:p>
          <w:p>
            <w:pPr>
              <w:shd w:val="clear"/>
              <w:spacing w:before="0" w:after="0" w:afterAutospacing="0" w:line="276" w:lineRule="auto"/>
              <w:ind w:left="0" w:right="0" w:firstLine="0"/>
              <w:rPr>
                <w:b/>
                <w:highlight w:val="none"/>
              </w:rPr>
            </w:pPr>
            <w:r>
              <w:rPr>
                <w:rFonts w:hint="eastAsia"/>
                <w:b/>
                <w:highlight w:val="none"/>
              </w:rPr>
              <w:t>价格文件</w:t>
            </w:r>
          </w:p>
          <w:p>
            <w:pPr>
              <w:shd w:val="clear"/>
              <w:spacing w:before="0" w:after="0" w:afterAutospacing="0" w:line="276" w:lineRule="auto"/>
              <w:ind w:left="0" w:right="0" w:firstLine="0"/>
              <w:rPr>
                <w:highlight w:val="none"/>
              </w:rPr>
            </w:pPr>
            <w:r>
              <w:rPr>
                <w:rFonts w:hint="eastAsia"/>
                <w:highlight w:val="none"/>
              </w:rPr>
              <w:t>（</w:t>
            </w:r>
            <w:r>
              <w:rPr>
                <w:highlight w:val="none"/>
              </w:rPr>
              <w:t>1</w:t>
            </w:r>
            <w:r>
              <w:rPr>
                <w:rFonts w:hint="eastAsia"/>
                <w:highlight w:val="none"/>
              </w:rPr>
              <w:t>）比选申请报价一览表（格式见B1）；</w:t>
            </w:r>
          </w:p>
          <w:p>
            <w:pPr>
              <w:shd w:val="clear"/>
              <w:spacing w:before="0" w:after="0" w:afterAutospacing="0" w:line="276" w:lineRule="auto"/>
              <w:ind w:left="0" w:right="0" w:firstLine="0"/>
              <w:rPr>
                <w:highlight w:val="none"/>
              </w:rPr>
            </w:pPr>
            <w:r>
              <w:rPr>
                <w:rFonts w:hint="eastAsia"/>
                <w:highlight w:val="none"/>
              </w:rPr>
              <w:t>（</w:t>
            </w:r>
            <w:r>
              <w:rPr>
                <w:highlight w:val="none"/>
              </w:rPr>
              <w:t>2</w:t>
            </w:r>
            <w:r>
              <w:rPr>
                <w:rFonts w:hint="eastAsia"/>
                <w:highlight w:val="none"/>
              </w:rPr>
              <w:t>）比选申请函（格式见B2）；</w:t>
            </w:r>
          </w:p>
          <w:p>
            <w:pPr>
              <w:shd w:val="clear"/>
              <w:spacing w:before="0" w:after="0" w:afterAutospacing="0" w:line="276" w:lineRule="auto"/>
              <w:ind w:left="0" w:right="0" w:firstLine="0"/>
              <w:rPr>
                <w:highlight w:val="none"/>
              </w:rPr>
            </w:pPr>
            <w:r>
              <w:rPr>
                <w:rFonts w:hint="eastAsia"/>
                <w:highlight w:val="none"/>
              </w:rPr>
              <w:t>（</w:t>
            </w:r>
            <w:r>
              <w:rPr>
                <w:highlight w:val="none"/>
              </w:rPr>
              <w:t>3</w:t>
            </w:r>
            <w:r>
              <w:rPr>
                <w:rFonts w:hint="eastAsia"/>
                <w:highlight w:val="none"/>
              </w:rPr>
              <w:t>）比选申请报价表（格式见B3）；</w:t>
            </w:r>
          </w:p>
          <w:p>
            <w:pPr>
              <w:shd w:val="clear"/>
              <w:spacing w:before="0" w:after="0" w:afterAutospacing="0"/>
              <w:ind w:left="0" w:right="0" w:firstLine="0"/>
              <w:rPr>
                <w:rFonts w:ascii="宋体" w:hAnsi="宋体" w:cs="Arial"/>
                <w:highlight w:val="none"/>
              </w:rPr>
            </w:pPr>
            <w:r>
              <w:rPr>
                <w:rFonts w:hint="eastAsia"/>
                <w:highlight w:val="none"/>
              </w:rPr>
              <w:t>（4）比选申请人认为应提交的其他比选申请资料（如有）。</w:t>
            </w:r>
          </w:p>
          <w:p>
            <w:pPr>
              <w:shd w:val="clear"/>
              <w:spacing w:before="0" w:after="0" w:afterAutospacing="0" w:line="276" w:lineRule="auto"/>
              <w:ind w:left="0" w:right="0" w:firstLine="0"/>
              <w:rPr>
                <w:b/>
                <w:highlight w:val="none"/>
              </w:rPr>
            </w:pPr>
            <w:r>
              <w:rPr>
                <w:rFonts w:hint="eastAsia"/>
                <w:b/>
                <w:highlight w:val="none"/>
              </w:rPr>
              <w:t>技术文件</w:t>
            </w:r>
          </w:p>
          <w:p>
            <w:pPr>
              <w:shd w:val="clear"/>
              <w:spacing w:before="0" w:after="0" w:afterAutospacing="0" w:line="276" w:lineRule="auto"/>
              <w:ind w:left="0" w:right="0" w:firstLine="0"/>
              <w:rPr>
                <w:highlight w:val="none"/>
              </w:rPr>
            </w:pPr>
            <w:r>
              <w:rPr>
                <w:rFonts w:hint="eastAsia"/>
                <w:highlight w:val="none"/>
              </w:rPr>
              <w:t>（1）技术文件响应表（格式见C1）；</w:t>
            </w:r>
          </w:p>
          <w:p>
            <w:pPr>
              <w:shd w:val="clear"/>
              <w:spacing w:before="0" w:after="0" w:afterAutospacing="0" w:line="276" w:lineRule="auto"/>
              <w:ind w:left="0" w:right="0" w:firstLine="0"/>
              <w:rPr>
                <w:highlight w:val="none"/>
              </w:rPr>
            </w:pPr>
            <w:r>
              <w:rPr>
                <w:rFonts w:hint="eastAsia"/>
                <w:highlight w:val="none"/>
              </w:rPr>
              <w:t>（2）</w:t>
            </w:r>
            <w:r>
              <w:rPr>
                <w:rFonts w:hint="eastAsia" w:hAnsi="宋体"/>
                <w:highlight w:val="none"/>
              </w:rPr>
              <w:t>按期完成承诺书（格式见C2）</w:t>
            </w:r>
            <w:r>
              <w:rPr>
                <w:rFonts w:hint="eastAsia"/>
                <w:highlight w:val="none"/>
              </w:rPr>
              <w:t>；</w:t>
            </w:r>
          </w:p>
          <w:p>
            <w:pPr>
              <w:shd w:val="clear"/>
              <w:spacing w:before="0" w:after="0" w:afterAutospacing="0" w:line="276" w:lineRule="auto"/>
              <w:ind w:left="0" w:right="0" w:firstLine="0"/>
              <w:rPr>
                <w:highlight w:val="none"/>
              </w:rPr>
            </w:pPr>
            <w:r>
              <w:rPr>
                <w:rFonts w:hint="eastAsia"/>
                <w:highlight w:val="none"/>
              </w:rPr>
              <w:t>（3）售后服务承诺书（</w:t>
            </w:r>
            <w:r>
              <w:rPr>
                <w:rFonts w:hint="eastAsia" w:hAnsi="宋体"/>
                <w:highlight w:val="none"/>
              </w:rPr>
              <w:t>格式见C3</w:t>
            </w:r>
            <w:r>
              <w:rPr>
                <w:rFonts w:hint="eastAsia"/>
                <w:highlight w:val="none"/>
              </w:rPr>
              <w:t>）；</w:t>
            </w:r>
          </w:p>
          <w:p>
            <w:pPr>
              <w:shd w:val="clear"/>
              <w:spacing w:before="0" w:after="0" w:afterAutospacing="0" w:line="276" w:lineRule="auto"/>
              <w:ind w:left="0" w:right="0" w:firstLine="0"/>
              <w:rPr>
                <w:highlight w:val="none"/>
              </w:rPr>
            </w:pPr>
            <w:r>
              <w:rPr>
                <w:rFonts w:hint="eastAsia"/>
                <w:highlight w:val="none"/>
              </w:rPr>
              <w:t>（4）商务响应表（格式见C</w:t>
            </w:r>
            <w:r>
              <w:rPr>
                <w:highlight w:val="none"/>
              </w:rPr>
              <w:t>4</w:t>
            </w:r>
            <w:r>
              <w:rPr>
                <w:rFonts w:hint="eastAsia"/>
                <w:highlight w:val="none"/>
              </w:rPr>
              <w:t>）；</w:t>
            </w:r>
          </w:p>
          <w:p>
            <w:pPr>
              <w:shd w:val="clear"/>
              <w:spacing w:before="0" w:after="0" w:afterAutospacing="0" w:line="276" w:lineRule="auto"/>
              <w:ind w:left="0" w:right="0" w:firstLine="0"/>
              <w:rPr>
                <w:highlight w:val="none"/>
              </w:rPr>
            </w:pPr>
            <w:r>
              <w:rPr>
                <w:rFonts w:hint="eastAsia"/>
                <w:highlight w:val="none"/>
              </w:rPr>
              <w:t>（5）施工方案；</w:t>
            </w:r>
          </w:p>
          <w:p>
            <w:pPr>
              <w:shd w:val="clear"/>
              <w:spacing w:before="0" w:after="0" w:afterAutospacing="0" w:line="276" w:lineRule="auto"/>
              <w:ind w:left="0" w:right="0" w:firstLine="0"/>
              <w:rPr>
                <w:highlight w:val="none"/>
              </w:rPr>
            </w:pPr>
            <w:r>
              <w:rPr>
                <w:rFonts w:hint="eastAsia"/>
                <w:highlight w:val="none"/>
              </w:rPr>
              <w:t>（6）质保方案（如何进行</w:t>
            </w:r>
            <w:r>
              <w:rPr>
                <w:highlight w:val="none"/>
              </w:rPr>
              <w:t>质保服务</w:t>
            </w:r>
            <w:r>
              <w:rPr>
                <w:rFonts w:hint="eastAsia"/>
                <w:highlight w:val="none"/>
              </w:rPr>
              <w:t>保障等）；</w:t>
            </w:r>
          </w:p>
          <w:p>
            <w:pPr>
              <w:shd w:val="clear"/>
              <w:spacing w:before="0" w:after="0" w:afterAutospacing="0"/>
              <w:ind w:left="0" w:right="0" w:firstLine="0"/>
              <w:rPr>
                <w:rFonts w:ascii="宋体" w:hAnsi="宋体"/>
                <w:highlight w:val="none"/>
              </w:rPr>
            </w:pPr>
            <w:r>
              <w:rPr>
                <w:rFonts w:hint="eastAsia"/>
                <w:highlight w:val="none"/>
              </w:rPr>
              <w:t>（7）比选申请人认为应提交的其他比选申请资料（如有）。</w:t>
            </w:r>
          </w:p>
        </w:tc>
      </w:tr>
      <w:tr>
        <w:tblPrEx>
          <w:tblCellMar>
            <w:top w:w="0" w:type="dxa"/>
            <w:left w:w="108" w:type="dxa"/>
            <w:bottom w:w="0" w:type="dxa"/>
            <w:right w:w="108" w:type="dxa"/>
          </w:tblCellMar>
        </w:tblPrEx>
        <w:trPr>
          <w:trHeight w:val="708" w:hRule="atLeast"/>
        </w:trPr>
        <w:tc>
          <w:tcPr>
            <w:tcW w:w="902" w:type="dxa"/>
            <w:tcBorders>
              <w:top w:val="single" w:color="auto" w:sz="4" w:space="0"/>
              <w:left w:val="single" w:color="auto" w:sz="4" w:space="0"/>
              <w:bottom w:val="single" w:color="auto" w:sz="4" w:space="0"/>
              <w:right w:val="single" w:color="auto" w:sz="4" w:space="0"/>
            </w:tcBorders>
            <w:vAlign w:val="center"/>
          </w:tcPr>
          <w:p>
            <w:pPr>
              <w:shd w:val="clear"/>
              <w:spacing w:before="0" w:after="0" w:afterAutospacing="0"/>
              <w:ind w:left="0" w:right="0" w:firstLine="0"/>
              <w:rPr>
                <w:rFonts w:ascii="宋体" w:hAnsi="宋体"/>
                <w:highlight w:val="none"/>
              </w:rPr>
            </w:pPr>
            <w:r>
              <w:rPr>
                <w:rFonts w:hint="eastAsia" w:ascii="宋体" w:hAnsi="宋体"/>
                <w:highlight w:val="none"/>
              </w:rPr>
              <w:t>12.1</w:t>
            </w:r>
          </w:p>
        </w:tc>
        <w:tc>
          <w:tcPr>
            <w:tcW w:w="1290" w:type="dxa"/>
            <w:tcBorders>
              <w:top w:val="single" w:color="auto" w:sz="4" w:space="0"/>
              <w:left w:val="nil"/>
              <w:bottom w:val="single" w:color="auto" w:sz="4" w:space="0"/>
              <w:right w:val="single" w:color="auto" w:sz="4" w:space="0"/>
            </w:tcBorders>
            <w:vAlign w:val="center"/>
          </w:tcPr>
          <w:p>
            <w:pPr>
              <w:shd w:val="clear"/>
              <w:spacing w:before="0" w:after="0" w:afterAutospacing="0"/>
              <w:ind w:left="0" w:right="0" w:firstLine="0"/>
              <w:rPr>
                <w:rFonts w:ascii="宋体" w:hAnsi="宋体"/>
                <w:highlight w:val="none"/>
              </w:rPr>
            </w:pPr>
            <w:r>
              <w:rPr>
                <w:rFonts w:hint="eastAsia" w:ascii="宋体" w:hAnsi="宋体"/>
                <w:highlight w:val="none"/>
              </w:rPr>
              <w:t>比选申请报价</w:t>
            </w:r>
          </w:p>
        </w:tc>
        <w:tc>
          <w:tcPr>
            <w:tcW w:w="6925" w:type="dxa"/>
            <w:tcBorders>
              <w:top w:val="single" w:color="auto" w:sz="4" w:space="0"/>
              <w:left w:val="nil"/>
              <w:bottom w:val="single" w:color="auto" w:sz="4" w:space="0"/>
              <w:right w:val="single" w:color="auto" w:sz="4" w:space="0"/>
            </w:tcBorders>
            <w:vAlign w:val="center"/>
          </w:tcPr>
          <w:p>
            <w:pPr>
              <w:shd w:val="clear"/>
              <w:spacing w:before="0" w:after="0" w:afterAutospacing="0"/>
              <w:ind w:left="0" w:right="0" w:firstLine="0"/>
              <w:rPr>
                <w:rFonts w:ascii="宋体" w:hAnsi="宋体"/>
                <w:highlight w:val="none"/>
              </w:rPr>
            </w:pPr>
            <w:r>
              <w:rPr>
                <w:rFonts w:hint="eastAsia" w:ascii="宋体" w:hAnsi="宋体"/>
                <w:highlight w:val="none"/>
              </w:rPr>
              <w:t>（</w:t>
            </w:r>
            <w:r>
              <w:rPr>
                <w:rFonts w:ascii="宋体" w:hAnsi="宋体"/>
                <w:highlight w:val="none"/>
              </w:rPr>
              <w:t>1</w:t>
            </w:r>
            <w:r>
              <w:rPr>
                <w:rFonts w:hint="eastAsia" w:ascii="宋体" w:hAnsi="宋体"/>
                <w:highlight w:val="none"/>
              </w:rPr>
              <w:t>）</w:t>
            </w:r>
            <w:r>
              <w:rPr>
                <w:rFonts w:ascii="宋体" w:hAnsi="宋体"/>
                <w:b/>
                <w:highlight w:val="none"/>
              </w:rPr>
              <w:t>本项目采用</w:t>
            </w:r>
            <w:r>
              <w:rPr>
                <w:rFonts w:hint="eastAsia" w:ascii="宋体" w:hAnsi="宋体"/>
                <w:b/>
                <w:highlight w:val="none"/>
              </w:rPr>
              <w:t>不</w:t>
            </w:r>
            <w:r>
              <w:rPr>
                <w:rFonts w:ascii="宋体" w:hAnsi="宋体"/>
                <w:b/>
                <w:highlight w:val="none"/>
              </w:rPr>
              <w:t>含税报价，</w:t>
            </w:r>
            <w:r>
              <w:rPr>
                <w:rFonts w:hint="eastAsia" w:ascii="宋体" w:hAnsi="宋体"/>
                <w:b/>
                <w:highlight w:val="none"/>
              </w:rPr>
              <w:t>在签订本项目合同时，遵循国家现行税法的相关规定在中标人不含税单价和合价的基础上逐项增加税费，并明确相应税率和税金。本合同最终税金在结算阶段，按实际产生的税金进行核算，但合同不含税价格不因国家税率调整而调整。</w:t>
            </w:r>
          </w:p>
          <w:p>
            <w:pPr>
              <w:shd w:val="clear"/>
              <w:spacing w:before="0" w:after="0" w:afterAutospacing="0"/>
              <w:ind w:left="0" w:right="0" w:firstLine="0"/>
              <w:rPr>
                <w:rFonts w:ascii="宋体" w:hAnsi="宋体"/>
                <w:highlight w:val="none"/>
              </w:rPr>
            </w:pPr>
            <w:r>
              <w:rPr>
                <w:rFonts w:hint="eastAsia" w:ascii="宋体" w:hAnsi="宋体"/>
                <w:b/>
                <w:bCs/>
                <w:highlight w:val="none"/>
              </w:rPr>
              <w:t>（</w:t>
            </w:r>
            <w:r>
              <w:rPr>
                <w:rFonts w:ascii="宋体" w:hAnsi="宋体"/>
                <w:b/>
                <w:bCs/>
                <w:highlight w:val="none"/>
              </w:rPr>
              <w:t>2</w:t>
            </w:r>
            <w:r>
              <w:rPr>
                <w:rFonts w:hint="eastAsia" w:ascii="宋体" w:hAnsi="宋体"/>
                <w:b/>
                <w:bCs/>
                <w:highlight w:val="none"/>
              </w:rPr>
              <w:t>）比选申请人须按第五章《用户需求书》中的工程量清单及内容的顺序填报比选申请报价表，不允许打乱顺序。</w:t>
            </w:r>
          </w:p>
        </w:tc>
      </w:tr>
      <w:tr>
        <w:tblPrEx>
          <w:tblCellMar>
            <w:top w:w="0" w:type="dxa"/>
            <w:left w:w="108" w:type="dxa"/>
            <w:bottom w:w="0" w:type="dxa"/>
            <w:right w:w="108" w:type="dxa"/>
          </w:tblCellMar>
        </w:tblPrEx>
        <w:trPr>
          <w:trHeight w:val="702" w:hRule="atLeast"/>
        </w:trPr>
        <w:tc>
          <w:tcPr>
            <w:tcW w:w="902" w:type="dxa"/>
            <w:tcBorders>
              <w:top w:val="single" w:color="auto" w:sz="4" w:space="0"/>
              <w:left w:val="single" w:color="auto" w:sz="4" w:space="0"/>
              <w:bottom w:val="single" w:color="auto" w:sz="4" w:space="0"/>
              <w:right w:val="single" w:color="auto" w:sz="4" w:space="0"/>
            </w:tcBorders>
            <w:vAlign w:val="center"/>
          </w:tcPr>
          <w:p>
            <w:pPr>
              <w:shd w:val="clear"/>
              <w:spacing w:before="0" w:after="0" w:afterAutospacing="0"/>
              <w:ind w:left="0" w:right="0" w:firstLine="0"/>
              <w:rPr>
                <w:rFonts w:ascii="宋体" w:hAnsi="宋体"/>
                <w:highlight w:val="none"/>
              </w:rPr>
            </w:pPr>
            <w:r>
              <w:rPr>
                <w:rFonts w:hint="eastAsia" w:ascii="宋体" w:hAnsi="宋体"/>
                <w:highlight w:val="none"/>
              </w:rPr>
              <w:t>14.1</w:t>
            </w:r>
          </w:p>
        </w:tc>
        <w:tc>
          <w:tcPr>
            <w:tcW w:w="1290" w:type="dxa"/>
            <w:tcBorders>
              <w:top w:val="single" w:color="auto" w:sz="4" w:space="0"/>
              <w:left w:val="nil"/>
              <w:bottom w:val="single" w:color="auto" w:sz="4" w:space="0"/>
              <w:right w:val="single" w:color="auto" w:sz="4" w:space="0"/>
            </w:tcBorders>
            <w:vAlign w:val="center"/>
          </w:tcPr>
          <w:p>
            <w:pPr>
              <w:shd w:val="clear"/>
              <w:spacing w:before="0" w:after="0" w:afterAutospacing="0"/>
              <w:ind w:left="0" w:right="0" w:firstLine="0"/>
              <w:rPr>
                <w:rFonts w:ascii="宋体" w:hAnsi="宋体"/>
                <w:highlight w:val="none"/>
              </w:rPr>
            </w:pPr>
            <w:r>
              <w:rPr>
                <w:rFonts w:hint="eastAsia" w:ascii="宋体" w:hAnsi="宋体"/>
                <w:highlight w:val="none"/>
              </w:rPr>
              <w:t>比选申请保证金</w:t>
            </w:r>
          </w:p>
        </w:tc>
        <w:tc>
          <w:tcPr>
            <w:tcW w:w="6925" w:type="dxa"/>
            <w:tcBorders>
              <w:top w:val="single" w:color="auto" w:sz="4" w:space="0"/>
              <w:left w:val="nil"/>
              <w:bottom w:val="single" w:color="auto" w:sz="4" w:space="0"/>
              <w:right w:val="single" w:color="auto" w:sz="4" w:space="0"/>
            </w:tcBorders>
            <w:vAlign w:val="center"/>
          </w:tcPr>
          <w:p>
            <w:pPr>
              <w:shd w:val="clear"/>
              <w:spacing w:before="0" w:after="0" w:afterAutospacing="0"/>
              <w:ind w:left="0" w:right="0" w:firstLine="0"/>
              <w:rPr>
                <w:rFonts w:ascii="宋体" w:hAnsi="宋体"/>
                <w:highlight w:val="none"/>
              </w:rPr>
            </w:pPr>
            <w:r>
              <w:rPr>
                <w:rFonts w:hint="eastAsia" w:ascii="宋体" w:hAnsi="宋体"/>
                <w:highlight w:val="none"/>
              </w:rPr>
              <w:t>不要求递交比选申请保证金</w:t>
            </w:r>
          </w:p>
        </w:tc>
      </w:tr>
      <w:tr>
        <w:tblPrEx>
          <w:tblCellMar>
            <w:top w:w="0" w:type="dxa"/>
            <w:left w:w="108" w:type="dxa"/>
            <w:bottom w:w="0" w:type="dxa"/>
            <w:right w:w="108" w:type="dxa"/>
          </w:tblCellMar>
        </w:tblPrEx>
        <w:trPr>
          <w:trHeight w:val="551" w:hRule="atLeast"/>
        </w:trPr>
        <w:tc>
          <w:tcPr>
            <w:tcW w:w="902" w:type="dxa"/>
            <w:tcBorders>
              <w:top w:val="single" w:color="auto" w:sz="4" w:space="0"/>
              <w:left w:val="single" w:color="auto" w:sz="4" w:space="0"/>
              <w:right w:val="single" w:color="auto" w:sz="4" w:space="0"/>
            </w:tcBorders>
            <w:vAlign w:val="center"/>
          </w:tcPr>
          <w:p>
            <w:pPr>
              <w:shd w:val="clear"/>
              <w:spacing w:before="0" w:after="0" w:afterAutospacing="0"/>
              <w:ind w:left="0" w:right="0" w:firstLine="0"/>
              <w:rPr>
                <w:rFonts w:ascii="宋体" w:hAnsi="宋体"/>
                <w:highlight w:val="none"/>
              </w:rPr>
            </w:pPr>
            <w:r>
              <w:rPr>
                <w:rFonts w:hint="eastAsia" w:ascii="宋体" w:hAnsi="宋体"/>
                <w:highlight w:val="none"/>
              </w:rPr>
              <w:t>15.1</w:t>
            </w:r>
          </w:p>
        </w:tc>
        <w:tc>
          <w:tcPr>
            <w:tcW w:w="1290" w:type="dxa"/>
            <w:tcBorders>
              <w:top w:val="single" w:color="auto" w:sz="4" w:space="0"/>
              <w:left w:val="nil"/>
              <w:right w:val="single" w:color="auto" w:sz="4" w:space="0"/>
            </w:tcBorders>
            <w:vAlign w:val="center"/>
          </w:tcPr>
          <w:p>
            <w:pPr>
              <w:shd w:val="clear"/>
              <w:spacing w:before="0" w:after="0" w:afterAutospacing="0"/>
              <w:ind w:left="0" w:right="0" w:firstLine="0"/>
              <w:rPr>
                <w:rFonts w:ascii="宋体" w:hAnsi="宋体"/>
                <w:highlight w:val="none"/>
              </w:rPr>
            </w:pPr>
            <w:r>
              <w:rPr>
                <w:rFonts w:hint="eastAsia" w:ascii="宋体" w:hAnsi="宋体"/>
                <w:highlight w:val="none"/>
              </w:rPr>
              <w:t>比选申请有效期</w:t>
            </w:r>
          </w:p>
        </w:tc>
        <w:tc>
          <w:tcPr>
            <w:tcW w:w="6925" w:type="dxa"/>
            <w:tcBorders>
              <w:top w:val="single" w:color="auto" w:sz="4" w:space="0"/>
              <w:left w:val="nil"/>
              <w:bottom w:val="single" w:color="auto" w:sz="4" w:space="0"/>
              <w:right w:val="single" w:color="auto" w:sz="4" w:space="0"/>
            </w:tcBorders>
            <w:vAlign w:val="center"/>
          </w:tcPr>
          <w:p>
            <w:pPr>
              <w:shd w:val="clear"/>
              <w:spacing w:before="0" w:after="0" w:afterAutospacing="0"/>
              <w:ind w:left="0" w:right="0" w:firstLine="0"/>
              <w:rPr>
                <w:rFonts w:ascii="宋体" w:hAnsi="宋体"/>
                <w:highlight w:val="none"/>
              </w:rPr>
            </w:pPr>
            <w:r>
              <w:rPr>
                <w:rFonts w:hint="eastAsia" w:ascii="宋体" w:hAnsi="宋体"/>
                <w:highlight w:val="none"/>
              </w:rPr>
              <w:t>自比选申请截止时间起90天</w:t>
            </w:r>
          </w:p>
        </w:tc>
      </w:tr>
      <w:tr>
        <w:tblPrEx>
          <w:tblCellMar>
            <w:top w:w="0" w:type="dxa"/>
            <w:left w:w="108" w:type="dxa"/>
            <w:bottom w:w="0" w:type="dxa"/>
            <w:right w:w="108" w:type="dxa"/>
          </w:tblCellMar>
        </w:tblPrEx>
        <w:trPr>
          <w:trHeight w:val="241" w:hRule="atLeast"/>
        </w:trPr>
        <w:tc>
          <w:tcPr>
            <w:tcW w:w="902" w:type="dxa"/>
            <w:tcBorders>
              <w:top w:val="single" w:color="auto" w:sz="4" w:space="0"/>
              <w:left w:val="single" w:color="auto" w:sz="4" w:space="0"/>
              <w:bottom w:val="single" w:color="auto" w:sz="4" w:space="0"/>
              <w:right w:val="single" w:color="auto" w:sz="4" w:space="0"/>
            </w:tcBorders>
            <w:vAlign w:val="center"/>
          </w:tcPr>
          <w:p>
            <w:pPr>
              <w:shd w:val="clear"/>
              <w:spacing w:before="0" w:after="0" w:afterAutospacing="0"/>
              <w:ind w:left="0" w:right="0" w:firstLine="0"/>
              <w:rPr>
                <w:rFonts w:ascii="宋体" w:hAnsi="宋体"/>
                <w:highlight w:val="none"/>
              </w:rPr>
            </w:pPr>
            <w:r>
              <w:rPr>
                <w:rFonts w:hint="eastAsia" w:ascii="宋体" w:hAnsi="宋体"/>
                <w:highlight w:val="none"/>
              </w:rPr>
              <w:t>16.1</w:t>
            </w:r>
          </w:p>
        </w:tc>
        <w:tc>
          <w:tcPr>
            <w:tcW w:w="1290" w:type="dxa"/>
            <w:tcBorders>
              <w:top w:val="single" w:color="auto" w:sz="4" w:space="0"/>
              <w:left w:val="nil"/>
              <w:bottom w:val="single" w:color="auto" w:sz="4" w:space="0"/>
              <w:right w:val="single" w:color="auto" w:sz="4" w:space="0"/>
            </w:tcBorders>
            <w:vAlign w:val="center"/>
          </w:tcPr>
          <w:p>
            <w:pPr>
              <w:shd w:val="clear"/>
              <w:spacing w:before="0" w:after="0" w:afterAutospacing="0"/>
              <w:ind w:left="0" w:right="0" w:firstLine="0"/>
              <w:rPr>
                <w:rFonts w:ascii="宋体" w:hAnsi="宋体"/>
                <w:highlight w:val="none"/>
              </w:rPr>
            </w:pPr>
            <w:r>
              <w:rPr>
                <w:rFonts w:hint="eastAsia" w:ascii="宋体" w:hAnsi="宋体"/>
                <w:highlight w:val="none"/>
              </w:rPr>
              <w:t>比选申请文件副本份数</w:t>
            </w:r>
          </w:p>
        </w:tc>
        <w:tc>
          <w:tcPr>
            <w:tcW w:w="6925" w:type="dxa"/>
            <w:tcBorders>
              <w:top w:val="single" w:color="auto" w:sz="4" w:space="0"/>
              <w:left w:val="nil"/>
              <w:bottom w:val="single" w:color="auto" w:sz="4" w:space="0"/>
              <w:right w:val="single" w:color="auto" w:sz="4" w:space="0"/>
            </w:tcBorders>
            <w:vAlign w:val="center"/>
          </w:tcPr>
          <w:p>
            <w:pPr>
              <w:shd w:val="clear"/>
              <w:spacing w:before="0" w:after="0" w:afterAutospacing="0"/>
              <w:ind w:left="0" w:right="0" w:firstLine="0"/>
              <w:rPr>
                <w:rFonts w:ascii="宋体" w:hAnsi="宋体"/>
                <w:highlight w:val="none"/>
              </w:rPr>
            </w:pPr>
            <w:r>
              <w:rPr>
                <w:rFonts w:hint="eastAsia" w:ascii="宋体" w:hAnsi="宋体"/>
                <w:highlight w:val="none"/>
              </w:rPr>
              <w:t>正本1份，副本4份。</w:t>
            </w:r>
          </w:p>
        </w:tc>
      </w:tr>
      <w:tr>
        <w:tblPrEx>
          <w:tblCellMar>
            <w:top w:w="0" w:type="dxa"/>
            <w:left w:w="108" w:type="dxa"/>
            <w:bottom w:w="0" w:type="dxa"/>
            <w:right w:w="108" w:type="dxa"/>
          </w:tblCellMar>
        </w:tblPrEx>
        <w:trPr>
          <w:trHeight w:val="140" w:hRule="atLeast"/>
        </w:trPr>
        <w:tc>
          <w:tcPr>
            <w:tcW w:w="902" w:type="dxa"/>
            <w:vMerge w:val="restart"/>
            <w:tcBorders>
              <w:top w:val="single" w:color="auto" w:sz="4" w:space="0"/>
              <w:left w:val="single" w:color="auto" w:sz="4" w:space="0"/>
              <w:bottom w:val="single" w:color="auto" w:sz="4" w:space="0"/>
              <w:right w:val="single" w:color="auto" w:sz="4" w:space="0"/>
            </w:tcBorders>
            <w:vAlign w:val="center"/>
          </w:tcPr>
          <w:p>
            <w:pPr>
              <w:shd w:val="clear"/>
              <w:spacing w:before="0" w:after="0" w:afterAutospacing="0"/>
              <w:ind w:left="0" w:right="0" w:firstLine="0"/>
              <w:rPr>
                <w:rFonts w:ascii="宋体" w:hAnsi="宋体"/>
                <w:highlight w:val="none"/>
              </w:rPr>
            </w:pPr>
            <w:r>
              <w:rPr>
                <w:rFonts w:hint="eastAsia" w:ascii="宋体" w:hAnsi="宋体"/>
                <w:highlight w:val="none"/>
              </w:rPr>
              <w:t>28.1</w:t>
            </w:r>
          </w:p>
        </w:tc>
        <w:tc>
          <w:tcPr>
            <w:tcW w:w="1290" w:type="dxa"/>
            <w:tcBorders>
              <w:top w:val="single" w:color="auto" w:sz="4" w:space="0"/>
              <w:left w:val="nil"/>
              <w:bottom w:val="single" w:color="auto" w:sz="4" w:space="0"/>
              <w:right w:val="single" w:color="auto" w:sz="4" w:space="0"/>
            </w:tcBorders>
            <w:vAlign w:val="center"/>
          </w:tcPr>
          <w:p>
            <w:pPr>
              <w:shd w:val="clear"/>
              <w:spacing w:before="0" w:after="0" w:afterAutospacing="0"/>
              <w:ind w:left="0" w:right="0" w:firstLine="0"/>
              <w:rPr>
                <w:rFonts w:ascii="宋体" w:hAnsi="宋体"/>
                <w:highlight w:val="none"/>
              </w:rPr>
            </w:pPr>
            <w:r>
              <w:rPr>
                <w:rFonts w:hint="eastAsia" w:ascii="宋体" w:hAnsi="宋体"/>
                <w:highlight w:val="none"/>
              </w:rPr>
              <w:t>比选申请截止时间</w:t>
            </w:r>
          </w:p>
        </w:tc>
        <w:tc>
          <w:tcPr>
            <w:tcW w:w="6925" w:type="dxa"/>
            <w:tcBorders>
              <w:top w:val="single" w:color="auto" w:sz="4" w:space="0"/>
              <w:left w:val="nil"/>
              <w:bottom w:val="single" w:color="auto" w:sz="4" w:space="0"/>
              <w:right w:val="single" w:color="auto" w:sz="4" w:space="0"/>
            </w:tcBorders>
            <w:vAlign w:val="center"/>
          </w:tcPr>
          <w:p>
            <w:pPr>
              <w:shd w:val="clear"/>
              <w:spacing w:before="0" w:after="0" w:afterAutospacing="0"/>
              <w:ind w:left="0" w:right="0" w:firstLine="210" w:firstLineChars="100"/>
              <w:rPr>
                <w:rFonts w:ascii="宋体" w:hAnsi="宋体"/>
                <w:highlight w:val="none"/>
              </w:rPr>
            </w:pPr>
            <w:bookmarkStart w:id="41" w:name="CgwjmbEntity：KBSJ3_0"/>
            <w:r>
              <w:rPr>
                <w:rFonts w:hint="eastAsia" w:ascii="宋体" w:hAnsi="宋体"/>
                <w:highlight w:val="none"/>
              </w:rPr>
              <w:t>202</w:t>
            </w:r>
            <w:r>
              <w:rPr>
                <w:rFonts w:ascii="宋体" w:hAnsi="宋体"/>
                <w:highlight w:val="none"/>
              </w:rPr>
              <w:t>3</w:t>
            </w:r>
            <w:r>
              <w:rPr>
                <w:rFonts w:hint="eastAsia" w:ascii="宋体" w:hAnsi="宋体"/>
                <w:highlight w:val="none"/>
              </w:rPr>
              <w:t xml:space="preserve"> 年</w:t>
            </w:r>
            <w:bookmarkEnd w:id="41"/>
            <w:r>
              <w:rPr>
                <w:rFonts w:hint="eastAsia" w:ascii="宋体" w:hAnsi="宋体"/>
                <w:highlight w:val="none"/>
                <w:lang w:val="en-US" w:eastAsia="zh-CN"/>
              </w:rPr>
              <w:t xml:space="preserve"> 12  </w:t>
            </w:r>
            <w:r>
              <w:rPr>
                <w:rFonts w:hint="eastAsia" w:ascii="宋体" w:hAnsi="宋体"/>
                <w:highlight w:val="none"/>
              </w:rPr>
              <w:t>月</w:t>
            </w:r>
            <w:r>
              <w:rPr>
                <w:rFonts w:ascii="宋体" w:hAnsi="宋体"/>
                <w:highlight w:val="none"/>
              </w:rPr>
              <w:t xml:space="preserve"> </w:t>
            </w:r>
            <w:r>
              <w:rPr>
                <w:rFonts w:hint="eastAsia" w:ascii="宋体" w:hAnsi="宋体"/>
                <w:highlight w:val="none"/>
                <w:lang w:val="en-US" w:eastAsia="zh-CN"/>
              </w:rPr>
              <w:t>5</w:t>
            </w:r>
            <w:r>
              <w:rPr>
                <w:rFonts w:ascii="宋体" w:hAnsi="宋体"/>
                <w:highlight w:val="none"/>
              </w:rPr>
              <w:t xml:space="preserve"> </w:t>
            </w:r>
            <w:r>
              <w:rPr>
                <w:rFonts w:hint="eastAsia" w:ascii="宋体" w:hAnsi="宋体"/>
                <w:highlight w:val="none"/>
                <w:lang w:val="en-US" w:eastAsia="zh-CN"/>
              </w:rPr>
              <w:t xml:space="preserve"> </w:t>
            </w:r>
            <w:r>
              <w:rPr>
                <w:rFonts w:hint="eastAsia" w:ascii="宋体" w:hAnsi="宋体"/>
                <w:highlight w:val="none"/>
              </w:rPr>
              <w:t>日</w:t>
            </w:r>
            <w:r>
              <w:rPr>
                <w:rFonts w:ascii="宋体" w:hAnsi="宋体"/>
                <w:highlight w:val="none"/>
              </w:rPr>
              <w:t xml:space="preserve"> </w:t>
            </w:r>
            <w:r>
              <w:rPr>
                <w:rFonts w:hint="eastAsia" w:ascii="宋体" w:hAnsi="宋体"/>
                <w:highlight w:val="none"/>
                <w:lang w:val="en-US" w:eastAsia="zh-CN"/>
              </w:rPr>
              <w:t xml:space="preserve">9  </w:t>
            </w:r>
            <w:r>
              <w:rPr>
                <w:rFonts w:hint="eastAsia" w:ascii="宋体" w:hAnsi="宋体"/>
                <w:highlight w:val="none"/>
              </w:rPr>
              <w:t xml:space="preserve">时 </w:t>
            </w:r>
            <w:r>
              <w:rPr>
                <w:rFonts w:ascii="宋体" w:hAnsi="宋体"/>
                <w:highlight w:val="none"/>
              </w:rPr>
              <w:t xml:space="preserve"> </w:t>
            </w:r>
            <w:r>
              <w:rPr>
                <w:rFonts w:hint="eastAsia" w:ascii="宋体" w:hAnsi="宋体"/>
                <w:highlight w:val="none"/>
                <w:lang w:val="en-US" w:eastAsia="zh-CN"/>
              </w:rPr>
              <w:t>00</w:t>
            </w:r>
            <w:bookmarkStart w:id="2246" w:name="_GoBack"/>
            <w:bookmarkEnd w:id="2246"/>
            <w:r>
              <w:rPr>
                <w:rFonts w:hint="eastAsia" w:ascii="宋体" w:hAnsi="宋体"/>
                <w:highlight w:val="none"/>
              </w:rPr>
              <w:t xml:space="preserve"> 分</w:t>
            </w:r>
          </w:p>
        </w:tc>
      </w:tr>
      <w:tr>
        <w:tblPrEx>
          <w:tblCellMar>
            <w:top w:w="0" w:type="dxa"/>
            <w:left w:w="108" w:type="dxa"/>
            <w:bottom w:w="0" w:type="dxa"/>
            <w:right w:w="108" w:type="dxa"/>
          </w:tblCellMar>
        </w:tblPrEx>
        <w:trPr>
          <w:trHeight w:val="797" w:hRule="atLeast"/>
        </w:trPr>
        <w:tc>
          <w:tcPr>
            <w:tcW w:w="902" w:type="dxa"/>
            <w:vMerge w:val="continue"/>
            <w:tcBorders>
              <w:top w:val="single" w:color="auto" w:sz="4" w:space="0"/>
              <w:left w:val="single" w:color="auto" w:sz="4" w:space="0"/>
              <w:bottom w:val="single" w:color="auto" w:sz="4" w:space="0"/>
              <w:right w:val="single" w:color="auto" w:sz="4" w:space="0"/>
            </w:tcBorders>
            <w:vAlign w:val="center"/>
          </w:tcPr>
          <w:p>
            <w:pPr>
              <w:shd w:val="clear"/>
              <w:spacing w:before="0" w:after="0" w:afterAutospacing="0"/>
              <w:ind w:left="0" w:right="0" w:firstLine="0"/>
              <w:rPr>
                <w:rFonts w:ascii="宋体" w:hAnsi="宋体"/>
                <w:highlight w:val="none"/>
              </w:rPr>
            </w:pPr>
          </w:p>
        </w:tc>
        <w:tc>
          <w:tcPr>
            <w:tcW w:w="1290" w:type="dxa"/>
            <w:tcBorders>
              <w:top w:val="single" w:color="auto" w:sz="4" w:space="0"/>
              <w:left w:val="nil"/>
              <w:bottom w:val="single" w:color="auto" w:sz="4" w:space="0"/>
              <w:right w:val="single" w:color="auto" w:sz="4" w:space="0"/>
            </w:tcBorders>
            <w:vAlign w:val="center"/>
          </w:tcPr>
          <w:p>
            <w:pPr>
              <w:shd w:val="clear"/>
              <w:spacing w:before="0" w:after="0" w:afterAutospacing="0"/>
              <w:ind w:left="0" w:right="0" w:firstLine="0"/>
              <w:rPr>
                <w:rFonts w:ascii="宋体" w:hAnsi="宋体"/>
                <w:highlight w:val="none"/>
              </w:rPr>
            </w:pPr>
            <w:r>
              <w:rPr>
                <w:rFonts w:hint="eastAsia" w:ascii="宋体" w:hAnsi="宋体"/>
                <w:highlight w:val="none"/>
              </w:rPr>
              <w:t>递交比选申请文件地点</w:t>
            </w:r>
          </w:p>
        </w:tc>
        <w:tc>
          <w:tcPr>
            <w:tcW w:w="6925" w:type="dxa"/>
            <w:tcBorders>
              <w:top w:val="single" w:color="auto" w:sz="4" w:space="0"/>
              <w:left w:val="nil"/>
              <w:bottom w:val="single" w:color="auto" w:sz="4" w:space="0"/>
              <w:right w:val="single" w:color="auto" w:sz="4" w:space="0"/>
            </w:tcBorders>
            <w:vAlign w:val="center"/>
          </w:tcPr>
          <w:p>
            <w:pPr>
              <w:widowControl w:val="0"/>
              <w:shd w:val="clear" w:color="auto"/>
              <w:spacing w:before="0" w:after="0" w:afterAutospacing="0" w:line="240" w:lineRule="auto"/>
              <w:ind w:left="0" w:right="0" w:firstLine="0"/>
              <w:rPr>
                <w:rFonts w:hint="eastAsia" w:ascii="宋体" w:hAnsi="宋体" w:eastAsia="宋体" w:cs="黑体"/>
                <w:kern w:val="2"/>
                <w:szCs w:val="22"/>
                <w:highlight w:val="none"/>
              </w:rPr>
            </w:pPr>
            <w:r>
              <w:rPr>
                <w:rFonts w:hint="eastAsia" w:ascii="宋体" w:hAnsi="宋体" w:eastAsia="宋体" w:cs="黑体"/>
                <w:kern w:val="2"/>
                <w:szCs w:val="22"/>
                <w:highlight w:val="none"/>
              </w:rPr>
              <w:t>单位：南宁轨道交通运营有限公司</w:t>
            </w:r>
          </w:p>
          <w:p>
            <w:pPr>
              <w:widowControl w:val="0"/>
              <w:shd w:val="clear" w:color="auto"/>
              <w:spacing w:before="0" w:after="0" w:afterAutospacing="0" w:line="240" w:lineRule="auto"/>
              <w:ind w:left="0" w:right="0" w:firstLine="0"/>
              <w:rPr>
                <w:rFonts w:hint="eastAsia" w:ascii="宋体" w:hAnsi="宋体" w:eastAsia="宋体" w:cs="黑体"/>
                <w:kern w:val="2"/>
                <w:szCs w:val="22"/>
                <w:highlight w:val="none"/>
              </w:rPr>
            </w:pPr>
            <w:r>
              <w:rPr>
                <w:rFonts w:hint="eastAsia" w:ascii="宋体" w:hAnsi="宋体" w:eastAsia="宋体" w:cs="黑体"/>
                <w:kern w:val="2"/>
                <w:szCs w:val="22"/>
                <w:highlight w:val="none"/>
              </w:rPr>
              <w:t>地址：南宁市青秀区云景路83号屯里车辆段综合楼20</w:t>
            </w:r>
            <w:r>
              <w:rPr>
                <w:rFonts w:hint="eastAsia" w:ascii="宋体" w:hAnsi="宋体" w:cs="黑体"/>
                <w:kern w:val="2"/>
                <w:szCs w:val="22"/>
                <w:highlight w:val="none"/>
                <w:lang w:val="en-US" w:eastAsia="zh-CN"/>
              </w:rPr>
              <w:t>5</w:t>
            </w:r>
            <w:r>
              <w:rPr>
                <w:rFonts w:hint="eastAsia" w:ascii="宋体" w:hAnsi="宋体" w:eastAsia="宋体" w:cs="黑体"/>
                <w:kern w:val="2"/>
                <w:szCs w:val="22"/>
                <w:highlight w:val="none"/>
              </w:rPr>
              <w:t xml:space="preserve">会议室 </w:t>
            </w:r>
          </w:p>
          <w:p>
            <w:pPr>
              <w:shd w:val="clear"/>
              <w:spacing w:before="0" w:after="0" w:afterAutospacing="0"/>
              <w:ind w:left="0" w:right="0" w:firstLine="0"/>
              <w:rPr>
                <w:rFonts w:hint="eastAsia" w:ascii="宋体" w:hAnsi="宋体" w:eastAsia="宋体"/>
                <w:highlight w:val="none"/>
                <w:lang w:val="en-US" w:eastAsia="zh-CN"/>
              </w:rPr>
            </w:pPr>
            <w:r>
              <w:rPr>
                <w:rFonts w:hint="eastAsia" w:ascii="宋体" w:hAnsi="宋体"/>
                <w:highlight w:val="none"/>
              </w:rPr>
              <w:t>递交现场联系人：</w:t>
            </w:r>
            <w:r>
              <w:rPr>
                <w:rFonts w:hint="eastAsia" w:ascii="宋体" w:hAnsi="宋体"/>
                <w:color w:val="FF0000"/>
                <w:highlight w:val="none"/>
                <w:lang w:val="en-US" w:eastAsia="zh-CN"/>
              </w:rPr>
              <w:t>莫程</w:t>
            </w:r>
            <w:r>
              <w:rPr>
                <w:rFonts w:hint="eastAsia" w:ascii="宋体" w:hAnsi="宋体"/>
                <w:color w:val="FF0000"/>
                <w:highlight w:val="none"/>
              </w:rPr>
              <w:t xml:space="preserve"> </w:t>
            </w:r>
            <w:r>
              <w:rPr>
                <w:rFonts w:hint="eastAsia" w:ascii="Arial" w:hAnsi="Arial" w:cs="Arial"/>
                <w:color w:val="FF0000"/>
                <w:highlight w:val="none"/>
              </w:rPr>
              <w:t>电话0771-277831</w:t>
            </w:r>
            <w:r>
              <w:rPr>
                <w:rFonts w:hint="eastAsia" w:ascii="Arial" w:hAnsi="Arial" w:cs="Arial"/>
                <w:color w:val="FF0000"/>
                <w:highlight w:val="none"/>
                <w:lang w:val="en-US" w:eastAsia="zh-CN"/>
              </w:rPr>
              <w:t>2</w:t>
            </w:r>
          </w:p>
        </w:tc>
      </w:tr>
      <w:tr>
        <w:tblPrEx>
          <w:tblCellMar>
            <w:top w:w="0" w:type="dxa"/>
            <w:left w:w="108" w:type="dxa"/>
            <w:bottom w:w="0" w:type="dxa"/>
            <w:right w:w="108" w:type="dxa"/>
          </w:tblCellMar>
        </w:tblPrEx>
        <w:trPr>
          <w:trHeight w:val="242" w:hRule="atLeast"/>
        </w:trPr>
        <w:tc>
          <w:tcPr>
            <w:tcW w:w="902" w:type="dxa"/>
            <w:tcBorders>
              <w:top w:val="single" w:color="auto" w:sz="4" w:space="0"/>
              <w:left w:val="single" w:color="auto" w:sz="4" w:space="0"/>
              <w:bottom w:val="single" w:color="auto" w:sz="4" w:space="0"/>
              <w:right w:val="single" w:color="auto" w:sz="4" w:space="0"/>
            </w:tcBorders>
            <w:vAlign w:val="center"/>
          </w:tcPr>
          <w:p>
            <w:pPr>
              <w:shd w:val="clear"/>
              <w:spacing w:before="0" w:after="0" w:afterAutospacing="0"/>
              <w:ind w:left="0" w:right="0" w:firstLine="0"/>
              <w:rPr>
                <w:rFonts w:ascii="宋体" w:hAnsi="宋体"/>
                <w:highlight w:val="none"/>
              </w:rPr>
            </w:pPr>
            <w:r>
              <w:rPr>
                <w:rFonts w:hint="eastAsia" w:ascii="宋体" w:hAnsi="宋体"/>
                <w:highlight w:val="none"/>
              </w:rPr>
              <w:t>22</w:t>
            </w:r>
          </w:p>
        </w:tc>
        <w:tc>
          <w:tcPr>
            <w:tcW w:w="1290" w:type="dxa"/>
            <w:tcBorders>
              <w:top w:val="single" w:color="auto" w:sz="4" w:space="0"/>
              <w:left w:val="nil"/>
              <w:bottom w:val="single" w:color="auto" w:sz="4" w:space="0"/>
              <w:right w:val="single" w:color="auto" w:sz="4" w:space="0"/>
            </w:tcBorders>
            <w:vAlign w:val="center"/>
          </w:tcPr>
          <w:p>
            <w:pPr>
              <w:shd w:val="clear"/>
              <w:spacing w:before="0" w:after="0" w:afterAutospacing="0"/>
              <w:ind w:left="0" w:right="0" w:firstLine="0"/>
              <w:rPr>
                <w:rFonts w:ascii="宋体" w:hAnsi="宋体"/>
                <w:highlight w:val="none"/>
              </w:rPr>
            </w:pPr>
            <w:r>
              <w:rPr>
                <w:rFonts w:hint="eastAsia" w:ascii="宋体" w:hAnsi="宋体"/>
                <w:highlight w:val="none"/>
              </w:rPr>
              <w:t>评审方法</w:t>
            </w:r>
          </w:p>
        </w:tc>
        <w:tc>
          <w:tcPr>
            <w:tcW w:w="6925" w:type="dxa"/>
            <w:tcBorders>
              <w:top w:val="single" w:color="auto" w:sz="4" w:space="0"/>
              <w:left w:val="nil"/>
              <w:bottom w:val="single" w:color="auto" w:sz="4" w:space="0"/>
              <w:right w:val="single" w:color="auto" w:sz="4" w:space="0"/>
            </w:tcBorders>
            <w:vAlign w:val="center"/>
          </w:tcPr>
          <w:p>
            <w:pPr>
              <w:shd w:val="clear"/>
              <w:spacing w:before="0" w:after="0" w:afterAutospacing="0"/>
              <w:ind w:left="0" w:right="0" w:firstLine="0"/>
              <w:rPr>
                <w:rFonts w:ascii="宋体" w:hAnsi="宋体"/>
                <w:highlight w:val="none"/>
              </w:rPr>
            </w:pPr>
            <w:r>
              <w:rPr>
                <w:rFonts w:hint="eastAsia" w:ascii="宋体" w:hAnsi="宋体"/>
                <w:highlight w:val="none"/>
              </w:rPr>
              <w:t>综合评估法（</w:t>
            </w:r>
            <w:r>
              <w:rPr>
                <w:rFonts w:hint="eastAsia" w:hAnsi="宋体"/>
                <w:highlight w:val="none"/>
              </w:rPr>
              <w:t>评比总价以不含税比选报价为基准</w:t>
            </w:r>
            <w:r>
              <w:rPr>
                <w:rFonts w:hint="eastAsia" w:ascii="宋体" w:hAnsi="宋体"/>
                <w:highlight w:val="none"/>
              </w:rPr>
              <w:t>）</w:t>
            </w:r>
          </w:p>
        </w:tc>
      </w:tr>
      <w:tr>
        <w:tblPrEx>
          <w:tblCellMar>
            <w:top w:w="0" w:type="dxa"/>
            <w:left w:w="108" w:type="dxa"/>
            <w:bottom w:w="0" w:type="dxa"/>
            <w:right w:w="108" w:type="dxa"/>
          </w:tblCellMar>
        </w:tblPrEx>
        <w:trPr>
          <w:trHeight w:val="242" w:hRule="atLeast"/>
        </w:trPr>
        <w:tc>
          <w:tcPr>
            <w:tcW w:w="902" w:type="dxa"/>
            <w:tcBorders>
              <w:top w:val="single" w:color="auto" w:sz="4" w:space="0"/>
              <w:left w:val="single" w:color="auto" w:sz="4" w:space="0"/>
              <w:bottom w:val="single" w:color="auto" w:sz="4" w:space="0"/>
              <w:right w:val="single" w:color="auto" w:sz="4" w:space="0"/>
            </w:tcBorders>
            <w:vAlign w:val="center"/>
          </w:tcPr>
          <w:p>
            <w:pPr>
              <w:shd w:val="clear"/>
              <w:spacing w:before="0" w:after="0" w:afterAutospacing="0"/>
              <w:ind w:left="0" w:right="0" w:firstLine="0"/>
              <w:rPr>
                <w:rFonts w:ascii="宋体" w:hAnsi="宋体"/>
                <w:highlight w:val="none"/>
              </w:rPr>
            </w:pPr>
            <w:r>
              <w:rPr>
                <w:rFonts w:hint="eastAsia" w:ascii="宋体" w:hAnsi="宋体"/>
                <w:highlight w:val="none"/>
              </w:rPr>
              <w:t>34.4</w:t>
            </w:r>
          </w:p>
        </w:tc>
        <w:tc>
          <w:tcPr>
            <w:tcW w:w="1290" w:type="dxa"/>
            <w:tcBorders>
              <w:top w:val="single" w:color="auto" w:sz="4" w:space="0"/>
              <w:left w:val="nil"/>
              <w:bottom w:val="single" w:color="auto" w:sz="4" w:space="0"/>
              <w:right w:val="single" w:color="auto" w:sz="4" w:space="0"/>
            </w:tcBorders>
            <w:vAlign w:val="center"/>
          </w:tcPr>
          <w:p>
            <w:pPr>
              <w:shd w:val="clear"/>
              <w:spacing w:before="0" w:after="0" w:afterAutospacing="0"/>
              <w:ind w:left="0" w:right="0" w:firstLine="0"/>
              <w:rPr>
                <w:rFonts w:ascii="宋体" w:hAnsi="宋体"/>
                <w:highlight w:val="none"/>
              </w:rPr>
            </w:pPr>
            <w:r>
              <w:rPr>
                <w:rFonts w:hint="eastAsia" w:ascii="宋体" w:hAnsi="宋体"/>
                <w:highlight w:val="none"/>
              </w:rPr>
              <w:t>放弃中选人资格</w:t>
            </w:r>
          </w:p>
        </w:tc>
        <w:tc>
          <w:tcPr>
            <w:tcW w:w="6925" w:type="dxa"/>
            <w:tcBorders>
              <w:top w:val="single" w:color="auto" w:sz="4" w:space="0"/>
              <w:left w:val="nil"/>
              <w:bottom w:val="single" w:color="auto" w:sz="4" w:space="0"/>
              <w:right w:val="single" w:color="auto" w:sz="4" w:space="0"/>
            </w:tcBorders>
            <w:vAlign w:val="center"/>
          </w:tcPr>
          <w:p>
            <w:pPr>
              <w:shd w:val="clear"/>
              <w:spacing w:before="0" w:after="0" w:afterAutospacing="0"/>
              <w:ind w:left="0" w:right="0" w:firstLine="0"/>
              <w:rPr>
                <w:rFonts w:ascii="宋体" w:hAnsi="宋体"/>
                <w:highlight w:val="none"/>
              </w:rPr>
            </w:pPr>
            <w:r>
              <w:rPr>
                <w:rFonts w:hint="eastAsia" w:ascii="宋体" w:hAnsi="宋体"/>
                <w:highlight w:val="none"/>
              </w:rPr>
              <w:t>中选人如放弃中选资格，比选人有权禁止其1年内不得参与属于比选人的项目。</w:t>
            </w:r>
          </w:p>
        </w:tc>
      </w:tr>
      <w:tr>
        <w:trPr>
          <w:trHeight w:val="637" w:hRule="atLeast"/>
        </w:trPr>
        <w:tc>
          <w:tcPr>
            <w:tcW w:w="902" w:type="dxa"/>
            <w:tcBorders>
              <w:top w:val="single" w:color="auto" w:sz="4" w:space="0"/>
              <w:left w:val="single" w:color="auto" w:sz="4" w:space="0"/>
              <w:bottom w:val="single" w:color="auto" w:sz="4" w:space="0"/>
              <w:right w:val="single" w:color="auto" w:sz="4" w:space="0"/>
            </w:tcBorders>
            <w:vAlign w:val="center"/>
          </w:tcPr>
          <w:p>
            <w:pPr>
              <w:shd w:val="clear"/>
              <w:spacing w:before="0" w:after="0" w:afterAutospacing="0"/>
              <w:ind w:left="0" w:right="0" w:firstLine="0"/>
              <w:rPr>
                <w:rFonts w:ascii="宋体" w:hAnsi="宋体"/>
                <w:highlight w:val="none"/>
              </w:rPr>
            </w:pPr>
            <w:r>
              <w:rPr>
                <w:rFonts w:hint="eastAsia" w:ascii="宋体" w:hAnsi="宋体"/>
                <w:highlight w:val="none"/>
              </w:rPr>
              <w:t>36.1</w:t>
            </w:r>
          </w:p>
        </w:tc>
        <w:tc>
          <w:tcPr>
            <w:tcW w:w="1290" w:type="dxa"/>
            <w:tcBorders>
              <w:top w:val="single" w:color="auto" w:sz="4" w:space="0"/>
              <w:left w:val="nil"/>
              <w:bottom w:val="single" w:color="auto" w:sz="4" w:space="0"/>
              <w:right w:val="single" w:color="auto" w:sz="4" w:space="0"/>
            </w:tcBorders>
            <w:vAlign w:val="center"/>
          </w:tcPr>
          <w:p>
            <w:pPr>
              <w:shd w:val="clear"/>
              <w:spacing w:before="0" w:after="0" w:afterAutospacing="0"/>
              <w:ind w:left="0" w:right="0" w:firstLine="0"/>
              <w:rPr>
                <w:rFonts w:ascii="宋体" w:hAnsi="宋体"/>
                <w:highlight w:val="none"/>
              </w:rPr>
            </w:pPr>
            <w:r>
              <w:rPr>
                <w:rFonts w:hint="eastAsia" w:ascii="宋体" w:hAnsi="宋体"/>
                <w:highlight w:val="none"/>
              </w:rPr>
              <w:t>履约担保</w:t>
            </w:r>
          </w:p>
        </w:tc>
        <w:tc>
          <w:tcPr>
            <w:tcW w:w="6925" w:type="dxa"/>
            <w:tcBorders>
              <w:top w:val="single" w:color="auto" w:sz="4" w:space="0"/>
              <w:left w:val="nil"/>
              <w:bottom w:val="single" w:color="auto" w:sz="4" w:space="0"/>
              <w:right w:val="single" w:color="auto" w:sz="4" w:space="0"/>
            </w:tcBorders>
            <w:vAlign w:val="center"/>
          </w:tcPr>
          <w:p>
            <w:pPr>
              <w:shd w:val="clear"/>
              <w:spacing w:before="0" w:after="0" w:afterAutospacing="0"/>
              <w:ind w:left="0" w:right="0" w:firstLine="0"/>
              <w:rPr>
                <w:rFonts w:hint="eastAsia" w:ascii="宋体" w:hAnsi="宋体"/>
                <w:highlight w:val="none"/>
              </w:rPr>
            </w:pPr>
            <w:r>
              <w:rPr>
                <w:rFonts w:hint="eastAsia" w:ascii="宋体" w:hAnsi="宋体"/>
                <w:highlight w:val="none"/>
              </w:rPr>
              <w:t>履约担保的金额: 中选金额的</w:t>
            </w:r>
            <w:r>
              <w:rPr>
                <w:rFonts w:hint="eastAsia" w:ascii="宋体" w:hAnsi="宋体"/>
                <w:highlight w:val="none"/>
                <w:lang w:val="en-US" w:eastAsia="zh-CN"/>
              </w:rPr>
              <w:t>10</w:t>
            </w:r>
            <w:r>
              <w:rPr>
                <w:rFonts w:hint="eastAsia" w:ascii="宋体" w:hAnsi="宋体"/>
                <w:highlight w:val="none"/>
              </w:rPr>
              <w:t>%</w:t>
            </w:r>
          </w:p>
          <w:p>
            <w:pPr>
              <w:shd w:val="clear"/>
              <w:spacing w:before="0" w:after="0" w:afterAutospacing="0"/>
              <w:ind w:left="0" w:right="0" w:firstLine="0"/>
              <w:rPr>
                <w:rFonts w:hint="eastAsia" w:ascii="宋体" w:hAnsi="宋体"/>
                <w:highlight w:val="none"/>
              </w:rPr>
            </w:pPr>
            <w:r>
              <w:rPr>
                <w:rFonts w:hint="eastAsia" w:ascii="宋体" w:hAnsi="宋体"/>
                <w:highlight w:val="none"/>
              </w:rPr>
              <w:t>履约保证金的形式：转账或电汇或银行保函；</w:t>
            </w:r>
          </w:p>
          <w:p>
            <w:pPr>
              <w:shd w:val="clear"/>
              <w:spacing w:before="0" w:after="0" w:afterAutospacing="0"/>
              <w:ind w:left="0" w:right="0" w:firstLine="0"/>
              <w:rPr>
                <w:rFonts w:hint="eastAsia" w:ascii="宋体" w:hAnsi="宋体"/>
                <w:highlight w:val="none"/>
              </w:rPr>
            </w:pPr>
            <w:r>
              <w:rPr>
                <w:rFonts w:hint="eastAsia" w:ascii="宋体" w:hAnsi="宋体"/>
                <w:highlight w:val="none"/>
              </w:rPr>
              <w:t>递交地点：南宁市青秀区云景路83号；</w:t>
            </w:r>
          </w:p>
          <w:p>
            <w:pPr>
              <w:shd w:val="clear"/>
              <w:spacing w:before="0" w:after="0" w:afterAutospacing="0"/>
              <w:ind w:left="0" w:right="0" w:firstLine="0"/>
              <w:rPr>
                <w:rFonts w:hint="eastAsia" w:ascii="宋体" w:hAnsi="宋体"/>
                <w:highlight w:val="none"/>
              </w:rPr>
            </w:pPr>
            <w:r>
              <w:rPr>
                <w:rFonts w:hint="eastAsia" w:ascii="宋体" w:hAnsi="宋体"/>
                <w:highlight w:val="none"/>
              </w:rPr>
              <w:t>备注：</w:t>
            </w:r>
          </w:p>
          <w:p>
            <w:pPr>
              <w:shd w:val="clear"/>
              <w:spacing w:before="0" w:after="0" w:afterAutospacing="0"/>
              <w:ind w:left="0" w:right="0" w:firstLine="0"/>
              <w:rPr>
                <w:rFonts w:hint="eastAsia" w:ascii="宋体" w:hAnsi="宋体"/>
                <w:highlight w:val="none"/>
              </w:rPr>
            </w:pPr>
            <w:r>
              <w:rPr>
                <w:rFonts w:hint="eastAsia" w:ascii="宋体" w:hAnsi="宋体"/>
                <w:highlight w:val="none"/>
              </w:rPr>
              <w:t>1.提交履约保证金的时间：应在合同签订前且最迟应在中</w:t>
            </w:r>
            <w:r>
              <w:rPr>
                <w:rFonts w:hint="eastAsia" w:ascii="宋体" w:hAnsi="宋体"/>
                <w:highlight w:val="none"/>
                <w:lang w:val="en-US" w:eastAsia="zh-CN"/>
              </w:rPr>
              <w:t>选</w:t>
            </w:r>
            <w:r>
              <w:rPr>
                <w:rFonts w:hint="eastAsia" w:ascii="宋体" w:hAnsi="宋体"/>
                <w:highlight w:val="none"/>
              </w:rPr>
              <w:t>通知书发出之日起20日内。</w:t>
            </w:r>
          </w:p>
          <w:p>
            <w:pPr>
              <w:shd w:val="clear"/>
              <w:spacing w:before="0" w:after="0" w:afterAutospacing="0"/>
              <w:ind w:left="0" w:right="0" w:firstLine="0"/>
              <w:rPr>
                <w:rFonts w:hint="eastAsia" w:ascii="宋体" w:hAnsi="宋体"/>
                <w:highlight w:val="none"/>
              </w:rPr>
            </w:pPr>
            <w:r>
              <w:rPr>
                <w:rFonts w:hint="eastAsia" w:ascii="宋体" w:hAnsi="宋体"/>
                <w:highlight w:val="none"/>
              </w:rPr>
              <w:t>2.若中</w:t>
            </w:r>
            <w:r>
              <w:rPr>
                <w:rFonts w:hint="eastAsia" w:ascii="宋体" w:hAnsi="宋体"/>
                <w:highlight w:val="none"/>
                <w:lang w:val="en-US" w:eastAsia="zh-CN"/>
              </w:rPr>
              <w:t>选</w:t>
            </w:r>
            <w:r>
              <w:rPr>
                <w:rFonts w:hint="eastAsia" w:ascii="宋体" w:hAnsi="宋体"/>
                <w:highlight w:val="none"/>
              </w:rPr>
              <w:t>人未在规定时间内足额缴纳履约保证金，比选人有权取消其</w:t>
            </w:r>
            <w:r>
              <w:rPr>
                <w:rFonts w:hint="eastAsia" w:ascii="宋体" w:hAnsi="宋体"/>
                <w:highlight w:val="none"/>
                <w:lang w:val="en-US" w:eastAsia="zh-CN"/>
              </w:rPr>
              <w:t>中选</w:t>
            </w:r>
            <w:r>
              <w:rPr>
                <w:rFonts w:hint="eastAsia" w:ascii="宋体" w:hAnsi="宋体"/>
                <w:highlight w:val="none"/>
              </w:rPr>
              <w:t>资格。</w:t>
            </w:r>
          </w:p>
          <w:p>
            <w:pPr>
              <w:shd w:val="clear"/>
              <w:spacing w:before="0" w:after="0" w:afterAutospacing="0"/>
              <w:ind w:left="0" w:right="0" w:firstLine="0"/>
              <w:rPr>
                <w:rFonts w:ascii="宋体" w:hAnsi="宋体"/>
                <w:highlight w:val="none"/>
              </w:rPr>
            </w:pPr>
            <w:r>
              <w:rPr>
                <w:rFonts w:hint="eastAsia" w:ascii="宋体" w:hAnsi="宋体"/>
                <w:highlight w:val="none"/>
              </w:rPr>
              <w:t>3.履约保函应采用合同规定格式，其开具银行应为中国境内商业银行地市级以上支行（含地市级支行），并须是以甲方为受益人，见索即付无条件付款的、不可撤销的银行保函。</w:t>
            </w:r>
          </w:p>
        </w:tc>
      </w:tr>
      <w:tr>
        <w:tblPrEx>
          <w:tblCellMar>
            <w:top w:w="0" w:type="dxa"/>
            <w:left w:w="108" w:type="dxa"/>
            <w:bottom w:w="0" w:type="dxa"/>
            <w:right w:w="108" w:type="dxa"/>
          </w:tblCellMar>
        </w:tblPrEx>
        <w:trPr>
          <w:trHeight w:val="242" w:hRule="atLeast"/>
        </w:trPr>
        <w:tc>
          <w:tcPr>
            <w:tcW w:w="902" w:type="dxa"/>
            <w:vMerge w:val="restart"/>
            <w:tcBorders>
              <w:top w:val="single" w:color="auto" w:sz="4" w:space="0"/>
              <w:left w:val="single" w:color="auto" w:sz="4" w:space="0"/>
              <w:right w:val="single" w:color="auto" w:sz="4" w:space="0"/>
            </w:tcBorders>
            <w:vAlign w:val="center"/>
          </w:tcPr>
          <w:p>
            <w:pPr>
              <w:shd w:val="clear"/>
              <w:spacing w:before="0" w:after="0" w:afterAutospacing="0"/>
              <w:ind w:left="0" w:right="0" w:firstLine="0"/>
              <w:rPr>
                <w:rFonts w:ascii="宋体" w:hAnsi="宋体"/>
                <w:highlight w:val="none"/>
              </w:rPr>
            </w:pPr>
            <w:r>
              <w:rPr>
                <w:rFonts w:hint="eastAsia" w:ascii="宋体" w:hAnsi="宋体"/>
                <w:highlight w:val="none"/>
              </w:rPr>
              <w:t>37.5</w:t>
            </w:r>
          </w:p>
        </w:tc>
        <w:tc>
          <w:tcPr>
            <w:tcW w:w="1290" w:type="dxa"/>
            <w:vMerge w:val="restart"/>
            <w:tcBorders>
              <w:top w:val="single" w:color="auto" w:sz="4" w:space="0"/>
              <w:left w:val="nil"/>
              <w:right w:val="single" w:color="auto" w:sz="4" w:space="0"/>
            </w:tcBorders>
            <w:vAlign w:val="center"/>
          </w:tcPr>
          <w:p>
            <w:pPr>
              <w:shd w:val="clear"/>
              <w:spacing w:before="0" w:after="0" w:afterAutospacing="0"/>
              <w:ind w:left="0" w:right="0" w:firstLine="0"/>
              <w:rPr>
                <w:rFonts w:ascii="宋体" w:hAnsi="宋体"/>
                <w:highlight w:val="none"/>
              </w:rPr>
            </w:pPr>
            <w:r>
              <w:rPr>
                <w:rFonts w:hint="eastAsia" w:ascii="宋体" w:hAnsi="宋体"/>
                <w:highlight w:val="none"/>
              </w:rPr>
              <w:t>需要补充的其他内容</w:t>
            </w:r>
          </w:p>
        </w:tc>
        <w:tc>
          <w:tcPr>
            <w:tcW w:w="6925" w:type="dxa"/>
            <w:tcBorders>
              <w:top w:val="single" w:color="auto" w:sz="4" w:space="0"/>
              <w:left w:val="nil"/>
              <w:bottom w:val="single" w:color="auto" w:sz="4" w:space="0"/>
              <w:right w:val="single" w:color="auto" w:sz="4" w:space="0"/>
            </w:tcBorders>
            <w:vAlign w:val="center"/>
          </w:tcPr>
          <w:p>
            <w:pPr>
              <w:shd w:val="clear"/>
              <w:spacing w:before="0" w:after="0" w:afterAutospacing="0"/>
              <w:ind w:left="0" w:right="0" w:firstLine="0"/>
              <w:rPr>
                <w:rFonts w:ascii="宋体" w:hAnsi="宋体"/>
                <w:highlight w:val="none"/>
              </w:rPr>
            </w:pPr>
            <w:r>
              <w:rPr>
                <w:rFonts w:hint="eastAsia" w:ascii="宋体" w:hAnsi="宋体"/>
                <w:highlight w:val="none"/>
              </w:rPr>
              <w:t>1.比选申请人在递交比选申请文件时，同时递交比选申请文件电子版。</w:t>
            </w:r>
          </w:p>
          <w:p>
            <w:pPr>
              <w:shd w:val="clear"/>
              <w:spacing w:before="0" w:after="0" w:afterAutospacing="0"/>
              <w:ind w:left="0" w:right="0" w:firstLine="0"/>
              <w:rPr>
                <w:rFonts w:ascii="宋体" w:hAnsi="宋体"/>
                <w:highlight w:val="none"/>
              </w:rPr>
            </w:pPr>
            <w:r>
              <w:rPr>
                <w:rFonts w:hint="eastAsia" w:ascii="宋体" w:hAnsi="宋体"/>
                <w:highlight w:val="none"/>
              </w:rPr>
              <w:t>2.比选申请文件电子版内容：</w:t>
            </w:r>
            <w:r>
              <w:rPr>
                <w:rFonts w:hint="eastAsia" w:ascii="宋体" w:hAnsi="宋体" w:cs="Arial"/>
                <w:highlight w:val="none"/>
              </w:rPr>
              <w:t>资格审查文件、价格文件和技术文件</w:t>
            </w:r>
          </w:p>
          <w:p>
            <w:pPr>
              <w:shd w:val="clear"/>
              <w:spacing w:before="0" w:after="0" w:afterAutospacing="0"/>
              <w:ind w:left="0" w:right="0" w:firstLine="0"/>
              <w:rPr>
                <w:rFonts w:ascii="宋体" w:hAnsi="宋体"/>
                <w:highlight w:val="none"/>
              </w:rPr>
            </w:pPr>
            <w:r>
              <w:rPr>
                <w:rFonts w:ascii="宋体" w:hAnsi="宋体"/>
                <w:highlight w:val="none"/>
              </w:rPr>
              <w:t>3.</w:t>
            </w:r>
            <w:r>
              <w:rPr>
                <w:rFonts w:hint="eastAsia" w:ascii="宋体" w:hAnsi="宋体"/>
                <w:highlight w:val="none"/>
              </w:rPr>
              <w:t>比选申请文件电子版份数：1份。</w:t>
            </w:r>
          </w:p>
          <w:p>
            <w:pPr>
              <w:shd w:val="clear"/>
              <w:spacing w:before="0" w:after="0" w:afterAutospacing="0"/>
              <w:ind w:left="0" w:right="0" w:firstLine="0"/>
              <w:rPr>
                <w:rFonts w:ascii="宋体" w:hAnsi="宋体"/>
                <w:highlight w:val="none"/>
              </w:rPr>
            </w:pPr>
            <w:r>
              <w:rPr>
                <w:rFonts w:ascii="宋体" w:hAnsi="宋体"/>
                <w:highlight w:val="none"/>
              </w:rPr>
              <w:t>4.</w:t>
            </w:r>
            <w:r>
              <w:rPr>
                <w:rFonts w:hint="eastAsia" w:ascii="宋体" w:hAnsi="宋体"/>
                <w:highlight w:val="none"/>
              </w:rPr>
              <w:t>比选申请文件电子版形式：每份包括</w:t>
            </w:r>
            <w:r>
              <w:rPr>
                <w:rFonts w:ascii="宋体" w:hAnsi="宋体"/>
                <w:highlight w:val="none"/>
              </w:rPr>
              <w:t>office</w:t>
            </w:r>
            <w:r>
              <w:rPr>
                <w:rFonts w:hint="eastAsia" w:ascii="宋体" w:hAnsi="宋体"/>
                <w:highlight w:val="none"/>
              </w:rPr>
              <w:t>版本（文本内容为</w:t>
            </w:r>
            <w:r>
              <w:rPr>
                <w:rFonts w:ascii="宋体" w:hAnsi="宋体"/>
                <w:highlight w:val="none"/>
              </w:rPr>
              <w:t>Word</w:t>
            </w:r>
            <w:r>
              <w:rPr>
                <w:rFonts w:hint="eastAsia" w:ascii="宋体" w:hAnsi="宋体"/>
                <w:highlight w:val="none"/>
              </w:rPr>
              <w:t>格式，工程量清单为</w:t>
            </w:r>
            <w:r>
              <w:rPr>
                <w:rFonts w:ascii="宋体" w:hAnsi="宋体"/>
                <w:highlight w:val="none"/>
              </w:rPr>
              <w:t>word</w:t>
            </w:r>
            <w:r>
              <w:rPr>
                <w:rFonts w:hint="eastAsia" w:ascii="宋体" w:hAnsi="宋体"/>
                <w:highlight w:val="none"/>
              </w:rPr>
              <w:t>或</w:t>
            </w:r>
            <w:r>
              <w:rPr>
                <w:rFonts w:ascii="宋体" w:hAnsi="宋体"/>
                <w:highlight w:val="none"/>
              </w:rPr>
              <w:t>Excel</w:t>
            </w:r>
            <w:r>
              <w:rPr>
                <w:rFonts w:hint="eastAsia" w:ascii="宋体" w:hAnsi="宋体"/>
                <w:highlight w:val="none"/>
              </w:rPr>
              <w:t>格式）的全套比选申请文件</w:t>
            </w:r>
            <w:r>
              <w:rPr>
                <w:rFonts w:ascii="宋体" w:hAnsi="宋体"/>
                <w:highlight w:val="none"/>
              </w:rPr>
              <w:t>(</w:t>
            </w:r>
            <w:r>
              <w:rPr>
                <w:rFonts w:hint="eastAsia" w:ascii="宋体" w:hAnsi="宋体" w:cs="Arial"/>
                <w:highlight w:val="none"/>
              </w:rPr>
              <w:t>资格审查文件、价格文件和技术文件</w:t>
            </w:r>
            <w:r>
              <w:rPr>
                <w:rFonts w:ascii="宋体" w:hAnsi="宋体"/>
                <w:highlight w:val="none"/>
              </w:rPr>
              <w:t>)</w:t>
            </w:r>
            <w:r>
              <w:rPr>
                <w:rFonts w:hint="eastAsia" w:ascii="宋体" w:hAnsi="宋体"/>
                <w:highlight w:val="none"/>
              </w:rPr>
              <w:t>和盖章后的全套比选申请文件</w:t>
            </w:r>
            <w:r>
              <w:rPr>
                <w:rFonts w:ascii="宋体" w:hAnsi="宋体"/>
                <w:highlight w:val="none"/>
              </w:rPr>
              <w:t>(</w:t>
            </w:r>
            <w:r>
              <w:rPr>
                <w:rFonts w:hint="eastAsia" w:ascii="宋体" w:hAnsi="宋体" w:cs="Arial"/>
                <w:highlight w:val="none"/>
              </w:rPr>
              <w:t>资格审查文件、价格文件和技术文件</w:t>
            </w:r>
            <w:r>
              <w:rPr>
                <w:rFonts w:ascii="宋体" w:hAnsi="宋体"/>
                <w:highlight w:val="none"/>
              </w:rPr>
              <w:t>)</w:t>
            </w:r>
            <w:r>
              <w:rPr>
                <w:rFonts w:hint="eastAsia" w:ascii="宋体" w:hAnsi="宋体"/>
                <w:highlight w:val="none"/>
              </w:rPr>
              <w:t>正本的</w:t>
            </w:r>
            <w:r>
              <w:rPr>
                <w:rFonts w:ascii="宋体" w:hAnsi="宋体"/>
                <w:highlight w:val="none"/>
              </w:rPr>
              <w:t>PDF</w:t>
            </w:r>
            <w:r>
              <w:rPr>
                <w:rFonts w:hint="eastAsia" w:ascii="宋体" w:hAnsi="宋体"/>
                <w:highlight w:val="none"/>
              </w:rPr>
              <w:t>版本扫描件。</w:t>
            </w:r>
          </w:p>
          <w:p>
            <w:pPr>
              <w:shd w:val="clear"/>
              <w:spacing w:before="0" w:after="0" w:afterAutospacing="0"/>
              <w:ind w:left="0" w:right="0" w:firstLine="0"/>
              <w:rPr>
                <w:rFonts w:ascii="宋体" w:hAnsi="宋体"/>
                <w:highlight w:val="none"/>
              </w:rPr>
            </w:pPr>
            <w:r>
              <w:rPr>
                <w:rFonts w:hint="eastAsia" w:ascii="宋体" w:hAnsi="宋体"/>
                <w:highlight w:val="none"/>
              </w:rPr>
              <w:t>保存介质：</w:t>
            </w:r>
            <w:r>
              <w:rPr>
                <w:rFonts w:ascii="宋体" w:hAnsi="宋体"/>
                <w:highlight w:val="none"/>
              </w:rPr>
              <w:t>U</w:t>
            </w:r>
            <w:r>
              <w:rPr>
                <w:rFonts w:hint="eastAsia" w:ascii="宋体" w:hAnsi="宋体"/>
                <w:highlight w:val="none"/>
              </w:rPr>
              <w:t>盘。</w:t>
            </w:r>
          </w:p>
          <w:p>
            <w:pPr>
              <w:shd w:val="clear"/>
              <w:spacing w:before="0" w:after="0" w:afterAutospacing="0"/>
              <w:ind w:left="0" w:right="0" w:firstLine="0"/>
              <w:rPr>
                <w:rFonts w:ascii="宋体" w:hAnsi="宋体"/>
                <w:highlight w:val="none"/>
              </w:rPr>
            </w:pPr>
            <w:r>
              <w:rPr>
                <w:rFonts w:ascii="宋体" w:hAnsi="宋体"/>
                <w:highlight w:val="none"/>
              </w:rPr>
              <w:t>5</w:t>
            </w:r>
            <w:r>
              <w:rPr>
                <w:rFonts w:hint="eastAsia" w:ascii="宋体" w:hAnsi="宋体"/>
                <w:highlight w:val="none"/>
              </w:rPr>
              <w:t>.</w:t>
            </w:r>
            <w:r>
              <w:rPr>
                <w:rFonts w:ascii="宋体" w:hAnsi="宋体"/>
                <w:highlight w:val="none"/>
              </w:rPr>
              <w:t>比选申请文件电子版密封方式：比选申请文件电子版与纸质版比选申请文件一并装入比选申请文件袋中。</w:t>
            </w:r>
          </w:p>
        </w:tc>
      </w:tr>
      <w:tr>
        <w:tblPrEx>
          <w:tblCellMar>
            <w:top w:w="0" w:type="dxa"/>
            <w:left w:w="108" w:type="dxa"/>
            <w:bottom w:w="0" w:type="dxa"/>
            <w:right w:w="108" w:type="dxa"/>
          </w:tblCellMar>
        </w:tblPrEx>
        <w:trPr>
          <w:trHeight w:val="242" w:hRule="atLeast"/>
        </w:trPr>
        <w:tc>
          <w:tcPr>
            <w:tcW w:w="902" w:type="dxa"/>
            <w:vMerge w:val="continue"/>
            <w:tcBorders>
              <w:left w:val="single" w:color="auto" w:sz="4" w:space="0"/>
              <w:right w:val="single" w:color="auto" w:sz="4" w:space="0"/>
            </w:tcBorders>
            <w:vAlign w:val="center"/>
          </w:tcPr>
          <w:p>
            <w:pPr>
              <w:shd w:val="clear"/>
              <w:spacing w:before="0" w:after="0" w:afterAutospacing="0"/>
              <w:ind w:left="0" w:right="0" w:firstLine="0"/>
              <w:rPr>
                <w:rFonts w:ascii="宋体" w:hAnsi="宋体"/>
                <w:highlight w:val="none"/>
              </w:rPr>
            </w:pPr>
          </w:p>
        </w:tc>
        <w:tc>
          <w:tcPr>
            <w:tcW w:w="1290" w:type="dxa"/>
            <w:vMerge w:val="continue"/>
            <w:tcBorders>
              <w:left w:val="nil"/>
              <w:right w:val="single" w:color="auto" w:sz="4" w:space="0"/>
            </w:tcBorders>
            <w:vAlign w:val="center"/>
          </w:tcPr>
          <w:p>
            <w:pPr>
              <w:shd w:val="clear"/>
              <w:spacing w:before="0" w:after="0" w:afterAutospacing="0"/>
              <w:ind w:left="0" w:right="0" w:firstLine="0"/>
              <w:rPr>
                <w:rFonts w:ascii="宋体" w:hAnsi="宋体"/>
                <w:highlight w:val="none"/>
              </w:rPr>
            </w:pPr>
          </w:p>
        </w:tc>
        <w:tc>
          <w:tcPr>
            <w:tcW w:w="6925" w:type="dxa"/>
            <w:tcBorders>
              <w:top w:val="single" w:color="auto" w:sz="4" w:space="0"/>
              <w:left w:val="nil"/>
              <w:bottom w:val="single" w:color="auto" w:sz="4" w:space="0"/>
              <w:right w:val="single" w:color="auto" w:sz="4" w:space="0"/>
            </w:tcBorders>
            <w:vAlign w:val="center"/>
          </w:tcPr>
          <w:p>
            <w:pPr>
              <w:shd w:val="clear"/>
              <w:spacing w:before="0" w:after="0" w:afterAutospacing="0"/>
              <w:ind w:left="0" w:right="0" w:firstLine="0"/>
              <w:rPr>
                <w:rFonts w:ascii="宋体" w:hAnsi="宋体"/>
                <w:highlight w:val="none"/>
              </w:rPr>
            </w:pPr>
            <w:r>
              <w:rPr>
                <w:rFonts w:hint="eastAsia" w:ascii="宋体" w:hAnsi="宋体"/>
                <w:highlight w:val="none"/>
              </w:rPr>
              <w:t>1.本比选文件中描述比选申请人的</w:t>
            </w:r>
            <w:r>
              <w:rPr>
                <w:rFonts w:ascii="宋体" w:hAnsi="宋体"/>
                <w:highlight w:val="none"/>
              </w:rPr>
              <w:t>“</w:t>
            </w:r>
            <w:r>
              <w:rPr>
                <w:rFonts w:hint="eastAsia" w:ascii="宋体" w:hAnsi="宋体"/>
                <w:highlight w:val="none"/>
              </w:rPr>
              <w:t>公章</w:t>
            </w:r>
            <w:r>
              <w:rPr>
                <w:rFonts w:ascii="宋体" w:hAnsi="宋体"/>
                <w:highlight w:val="none"/>
              </w:rPr>
              <w:t>”</w:t>
            </w:r>
            <w:r>
              <w:rPr>
                <w:rFonts w:hint="eastAsia" w:ascii="宋体" w:hAnsi="宋体"/>
                <w:highlight w:val="none"/>
              </w:rPr>
              <w:t>是指根据我国对公章的管理规定，用比选申请人法定主体行为名称制作的印章，除本比选文件有特殊规定外，比选申请人的财务章、部门章、分公司章、工会章、合同章、比选申请专用章、业务专用章等其它形式印章均不能代替公章。</w:t>
            </w:r>
          </w:p>
          <w:p>
            <w:pPr>
              <w:shd w:val="clear"/>
              <w:spacing w:before="0" w:after="0" w:afterAutospacing="0"/>
              <w:ind w:left="0" w:right="0" w:firstLine="0"/>
              <w:rPr>
                <w:rFonts w:ascii="宋体" w:hAnsi="宋体"/>
                <w:highlight w:val="none"/>
              </w:rPr>
            </w:pPr>
            <w:r>
              <w:rPr>
                <w:rFonts w:hint="eastAsia" w:ascii="宋体" w:hAnsi="宋体"/>
                <w:highlight w:val="none"/>
              </w:rPr>
              <w:t>2.本比选文件中描述比选申请人的</w:t>
            </w:r>
            <w:r>
              <w:rPr>
                <w:rFonts w:ascii="宋体" w:hAnsi="宋体"/>
                <w:highlight w:val="none"/>
              </w:rPr>
              <w:t>“</w:t>
            </w:r>
            <w:r>
              <w:rPr>
                <w:rFonts w:hint="eastAsia" w:ascii="宋体" w:hAnsi="宋体"/>
                <w:highlight w:val="none"/>
              </w:rPr>
              <w:t>签字</w:t>
            </w:r>
            <w:r>
              <w:rPr>
                <w:rFonts w:ascii="宋体" w:hAnsi="宋体"/>
                <w:highlight w:val="none"/>
              </w:rPr>
              <w:t>”</w:t>
            </w:r>
            <w:r>
              <w:rPr>
                <w:rFonts w:hint="eastAsia" w:ascii="宋体" w:hAnsi="宋体"/>
                <w:highlight w:val="none"/>
              </w:rPr>
              <w:t>是指比选申请人的法定代表人或被授权人亲自在比选文件规定签署处亲笔写上个人的名字的行为，私章、签字章、印鉴、影印等其它形式均不能代替亲笔签字。</w:t>
            </w:r>
          </w:p>
        </w:tc>
      </w:tr>
      <w:tr>
        <w:tblPrEx>
          <w:tblCellMar>
            <w:top w:w="0" w:type="dxa"/>
            <w:left w:w="108" w:type="dxa"/>
            <w:bottom w:w="0" w:type="dxa"/>
            <w:right w:w="108" w:type="dxa"/>
          </w:tblCellMar>
        </w:tblPrEx>
        <w:trPr>
          <w:trHeight w:val="242" w:hRule="atLeast"/>
        </w:trPr>
        <w:tc>
          <w:tcPr>
            <w:tcW w:w="902" w:type="dxa"/>
            <w:vMerge w:val="continue"/>
            <w:tcBorders>
              <w:left w:val="single" w:color="auto" w:sz="4" w:space="0"/>
              <w:bottom w:val="single" w:color="auto" w:sz="4" w:space="0"/>
              <w:right w:val="single" w:color="auto" w:sz="4" w:space="0"/>
            </w:tcBorders>
            <w:vAlign w:val="center"/>
          </w:tcPr>
          <w:p>
            <w:pPr>
              <w:shd w:val="clear"/>
              <w:spacing w:before="0" w:after="0" w:afterAutospacing="0"/>
              <w:ind w:left="0" w:right="0" w:firstLine="0"/>
              <w:rPr>
                <w:rFonts w:ascii="宋体" w:hAnsi="宋体"/>
                <w:highlight w:val="none"/>
              </w:rPr>
            </w:pPr>
          </w:p>
        </w:tc>
        <w:tc>
          <w:tcPr>
            <w:tcW w:w="1290" w:type="dxa"/>
            <w:vMerge w:val="continue"/>
            <w:tcBorders>
              <w:left w:val="nil"/>
              <w:bottom w:val="single" w:color="auto" w:sz="4" w:space="0"/>
              <w:right w:val="single" w:color="auto" w:sz="4" w:space="0"/>
            </w:tcBorders>
            <w:vAlign w:val="center"/>
          </w:tcPr>
          <w:p>
            <w:pPr>
              <w:shd w:val="clear"/>
              <w:spacing w:before="0" w:after="0" w:afterAutospacing="0"/>
              <w:ind w:left="0" w:right="0" w:firstLine="0"/>
              <w:rPr>
                <w:rFonts w:ascii="宋体" w:hAnsi="宋体"/>
                <w:highlight w:val="none"/>
              </w:rPr>
            </w:pPr>
          </w:p>
        </w:tc>
        <w:tc>
          <w:tcPr>
            <w:tcW w:w="6925" w:type="dxa"/>
            <w:tcBorders>
              <w:top w:val="single" w:color="auto" w:sz="4" w:space="0"/>
              <w:left w:val="nil"/>
              <w:bottom w:val="single" w:color="auto" w:sz="4" w:space="0"/>
              <w:right w:val="single" w:color="auto" w:sz="4" w:space="0"/>
            </w:tcBorders>
            <w:vAlign w:val="center"/>
          </w:tcPr>
          <w:p>
            <w:pPr>
              <w:shd w:val="clear"/>
              <w:spacing w:before="0" w:after="0" w:afterAutospacing="0"/>
              <w:ind w:left="0" w:right="0" w:firstLine="0"/>
              <w:rPr>
                <w:rFonts w:ascii="宋体" w:hAnsi="宋体"/>
                <w:highlight w:val="none"/>
              </w:rPr>
            </w:pPr>
            <w:r>
              <w:rPr>
                <w:rFonts w:hint="eastAsia" w:ascii="宋体" w:hAnsi="宋体"/>
                <w:highlight w:val="none"/>
              </w:rPr>
              <w:t>1.本项目比选文件的最终解释权归比选人。</w:t>
            </w:r>
          </w:p>
        </w:tc>
      </w:tr>
    </w:tbl>
    <w:p>
      <w:pPr>
        <w:shd w:val="clear"/>
        <w:spacing w:after="0" w:afterAutospacing="0"/>
        <w:ind w:left="462" w:leftChars="200" w:right="0" w:hanging="42" w:hangingChars="20"/>
        <w:outlineLvl w:val="1"/>
        <w:rPr>
          <w:rFonts w:ascii="宋体" w:hAnsi="宋体"/>
          <w:sz w:val="24"/>
          <w:szCs w:val="24"/>
          <w:highlight w:val="none"/>
        </w:rPr>
      </w:pPr>
      <w:r>
        <w:rPr>
          <w:rFonts w:ascii="宋体" w:hAnsi="宋体"/>
          <w:highlight w:val="none"/>
        </w:rPr>
        <w:br w:type="page"/>
      </w:r>
      <w:bookmarkStart w:id="42" w:name="_Toc322528193"/>
      <w:bookmarkEnd w:id="42"/>
      <w:bookmarkStart w:id="43" w:name="_Toc25750590"/>
      <w:r>
        <w:rPr>
          <w:rFonts w:hint="eastAsia" w:ascii="宋体" w:hAnsi="宋体"/>
          <w:sz w:val="24"/>
          <w:szCs w:val="24"/>
          <w:highlight w:val="none"/>
        </w:rPr>
        <w:t>一、</w:t>
      </w:r>
      <w:r>
        <w:rPr>
          <w:rFonts w:ascii="宋体" w:hAnsi="宋体"/>
          <w:sz w:val="24"/>
          <w:szCs w:val="24"/>
          <w:highlight w:val="none"/>
        </w:rPr>
        <w:t>说明</w:t>
      </w:r>
      <w:bookmarkEnd w:id="43"/>
    </w:p>
    <w:p>
      <w:pPr>
        <w:shd w:val="clear"/>
        <w:spacing w:before="0" w:after="0" w:afterAutospacing="0"/>
        <w:ind w:left="0" w:right="0" w:firstLine="420" w:firstLineChars="200"/>
        <w:rPr>
          <w:rFonts w:ascii="宋体" w:hAnsi="宋体"/>
          <w:highlight w:val="none"/>
        </w:rPr>
      </w:pPr>
      <w:bookmarkStart w:id="44" w:name="_Toc390098419"/>
      <w:bookmarkStart w:id="45" w:name="_Toc8166"/>
      <w:bookmarkStart w:id="46" w:name="_Toc385427793"/>
      <w:bookmarkStart w:id="47" w:name="_Toc3364"/>
      <w:bookmarkStart w:id="48" w:name="_Toc17845"/>
      <w:bookmarkStart w:id="49" w:name="_Toc6861"/>
      <w:bookmarkStart w:id="50" w:name="_Toc7778"/>
      <w:bookmarkStart w:id="51" w:name="_Toc11224"/>
      <w:bookmarkStart w:id="52" w:name="_Toc9366"/>
      <w:bookmarkStart w:id="53" w:name="_Toc3804"/>
      <w:bookmarkStart w:id="54" w:name="_Toc5495"/>
      <w:bookmarkStart w:id="55" w:name="_Toc12983505"/>
      <w:bookmarkStart w:id="56" w:name="_Toc383891168"/>
      <w:bookmarkStart w:id="57" w:name="_Toc21139"/>
      <w:bookmarkStart w:id="58" w:name="_Toc463"/>
      <w:bookmarkStart w:id="59" w:name="_Toc30570"/>
      <w:bookmarkStart w:id="60" w:name="_Toc492478718"/>
      <w:bookmarkStart w:id="61" w:name="_Toc28326"/>
      <w:bookmarkStart w:id="62" w:name="_Toc25750591"/>
      <w:bookmarkStart w:id="63" w:name="_Toc31563"/>
      <w:bookmarkStart w:id="64" w:name="_Toc14066"/>
      <w:bookmarkStart w:id="65" w:name="_Toc375039064"/>
      <w:bookmarkStart w:id="66" w:name="_Toc12526"/>
      <w:bookmarkStart w:id="67" w:name="_Toc27079"/>
      <w:r>
        <w:rPr>
          <w:rFonts w:hint="eastAsia" w:ascii="宋体" w:hAnsi="宋体"/>
          <w:highlight w:val="none"/>
        </w:rPr>
        <w:t xml:space="preserve">1. </w:t>
      </w:r>
      <w:r>
        <w:rPr>
          <w:rFonts w:ascii="宋体" w:hAnsi="宋体"/>
          <w:highlight w:val="none"/>
        </w:rPr>
        <w:t>项目说明</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pPr>
        <w:shd w:val="clear"/>
        <w:spacing w:before="0" w:after="0" w:afterAutospacing="0"/>
        <w:ind w:left="0" w:right="0" w:firstLine="420" w:firstLineChars="200"/>
        <w:rPr>
          <w:rFonts w:ascii="宋体" w:hAnsi="宋体"/>
          <w:highlight w:val="none"/>
        </w:rPr>
      </w:pPr>
      <w:r>
        <w:rPr>
          <w:rFonts w:hint="eastAsia" w:ascii="宋体" w:hAnsi="宋体"/>
          <w:highlight w:val="none"/>
        </w:rPr>
        <w:t>1.1 比选人</w:t>
      </w:r>
      <w:r>
        <w:rPr>
          <w:rFonts w:ascii="宋体" w:hAnsi="宋体"/>
          <w:highlight w:val="none"/>
        </w:rPr>
        <w:t>：详见比选申请须知前附表。</w:t>
      </w:r>
    </w:p>
    <w:p>
      <w:pPr>
        <w:shd w:val="clear"/>
        <w:spacing w:before="0" w:after="0" w:afterAutospacing="0"/>
        <w:ind w:left="0" w:right="0" w:firstLine="420" w:firstLineChars="200"/>
        <w:rPr>
          <w:rFonts w:ascii="宋体" w:hAnsi="宋体"/>
          <w:highlight w:val="none"/>
        </w:rPr>
      </w:pPr>
      <w:r>
        <w:rPr>
          <w:rFonts w:hint="eastAsia" w:ascii="宋体" w:hAnsi="宋体"/>
          <w:highlight w:val="none"/>
        </w:rPr>
        <w:t>1.2 项目名称</w:t>
      </w:r>
      <w:r>
        <w:rPr>
          <w:rFonts w:ascii="宋体" w:hAnsi="宋体"/>
          <w:highlight w:val="none"/>
        </w:rPr>
        <w:t>：详见比选申请须知前附表。</w:t>
      </w:r>
    </w:p>
    <w:p>
      <w:pPr>
        <w:shd w:val="clear"/>
        <w:spacing w:before="0" w:after="0" w:afterAutospacing="0"/>
        <w:ind w:left="0" w:right="0" w:firstLine="420" w:firstLineChars="200"/>
        <w:rPr>
          <w:rFonts w:ascii="宋体" w:hAnsi="宋体"/>
          <w:highlight w:val="none"/>
        </w:rPr>
      </w:pPr>
      <w:r>
        <w:rPr>
          <w:rFonts w:hint="eastAsia" w:ascii="宋体" w:hAnsi="宋体"/>
          <w:highlight w:val="none"/>
        </w:rPr>
        <w:t>1.3 项目编号</w:t>
      </w:r>
      <w:r>
        <w:rPr>
          <w:rFonts w:ascii="宋体" w:hAnsi="宋体"/>
          <w:highlight w:val="none"/>
        </w:rPr>
        <w:t>：详见比选申请须知前附表。</w:t>
      </w:r>
    </w:p>
    <w:p>
      <w:pPr>
        <w:shd w:val="clear"/>
        <w:spacing w:before="0" w:after="0" w:afterAutospacing="0"/>
        <w:ind w:left="0" w:right="0" w:firstLine="420" w:firstLineChars="200"/>
        <w:rPr>
          <w:rFonts w:ascii="宋体" w:hAnsi="宋体"/>
          <w:highlight w:val="none"/>
        </w:rPr>
      </w:pPr>
      <w:r>
        <w:rPr>
          <w:rFonts w:hint="eastAsia" w:ascii="宋体" w:hAnsi="宋体"/>
          <w:highlight w:val="none"/>
        </w:rPr>
        <w:t>1.4比选范围：</w:t>
      </w:r>
      <w:r>
        <w:rPr>
          <w:rFonts w:ascii="宋体" w:hAnsi="宋体"/>
          <w:highlight w:val="none"/>
        </w:rPr>
        <w:t>详见比选申请须知前附表。</w:t>
      </w:r>
    </w:p>
    <w:p>
      <w:pPr>
        <w:shd w:val="clear"/>
        <w:spacing w:before="0" w:after="0" w:afterAutospacing="0"/>
        <w:ind w:left="0" w:right="0" w:firstLine="420" w:firstLineChars="200"/>
        <w:rPr>
          <w:rFonts w:ascii="宋体" w:hAnsi="宋体"/>
          <w:highlight w:val="none"/>
        </w:rPr>
      </w:pPr>
      <w:r>
        <w:rPr>
          <w:rFonts w:hint="eastAsia" w:ascii="宋体" w:hAnsi="宋体"/>
          <w:highlight w:val="none"/>
        </w:rPr>
        <w:t>1.5工期：</w:t>
      </w:r>
      <w:r>
        <w:rPr>
          <w:rFonts w:ascii="宋体" w:hAnsi="宋体"/>
          <w:highlight w:val="none"/>
        </w:rPr>
        <w:t>详见比选申请须知前附表。</w:t>
      </w:r>
    </w:p>
    <w:p>
      <w:pPr>
        <w:shd w:val="clear"/>
        <w:spacing w:before="0" w:after="0" w:afterAutospacing="0"/>
        <w:ind w:left="0" w:right="0" w:firstLine="420" w:firstLineChars="200"/>
        <w:rPr>
          <w:rFonts w:ascii="宋体" w:hAnsi="宋体"/>
          <w:highlight w:val="none"/>
        </w:rPr>
      </w:pPr>
      <w:r>
        <w:rPr>
          <w:rFonts w:hint="eastAsia" w:ascii="宋体" w:hAnsi="宋体"/>
          <w:highlight w:val="none"/>
        </w:rPr>
        <w:t>1.6 资金来源情况：</w:t>
      </w:r>
      <w:r>
        <w:rPr>
          <w:rFonts w:ascii="宋体" w:hAnsi="宋体"/>
          <w:highlight w:val="none"/>
        </w:rPr>
        <w:t>详见比选申请须知前附表。</w:t>
      </w:r>
    </w:p>
    <w:p>
      <w:pPr>
        <w:shd w:val="clear"/>
        <w:spacing w:before="0" w:after="0" w:afterAutospacing="0"/>
        <w:ind w:left="0" w:right="0" w:firstLine="420" w:firstLineChars="200"/>
        <w:rPr>
          <w:rFonts w:ascii="宋体" w:hAnsi="宋体"/>
          <w:highlight w:val="none"/>
        </w:rPr>
      </w:pPr>
      <w:r>
        <w:rPr>
          <w:rFonts w:hint="eastAsia" w:ascii="宋体" w:hAnsi="宋体"/>
          <w:highlight w:val="none"/>
        </w:rPr>
        <w:t>1.7上限控制价</w:t>
      </w:r>
      <w:r>
        <w:rPr>
          <w:rFonts w:ascii="宋体" w:hAnsi="宋体"/>
          <w:highlight w:val="none"/>
        </w:rPr>
        <w:t>：详见比选申请须知前附表。</w:t>
      </w:r>
    </w:p>
    <w:p>
      <w:pPr>
        <w:shd w:val="clear"/>
        <w:spacing w:before="0" w:after="0" w:afterAutospacing="0"/>
        <w:ind w:left="0" w:right="0" w:firstLine="420" w:firstLineChars="200"/>
        <w:rPr>
          <w:rFonts w:ascii="宋体" w:hAnsi="宋体"/>
          <w:highlight w:val="none"/>
        </w:rPr>
      </w:pPr>
      <w:bookmarkStart w:id="68" w:name="_Toc390098420"/>
      <w:bookmarkStart w:id="69" w:name="_Toc27847"/>
      <w:bookmarkStart w:id="70" w:name="_Toc31314"/>
      <w:bookmarkStart w:id="71" w:name="_Toc383891169"/>
      <w:bookmarkStart w:id="72" w:name="_Toc1552"/>
      <w:bookmarkStart w:id="73" w:name="_Toc10907"/>
      <w:bookmarkStart w:id="74" w:name="_Toc27845"/>
      <w:bookmarkStart w:id="75" w:name="_Toc25750592"/>
      <w:bookmarkStart w:id="76" w:name="_Toc492478719"/>
      <w:bookmarkStart w:id="77" w:name="_Toc375039065"/>
      <w:bookmarkStart w:id="78" w:name="_Toc6038"/>
      <w:bookmarkStart w:id="79" w:name="_Toc12983506"/>
      <w:bookmarkStart w:id="80" w:name="_Toc22987"/>
      <w:bookmarkStart w:id="81" w:name="_Toc8052"/>
      <w:bookmarkStart w:id="82" w:name="_Toc21874"/>
      <w:bookmarkStart w:id="83" w:name="_Toc6985"/>
      <w:bookmarkStart w:id="84" w:name="_Toc4780"/>
      <w:bookmarkStart w:id="85" w:name="_Toc385427794"/>
      <w:bookmarkStart w:id="86" w:name="_Toc16860"/>
      <w:bookmarkStart w:id="87" w:name="_Toc24429"/>
      <w:r>
        <w:rPr>
          <w:rFonts w:hint="eastAsia" w:ascii="宋体" w:hAnsi="宋体"/>
          <w:highlight w:val="none"/>
        </w:rPr>
        <w:t>2. 定义.</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pPr>
        <w:shd w:val="clear"/>
        <w:spacing w:before="0" w:after="0" w:afterAutospacing="0"/>
        <w:ind w:left="0" w:right="0" w:firstLine="420" w:firstLineChars="200"/>
        <w:rPr>
          <w:rFonts w:ascii="宋体" w:hAnsi="宋体"/>
          <w:highlight w:val="none"/>
        </w:rPr>
      </w:pPr>
      <w:r>
        <w:rPr>
          <w:rFonts w:ascii="宋体" w:hAnsi="宋体"/>
          <w:highlight w:val="none"/>
        </w:rPr>
        <w:t>本比选文件使用的下列词汇具有如下规定的意义。</w:t>
      </w:r>
    </w:p>
    <w:p>
      <w:pPr>
        <w:shd w:val="clear"/>
        <w:tabs>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2.1 </w:t>
      </w:r>
      <w:r>
        <w:rPr>
          <w:rFonts w:ascii="宋体" w:hAnsi="宋体"/>
          <w:highlight w:val="none"/>
        </w:rPr>
        <w:t>“比选人”系指提出</w:t>
      </w:r>
      <w:r>
        <w:rPr>
          <w:rFonts w:hint="eastAsia" w:ascii="宋体" w:hAnsi="宋体"/>
          <w:highlight w:val="none"/>
        </w:rPr>
        <w:t>比选</w:t>
      </w:r>
      <w:r>
        <w:rPr>
          <w:rFonts w:ascii="宋体" w:hAnsi="宋体"/>
          <w:highlight w:val="none"/>
        </w:rPr>
        <w:t>采购</w:t>
      </w:r>
      <w:r>
        <w:rPr>
          <w:rFonts w:hint="eastAsia" w:ascii="宋体" w:hAnsi="宋体"/>
          <w:highlight w:val="none"/>
        </w:rPr>
        <w:t>项目</w:t>
      </w:r>
      <w:r>
        <w:rPr>
          <w:rFonts w:ascii="宋体" w:hAnsi="宋体"/>
          <w:highlight w:val="none"/>
        </w:rPr>
        <w:t>的国家机关、企业、事业单位或其它组织。本比选文件中比选人是指</w:t>
      </w:r>
      <w:r>
        <w:rPr>
          <w:rFonts w:hint="eastAsia" w:ascii="宋体" w:hAnsi="宋体"/>
          <w:highlight w:val="none"/>
        </w:rPr>
        <w:t>南宁轨道交通运营有限公司</w:t>
      </w:r>
      <w:r>
        <w:rPr>
          <w:rFonts w:ascii="宋体" w:hAnsi="宋体"/>
          <w:highlight w:val="none"/>
        </w:rPr>
        <w:t>。如无特别说明本比选文件中的“发包人、业主、甲方和比选人”均指：</w:t>
      </w:r>
      <w:r>
        <w:rPr>
          <w:rFonts w:hint="eastAsia" w:ascii="宋体" w:hAnsi="宋体"/>
          <w:highlight w:val="none"/>
        </w:rPr>
        <w:t>南宁轨道交通运营有限公司</w:t>
      </w:r>
      <w:r>
        <w:rPr>
          <w:rFonts w:ascii="宋体" w:hAnsi="宋体"/>
          <w:highlight w:val="none"/>
        </w:rPr>
        <w:t>。</w:t>
      </w:r>
    </w:p>
    <w:p>
      <w:pPr>
        <w:shd w:val="clear"/>
        <w:tabs>
          <w:tab w:val="left" w:pos="8364"/>
        </w:tabs>
        <w:spacing w:before="0" w:after="0" w:afterAutospacing="0"/>
        <w:ind w:left="0" w:right="0" w:firstLine="420" w:firstLineChars="200"/>
        <w:rPr>
          <w:rFonts w:ascii="宋体" w:hAnsi="宋体"/>
          <w:highlight w:val="none"/>
        </w:rPr>
      </w:pPr>
      <w:r>
        <w:rPr>
          <w:rFonts w:ascii="宋体" w:hAnsi="宋体"/>
          <w:highlight w:val="none"/>
        </w:rPr>
        <w:t>2.</w:t>
      </w:r>
      <w:r>
        <w:rPr>
          <w:rFonts w:hint="eastAsia" w:ascii="宋体" w:hAnsi="宋体"/>
          <w:highlight w:val="none"/>
        </w:rPr>
        <w:t>2</w:t>
      </w:r>
      <w:r>
        <w:rPr>
          <w:rFonts w:ascii="宋体" w:hAnsi="宋体"/>
          <w:highlight w:val="none"/>
        </w:rPr>
        <w:t xml:space="preserve"> “比选申请人”</w:t>
      </w:r>
      <w:r>
        <w:rPr>
          <w:rFonts w:hint="eastAsia" w:ascii="宋体" w:hAnsi="宋体"/>
          <w:highlight w:val="none"/>
        </w:rPr>
        <w:t>系指响应比选、参加比选申请竞争的法人或其他组织</w:t>
      </w:r>
      <w:r>
        <w:rPr>
          <w:rFonts w:ascii="宋体" w:hAnsi="宋体"/>
          <w:highlight w:val="none"/>
        </w:rPr>
        <w:t>。</w:t>
      </w:r>
    </w:p>
    <w:p>
      <w:pPr>
        <w:shd w:val="clear"/>
        <w:tabs>
          <w:tab w:val="left" w:pos="8364"/>
        </w:tabs>
        <w:spacing w:before="0" w:after="0" w:afterAutospacing="0"/>
        <w:ind w:left="0" w:right="0" w:firstLine="420" w:firstLineChars="200"/>
        <w:rPr>
          <w:rFonts w:ascii="宋体" w:hAnsi="宋体"/>
          <w:highlight w:val="none"/>
        </w:rPr>
      </w:pPr>
      <w:r>
        <w:rPr>
          <w:rFonts w:ascii="宋体" w:hAnsi="宋体"/>
          <w:highlight w:val="none"/>
        </w:rPr>
        <w:t>2.</w:t>
      </w:r>
      <w:r>
        <w:rPr>
          <w:rFonts w:hint="eastAsia" w:ascii="宋体" w:hAnsi="宋体"/>
          <w:highlight w:val="none"/>
        </w:rPr>
        <w:t>3</w:t>
      </w:r>
      <w:r>
        <w:rPr>
          <w:rFonts w:ascii="宋体" w:hAnsi="宋体"/>
          <w:highlight w:val="none"/>
        </w:rPr>
        <w:t xml:space="preserve"> “货物”系指比选申请人按比选文件规定向比选人提供的</w:t>
      </w:r>
      <w:r>
        <w:rPr>
          <w:rFonts w:hint="eastAsia" w:ascii="宋体" w:hAnsi="宋体"/>
          <w:highlight w:val="none"/>
        </w:rPr>
        <w:t>设备、材料、机械、仪器仪表、备品备件、工具、软件、手册及其它有关技术文件和资料等</w:t>
      </w:r>
      <w:r>
        <w:rPr>
          <w:rFonts w:ascii="宋体" w:hAnsi="宋体"/>
          <w:highlight w:val="none"/>
        </w:rPr>
        <w:t>。</w:t>
      </w:r>
    </w:p>
    <w:p>
      <w:pPr>
        <w:shd w:val="clear"/>
        <w:tabs>
          <w:tab w:val="left" w:pos="8364"/>
        </w:tabs>
        <w:spacing w:before="0" w:after="0" w:afterAutospacing="0"/>
        <w:ind w:left="0" w:right="0" w:firstLine="420" w:firstLineChars="200"/>
        <w:rPr>
          <w:rFonts w:ascii="宋体" w:hAnsi="宋体"/>
          <w:highlight w:val="none"/>
        </w:rPr>
      </w:pPr>
      <w:r>
        <w:rPr>
          <w:rFonts w:ascii="宋体" w:hAnsi="宋体"/>
          <w:highlight w:val="none"/>
        </w:rPr>
        <w:t>2.</w:t>
      </w:r>
      <w:r>
        <w:rPr>
          <w:rFonts w:hint="eastAsia" w:ascii="宋体" w:hAnsi="宋体"/>
          <w:highlight w:val="none"/>
        </w:rPr>
        <w:t>4“备品备件”系指比选申请人须向比选人提供的用于系统维护、更换、修复的零部件、材料。</w:t>
      </w:r>
    </w:p>
    <w:p>
      <w:pPr>
        <w:shd w:val="clear"/>
        <w:tabs>
          <w:tab w:val="left" w:pos="8364"/>
        </w:tabs>
        <w:spacing w:before="0" w:after="0" w:afterAutospacing="0"/>
        <w:ind w:left="0" w:right="0" w:firstLine="420" w:firstLineChars="200"/>
        <w:rPr>
          <w:rFonts w:ascii="宋体" w:hAnsi="宋体"/>
          <w:highlight w:val="none"/>
        </w:rPr>
      </w:pPr>
      <w:r>
        <w:rPr>
          <w:rFonts w:ascii="宋体" w:hAnsi="宋体"/>
          <w:highlight w:val="none"/>
        </w:rPr>
        <w:t>2.</w:t>
      </w:r>
      <w:r>
        <w:rPr>
          <w:rFonts w:hint="eastAsia" w:ascii="宋体" w:hAnsi="宋体"/>
          <w:highlight w:val="none"/>
        </w:rPr>
        <w:t>5“专用工具及仪器仪表”系指比选申请人须向比选人提供的用于系统维护、更换、修复的专用工具及仪器仪表。</w:t>
      </w:r>
    </w:p>
    <w:p>
      <w:pPr>
        <w:shd w:val="clear"/>
        <w:tabs>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2.6</w:t>
      </w:r>
      <w:r>
        <w:rPr>
          <w:rFonts w:ascii="宋体" w:hAnsi="宋体"/>
          <w:highlight w:val="none"/>
        </w:rPr>
        <w:t>“</w:t>
      </w:r>
      <w:r>
        <w:rPr>
          <w:rFonts w:hint="eastAsia" w:ascii="宋体" w:hAnsi="宋体"/>
          <w:highlight w:val="none"/>
        </w:rPr>
        <w:t>服务</w:t>
      </w:r>
      <w:r>
        <w:rPr>
          <w:rFonts w:ascii="宋体" w:hAnsi="宋体"/>
          <w:highlight w:val="none"/>
        </w:rPr>
        <w:t>”</w:t>
      </w:r>
      <w:r>
        <w:rPr>
          <w:rFonts w:hint="eastAsia" w:ascii="宋体" w:hAnsi="宋体"/>
          <w:highlight w:val="none"/>
        </w:rPr>
        <w:t>系指比选文件规定比选申请人须承担的与项目有关的辅助服务，包括但不限于软硬件开发与制造、</w:t>
      </w:r>
      <w:r>
        <w:rPr>
          <w:rFonts w:hint="eastAsia" w:ascii="宋体" w:hAnsi="宋体" w:cs="Arial"/>
          <w:highlight w:val="none"/>
        </w:rPr>
        <w:t>系统集成、</w:t>
      </w:r>
      <w:r>
        <w:rPr>
          <w:rFonts w:hint="eastAsia" w:ascii="宋体" w:hAnsi="宋体"/>
          <w:highlight w:val="none"/>
        </w:rPr>
        <w:t>采购、供货</w:t>
      </w:r>
      <w:r>
        <w:rPr>
          <w:rFonts w:hint="eastAsia" w:ascii="宋体" w:hAnsi="宋体" w:cs="宋体"/>
          <w:highlight w:val="none"/>
        </w:rPr>
        <w:t>、</w:t>
      </w:r>
      <w:r>
        <w:rPr>
          <w:rFonts w:hint="eastAsia" w:ascii="宋体" w:hAnsi="宋体" w:cs="Arial"/>
          <w:highlight w:val="none"/>
        </w:rPr>
        <w:t>出厂检验</w:t>
      </w:r>
      <w:r>
        <w:rPr>
          <w:rFonts w:hint="eastAsia" w:ascii="宋体" w:hAnsi="宋体"/>
          <w:highlight w:val="none"/>
        </w:rPr>
        <w:t>、包装</w:t>
      </w:r>
      <w:r>
        <w:rPr>
          <w:rFonts w:hint="eastAsia" w:ascii="宋体" w:hAnsi="宋体" w:cs="宋体"/>
          <w:highlight w:val="none"/>
        </w:rPr>
        <w:t>、</w:t>
      </w:r>
      <w:r>
        <w:rPr>
          <w:rFonts w:hint="eastAsia" w:ascii="宋体" w:hAnsi="宋体"/>
          <w:highlight w:val="none"/>
        </w:rPr>
        <w:t>运输、保险、装卸、</w:t>
      </w:r>
      <w:r>
        <w:rPr>
          <w:rFonts w:hint="eastAsia" w:ascii="宋体" w:hAnsi="宋体" w:cs="宋体"/>
          <w:highlight w:val="none"/>
        </w:rPr>
        <w:t>到货检查</w:t>
      </w:r>
      <w:r>
        <w:rPr>
          <w:rFonts w:hint="eastAsia" w:ascii="宋体" w:hAnsi="宋体"/>
          <w:highlight w:val="none"/>
        </w:rPr>
        <w:t>、设备安装</w:t>
      </w:r>
      <w:r>
        <w:rPr>
          <w:rFonts w:ascii="宋体" w:hAnsi="宋体"/>
          <w:highlight w:val="none"/>
        </w:rPr>
        <w:t>/</w:t>
      </w:r>
      <w:r>
        <w:rPr>
          <w:rFonts w:hint="eastAsia" w:ascii="宋体" w:hAnsi="宋体"/>
          <w:highlight w:val="none"/>
        </w:rPr>
        <w:t>安装督导、</w:t>
      </w:r>
      <w:r>
        <w:rPr>
          <w:rFonts w:hint="eastAsia" w:ascii="宋体" w:hAnsi="宋体" w:cs="宋体"/>
          <w:highlight w:val="none"/>
        </w:rPr>
        <w:t>系统及设备的单体调试、系统接口调试、</w:t>
      </w:r>
      <w:r>
        <w:rPr>
          <w:rFonts w:hint="eastAsia" w:ascii="宋体" w:hAnsi="宋体"/>
          <w:highlight w:val="none"/>
        </w:rPr>
        <w:t>综合联调、预验收</w:t>
      </w:r>
      <w:r>
        <w:rPr>
          <w:rFonts w:hint="eastAsia" w:ascii="宋体" w:hAnsi="宋体" w:cs="宋体"/>
          <w:highlight w:val="none"/>
        </w:rPr>
        <w:t>、</w:t>
      </w:r>
      <w:r>
        <w:rPr>
          <w:rFonts w:hint="eastAsia" w:ascii="宋体" w:hAnsi="宋体"/>
          <w:highlight w:val="none"/>
        </w:rPr>
        <w:t>试运行、竣工验收、最终验收、提供技术援助、项目管理、培训、质量保证期服务、备品备件和专用工具及仪器仪表的提供、质量保证期内的系统缺陷的纠正和维护</w:t>
      </w:r>
      <w:r>
        <w:rPr>
          <w:rFonts w:hint="eastAsia" w:ascii="宋体" w:hAnsi="宋体" w:cs="宋体"/>
          <w:highlight w:val="none"/>
        </w:rPr>
        <w:t>、</w:t>
      </w:r>
      <w:r>
        <w:rPr>
          <w:rFonts w:hint="eastAsia" w:ascii="宋体" w:hAnsi="宋体"/>
          <w:highlight w:val="none"/>
        </w:rPr>
        <w:t>其他伴随服务和比选申请人应承担的其它义务。</w:t>
      </w:r>
    </w:p>
    <w:p>
      <w:pPr>
        <w:shd w:val="clear"/>
        <w:tabs>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2.7</w:t>
      </w:r>
      <w:r>
        <w:rPr>
          <w:rFonts w:ascii="宋体" w:hAnsi="宋体"/>
          <w:highlight w:val="none"/>
        </w:rPr>
        <w:t>“电子文件”系指将比选申请文件全部内容以</w:t>
      </w:r>
      <w:r>
        <w:rPr>
          <w:rFonts w:hint="eastAsia" w:ascii="宋体" w:hAnsi="宋体"/>
          <w:highlight w:val="none"/>
        </w:rPr>
        <w:t>OFFICE</w:t>
      </w:r>
      <w:r>
        <w:rPr>
          <w:rFonts w:ascii="宋体" w:hAnsi="宋体"/>
          <w:highlight w:val="none"/>
        </w:rPr>
        <w:t>的WORD、PROJECT、EXCEL等格式书写的可读电子介质</w:t>
      </w:r>
      <w:r>
        <w:rPr>
          <w:rFonts w:hint="eastAsia" w:ascii="宋体" w:hAnsi="宋体"/>
          <w:highlight w:val="none"/>
        </w:rPr>
        <w:t>及PDF扫描版本（盖章版）</w:t>
      </w:r>
      <w:r>
        <w:rPr>
          <w:rFonts w:ascii="宋体" w:hAnsi="宋体"/>
          <w:highlight w:val="none"/>
        </w:rPr>
        <w:t>。</w:t>
      </w:r>
    </w:p>
    <w:p>
      <w:pPr>
        <w:shd w:val="clear"/>
        <w:tabs>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2.8</w:t>
      </w:r>
      <w:r>
        <w:rPr>
          <w:rFonts w:ascii="宋体" w:hAnsi="宋体"/>
          <w:highlight w:val="none"/>
        </w:rPr>
        <w:t>“书面形式”系指打字或印刷的函件，包括传真、电报等。</w:t>
      </w:r>
    </w:p>
    <w:p>
      <w:pPr>
        <w:shd w:val="clear"/>
        <w:tabs>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2.9</w:t>
      </w:r>
      <w:r>
        <w:rPr>
          <w:rFonts w:ascii="宋体" w:hAnsi="宋体"/>
          <w:highlight w:val="none"/>
        </w:rPr>
        <w:t>“日”、“天”系指日历天。</w:t>
      </w:r>
    </w:p>
    <w:p>
      <w:pPr>
        <w:shd w:val="clear"/>
        <w:tabs>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2.9“保质期”系指质量三包的期限。</w:t>
      </w:r>
    </w:p>
    <w:p>
      <w:pPr>
        <w:shd w:val="clear"/>
        <w:spacing w:before="0" w:after="0" w:afterAutospacing="0"/>
        <w:ind w:left="0" w:right="0" w:firstLine="420" w:firstLineChars="200"/>
        <w:rPr>
          <w:rFonts w:ascii="宋体" w:hAnsi="宋体"/>
          <w:highlight w:val="none"/>
        </w:rPr>
      </w:pPr>
      <w:bookmarkStart w:id="88" w:name="_Toc383891170"/>
      <w:bookmarkStart w:id="89" w:name="_Toc390098421"/>
      <w:bookmarkStart w:id="90" w:name="_Toc375039066"/>
      <w:bookmarkStart w:id="91" w:name="_Toc385427795"/>
      <w:bookmarkStart w:id="92" w:name="_Toc492478720"/>
      <w:bookmarkStart w:id="93" w:name="_Toc25750593"/>
      <w:bookmarkStart w:id="94" w:name="_Toc25786"/>
      <w:bookmarkStart w:id="95" w:name="_Toc29859"/>
      <w:bookmarkStart w:id="96" w:name="_Toc10653"/>
      <w:bookmarkStart w:id="97" w:name="_Toc22115"/>
      <w:bookmarkStart w:id="98" w:name="_Toc30498"/>
      <w:bookmarkStart w:id="99" w:name="_Toc7306"/>
      <w:bookmarkStart w:id="100" w:name="_Toc24844"/>
      <w:bookmarkStart w:id="101" w:name="_Toc12940"/>
      <w:bookmarkStart w:id="102" w:name="_Toc31477"/>
      <w:bookmarkStart w:id="103" w:name="_Toc17568"/>
      <w:bookmarkStart w:id="104" w:name="_Toc22845"/>
      <w:bookmarkStart w:id="105" w:name="_Toc12983507"/>
      <w:bookmarkStart w:id="106" w:name="_Toc7797"/>
      <w:bookmarkStart w:id="107" w:name="_Toc17075"/>
      <w:bookmarkStart w:id="108" w:name="_Toc307"/>
      <w:bookmarkStart w:id="109" w:name="_Toc9929"/>
      <w:bookmarkStart w:id="110" w:name="_Toc8288"/>
      <w:bookmarkStart w:id="111" w:name="_Toc29401"/>
      <w:r>
        <w:rPr>
          <w:rFonts w:ascii="宋体" w:hAnsi="宋体"/>
          <w:highlight w:val="none"/>
        </w:rPr>
        <w:t>3. 比选申请人</w:t>
      </w:r>
      <w:bookmarkEnd w:id="88"/>
      <w:bookmarkEnd w:id="89"/>
      <w:bookmarkEnd w:id="90"/>
      <w:bookmarkEnd w:id="91"/>
      <w:bookmarkEnd w:id="92"/>
      <w:r>
        <w:rPr>
          <w:rFonts w:hint="eastAsia" w:ascii="宋体" w:hAnsi="宋体"/>
          <w:highlight w:val="none"/>
        </w:rPr>
        <w:t>应具备的资格条件</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pPr>
        <w:shd w:val="clear"/>
        <w:tabs>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3.1 </w:t>
      </w:r>
      <w:r>
        <w:rPr>
          <w:rFonts w:ascii="宋体" w:hAnsi="宋体"/>
          <w:highlight w:val="none"/>
        </w:rPr>
        <w:t>详见比选申请须知前附表。</w:t>
      </w:r>
    </w:p>
    <w:p>
      <w:pPr>
        <w:shd w:val="clear"/>
        <w:spacing w:before="0" w:after="0" w:afterAutospacing="0"/>
        <w:ind w:left="0" w:right="0" w:firstLine="420" w:firstLineChars="200"/>
        <w:rPr>
          <w:rFonts w:ascii="宋体" w:hAnsi="宋体"/>
          <w:highlight w:val="none"/>
        </w:rPr>
      </w:pPr>
      <w:r>
        <w:rPr>
          <w:rFonts w:ascii="宋体" w:hAnsi="宋体"/>
          <w:highlight w:val="none"/>
        </w:rPr>
        <w:t xml:space="preserve">3.2 </w:t>
      </w:r>
      <w:r>
        <w:rPr>
          <w:rFonts w:hint="eastAsia" w:ascii="宋体" w:hAnsi="宋体"/>
          <w:highlight w:val="none"/>
        </w:rPr>
        <w:t>比选申请人不得存在以下情况之一，否则其比选申请将被否决：</w:t>
      </w:r>
    </w:p>
    <w:p>
      <w:pPr>
        <w:shd w:val="clear"/>
        <w:spacing w:before="0" w:after="0" w:afterAutospacing="0"/>
        <w:ind w:left="0" w:right="0" w:firstLine="420" w:firstLineChars="200"/>
        <w:rPr>
          <w:rFonts w:ascii="宋体" w:hAnsi="宋体"/>
          <w:highlight w:val="none"/>
        </w:rPr>
      </w:pPr>
      <w:r>
        <w:rPr>
          <w:rFonts w:hint="eastAsia" w:ascii="宋体" w:hAnsi="宋体"/>
          <w:highlight w:val="none"/>
        </w:rPr>
        <w:t>（</w:t>
      </w:r>
      <w:r>
        <w:rPr>
          <w:rFonts w:ascii="宋体" w:hAnsi="宋体"/>
          <w:highlight w:val="none"/>
        </w:rPr>
        <w:t>1</w:t>
      </w:r>
      <w:r>
        <w:rPr>
          <w:rFonts w:hint="eastAsia" w:ascii="宋体" w:hAnsi="宋体"/>
          <w:highlight w:val="none"/>
        </w:rPr>
        <w:t>）为比选人不具有独立法人资格的附属机构（单位）；</w:t>
      </w:r>
    </w:p>
    <w:p>
      <w:pPr>
        <w:shd w:val="clear"/>
        <w:spacing w:before="0" w:after="0" w:afterAutospacing="0"/>
        <w:ind w:left="0" w:right="0" w:firstLine="420" w:firstLineChars="200"/>
        <w:rPr>
          <w:rFonts w:ascii="宋体" w:hAnsi="宋体"/>
          <w:highlight w:val="none"/>
        </w:rPr>
      </w:pPr>
      <w:r>
        <w:rPr>
          <w:rFonts w:hint="eastAsia" w:ascii="宋体" w:hAnsi="宋体"/>
          <w:highlight w:val="none"/>
        </w:rPr>
        <w:t>（2）处于被责令停业，或比选申请资格被住建部、国家安监总局、广西区或南宁市建设行政主管部门取消，或财产被接管、破产状态；</w:t>
      </w:r>
    </w:p>
    <w:p>
      <w:pPr>
        <w:shd w:val="clear"/>
        <w:spacing w:before="0" w:after="0" w:afterAutospacing="0"/>
        <w:ind w:left="0" w:right="0" w:firstLine="420" w:firstLineChars="200"/>
        <w:rPr>
          <w:rFonts w:ascii="宋体" w:hAnsi="宋体"/>
          <w:highlight w:val="none"/>
        </w:rPr>
      </w:pPr>
      <w:r>
        <w:rPr>
          <w:rFonts w:hint="eastAsia" w:ascii="宋体" w:hAnsi="宋体"/>
          <w:highlight w:val="none"/>
        </w:rPr>
        <w:t>（3）有骗取中选、严重违约或重大质量安全责任事故；</w:t>
      </w:r>
    </w:p>
    <w:p>
      <w:pPr>
        <w:shd w:val="clear"/>
        <w:spacing w:before="0" w:after="0" w:afterAutospacing="0"/>
        <w:ind w:left="0" w:right="0" w:firstLine="420" w:firstLineChars="200"/>
        <w:rPr>
          <w:rFonts w:ascii="宋体" w:hAnsi="宋体"/>
          <w:highlight w:val="none"/>
        </w:rPr>
      </w:pPr>
      <w:r>
        <w:rPr>
          <w:rFonts w:hint="eastAsia" w:ascii="宋体" w:hAnsi="宋体"/>
          <w:highlight w:val="none"/>
        </w:rPr>
        <w:t>（4）单位负责人为同一人或者存在控股、管理关系的不同单位，不得同时参加同一标段比选申请或者未划分标段的同一比选项目比选申请；</w:t>
      </w:r>
    </w:p>
    <w:p>
      <w:pPr>
        <w:shd w:val="clear"/>
        <w:spacing w:before="0" w:after="0" w:afterAutospacing="0"/>
        <w:ind w:left="0" w:right="0" w:firstLine="420" w:firstLineChars="200"/>
        <w:rPr>
          <w:rFonts w:ascii="宋体" w:hAnsi="宋体"/>
          <w:highlight w:val="none"/>
        </w:rPr>
      </w:pPr>
      <w:r>
        <w:rPr>
          <w:rFonts w:hint="eastAsia" w:ascii="宋体" w:hAnsi="宋体"/>
          <w:highlight w:val="none"/>
        </w:rPr>
        <w:t>（5）比选申请人向比选人或评审委员会成员以行贿的手段谋取中选的；</w:t>
      </w:r>
    </w:p>
    <w:p>
      <w:pPr>
        <w:shd w:val="clear"/>
        <w:spacing w:before="0" w:after="0" w:afterAutospacing="0"/>
        <w:ind w:left="0" w:right="0" w:firstLine="420" w:firstLineChars="200"/>
        <w:rPr>
          <w:rFonts w:ascii="宋体" w:hAnsi="宋体"/>
          <w:highlight w:val="none"/>
        </w:rPr>
      </w:pPr>
      <w:r>
        <w:rPr>
          <w:rFonts w:hint="eastAsia" w:ascii="宋体" w:hAnsi="宋体"/>
          <w:highlight w:val="none"/>
        </w:rPr>
        <w:t>（6）串通比选申请或弄虚作假或有其他违法行为的；</w:t>
      </w:r>
    </w:p>
    <w:p>
      <w:pPr>
        <w:shd w:val="clea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（7）在比选申请文件中提供虚假文件或资料的。</w:t>
      </w:r>
    </w:p>
    <w:p>
      <w:pPr>
        <w:shd w:val="clear"/>
        <w:spacing w:before="0" w:after="0" w:afterAutospacing="0"/>
        <w:ind w:left="0" w:right="0" w:firstLine="420" w:firstLineChars="200"/>
        <w:rPr>
          <w:rFonts w:ascii="宋体" w:hAnsi="宋体"/>
          <w:highlight w:val="none"/>
        </w:rPr>
      </w:pPr>
      <w:bookmarkStart w:id="112" w:name="_Toc25914"/>
      <w:bookmarkStart w:id="113" w:name="_Toc1737"/>
      <w:bookmarkStart w:id="114" w:name="_Toc23146"/>
      <w:bookmarkStart w:id="115" w:name="_Toc4438"/>
      <w:bookmarkStart w:id="116" w:name="_Toc1125"/>
      <w:bookmarkStart w:id="117" w:name="_Toc390098422"/>
      <w:bookmarkStart w:id="118" w:name="_Toc12983508"/>
      <w:bookmarkStart w:id="119" w:name="_Toc18668"/>
      <w:bookmarkStart w:id="120" w:name="_Toc616"/>
      <w:bookmarkStart w:id="121" w:name="_Toc7832"/>
      <w:bookmarkStart w:id="122" w:name="_Toc30752"/>
      <w:bookmarkStart w:id="123" w:name="_Toc383891171"/>
      <w:bookmarkStart w:id="124" w:name="_Toc21215"/>
      <w:bookmarkStart w:id="125" w:name="_Toc19081"/>
      <w:bookmarkStart w:id="126" w:name="_Toc3292"/>
      <w:bookmarkStart w:id="127" w:name="_Toc7103"/>
      <w:bookmarkStart w:id="128" w:name="_Toc385427796"/>
      <w:bookmarkStart w:id="129" w:name="_Toc19709"/>
      <w:bookmarkStart w:id="130" w:name="_Toc25750594"/>
      <w:bookmarkStart w:id="131" w:name="_Toc492478721"/>
      <w:bookmarkStart w:id="132" w:name="_Toc375039067"/>
      <w:bookmarkStart w:id="133" w:name="_Toc21602"/>
      <w:bookmarkStart w:id="134" w:name="_Toc31789"/>
      <w:bookmarkStart w:id="135" w:name="_Toc24103"/>
      <w:r>
        <w:rPr>
          <w:rFonts w:hint="eastAsia" w:ascii="宋体" w:hAnsi="宋体"/>
          <w:highlight w:val="none"/>
        </w:rPr>
        <w:t xml:space="preserve">4. </w:t>
      </w:r>
      <w:r>
        <w:rPr>
          <w:rFonts w:ascii="宋体" w:hAnsi="宋体"/>
          <w:highlight w:val="none"/>
        </w:rPr>
        <w:t>比选申请费用</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pPr>
        <w:shd w:val="clea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比选申请人准备和参加比选申请活动发生的费用自理</w:t>
      </w:r>
      <w:r>
        <w:rPr>
          <w:rFonts w:ascii="宋体" w:hAnsi="宋体"/>
          <w:highlight w:val="none"/>
        </w:rPr>
        <w:t>。</w:t>
      </w:r>
    </w:p>
    <w:p>
      <w:pPr>
        <w:shd w:val="clear"/>
        <w:spacing w:after="0" w:afterAutospacing="0"/>
        <w:ind w:left="0" w:right="0" w:firstLine="480" w:firstLineChars="200"/>
        <w:outlineLvl w:val="1"/>
        <w:rPr>
          <w:rFonts w:ascii="宋体" w:hAnsi="宋体"/>
          <w:sz w:val="24"/>
          <w:szCs w:val="24"/>
          <w:highlight w:val="none"/>
        </w:rPr>
      </w:pPr>
      <w:bookmarkStart w:id="136" w:name="_Toc7339"/>
      <w:bookmarkStart w:id="137" w:name="_Toc18528"/>
      <w:bookmarkStart w:id="138" w:name="_Toc5160"/>
      <w:bookmarkStart w:id="139" w:name="_Toc19617"/>
      <w:bookmarkStart w:id="140" w:name="_Toc375039068"/>
      <w:bookmarkStart w:id="141" w:name="_Toc5487"/>
      <w:bookmarkStart w:id="142" w:name="_Toc16608"/>
      <w:bookmarkStart w:id="143" w:name="_Toc383891172"/>
      <w:bookmarkStart w:id="144" w:name="_Toc3854"/>
      <w:bookmarkStart w:id="145" w:name="_Toc25750595"/>
      <w:bookmarkStart w:id="146" w:name="_Toc390098423"/>
      <w:bookmarkStart w:id="147" w:name="_Toc2986"/>
      <w:bookmarkStart w:id="148" w:name="_Toc492478722"/>
      <w:bookmarkStart w:id="149" w:name="_Toc2609"/>
      <w:bookmarkStart w:id="150" w:name="_Toc8562"/>
      <w:bookmarkStart w:id="151" w:name="_Toc29160"/>
      <w:bookmarkStart w:id="152" w:name="_Toc385427797"/>
      <w:bookmarkStart w:id="153" w:name="_Toc12983509"/>
      <w:bookmarkStart w:id="154" w:name="_Toc15763"/>
      <w:bookmarkStart w:id="155" w:name="_Toc16131"/>
      <w:bookmarkStart w:id="156" w:name="_Toc6528"/>
      <w:bookmarkStart w:id="157" w:name="_Toc16530"/>
      <w:bookmarkStart w:id="158" w:name="_Toc28220"/>
      <w:bookmarkStart w:id="159" w:name="_Toc9677"/>
      <w:r>
        <w:rPr>
          <w:rFonts w:hint="eastAsia" w:ascii="宋体" w:hAnsi="宋体"/>
          <w:sz w:val="24"/>
          <w:szCs w:val="24"/>
          <w:highlight w:val="none"/>
        </w:rPr>
        <w:t>二、</w:t>
      </w:r>
      <w:r>
        <w:rPr>
          <w:rFonts w:ascii="宋体" w:hAnsi="宋体"/>
          <w:sz w:val="24"/>
          <w:szCs w:val="24"/>
          <w:highlight w:val="none"/>
        </w:rPr>
        <w:t>比选文件</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pPr>
        <w:shd w:val="clear"/>
        <w:spacing w:before="0" w:after="0" w:afterAutospacing="0"/>
        <w:ind w:left="0" w:right="0" w:firstLine="420" w:firstLineChars="200"/>
        <w:rPr>
          <w:rFonts w:ascii="宋体" w:hAnsi="宋体"/>
          <w:highlight w:val="none"/>
        </w:rPr>
      </w:pPr>
      <w:bookmarkStart w:id="160" w:name="_Toc26333"/>
      <w:bookmarkStart w:id="161" w:name="_Toc13114"/>
      <w:bookmarkStart w:id="162" w:name="_Toc29225"/>
      <w:bookmarkStart w:id="163" w:name="_Toc839"/>
      <w:bookmarkStart w:id="164" w:name="_Toc25750596"/>
      <w:bookmarkStart w:id="165" w:name="_Toc29472"/>
      <w:bookmarkStart w:id="166" w:name="_Toc25378"/>
      <w:bookmarkStart w:id="167" w:name="_Toc492478723"/>
      <w:bookmarkStart w:id="168" w:name="_Toc21811"/>
      <w:bookmarkStart w:id="169" w:name="_Toc30401"/>
      <w:bookmarkStart w:id="170" w:name="_Toc6764"/>
      <w:bookmarkStart w:id="171" w:name="_Toc12983510"/>
      <w:bookmarkStart w:id="172" w:name="_Toc6637"/>
      <w:bookmarkStart w:id="173" w:name="_Toc5877"/>
      <w:bookmarkStart w:id="174" w:name="_Toc19561"/>
      <w:bookmarkStart w:id="175" w:name="_Toc18436"/>
      <w:bookmarkStart w:id="176" w:name="_Toc32710"/>
      <w:bookmarkStart w:id="177" w:name="_Toc4157"/>
      <w:bookmarkStart w:id="178" w:name="_Toc390098424"/>
      <w:bookmarkStart w:id="179" w:name="_Toc9756"/>
      <w:bookmarkStart w:id="180" w:name="_Toc27870"/>
      <w:bookmarkStart w:id="181" w:name="_Toc385427798"/>
      <w:bookmarkStart w:id="182" w:name="_Toc383891173"/>
      <w:bookmarkStart w:id="183" w:name="_Toc375039069"/>
      <w:r>
        <w:rPr>
          <w:rFonts w:hint="eastAsia" w:ascii="宋体" w:hAnsi="宋体"/>
          <w:highlight w:val="none"/>
        </w:rPr>
        <w:t xml:space="preserve">5. </w:t>
      </w:r>
      <w:r>
        <w:rPr>
          <w:rFonts w:ascii="宋体" w:hAnsi="宋体"/>
          <w:highlight w:val="none"/>
        </w:rPr>
        <w:t>比选文件构成</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pPr>
        <w:shd w:val="clear"/>
        <w:spacing w:before="0" w:after="0" w:afterAutospacing="0"/>
        <w:ind w:left="0" w:right="0" w:firstLine="420" w:firstLineChars="200"/>
        <w:rPr>
          <w:rFonts w:ascii="宋体" w:hAnsi="宋体"/>
          <w:highlight w:val="none"/>
        </w:rPr>
      </w:pPr>
      <w:r>
        <w:rPr>
          <w:rFonts w:hint="eastAsia" w:ascii="宋体" w:hAnsi="宋体"/>
          <w:highlight w:val="none"/>
        </w:rPr>
        <w:t xml:space="preserve">5.1 </w:t>
      </w:r>
      <w:r>
        <w:rPr>
          <w:rFonts w:ascii="宋体" w:hAnsi="宋体"/>
          <w:highlight w:val="none"/>
        </w:rPr>
        <w:t>比选文件包括下列内容：</w:t>
      </w:r>
    </w:p>
    <w:p>
      <w:pPr>
        <w:numPr>
          <w:ilvl w:val="0"/>
          <w:numId w:val="2"/>
        </w:numPr>
        <w:shd w:val="clear"/>
        <w:spacing w:before="0"/>
        <w:ind w:right="0" w:firstLine="200"/>
        <w:rPr>
          <w:rFonts w:ascii="宋体" w:hAnsi="宋体"/>
          <w:highlight w:val="none"/>
        </w:rPr>
      </w:pPr>
      <w:r>
        <w:rPr>
          <w:rFonts w:ascii="宋体" w:hAnsi="宋体"/>
          <w:highlight w:val="none"/>
        </w:rPr>
        <w:t>比选公告</w:t>
      </w:r>
    </w:p>
    <w:p>
      <w:pPr>
        <w:numPr>
          <w:ilvl w:val="0"/>
          <w:numId w:val="2"/>
        </w:numPr>
        <w:shd w:val="clear"/>
        <w:spacing w:before="0"/>
        <w:ind w:right="0" w:firstLine="200"/>
        <w:rPr>
          <w:rFonts w:ascii="宋体" w:hAnsi="宋体"/>
          <w:highlight w:val="none"/>
        </w:rPr>
      </w:pPr>
      <w:r>
        <w:rPr>
          <w:rFonts w:ascii="宋体" w:hAnsi="宋体"/>
          <w:highlight w:val="none"/>
        </w:rPr>
        <w:t>比选申请人须知</w:t>
      </w:r>
    </w:p>
    <w:p>
      <w:pPr>
        <w:numPr>
          <w:ilvl w:val="0"/>
          <w:numId w:val="2"/>
        </w:numPr>
        <w:shd w:val="clear"/>
        <w:spacing w:before="0"/>
        <w:ind w:right="0" w:firstLine="200"/>
        <w:rPr>
          <w:rFonts w:ascii="宋体" w:hAnsi="宋体"/>
          <w:highlight w:val="none"/>
        </w:rPr>
      </w:pPr>
      <w:r>
        <w:rPr>
          <w:rFonts w:ascii="宋体" w:hAnsi="宋体"/>
          <w:highlight w:val="none"/>
        </w:rPr>
        <w:t>合同条款</w:t>
      </w:r>
      <w:r>
        <w:rPr>
          <w:rFonts w:hint="eastAsia" w:ascii="宋体" w:hAnsi="宋体"/>
          <w:highlight w:val="none"/>
        </w:rPr>
        <w:t>及格式</w:t>
      </w:r>
    </w:p>
    <w:p>
      <w:pPr>
        <w:numPr>
          <w:ilvl w:val="0"/>
          <w:numId w:val="2"/>
        </w:numPr>
        <w:shd w:val="clear"/>
        <w:spacing w:before="0"/>
        <w:ind w:right="0" w:firstLine="200"/>
        <w:rPr>
          <w:rFonts w:ascii="宋体" w:hAnsi="宋体"/>
          <w:highlight w:val="none"/>
        </w:rPr>
      </w:pPr>
      <w:r>
        <w:rPr>
          <w:rFonts w:ascii="宋体" w:hAnsi="宋体"/>
          <w:highlight w:val="none"/>
        </w:rPr>
        <w:t>比选申请文件格式</w:t>
      </w:r>
    </w:p>
    <w:p>
      <w:pPr>
        <w:numPr>
          <w:ilvl w:val="0"/>
          <w:numId w:val="2"/>
        </w:numPr>
        <w:shd w:val="clear"/>
        <w:spacing w:before="0"/>
        <w:ind w:right="0" w:firstLine="200"/>
        <w:rPr>
          <w:rFonts w:ascii="宋体" w:hAnsi="宋体"/>
          <w:highlight w:val="none"/>
        </w:rPr>
      </w:pPr>
      <w:r>
        <w:rPr>
          <w:rFonts w:ascii="宋体" w:hAnsi="宋体"/>
          <w:highlight w:val="none"/>
        </w:rPr>
        <w:t>用户需求书</w:t>
      </w:r>
    </w:p>
    <w:p>
      <w:pPr>
        <w:numPr>
          <w:ilvl w:val="0"/>
          <w:numId w:val="2"/>
        </w:numPr>
        <w:shd w:val="clear"/>
        <w:spacing w:before="0" w:after="0" w:afterAutospacing="0"/>
        <w:ind w:right="0" w:firstLine="198"/>
        <w:rPr>
          <w:rFonts w:ascii="宋体" w:hAnsi="宋体"/>
          <w:highlight w:val="none"/>
        </w:rPr>
      </w:pPr>
      <w:r>
        <w:rPr>
          <w:rFonts w:ascii="宋体" w:hAnsi="宋体"/>
          <w:highlight w:val="none"/>
        </w:rPr>
        <w:t>评</w:t>
      </w:r>
      <w:r>
        <w:rPr>
          <w:rFonts w:hint="eastAsia" w:ascii="宋体" w:hAnsi="宋体"/>
          <w:highlight w:val="none"/>
        </w:rPr>
        <w:t>分</w:t>
      </w:r>
      <w:r>
        <w:rPr>
          <w:rFonts w:ascii="宋体" w:hAnsi="宋体"/>
          <w:highlight w:val="none"/>
        </w:rPr>
        <w:t>办法</w:t>
      </w:r>
    </w:p>
    <w:p>
      <w:pPr>
        <w:shd w:val="clear"/>
        <w:spacing w:before="0" w:after="0" w:afterAutospacing="0"/>
        <w:ind w:left="0" w:right="0" w:firstLine="420" w:firstLineChars="200"/>
        <w:rPr>
          <w:rFonts w:ascii="宋体" w:hAnsi="宋体"/>
          <w:highlight w:val="none"/>
        </w:rPr>
      </w:pPr>
      <w:r>
        <w:rPr>
          <w:rFonts w:hint="eastAsia" w:ascii="宋体" w:hAnsi="宋体"/>
          <w:highlight w:val="none"/>
        </w:rPr>
        <w:t xml:space="preserve">5.2 </w:t>
      </w:r>
      <w:r>
        <w:rPr>
          <w:rFonts w:ascii="宋体" w:hAnsi="宋体"/>
          <w:highlight w:val="none"/>
        </w:rPr>
        <w:t>比选申请人应认真检阅比选文件中所有的章节、条款、格式、图纸、附表和附件等。如果在收到比选文件后发现有缺页、印刷不清楚或对其中内容不理解而未向</w:t>
      </w:r>
      <w:r>
        <w:rPr>
          <w:rFonts w:hint="eastAsia" w:ascii="宋体" w:hAnsi="宋体"/>
          <w:highlight w:val="none"/>
        </w:rPr>
        <w:t>比选人</w:t>
      </w:r>
      <w:r>
        <w:rPr>
          <w:rFonts w:ascii="宋体" w:hAnsi="宋体"/>
          <w:highlight w:val="none"/>
        </w:rPr>
        <w:t>提出，由此导致的比选申请失误，其责任由比选申请人自负。</w:t>
      </w:r>
    </w:p>
    <w:p>
      <w:pPr>
        <w:shd w:val="clear"/>
        <w:spacing w:before="0" w:after="0" w:afterAutospacing="0"/>
        <w:ind w:left="0" w:right="0" w:firstLine="420" w:firstLineChars="200"/>
        <w:rPr>
          <w:rFonts w:ascii="宋体" w:hAnsi="宋体"/>
          <w:highlight w:val="none"/>
        </w:rPr>
      </w:pPr>
      <w:r>
        <w:rPr>
          <w:rFonts w:hint="eastAsia" w:ascii="宋体" w:hAnsi="宋体"/>
          <w:highlight w:val="none"/>
        </w:rPr>
        <w:t xml:space="preserve">5.3 </w:t>
      </w:r>
      <w:r>
        <w:rPr>
          <w:rFonts w:ascii="宋体" w:hAnsi="宋体"/>
          <w:highlight w:val="none"/>
        </w:rPr>
        <w:t>比选申请人没有按照比选文件要求提交全部资料，或者没有对比选文件在各方面都作出实质性响应是比选申请人的风险，并可能导致其比选申请被否决。比选申请人在比选申请文件中提出的对比选文件的要求带有限制性的理解或注释将被视为没有全面响应比选文件的要求。</w:t>
      </w:r>
    </w:p>
    <w:p>
      <w:pPr>
        <w:shd w:val="clear"/>
        <w:spacing w:before="0" w:after="0" w:afterAutospacing="0"/>
        <w:ind w:left="0" w:right="0" w:firstLine="420" w:firstLineChars="200"/>
        <w:rPr>
          <w:rFonts w:ascii="宋体" w:hAnsi="宋体"/>
          <w:highlight w:val="none"/>
        </w:rPr>
      </w:pPr>
      <w:bookmarkStart w:id="184" w:name="_Toc390098425"/>
      <w:bookmarkStart w:id="185" w:name="_Toc375039070"/>
      <w:bookmarkStart w:id="186" w:name="_Toc383891174"/>
      <w:bookmarkStart w:id="187" w:name="_Toc12983511"/>
      <w:bookmarkStart w:id="188" w:name="_Toc28270"/>
      <w:bookmarkStart w:id="189" w:name="_Toc18631"/>
      <w:bookmarkStart w:id="190" w:name="_Toc29001"/>
      <w:bookmarkStart w:id="191" w:name="_Toc26909"/>
      <w:bookmarkStart w:id="192" w:name="_Toc25750597"/>
      <w:bookmarkStart w:id="193" w:name="_Toc21365"/>
      <w:bookmarkStart w:id="194" w:name="_Toc2489"/>
      <w:bookmarkStart w:id="195" w:name="_Toc11896"/>
      <w:bookmarkStart w:id="196" w:name="_Toc2789"/>
      <w:bookmarkStart w:id="197" w:name="_Toc14426"/>
      <w:bookmarkStart w:id="198" w:name="_Toc20903"/>
      <w:bookmarkStart w:id="199" w:name="_Toc492478724"/>
      <w:bookmarkStart w:id="200" w:name="_Toc385427799"/>
      <w:bookmarkStart w:id="201" w:name="_Toc15154"/>
      <w:bookmarkStart w:id="202" w:name="_Toc31386"/>
      <w:bookmarkStart w:id="203" w:name="_Toc31848"/>
      <w:bookmarkStart w:id="204" w:name="_Toc17279"/>
      <w:bookmarkStart w:id="205" w:name="_Toc2664"/>
      <w:bookmarkStart w:id="206" w:name="_Toc26811"/>
      <w:bookmarkStart w:id="207" w:name="_Toc10162"/>
      <w:r>
        <w:rPr>
          <w:rFonts w:hint="eastAsia" w:ascii="宋体" w:hAnsi="宋体"/>
          <w:highlight w:val="none"/>
        </w:rPr>
        <w:t>6.</w:t>
      </w:r>
      <w:r>
        <w:rPr>
          <w:rFonts w:ascii="宋体" w:hAnsi="宋体"/>
          <w:highlight w:val="none"/>
        </w:rPr>
        <w:t>比选文件的澄清</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pPr>
        <w:shd w:val="clear"/>
        <w:spacing w:before="0" w:after="0" w:afterAutospacing="0"/>
        <w:ind w:left="0" w:right="0" w:firstLine="420" w:firstLineChars="200"/>
        <w:rPr>
          <w:rFonts w:ascii="宋体" w:hAnsi="宋体"/>
          <w:highlight w:val="none"/>
        </w:rPr>
      </w:pPr>
      <w:r>
        <w:rPr>
          <w:rFonts w:hint="eastAsia" w:ascii="宋体" w:hAnsi="宋体"/>
          <w:highlight w:val="none"/>
        </w:rPr>
        <w:t xml:space="preserve">6.1 </w:t>
      </w:r>
      <w:r>
        <w:rPr>
          <w:rFonts w:ascii="宋体" w:hAnsi="宋体"/>
          <w:highlight w:val="none"/>
        </w:rPr>
        <w:t>任何要求对比选文件进行澄清的比选申请人，应在比选申请须知前附表所规定的时间</w:t>
      </w:r>
      <w:r>
        <w:rPr>
          <w:rFonts w:hint="eastAsia" w:ascii="宋体" w:hAnsi="宋体"/>
          <w:highlight w:val="none"/>
        </w:rPr>
        <w:t>及形式向比选人提出。</w:t>
      </w:r>
    </w:p>
    <w:p>
      <w:pPr>
        <w:shd w:val="clear"/>
        <w:spacing w:before="0" w:after="0" w:afterAutospacing="0"/>
        <w:ind w:left="0" w:right="0" w:firstLine="420" w:firstLineChars="200"/>
        <w:rPr>
          <w:rFonts w:ascii="宋体" w:hAnsi="宋体"/>
          <w:highlight w:val="none"/>
        </w:rPr>
      </w:pPr>
      <w:r>
        <w:rPr>
          <w:rFonts w:hint="eastAsia" w:ascii="宋体" w:hAnsi="宋体"/>
          <w:highlight w:val="none"/>
        </w:rPr>
        <w:t>6.2 比选人</w:t>
      </w:r>
      <w:r>
        <w:rPr>
          <w:rFonts w:ascii="宋体" w:hAnsi="宋体"/>
          <w:highlight w:val="none"/>
        </w:rPr>
        <w:t>将根据比选申请人的</w:t>
      </w:r>
      <w:r>
        <w:rPr>
          <w:rFonts w:hint="eastAsia" w:ascii="宋体" w:hAnsi="宋体"/>
          <w:highlight w:val="none"/>
        </w:rPr>
        <w:t>书面</w:t>
      </w:r>
      <w:r>
        <w:rPr>
          <w:rFonts w:ascii="宋体" w:hAnsi="宋体"/>
          <w:highlight w:val="none"/>
        </w:rPr>
        <w:t>澄清要求</w:t>
      </w:r>
      <w:r>
        <w:rPr>
          <w:rFonts w:hint="eastAsia" w:ascii="宋体" w:hAnsi="宋体"/>
          <w:highlight w:val="none"/>
        </w:rPr>
        <w:t>进行澄清答复，答复的方式及比选申请人确认的方式详见比选申请须知前附表，比选人</w:t>
      </w:r>
      <w:r>
        <w:rPr>
          <w:rFonts w:ascii="宋体" w:hAnsi="宋体"/>
          <w:highlight w:val="none"/>
        </w:rPr>
        <w:t>只答复与比选文件内容有关的问题，并有权对任何与比选文件无关的问题不作回答。</w:t>
      </w:r>
    </w:p>
    <w:p>
      <w:pPr>
        <w:shd w:val="clear"/>
        <w:spacing w:before="0" w:after="0" w:afterAutospacing="0"/>
        <w:ind w:left="0" w:right="0" w:firstLine="420" w:firstLineChars="200"/>
        <w:rPr>
          <w:rFonts w:ascii="宋体" w:hAnsi="宋体"/>
          <w:highlight w:val="none"/>
        </w:rPr>
      </w:pPr>
      <w:bookmarkStart w:id="208" w:name="_Toc24128"/>
      <w:bookmarkStart w:id="209" w:name="_Toc24191"/>
      <w:bookmarkStart w:id="210" w:name="_Toc390098426"/>
      <w:bookmarkStart w:id="211" w:name="_Toc375039071"/>
      <w:bookmarkStart w:id="212" w:name="_Toc14181"/>
      <w:bookmarkStart w:id="213" w:name="_Toc12983512"/>
      <w:bookmarkStart w:id="214" w:name="_Toc385427800"/>
      <w:bookmarkStart w:id="215" w:name="_Toc5364"/>
      <w:bookmarkStart w:id="216" w:name="_Toc2976"/>
      <w:bookmarkStart w:id="217" w:name="_Toc24583"/>
      <w:bookmarkStart w:id="218" w:name="_Toc26952"/>
      <w:bookmarkStart w:id="219" w:name="_Toc383891175"/>
      <w:bookmarkStart w:id="220" w:name="_Toc30378"/>
      <w:bookmarkStart w:id="221" w:name="_Toc7063"/>
      <w:bookmarkStart w:id="222" w:name="_Toc15137"/>
      <w:bookmarkStart w:id="223" w:name="_Toc2072"/>
      <w:bookmarkStart w:id="224" w:name="_Toc29795"/>
      <w:bookmarkStart w:id="225" w:name="_Toc22529"/>
      <w:bookmarkStart w:id="226" w:name="_Toc27124"/>
      <w:bookmarkStart w:id="227" w:name="_Toc19345"/>
      <w:bookmarkStart w:id="228" w:name="_Toc492478725"/>
      <w:bookmarkStart w:id="229" w:name="_Toc15674"/>
      <w:bookmarkStart w:id="230" w:name="_Toc15498"/>
      <w:bookmarkStart w:id="231" w:name="_Toc25750598"/>
      <w:r>
        <w:rPr>
          <w:rFonts w:hint="eastAsia" w:ascii="宋体" w:hAnsi="宋体"/>
          <w:highlight w:val="none"/>
        </w:rPr>
        <w:t xml:space="preserve">7. </w:t>
      </w:r>
      <w:r>
        <w:rPr>
          <w:rFonts w:ascii="宋体" w:hAnsi="宋体"/>
          <w:highlight w:val="none"/>
        </w:rPr>
        <w:t>比选文件的补遗或修改</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pPr>
        <w:shd w:val="clear"/>
        <w:spacing w:before="0" w:after="0" w:afterAutospacing="0"/>
        <w:ind w:left="0" w:right="0" w:firstLine="420" w:firstLineChars="200"/>
        <w:rPr>
          <w:rFonts w:ascii="宋体" w:hAnsi="宋体"/>
          <w:highlight w:val="none"/>
        </w:rPr>
      </w:pPr>
      <w:r>
        <w:rPr>
          <w:rFonts w:hint="eastAsia" w:ascii="宋体" w:hAnsi="宋体"/>
          <w:highlight w:val="none"/>
        </w:rPr>
        <w:t xml:space="preserve">7.1 </w:t>
      </w:r>
      <w:r>
        <w:rPr>
          <w:rFonts w:ascii="宋体" w:hAnsi="宋体"/>
          <w:highlight w:val="none"/>
        </w:rPr>
        <w:t>在比选申请截止期前，无论出于何种原因，</w:t>
      </w:r>
      <w:r>
        <w:rPr>
          <w:rFonts w:hint="eastAsia" w:ascii="宋体" w:hAnsi="宋体"/>
          <w:highlight w:val="none"/>
        </w:rPr>
        <w:t>比选人</w:t>
      </w:r>
      <w:r>
        <w:rPr>
          <w:rFonts w:ascii="宋体" w:hAnsi="宋体"/>
          <w:highlight w:val="none"/>
        </w:rPr>
        <w:t>可以主动或应比选申请人澄清要求对比选文件进行必要的补遗或修改。</w:t>
      </w:r>
    </w:p>
    <w:p>
      <w:pPr>
        <w:shd w:val="clear"/>
        <w:spacing w:before="0" w:after="0" w:afterAutospacing="0"/>
        <w:ind w:left="0" w:right="0" w:firstLine="420" w:firstLineChars="200"/>
        <w:rPr>
          <w:rFonts w:ascii="宋体" w:hAnsi="宋体"/>
          <w:highlight w:val="none"/>
        </w:rPr>
      </w:pPr>
      <w:r>
        <w:rPr>
          <w:rFonts w:hint="eastAsia" w:ascii="宋体" w:hAnsi="宋体"/>
          <w:highlight w:val="none"/>
        </w:rPr>
        <w:t xml:space="preserve">7.2 </w:t>
      </w:r>
      <w:r>
        <w:rPr>
          <w:rFonts w:ascii="宋体" w:hAnsi="宋体"/>
          <w:highlight w:val="none"/>
        </w:rPr>
        <w:t>比选文件的补遗或修改通知是比选文件的组成部分，补充比选文件在</w:t>
      </w:r>
      <w:r>
        <w:rPr>
          <w:rFonts w:hint="eastAsia" w:ascii="宋体" w:hAnsi="宋体"/>
          <w:highlight w:val="none"/>
        </w:rPr>
        <w:t>南宁轨道交通集团有限责任公司官网</w:t>
      </w:r>
      <w:r>
        <w:rPr>
          <w:rFonts w:ascii="宋体" w:hAnsi="宋体"/>
          <w:highlight w:val="none"/>
        </w:rPr>
        <w:t>上发布之日起，视为比选申请人已收到该补充比选文件。比选申请人未及时关注</w:t>
      </w:r>
      <w:r>
        <w:rPr>
          <w:rFonts w:hint="eastAsia" w:ascii="宋体" w:hAnsi="宋体"/>
          <w:highlight w:val="none"/>
        </w:rPr>
        <w:t>南宁轨道交通集团有限责任公司官网</w:t>
      </w:r>
      <w:r>
        <w:rPr>
          <w:rFonts w:ascii="宋体" w:hAnsi="宋体"/>
          <w:highlight w:val="none"/>
        </w:rPr>
        <w:t>上发布的补充比选文件造成的损失，由比选申请人自行负责。</w:t>
      </w:r>
    </w:p>
    <w:p>
      <w:pPr>
        <w:shd w:val="clear"/>
        <w:spacing w:before="0" w:after="0" w:afterAutospacing="0"/>
        <w:ind w:left="0" w:right="0" w:firstLine="420" w:firstLineChars="200"/>
        <w:rPr>
          <w:rFonts w:ascii="宋体" w:hAnsi="宋体"/>
          <w:highlight w:val="none"/>
        </w:rPr>
      </w:pPr>
      <w:r>
        <w:rPr>
          <w:rFonts w:hint="eastAsia" w:ascii="宋体" w:hAnsi="宋体"/>
          <w:highlight w:val="none"/>
        </w:rPr>
        <w:t xml:space="preserve">7.3 </w:t>
      </w:r>
      <w:r>
        <w:rPr>
          <w:rFonts w:ascii="宋体" w:hAnsi="宋体"/>
          <w:highlight w:val="none"/>
        </w:rPr>
        <w:t>当后发的补遗或修改通知与原比选文件或此前发出的补遗或修改通知之间存有不一致时，应以后发的补遗或修改通知为准。</w:t>
      </w:r>
    </w:p>
    <w:p>
      <w:pPr>
        <w:shd w:val="clear"/>
        <w:spacing w:before="0" w:after="0" w:afterAutospacing="0"/>
        <w:ind w:left="0" w:right="0" w:firstLine="420" w:firstLineChars="200"/>
        <w:rPr>
          <w:rFonts w:ascii="宋体" w:hAnsi="宋体"/>
          <w:highlight w:val="none"/>
        </w:rPr>
      </w:pPr>
      <w:r>
        <w:rPr>
          <w:rFonts w:hint="eastAsia" w:ascii="宋体" w:hAnsi="宋体"/>
          <w:highlight w:val="none"/>
        </w:rPr>
        <w:t xml:space="preserve">7.4 </w:t>
      </w:r>
      <w:r>
        <w:rPr>
          <w:rFonts w:ascii="宋体" w:hAnsi="宋体"/>
          <w:highlight w:val="none"/>
        </w:rPr>
        <w:t>为使比选申请人准备比选申请时有充分时间对比选文件的补遗或修改部分进行研究，</w:t>
      </w:r>
      <w:r>
        <w:rPr>
          <w:rFonts w:hint="eastAsia" w:ascii="宋体" w:hAnsi="宋体"/>
          <w:highlight w:val="none"/>
        </w:rPr>
        <w:t>比选人</w:t>
      </w:r>
      <w:r>
        <w:rPr>
          <w:rFonts w:ascii="宋体" w:hAnsi="宋体"/>
          <w:highlight w:val="none"/>
        </w:rPr>
        <w:t>可适当推迟比选申请截止</w:t>
      </w:r>
      <w:r>
        <w:rPr>
          <w:rFonts w:hint="eastAsia" w:ascii="宋体" w:hAnsi="宋体"/>
          <w:highlight w:val="none"/>
        </w:rPr>
        <w:t>时间</w:t>
      </w:r>
      <w:r>
        <w:rPr>
          <w:rFonts w:ascii="宋体" w:hAnsi="宋体"/>
          <w:highlight w:val="none"/>
        </w:rPr>
        <w:t>。</w:t>
      </w:r>
    </w:p>
    <w:p>
      <w:pPr>
        <w:shd w:val="clear"/>
        <w:spacing w:after="0" w:afterAutospacing="0"/>
        <w:ind w:left="0" w:right="0" w:firstLine="480" w:firstLineChars="200"/>
        <w:outlineLvl w:val="1"/>
        <w:rPr>
          <w:rFonts w:ascii="宋体" w:hAnsi="宋体"/>
          <w:sz w:val="24"/>
          <w:szCs w:val="24"/>
          <w:highlight w:val="none"/>
        </w:rPr>
      </w:pPr>
      <w:bookmarkStart w:id="232" w:name="_Toc492478726"/>
      <w:bookmarkStart w:id="233" w:name="_Toc16406"/>
      <w:bookmarkStart w:id="234" w:name="_Toc30363"/>
      <w:bookmarkStart w:id="235" w:name="_Toc390098427"/>
      <w:bookmarkStart w:id="236" w:name="_Toc17335"/>
      <w:bookmarkStart w:id="237" w:name="_Toc17692"/>
      <w:bookmarkStart w:id="238" w:name="_Toc7604"/>
      <w:bookmarkStart w:id="239" w:name="_Toc27913"/>
      <w:bookmarkStart w:id="240" w:name="_Toc10869"/>
      <w:bookmarkStart w:id="241" w:name="_Toc14185"/>
      <w:bookmarkStart w:id="242" w:name="_Toc18679"/>
      <w:bookmarkStart w:id="243" w:name="_Toc375039072"/>
      <w:bookmarkStart w:id="244" w:name="_Toc385427801"/>
      <w:bookmarkStart w:id="245" w:name="_Toc12983513"/>
      <w:bookmarkStart w:id="246" w:name="_Toc4718"/>
      <w:bookmarkStart w:id="247" w:name="_Toc5805"/>
      <w:bookmarkStart w:id="248" w:name="_Toc95"/>
      <w:bookmarkStart w:id="249" w:name="_Toc383891176"/>
      <w:bookmarkStart w:id="250" w:name="_Toc24759"/>
      <w:bookmarkStart w:id="251" w:name="_Toc25361"/>
      <w:bookmarkStart w:id="252" w:name="_Toc24557"/>
      <w:bookmarkStart w:id="253" w:name="_Toc28044"/>
      <w:bookmarkStart w:id="254" w:name="_Toc2902"/>
      <w:bookmarkStart w:id="255" w:name="_Toc25750599"/>
      <w:r>
        <w:rPr>
          <w:rFonts w:hint="eastAsia" w:ascii="宋体" w:hAnsi="宋体"/>
          <w:sz w:val="24"/>
          <w:szCs w:val="24"/>
          <w:highlight w:val="none"/>
        </w:rPr>
        <w:t>三、</w:t>
      </w:r>
      <w:r>
        <w:rPr>
          <w:rFonts w:ascii="宋体" w:hAnsi="宋体"/>
          <w:sz w:val="24"/>
          <w:szCs w:val="24"/>
          <w:highlight w:val="none"/>
        </w:rPr>
        <w:t>比选申请文件的编制</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pPr>
        <w:shd w:val="clear"/>
        <w:spacing w:before="0" w:after="0" w:afterAutospacing="0"/>
        <w:ind w:left="0" w:right="0" w:firstLine="420" w:firstLineChars="200"/>
        <w:rPr>
          <w:rFonts w:ascii="宋体" w:hAnsi="宋体"/>
          <w:highlight w:val="none"/>
        </w:rPr>
      </w:pPr>
      <w:bookmarkStart w:id="256" w:name="_Toc13418"/>
      <w:bookmarkStart w:id="257" w:name="_Toc2819"/>
      <w:bookmarkStart w:id="258" w:name="_Toc375039073"/>
      <w:bookmarkStart w:id="259" w:name="_Toc383891177"/>
      <w:bookmarkStart w:id="260" w:name="_Toc29862"/>
      <w:bookmarkStart w:id="261" w:name="_Toc4384"/>
      <w:bookmarkStart w:id="262" w:name="_Toc385427802"/>
      <w:bookmarkStart w:id="263" w:name="_Toc26150"/>
      <w:bookmarkStart w:id="264" w:name="_Toc12456"/>
      <w:bookmarkStart w:id="265" w:name="_Toc492478727"/>
      <w:bookmarkStart w:id="266" w:name="_Toc16186"/>
      <w:bookmarkStart w:id="267" w:name="_Toc9592"/>
      <w:bookmarkStart w:id="268" w:name="_Toc12074"/>
      <w:bookmarkStart w:id="269" w:name="_Toc390098428"/>
      <w:bookmarkStart w:id="270" w:name="_Toc20025"/>
      <w:bookmarkStart w:id="271" w:name="_Toc18350"/>
      <w:bookmarkStart w:id="272" w:name="_Toc1733"/>
      <w:bookmarkStart w:id="273" w:name="_Toc16435"/>
      <w:bookmarkStart w:id="274" w:name="_Toc11259"/>
      <w:bookmarkStart w:id="275" w:name="_Toc26680"/>
      <w:bookmarkStart w:id="276" w:name="_Toc12983514"/>
      <w:bookmarkStart w:id="277" w:name="_Toc25750600"/>
      <w:bookmarkStart w:id="278" w:name="_Toc23794"/>
      <w:bookmarkStart w:id="279" w:name="_Toc21673"/>
      <w:r>
        <w:rPr>
          <w:rFonts w:hint="eastAsia" w:ascii="宋体" w:hAnsi="宋体"/>
          <w:highlight w:val="none"/>
        </w:rPr>
        <w:t xml:space="preserve">8. </w:t>
      </w:r>
      <w:r>
        <w:rPr>
          <w:rFonts w:ascii="宋体" w:hAnsi="宋体"/>
          <w:highlight w:val="none"/>
        </w:rPr>
        <w:t>编制要求</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pPr>
        <w:shd w:val="clear"/>
        <w:tabs>
          <w:tab w:val="left" w:pos="1134"/>
          <w:tab w:val="left" w:pos="8364"/>
        </w:tabs>
        <w:spacing w:before="0" w:after="0" w:afterAutospacing="0"/>
        <w:ind w:left="0" w:right="0" w:firstLine="420" w:firstLineChars="200"/>
        <w:rPr>
          <w:rFonts w:ascii="宋体" w:hAnsi="宋体"/>
          <w:highlight w:val="none"/>
        </w:rPr>
      </w:pPr>
      <w:r>
        <w:rPr>
          <w:rFonts w:ascii="宋体" w:hAnsi="宋体"/>
          <w:highlight w:val="none"/>
        </w:rPr>
        <w:t>比选申请人应认真阅读比选文件的所有内容，按比选文件的要求提供比选申请文件，并保证提供的全部资料的真实性，以使其比选申请对比选文件作出实质性响应，否则，其比选申请将被否决。</w:t>
      </w:r>
    </w:p>
    <w:p>
      <w:pPr>
        <w:numPr>
          <w:ilvl w:val="0"/>
          <w:numId w:val="3"/>
        </w:numPr>
        <w:shd w:val="clear"/>
        <w:spacing w:before="0" w:after="0" w:afterAutospacing="0"/>
        <w:ind w:left="0" w:right="0" w:firstLine="420" w:firstLineChars="200"/>
        <w:rPr>
          <w:rFonts w:ascii="宋体" w:hAnsi="宋体"/>
          <w:highlight w:val="none"/>
        </w:rPr>
      </w:pPr>
      <w:bookmarkStart w:id="280" w:name="_Toc16237"/>
      <w:bookmarkStart w:id="281" w:name="_Toc12983515"/>
      <w:bookmarkStart w:id="282" w:name="_Toc15570"/>
      <w:bookmarkStart w:id="283" w:name="_Toc492478728"/>
      <w:bookmarkStart w:id="284" w:name="_Toc385427803"/>
      <w:bookmarkStart w:id="285" w:name="_Toc3492"/>
      <w:bookmarkStart w:id="286" w:name="_Toc28065"/>
      <w:bookmarkStart w:id="287" w:name="_Toc24857"/>
      <w:bookmarkStart w:id="288" w:name="_Toc12207"/>
      <w:bookmarkStart w:id="289" w:name="_Toc383891178"/>
      <w:bookmarkStart w:id="290" w:name="_Toc19885"/>
      <w:bookmarkStart w:id="291" w:name="_Toc375039074"/>
      <w:bookmarkStart w:id="292" w:name="_Toc11040"/>
      <w:bookmarkStart w:id="293" w:name="_Toc22026"/>
      <w:bookmarkStart w:id="294" w:name="_Toc25750601"/>
      <w:bookmarkStart w:id="295" w:name="_Toc11161"/>
      <w:bookmarkStart w:id="296" w:name="_Toc26753"/>
      <w:bookmarkStart w:id="297" w:name="_Toc6261"/>
      <w:bookmarkStart w:id="298" w:name="_Toc9887"/>
      <w:bookmarkStart w:id="299" w:name="_Toc28296"/>
      <w:bookmarkStart w:id="300" w:name="_Toc25770"/>
      <w:bookmarkStart w:id="301" w:name="_Toc1047"/>
      <w:bookmarkStart w:id="302" w:name="_Toc390098429"/>
      <w:bookmarkStart w:id="303" w:name="_Toc24935"/>
      <w:r>
        <w:rPr>
          <w:rFonts w:ascii="宋体" w:hAnsi="宋体"/>
          <w:highlight w:val="none"/>
        </w:rPr>
        <w:t>比选申请语言及计量单位</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pPr>
        <w:shd w:val="clear"/>
        <w:spacing w:before="0" w:after="0" w:afterAutospacing="0"/>
        <w:ind w:left="0" w:right="0" w:firstLine="420" w:firstLineChars="200"/>
        <w:rPr>
          <w:rFonts w:ascii="宋体" w:hAnsi="宋体"/>
          <w:highlight w:val="none"/>
        </w:rPr>
      </w:pPr>
      <w:r>
        <w:rPr>
          <w:rFonts w:hint="eastAsia" w:ascii="宋体" w:hAnsi="宋体"/>
          <w:highlight w:val="none"/>
        </w:rPr>
        <w:t xml:space="preserve">9.1 </w:t>
      </w:r>
      <w:r>
        <w:rPr>
          <w:rFonts w:ascii="宋体" w:hAnsi="宋体"/>
          <w:highlight w:val="none"/>
        </w:rPr>
        <w:t>比选申请人提交的比选申请文件以及比选申请人与比选人就比选申请交换的文件和来往信件应以简体中文书写，同时允许比选申请文件附有英文版作为参考。如中文版本与英文版本有不同的解释时，以中文版本的解释为准。比选申请人提交的支持文件和印制的文献可以使用英文，但相应内容应附有中文翻译。</w:t>
      </w:r>
    </w:p>
    <w:p>
      <w:pPr>
        <w:shd w:val="clear"/>
        <w:spacing w:before="0" w:after="0" w:afterAutospacing="0"/>
        <w:ind w:left="0" w:right="0" w:firstLine="420" w:firstLineChars="200"/>
        <w:rPr>
          <w:rFonts w:ascii="宋体" w:hAnsi="宋体"/>
          <w:highlight w:val="none"/>
        </w:rPr>
      </w:pPr>
      <w:r>
        <w:rPr>
          <w:rFonts w:hint="eastAsia" w:ascii="宋体" w:hAnsi="宋体"/>
          <w:highlight w:val="none"/>
        </w:rPr>
        <w:t xml:space="preserve">9.2 </w:t>
      </w:r>
      <w:r>
        <w:rPr>
          <w:rFonts w:ascii="宋体" w:hAnsi="宋体"/>
          <w:highlight w:val="none"/>
        </w:rPr>
        <w:t>除在比选文件另有规定外，计量单位应使用中华人民共和国法定计量单位。</w:t>
      </w:r>
    </w:p>
    <w:p>
      <w:pPr>
        <w:numPr>
          <w:ilvl w:val="0"/>
          <w:numId w:val="3"/>
        </w:numPr>
        <w:shd w:val="clear"/>
        <w:spacing w:before="0" w:after="0" w:afterAutospacing="0"/>
        <w:ind w:left="0" w:right="0" w:firstLine="420" w:firstLineChars="200"/>
        <w:rPr>
          <w:rFonts w:ascii="宋体" w:hAnsi="宋体"/>
          <w:highlight w:val="none"/>
        </w:rPr>
      </w:pPr>
      <w:bookmarkStart w:id="304" w:name="_Toc14323"/>
      <w:bookmarkStart w:id="305" w:name="_Toc12983516"/>
      <w:bookmarkStart w:id="306" w:name="_Toc3411"/>
      <w:bookmarkStart w:id="307" w:name="_Toc29881"/>
      <w:bookmarkStart w:id="308" w:name="_Toc3464"/>
      <w:bookmarkStart w:id="309" w:name="_Toc23364"/>
      <w:bookmarkStart w:id="310" w:name="_Toc3877"/>
      <w:bookmarkStart w:id="311" w:name="_Toc19681"/>
      <w:bookmarkStart w:id="312" w:name="_Toc25750602"/>
      <w:bookmarkStart w:id="313" w:name="_Toc492478729"/>
      <w:bookmarkStart w:id="314" w:name="_Toc15809"/>
      <w:bookmarkStart w:id="315" w:name="_Toc24760"/>
      <w:bookmarkStart w:id="316" w:name="_Toc28164"/>
      <w:bookmarkStart w:id="317" w:name="_Toc30991"/>
      <w:bookmarkStart w:id="318" w:name="_Toc375039075"/>
      <w:bookmarkStart w:id="319" w:name="_Toc16307"/>
      <w:bookmarkStart w:id="320" w:name="_Toc23229"/>
      <w:bookmarkStart w:id="321" w:name="_Toc383891179"/>
      <w:bookmarkStart w:id="322" w:name="_Toc22476"/>
      <w:bookmarkStart w:id="323" w:name="_Toc18149"/>
      <w:bookmarkStart w:id="324" w:name="_Toc390098430"/>
      <w:bookmarkStart w:id="325" w:name="_Toc385427804"/>
      <w:bookmarkStart w:id="326" w:name="_Toc53"/>
      <w:bookmarkStart w:id="327" w:name="_Toc30356"/>
      <w:r>
        <w:rPr>
          <w:rFonts w:ascii="宋体" w:hAnsi="宋体"/>
          <w:highlight w:val="none"/>
        </w:rPr>
        <w:t>比选申请文件组成</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pPr>
        <w:shd w:val="clear"/>
        <w:tabs>
          <w:tab w:val="left" w:pos="1134"/>
          <w:tab w:val="left" w:pos="1701"/>
          <w:tab w:val="left" w:pos="1843"/>
        </w:tabs>
        <w:spacing w:before="0" w:after="0" w:afterAutospacing="0"/>
        <w:ind w:left="0" w:right="0" w:firstLine="420" w:firstLineChars="200"/>
        <w:rPr>
          <w:rFonts w:ascii="宋体" w:hAnsi="宋体"/>
          <w:highlight w:val="none"/>
        </w:rPr>
      </w:pPr>
      <w:r>
        <w:rPr>
          <w:rFonts w:hint="eastAsia" w:ascii="宋体" w:hAnsi="宋体"/>
          <w:highlight w:val="none"/>
        </w:rPr>
        <w:t xml:space="preserve">10.1 </w:t>
      </w:r>
      <w:r>
        <w:rPr>
          <w:rFonts w:ascii="宋体" w:hAnsi="宋体"/>
          <w:highlight w:val="none"/>
        </w:rPr>
        <w:t>比选申请文件应提供足够、准确和真实的信息，以供评审委员会判断比选申请人是否具备承担本项目的能力。比选申请人递交的比选申请文件</w:t>
      </w:r>
      <w:r>
        <w:rPr>
          <w:rFonts w:hint="eastAsia" w:ascii="宋体" w:hAnsi="宋体"/>
          <w:highlight w:val="none"/>
        </w:rPr>
        <w:t>组成详见比选申请须知前附表</w:t>
      </w:r>
      <w:r>
        <w:rPr>
          <w:rFonts w:ascii="宋体" w:hAnsi="宋体"/>
          <w:highlight w:val="none"/>
        </w:rPr>
        <w:t>。</w:t>
      </w:r>
    </w:p>
    <w:p>
      <w:pPr>
        <w:shd w:val="clear"/>
        <w:tabs>
          <w:tab w:val="left" w:pos="1134"/>
          <w:tab w:val="left" w:pos="1701"/>
          <w:tab w:val="left" w:pos="1843"/>
        </w:tabs>
        <w:spacing w:before="0" w:after="0" w:afterAutospacing="0"/>
        <w:ind w:left="0" w:right="0" w:firstLine="422" w:firstLineChars="200"/>
        <w:rPr>
          <w:rFonts w:ascii="宋体" w:hAnsi="宋体"/>
          <w:highlight w:val="none"/>
        </w:rPr>
      </w:pPr>
      <w:r>
        <w:rPr>
          <w:rFonts w:hint="eastAsia" w:ascii="宋体" w:hAnsi="宋体"/>
          <w:b/>
          <w:highlight w:val="none"/>
        </w:rPr>
        <w:t>10.2资格审查文件和技术文件不得透露有关报价的任何信息，否则其比选申请将被否决。</w:t>
      </w:r>
    </w:p>
    <w:p>
      <w:pPr>
        <w:shd w:val="clear"/>
        <w:spacing w:before="0" w:after="0" w:afterAutospacing="0"/>
        <w:ind w:left="0" w:right="0" w:firstLine="420" w:firstLineChars="200"/>
        <w:rPr>
          <w:rFonts w:ascii="宋体" w:hAnsi="宋体"/>
          <w:highlight w:val="none"/>
        </w:rPr>
      </w:pPr>
      <w:bookmarkStart w:id="328" w:name="_Toc20490"/>
      <w:bookmarkStart w:id="329" w:name="_Toc15919"/>
      <w:bookmarkStart w:id="330" w:name="_Toc14630"/>
      <w:bookmarkStart w:id="331" w:name="_Toc492478730"/>
      <w:bookmarkStart w:id="332" w:name="_Toc375039076"/>
      <w:bookmarkStart w:id="333" w:name="_Toc12983517"/>
      <w:bookmarkStart w:id="334" w:name="_Toc11211"/>
      <w:bookmarkStart w:id="335" w:name="_Toc2395"/>
      <w:bookmarkStart w:id="336" w:name="_Toc385427805"/>
      <w:bookmarkStart w:id="337" w:name="_Toc21144"/>
      <w:bookmarkStart w:id="338" w:name="_Toc23002"/>
      <w:bookmarkStart w:id="339" w:name="_Toc8151"/>
      <w:bookmarkStart w:id="340" w:name="_Toc27194"/>
      <w:bookmarkStart w:id="341" w:name="_Toc14308"/>
      <w:bookmarkStart w:id="342" w:name="_Toc383891180"/>
      <w:bookmarkStart w:id="343" w:name="_Toc25750603"/>
      <w:bookmarkStart w:id="344" w:name="_Toc7608"/>
      <w:bookmarkStart w:id="345" w:name="_Toc3670"/>
      <w:bookmarkStart w:id="346" w:name="_Toc16783"/>
      <w:bookmarkStart w:id="347" w:name="_Toc20248"/>
      <w:bookmarkStart w:id="348" w:name="_Toc27019"/>
      <w:bookmarkStart w:id="349" w:name="_Toc15448"/>
      <w:bookmarkStart w:id="350" w:name="_Toc675"/>
      <w:bookmarkStart w:id="351" w:name="_Toc390098431"/>
      <w:r>
        <w:rPr>
          <w:rFonts w:hint="eastAsia" w:ascii="宋体" w:hAnsi="宋体"/>
          <w:highlight w:val="none"/>
        </w:rPr>
        <w:t xml:space="preserve">11. </w:t>
      </w:r>
      <w:r>
        <w:rPr>
          <w:rFonts w:ascii="宋体" w:hAnsi="宋体"/>
          <w:highlight w:val="none"/>
        </w:rPr>
        <w:t>比选申请文件格式</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pPr>
        <w:shd w:val="clear"/>
        <w:tabs>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11.1 </w:t>
      </w:r>
      <w:r>
        <w:rPr>
          <w:rFonts w:ascii="宋体" w:hAnsi="宋体"/>
          <w:highlight w:val="none"/>
        </w:rPr>
        <w:t>比选申请人应按本比选申请须知第</w:t>
      </w:r>
      <w:r>
        <w:rPr>
          <w:rFonts w:hint="eastAsia" w:ascii="宋体" w:hAnsi="宋体"/>
          <w:highlight w:val="none"/>
        </w:rPr>
        <w:t>9</w:t>
      </w:r>
      <w:r>
        <w:rPr>
          <w:rFonts w:ascii="宋体" w:hAnsi="宋体"/>
          <w:highlight w:val="none"/>
        </w:rPr>
        <w:t>条的内容与要求和提供的格式编写其比选申请文件，比选申请人不得缺少或留空任何比选文件要求填写的表格或提交的资料。</w:t>
      </w:r>
    </w:p>
    <w:p>
      <w:pPr>
        <w:shd w:val="clear"/>
        <w:tabs>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11.2 </w:t>
      </w:r>
      <w:r>
        <w:rPr>
          <w:rFonts w:ascii="宋体" w:hAnsi="宋体"/>
          <w:highlight w:val="none"/>
        </w:rPr>
        <w:t>比选申请人应将比选申请文件按本比选申请须知第</w:t>
      </w:r>
      <w:r>
        <w:rPr>
          <w:rFonts w:hint="eastAsia" w:ascii="宋体" w:hAnsi="宋体"/>
          <w:highlight w:val="none"/>
        </w:rPr>
        <w:t>9</w:t>
      </w:r>
      <w:r>
        <w:rPr>
          <w:rFonts w:ascii="宋体" w:hAnsi="宋体"/>
          <w:highlight w:val="none"/>
        </w:rPr>
        <w:t>条规定的顺序编排、编制目录、逐页标注连续页码、并装订成册，各分册前须有分册目录。</w:t>
      </w:r>
    </w:p>
    <w:p>
      <w:pPr>
        <w:shd w:val="clear"/>
        <w:tabs>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11.3 </w:t>
      </w:r>
      <w:r>
        <w:rPr>
          <w:rFonts w:ascii="宋体" w:hAnsi="宋体"/>
          <w:highlight w:val="none"/>
        </w:rPr>
        <w:t>比选申请文件的规格：统一为A4印刷本，纸质封面，印刷本厚度</w:t>
      </w:r>
      <w:r>
        <w:rPr>
          <w:rFonts w:hint="eastAsia" w:ascii="宋体" w:hAnsi="宋体"/>
          <w:highlight w:val="none"/>
        </w:rPr>
        <w:t>宜</w:t>
      </w:r>
      <w:r>
        <w:rPr>
          <w:rFonts w:ascii="宋体" w:hAnsi="宋体"/>
          <w:highlight w:val="none"/>
        </w:rPr>
        <w:t>控制在</w:t>
      </w:r>
      <w:r>
        <w:rPr>
          <w:rFonts w:hint="eastAsia" w:ascii="宋体" w:hAnsi="宋体"/>
          <w:highlight w:val="none"/>
        </w:rPr>
        <w:t>5</w:t>
      </w:r>
      <w:r>
        <w:rPr>
          <w:rFonts w:ascii="宋体" w:hAnsi="宋体"/>
          <w:highlight w:val="none"/>
        </w:rPr>
        <w:t>公分以内，超过厚度</w:t>
      </w:r>
      <w:r>
        <w:rPr>
          <w:rFonts w:hint="eastAsia" w:ascii="宋体" w:hAnsi="宋体"/>
          <w:highlight w:val="none"/>
        </w:rPr>
        <w:t>可</w:t>
      </w:r>
      <w:r>
        <w:rPr>
          <w:rFonts w:ascii="宋体" w:hAnsi="宋体"/>
          <w:highlight w:val="none"/>
        </w:rPr>
        <w:t>分册装订。封面标明文件题名、编号、比选申请人名称、比选申请时间，</w:t>
      </w:r>
      <w:r>
        <w:rPr>
          <w:rFonts w:hint="eastAsia" w:ascii="宋体" w:hAnsi="宋体"/>
          <w:highlight w:val="none"/>
        </w:rPr>
        <w:t>封面上标明</w:t>
      </w:r>
      <w:r>
        <w:rPr>
          <w:rFonts w:ascii="宋体" w:hAnsi="宋体"/>
          <w:highlight w:val="none"/>
        </w:rPr>
        <w:t>正本（或副本）。</w:t>
      </w:r>
      <w:r>
        <w:rPr>
          <w:rFonts w:hint="eastAsia" w:ascii="宋体" w:hAnsi="宋体"/>
          <w:highlight w:val="none"/>
        </w:rPr>
        <w:t>使用不锈钢书钉或拉线装订或无线胶装</w:t>
      </w:r>
      <w:r>
        <w:rPr>
          <w:rFonts w:ascii="宋体" w:hAnsi="宋体"/>
          <w:highlight w:val="none"/>
        </w:rPr>
        <w:t>，装订时书钉不外露；不能使用塑料面或塑料胶条装订。</w:t>
      </w:r>
    </w:p>
    <w:p>
      <w:pPr>
        <w:shd w:val="clear"/>
        <w:tabs>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11.4</w:t>
      </w:r>
      <w:r>
        <w:rPr>
          <w:rFonts w:ascii="宋体" w:hAnsi="宋体"/>
          <w:highlight w:val="none"/>
        </w:rPr>
        <w:t>比选申请文件的页码：必须按每本</w:t>
      </w:r>
      <w:r>
        <w:rPr>
          <w:rFonts w:hint="eastAsia" w:ascii="宋体" w:hAnsi="宋体"/>
          <w:highlight w:val="none"/>
        </w:rPr>
        <w:t>正文</w:t>
      </w:r>
      <w:r>
        <w:rPr>
          <w:rFonts w:ascii="宋体" w:hAnsi="宋体"/>
          <w:highlight w:val="none"/>
        </w:rPr>
        <w:t>逐页从1开始，按照流水号编号。</w:t>
      </w:r>
    </w:p>
    <w:p>
      <w:pPr>
        <w:shd w:val="clear"/>
        <w:tabs>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11.5</w:t>
      </w:r>
      <w:r>
        <w:rPr>
          <w:rFonts w:ascii="宋体" w:hAnsi="宋体"/>
          <w:highlight w:val="none"/>
        </w:rPr>
        <w:t>图纸的整理：图纸横向按手风琴折叠，竖向按顺时针方向折叠，折叠后图标露在右下角，每本图纸厚度不</w:t>
      </w:r>
      <w:r>
        <w:rPr>
          <w:rFonts w:hint="eastAsia" w:ascii="宋体" w:hAnsi="宋体"/>
          <w:highlight w:val="none"/>
        </w:rPr>
        <w:t>宜</w:t>
      </w:r>
      <w:r>
        <w:rPr>
          <w:rFonts w:ascii="宋体" w:hAnsi="宋体"/>
          <w:highlight w:val="none"/>
        </w:rPr>
        <w:t>超过4公分，超过</w:t>
      </w:r>
      <w:r>
        <w:rPr>
          <w:rFonts w:hint="eastAsia" w:ascii="宋体" w:hAnsi="宋体"/>
          <w:highlight w:val="none"/>
        </w:rPr>
        <w:t>可</w:t>
      </w:r>
      <w:r>
        <w:rPr>
          <w:rFonts w:ascii="宋体" w:hAnsi="宋体"/>
          <w:highlight w:val="none"/>
        </w:rPr>
        <w:t>分卷装订，每卷图纸从图纸封面起逐张从1开始</w:t>
      </w:r>
      <w:r>
        <w:rPr>
          <w:rFonts w:hint="eastAsia" w:ascii="宋体" w:hAnsi="宋体"/>
          <w:highlight w:val="none"/>
        </w:rPr>
        <w:t>，</w:t>
      </w:r>
      <w:r>
        <w:rPr>
          <w:rFonts w:ascii="宋体" w:hAnsi="宋体"/>
          <w:highlight w:val="none"/>
        </w:rPr>
        <w:t>按照流水号编号。</w:t>
      </w:r>
    </w:p>
    <w:p>
      <w:pPr>
        <w:shd w:val="clear"/>
        <w:spacing w:before="0" w:after="0" w:afterAutospacing="0"/>
        <w:ind w:left="0" w:right="0" w:firstLine="420" w:firstLineChars="200"/>
        <w:rPr>
          <w:rFonts w:ascii="宋体" w:hAnsi="宋体"/>
          <w:highlight w:val="none"/>
        </w:rPr>
      </w:pPr>
      <w:bookmarkStart w:id="352" w:name="_Toc20685"/>
      <w:bookmarkStart w:id="353" w:name="_Toc492478731"/>
      <w:bookmarkStart w:id="354" w:name="_Toc16653"/>
      <w:bookmarkStart w:id="355" w:name="_Toc31743"/>
      <w:bookmarkStart w:id="356" w:name="_Toc6671"/>
      <w:bookmarkStart w:id="357" w:name="_Toc24264"/>
      <w:bookmarkStart w:id="358" w:name="_Toc383891181"/>
      <w:bookmarkStart w:id="359" w:name="_Toc22295"/>
      <w:bookmarkStart w:id="360" w:name="_Toc26482"/>
      <w:bookmarkStart w:id="361" w:name="_Toc12983518"/>
      <w:bookmarkStart w:id="362" w:name="_Toc17379"/>
      <w:bookmarkStart w:id="363" w:name="_Toc3799"/>
      <w:bookmarkStart w:id="364" w:name="_Toc14123"/>
      <w:bookmarkStart w:id="365" w:name="_Toc17338"/>
      <w:bookmarkStart w:id="366" w:name="_Toc26974"/>
      <w:bookmarkStart w:id="367" w:name="_Toc3813"/>
      <w:bookmarkStart w:id="368" w:name="_Toc7857"/>
      <w:bookmarkStart w:id="369" w:name="_Toc21084"/>
      <w:bookmarkStart w:id="370" w:name="_Toc390098432"/>
      <w:bookmarkStart w:id="371" w:name="_Toc25750604"/>
      <w:bookmarkStart w:id="372" w:name="_Toc375039077"/>
      <w:bookmarkStart w:id="373" w:name="_Toc9416"/>
      <w:bookmarkStart w:id="374" w:name="_Toc17526"/>
      <w:bookmarkStart w:id="375" w:name="_Toc385427806"/>
      <w:r>
        <w:rPr>
          <w:rFonts w:hint="eastAsia" w:ascii="宋体" w:hAnsi="宋体"/>
          <w:highlight w:val="none"/>
        </w:rPr>
        <w:t xml:space="preserve">12. </w:t>
      </w:r>
      <w:r>
        <w:rPr>
          <w:rFonts w:ascii="宋体" w:hAnsi="宋体"/>
          <w:highlight w:val="none"/>
        </w:rPr>
        <w:t>比选申请报价</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pPr>
        <w:shd w:val="clear"/>
        <w:tabs>
          <w:tab w:val="left" w:pos="8364"/>
        </w:tabs>
        <w:spacing w:before="0" w:after="0" w:afterAutospacing="0"/>
        <w:ind w:left="0" w:right="0" w:firstLine="420" w:firstLineChars="200"/>
        <w:rPr>
          <w:rFonts w:ascii="宋体" w:hAnsi="宋体"/>
          <w:highlight w:val="none"/>
        </w:rPr>
      </w:pPr>
      <w:r>
        <w:rPr>
          <w:rFonts w:ascii="宋体" w:hAnsi="宋体"/>
          <w:highlight w:val="none"/>
        </w:rPr>
        <w:t xml:space="preserve">12.1 </w:t>
      </w:r>
      <w:r>
        <w:rPr>
          <w:rFonts w:hint="eastAsia" w:ascii="宋体" w:hAnsi="宋体"/>
          <w:highlight w:val="none"/>
        </w:rPr>
        <w:t>本项目采用不含税报价。</w:t>
      </w:r>
      <w:r>
        <w:rPr>
          <w:rFonts w:hint="eastAsia" w:ascii="宋体" w:hAnsi="宋体"/>
          <w:b/>
          <w:highlight w:val="none"/>
        </w:rPr>
        <w:t>在签订本项目合同时，遵循国家现行税法的相关规定在中标人不含税单价和合价的基础上逐项增加税费，并明确相应税率和税金。本合同最终税金在结算阶段，按实际产生的税金进行核算，但合同不含税价格不因国家税率调整而调整</w:t>
      </w:r>
      <w:r>
        <w:rPr>
          <w:rFonts w:hint="eastAsia" w:ascii="宋体" w:hAnsi="宋体"/>
          <w:highlight w:val="none"/>
        </w:rPr>
        <w:t>。比选申请人须按第五章《用户需求书》中的技术需求及数量表的顺序填报比选申请报价表，不允许打乱顺序。比选申请人应完整地填写比选文件中提供的“比选申请报价一览表”及“比选申请报价表”。按“比选申请报价表”的要求分别报价。比选申请人在“比选申请报价表”及“比选申请报价一览表”内所填报的总价应相一致。如大写金额与小写金额不一致，以大写金额为准。</w:t>
      </w:r>
    </w:p>
    <w:p>
      <w:pPr>
        <w:shd w:val="clear"/>
        <w:tabs>
          <w:tab w:val="left" w:pos="8364"/>
        </w:tabs>
        <w:spacing w:before="0" w:after="0" w:afterAutospacing="0"/>
        <w:ind w:left="0" w:right="0" w:firstLine="420" w:firstLineChars="200"/>
        <w:rPr>
          <w:rFonts w:ascii="宋体" w:hAnsi="宋体"/>
          <w:highlight w:val="none"/>
        </w:rPr>
      </w:pPr>
      <w:r>
        <w:rPr>
          <w:rFonts w:ascii="宋体" w:hAnsi="宋体"/>
          <w:highlight w:val="none"/>
        </w:rPr>
        <w:t xml:space="preserve">12.2 </w:t>
      </w:r>
      <w:r>
        <w:rPr>
          <w:rFonts w:hint="eastAsia" w:ascii="宋体" w:hAnsi="宋体"/>
          <w:highlight w:val="none"/>
        </w:rPr>
        <w:t>比选申请报价应包括完成所有项目内容及质量保证期服务等履行合同标的全过程产生的所有成本、利润及其他费用等全部费用以及比选申请人应承担的费用。</w:t>
      </w:r>
    </w:p>
    <w:p>
      <w:pPr>
        <w:shd w:val="clear"/>
        <w:tabs>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12.3 比选申请人应根据比选文件第五章“用户需求书”的要求及项目的实际需要自行考虑并完善完成项目、服务和施工安装（如有）内容。比选申请报价应将所有内容考虑在内，不得漏项或缺项。比选申请人应逐项计算并填写单价、合价和总价，比选申请人没有填写单价和合价的项目将视为缺项。</w:t>
      </w:r>
    </w:p>
    <w:p>
      <w:pPr>
        <w:shd w:val="clear"/>
        <w:tabs>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12.4同一规格、型号、标准、内容的项目在各分项报价中应为同一单价。比选申请人对同类项目只允许有一个报价，如有不同报价，则以最低报价为准。</w:t>
      </w:r>
    </w:p>
    <w:p>
      <w:pPr>
        <w:shd w:val="clear"/>
        <w:tabs>
          <w:tab w:val="left" w:pos="8364"/>
        </w:tabs>
        <w:spacing w:before="0" w:after="0" w:afterAutospacing="0"/>
        <w:ind w:left="0" w:right="0" w:firstLine="420" w:firstLineChars="200"/>
        <w:rPr>
          <w:rFonts w:ascii="宋体" w:hAnsi="宋体"/>
          <w:highlight w:val="none"/>
        </w:rPr>
      </w:pPr>
      <w:r>
        <w:rPr>
          <w:rFonts w:ascii="宋体" w:hAnsi="宋体"/>
          <w:highlight w:val="none"/>
        </w:rPr>
        <w:t>12.</w:t>
      </w:r>
      <w:r>
        <w:rPr>
          <w:rFonts w:hint="eastAsia" w:ascii="宋体" w:hAnsi="宋体"/>
          <w:highlight w:val="none"/>
        </w:rPr>
        <w:t>5</w:t>
      </w:r>
      <w:r>
        <w:rPr>
          <w:rFonts w:ascii="宋体" w:hAnsi="宋体"/>
          <w:highlight w:val="none"/>
        </w:rPr>
        <w:t xml:space="preserve"> </w:t>
      </w:r>
      <w:r>
        <w:rPr>
          <w:rFonts w:hint="eastAsia" w:ascii="宋体" w:hAnsi="宋体"/>
          <w:highlight w:val="none"/>
        </w:rPr>
        <w:t>项目不接受</w:t>
      </w:r>
      <w:r>
        <w:rPr>
          <w:rFonts w:ascii="宋体" w:hAnsi="宋体"/>
          <w:highlight w:val="none"/>
        </w:rPr>
        <w:t>比选申请人免费</w:t>
      </w:r>
      <w:r>
        <w:rPr>
          <w:rFonts w:hint="eastAsia" w:ascii="宋体" w:hAnsi="宋体"/>
          <w:highlight w:val="none"/>
        </w:rPr>
        <w:t>、赠送、打折</w:t>
      </w:r>
      <w:r>
        <w:rPr>
          <w:rFonts w:ascii="宋体" w:hAnsi="宋体"/>
          <w:highlight w:val="none"/>
        </w:rPr>
        <w:t>提供</w:t>
      </w:r>
      <w:r>
        <w:rPr>
          <w:rFonts w:hint="eastAsia" w:ascii="宋体" w:hAnsi="宋体"/>
          <w:highlight w:val="none"/>
        </w:rPr>
        <w:t>任何形式的</w:t>
      </w:r>
      <w:r>
        <w:rPr>
          <w:rFonts w:ascii="宋体" w:hAnsi="宋体"/>
          <w:highlight w:val="none"/>
        </w:rPr>
        <w:t>产品、部件</w:t>
      </w:r>
      <w:r>
        <w:rPr>
          <w:rFonts w:hint="eastAsia" w:ascii="宋体" w:hAnsi="宋体"/>
          <w:highlight w:val="none"/>
        </w:rPr>
        <w:t>和服务。</w:t>
      </w:r>
    </w:p>
    <w:p>
      <w:pPr>
        <w:shd w:val="clear"/>
        <w:spacing w:before="0" w:after="0" w:afterAutospacing="0"/>
        <w:ind w:left="0" w:right="0" w:firstLine="420" w:firstLineChars="200"/>
        <w:rPr>
          <w:rFonts w:ascii="宋体" w:hAnsi="宋体" w:cs="宋体"/>
          <w:highlight w:val="none"/>
        </w:rPr>
      </w:pPr>
      <w:r>
        <w:rPr>
          <w:rFonts w:ascii="宋体" w:hAnsi="宋体"/>
          <w:highlight w:val="none"/>
        </w:rPr>
        <w:t>12.</w:t>
      </w:r>
      <w:r>
        <w:rPr>
          <w:rFonts w:hint="eastAsia" w:ascii="宋体" w:hAnsi="宋体"/>
          <w:highlight w:val="none"/>
        </w:rPr>
        <w:t>6</w:t>
      </w:r>
      <w:r>
        <w:rPr>
          <w:rFonts w:ascii="宋体" w:hAnsi="宋体"/>
          <w:highlight w:val="none"/>
        </w:rPr>
        <w:t xml:space="preserve"> </w:t>
      </w:r>
      <w:r>
        <w:rPr>
          <w:rFonts w:ascii="宋体" w:hAnsi="宋体" w:cs="宋体"/>
          <w:highlight w:val="none"/>
        </w:rPr>
        <w:t xml:space="preserve">比选申请人在编制比选申请报价时应考虑包括但不限于合同实施期间政策、法规变化以及汇率浮动、物价指数浮动等对价格的影响，以可调整的价格或以选择性报价递交的比选申请文件将作为非实质性响应比选申请而被否决。 </w:t>
      </w:r>
    </w:p>
    <w:p>
      <w:pPr>
        <w:shd w:val="clear"/>
        <w:tabs>
          <w:tab w:val="left" w:pos="8364"/>
        </w:tabs>
        <w:spacing w:before="0" w:after="0" w:afterAutospacing="0"/>
        <w:ind w:left="0" w:right="0" w:firstLine="420" w:firstLineChars="200"/>
        <w:rPr>
          <w:rFonts w:ascii="宋体" w:hAnsi="宋体"/>
          <w:b/>
          <w:highlight w:val="none"/>
        </w:rPr>
      </w:pPr>
      <w:r>
        <w:rPr>
          <w:rFonts w:ascii="宋体" w:hAnsi="宋体"/>
          <w:highlight w:val="none"/>
        </w:rPr>
        <w:t>12.</w:t>
      </w:r>
      <w:r>
        <w:rPr>
          <w:rFonts w:hint="eastAsia" w:ascii="宋体" w:hAnsi="宋体"/>
          <w:highlight w:val="none"/>
        </w:rPr>
        <w:t>7</w:t>
      </w:r>
      <w:r>
        <w:rPr>
          <w:rFonts w:ascii="宋体" w:hAnsi="宋体"/>
          <w:highlight w:val="none"/>
        </w:rPr>
        <w:t xml:space="preserve"> </w:t>
      </w:r>
      <w:r>
        <w:rPr>
          <w:rFonts w:hint="eastAsia" w:ascii="宋体" w:hAnsi="宋体"/>
          <w:b/>
          <w:highlight w:val="none"/>
        </w:rPr>
        <w:t>比选申请人不得以低于成本的报价竞标，也不得以他人名义比选申请或者以其他方式弄虚作假，骗取中选。</w:t>
      </w:r>
    </w:p>
    <w:p>
      <w:pPr>
        <w:shd w:val="clear"/>
        <w:tabs>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12.9 比选人不接受比选申请人对任何未办理正常进口手续的非中华人民共和国境内生产的货物的比选申请报价。</w:t>
      </w:r>
    </w:p>
    <w:p>
      <w:pPr>
        <w:shd w:val="clear"/>
        <w:tabs>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12.10 比选申请人不得在价格文件之外的比选申请文件中出现任何有关本项目的报价信息。</w:t>
      </w:r>
    </w:p>
    <w:p>
      <w:pPr>
        <w:numPr>
          <w:ilvl w:val="0"/>
          <w:numId w:val="4"/>
        </w:numPr>
        <w:shd w:val="clear"/>
        <w:spacing w:before="0" w:after="0" w:afterAutospacing="0"/>
        <w:ind w:left="0" w:right="0" w:firstLine="420" w:firstLineChars="200"/>
        <w:rPr>
          <w:rFonts w:ascii="宋体" w:hAnsi="宋体"/>
          <w:highlight w:val="none"/>
        </w:rPr>
      </w:pPr>
      <w:bookmarkStart w:id="376" w:name="_Toc383891182"/>
      <w:bookmarkStart w:id="377" w:name="_Toc12762"/>
      <w:bookmarkStart w:id="378" w:name="_Toc18875"/>
      <w:bookmarkStart w:id="379" w:name="_Toc15940"/>
      <w:bookmarkStart w:id="380" w:name="_Toc21448"/>
      <w:bookmarkStart w:id="381" w:name="_Toc1664"/>
      <w:bookmarkStart w:id="382" w:name="_Toc12947"/>
      <w:bookmarkStart w:id="383" w:name="_Toc26064"/>
      <w:bookmarkStart w:id="384" w:name="_Toc28476"/>
      <w:bookmarkStart w:id="385" w:name="_Toc28880"/>
      <w:bookmarkStart w:id="386" w:name="_Toc21430"/>
      <w:bookmarkStart w:id="387" w:name="_Toc385427807"/>
      <w:bookmarkStart w:id="388" w:name="_Toc375039078"/>
      <w:bookmarkStart w:id="389" w:name="_Toc492478732"/>
      <w:bookmarkStart w:id="390" w:name="_Toc7428"/>
      <w:bookmarkStart w:id="391" w:name="_Toc25459"/>
      <w:bookmarkStart w:id="392" w:name="_Toc10220"/>
      <w:bookmarkStart w:id="393" w:name="_Toc12983519"/>
      <w:bookmarkStart w:id="394" w:name="_Toc25750605"/>
      <w:bookmarkStart w:id="395" w:name="_Toc21706"/>
      <w:bookmarkStart w:id="396" w:name="_Toc2710"/>
      <w:bookmarkStart w:id="397" w:name="_Toc20156"/>
      <w:bookmarkStart w:id="398" w:name="_Toc5836"/>
      <w:bookmarkStart w:id="399" w:name="_Toc390098433"/>
      <w:r>
        <w:rPr>
          <w:rFonts w:ascii="宋体" w:hAnsi="宋体"/>
          <w:highlight w:val="none"/>
        </w:rPr>
        <w:t>比选申请货币</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pPr>
        <w:shd w:val="clear"/>
        <w:spacing w:before="0" w:after="0" w:afterAutospacing="0"/>
        <w:ind w:left="0" w:right="0" w:firstLine="420" w:firstLineChars="200"/>
        <w:rPr>
          <w:rFonts w:ascii="宋体" w:hAnsi="宋体"/>
          <w:highlight w:val="none"/>
        </w:rPr>
      </w:pPr>
      <w:r>
        <w:rPr>
          <w:rFonts w:hint="eastAsia" w:ascii="宋体" w:hAnsi="宋体"/>
          <w:highlight w:val="none"/>
        </w:rPr>
        <w:t>13.1</w:t>
      </w:r>
      <w:r>
        <w:rPr>
          <w:rFonts w:ascii="宋体" w:hAnsi="宋体"/>
          <w:highlight w:val="none"/>
        </w:rPr>
        <w:t>比选申请人提供的货物和服务用人民币报价。在比选申请文件中的报价一律用人民币币种填报，比选人不接受任何非人民币币种的比选申请报价。</w:t>
      </w:r>
    </w:p>
    <w:p>
      <w:pPr>
        <w:shd w:val="clear"/>
        <w:spacing w:before="0" w:after="0" w:afterAutospacing="0"/>
        <w:ind w:left="0" w:right="0" w:firstLine="420" w:firstLineChars="200"/>
        <w:rPr>
          <w:rFonts w:ascii="宋体" w:hAnsi="宋体"/>
          <w:highlight w:val="none"/>
        </w:rPr>
      </w:pPr>
      <w:r>
        <w:rPr>
          <w:rFonts w:hint="eastAsia" w:ascii="宋体" w:hAnsi="宋体"/>
          <w:highlight w:val="none"/>
        </w:rPr>
        <w:t>13.2</w:t>
      </w:r>
      <w:r>
        <w:rPr>
          <w:rFonts w:ascii="宋体" w:hAnsi="宋体"/>
          <w:highlight w:val="none"/>
        </w:rPr>
        <w:t>比选人将以人民币与中选的比选申请人签订合同。</w:t>
      </w:r>
    </w:p>
    <w:p>
      <w:pPr>
        <w:numPr>
          <w:ilvl w:val="0"/>
          <w:numId w:val="4"/>
        </w:numPr>
        <w:shd w:val="clear"/>
        <w:spacing w:before="0" w:after="0" w:afterAutospacing="0"/>
        <w:ind w:left="0" w:right="0" w:firstLine="420" w:firstLineChars="200"/>
        <w:rPr>
          <w:rFonts w:ascii="宋体" w:hAnsi="宋体"/>
          <w:highlight w:val="none"/>
        </w:rPr>
      </w:pPr>
      <w:bookmarkStart w:id="400" w:name="_Toc9237"/>
      <w:bookmarkStart w:id="401" w:name="_Toc11690"/>
      <w:bookmarkStart w:id="402" w:name="_Toc383891185"/>
      <w:bookmarkStart w:id="403" w:name="_Toc14922"/>
      <w:bookmarkStart w:id="404" w:name="_Toc30606"/>
      <w:bookmarkStart w:id="405" w:name="_Toc375039081"/>
      <w:bookmarkStart w:id="406" w:name="_Toc14309"/>
      <w:bookmarkStart w:id="407" w:name="_Toc30848"/>
      <w:bookmarkStart w:id="408" w:name="_Toc1530"/>
      <w:bookmarkStart w:id="409" w:name="_Toc390098436"/>
      <w:bookmarkStart w:id="410" w:name="_Toc12983520"/>
      <w:bookmarkStart w:id="411" w:name="_Toc492478735"/>
      <w:bookmarkStart w:id="412" w:name="_Toc1624"/>
      <w:bookmarkStart w:id="413" w:name="_Toc22051"/>
      <w:bookmarkStart w:id="414" w:name="_Toc16314"/>
      <w:bookmarkStart w:id="415" w:name="_Toc5974"/>
      <w:bookmarkStart w:id="416" w:name="_Toc12049"/>
      <w:bookmarkStart w:id="417" w:name="_Toc28665"/>
      <w:bookmarkStart w:id="418" w:name="_Toc25750606"/>
      <w:bookmarkStart w:id="419" w:name="_Toc24199"/>
      <w:bookmarkStart w:id="420" w:name="_Toc7417"/>
      <w:bookmarkStart w:id="421" w:name="_Toc385427810"/>
      <w:bookmarkStart w:id="422" w:name="_Toc30040"/>
      <w:bookmarkStart w:id="423" w:name="_Toc27508"/>
      <w:r>
        <w:rPr>
          <w:rFonts w:ascii="宋体" w:hAnsi="宋体"/>
          <w:highlight w:val="none"/>
        </w:rPr>
        <w:t>比选保证金</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pPr>
        <w:pStyle w:val="2"/>
        <w:shd w:val="clear"/>
        <w:spacing w:before="0" w:after="0" w:afterAutospacing="0"/>
        <w:ind w:left="0" w:right="0" w:firstLine="420" w:firstLineChars="200"/>
        <w:rPr>
          <w:rFonts w:hAnsi="宋体" w:cs="Times New Roman"/>
          <w:sz w:val="21"/>
          <w:szCs w:val="21"/>
          <w:highlight w:val="none"/>
        </w:rPr>
      </w:pPr>
      <w:r>
        <w:rPr>
          <w:rFonts w:hint="eastAsia" w:hAnsi="宋体" w:cs="Times New Roman"/>
          <w:sz w:val="21"/>
          <w:szCs w:val="21"/>
          <w:highlight w:val="none"/>
        </w:rPr>
        <w:t>本项目</w:t>
      </w:r>
      <w:r>
        <w:rPr>
          <w:rFonts w:hint="eastAsia" w:hAnsi="宋体"/>
          <w:sz w:val="21"/>
          <w:szCs w:val="21"/>
          <w:highlight w:val="none"/>
        </w:rPr>
        <w:t>不要求递交比选保证金。</w:t>
      </w:r>
    </w:p>
    <w:p>
      <w:pPr>
        <w:shd w:val="clear"/>
        <w:spacing w:before="0" w:after="0" w:afterAutospacing="0"/>
        <w:ind w:left="0" w:right="0" w:firstLine="420" w:firstLineChars="200"/>
        <w:rPr>
          <w:rFonts w:ascii="宋体" w:hAnsi="宋体"/>
          <w:highlight w:val="none"/>
        </w:rPr>
      </w:pPr>
      <w:bookmarkStart w:id="424" w:name="_Toc390098437"/>
      <w:bookmarkStart w:id="425" w:name="_Toc28555"/>
      <w:bookmarkStart w:id="426" w:name="_Toc25750607"/>
      <w:bookmarkStart w:id="427" w:name="_Toc9117"/>
      <w:bookmarkStart w:id="428" w:name="_Toc12983521"/>
      <w:bookmarkStart w:id="429" w:name="_Toc7808"/>
      <w:bookmarkStart w:id="430" w:name="_Toc845"/>
      <w:bookmarkStart w:id="431" w:name="_Toc20070"/>
      <w:bookmarkStart w:id="432" w:name="_Toc1604"/>
      <w:bookmarkStart w:id="433" w:name="_Toc24656"/>
      <w:bookmarkStart w:id="434" w:name="_Toc492478736"/>
      <w:bookmarkStart w:id="435" w:name="_Toc28997"/>
      <w:bookmarkStart w:id="436" w:name="_Toc4433"/>
      <w:bookmarkStart w:id="437" w:name="_Toc5690"/>
      <w:bookmarkStart w:id="438" w:name="_Toc375039082"/>
      <w:bookmarkStart w:id="439" w:name="_Toc10918"/>
      <w:bookmarkStart w:id="440" w:name="_Toc383891186"/>
      <w:bookmarkStart w:id="441" w:name="_Toc20643"/>
      <w:bookmarkStart w:id="442" w:name="_Toc385427811"/>
      <w:bookmarkStart w:id="443" w:name="_Toc20493"/>
      <w:bookmarkStart w:id="444" w:name="_Toc691"/>
      <w:bookmarkStart w:id="445" w:name="_Toc30499"/>
      <w:bookmarkStart w:id="446" w:name="_Toc23114"/>
      <w:bookmarkStart w:id="447" w:name="_Toc2268"/>
      <w:r>
        <w:rPr>
          <w:rFonts w:hint="eastAsia" w:ascii="宋体" w:hAnsi="宋体"/>
          <w:highlight w:val="none"/>
        </w:rPr>
        <w:t xml:space="preserve">15. </w:t>
      </w:r>
      <w:r>
        <w:rPr>
          <w:rFonts w:ascii="宋体" w:hAnsi="宋体"/>
          <w:highlight w:val="none"/>
        </w:rPr>
        <w:t>比选申请有效期</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pPr>
        <w:shd w:val="clea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15.1 </w:t>
      </w:r>
      <w:r>
        <w:rPr>
          <w:rFonts w:ascii="宋体" w:hAnsi="宋体"/>
          <w:highlight w:val="none"/>
        </w:rPr>
        <w:t>根据本须知前附表规定，比选申请应在比选申请须知前附表中规定的时间内保持有效。比选申请有效期不满足要求的比选申请将被视为非实质性响应比选申请而予以否决。</w:t>
      </w:r>
    </w:p>
    <w:p>
      <w:pPr>
        <w:shd w:val="clea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15.2 </w:t>
      </w:r>
      <w:r>
        <w:rPr>
          <w:rFonts w:ascii="宋体" w:hAnsi="宋体"/>
          <w:highlight w:val="none"/>
        </w:rPr>
        <w:t>特殊情况下，</w:t>
      </w:r>
      <w:r>
        <w:rPr>
          <w:rFonts w:hint="eastAsia" w:ascii="宋体" w:hAnsi="宋体"/>
          <w:highlight w:val="none"/>
        </w:rPr>
        <w:t>比选人</w:t>
      </w:r>
      <w:r>
        <w:rPr>
          <w:rFonts w:ascii="宋体" w:hAnsi="宋体"/>
          <w:highlight w:val="none"/>
        </w:rPr>
        <w:t>可于比选申请有效期满之前要求比选申请人同意延长有效期，要求与答复均应为书面形式。比选申请人可以拒绝上述要求，但其比选申请将被否决。对于同意该要求的比选申请人，既不要求也不允许其修改比选申请文件</w:t>
      </w:r>
      <w:r>
        <w:rPr>
          <w:rFonts w:hint="eastAsia" w:ascii="宋体" w:hAnsi="宋体"/>
          <w:highlight w:val="none"/>
        </w:rPr>
        <w:t>。</w:t>
      </w:r>
    </w:p>
    <w:p>
      <w:pPr>
        <w:shd w:val="clear"/>
        <w:tabs>
          <w:tab w:val="left" w:pos="1134"/>
          <w:tab w:val="left" w:pos="8364"/>
        </w:tabs>
        <w:spacing w:before="0" w:after="0" w:afterAutospacing="0"/>
        <w:ind w:left="0" w:right="0" w:firstLine="420" w:firstLineChars="200"/>
        <w:rPr>
          <w:rFonts w:ascii="宋体" w:hAnsi="宋体"/>
          <w:highlight w:val="none"/>
        </w:rPr>
      </w:pPr>
      <w:bookmarkStart w:id="448" w:name="_Toc25468"/>
      <w:bookmarkStart w:id="449" w:name="_Toc27730"/>
      <w:bookmarkStart w:id="450" w:name="_Toc25684"/>
      <w:bookmarkStart w:id="451" w:name="_Toc29108"/>
      <w:bookmarkStart w:id="452" w:name="_Toc8100"/>
      <w:bookmarkStart w:id="453" w:name="_Toc12983522"/>
      <w:bookmarkStart w:id="454" w:name="_Toc4216"/>
      <w:bookmarkStart w:id="455" w:name="_Toc24922"/>
      <w:bookmarkStart w:id="456" w:name="_Toc385427812"/>
      <w:bookmarkStart w:id="457" w:name="_Toc3414"/>
      <w:bookmarkStart w:id="458" w:name="_Toc301"/>
      <w:bookmarkStart w:id="459" w:name="_Toc14672"/>
      <w:bookmarkStart w:id="460" w:name="_Toc390098438"/>
      <w:bookmarkStart w:id="461" w:name="_Toc12435"/>
      <w:bookmarkStart w:id="462" w:name="_Toc375039083"/>
      <w:bookmarkStart w:id="463" w:name="_Toc6065"/>
      <w:bookmarkStart w:id="464" w:name="_Toc32525"/>
      <w:bookmarkStart w:id="465" w:name="_Toc492478737"/>
      <w:bookmarkStart w:id="466" w:name="_Toc19603"/>
      <w:bookmarkStart w:id="467" w:name="_Toc12506"/>
      <w:bookmarkStart w:id="468" w:name="_Toc19044"/>
      <w:bookmarkStart w:id="469" w:name="_Toc32020"/>
      <w:bookmarkStart w:id="470" w:name="_Toc383891187"/>
      <w:r>
        <w:rPr>
          <w:rFonts w:hint="eastAsia" w:ascii="宋体" w:hAnsi="宋体"/>
          <w:highlight w:val="none"/>
        </w:rPr>
        <w:t xml:space="preserve">16. </w:t>
      </w:r>
      <w:r>
        <w:rPr>
          <w:rFonts w:ascii="宋体" w:hAnsi="宋体"/>
          <w:highlight w:val="none"/>
        </w:rPr>
        <w:t>比选申请文件的制作和签署</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pPr>
        <w:shd w:val="clea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16.1 </w:t>
      </w:r>
      <w:r>
        <w:rPr>
          <w:rFonts w:ascii="宋体" w:hAnsi="宋体"/>
          <w:highlight w:val="none"/>
        </w:rPr>
        <w:t>比选申请人应按比选申请须知前附表所示套数准备比选申请文件。每套比选申请文件封面上应清楚地注明比选项目名称、项目编号及比选申请人名称，同时加盖公章并由法定代表人或其授权代表签字或盖章，且须清楚地标明“正本”、“副本”或“电子文件”。若正本和副本不符，以正本为准，电子版与纸</w:t>
      </w:r>
      <w:r>
        <w:rPr>
          <w:rFonts w:hint="eastAsia" w:ascii="宋体" w:hAnsi="宋体"/>
          <w:highlight w:val="none"/>
        </w:rPr>
        <w:t>质</w:t>
      </w:r>
      <w:r>
        <w:rPr>
          <w:rFonts w:ascii="宋体" w:hAnsi="宋体"/>
          <w:highlight w:val="none"/>
        </w:rPr>
        <w:t>文件不符以纸</w:t>
      </w:r>
      <w:r>
        <w:rPr>
          <w:rFonts w:hint="eastAsia" w:ascii="宋体" w:hAnsi="宋体"/>
          <w:highlight w:val="none"/>
        </w:rPr>
        <w:t>质</w:t>
      </w:r>
      <w:r>
        <w:rPr>
          <w:rFonts w:ascii="宋体" w:hAnsi="宋体"/>
          <w:highlight w:val="none"/>
        </w:rPr>
        <w:t>文件为准。</w:t>
      </w:r>
      <w:r>
        <w:rPr>
          <w:rFonts w:hint="eastAsia" w:ascii="宋体" w:hAnsi="宋体"/>
          <w:b/>
          <w:highlight w:val="none"/>
        </w:rPr>
        <w:t>比选申请文件要按照资格审查文件、价格文件和技术文件三部分文件单独装订成册。并按照比选申请须知规定的式样、密封和标记、时间和地点递交。</w:t>
      </w:r>
    </w:p>
    <w:p>
      <w:pPr>
        <w:shd w:val="clear"/>
        <w:tabs>
          <w:tab w:val="left" w:pos="1134"/>
          <w:tab w:val="left" w:pos="8364"/>
        </w:tabs>
        <w:spacing w:before="0" w:after="0" w:afterAutospacing="0"/>
        <w:ind w:left="0" w:right="0" w:firstLine="422" w:firstLineChars="200"/>
        <w:rPr>
          <w:rFonts w:ascii="宋体" w:hAnsi="宋体"/>
          <w:b/>
          <w:highlight w:val="none"/>
        </w:rPr>
      </w:pPr>
      <w:r>
        <w:rPr>
          <w:rFonts w:hint="eastAsia" w:ascii="宋体" w:hAnsi="宋体"/>
          <w:b/>
          <w:highlight w:val="none"/>
        </w:rPr>
        <w:t xml:space="preserve">16.2 </w:t>
      </w:r>
      <w:r>
        <w:rPr>
          <w:rFonts w:ascii="宋体" w:hAnsi="宋体"/>
          <w:b/>
          <w:highlight w:val="none"/>
        </w:rPr>
        <w:t>比选申请文件的正本需打印，并由比选申请人法定代表人或其授权委托人</w:t>
      </w:r>
      <w:r>
        <w:rPr>
          <w:rFonts w:hint="eastAsia" w:ascii="宋体" w:hAnsi="宋体"/>
          <w:b/>
          <w:highlight w:val="none"/>
        </w:rPr>
        <w:t>在比选文件规定的相关位置</w:t>
      </w:r>
      <w:r>
        <w:rPr>
          <w:rFonts w:ascii="宋体" w:hAnsi="宋体"/>
          <w:b/>
          <w:highlight w:val="none"/>
        </w:rPr>
        <w:t>签字并加盖公章。授权委托人应将以书面形式出具的“法定代表人授权书”附在比选申请文件中。</w:t>
      </w:r>
      <w:r>
        <w:rPr>
          <w:rFonts w:hint="eastAsia" w:ascii="宋体" w:hAnsi="宋体"/>
          <w:b/>
          <w:highlight w:val="none"/>
        </w:rPr>
        <w:t>比选申请文件正本需</w:t>
      </w:r>
      <w:r>
        <w:rPr>
          <w:rFonts w:ascii="宋体" w:hAnsi="宋体"/>
          <w:b/>
          <w:highlight w:val="none"/>
        </w:rPr>
        <w:t>骑缝加盖比选申请人单位公章</w:t>
      </w:r>
      <w:r>
        <w:rPr>
          <w:rFonts w:hint="eastAsia" w:ascii="宋体" w:hAnsi="宋体"/>
          <w:b/>
          <w:highlight w:val="none"/>
        </w:rPr>
        <w:t>，</w:t>
      </w:r>
      <w:r>
        <w:rPr>
          <w:rFonts w:ascii="宋体" w:hAnsi="宋体"/>
          <w:b/>
          <w:highlight w:val="none"/>
        </w:rPr>
        <w:t>比选申请文件的副本可采用正本的复印件</w:t>
      </w:r>
      <w:r>
        <w:rPr>
          <w:rFonts w:hint="eastAsia" w:ascii="宋体" w:hAnsi="宋体"/>
          <w:b/>
          <w:highlight w:val="none"/>
        </w:rPr>
        <w:t>（需</w:t>
      </w:r>
      <w:r>
        <w:rPr>
          <w:rFonts w:ascii="宋体" w:hAnsi="宋体"/>
          <w:b/>
          <w:highlight w:val="none"/>
        </w:rPr>
        <w:t>骑缝加盖比选申请人单位公章</w:t>
      </w:r>
      <w:r>
        <w:rPr>
          <w:rFonts w:hint="eastAsia" w:ascii="宋体" w:hAnsi="宋体"/>
          <w:b/>
          <w:highlight w:val="none"/>
        </w:rPr>
        <w:t>）</w:t>
      </w:r>
      <w:r>
        <w:rPr>
          <w:rFonts w:ascii="宋体" w:hAnsi="宋体"/>
          <w:b/>
          <w:highlight w:val="none"/>
        </w:rPr>
        <w:t>。</w:t>
      </w:r>
    </w:p>
    <w:p>
      <w:pPr>
        <w:shd w:val="clea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16.3 </w:t>
      </w:r>
      <w:r>
        <w:rPr>
          <w:rFonts w:ascii="宋体" w:hAnsi="宋体"/>
          <w:highlight w:val="none"/>
        </w:rPr>
        <w:t>比选申请文件应无涂改和行间插字，除非是比选申请人造成的必须修改的错误，任何行间插字、涂改和增删，必须由比选申请人法定代表人或其授权代表在旁边签字或盖章确认才有效。</w:t>
      </w:r>
    </w:p>
    <w:p>
      <w:pPr>
        <w:shd w:val="clea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16.4 </w:t>
      </w:r>
      <w:r>
        <w:rPr>
          <w:rFonts w:ascii="宋体" w:hAnsi="宋体"/>
          <w:highlight w:val="none"/>
        </w:rPr>
        <w:t>比选人拒绝接受以</w:t>
      </w:r>
      <w:r>
        <w:rPr>
          <w:rFonts w:hint="eastAsia" w:ascii="宋体" w:hAnsi="宋体"/>
          <w:highlight w:val="none"/>
        </w:rPr>
        <w:t>邮寄、</w:t>
      </w:r>
      <w:r>
        <w:rPr>
          <w:rFonts w:ascii="宋体" w:hAnsi="宋体"/>
          <w:highlight w:val="none"/>
        </w:rPr>
        <w:t>电报、电话、传真、电子邮件形式的比选申请。</w:t>
      </w:r>
    </w:p>
    <w:p>
      <w:pPr>
        <w:shd w:val="clear"/>
        <w:spacing w:after="0" w:afterAutospacing="0"/>
        <w:ind w:left="0" w:right="0" w:firstLine="480" w:firstLineChars="200"/>
        <w:outlineLvl w:val="1"/>
        <w:rPr>
          <w:rFonts w:ascii="宋体" w:hAnsi="宋体"/>
          <w:sz w:val="24"/>
          <w:szCs w:val="24"/>
          <w:highlight w:val="none"/>
        </w:rPr>
      </w:pPr>
      <w:bookmarkStart w:id="471" w:name="_Toc383891188"/>
      <w:bookmarkStart w:id="472" w:name="_Toc385427813"/>
      <w:bookmarkStart w:id="473" w:name="_Toc375039084"/>
      <w:bookmarkStart w:id="474" w:name="_Toc390098439"/>
      <w:bookmarkStart w:id="475" w:name="_Toc2113"/>
      <w:bookmarkStart w:id="476" w:name="_Toc15116"/>
      <w:bookmarkStart w:id="477" w:name="_Toc6101"/>
      <w:bookmarkStart w:id="478" w:name="_Toc30962"/>
      <w:bookmarkStart w:id="479" w:name="_Toc23177"/>
      <w:bookmarkStart w:id="480" w:name="_Toc30187"/>
      <w:bookmarkStart w:id="481" w:name="_Toc1315"/>
      <w:bookmarkStart w:id="482" w:name="_Toc25750608"/>
      <w:bookmarkStart w:id="483" w:name="_Toc26776"/>
      <w:bookmarkStart w:id="484" w:name="_Toc1952"/>
      <w:bookmarkStart w:id="485" w:name="_Toc32054"/>
      <w:bookmarkStart w:id="486" w:name="_Toc12983523"/>
      <w:bookmarkStart w:id="487" w:name="_Toc2975"/>
      <w:bookmarkStart w:id="488" w:name="_Toc30452"/>
      <w:bookmarkStart w:id="489" w:name="_Toc26551"/>
      <w:bookmarkStart w:id="490" w:name="_Toc18322"/>
      <w:bookmarkStart w:id="491" w:name="_Toc10234"/>
      <w:bookmarkStart w:id="492" w:name="_Toc759"/>
      <w:bookmarkStart w:id="493" w:name="_Toc16409"/>
      <w:bookmarkStart w:id="494" w:name="_Toc492478738"/>
      <w:r>
        <w:rPr>
          <w:rFonts w:hint="eastAsia" w:ascii="宋体" w:hAnsi="宋体"/>
          <w:sz w:val="24"/>
          <w:szCs w:val="24"/>
          <w:highlight w:val="none"/>
        </w:rPr>
        <w:t>四、</w:t>
      </w:r>
      <w:r>
        <w:rPr>
          <w:rFonts w:ascii="宋体" w:hAnsi="宋体"/>
          <w:sz w:val="24"/>
          <w:szCs w:val="24"/>
          <w:highlight w:val="none"/>
        </w:rPr>
        <w:t>比选申请文件</w:t>
      </w:r>
      <w:bookmarkEnd w:id="471"/>
      <w:bookmarkEnd w:id="472"/>
      <w:bookmarkEnd w:id="473"/>
      <w:bookmarkEnd w:id="474"/>
      <w:r>
        <w:rPr>
          <w:rFonts w:hint="eastAsia" w:ascii="宋体" w:hAnsi="宋体"/>
          <w:sz w:val="24"/>
          <w:szCs w:val="24"/>
          <w:highlight w:val="none"/>
        </w:rPr>
        <w:t>的密封和递交</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pPr>
        <w:shd w:val="clear"/>
        <w:spacing w:before="0" w:after="0" w:afterAutospacing="0"/>
        <w:ind w:left="0" w:right="0" w:firstLine="420" w:firstLineChars="200"/>
        <w:rPr>
          <w:rFonts w:ascii="宋体" w:hAnsi="宋体"/>
          <w:highlight w:val="none"/>
        </w:rPr>
      </w:pPr>
      <w:bookmarkStart w:id="495" w:name="_Toc492478739"/>
      <w:bookmarkStart w:id="496" w:name="_Toc26249"/>
      <w:bookmarkStart w:id="497" w:name="_Toc19495"/>
      <w:bookmarkStart w:id="498" w:name="_Toc383891189"/>
      <w:bookmarkStart w:id="499" w:name="_Toc15650"/>
      <w:bookmarkStart w:id="500" w:name="_Toc9307"/>
      <w:bookmarkStart w:id="501" w:name="_Toc12117"/>
      <w:bookmarkStart w:id="502" w:name="_Toc12329"/>
      <w:bookmarkStart w:id="503" w:name="_Toc15663"/>
      <w:bookmarkStart w:id="504" w:name="_Toc13621"/>
      <w:bookmarkStart w:id="505" w:name="_Toc17200"/>
      <w:bookmarkStart w:id="506" w:name="_Toc385427814"/>
      <w:bookmarkStart w:id="507" w:name="_Toc13875"/>
      <w:bookmarkStart w:id="508" w:name="_Toc25750609"/>
      <w:bookmarkStart w:id="509" w:name="_Toc13829"/>
      <w:bookmarkStart w:id="510" w:name="_Toc12983524"/>
      <w:bookmarkStart w:id="511" w:name="_Toc5922"/>
      <w:bookmarkStart w:id="512" w:name="_Toc15735"/>
      <w:bookmarkStart w:id="513" w:name="_Toc390098440"/>
      <w:bookmarkStart w:id="514" w:name="_Toc18616"/>
      <w:bookmarkStart w:id="515" w:name="_Toc30196"/>
      <w:bookmarkStart w:id="516" w:name="_Toc24648"/>
      <w:bookmarkStart w:id="517" w:name="_Toc375039085"/>
      <w:bookmarkStart w:id="518" w:name="_Toc15071"/>
      <w:r>
        <w:rPr>
          <w:rFonts w:hint="eastAsia" w:ascii="宋体" w:hAnsi="宋体"/>
          <w:highlight w:val="none"/>
        </w:rPr>
        <w:t xml:space="preserve">17. </w:t>
      </w:r>
      <w:r>
        <w:rPr>
          <w:rFonts w:ascii="宋体" w:hAnsi="宋体"/>
          <w:highlight w:val="none"/>
        </w:rPr>
        <w:t>比选申请文件</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pPr>
        <w:shd w:val="clear"/>
        <w:tabs>
          <w:tab w:val="left" w:pos="1134"/>
          <w:tab w:val="left" w:pos="8364"/>
        </w:tabs>
        <w:spacing w:before="0" w:after="0" w:afterAutospacing="0"/>
        <w:ind w:left="0" w:right="0" w:firstLine="420" w:firstLineChars="200"/>
        <w:rPr>
          <w:rFonts w:ascii="宋体" w:hAnsi="宋体"/>
          <w:highlight w:val="none"/>
        </w:rPr>
      </w:pPr>
      <w:bookmarkStart w:id="519" w:name="_Toc375039086"/>
      <w:bookmarkStart w:id="520" w:name="_Toc385427815"/>
      <w:bookmarkStart w:id="521" w:name="_Toc383891190"/>
      <w:bookmarkStart w:id="522" w:name="_Toc390098441"/>
      <w:r>
        <w:rPr>
          <w:rFonts w:hint="eastAsia" w:ascii="宋体" w:hAnsi="宋体"/>
          <w:highlight w:val="none"/>
        </w:rPr>
        <w:t xml:space="preserve">17.1 </w:t>
      </w:r>
      <w:r>
        <w:rPr>
          <w:rFonts w:ascii="宋体" w:hAnsi="宋体"/>
          <w:highlight w:val="none"/>
        </w:rPr>
        <w:t>封装方式</w:t>
      </w:r>
    </w:p>
    <w:p>
      <w:pPr>
        <w:shd w:val="clear"/>
        <w:tabs>
          <w:tab w:val="left" w:pos="420"/>
          <w:tab w:val="left" w:pos="720"/>
          <w:tab w:val="left" w:pos="1134"/>
        </w:tabs>
        <w:spacing w:before="0" w:after="0" w:afterAutospacing="0"/>
        <w:ind w:left="0" w:right="0" w:firstLine="420" w:firstLineChars="200"/>
        <w:rPr>
          <w:rFonts w:ascii="宋体" w:hAnsi="宋体"/>
          <w:highlight w:val="none"/>
        </w:rPr>
      </w:pPr>
      <w:r>
        <w:rPr>
          <w:rFonts w:hint="eastAsia" w:ascii="宋体" w:hAnsi="宋体"/>
          <w:highlight w:val="none"/>
        </w:rPr>
        <w:t>（1）比选申请文件正本与副本应分别装订成册，封面上应分别标明“正本”和“副本”字样。</w:t>
      </w:r>
    </w:p>
    <w:p>
      <w:pPr>
        <w:shd w:val="clear"/>
        <w:tabs>
          <w:tab w:val="left" w:pos="420"/>
          <w:tab w:val="left" w:pos="720"/>
          <w:tab w:val="left" w:pos="1134"/>
        </w:tabs>
        <w:spacing w:before="0" w:after="0" w:afterAutospacing="0"/>
        <w:ind w:left="0" w:right="0" w:firstLine="420" w:firstLineChars="200"/>
        <w:rPr>
          <w:rFonts w:ascii="宋体" w:hAnsi="宋体"/>
          <w:highlight w:val="none"/>
        </w:rPr>
      </w:pPr>
      <w:r>
        <w:rPr>
          <w:rFonts w:hint="eastAsia" w:ascii="宋体" w:hAnsi="宋体"/>
          <w:highlight w:val="none"/>
        </w:rPr>
        <w:t>（</w:t>
      </w:r>
      <w:r>
        <w:rPr>
          <w:rFonts w:ascii="宋体" w:hAnsi="宋体"/>
          <w:highlight w:val="none"/>
        </w:rPr>
        <w:t>2</w:t>
      </w:r>
      <w:r>
        <w:rPr>
          <w:rFonts w:hint="eastAsia" w:ascii="宋体" w:hAnsi="宋体"/>
          <w:highlight w:val="none"/>
        </w:rPr>
        <w:t>）比选申请人可将比选申请文件封装为</w:t>
      </w:r>
      <w:r>
        <w:rPr>
          <w:rFonts w:ascii="宋体" w:hAnsi="宋体"/>
          <w:highlight w:val="none"/>
        </w:rPr>
        <w:t>1</w:t>
      </w:r>
      <w:r>
        <w:rPr>
          <w:rFonts w:hint="eastAsia" w:ascii="宋体" w:hAnsi="宋体"/>
          <w:highlight w:val="none"/>
        </w:rPr>
        <w:t>个包，其中价格文件还需独立密封成包。</w:t>
      </w:r>
    </w:p>
    <w:p>
      <w:pPr>
        <w:shd w:val="clear"/>
        <w:tabs>
          <w:tab w:val="left" w:pos="420"/>
          <w:tab w:val="left" w:pos="720"/>
          <w:tab w:val="left" w:pos="1134"/>
        </w:tabs>
        <w:spacing w:before="0" w:after="0" w:afterAutospacing="0"/>
        <w:ind w:left="0" w:right="0" w:firstLine="420" w:firstLineChars="200"/>
        <w:rPr>
          <w:rFonts w:ascii="宋体" w:hAnsi="宋体"/>
          <w:highlight w:val="none"/>
        </w:rPr>
      </w:pPr>
      <w:r>
        <w:rPr>
          <w:rFonts w:hint="eastAsia" w:ascii="宋体" w:hAnsi="宋体"/>
          <w:highlight w:val="none"/>
        </w:rPr>
        <w:t>（3）所有密封箱/袋应保证其密封性，并骑缝加盖比选申请人单位公章。</w:t>
      </w:r>
    </w:p>
    <w:p>
      <w:pPr>
        <w:shd w:val="clea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17.2 </w:t>
      </w:r>
      <w:r>
        <w:rPr>
          <w:rFonts w:ascii="宋体" w:hAnsi="宋体"/>
          <w:highlight w:val="none"/>
        </w:rPr>
        <w:t>所有密封箱/袋都应具有下列识别标志：</w:t>
      </w:r>
    </w:p>
    <w:p>
      <w:pPr>
        <w:shd w:val="clear"/>
        <w:tabs>
          <w:tab w:val="left" w:pos="1155"/>
        </w:tabs>
        <w:spacing w:before="0" w:after="0" w:afterAutospacing="0"/>
        <w:ind w:left="0" w:right="0" w:firstLine="420" w:firstLineChars="200"/>
        <w:rPr>
          <w:rFonts w:ascii="宋体" w:hAnsi="宋体"/>
          <w:highlight w:val="none"/>
        </w:rPr>
      </w:pPr>
      <w:r>
        <w:rPr>
          <w:rFonts w:hint="eastAsia" w:ascii="宋体" w:hAnsi="宋体"/>
          <w:highlight w:val="none"/>
        </w:rPr>
        <w:t>（1）</w:t>
      </w:r>
      <w:r>
        <w:rPr>
          <w:rFonts w:ascii="宋体" w:hAnsi="宋体"/>
          <w:highlight w:val="none"/>
        </w:rPr>
        <w:t>项目名称：</w:t>
      </w:r>
      <w:r>
        <w:rPr>
          <w:rFonts w:hint="eastAsia" w:ascii="宋体" w:hAnsi="宋体"/>
          <w:color w:val="FF0000"/>
          <w:highlight w:val="none"/>
          <w:u w:val="single"/>
        </w:rPr>
        <w:t>控制中心电动汽车充电桩喷淋系统采购项目</w:t>
      </w:r>
      <w:r>
        <w:rPr>
          <w:rFonts w:ascii="宋体" w:hAnsi="宋体"/>
          <w:highlight w:val="none"/>
        </w:rPr>
        <w:t>；</w:t>
      </w:r>
    </w:p>
    <w:p>
      <w:pPr>
        <w:shd w:val="clear"/>
        <w:tabs>
          <w:tab w:val="left" w:pos="420"/>
          <w:tab w:val="left" w:pos="720"/>
          <w:tab w:val="left" w:pos="1134"/>
        </w:tabs>
        <w:spacing w:before="0" w:after="0" w:afterAutospacing="0"/>
        <w:ind w:left="0" w:right="0" w:firstLine="420" w:firstLineChars="200"/>
        <w:rPr>
          <w:rFonts w:ascii="宋体" w:hAnsi="宋体"/>
          <w:highlight w:val="none"/>
        </w:rPr>
      </w:pPr>
      <w:r>
        <w:rPr>
          <w:rFonts w:hint="eastAsia" w:ascii="宋体" w:hAnsi="宋体"/>
          <w:highlight w:val="none"/>
        </w:rPr>
        <w:t>（2）</w:t>
      </w:r>
      <w:r>
        <w:rPr>
          <w:rFonts w:ascii="宋体" w:hAnsi="宋体"/>
          <w:highlight w:val="none"/>
        </w:rPr>
        <w:t>项目编号：</w:t>
      </w:r>
      <w:r>
        <w:rPr>
          <w:rFonts w:ascii="宋体" w:hAnsi="宋体"/>
          <w:color w:val="FF0000"/>
          <w:highlight w:val="none"/>
        </w:rPr>
        <w:t>202306250002</w:t>
      </w:r>
      <w:r>
        <w:rPr>
          <w:rFonts w:ascii="宋体" w:hAnsi="宋体"/>
          <w:highlight w:val="none"/>
        </w:rPr>
        <w:t>；</w:t>
      </w:r>
    </w:p>
    <w:p>
      <w:pPr>
        <w:shd w:val="clea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17.3 </w:t>
      </w:r>
      <w:r>
        <w:rPr>
          <w:rFonts w:ascii="宋体" w:hAnsi="宋体"/>
          <w:highlight w:val="none"/>
        </w:rPr>
        <w:t>所有密封箱</w:t>
      </w:r>
      <w:r>
        <w:rPr>
          <w:rFonts w:hint="eastAsia" w:ascii="宋体" w:hAnsi="宋体"/>
          <w:highlight w:val="none"/>
        </w:rPr>
        <w:t>/</w:t>
      </w:r>
      <w:r>
        <w:rPr>
          <w:rFonts w:ascii="宋体" w:hAnsi="宋体"/>
          <w:highlight w:val="none"/>
        </w:rPr>
        <w:t>袋上均应写明比选申请人的名称与地址，以便比选申请被宣布迟到时，能原封退回。</w:t>
      </w:r>
    </w:p>
    <w:p>
      <w:pPr>
        <w:shd w:val="clea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17.4 </w:t>
      </w:r>
      <w:r>
        <w:rPr>
          <w:rFonts w:ascii="宋体" w:hAnsi="宋体"/>
          <w:highlight w:val="none"/>
        </w:rPr>
        <w:t>如果密封箱</w:t>
      </w:r>
      <w:r>
        <w:rPr>
          <w:rFonts w:hint="eastAsia" w:ascii="宋体" w:hAnsi="宋体"/>
          <w:highlight w:val="none"/>
        </w:rPr>
        <w:t>/</w:t>
      </w:r>
      <w:r>
        <w:rPr>
          <w:rFonts w:ascii="宋体" w:hAnsi="宋体"/>
          <w:highlight w:val="none"/>
        </w:rPr>
        <w:t>袋上没有按上述规定密封并加写标志，比选人将不承担比选申请文件错放或提前开封的责任，由此造成的提前开封的比选申请文件，比选人将予以拒绝，并退还给比选申请人。</w:t>
      </w:r>
    </w:p>
    <w:p>
      <w:pPr>
        <w:numPr>
          <w:ilvl w:val="0"/>
          <w:numId w:val="5"/>
        </w:numPr>
        <w:shd w:val="clear"/>
        <w:spacing w:before="0" w:after="0" w:afterAutospacing="0"/>
        <w:ind w:left="0" w:right="0" w:firstLine="420" w:firstLineChars="200"/>
        <w:rPr>
          <w:rFonts w:ascii="宋体" w:hAnsi="宋体"/>
          <w:highlight w:val="none"/>
        </w:rPr>
      </w:pPr>
      <w:bookmarkStart w:id="523" w:name="_Toc11255"/>
      <w:bookmarkStart w:id="524" w:name="_Toc22445"/>
      <w:bookmarkStart w:id="525" w:name="_Toc16818"/>
      <w:bookmarkStart w:id="526" w:name="_Toc28071"/>
      <w:bookmarkStart w:id="527" w:name="_Toc6339"/>
      <w:bookmarkStart w:id="528" w:name="_Toc16266"/>
      <w:bookmarkStart w:id="529" w:name="_Toc23859"/>
      <w:bookmarkStart w:id="530" w:name="_Toc11096"/>
      <w:bookmarkStart w:id="531" w:name="_Toc16755"/>
      <w:bookmarkStart w:id="532" w:name="_Toc492478740"/>
      <w:bookmarkStart w:id="533" w:name="_Toc2337"/>
      <w:bookmarkStart w:id="534" w:name="_Toc12983525"/>
      <w:bookmarkStart w:id="535" w:name="_Toc6482"/>
      <w:bookmarkStart w:id="536" w:name="_Toc642"/>
      <w:bookmarkStart w:id="537" w:name="_Toc22180"/>
      <w:bookmarkStart w:id="538" w:name="_Toc32760"/>
      <w:bookmarkStart w:id="539" w:name="_Toc13883"/>
      <w:bookmarkStart w:id="540" w:name="_Toc4735"/>
      <w:bookmarkStart w:id="541" w:name="_Toc11039"/>
      <w:bookmarkStart w:id="542" w:name="_Toc25750610"/>
      <w:r>
        <w:rPr>
          <w:rFonts w:ascii="宋体" w:hAnsi="宋体"/>
          <w:highlight w:val="none"/>
        </w:rPr>
        <w:t>比选申请截止期</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pPr>
        <w:shd w:val="clea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18.1 </w:t>
      </w:r>
      <w:r>
        <w:rPr>
          <w:rFonts w:ascii="宋体" w:hAnsi="宋体"/>
          <w:highlight w:val="none"/>
        </w:rPr>
        <w:t>所有比选申请文件应派专人送交，并须按“比选申请须知前附表”中规定的比选申请截止时间</w:t>
      </w:r>
      <w:r>
        <w:rPr>
          <w:rFonts w:hint="eastAsia" w:ascii="宋体" w:hAnsi="宋体"/>
          <w:highlight w:val="none"/>
        </w:rPr>
        <w:t>前</w:t>
      </w:r>
      <w:r>
        <w:rPr>
          <w:rFonts w:ascii="宋体" w:hAnsi="宋体"/>
          <w:highlight w:val="none"/>
        </w:rPr>
        <w:t>送至</w:t>
      </w:r>
      <w:r>
        <w:rPr>
          <w:rFonts w:hint="eastAsia" w:ascii="宋体" w:hAnsi="宋体"/>
          <w:highlight w:val="none"/>
        </w:rPr>
        <w:t>比选文件规定的</w:t>
      </w:r>
      <w:r>
        <w:rPr>
          <w:rFonts w:ascii="宋体" w:hAnsi="宋体"/>
          <w:highlight w:val="none"/>
        </w:rPr>
        <w:t>地点。如有必要，比选申请人可事先自行到该场地进行察看。</w:t>
      </w:r>
    </w:p>
    <w:p>
      <w:pPr>
        <w:shd w:val="clear"/>
        <w:tabs>
          <w:tab w:val="left" w:pos="1134"/>
          <w:tab w:val="left" w:pos="8364"/>
        </w:tabs>
        <w:spacing w:before="0" w:after="0" w:afterAutospacing="0"/>
        <w:ind w:left="0" w:right="0" w:firstLine="422" w:firstLineChars="200"/>
        <w:rPr>
          <w:rFonts w:ascii="宋体" w:hAnsi="宋体"/>
          <w:highlight w:val="none"/>
        </w:rPr>
      </w:pPr>
      <w:r>
        <w:rPr>
          <w:rFonts w:hint="eastAsia" w:ascii="宋体" w:hAnsi="宋体"/>
          <w:b/>
          <w:highlight w:val="none"/>
        </w:rPr>
        <w:t xml:space="preserve">18.2 </w:t>
      </w:r>
      <w:r>
        <w:rPr>
          <w:rFonts w:ascii="宋体" w:hAnsi="宋体"/>
          <w:b/>
          <w:highlight w:val="none"/>
        </w:rPr>
        <w:t>比选申请人在递交比选申请文件时必须签到，否则比选申请无效。递交比选申请文件的时间晚于比选申请截止时间时，比选申请文件将不被接受。</w:t>
      </w:r>
    </w:p>
    <w:p>
      <w:pPr>
        <w:shd w:val="clea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18.3 </w:t>
      </w:r>
      <w:r>
        <w:rPr>
          <w:rFonts w:ascii="宋体" w:hAnsi="宋体"/>
          <w:highlight w:val="none"/>
        </w:rPr>
        <w:t>出现比选申请须知第7条因比选文件的修改推迟比选申请截止时间时，则按比选人修改通知规定的时间递交。在此情况下，比选人和比选申请人受比选申请截止时间制约的所有权利和义务均应延长至新的比选申请截止时间。</w:t>
      </w:r>
    </w:p>
    <w:p>
      <w:pPr>
        <w:numPr>
          <w:ilvl w:val="0"/>
          <w:numId w:val="5"/>
        </w:numPr>
        <w:shd w:val="clear"/>
        <w:spacing w:before="0" w:after="0" w:afterAutospacing="0"/>
        <w:ind w:left="0" w:right="0" w:firstLine="420" w:firstLineChars="200"/>
        <w:rPr>
          <w:rFonts w:ascii="宋体" w:hAnsi="宋体"/>
          <w:highlight w:val="none"/>
        </w:rPr>
      </w:pPr>
      <w:bookmarkStart w:id="543" w:name="_Toc2226"/>
      <w:bookmarkStart w:id="544" w:name="_Toc26431"/>
      <w:bookmarkStart w:id="545" w:name="_Toc375039087"/>
      <w:bookmarkStart w:id="546" w:name="_Toc13581"/>
      <w:bookmarkStart w:id="547" w:name="_Toc492478741"/>
      <w:bookmarkStart w:id="548" w:name="_Toc21960"/>
      <w:bookmarkStart w:id="549" w:name="_Toc15252"/>
      <w:bookmarkStart w:id="550" w:name="_Toc385427816"/>
      <w:bookmarkStart w:id="551" w:name="_Toc22945"/>
      <w:bookmarkStart w:id="552" w:name="_Toc32252"/>
      <w:bookmarkStart w:id="553" w:name="_Toc12983526"/>
      <w:bookmarkStart w:id="554" w:name="_Toc11373"/>
      <w:bookmarkStart w:id="555" w:name="_Toc390098442"/>
      <w:bookmarkStart w:id="556" w:name="_Toc324"/>
      <w:bookmarkStart w:id="557" w:name="_Toc10818"/>
      <w:bookmarkStart w:id="558" w:name="_Toc29066"/>
      <w:bookmarkStart w:id="559" w:name="_Toc383891191"/>
      <w:bookmarkStart w:id="560" w:name="_Toc9522"/>
      <w:bookmarkStart w:id="561" w:name="_Toc14239"/>
      <w:bookmarkStart w:id="562" w:name="_Toc25750611"/>
      <w:bookmarkStart w:id="563" w:name="_Toc23404"/>
      <w:bookmarkStart w:id="564" w:name="_Toc32621"/>
      <w:bookmarkStart w:id="565" w:name="_Toc29473"/>
      <w:bookmarkStart w:id="566" w:name="_Toc3597"/>
      <w:r>
        <w:rPr>
          <w:rFonts w:ascii="宋体" w:hAnsi="宋体"/>
          <w:highlight w:val="none"/>
        </w:rPr>
        <w:t>迟交的比选申请文件</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pPr>
        <w:shd w:val="clea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19.1 比选人</w:t>
      </w:r>
      <w:r>
        <w:rPr>
          <w:rFonts w:ascii="宋体" w:hAnsi="宋体"/>
          <w:highlight w:val="none"/>
        </w:rPr>
        <w:t>将拒绝并原封退回在</w:t>
      </w:r>
      <w:r>
        <w:rPr>
          <w:rFonts w:hint="eastAsia" w:ascii="宋体" w:hAnsi="宋体"/>
          <w:highlight w:val="none"/>
        </w:rPr>
        <w:t>本须知</w:t>
      </w:r>
      <w:r>
        <w:rPr>
          <w:rFonts w:ascii="宋体" w:hAnsi="宋体"/>
          <w:highlight w:val="none"/>
        </w:rPr>
        <w:t>18.1</w:t>
      </w:r>
      <w:r>
        <w:rPr>
          <w:rFonts w:hint="eastAsia" w:ascii="宋体" w:hAnsi="宋体"/>
          <w:highlight w:val="none"/>
        </w:rPr>
        <w:t>条</w:t>
      </w:r>
      <w:r>
        <w:rPr>
          <w:rFonts w:ascii="宋体" w:hAnsi="宋体"/>
          <w:highlight w:val="none"/>
        </w:rPr>
        <w:t>规定的比选申请截止时间后收到的任何比选申请文件。</w:t>
      </w:r>
    </w:p>
    <w:p>
      <w:pPr>
        <w:numPr>
          <w:ilvl w:val="0"/>
          <w:numId w:val="5"/>
        </w:numPr>
        <w:shd w:val="clear"/>
        <w:spacing w:before="0" w:after="0" w:afterAutospacing="0"/>
        <w:ind w:left="0" w:right="0" w:firstLine="420" w:firstLineChars="200"/>
        <w:rPr>
          <w:rFonts w:ascii="宋体" w:hAnsi="宋体"/>
          <w:highlight w:val="none"/>
        </w:rPr>
      </w:pPr>
      <w:bookmarkStart w:id="567" w:name="_Toc27195"/>
      <w:bookmarkStart w:id="568" w:name="_Toc17797"/>
      <w:bookmarkStart w:id="569" w:name="_Toc24030"/>
      <w:bookmarkStart w:id="570" w:name="_Toc31033"/>
      <w:bookmarkStart w:id="571" w:name="_Toc25427"/>
      <w:bookmarkStart w:id="572" w:name="_Toc23449"/>
      <w:bookmarkStart w:id="573" w:name="_Toc385427817"/>
      <w:bookmarkStart w:id="574" w:name="_Toc383891192"/>
      <w:bookmarkStart w:id="575" w:name="_Toc28452"/>
      <w:bookmarkStart w:id="576" w:name="_Toc9706"/>
      <w:bookmarkStart w:id="577" w:name="_Toc390098443"/>
      <w:bookmarkStart w:id="578" w:name="_Toc21796"/>
      <w:bookmarkStart w:id="579" w:name="_Toc14411"/>
      <w:bookmarkStart w:id="580" w:name="_Toc243"/>
      <w:bookmarkStart w:id="581" w:name="_Toc4605"/>
      <w:bookmarkStart w:id="582" w:name="_Toc8636"/>
      <w:bookmarkStart w:id="583" w:name="_Toc12983527"/>
      <w:bookmarkStart w:id="584" w:name="_Toc26282"/>
      <w:bookmarkStart w:id="585" w:name="_Toc29208"/>
      <w:bookmarkStart w:id="586" w:name="_Toc492478742"/>
      <w:bookmarkStart w:id="587" w:name="_Toc14522"/>
      <w:bookmarkStart w:id="588" w:name="_Toc12682"/>
      <w:bookmarkStart w:id="589" w:name="_Toc25750612"/>
      <w:bookmarkStart w:id="590" w:name="_Toc375039088"/>
      <w:r>
        <w:rPr>
          <w:rFonts w:ascii="宋体" w:hAnsi="宋体"/>
          <w:highlight w:val="none"/>
        </w:rPr>
        <w:t>比选申请文件的修改和撤回</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p>
    <w:p>
      <w:pPr>
        <w:shd w:val="clea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20.1 </w:t>
      </w:r>
      <w:r>
        <w:rPr>
          <w:rFonts w:ascii="宋体" w:hAnsi="宋体"/>
          <w:highlight w:val="none"/>
        </w:rPr>
        <w:t>比选申请人在提交比选申请文件后可对其比选申请文件进行修改或撤回，但该修改或撤回的书面通知须在比选申请截止时间之前送达</w:t>
      </w:r>
      <w:r>
        <w:rPr>
          <w:rFonts w:hint="eastAsia" w:ascii="宋体" w:hAnsi="宋体"/>
          <w:highlight w:val="none"/>
        </w:rPr>
        <w:t>比选单位</w:t>
      </w:r>
      <w:r>
        <w:rPr>
          <w:rFonts w:ascii="宋体" w:hAnsi="宋体"/>
          <w:highlight w:val="none"/>
        </w:rPr>
        <w:t>；且该通知需经正式授权的比选申请人代表签字方为有效。</w:t>
      </w:r>
    </w:p>
    <w:p>
      <w:pPr>
        <w:shd w:val="clea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20.2 </w:t>
      </w:r>
      <w:r>
        <w:rPr>
          <w:rFonts w:ascii="宋体" w:hAnsi="宋体"/>
          <w:highlight w:val="none"/>
        </w:rPr>
        <w:t>比选申请人对比选申请文件修改的书面材料或撤回的通知应按本比选申请须知</w:t>
      </w:r>
      <w:r>
        <w:rPr>
          <w:rFonts w:hint="eastAsia" w:ascii="宋体" w:hAnsi="宋体"/>
          <w:highlight w:val="none"/>
        </w:rPr>
        <w:t>16</w:t>
      </w:r>
      <w:r>
        <w:rPr>
          <w:rFonts w:ascii="宋体" w:hAnsi="宋体"/>
          <w:highlight w:val="none"/>
        </w:rPr>
        <w:t>和</w:t>
      </w:r>
      <w:r>
        <w:rPr>
          <w:highlight w:val="none"/>
        </w:rPr>
        <w:fldChar w:fldCharType="begin"/>
      </w:r>
      <w:r>
        <w:rPr>
          <w:highlight w:val="none"/>
        </w:rPr>
        <w:instrText xml:space="preserve"> HYPERLINK \l "_尻깃匡숭돨쵱룐뵨깃션" </w:instrText>
      </w:r>
      <w:r>
        <w:rPr>
          <w:highlight w:val="none"/>
        </w:rPr>
        <w:fldChar w:fldCharType="separate"/>
      </w:r>
      <w:r>
        <w:rPr>
          <w:rFonts w:hint="eastAsia" w:ascii="宋体" w:hAnsi="宋体"/>
          <w:highlight w:val="none"/>
        </w:rPr>
        <w:t>17</w:t>
      </w:r>
      <w:r>
        <w:rPr>
          <w:rFonts w:ascii="宋体" w:hAnsi="宋体"/>
          <w:highlight w:val="none"/>
        </w:rPr>
        <w:t>条</w:t>
      </w:r>
      <w:r>
        <w:rPr>
          <w:rFonts w:ascii="宋体" w:hAnsi="宋体"/>
          <w:highlight w:val="none"/>
        </w:rPr>
        <w:fldChar w:fldCharType="end"/>
      </w:r>
      <w:r>
        <w:rPr>
          <w:rFonts w:ascii="宋体" w:hAnsi="宋体"/>
          <w:highlight w:val="none"/>
        </w:rPr>
        <w:t>规定进行编写、密封、标注和递送，并注明“修改比选申请文件”或“撤回比选申请书面通知”字样。</w:t>
      </w:r>
    </w:p>
    <w:p>
      <w:pPr>
        <w:shd w:val="clea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20.3 </w:t>
      </w:r>
      <w:r>
        <w:rPr>
          <w:rFonts w:ascii="宋体" w:hAnsi="宋体"/>
          <w:highlight w:val="none"/>
        </w:rPr>
        <w:t>比选申请截止时间以后比选申请人不得修改比选申请文件。</w:t>
      </w:r>
    </w:p>
    <w:p>
      <w:pPr>
        <w:shd w:val="clea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20.4 </w:t>
      </w:r>
      <w:r>
        <w:rPr>
          <w:rFonts w:ascii="宋体" w:hAnsi="宋体"/>
          <w:highlight w:val="none"/>
        </w:rPr>
        <w:t>比选申请人不得在比选申请截止时间至比选申请有效期期满前撤销比选申请文件。否则</w:t>
      </w:r>
      <w:r>
        <w:rPr>
          <w:rFonts w:hint="eastAsia" w:ascii="宋体" w:hAnsi="宋体"/>
          <w:highlight w:val="none"/>
        </w:rPr>
        <w:t>比选人有权</w:t>
      </w:r>
      <w:r>
        <w:rPr>
          <w:rFonts w:ascii="宋体" w:hAnsi="宋体"/>
          <w:highlight w:val="none"/>
        </w:rPr>
        <w:t>要求</w:t>
      </w:r>
      <w:r>
        <w:rPr>
          <w:rFonts w:hint="eastAsia" w:ascii="宋体" w:hAnsi="宋体"/>
          <w:highlight w:val="none"/>
        </w:rPr>
        <w:t>比选申请人</w:t>
      </w:r>
      <w:r>
        <w:rPr>
          <w:rFonts w:ascii="宋体" w:hAnsi="宋体"/>
          <w:highlight w:val="none"/>
        </w:rPr>
        <w:t>对损失给予赔偿。</w:t>
      </w:r>
    </w:p>
    <w:p>
      <w:pPr>
        <w:shd w:val="clear"/>
        <w:spacing w:after="0" w:afterAutospacing="0"/>
        <w:ind w:left="0" w:right="0" w:firstLine="480" w:firstLineChars="200"/>
        <w:outlineLvl w:val="1"/>
        <w:rPr>
          <w:rFonts w:ascii="宋体" w:hAnsi="宋体"/>
          <w:sz w:val="24"/>
          <w:szCs w:val="24"/>
          <w:highlight w:val="none"/>
        </w:rPr>
      </w:pPr>
      <w:bookmarkStart w:id="591" w:name="_Toc22587"/>
      <w:bookmarkStart w:id="592" w:name="_Toc375039089"/>
      <w:bookmarkStart w:id="593" w:name="_Toc10325"/>
      <w:bookmarkStart w:id="594" w:name="_Toc9549"/>
      <w:bookmarkStart w:id="595" w:name="_Toc383891193"/>
      <w:bookmarkStart w:id="596" w:name="_Toc5592"/>
      <w:bookmarkStart w:id="597" w:name="_Toc16856"/>
      <w:bookmarkStart w:id="598" w:name="_Toc31978"/>
      <w:bookmarkStart w:id="599" w:name="_Toc390098444"/>
      <w:bookmarkStart w:id="600" w:name="_Toc28694"/>
      <w:bookmarkStart w:id="601" w:name="_Toc29264"/>
      <w:bookmarkStart w:id="602" w:name="_Toc9728"/>
      <w:bookmarkStart w:id="603" w:name="_Toc12182"/>
      <w:bookmarkStart w:id="604" w:name="_Toc25433"/>
      <w:bookmarkStart w:id="605" w:name="_Toc18076"/>
      <w:bookmarkStart w:id="606" w:name="_Toc385427818"/>
      <w:bookmarkStart w:id="607" w:name="_Toc12983528"/>
      <w:bookmarkStart w:id="608" w:name="_Toc11529"/>
      <w:bookmarkStart w:id="609" w:name="_Toc492478743"/>
      <w:bookmarkStart w:id="610" w:name="_Toc4291"/>
      <w:bookmarkStart w:id="611" w:name="_Toc2306"/>
      <w:bookmarkStart w:id="612" w:name="_Toc24485"/>
      <w:bookmarkStart w:id="613" w:name="_Toc3006"/>
      <w:bookmarkStart w:id="614" w:name="_Toc25750613"/>
      <w:r>
        <w:rPr>
          <w:rFonts w:hint="eastAsia" w:ascii="宋体" w:hAnsi="宋体"/>
          <w:sz w:val="24"/>
          <w:szCs w:val="24"/>
          <w:highlight w:val="none"/>
        </w:rPr>
        <w:t>五、</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r>
        <w:rPr>
          <w:rFonts w:hint="eastAsia" w:ascii="宋体" w:hAnsi="宋体"/>
          <w:sz w:val="24"/>
          <w:szCs w:val="24"/>
          <w:highlight w:val="none"/>
        </w:rPr>
        <w:t>比选申请文件递交</w:t>
      </w:r>
      <w:bookmarkEnd w:id="614"/>
      <w:r>
        <w:rPr>
          <w:rFonts w:hint="eastAsia" w:ascii="宋体" w:hAnsi="宋体"/>
          <w:sz w:val="24"/>
          <w:szCs w:val="24"/>
          <w:highlight w:val="none"/>
        </w:rPr>
        <w:t>与评审</w:t>
      </w:r>
    </w:p>
    <w:p>
      <w:pPr>
        <w:shd w:val="clear"/>
        <w:spacing w:before="0" w:after="0" w:afterAutospacing="0"/>
        <w:ind w:left="0" w:right="0" w:firstLine="420" w:firstLineChars="200"/>
        <w:rPr>
          <w:rFonts w:ascii="宋体" w:hAnsi="宋体"/>
          <w:highlight w:val="none"/>
        </w:rPr>
      </w:pPr>
      <w:bookmarkStart w:id="615" w:name="_Toc4825"/>
      <w:bookmarkStart w:id="616" w:name="_Toc375039090"/>
      <w:bookmarkStart w:id="617" w:name="_Toc492478744"/>
      <w:bookmarkStart w:id="618" w:name="_Toc895"/>
      <w:bookmarkStart w:id="619" w:name="_Toc9309"/>
      <w:bookmarkStart w:id="620" w:name="_Toc385427819"/>
      <w:bookmarkStart w:id="621" w:name="_Toc390098445"/>
      <w:bookmarkStart w:id="622" w:name="_Toc6974"/>
      <w:bookmarkStart w:id="623" w:name="_Toc4674"/>
      <w:bookmarkStart w:id="624" w:name="_Toc10292"/>
      <w:bookmarkStart w:id="625" w:name="_Toc6377"/>
      <w:bookmarkStart w:id="626" w:name="_Toc6839"/>
      <w:bookmarkStart w:id="627" w:name="_Toc12983529"/>
      <w:bookmarkStart w:id="628" w:name="_Toc4365"/>
      <w:bookmarkStart w:id="629" w:name="_Toc23705"/>
      <w:bookmarkStart w:id="630" w:name="_Toc18919"/>
      <w:bookmarkStart w:id="631" w:name="_Toc9264"/>
      <w:bookmarkStart w:id="632" w:name="_Toc5182"/>
      <w:bookmarkStart w:id="633" w:name="_Toc4638"/>
      <w:bookmarkStart w:id="634" w:name="_Toc383891194"/>
      <w:bookmarkStart w:id="635" w:name="_Toc24196"/>
      <w:bookmarkStart w:id="636" w:name="_Toc10883"/>
      <w:bookmarkStart w:id="637" w:name="_Toc25116"/>
      <w:bookmarkStart w:id="638" w:name="_Toc25750614"/>
      <w:r>
        <w:rPr>
          <w:rFonts w:hint="eastAsia" w:ascii="宋体" w:hAnsi="宋体"/>
          <w:highlight w:val="none"/>
        </w:rPr>
        <w:t xml:space="preserve">21. </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r>
        <w:rPr>
          <w:rFonts w:hint="eastAsia" w:ascii="宋体" w:hAnsi="宋体"/>
          <w:highlight w:val="none"/>
        </w:rPr>
        <w:t>比选申请文件递交</w:t>
      </w:r>
      <w:bookmarkEnd w:id="638"/>
    </w:p>
    <w:p>
      <w:pPr>
        <w:shd w:val="clear"/>
        <w:tabs>
          <w:tab w:val="left" w:pos="945"/>
          <w:tab w:val="left" w:pos="1134"/>
        </w:tabs>
        <w:spacing w:before="0" w:after="0" w:afterAutospacing="0"/>
        <w:ind w:left="0" w:right="0" w:firstLine="420" w:firstLineChars="200"/>
        <w:rPr>
          <w:rFonts w:ascii="宋体" w:hAnsi="宋体"/>
          <w:highlight w:val="none"/>
        </w:rPr>
      </w:pPr>
      <w:r>
        <w:rPr>
          <w:rFonts w:hint="eastAsia" w:ascii="宋体" w:hAnsi="宋体"/>
          <w:highlight w:val="none"/>
        </w:rPr>
        <w:t>21.1 比选人将按本须知</w:t>
      </w:r>
      <w:r>
        <w:rPr>
          <w:rFonts w:ascii="宋体" w:hAnsi="宋体"/>
          <w:highlight w:val="none"/>
        </w:rPr>
        <w:t>18.1</w:t>
      </w:r>
      <w:r>
        <w:rPr>
          <w:rFonts w:hint="eastAsia" w:ascii="宋体" w:hAnsi="宋体"/>
          <w:highlight w:val="none"/>
        </w:rPr>
        <w:t>条项规定的时间和地址，对所有按时递交并已签收达三个或以上比选申请人的比选申请文件进行核查。</w:t>
      </w:r>
    </w:p>
    <w:p>
      <w:pPr>
        <w:shd w:val="clear"/>
        <w:tabs>
          <w:tab w:val="left" w:pos="1134"/>
        </w:tabs>
        <w:spacing w:before="0" w:after="0" w:afterAutospacing="0"/>
        <w:ind w:left="0" w:right="0" w:firstLine="420" w:firstLineChars="200"/>
        <w:rPr>
          <w:rFonts w:ascii="宋体" w:hAnsi="宋体"/>
          <w:highlight w:val="none"/>
        </w:rPr>
      </w:pPr>
      <w:r>
        <w:rPr>
          <w:rFonts w:hint="eastAsia" w:ascii="宋体" w:hAnsi="宋体"/>
          <w:highlight w:val="none"/>
        </w:rPr>
        <w:t>比选申请文件有下列情形之一的，比选人应当拒收：</w:t>
      </w:r>
    </w:p>
    <w:p>
      <w:pPr>
        <w:shd w:val="clear"/>
        <w:snapToGrid w:val="0"/>
        <w:spacing w:before="0" w:after="0" w:afterAutospacing="0"/>
        <w:ind w:left="0" w:right="0" w:firstLine="422" w:firstLineChars="200"/>
        <w:jc w:val="left"/>
        <w:rPr>
          <w:rFonts w:ascii="宋体" w:hAnsi="宋体"/>
          <w:b/>
          <w:highlight w:val="none"/>
        </w:rPr>
      </w:pPr>
      <w:r>
        <w:rPr>
          <w:rFonts w:ascii="宋体" w:hAnsi="宋体"/>
          <w:b/>
          <w:highlight w:val="none"/>
        </w:rPr>
        <w:t>2</w:t>
      </w:r>
      <w:r>
        <w:rPr>
          <w:rFonts w:hint="eastAsia" w:ascii="宋体" w:hAnsi="宋体"/>
          <w:b/>
          <w:highlight w:val="none"/>
        </w:rPr>
        <w:t>1</w:t>
      </w:r>
      <w:r>
        <w:rPr>
          <w:rFonts w:ascii="宋体" w:hAnsi="宋体"/>
          <w:b/>
          <w:highlight w:val="none"/>
        </w:rPr>
        <w:t>.1.1逾期送达的或者未送达指定地点的比选申请文件</w:t>
      </w:r>
      <w:r>
        <w:rPr>
          <w:rFonts w:hint="eastAsia" w:ascii="宋体" w:hAnsi="宋体"/>
          <w:b/>
          <w:highlight w:val="none"/>
        </w:rPr>
        <w:t>；</w:t>
      </w:r>
    </w:p>
    <w:p>
      <w:pPr>
        <w:shd w:val="clear"/>
        <w:snapToGrid w:val="0"/>
        <w:spacing w:before="0" w:after="0" w:afterAutospacing="0"/>
        <w:ind w:left="0" w:right="0" w:firstLine="422" w:firstLineChars="200"/>
        <w:jc w:val="left"/>
        <w:rPr>
          <w:rFonts w:ascii="宋体" w:hAnsi="宋体"/>
          <w:b/>
          <w:highlight w:val="none"/>
        </w:rPr>
      </w:pPr>
      <w:r>
        <w:rPr>
          <w:rFonts w:ascii="宋体" w:hAnsi="宋体"/>
          <w:b/>
          <w:highlight w:val="none"/>
        </w:rPr>
        <w:t>2</w:t>
      </w:r>
      <w:r>
        <w:rPr>
          <w:rFonts w:hint="eastAsia" w:ascii="宋体" w:hAnsi="宋体"/>
          <w:b/>
          <w:highlight w:val="none"/>
        </w:rPr>
        <w:t>1</w:t>
      </w:r>
      <w:r>
        <w:rPr>
          <w:rFonts w:ascii="宋体" w:hAnsi="宋体"/>
          <w:b/>
          <w:highlight w:val="none"/>
        </w:rPr>
        <w:t>.1.2</w:t>
      </w:r>
      <w:r>
        <w:rPr>
          <w:rFonts w:hint="eastAsia" w:ascii="宋体" w:hAnsi="宋体"/>
          <w:b/>
          <w:highlight w:val="none"/>
        </w:rPr>
        <w:t>比选申请文件外包封</w:t>
      </w:r>
      <w:r>
        <w:rPr>
          <w:rFonts w:ascii="宋体" w:hAnsi="宋体"/>
          <w:b/>
          <w:highlight w:val="none"/>
        </w:rPr>
        <w:t>未按比选文件要求密封的</w:t>
      </w:r>
      <w:r>
        <w:rPr>
          <w:rFonts w:hint="eastAsia" w:ascii="宋体" w:hAnsi="宋体"/>
          <w:b/>
          <w:highlight w:val="none"/>
        </w:rPr>
        <w:t>。</w:t>
      </w:r>
    </w:p>
    <w:p>
      <w:pPr>
        <w:shd w:val="clear"/>
        <w:tabs>
          <w:tab w:val="left" w:pos="945"/>
          <w:tab w:val="left" w:pos="1134"/>
          <w:tab w:val="left" w:pos="8364"/>
        </w:tabs>
        <w:spacing w:before="0" w:after="0" w:afterAutospacing="0"/>
        <w:ind w:left="0" w:right="0" w:firstLine="422" w:firstLineChars="200"/>
        <w:rPr>
          <w:rFonts w:ascii="宋体" w:hAnsi="宋体"/>
          <w:highlight w:val="none"/>
        </w:rPr>
      </w:pPr>
      <w:r>
        <w:rPr>
          <w:rFonts w:hint="eastAsia" w:ascii="宋体" w:hAnsi="宋体"/>
          <w:b/>
          <w:highlight w:val="none"/>
        </w:rPr>
        <w:t xml:space="preserve">21.2 </w:t>
      </w:r>
      <w:r>
        <w:rPr>
          <w:rFonts w:ascii="宋体" w:hAnsi="宋体"/>
          <w:b/>
          <w:highlight w:val="none"/>
        </w:rPr>
        <w:t>比选申请人的法定代表人或其授权代表（以下统称</w:t>
      </w:r>
      <w:r>
        <w:rPr>
          <w:rFonts w:hint="eastAsia" w:ascii="宋体" w:hAnsi="宋体"/>
          <w:b/>
          <w:highlight w:val="none"/>
        </w:rPr>
        <w:t>“</w:t>
      </w:r>
      <w:r>
        <w:rPr>
          <w:rFonts w:ascii="宋体" w:hAnsi="宋体"/>
          <w:b/>
          <w:highlight w:val="none"/>
        </w:rPr>
        <w:t>比选申请人代表</w:t>
      </w:r>
      <w:r>
        <w:rPr>
          <w:rFonts w:hint="eastAsia" w:ascii="宋体" w:hAnsi="宋体"/>
          <w:b/>
          <w:highlight w:val="none"/>
        </w:rPr>
        <w:t>”</w:t>
      </w:r>
      <w:r>
        <w:rPr>
          <w:rFonts w:ascii="宋体" w:hAnsi="宋体"/>
          <w:b/>
          <w:highlight w:val="none"/>
        </w:rPr>
        <w:t>）必须在出示本人有效身份证（</w:t>
      </w:r>
      <w:r>
        <w:rPr>
          <w:rFonts w:hint="eastAsia" w:ascii="宋体" w:hAnsi="宋体"/>
          <w:b/>
          <w:highlight w:val="none"/>
        </w:rPr>
        <w:t>限中国公民居民身份证、外籍有效护照</w:t>
      </w:r>
      <w:r>
        <w:rPr>
          <w:rFonts w:ascii="宋体" w:hAnsi="宋体"/>
          <w:b/>
          <w:highlight w:val="none"/>
        </w:rPr>
        <w:t>，下同）的原件，比选申请人授权代表还必须同时出示比选申请授权书原件，以证明授权代表的身份和被授权范围，并由比选人验证确认。</w:t>
      </w:r>
      <w:bookmarkStart w:id="639" w:name="_Toc251051540"/>
      <w:r>
        <w:rPr>
          <w:rFonts w:ascii="宋体" w:hAnsi="宋体"/>
          <w:b/>
          <w:highlight w:val="none"/>
        </w:rPr>
        <w:t>否则作无效</w:t>
      </w:r>
      <w:r>
        <w:rPr>
          <w:rFonts w:hint="eastAsia" w:ascii="宋体" w:hAnsi="宋体"/>
          <w:b/>
          <w:highlight w:val="none"/>
        </w:rPr>
        <w:t>比选文件处理</w:t>
      </w:r>
      <w:bookmarkEnd w:id="639"/>
      <w:r>
        <w:rPr>
          <w:rFonts w:hint="eastAsia" w:ascii="宋体" w:hAnsi="宋体"/>
          <w:b/>
          <w:highlight w:val="none"/>
        </w:rPr>
        <w:t>。</w:t>
      </w:r>
    </w:p>
    <w:p>
      <w:pPr>
        <w:shd w:val="clear"/>
        <w:spacing w:before="0" w:after="0" w:afterAutospacing="0"/>
        <w:ind w:left="0" w:right="0" w:firstLine="420" w:firstLineChars="200"/>
        <w:rPr>
          <w:rFonts w:ascii="宋体" w:hAnsi="宋体"/>
          <w:highlight w:val="none"/>
        </w:rPr>
      </w:pPr>
      <w:bookmarkStart w:id="640" w:name="_Toc383891195"/>
      <w:bookmarkStart w:id="641" w:name="_Toc375039091"/>
      <w:bookmarkStart w:id="642" w:name="_Toc385427820"/>
      <w:bookmarkStart w:id="643" w:name="_Toc390098446"/>
      <w:bookmarkStart w:id="644" w:name="_Toc30671"/>
      <w:bookmarkStart w:id="645" w:name="_Toc24630"/>
      <w:bookmarkStart w:id="646" w:name="_Toc23699"/>
      <w:bookmarkStart w:id="647" w:name="_Toc17785"/>
      <w:bookmarkStart w:id="648" w:name="_Toc16601"/>
      <w:bookmarkStart w:id="649" w:name="_Toc24687"/>
      <w:bookmarkStart w:id="650" w:name="_Toc1920"/>
      <w:bookmarkStart w:id="651" w:name="_Toc13202"/>
      <w:bookmarkStart w:id="652" w:name="_Toc27636"/>
      <w:bookmarkStart w:id="653" w:name="_Toc11013"/>
      <w:bookmarkStart w:id="654" w:name="_Toc25270"/>
      <w:bookmarkStart w:id="655" w:name="_Toc16068"/>
      <w:bookmarkStart w:id="656" w:name="_Toc25750615"/>
      <w:bookmarkStart w:id="657" w:name="_Toc5267"/>
      <w:bookmarkStart w:id="658" w:name="_Toc15466"/>
      <w:bookmarkStart w:id="659" w:name="_Toc492478745"/>
      <w:bookmarkStart w:id="660" w:name="_Toc9391"/>
      <w:bookmarkStart w:id="661" w:name="_Toc21819"/>
      <w:bookmarkStart w:id="662" w:name="_Toc11263"/>
      <w:bookmarkStart w:id="663" w:name="_Toc12983530"/>
      <w:r>
        <w:rPr>
          <w:rFonts w:hint="eastAsia" w:ascii="宋体" w:hAnsi="宋体"/>
          <w:highlight w:val="none"/>
        </w:rPr>
        <w:t>22.</w:t>
      </w:r>
      <w:r>
        <w:rPr>
          <w:rFonts w:ascii="宋体" w:hAnsi="宋体"/>
          <w:highlight w:val="none"/>
        </w:rPr>
        <w:t>评审</w:t>
      </w:r>
      <w:bookmarkEnd w:id="640"/>
      <w:bookmarkEnd w:id="641"/>
      <w:bookmarkEnd w:id="642"/>
      <w:bookmarkEnd w:id="643"/>
      <w:r>
        <w:rPr>
          <w:rFonts w:ascii="宋体" w:hAnsi="宋体"/>
          <w:highlight w:val="none"/>
        </w:rPr>
        <w:t>程序</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pPr>
        <w:shd w:val="clear"/>
        <w:tabs>
          <w:tab w:val="left" w:pos="8364"/>
        </w:tabs>
        <w:spacing w:before="0" w:after="0" w:afterAutospacing="0"/>
        <w:ind w:left="0" w:right="0" w:firstLine="420" w:firstLineChars="200"/>
        <w:rPr>
          <w:rFonts w:ascii="宋体" w:hAnsi="宋体"/>
          <w:b/>
          <w:highlight w:val="none"/>
        </w:rPr>
      </w:pPr>
      <w:bookmarkStart w:id="664" w:name="_Toc375039092"/>
      <w:r>
        <w:rPr>
          <w:rFonts w:hint="eastAsia" w:ascii="宋体" w:hAnsi="宋体"/>
          <w:highlight w:val="none"/>
        </w:rPr>
        <w:t>详见第六章《评分办法》。</w:t>
      </w:r>
      <w:bookmarkEnd w:id="664"/>
    </w:p>
    <w:p>
      <w:pPr>
        <w:numPr>
          <w:ilvl w:val="0"/>
          <w:numId w:val="6"/>
        </w:numPr>
        <w:shd w:val="clear"/>
        <w:spacing w:before="0" w:after="0" w:afterAutospacing="0"/>
        <w:ind w:left="0" w:right="0" w:firstLine="420" w:firstLineChars="200"/>
        <w:rPr>
          <w:rFonts w:ascii="宋体" w:hAnsi="宋体"/>
          <w:highlight w:val="none"/>
        </w:rPr>
      </w:pPr>
      <w:bookmarkStart w:id="665" w:name="_Toc390098447"/>
      <w:bookmarkStart w:id="666" w:name="_Toc13421"/>
      <w:bookmarkStart w:id="667" w:name="_Toc14719"/>
      <w:bookmarkStart w:id="668" w:name="_Toc11716"/>
      <w:bookmarkStart w:id="669" w:name="_Toc833"/>
      <w:bookmarkStart w:id="670" w:name="_Toc18803"/>
      <w:bookmarkStart w:id="671" w:name="_Toc8295"/>
      <w:bookmarkStart w:id="672" w:name="_Toc375039093"/>
      <w:bookmarkStart w:id="673" w:name="_Toc16072"/>
      <w:bookmarkStart w:id="674" w:name="_Toc5386"/>
      <w:bookmarkStart w:id="675" w:name="_Toc26137"/>
      <w:bookmarkStart w:id="676" w:name="_Toc18063"/>
      <w:bookmarkStart w:id="677" w:name="_Toc24755"/>
      <w:bookmarkStart w:id="678" w:name="_Toc15"/>
      <w:bookmarkStart w:id="679" w:name="_Toc385427821"/>
      <w:bookmarkStart w:id="680" w:name="_Toc383891196"/>
      <w:bookmarkStart w:id="681" w:name="_Toc492478746"/>
      <w:bookmarkStart w:id="682" w:name="_Toc12983531"/>
      <w:bookmarkStart w:id="683" w:name="_Toc27570"/>
      <w:bookmarkStart w:id="684" w:name="_Toc17980"/>
      <w:bookmarkStart w:id="685" w:name="_Toc25750616"/>
      <w:bookmarkStart w:id="686" w:name="_Toc25047"/>
      <w:bookmarkStart w:id="687" w:name="_Toc1456"/>
      <w:bookmarkStart w:id="688" w:name="_Toc29929"/>
      <w:r>
        <w:rPr>
          <w:rFonts w:ascii="宋体" w:hAnsi="宋体"/>
          <w:highlight w:val="none"/>
        </w:rPr>
        <w:t>与比选人和评审委员会的接触</w:t>
      </w:r>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pPr>
        <w:shd w:val="clear"/>
        <w:tabs>
          <w:tab w:val="left" w:pos="420"/>
          <w:tab w:val="left" w:pos="1134"/>
        </w:tabs>
        <w:spacing w:before="0" w:after="0" w:afterAutospacing="0"/>
        <w:ind w:left="0" w:right="0" w:firstLine="420" w:firstLineChars="200"/>
        <w:rPr>
          <w:rFonts w:ascii="宋体" w:hAnsi="宋体" w:cs="Arial"/>
          <w:highlight w:val="none"/>
        </w:rPr>
      </w:pPr>
      <w:r>
        <w:rPr>
          <w:rFonts w:hint="eastAsia" w:ascii="宋体" w:hAnsi="宋体" w:cs="Arial"/>
          <w:highlight w:val="none"/>
        </w:rPr>
        <w:t xml:space="preserve">23.1 </w:t>
      </w:r>
      <w:r>
        <w:rPr>
          <w:rFonts w:ascii="宋体" w:hAnsi="宋体" w:cs="Arial"/>
          <w:highlight w:val="none"/>
        </w:rPr>
        <w:t>从比选申请截止日起至授予合同期间，未经书面要求，比选申请人不得就与其比选申请文件有关的事项与评审委员会、比选人接触（包括直接接触</w:t>
      </w:r>
      <w:r>
        <w:rPr>
          <w:rFonts w:hint="eastAsia" w:ascii="宋体" w:hAnsi="宋体" w:cs="Arial"/>
          <w:highlight w:val="none"/>
        </w:rPr>
        <w:t>或</w:t>
      </w:r>
      <w:r>
        <w:rPr>
          <w:rFonts w:ascii="宋体" w:hAnsi="宋体" w:cs="Arial"/>
          <w:highlight w:val="none"/>
        </w:rPr>
        <w:t>间接接触）。</w:t>
      </w:r>
    </w:p>
    <w:p>
      <w:pPr>
        <w:shd w:val="clear"/>
        <w:tabs>
          <w:tab w:val="left" w:pos="420"/>
          <w:tab w:val="left" w:pos="1134"/>
        </w:tabs>
        <w:spacing w:before="0" w:after="0" w:afterAutospacing="0"/>
        <w:ind w:left="0" w:right="0" w:firstLine="420" w:firstLineChars="200"/>
        <w:rPr>
          <w:rFonts w:ascii="宋体" w:hAnsi="宋体" w:cs="Arial"/>
          <w:highlight w:val="none"/>
        </w:rPr>
      </w:pPr>
      <w:r>
        <w:rPr>
          <w:rFonts w:hint="eastAsia" w:ascii="宋体" w:hAnsi="宋体" w:cs="Arial"/>
          <w:highlight w:val="none"/>
        </w:rPr>
        <w:t xml:space="preserve">23.2 </w:t>
      </w:r>
      <w:r>
        <w:rPr>
          <w:rFonts w:ascii="宋体" w:hAnsi="宋体" w:cs="Arial"/>
          <w:highlight w:val="none"/>
        </w:rPr>
        <w:t>比选申请人试图对评审委员会的评审、比较或授予合同的决定进行影响，都可能导致其比选申请文件被否决。</w:t>
      </w:r>
    </w:p>
    <w:p>
      <w:pPr>
        <w:shd w:val="clear"/>
        <w:tabs>
          <w:tab w:val="left" w:pos="420"/>
          <w:tab w:val="left" w:pos="1134"/>
        </w:tabs>
        <w:spacing w:before="0" w:after="0" w:afterAutospacing="0"/>
        <w:ind w:left="0" w:right="0" w:firstLine="420" w:firstLineChars="200"/>
        <w:rPr>
          <w:rFonts w:ascii="宋体" w:hAnsi="宋体" w:cs="Arial"/>
          <w:highlight w:val="none"/>
        </w:rPr>
      </w:pPr>
      <w:r>
        <w:rPr>
          <w:rFonts w:hint="eastAsia" w:ascii="宋体" w:hAnsi="宋体" w:cs="Arial"/>
          <w:highlight w:val="none"/>
        </w:rPr>
        <w:t xml:space="preserve">23.3 </w:t>
      </w:r>
      <w:r>
        <w:rPr>
          <w:rFonts w:ascii="宋体" w:hAnsi="宋体" w:cs="Arial"/>
          <w:highlight w:val="none"/>
        </w:rPr>
        <w:t>比选申请人不得以任何方式干扰比选人的</w:t>
      </w:r>
      <w:r>
        <w:rPr>
          <w:rFonts w:hint="eastAsia" w:ascii="宋体" w:hAnsi="宋体" w:cs="Arial"/>
          <w:highlight w:val="none"/>
        </w:rPr>
        <w:t>比选</w:t>
      </w:r>
      <w:r>
        <w:rPr>
          <w:rFonts w:ascii="宋体" w:hAnsi="宋体" w:cs="Arial"/>
          <w:highlight w:val="none"/>
        </w:rPr>
        <w:t>和评审活动，否则其比选申请无效并追究其法律责任。</w:t>
      </w:r>
    </w:p>
    <w:p>
      <w:pPr>
        <w:shd w:val="clear"/>
        <w:tabs>
          <w:tab w:val="left" w:pos="420"/>
          <w:tab w:val="left" w:pos="1134"/>
        </w:tabs>
        <w:spacing w:before="0" w:after="0" w:afterAutospacing="0"/>
        <w:ind w:left="0" w:right="0" w:firstLine="420" w:firstLineChars="200"/>
        <w:rPr>
          <w:rFonts w:ascii="宋体" w:hAnsi="宋体" w:cs="Arial"/>
          <w:highlight w:val="none"/>
        </w:rPr>
      </w:pPr>
      <w:r>
        <w:rPr>
          <w:rFonts w:hint="eastAsia" w:ascii="宋体" w:hAnsi="宋体" w:cs="Arial"/>
          <w:highlight w:val="none"/>
        </w:rPr>
        <w:t xml:space="preserve">23.4 </w:t>
      </w:r>
      <w:r>
        <w:rPr>
          <w:rFonts w:ascii="宋体" w:hAnsi="宋体" w:cs="Arial"/>
          <w:highlight w:val="none"/>
        </w:rPr>
        <w:t>有关比选申请文件的审查、澄清、评估和比较以及有关授予合同的意向的一切情况都不得透露给任一比选申请人。</w:t>
      </w:r>
    </w:p>
    <w:p>
      <w:pPr>
        <w:numPr>
          <w:ilvl w:val="0"/>
          <w:numId w:val="6"/>
        </w:numPr>
        <w:shd w:val="clear"/>
        <w:spacing w:before="0" w:after="0" w:afterAutospacing="0"/>
        <w:ind w:left="0" w:right="0" w:firstLine="420" w:firstLineChars="200"/>
        <w:rPr>
          <w:rFonts w:ascii="宋体" w:hAnsi="宋体"/>
          <w:highlight w:val="none"/>
        </w:rPr>
      </w:pPr>
      <w:bookmarkStart w:id="689" w:name="_Toc15988"/>
      <w:bookmarkStart w:id="690" w:name="_Toc12983532"/>
      <w:bookmarkStart w:id="691" w:name="_Toc21167"/>
      <w:bookmarkStart w:id="692" w:name="_Toc7858"/>
      <w:bookmarkStart w:id="693" w:name="_Toc20523"/>
      <w:bookmarkStart w:id="694" w:name="_Toc25734"/>
      <w:bookmarkStart w:id="695" w:name="_Toc12960"/>
      <w:bookmarkStart w:id="696" w:name="_Toc9602"/>
      <w:bookmarkStart w:id="697" w:name="_Toc383891197"/>
      <w:bookmarkStart w:id="698" w:name="_Toc9941"/>
      <w:bookmarkStart w:id="699" w:name="_Toc25750617"/>
      <w:bookmarkStart w:id="700" w:name="_Toc492478747"/>
      <w:bookmarkStart w:id="701" w:name="_Toc385427822"/>
      <w:bookmarkStart w:id="702" w:name="_Toc654"/>
      <w:bookmarkStart w:id="703" w:name="_Toc12671"/>
      <w:bookmarkStart w:id="704" w:name="_Toc390098448"/>
      <w:bookmarkStart w:id="705" w:name="_Toc16963"/>
      <w:bookmarkStart w:id="706" w:name="_Toc18515"/>
      <w:bookmarkStart w:id="707" w:name="_Toc30207"/>
      <w:bookmarkStart w:id="708" w:name="_Toc19810"/>
      <w:bookmarkStart w:id="709" w:name="_Toc12909"/>
      <w:bookmarkStart w:id="710" w:name="_Toc12555"/>
      <w:bookmarkStart w:id="711" w:name="_Toc29504"/>
      <w:bookmarkStart w:id="712" w:name="_Toc378514937"/>
      <w:bookmarkStart w:id="713" w:name="_Toc294723156"/>
      <w:bookmarkStart w:id="714" w:name="_Toc375039094"/>
      <w:r>
        <w:rPr>
          <w:rFonts w:hint="eastAsia" w:ascii="宋体" w:hAnsi="宋体"/>
          <w:highlight w:val="none"/>
        </w:rPr>
        <w:t>评审过程保密</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pPr>
        <w:shd w:val="clear"/>
        <w:tabs>
          <w:tab w:val="left" w:pos="420"/>
          <w:tab w:val="left" w:pos="1134"/>
        </w:tabs>
        <w:spacing w:before="0" w:after="0" w:afterAutospacing="0"/>
        <w:ind w:left="0" w:right="0" w:firstLine="420" w:firstLineChars="200"/>
        <w:rPr>
          <w:rFonts w:ascii="宋体" w:hAnsi="宋体" w:cs="Arial"/>
          <w:highlight w:val="none"/>
        </w:rPr>
      </w:pPr>
      <w:r>
        <w:rPr>
          <w:rFonts w:hint="eastAsia" w:ascii="宋体" w:hAnsi="宋体" w:cs="Arial"/>
          <w:highlight w:val="none"/>
        </w:rPr>
        <w:t>24.1 递交比选文件后，直到宣布授予中选人且签订合同为止，凡属于审查、澄清、评价和比较比选申请的有关资料且与授予合同有关的信息，都不应向比选申请人或与该过程无关的其他人泄露。</w:t>
      </w:r>
    </w:p>
    <w:p>
      <w:pPr>
        <w:shd w:val="clear"/>
        <w:tabs>
          <w:tab w:val="left" w:pos="420"/>
          <w:tab w:val="left" w:pos="1134"/>
        </w:tabs>
        <w:spacing w:before="0" w:after="0" w:afterAutospacing="0"/>
        <w:ind w:left="0" w:right="0" w:firstLine="420" w:firstLineChars="200"/>
        <w:rPr>
          <w:rFonts w:ascii="宋体" w:hAnsi="宋体" w:cs="Arial"/>
          <w:highlight w:val="none"/>
        </w:rPr>
      </w:pPr>
      <w:r>
        <w:rPr>
          <w:rFonts w:hint="eastAsia" w:ascii="宋体" w:hAnsi="宋体" w:cs="Arial"/>
          <w:highlight w:val="none"/>
        </w:rPr>
        <w:t>24.2 比选申请人在比选申请文件的审查、澄清、评价和比较以及授予合同的过程中，对比选人和评审专家施加影响的任何行为，都将导致取消比选申请资格。</w:t>
      </w:r>
    </w:p>
    <w:p>
      <w:pPr>
        <w:numPr>
          <w:ilvl w:val="0"/>
          <w:numId w:val="6"/>
        </w:numPr>
        <w:shd w:val="clear"/>
        <w:spacing w:before="0" w:after="0" w:afterAutospacing="0"/>
        <w:ind w:left="0" w:right="0" w:firstLine="420" w:firstLineChars="200"/>
        <w:rPr>
          <w:rFonts w:ascii="宋体" w:hAnsi="宋体"/>
          <w:highlight w:val="none"/>
        </w:rPr>
      </w:pPr>
      <w:bookmarkStart w:id="715" w:name="_Toc28701"/>
      <w:bookmarkStart w:id="716" w:name="_Toc27670"/>
      <w:bookmarkStart w:id="717" w:name="_Toc14799"/>
      <w:bookmarkStart w:id="718" w:name="_Toc5983"/>
      <w:bookmarkStart w:id="719" w:name="_Toc13743"/>
      <w:bookmarkStart w:id="720" w:name="_Toc12983533"/>
      <w:bookmarkStart w:id="721" w:name="_Toc11077"/>
      <w:bookmarkStart w:id="722" w:name="_Toc22510"/>
      <w:bookmarkStart w:id="723" w:name="_Toc23267"/>
      <w:bookmarkStart w:id="724" w:name="_Toc6624"/>
      <w:bookmarkStart w:id="725" w:name="_Toc385427823"/>
      <w:bookmarkStart w:id="726" w:name="_Toc28843"/>
      <w:bookmarkStart w:id="727" w:name="_Toc13768"/>
      <w:bookmarkStart w:id="728" w:name="_Toc14860"/>
      <w:bookmarkStart w:id="729" w:name="_Toc24327"/>
      <w:bookmarkStart w:id="730" w:name="_Toc390098449"/>
      <w:bookmarkStart w:id="731" w:name="_Toc28898"/>
      <w:bookmarkStart w:id="732" w:name="_Toc383891198"/>
      <w:bookmarkStart w:id="733" w:name="_Toc1983"/>
      <w:bookmarkStart w:id="734" w:name="_Toc30429"/>
      <w:bookmarkStart w:id="735" w:name="_Toc25750618"/>
      <w:bookmarkStart w:id="736" w:name="_Toc8827"/>
      <w:bookmarkStart w:id="737" w:name="_Toc492478748"/>
      <w:r>
        <w:rPr>
          <w:rFonts w:hint="eastAsia" w:ascii="宋体" w:hAnsi="宋体"/>
          <w:highlight w:val="none"/>
        </w:rPr>
        <w:t>比选申请文件的澄清</w:t>
      </w:r>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p>
      <w:pPr>
        <w:shd w:val="clear"/>
        <w:tabs>
          <w:tab w:val="left" w:pos="420"/>
          <w:tab w:val="left" w:pos="1134"/>
        </w:tabs>
        <w:spacing w:before="0" w:after="0" w:afterAutospacing="0"/>
        <w:ind w:left="0" w:right="0" w:firstLine="420" w:firstLineChars="200"/>
        <w:rPr>
          <w:rFonts w:ascii="宋体" w:hAnsi="宋体" w:cs="Arial"/>
          <w:highlight w:val="none"/>
        </w:rPr>
      </w:pPr>
      <w:r>
        <w:rPr>
          <w:rFonts w:hint="eastAsia" w:ascii="宋体" w:hAnsi="宋体" w:cs="Arial"/>
          <w:highlight w:val="none"/>
        </w:rPr>
        <w:t>25.1 为了有助于比选申请文件的审查、评价和比较，评审委员会可以用书面形式要求比选申请人对比选申请文件含义不明确的内容作必要的澄清或者说明。有关澄清说明与答复、比选申请人应以书面形式进行，但对比选申请报价和实质性的内容不得更改。</w:t>
      </w:r>
    </w:p>
    <w:p>
      <w:pPr>
        <w:numPr>
          <w:ilvl w:val="0"/>
          <w:numId w:val="6"/>
        </w:numPr>
        <w:shd w:val="clear"/>
        <w:spacing w:before="0" w:after="0" w:afterAutospacing="0"/>
        <w:ind w:left="0" w:right="0" w:firstLine="420" w:firstLineChars="200"/>
        <w:rPr>
          <w:rFonts w:ascii="宋体" w:hAnsi="宋体"/>
          <w:highlight w:val="none"/>
        </w:rPr>
      </w:pPr>
      <w:bookmarkStart w:id="738" w:name="_Toc492478749"/>
      <w:bookmarkStart w:id="739" w:name="_Toc383891199"/>
      <w:bookmarkStart w:id="740" w:name="_Toc5926"/>
      <w:bookmarkStart w:id="741" w:name="_Toc5607"/>
      <w:bookmarkStart w:id="742" w:name="_Toc12983534"/>
      <w:bookmarkStart w:id="743" w:name="_Toc26070"/>
      <w:bookmarkStart w:id="744" w:name="_Toc25750619"/>
      <w:bookmarkStart w:id="745" w:name="_Toc12795"/>
      <w:bookmarkStart w:id="746" w:name="_Toc22681"/>
      <w:bookmarkStart w:id="747" w:name="_Toc4397"/>
      <w:bookmarkStart w:id="748" w:name="_Toc390098450"/>
      <w:bookmarkStart w:id="749" w:name="_Toc29146"/>
      <w:bookmarkStart w:id="750" w:name="_Toc1915"/>
      <w:bookmarkStart w:id="751" w:name="_Toc26318"/>
      <w:bookmarkStart w:id="752" w:name="_Toc30017"/>
      <w:bookmarkStart w:id="753" w:name="_Toc18093"/>
      <w:bookmarkStart w:id="754" w:name="_Toc6908"/>
      <w:bookmarkStart w:id="755" w:name="_Toc16884"/>
      <w:bookmarkStart w:id="756" w:name="_Toc28992"/>
      <w:bookmarkStart w:id="757" w:name="_Toc5437"/>
      <w:bookmarkStart w:id="758" w:name="_Toc9040"/>
      <w:bookmarkStart w:id="759" w:name="_Toc20519"/>
      <w:bookmarkStart w:id="760" w:name="_Toc385427824"/>
      <w:r>
        <w:rPr>
          <w:rFonts w:hint="eastAsia" w:ascii="宋体" w:hAnsi="宋体"/>
          <w:highlight w:val="none"/>
        </w:rPr>
        <w:t>比选申请文件响应性的确定</w:t>
      </w:r>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p>
      <w:pPr>
        <w:shd w:val="clear"/>
        <w:tabs>
          <w:tab w:val="left" w:pos="420"/>
          <w:tab w:val="left" w:pos="1134"/>
        </w:tabs>
        <w:spacing w:before="0" w:after="0" w:afterAutospacing="0"/>
        <w:ind w:left="0" w:right="0" w:firstLine="420" w:firstLineChars="200"/>
        <w:rPr>
          <w:rFonts w:ascii="宋体" w:hAnsi="宋体" w:cs="Arial"/>
          <w:highlight w:val="none"/>
        </w:rPr>
      </w:pPr>
      <w:r>
        <w:rPr>
          <w:rFonts w:hint="eastAsia" w:ascii="宋体" w:hAnsi="宋体" w:cs="Arial"/>
          <w:highlight w:val="none"/>
        </w:rPr>
        <w:t>26.1 在详细评审之前，评审委员会将首先审定每份比选申请文件是否在实质上响应了比选文件的要求和规定。</w:t>
      </w:r>
    </w:p>
    <w:p>
      <w:pPr>
        <w:shd w:val="clear"/>
        <w:tabs>
          <w:tab w:val="left" w:pos="420"/>
          <w:tab w:val="left" w:pos="1134"/>
        </w:tabs>
        <w:spacing w:before="0" w:after="0" w:afterAutospacing="0"/>
        <w:ind w:left="0" w:right="0" w:firstLine="420" w:firstLineChars="200"/>
        <w:rPr>
          <w:rFonts w:ascii="宋体" w:hAnsi="宋体" w:cs="Arial"/>
          <w:highlight w:val="none"/>
        </w:rPr>
      </w:pPr>
      <w:r>
        <w:rPr>
          <w:rFonts w:hint="eastAsia" w:ascii="宋体" w:hAnsi="宋体" w:cs="Arial"/>
          <w:highlight w:val="none"/>
        </w:rPr>
        <w:t>26.2 实质上响应要求的比选申请文件，应该是与比选文件要求的全部条款，合同条件和规范相符，无重大差异和保留。所谓重大差异或保留是指对服务的范围、质量及要求产生实质性影响；或者对合同中规定的比选人的权利及比选申请人的责任造成实质性限制；而且纠正这种差异或保留，将会对其他实质上响应要求的比选申请人的竞争地位产生不公正的影响。决定比选申请文件的响应性只根据比选申请文件本身的内容，而不寻求外部的证据。</w:t>
      </w:r>
    </w:p>
    <w:p>
      <w:pPr>
        <w:shd w:val="clear"/>
        <w:tabs>
          <w:tab w:val="left" w:pos="420"/>
          <w:tab w:val="left" w:pos="1134"/>
        </w:tabs>
        <w:spacing w:before="0" w:after="0" w:afterAutospacing="0"/>
        <w:ind w:left="0" w:right="0" w:firstLine="420" w:firstLineChars="200"/>
        <w:rPr>
          <w:rFonts w:ascii="宋体" w:hAnsi="宋体" w:cs="Arial"/>
          <w:highlight w:val="none"/>
        </w:rPr>
      </w:pPr>
      <w:r>
        <w:rPr>
          <w:rFonts w:hint="eastAsia" w:ascii="宋体" w:hAnsi="宋体" w:cs="Arial"/>
          <w:highlight w:val="none"/>
        </w:rPr>
        <w:t>26.3 如果比选申请文件实质上不响应比选文件的要求，比选人将予以拒绝，并且不允许比选申请人通过修正或撤销其不符要求的差异或保留使之成为具有响应性的比选申请。</w:t>
      </w:r>
    </w:p>
    <w:p>
      <w:pPr>
        <w:numPr>
          <w:ilvl w:val="0"/>
          <w:numId w:val="6"/>
        </w:numPr>
        <w:shd w:val="clear"/>
        <w:spacing w:before="0" w:after="0" w:afterAutospacing="0"/>
        <w:ind w:left="0" w:right="0" w:firstLine="420" w:firstLineChars="200"/>
        <w:rPr>
          <w:rFonts w:ascii="宋体" w:hAnsi="宋体"/>
          <w:highlight w:val="none"/>
        </w:rPr>
      </w:pPr>
      <w:bookmarkStart w:id="761" w:name="_Toc15051"/>
      <w:bookmarkStart w:id="762" w:name="_Toc12983535"/>
      <w:bookmarkStart w:id="763" w:name="_Toc29398"/>
      <w:bookmarkStart w:id="764" w:name="_Toc25750620"/>
      <w:bookmarkStart w:id="765" w:name="_Toc390098451"/>
      <w:bookmarkStart w:id="766" w:name="_Toc20874"/>
      <w:bookmarkStart w:id="767" w:name="_Toc19477"/>
      <w:bookmarkStart w:id="768" w:name="_Toc20912"/>
      <w:bookmarkStart w:id="769" w:name="_Toc23956"/>
      <w:bookmarkStart w:id="770" w:name="_Toc383891200"/>
      <w:bookmarkStart w:id="771" w:name="_Toc21468"/>
      <w:bookmarkStart w:id="772" w:name="_Toc12167"/>
      <w:bookmarkStart w:id="773" w:name="_Toc22063"/>
      <w:bookmarkStart w:id="774" w:name="_Toc22146"/>
      <w:bookmarkStart w:id="775" w:name="_Toc17236"/>
      <w:bookmarkStart w:id="776" w:name="_Toc492478750"/>
      <w:bookmarkStart w:id="777" w:name="_Toc385427825"/>
      <w:bookmarkStart w:id="778" w:name="_Toc1027"/>
      <w:bookmarkStart w:id="779" w:name="_Toc31646"/>
      <w:bookmarkStart w:id="780" w:name="_Toc20810"/>
      <w:bookmarkStart w:id="781" w:name="_Toc23999"/>
      <w:bookmarkStart w:id="782" w:name="_Toc23808"/>
      <w:bookmarkStart w:id="783" w:name="_Toc26239"/>
      <w:r>
        <w:rPr>
          <w:rFonts w:hint="eastAsia" w:ascii="宋体" w:hAnsi="宋体"/>
          <w:highlight w:val="none"/>
        </w:rPr>
        <w:t>比选申请文件计算错误的修正</w:t>
      </w:r>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p>
    <w:p>
      <w:pPr>
        <w:shd w:val="clear"/>
        <w:tabs>
          <w:tab w:val="left" w:pos="420"/>
          <w:tab w:val="left" w:pos="1134"/>
        </w:tabs>
        <w:spacing w:before="0" w:after="0" w:afterAutospacing="0"/>
        <w:ind w:left="0" w:right="0" w:firstLine="420" w:firstLineChars="200"/>
        <w:rPr>
          <w:rFonts w:ascii="宋体" w:hAnsi="宋体" w:cs="Arial"/>
          <w:highlight w:val="none"/>
        </w:rPr>
      </w:pPr>
      <w:r>
        <w:rPr>
          <w:rFonts w:hint="eastAsia" w:ascii="宋体" w:hAnsi="宋体" w:cs="Arial"/>
          <w:highlight w:val="none"/>
        </w:rPr>
        <w:t>27.1 比选申请报价大写金额与小写金额不一致的，以大写金额为准；</w:t>
      </w:r>
      <w:r>
        <w:rPr>
          <w:rFonts w:ascii="宋体" w:hAnsi="宋体"/>
          <w:highlight w:val="none"/>
        </w:rPr>
        <w:t>总价金额与单价</w:t>
      </w:r>
      <w:r>
        <w:rPr>
          <w:rFonts w:hint="eastAsia" w:ascii="宋体" w:hAnsi="宋体"/>
          <w:highlight w:val="none"/>
        </w:rPr>
        <w:t>乘以数量的合计</w:t>
      </w:r>
      <w:r>
        <w:rPr>
          <w:rFonts w:ascii="宋体" w:hAnsi="宋体"/>
          <w:highlight w:val="none"/>
        </w:rPr>
        <w:t>计算出的结果不一致的，以单价为准修正总价，但单价金额小数点有明显错误的除外。</w:t>
      </w:r>
    </w:p>
    <w:p>
      <w:pPr>
        <w:shd w:val="clear"/>
        <w:tabs>
          <w:tab w:val="left" w:pos="420"/>
          <w:tab w:val="left" w:pos="1134"/>
        </w:tabs>
        <w:spacing w:before="0" w:after="0" w:afterAutospacing="0"/>
        <w:ind w:left="0" w:right="0" w:firstLine="420" w:firstLineChars="200"/>
        <w:rPr>
          <w:rFonts w:ascii="宋体" w:hAnsi="宋体" w:cs="Arial"/>
          <w:highlight w:val="none"/>
        </w:rPr>
      </w:pPr>
      <w:r>
        <w:rPr>
          <w:rFonts w:hint="eastAsia" w:ascii="宋体" w:hAnsi="宋体" w:cs="Arial"/>
          <w:highlight w:val="none"/>
        </w:rPr>
        <w:t>27.2 按上述修正错误的原则及方法修正后的总价经比选申请人书面确认后作为评审价，比选申请人不接受修正价格的，其比选申请</w:t>
      </w:r>
      <w:r>
        <w:rPr>
          <w:rFonts w:hint="eastAsia" w:ascii="宋体" w:hAnsi="宋体"/>
          <w:highlight w:val="none"/>
        </w:rPr>
        <w:t>将按否决比选申请处理</w:t>
      </w:r>
      <w:r>
        <w:rPr>
          <w:rFonts w:hint="eastAsia" w:ascii="宋体" w:hAnsi="宋体" w:cs="Arial"/>
          <w:highlight w:val="none"/>
        </w:rPr>
        <w:t>。</w:t>
      </w:r>
      <w:r>
        <w:rPr>
          <w:rFonts w:hint="eastAsia" w:ascii="宋体" w:hAnsi="宋体"/>
          <w:highlight w:val="none"/>
        </w:rPr>
        <w:t>修正后的总价若高于比选申请报价，则中选价以比选申请报价为准，评审总价以修正后的总价为准；修正后的总价若低于比选申请报价，则中选价以修正后总价为准，评审总价以比选申请报价为准</w:t>
      </w:r>
      <w:r>
        <w:rPr>
          <w:rFonts w:hint="eastAsia" w:ascii="宋体" w:hAnsi="宋体" w:cs="Arial"/>
          <w:highlight w:val="none"/>
        </w:rPr>
        <w:t>，但并不减免中选人应承担的工作。</w:t>
      </w:r>
    </w:p>
    <w:p>
      <w:pPr>
        <w:numPr>
          <w:ilvl w:val="0"/>
          <w:numId w:val="6"/>
        </w:numPr>
        <w:shd w:val="clear"/>
        <w:spacing w:before="0" w:after="0" w:afterAutospacing="0"/>
        <w:ind w:left="0" w:right="0" w:firstLine="420" w:firstLineChars="200"/>
        <w:rPr>
          <w:rFonts w:ascii="宋体" w:hAnsi="宋体"/>
          <w:highlight w:val="none"/>
        </w:rPr>
      </w:pPr>
      <w:bookmarkStart w:id="784" w:name="_Toc383891201"/>
      <w:bookmarkStart w:id="785" w:name="_Toc24176"/>
      <w:bookmarkStart w:id="786" w:name="_Toc5319"/>
      <w:bookmarkStart w:id="787" w:name="_Toc492478751"/>
      <w:bookmarkStart w:id="788" w:name="_Toc1004"/>
      <w:bookmarkStart w:id="789" w:name="_Toc22994"/>
      <w:bookmarkStart w:id="790" w:name="_Toc20854"/>
      <w:bookmarkStart w:id="791" w:name="_Toc390098452"/>
      <w:bookmarkStart w:id="792" w:name="_Toc9737"/>
      <w:bookmarkStart w:id="793" w:name="_Toc20444"/>
      <w:bookmarkStart w:id="794" w:name="_Toc29276"/>
      <w:bookmarkStart w:id="795" w:name="_Toc4958"/>
      <w:bookmarkStart w:id="796" w:name="_Toc25750621"/>
      <w:bookmarkStart w:id="797" w:name="_Toc12983536"/>
      <w:bookmarkStart w:id="798" w:name="_Toc9812"/>
      <w:bookmarkStart w:id="799" w:name="_Toc3258"/>
      <w:bookmarkStart w:id="800" w:name="_Toc20881"/>
      <w:bookmarkStart w:id="801" w:name="_Toc19936"/>
      <w:bookmarkStart w:id="802" w:name="_Toc23907"/>
      <w:bookmarkStart w:id="803" w:name="_Toc16418"/>
      <w:bookmarkStart w:id="804" w:name="_Toc27112"/>
      <w:bookmarkStart w:id="805" w:name="_Toc8959"/>
      <w:bookmarkStart w:id="806" w:name="_Toc385427826"/>
      <w:r>
        <w:rPr>
          <w:rFonts w:hint="eastAsia" w:ascii="宋体" w:hAnsi="宋体"/>
          <w:highlight w:val="none"/>
        </w:rPr>
        <w:t>比选申请文件的评价与比较</w:t>
      </w:r>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p>
    <w:p>
      <w:pPr>
        <w:shd w:val="clear"/>
        <w:tabs>
          <w:tab w:val="left" w:pos="420"/>
          <w:tab w:val="left" w:pos="1134"/>
        </w:tabs>
        <w:spacing w:before="0" w:after="0" w:afterAutospacing="0"/>
        <w:ind w:left="0" w:right="0" w:firstLine="420" w:firstLineChars="200"/>
        <w:rPr>
          <w:rFonts w:ascii="宋体" w:hAnsi="宋体" w:cs="Arial"/>
          <w:highlight w:val="none"/>
        </w:rPr>
      </w:pPr>
      <w:r>
        <w:rPr>
          <w:rFonts w:hint="eastAsia" w:ascii="宋体" w:hAnsi="宋体" w:cs="Arial"/>
          <w:highlight w:val="none"/>
        </w:rPr>
        <w:t>28.1 《评审办法》详见比选文件第六章，比选人将按照《评审办法》对本须知第26条确定为实质上响应比选文件要求的比选申请文件进行评价与比较。</w:t>
      </w:r>
    </w:p>
    <w:p>
      <w:pPr>
        <w:shd w:val="clear"/>
        <w:tabs>
          <w:tab w:val="left" w:pos="420"/>
          <w:tab w:val="left" w:pos="1134"/>
        </w:tabs>
        <w:spacing w:before="0" w:after="0" w:afterAutospacing="0"/>
        <w:ind w:left="0" w:right="0" w:firstLine="420" w:firstLineChars="200"/>
        <w:rPr>
          <w:rFonts w:ascii="宋体" w:hAnsi="宋体" w:cs="Arial"/>
          <w:highlight w:val="none"/>
        </w:rPr>
      </w:pPr>
      <w:r>
        <w:rPr>
          <w:rFonts w:hint="eastAsia" w:ascii="宋体" w:hAnsi="宋体" w:cs="Arial"/>
          <w:highlight w:val="none"/>
        </w:rPr>
        <w:t>28.2 评审将按《评审办法》规定执行。</w:t>
      </w:r>
      <w:bookmarkEnd w:id="712"/>
    </w:p>
    <w:p>
      <w:pPr>
        <w:numPr>
          <w:ilvl w:val="0"/>
          <w:numId w:val="6"/>
        </w:numPr>
        <w:shd w:val="clear"/>
        <w:spacing w:before="0" w:after="0" w:afterAutospacing="0"/>
        <w:ind w:left="0" w:right="0" w:firstLine="420" w:firstLineChars="200"/>
        <w:rPr>
          <w:rFonts w:ascii="宋体" w:hAnsi="宋体"/>
          <w:highlight w:val="none"/>
        </w:rPr>
      </w:pPr>
      <w:bookmarkStart w:id="807" w:name="_Toc15146"/>
      <w:bookmarkStart w:id="808" w:name="_Toc25750622"/>
      <w:bookmarkStart w:id="809" w:name="_Toc3358"/>
      <w:bookmarkStart w:id="810" w:name="_Toc31774"/>
      <w:bookmarkStart w:id="811" w:name="_Toc17460"/>
      <w:bookmarkStart w:id="812" w:name="_Toc19322"/>
      <w:bookmarkStart w:id="813" w:name="_Toc1450"/>
      <w:bookmarkStart w:id="814" w:name="_Toc22500"/>
      <w:bookmarkStart w:id="815" w:name="_Toc14300"/>
      <w:bookmarkStart w:id="816" w:name="_Toc27803"/>
      <w:bookmarkStart w:id="817" w:name="_Toc383891202"/>
      <w:bookmarkStart w:id="818" w:name="_Toc28489"/>
      <w:bookmarkStart w:id="819" w:name="_Toc390098453"/>
      <w:bookmarkStart w:id="820" w:name="_Toc27289"/>
      <w:bookmarkStart w:id="821" w:name="_Toc507"/>
      <w:bookmarkStart w:id="822" w:name="_Toc8074"/>
      <w:bookmarkStart w:id="823" w:name="_Toc11657"/>
      <w:bookmarkStart w:id="824" w:name="_Toc385427827"/>
      <w:bookmarkStart w:id="825" w:name="_Toc11010"/>
      <w:bookmarkStart w:id="826" w:name="_Toc12983537"/>
      <w:bookmarkStart w:id="827" w:name="_Toc492478752"/>
      <w:bookmarkStart w:id="828" w:name="_Toc32344"/>
      <w:bookmarkStart w:id="829" w:name="_Toc8845"/>
      <w:r>
        <w:rPr>
          <w:rFonts w:hint="eastAsia" w:ascii="宋体" w:hAnsi="宋体"/>
          <w:highlight w:val="none"/>
        </w:rPr>
        <w:t>定标</w:t>
      </w:r>
      <w:bookmarkEnd w:id="713"/>
      <w:bookmarkEnd w:id="714"/>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pPr>
        <w:shd w:val="clear"/>
        <w:tabs>
          <w:tab w:val="left" w:pos="1134"/>
          <w:tab w:val="left" w:pos="8364"/>
        </w:tabs>
        <w:spacing w:before="0" w:after="0" w:afterAutospacing="0"/>
        <w:ind w:left="0" w:right="0" w:firstLine="420" w:firstLineChars="200"/>
        <w:rPr>
          <w:rFonts w:ascii="宋体" w:hAnsi="宋体" w:cs="Arial"/>
          <w:highlight w:val="none"/>
        </w:rPr>
      </w:pPr>
      <w:r>
        <w:rPr>
          <w:rFonts w:ascii="宋体" w:hAnsi="宋体" w:cs="Arial"/>
          <w:highlight w:val="none"/>
        </w:rPr>
        <w:t>29.1</w:t>
      </w:r>
      <w:r>
        <w:rPr>
          <w:rFonts w:hint="eastAsia" w:ascii="宋体" w:hAnsi="宋体" w:cs="Arial"/>
          <w:highlight w:val="none"/>
        </w:rPr>
        <w:t xml:space="preserve"> 经评审后，评审委员会将报价最低的比选申请人推荐为中选候选人。价格相同的，以评审委员会以记名投票的方式按少数服从多数的原则决定其排名顺序。</w:t>
      </w:r>
    </w:p>
    <w:p>
      <w:pPr>
        <w:shd w:val="clear"/>
        <w:tabs>
          <w:tab w:val="left" w:pos="1134"/>
          <w:tab w:val="left" w:pos="8364"/>
        </w:tabs>
        <w:spacing w:before="0" w:after="0" w:afterAutospacing="0"/>
        <w:ind w:left="0" w:right="0" w:firstLine="420" w:firstLineChars="200"/>
        <w:rPr>
          <w:rFonts w:ascii="宋体" w:hAnsi="宋体" w:cs="Arial"/>
          <w:highlight w:val="none"/>
        </w:rPr>
      </w:pPr>
      <w:r>
        <w:rPr>
          <w:rFonts w:ascii="宋体" w:hAnsi="宋体" w:cs="Arial"/>
          <w:highlight w:val="none"/>
        </w:rPr>
        <w:t>29.2</w:t>
      </w:r>
      <w:r>
        <w:rPr>
          <w:rFonts w:hint="eastAsia" w:ascii="宋体" w:hAnsi="宋体" w:cs="Arial"/>
          <w:highlight w:val="none"/>
        </w:rPr>
        <w:t>比选人应当确定排名第一的中选候选人为中选人。排名第一的中选候选人放弃中选、因不可抗力不能履行合同、不按照比选文件要求提交履约保证金，或者被查实存在影响中选结果的违法行为等情形，不符合中选条件的，比选人可以按照评审委员会提出的中选候选人名单排序依次确定其他中选候选人为中选人，也可以重新比选。同时，比选人有权禁止其1年内不得参与属于比选人的项目。</w:t>
      </w:r>
    </w:p>
    <w:p>
      <w:pPr>
        <w:shd w:val="clear"/>
        <w:tabs>
          <w:tab w:val="left" w:pos="1134"/>
          <w:tab w:val="left" w:pos="8364"/>
        </w:tabs>
        <w:spacing w:before="0" w:after="0" w:afterAutospacing="0"/>
        <w:ind w:left="0" w:right="0" w:firstLine="420" w:firstLineChars="200"/>
        <w:rPr>
          <w:rFonts w:ascii="宋体" w:hAnsi="宋体" w:cs="Arial"/>
          <w:highlight w:val="none"/>
        </w:rPr>
      </w:pPr>
      <w:r>
        <w:rPr>
          <w:rFonts w:ascii="宋体" w:hAnsi="宋体" w:cs="Arial"/>
          <w:highlight w:val="none"/>
        </w:rPr>
        <w:t>29.3</w:t>
      </w:r>
      <w:r>
        <w:rPr>
          <w:rFonts w:hint="eastAsia" w:ascii="宋体" w:hAnsi="宋体" w:cs="Arial"/>
          <w:highlight w:val="none"/>
        </w:rPr>
        <w:t>比选申请人应确保提供的资料真实无误，如有弄虚作假的情况，一经查实，取消比选申请资格，已经中选的取消中选资格。</w:t>
      </w:r>
    </w:p>
    <w:p>
      <w:pPr>
        <w:shd w:val="clear"/>
        <w:tabs>
          <w:tab w:val="left" w:pos="1134"/>
          <w:tab w:val="left" w:pos="8364"/>
        </w:tabs>
        <w:spacing w:before="0" w:after="0" w:afterAutospacing="0"/>
        <w:ind w:left="0" w:right="0" w:firstLine="420" w:firstLineChars="200"/>
        <w:rPr>
          <w:rFonts w:ascii="宋体" w:hAnsi="宋体" w:cs="Arial"/>
          <w:highlight w:val="none"/>
        </w:rPr>
      </w:pPr>
      <w:r>
        <w:rPr>
          <w:rFonts w:ascii="宋体" w:hAnsi="宋体" w:cs="Arial"/>
          <w:highlight w:val="none"/>
        </w:rPr>
        <w:t>29.4</w:t>
      </w:r>
      <w:r>
        <w:rPr>
          <w:rFonts w:hint="eastAsia" w:ascii="宋体" w:hAnsi="宋体" w:cs="Arial"/>
          <w:highlight w:val="none"/>
        </w:rPr>
        <w:t>比选人确定的中选人必须按有关规定进行公示。</w:t>
      </w:r>
    </w:p>
    <w:p>
      <w:pPr>
        <w:shd w:val="clear"/>
        <w:tabs>
          <w:tab w:val="left" w:pos="1134"/>
          <w:tab w:val="left" w:pos="8364"/>
        </w:tabs>
        <w:spacing w:before="0" w:after="0" w:afterAutospacing="0"/>
        <w:ind w:left="0" w:right="0" w:firstLine="420" w:firstLineChars="200"/>
        <w:rPr>
          <w:rFonts w:ascii="宋体" w:hAnsi="宋体"/>
          <w:highlight w:val="none"/>
        </w:rPr>
      </w:pPr>
      <w:r>
        <w:rPr>
          <w:rFonts w:ascii="宋体" w:hAnsi="宋体" w:cs="Arial"/>
          <w:highlight w:val="none"/>
        </w:rPr>
        <w:t>29.5</w:t>
      </w:r>
      <w:r>
        <w:rPr>
          <w:rFonts w:hint="eastAsia" w:ascii="宋体" w:hAnsi="宋体" w:cs="Arial"/>
          <w:highlight w:val="none"/>
        </w:rPr>
        <w:t>评审委员会评审结束后，比选人经审查发现评审过程中有明显错误，可以组织原评审委员会进行复评。</w:t>
      </w:r>
    </w:p>
    <w:p>
      <w:pPr>
        <w:numPr>
          <w:ilvl w:val="0"/>
          <w:numId w:val="6"/>
        </w:numPr>
        <w:shd w:val="clear"/>
        <w:spacing w:before="0" w:after="0" w:afterAutospacing="0"/>
        <w:ind w:left="0" w:right="0" w:firstLine="420" w:firstLineChars="200"/>
        <w:rPr>
          <w:rFonts w:ascii="宋体" w:hAnsi="宋体"/>
          <w:highlight w:val="none"/>
        </w:rPr>
      </w:pPr>
      <w:bookmarkStart w:id="830" w:name="_Toc19634"/>
      <w:bookmarkStart w:id="831" w:name="_Toc15932"/>
      <w:bookmarkStart w:id="832" w:name="_Toc12983538"/>
      <w:bookmarkStart w:id="833" w:name="_Toc18192"/>
      <w:bookmarkStart w:id="834" w:name="_Toc37"/>
      <w:bookmarkStart w:id="835" w:name="_Toc26470"/>
      <w:bookmarkStart w:id="836" w:name="_Toc3761"/>
      <w:bookmarkStart w:id="837" w:name="_Toc5172"/>
      <w:bookmarkStart w:id="838" w:name="_Toc21947"/>
      <w:bookmarkStart w:id="839" w:name="_Toc14042"/>
      <w:bookmarkStart w:id="840" w:name="_Toc16732"/>
      <w:bookmarkStart w:id="841" w:name="_Toc22182"/>
      <w:bookmarkStart w:id="842" w:name="_Toc13986"/>
      <w:bookmarkStart w:id="843" w:name="_Toc17823"/>
      <w:bookmarkStart w:id="844" w:name="_Toc492478753"/>
      <w:bookmarkStart w:id="845" w:name="_Toc1215"/>
      <w:bookmarkStart w:id="846" w:name="_Toc21142"/>
      <w:bookmarkStart w:id="847" w:name="_Toc5257"/>
      <w:bookmarkStart w:id="848" w:name="_Toc385427828"/>
      <w:bookmarkStart w:id="849" w:name="_Toc375039095"/>
      <w:bookmarkStart w:id="850" w:name="_Toc27664"/>
      <w:bookmarkStart w:id="851" w:name="_Toc383891203"/>
      <w:bookmarkStart w:id="852" w:name="_Toc390098454"/>
      <w:bookmarkStart w:id="853" w:name="_Toc25750623"/>
      <w:r>
        <w:rPr>
          <w:rFonts w:hint="eastAsia" w:ascii="宋体" w:hAnsi="宋体"/>
          <w:highlight w:val="none"/>
        </w:rPr>
        <w:t>重新</w:t>
      </w:r>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r>
        <w:rPr>
          <w:rFonts w:hint="eastAsia" w:ascii="宋体" w:hAnsi="宋体"/>
          <w:highlight w:val="none"/>
        </w:rPr>
        <w:t>比选</w:t>
      </w:r>
      <w:bookmarkEnd w:id="853"/>
    </w:p>
    <w:p>
      <w:pPr>
        <w:shd w:val="clear"/>
        <w:tabs>
          <w:tab w:val="left" w:pos="1134"/>
          <w:tab w:val="left" w:pos="8364"/>
        </w:tabs>
        <w:spacing w:before="0" w:after="0" w:afterAutospacing="0"/>
        <w:ind w:left="0" w:right="0" w:firstLine="420" w:firstLineChars="200"/>
        <w:rPr>
          <w:rFonts w:ascii="宋体" w:hAnsi="宋体"/>
          <w:highlight w:val="none"/>
        </w:rPr>
      </w:pPr>
      <w:r>
        <w:rPr>
          <w:rFonts w:ascii="宋体" w:hAnsi="宋体"/>
          <w:highlight w:val="none"/>
        </w:rPr>
        <w:t>出现下列特殊情况之一时，可重新</w:t>
      </w:r>
      <w:r>
        <w:rPr>
          <w:rFonts w:hint="eastAsia" w:ascii="宋体" w:hAnsi="宋体"/>
          <w:highlight w:val="none"/>
        </w:rPr>
        <w:t>比选</w:t>
      </w:r>
      <w:r>
        <w:rPr>
          <w:rFonts w:ascii="宋体" w:hAnsi="宋体"/>
          <w:highlight w:val="none"/>
        </w:rPr>
        <w:t>：</w:t>
      </w:r>
    </w:p>
    <w:p>
      <w:pPr>
        <w:shd w:val="clea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30.1</w:t>
      </w:r>
      <w:r>
        <w:rPr>
          <w:rFonts w:ascii="宋体" w:hAnsi="宋体"/>
          <w:highlight w:val="none"/>
        </w:rPr>
        <w:t>在比选申请截止时间到达时提交比选申请文件的比选申请人</w:t>
      </w:r>
      <w:r>
        <w:rPr>
          <w:rFonts w:hint="eastAsia" w:ascii="宋体" w:hAnsi="宋体"/>
          <w:highlight w:val="none"/>
        </w:rPr>
        <w:t>不足3家</w:t>
      </w:r>
      <w:r>
        <w:rPr>
          <w:rFonts w:ascii="宋体" w:hAnsi="宋体"/>
          <w:highlight w:val="none"/>
        </w:rPr>
        <w:t>的；</w:t>
      </w:r>
    </w:p>
    <w:p>
      <w:pPr>
        <w:shd w:val="clea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30.2</w:t>
      </w:r>
      <w:r>
        <w:rPr>
          <w:rFonts w:ascii="宋体" w:hAnsi="宋体"/>
          <w:highlight w:val="none"/>
        </w:rPr>
        <w:t>评审委员会否决不合格比选申请或者界定为否决比选申请后，因有效比选申请不足三</w:t>
      </w:r>
      <w:r>
        <w:rPr>
          <w:rFonts w:hint="eastAsia" w:ascii="宋体" w:hAnsi="宋体"/>
          <w:highlight w:val="none"/>
        </w:rPr>
        <w:t>家</w:t>
      </w:r>
      <w:r>
        <w:rPr>
          <w:rFonts w:ascii="宋体" w:hAnsi="宋体"/>
          <w:highlight w:val="none"/>
        </w:rPr>
        <w:t>使得比选申请明显缺乏竞争性的（当有效比选申请</w:t>
      </w:r>
      <w:r>
        <w:rPr>
          <w:rFonts w:hint="eastAsia" w:ascii="宋体" w:hAnsi="宋体"/>
          <w:highlight w:val="none"/>
        </w:rPr>
        <w:t>只剩余两家</w:t>
      </w:r>
      <w:r>
        <w:rPr>
          <w:rFonts w:ascii="宋体" w:hAnsi="宋体"/>
          <w:highlight w:val="none"/>
        </w:rPr>
        <w:t>时，评审委员会认为剩余的比选申请文件仍具有竞争性的，应继续评审）；</w:t>
      </w:r>
    </w:p>
    <w:p>
      <w:pPr>
        <w:shd w:val="clear"/>
        <w:tabs>
          <w:tab w:val="left" w:pos="1134"/>
          <w:tab w:val="left" w:pos="8364"/>
        </w:tabs>
        <w:spacing w:before="0" w:after="0" w:afterAutospacing="0"/>
        <w:ind w:left="0" w:right="0" w:firstLine="420" w:firstLineChars="200"/>
        <w:rPr>
          <w:rFonts w:ascii="宋体" w:hAnsi="宋体"/>
          <w:highlight w:val="none"/>
        </w:rPr>
      </w:pPr>
      <w:r>
        <w:rPr>
          <w:rFonts w:ascii="宋体" w:hAnsi="宋体"/>
          <w:highlight w:val="none"/>
        </w:rPr>
        <w:t>30.</w:t>
      </w:r>
      <w:r>
        <w:rPr>
          <w:rFonts w:hint="eastAsia" w:ascii="宋体" w:hAnsi="宋体"/>
          <w:highlight w:val="none"/>
        </w:rPr>
        <w:t>3</w:t>
      </w:r>
      <w:r>
        <w:rPr>
          <w:rFonts w:ascii="宋体" w:hAnsi="宋体"/>
          <w:highlight w:val="none"/>
        </w:rPr>
        <w:t>评审委员会决定否决全部比选申请的；</w:t>
      </w:r>
    </w:p>
    <w:p>
      <w:pPr>
        <w:shd w:val="clea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30.4</w:t>
      </w:r>
      <w:r>
        <w:rPr>
          <w:rFonts w:ascii="宋体" w:hAnsi="宋体"/>
          <w:highlight w:val="none"/>
        </w:rPr>
        <w:t>中选候选人均放弃中选资格</w:t>
      </w:r>
      <w:r>
        <w:rPr>
          <w:rFonts w:hint="eastAsia" w:ascii="宋体" w:hAnsi="宋体"/>
          <w:highlight w:val="none"/>
        </w:rPr>
        <w:t>的</w:t>
      </w:r>
      <w:r>
        <w:rPr>
          <w:rFonts w:ascii="宋体" w:hAnsi="宋体"/>
          <w:highlight w:val="none"/>
        </w:rPr>
        <w:t>；</w:t>
      </w:r>
    </w:p>
    <w:p>
      <w:pPr>
        <w:shd w:val="clea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30.5</w:t>
      </w:r>
      <w:r>
        <w:rPr>
          <w:rFonts w:ascii="宋体" w:hAnsi="宋体"/>
          <w:highlight w:val="none"/>
        </w:rPr>
        <w:t>根据本须知15</w:t>
      </w:r>
      <w:r>
        <w:rPr>
          <w:rFonts w:hint="eastAsia" w:ascii="宋体" w:hAnsi="宋体"/>
          <w:highlight w:val="none"/>
        </w:rPr>
        <w:t>.2</w:t>
      </w:r>
      <w:r>
        <w:rPr>
          <w:rFonts w:ascii="宋体" w:hAnsi="宋体"/>
          <w:highlight w:val="none"/>
        </w:rPr>
        <w:t>条规定，</w:t>
      </w:r>
      <w:r>
        <w:rPr>
          <w:rFonts w:hint="eastAsia" w:ascii="宋体" w:hAnsi="宋体"/>
          <w:highlight w:val="none"/>
        </w:rPr>
        <w:t>所有中选候选人均不同意在比选申请有效期内延长比选申请有效期的。</w:t>
      </w:r>
    </w:p>
    <w:p>
      <w:pPr>
        <w:shd w:val="clea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30.6比选文件中规定的其他情况。</w:t>
      </w:r>
    </w:p>
    <w:p>
      <w:pPr>
        <w:numPr>
          <w:ilvl w:val="0"/>
          <w:numId w:val="6"/>
        </w:numPr>
        <w:shd w:val="clear"/>
        <w:spacing w:before="0" w:after="0" w:afterAutospacing="0"/>
        <w:ind w:left="0" w:right="0" w:firstLine="420" w:firstLineChars="200"/>
        <w:rPr>
          <w:rFonts w:ascii="宋体" w:hAnsi="宋体"/>
          <w:highlight w:val="none"/>
        </w:rPr>
      </w:pPr>
      <w:bookmarkStart w:id="854" w:name="_Toc31757"/>
      <w:bookmarkStart w:id="855" w:name="_Toc25257"/>
      <w:bookmarkStart w:id="856" w:name="_Toc26954"/>
      <w:bookmarkStart w:id="857" w:name="_Toc2422"/>
      <w:bookmarkStart w:id="858" w:name="_Toc492478754"/>
      <w:bookmarkStart w:id="859" w:name="_Toc385427829"/>
      <w:bookmarkStart w:id="860" w:name="_Toc3769"/>
      <w:bookmarkStart w:id="861" w:name="_Toc14235"/>
      <w:bookmarkStart w:id="862" w:name="_Toc12031"/>
      <w:bookmarkStart w:id="863" w:name="_Toc6886"/>
      <w:bookmarkStart w:id="864" w:name="_Toc1945"/>
      <w:bookmarkStart w:id="865" w:name="_Toc26919"/>
      <w:bookmarkStart w:id="866" w:name="_Toc390098455"/>
      <w:bookmarkStart w:id="867" w:name="_Toc1116"/>
      <w:bookmarkStart w:id="868" w:name="_Toc383891204"/>
      <w:bookmarkStart w:id="869" w:name="_Toc17042"/>
      <w:bookmarkStart w:id="870" w:name="_Toc5959"/>
      <w:bookmarkStart w:id="871" w:name="_Toc10962"/>
      <w:bookmarkStart w:id="872" w:name="_Toc14454"/>
      <w:bookmarkStart w:id="873" w:name="_Toc12983539"/>
      <w:bookmarkStart w:id="874" w:name="_Toc20979"/>
      <w:bookmarkStart w:id="875" w:name="_Toc375039096"/>
      <w:bookmarkStart w:id="876" w:name="_Toc11126"/>
      <w:bookmarkStart w:id="877" w:name="_Toc25750624"/>
      <w:r>
        <w:rPr>
          <w:rFonts w:hint="eastAsia" w:ascii="宋体" w:hAnsi="宋体"/>
          <w:highlight w:val="none"/>
        </w:rPr>
        <w:t>不再</w:t>
      </w:r>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r>
        <w:rPr>
          <w:rFonts w:hint="eastAsia" w:ascii="宋体" w:hAnsi="宋体"/>
          <w:highlight w:val="none"/>
        </w:rPr>
        <w:t>比选</w:t>
      </w:r>
      <w:bookmarkEnd w:id="877"/>
    </w:p>
    <w:p>
      <w:pPr>
        <w:shd w:val="clear"/>
        <w:tabs>
          <w:tab w:val="left" w:pos="1155"/>
          <w:tab w:val="left" w:pos="8364"/>
        </w:tabs>
        <w:spacing w:before="0" w:after="0" w:afterAutospacing="0"/>
        <w:ind w:left="0" w:right="0" w:firstLine="420" w:firstLineChars="200"/>
        <w:rPr>
          <w:rFonts w:ascii="宋体" w:hAnsi="宋体"/>
          <w:highlight w:val="none"/>
        </w:rPr>
      </w:pPr>
      <w:r>
        <w:rPr>
          <w:rFonts w:ascii="宋体" w:hAnsi="宋体"/>
          <w:highlight w:val="none"/>
        </w:rPr>
        <w:t>项目</w:t>
      </w:r>
      <w:r>
        <w:rPr>
          <w:rFonts w:hint="eastAsia" w:ascii="宋体" w:hAnsi="宋体"/>
          <w:highlight w:val="none"/>
        </w:rPr>
        <w:t>比选</w:t>
      </w:r>
      <w:r>
        <w:rPr>
          <w:rFonts w:ascii="宋体" w:hAnsi="宋体"/>
          <w:highlight w:val="none"/>
        </w:rPr>
        <w:t>经</w:t>
      </w:r>
      <w:r>
        <w:rPr>
          <w:rFonts w:hint="eastAsia" w:ascii="宋体" w:hAnsi="宋体"/>
          <w:highlight w:val="none"/>
          <w:lang w:val="en-US" w:eastAsia="zh-CN"/>
        </w:rPr>
        <w:t>两</w:t>
      </w:r>
      <w:r>
        <w:rPr>
          <w:rFonts w:ascii="宋体" w:hAnsi="宋体"/>
          <w:highlight w:val="none"/>
        </w:rPr>
        <w:t>次发布信息后比选申请人仍少于三个或重新</w:t>
      </w:r>
      <w:r>
        <w:rPr>
          <w:rFonts w:hint="eastAsia" w:ascii="宋体" w:hAnsi="宋体"/>
          <w:highlight w:val="none"/>
        </w:rPr>
        <w:t>比选</w:t>
      </w:r>
      <w:r>
        <w:rPr>
          <w:rFonts w:ascii="宋体" w:hAnsi="宋体"/>
          <w:highlight w:val="none"/>
        </w:rPr>
        <w:t>后有效比选申请人仍少于三个或者所有比选申请被否决的，比选人可不再进行</w:t>
      </w:r>
      <w:r>
        <w:rPr>
          <w:rFonts w:hint="eastAsia" w:ascii="宋体" w:hAnsi="宋体"/>
          <w:highlight w:val="none"/>
        </w:rPr>
        <w:t>比选</w:t>
      </w:r>
      <w:r>
        <w:rPr>
          <w:rFonts w:ascii="宋体" w:hAnsi="宋体"/>
          <w:highlight w:val="none"/>
        </w:rPr>
        <w:t>。</w:t>
      </w:r>
    </w:p>
    <w:p>
      <w:pPr>
        <w:shd w:val="clear"/>
        <w:spacing w:after="0" w:afterAutospacing="0"/>
        <w:ind w:left="0" w:right="0" w:firstLine="480" w:firstLineChars="200"/>
        <w:outlineLvl w:val="1"/>
        <w:rPr>
          <w:rFonts w:ascii="宋体" w:hAnsi="宋体"/>
          <w:sz w:val="24"/>
          <w:szCs w:val="24"/>
          <w:highlight w:val="none"/>
        </w:rPr>
      </w:pPr>
      <w:bookmarkStart w:id="878" w:name="_Toc12983540"/>
      <w:bookmarkStart w:id="879" w:name="_Toc6000"/>
      <w:bookmarkStart w:id="880" w:name="_Toc383891205"/>
      <w:bookmarkStart w:id="881" w:name="_Toc26653"/>
      <w:bookmarkStart w:id="882" w:name="_Toc4743"/>
      <w:bookmarkStart w:id="883" w:name="_Toc27839"/>
      <w:bookmarkStart w:id="884" w:name="_Toc21516"/>
      <w:bookmarkStart w:id="885" w:name="_Toc2326"/>
      <w:bookmarkStart w:id="886" w:name="_Toc25750625"/>
      <w:bookmarkStart w:id="887" w:name="_Toc385427830"/>
      <w:bookmarkStart w:id="888" w:name="_Toc22975"/>
      <w:bookmarkStart w:id="889" w:name="_Toc25431"/>
      <w:bookmarkStart w:id="890" w:name="_Toc492478755"/>
      <w:bookmarkStart w:id="891" w:name="_Toc24681"/>
      <w:bookmarkStart w:id="892" w:name="_Toc8834"/>
      <w:bookmarkStart w:id="893" w:name="_Toc18800"/>
      <w:bookmarkStart w:id="894" w:name="_Toc30278"/>
      <w:bookmarkStart w:id="895" w:name="_Toc12421"/>
      <w:bookmarkStart w:id="896" w:name="_Toc19952"/>
      <w:bookmarkStart w:id="897" w:name="_Toc24580"/>
      <w:bookmarkStart w:id="898" w:name="_Toc31958"/>
      <w:bookmarkStart w:id="899" w:name="_Toc9113"/>
      <w:bookmarkStart w:id="900" w:name="_Toc390098456"/>
      <w:bookmarkStart w:id="901" w:name="_Toc375039097"/>
      <w:r>
        <w:rPr>
          <w:rFonts w:hint="eastAsia" w:ascii="宋体" w:hAnsi="宋体"/>
          <w:sz w:val="24"/>
          <w:szCs w:val="24"/>
          <w:highlight w:val="none"/>
        </w:rPr>
        <w:t>六、</w:t>
      </w:r>
      <w:r>
        <w:rPr>
          <w:rFonts w:ascii="宋体" w:hAnsi="宋体"/>
          <w:sz w:val="24"/>
          <w:szCs w:val="24"/>
          <w:highlight w:val="none"/>
        </w:rPr>
        <w:t>授予合同</w:t>
      </w:r>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p>
    <w:p>
      <w:pPr>
        <w:shd w:val="clear"/>
        <w:spacing w:before="0" w:after="0" w:afterAutospacing="0"/>
        <w:ind w:left="0" w:right="0" w:firstLine="420" w:firstLineChars="200"/>
        <w:rPr>
          <w:rFonts w:ascii="宋体" w:hAnsi="宋体"/>
          <w:highlight w:val="none"/>
        </w:rPr>
      </w:pPr>
      <w:bookmarkStart w:id="902" w:name="_Toc30026"/>
      <w:bookmarkStart w:id="903" w:name="_Toc22323"/>
      <w:bookmarkStart w:id="904" w:name="_Toc20642"/>
      <w:bookmarkStart w:id="905" w:name="_Toc10522"/>
      <w:bookmarkStart w:id="906" w:name="_Toc8938"/>
      <w:bookmarkStart w:id="907" w:name="_Toc492478756"/>
      <w:bookmarkStart w:id="908" w:name="_Toc12983541"/>
      <w:bookmarkStart w:id="909" w:name="_Toc385427831"/>
      <w:bookmarkStart w:id="910" w:name="_Toc375039098"/>
      <w:bookmarkStart w:id="911" w:name="_Toc28661"/>
      <w:bookmarkStart w:id="912" w:name="_Toc25750626"/>
      <w:bookmarkStart w:id="913" w:name="_Toc390098457"/>
      <w:bookmarkStart w:id="914" w:name="_Toc30743"/>
      <w:bookmarkStart w:id="915" w:name="_Toc11795"/>
      <w:bookmarkStart w:id="916" w:name="_Toc383891206"/>
      <w:bookmarkStart w:id="917" w:name="_Toc31011"/>
      <w:bookmarkStart w:id="918" w:name="_Toc21728"/>
      <w:bookmarkStart w:id="919" w:name="_Toc13914"/>
      <w:bookmarkStart w:id="920" w:name="_Toc22688"/>
      <w:bookmarkStart w:id="921" w:name="_Toc21975"/>
      <w:bookmarkStart w:id="922" w:name="_Toc26525"/>
      <w:bookmarkStart w:id="923" w:name="_Toc1269"/>
      <w:bookmarkStart w:id="924" w:name="_Toc18878"/>
      <w:bookmarkStart w:id="925" w:name="_Toc26143"/>
      <w:r>
        <w:rPr>
          <w:rFonts w:hint="eastAsia" w:ascii="宋体" w:hAnsi="宋体"/>
          <w:highlight w:val="none"/>
        </w:rPr>
        <w:t>32. 合同授予标准</w:t>
      </w:r>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p>
    <w:p>
      <w:pPr>
        <w:shd w:val="clea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32.1 </w:t>
      </w:r>
      <w:r>
        <w:rPr>
          <w:rFonts w:ascii="宋体" w:hAnsi="宋体"/>
          <w:highlight w:val="none"/>
        </w:rPr>
        <w:t>根据本须知规定，比选人将把合同授予收到中选通知书，并提供了履约担保的比选申请人，该比选申请人必须具有有效实施本合同的能力和资源。</w:t>
      </w:r>
    </w:p>
    <w:p>
      <w:pPr>
        <w:shd w:val="clea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32.2 </w:t>
      </w:r>
      <w:r>
        <w:rPr>
          <w:rFonts w:ascii="宋体" w:hAnsi="宋体"/>
          <w:highlight w:val="none"/>
        </w:rPr>
        <w:t>如果</w:t>
      </w:r>
      <w:r>
        <w:rPr>
          <w:rFonts w:hint="eastAsia" w:ascii="宋体" w:hAnsi="宋体"/>
          <w:highlight w:val="none"/>
        </w:rPr>
        <w:t>中选候选人放弃中选候选人资格或</w:t>
      </w:r>
      <w:r>
        <w:rPr>
          <w:rFonts w:ascii="宋体" w:hAnsi="宋体"/>
          <w:highlight w:val="none"/>
        </w:rPr>
        <w:t>已中选的比选申请人不能按比选申请文件中承诺的条件履行签约行为，比选人有权按有关法律法规规定，在评审委员会推荐的、合格的比选申请人名单中按照排名先后顺序选择新的合同授予人。</w:t>
      </w:r>
    </w:p>
    <w:p>
      <w:pPr>
        <w:shd w:val="clear"/>
        <w:spacing w:before="0" w:after="0" w:afterAutospacing="0"/>
        <w:ind w:left="0" w:right="0" w:firstLine="420" w:firstLineChars="200"/>
        <w:rPr>
          <w:rFonts w:ascii="宋体" w:hAnsi="宋体"/>
          <w:highlight w:val="none"/>
        </w:rPr>
      </w:pPr>
      <w:bookmarkStart w:id="926" w:name="_Toc1873"/>
      <w:bookmarkStart w:id="927" w:name="_Toc14325"/>
      <w:bookmarkStart w:id="928" w:name="_Toc25797"/>
      <w:bookmarkStart w:id="929" w:name="_Toc383891207"/>
      <w:bookmarkStart w:id="930" w:name="_Toc492478757"/>
      <w:bookmarkStart w:id="931" w:name="_Toc385427832"/>
      <w:bookmarkStart w:id="932" w:name="_Toc23649"/>
      <w:bookmarkStart w:id="933" w:name="_Toc14832"/>
      <w:bookmarkStart w:id="934" w:name="_Toc11913"/>
      <w:bookmarkStart w:id="935" w:name="_Toc24183"/>
      <w:bookmarkStart w:id="936" w:name="_Toc14301"/>
      <w:bookmarkStart w:id="937" w:name="_Toc377"/>
      <w:bookmarkStart w:id="938" w:name="_Toc18977"/>
      <w:bookmarkStart w:id="939" w:name="_Toc17818"/>
      <w:bookmarkStart w:id="940" w:name="_Toc390098458"/>
      <w:bookmarkStart w:id="941" w:name="_Toc19128"/>
      <w:bookmarkStart w:id="942" w:name="_Toc19774"/>
      <w:bookmarkStart w:id="943" w:name="_Toc12983542"/>
      <w:bookmarkStart w:id="944" w:name="_Toc31336"/>
      <w:bookmarkStart w:id="945" w:name="_Toc25750627"/>
      <w:bookmarkStart w:id="946" w:name="_Toc17153"/>
      <w:bookmarkStart w:id="947" w:name="_Toc13417"/>
      <w:bookmarkStart w:id="948" w:name="_Toc16111"/>
      <w:bookmarkStart w:id="949" w:name="_Toc375039099"/>
      <w:r>
        <w:rPr>
          <w:rFonts w:hint="eastAsia" w:ascii="宋体" w:hAnsi="宋体"/>
          <w:highlight w:val="none"/>
        </w:rPr>
        <w:t>33. 接受和否决任何或所有比选申请的权力</w:t>
      </w:r>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p>
    <w:p>
      <w:pPr>
        <w:shd w:val="clea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比选人保留在授标之前任何时候依法决定否决所有或任何比选申请，以及宣布所有或任何比选申请文件无效的权力，对受影响的比选申请人不承担任何责任，也无义务向受影响的比选申请人解释采取这一行动的理由。</w:t>
      </w:r>
    </w:p>
    <w:p>
      <w:pPr>
        <w:numPr>
          <w:ilvl w:val="0"/>
          <w:numId w:val="7"/>
        </w:numPr>
        <w:shd w:val="clear"/>
        <w:spacing w:before="0" w:after="0" w:afterAutospacing="0"/>
        <w:ind w:left="0" w:right="0" w:firstLine="420" w:firstLineChars="200"/>
        <w:rPr>
          <w:rFonts w:ascii="宋体" w:hAnsi="宋体"/>
          <w:highlight w:val="none"/>
        </w:rPr>
      </w:pPr>
      <w:bookmarkStart w:id="950" w:name="_Toc27683"/>
      <w:bookmarkStart w:id="951" w:name="_Toc2061"/>
      <w:bookmarkStart w:id="952" w:name="_Toc20680"/>
      <w:bookmarkStart w:id="953" w:name="_Toc17953"/>
      <w:bookmarkStart w:id="954" w:name="_Toc21798"/>
      <w:bookmarkStart w:id="955" w:name="_Toc673"/>
      <w:bookmarkStart w:id="956" w:name="_Toc22657"/>
      <w:bookmarkStart w:id="957" w:name="_Toc13596"/>
      <w:bookmarkStart w:id="958" w:name="_Toc492478758"/>
      <w:bookmarkStart w:id="959" w:name="_Toc12983543"/>
      <w:bookmarkStart w:id="960" w:name="_Toc32424"/>
      <w:bookmarkStart w:id="961" w:name="_Toc383891208"/>
      <w:bookmarkStart w:id="962" w:name="_Toc375039100"/>
      <w:bookmarkStart w:id="963" w:name="_Toc12065"/>
      <w:bookmarkStart w:id="964" w:name="_Toc390098459"/>
      <w:bookmarkStart w:id="965" w:name="_Toc9636"/>
      <w:bookmarkStart w:id="966" w:name="_Toc25750628"/>
      <w:bookmarkStart w:id="967" w:name="_Toc10348"/>
      <w:bookmarkStart w:id="968" w:name="_Toc13605"/>
      <w:bookmarkStart w:id="969" w:name="_Toc385427833"/>
      <w:bookmarkStart w:id="970" w:name="_Toc19556"/>
      <w:bookmarkStart w:id="971" w:name="_Toc921"/>
      <w:bookmarkStart w:id="972" w:name="_Toc5061"/>
      <w:bookmarkStart w:id="973" w:name="_Toc19943"/>
      <w:r>
        <w:rPr>
          <w:rFonts w:hint="eastAsia" w:ascii="宋体" w:hAnsi="宋体"/>
          <w:highlight w:val="none"/>
        </w:rPr>
        <w:t>中选通知书</w:t>
      </w:r>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p>
    <w:p>
      <w:pPr>
        <w:shd w:val="clear"/>
        <w:tabs>
          <w:tab w:val="left" w:pos="450"/>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34.1 </w:t>
      </w:r>
      <w:r>
        <w:rPr>
          <w:rFonts w:ascii="宋体" w:hAnsi="宋体"/>
          <w:highlight w:val="none"/>
        </w:rPr>
        <w:t>在比选申请有效期截止前，</w:t>
      </w:r>
      <w:r>
        <w:rPr>
          <w:rFonts w:hint="eastAsia" w:ascii="宋体" w:hAnsi="宋体"/>
          <w:highlight w:val="none"/>
        </w:rPr>
        <w:t>在本须知第</w:t>
      </w:r>
      <w:r>
        <w:rPr>
          <w:rFonts w:ascii="宋体" w:hAnsi="宋体"/>
          <w:highlight w:val="none"/>
        </w:rPr>
        <w:t>15条</w:t>
      </w:r>
      <w:r>
        <w:rPr>
          <w:rFonts w:hint="eastAsia" w:ascii="宋体" w:hAnsi="宋体"/>
          <w:highlight w:val="none"/>
        </w:rPr>
        <w:t>规定的比选申请有效期内，比选人以书面形式向中选人发出中选通知书。</w:t>
      </w:r>
    </w:p>
    <w:p>
      <w:pPr>
        <w:shd w:val="clear"/>
        <w:tabs>
          <w:tab w:val="left" w:pos="450"/>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34.2 </w:t>
      </w:r>
      <w:r>
        <w:rPr>
          <w:rFonts w:ascii="宋体" w:hAnsi="宋体"/>
          <w:highlight w:val="none"/>
        </w:rPr>
        <w:t>中选通知书将作为签订合同的依据，并是合同的一个组成部分。</w:t>
      </w:r>
    </w:p>
    <w:p>
      <w:pPr>
        <w:shd w:val="clear"/>
        <w:tabs>
          <w:tab w:val="left" w:pos="450"/>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34.3 </w:t>
      </w:r>
      <w:r>
        <w:rPr>
          <w:rFonts w:ascii="宋体" w:hAnsi="宋体"/>
          <w:highlight w:val="none"/>
        </w:rPr>
        <w:t>对未中选者，比选人不对未中选原因做出解释，同时亦不退还比选申请文件。</w:t>
      </w:r>
    </w:p>
    <w:p>
      <w:pPr>
        <w:shd w:val="clear"/>
        <w:tabs>
          <w:tab w:val="left" w:pos="450"/>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34.4放弃中选人资格的处罚详见前附表。</w:t>
      </w:r>
    </w:p>
    <w:p>
      <w:pPr>
        <w:numPr>
          <w:ilvl w:val="0"/>
          <w:numId w:val="7"/>
        </w:numPr>
        <w:shd w:val="clear"/>
        <w:spacing w:before="0" w:after="0" w:afterAutospacing="0"/>
        <w:ind w:left="0" w:right="0" w:firstLine="420" w:firstLineChars="200"/>
        <w:rPr>
          <w:rFonts w:ascii="宋体" w:hAnsi="宋体"/>
          <w:highlight w:val="none"/>
        </w:rPr>
      </w:pPr>
      <w:bookmarkStart w:id="974" w:name="_Toc12983544"/>
      <w:bookmarkStart w:id="975" w:name="_Toc24885"/>
      <w:bookmarkStart w:id="976" w:name="_Toc5617"/>
      <w:bookmarkStart w:id="977" w:name="_Toc21570"/>
      <w:bookmarkStart w:id="978" w:name="_Toc25750629"/>
      <w:bookmarkStart w:id="979" w:name="_Toc15048"/>
      <w:bookmarkStart w:id="980" w:name="_Toc30862"/>
      <w:bookmarkStart w:id="981" w:name="_Toc492478759"/>
      <w:bookmarkStart w:id="982" w:name="_Toc385427834"/>
      <w:bookmarkStart w:id="983" w:name="_Toc22442"/>
      <w:bookmarkStart w:id="984" w:name="_Toc21217"/>
      <w:bookmarkStart w:id="985" w:name="_Toc390098460"/>
      <w:bookmarkStart w:id="986" w:name="_Toc375039101"/>
      <w:bookmarkStart w:id="987" w:name="_Toc28815"/>
      <w:bookmarkStart w:id="988" w:name="_Toc383891209"/>
      <w:bookmarkStart w:id="989" w:name="_Toc18694"/>
      <w:bookmarkStart w:id="990" w:name="_Toc29993"/>
      <w:bookmarkStart w:id="991" w:name="_Toc8628"/>
      <w:bookmarkStart w:id="992" w:name="_Toc1862"/>
      <w:bookmarkStart w:id="993" w:name="_Toc25208"/>
      <w:bookmarkStart w:id="994" w:name="_Toc5767"/>
      <w:bookmarkStart w:id="995" w:name="_Toc4190"/>
      <w:bookmarkStart w:id="996" w:name="_Toc1780"/>
      <w:bookmarkStart w:id="997" w:name="_Toc24240"/>
      <w:r>
        <w:rPr>
          <w:rFonts w:hint="eastAsia" w:ascii="宋体" w:hAnsi="宋体"/>
          <w:highlight w:val="none"/>
        </w:rPr>
        <w:t>签订合同</w:t>
      </w:r>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p>
    <w:p>
      <w:pPr>
        <w:shd w:val="clea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35.1 中选人在收到中选通知书后，按比选文件的要求与比选人签订合同</w:t>
      </w:r>
      <w:r>
        <w:rPr>
          <w:rFonts w:ascii="宋体" w:hAnsi="宋体"/>
          <w:highlight w:val="none"/>
        </w:rPr>
        <w:t>。</w:t>
      </w:r>
    </w:p>
    <w:p>
      <w:pPr>
        <w:shd w:val="clea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35.2 </w:t>
      </w:r>
      <w:r>
        <w:rPr>
          <w:rFonts w:ascii="宋体" w:hAnsi="宋体"/>
          <w:highlight w:val="none"/>
        </w:rPr>
        <w:t>比选文件、中选通知书、中选人的比选申请文件及双方确认的澄清文件等，均为有法律约束力的合同的组成部分。</w:t>
      </w:r>
    </w:p>
    <w:p>
      <w:pPr>
        <w:shd w:val="clea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35.3 </w:t>
      </w:r>
      <w:r>
        <w:rPr>
          <w:rFonts w:ascii="宋体" w:hAnsi="宋体"/>
          <w:highlight w:val="none"/>
        </w:rPr>
        <w:t>如果中选人没有按照上述第35.1条规定执行，比选人将有充分理由取消该中选决定。在此情况下，比选人可以按照评审委员会提出的中选候选人名单排序依次确定其他中选候选人为中选人，也可以重新</w:t>
      </w:r>
      <w:r>
        <w:rPr>
          <w:rFonts w:hint="eastAsia" w:ascii="宋体" w:hAnsi="宋体"/>
          <w:highlight w:val="none"/>
        </w:rPr>
        <w:t>比选</w:t>
      </w:r>
      <w:r>
        <w:rPr>
          <w:rFonts w:ascii="宋体" w:hAnsi="宋体"/>
          <w:highlight w:val="none"/>
        </w:rPr>
        <w:t>。</w:t>
      </w:r>
    </w:p>
    <w:p>
      <w:pPr>
        <w:shd w:val="clea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35.4 </w:t>
      </w:r>
      <w:r>
        <w:rPr>
          <w:rFonts w:ascii="宋体" w:hAnsi="宋体"/>
          <w:highlight w:val="none"/>
        </w:rPr>
        <w:t>中选人若未在比选申请文件“商务响应表”及“技术响应表”中列出负偏离说明，即使其在比选申请文件的其他部分说明与比选文件要求有所不同或回避不答，甚至在评审时对该项目已作了偏离扣分处理，在比选人与中选人签订合同期间，亦均视为完全符合比选文件中所要求的最佳值并写入合同。若中选人在定标后及合同签订前，以上述事项为借口而不履行合同签订手续及执行合同，则视作放弃中选资格。</w:t>
      </w:r>
    </w:p>
    <w:p>
      <w:pPr>
        <w:numPr>
          <w:ilvl w:val="0"/>
          <w:numId w:val="7"/>
        </w:numPr>
        <w:shd w:val="clear"/>
        <w:spacing w:before="0" w:after="0" w:afterAutospacing="0"/>
        <w:ind w:left="0" w:right="0" w:firstLine="420" w:firstLineChars="200"/>
        <w:rPr>
          <w:rFonts w:ascii="宋体" w:hAnsi="宋体"/>
          <w:highlight w:val="none"/>
        </w:rPr>
      </w:pPr>
      <w:bookmarkStart w:id="998" w:name="_Toc383891211"/>
      <w:bookmarkStart w:id="999" w:name="_Toc25988"/>
      <w:bookmarkStart w:id="1000" w:name="_Toc375039103"/>
      <w:bookmarkStart w:id="1001" w:name="_Toc492478761"/>
      <w:bookmarkStart w:id="1002" w:name="_Toc2637"/>
      <w:bookmarkStart w:id="1003" w:name="_Toc21294"/>
      <w:bookmarkStart w:id="1004" w:name="_Toc10480"/>
      <w:bookmarkStart w:id="1005" w:name="_Toc26808"/>
      <w:bookmarkStart w:id="1006" w:name="_Toc24400"/>
      <w:bookmarkStart w:id="1007" w:name="_Toc23115"/>
      <w:bookmarkStart w:id="1008" w:name="_Toc12983546"/>
      <w:bookmarkStart w:id="1009" w:name="_Toc8178"/>
      <w:bookmarkStart w:id="1010" w:name="_Toc16584"/>
      <w:bookmarkStart w:id="1011" w:name="_Toc19122"/>
      <w:bookmarkStart w:id="1012" w:name="_Toc10399"/>
      <w:bookmarkStart w:id="1013" w:name="_Toc390098462"/>
      <w:bookmarkStart w:id="1014" w:name="_Toc385427836"/>
      <w:bookmarkStart w:id="1015" w:name="_Toc20351"/>
      <w:bookmarkStart w:id="1016" w:name="_Toc25750631"/>
      <w:bookmarkStart w:id="1017" w:name="_Toc25990"/>
      <w:bookmarkStart w:id="1018" w:name="_Toc30169"/>
      <w:bookmarkStart w:id="1019" w:name="_Toc13615"/>
      <w:bookmarkStart w:id="1020" w:name="_Toc16212"/>
      <w:bookmarkStart w:id="1021" w:name="_Toc11354"/>
      <w:r>
        <w:rPr>
          <w:rFonts w:hint="eastAsia" w:ascii="宋体" w:hAnsi="宋体"/>
          <w:highlight w:val="none"/>
        </w:rPr>
        <w:t>其他</w:t>
      </w:r>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p>
    <w:p>
      <w:pPr>
        <w:shd w:val="clea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36.1 </w:t>
      </w:r>
      <w:r>
        <w:rPr>
          <w:rFonts w:ascii="宋体" w:hAnsi="宋体"/>
          <w:highlight w:val="none"/>
        </w:rPr>
        <w:t>知识产权和专利权</w:t>
      </w:r>
    </w:p>
    <w:p>
      <w:pPr>
        <w:shd w:val="clea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36.1.1 </w:t>
      </w:r>
      <w:r>
        <w:rPr>
          <w:rFonts w:ascii="宋体" w:hAnsi="宋体"/>
          <w:highlight w:val="none"/>
        </w:rPr>
        <w:t>比选申请人应保证其拥有货物及服务的知识产权，并保证比选人在中华人民共和国使用货物及服务或其任何一部分时，免受第三方提出侵犯其任何专利权、著作权、注册商标专有使用权或计算机软件登记或反不正当竞争的起诉及索赔。</w:t>
      </w:r>
    </w:p>
    <w:p>
      <w:pPr>
        <w:shd w:val="clea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36.1.2 </w:t>
      </w:r>
      <w:r>
        <w:rPr>
          <w:rFonts w:ascii="宋体" w:hAnsi="宋体"/>
          <w:highlight w:val="none"/>
        </w:rPr>
        <w:t>比选申请报价已包括所有应支付的，对专利权、著作权、注册商标专有使用权、计算机软件登记或其他知识产权而需要向其他方支付各项等费用。</w:t>
      </w:r>
    </w:p>
    <w:p>
      <w:pPr>
        <w:shd w:val="clear"/>
        <w:tabs>
          <w:tab w:val="left" w:pos="425"/>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36.2 </w:t>
      </w:r>
      <w:r>
        <w:rPr>
          <w:rFonts w:ascii="宋体" w:hAnsi="宋体"/>
          <w:highlight w:val="none"/>
        </w:rPr>
        <w:t>保密</w:t>
      </w:r>
    </w:p>
    <w:p>
      <w:pPr>
        <w:shd w:val="clea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36.2.1 </w:t>
      </w:r>
      <w:r>
        <w:rPr>
          <w:rFonts w:ascii="宋体" w:hAnsi="宋体"/>
          <w:highlight w:val="none"/>
        </w:rPr>
        <w:t>由比选人向比选申请人提供的比选文件、图纸、详细资料、模型、模件和所有其他资料，被视为保密资料，仅被用于它所规定的用途，除非得到比选人的书面同意，不能向任何第三方透露。</w:t>
      </w:r>
    </w:p>
    <w:p>
      <w:pPr>
        <w:shd w:val="clea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36.2.2 </w:t>
      </w:r>
      <w:r>
        <w:rPr>
          <w:rFonts w:ascii="宋体" w:hAnsi="宋体"/>
          <w:highlight w:val="none"/>
        </w:rPr>
        <w:t>在比选申请文件完成后，应比选人要求，比选申请人应归还所有从比选人获得的保密资料，以及所有的无论从任何媒介获得的复印件和摘录。</w:t>
      </w:r>
    </w:p>
    <w:p>
      <w:pPr>
        <w:shd w:val="clear"/>
        <w:tabs>
          <w:tab w:val="left" w:pos="425"/>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36.3 </w:t>
      </w:r>
      <w:r>
        <w:rPr>
          <w:rFonts w:ascii="宋体" w:hAnsi="宋体"/>
          <w:highlight w:val="none"/>
        </w:rPr>
        <w:t>比选申请人知悉</w:t>
      </w:r>
    </w:p>
    <w:p>
      <w:pPr>
        <w:shd w:val="clea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36.3.1 </w:t>
      </w:r>
      <w:r>
        <w:rPr>
          <w:rFonts w:ascii="宋体" w:hAnsi="宋体"/>
          <w:highlight w:val="none"/>
        </w:rPr>
        <w:t>比选申请人将被视为已合理地充分了解了对所有影响本项目的事项，包括任何与</w:t>
      </w:r>
      <w:r>
        <w:rPr>
          <w:rFonts w:hint="eastAsia" w:ascii="宋体" w:hAnsi="宋体"/>
          <w:highlight w:val="none"/>
        </w:rPr>
        <w:t>项目</w:t>
      </w:r>
      <w:r>
        <w:rPr>
          <w:rFonts w:ascii="宋体" w:hAnsi="宋体"/>
          <w:highlight w:val="none"/>
        </w:rPr>
        <w:t>和项目时间表有关的特殊困难。</w:t>
      </w:r>
    </w:p>
    <w:p>
      <w:pPr>
        <w:shd w:val="clea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 xml:space="preserve">36.3.2 </w:t>
      </w:r>
      <w:r>
        <w:rPr>
          <w:rFonts w:ascii="宋体" w:hAnsi="宋体"/>
          <w:highlight w:val="none"/>
        </w:rPr>
        <w:t>如果比选申请人在比选申请过程中有欺诈行为，则比选人有权否决比选申请人的比选申请。</w:t>
      </w:r>
    </w:p>
    <w:p>
      <w:pPr>
        <w:shd w:val="clear"/>
        <w:tabs>
          <w:tab w:val="left" w:pos="425"/>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36.4 分包：本项目不允许分包、禁止转包。</w:t>
      </w:r>
    </w:p>
    <w:p>
      <w:pPr>
        <w:shd w:val="clear"/>
        <w:tabs>
          <w:tab w:val="left" w:pos="425"/>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36.5 需要补充的其他内容：详见比选申请须知前附表</w:t>
      </w:r>
    </w:p>
    <w:p>
      <w:pPr>
        <w:shd w:val="clear"/>
        <w:ind w:right="-57" w:firstLine="0"/>
        <w:rPr>
          <w:rFonts w:ascii="宋体" w:hAnsi="宋体"/>
          <w:highlight w:val="none"/>
        </w:rPr>
      </w:pPr>
    </w:p>
    <w:p>
      <w:pPr>
        <w:shd w:val="clear"/>
        <w:ind w:right="-57" w:firstLine="0"/>
        <w:rPr>
          <w:rFonts w:ascii="宋体" w:hAnsi="宋体"/>
          <w:highlight w:val="none"/>
        </w:rPr>
      </w:pPr>
    </w:p>
    <w:p>
      <w:pPr>
        <w:shd w:val="clear"/>
        <w:ind w:right="-57" w:firstLine="0"/>
        <w:rPr>
          <w:rFonts w:ascii="宋体" w:hAnsi="宋体"/>
          <w:highlight w:val="none"/>
        </w:rPr>
      </w:pPr>
    </w:p>
    <w:p>
      <w:pPr>
        <w:pStyle w:val="2"/>
        <w:pageBreakBefore/>
        <w:shd w:val="clear"/>
        <w:ind w:right="-57"/>
        <w:jc w:val="center"/>
        <w:outlineLvl w:val="0"/>
        <w:rPr>
          <w:rStyle w:val="42"/>
          <w:rFonts w:ascii="宋体" w:hAnsi="宋体" w:eastAsia="宋体"/>
          <w:highlight w:val="none"/>
        </w:rPr>
      </w:pPr>
      <w:bookmarkStart w:id="1022" w:name="_Toc21919"/>
      <w:bookmarkStart w:id="1023" w:name="_Toc28464"/>
      <w:bookmarkStart w:id="1024" w:name="_Toc25750632"/>
      <w:bookmarkStart w:id="1025" w:name="_Toc13323"/>
      <w:bookmarkStart w:id="1026" w:name="_Toc14991"/>
      <w:bookmarkStart w:id="1027" w:name="_Toc9991"/>
      <w:bookmarkStart w:id="1028" w:name="_Toc15740"/>
      <w:bookmarkStart w:id="1029" w:name="_Toc25920"/>
      <w:bookmarkStart w:id="1030" w:name="_Toc17022"/>
      <w:bookmarkStart w:id="1031" w:name="_Toc9725"/>
      <w:bookmarkStart w:id="1032" w:name="_Toc23292"/>
      <w:bookmarkStart w:id="1033" w:name="_Toc11424"/>
      <w:bookmarkStart w:id="1034" w:name="_Toc9458"/>
      <w:bookmarkStart w:id="1035" w:name="_Toc1179"/>
      <w:bookmarkStart w:id="1036" w:name="_Toc16340"/>
      <w:bookmarkStart w:id="1037" w:name="_Toc4003"/>
      <w:bookmarkStart w:id="1038" w:name="_Toc7547"/>
      <w:bookmarkStart w:id="1039" w:name="_Toc12281"/>
      <w:r>
        <w:rPr>
          <w:rStyle w:val="42"/>
          <w:rFonts w:hint="eastAsia" w:ascii="宋体" w:hAnsi="宋体" w:eastAsia="宋体"/>
          <w:highlight w:val="none"/>
        </w:rPr>
        <w:t>第三章合同条款及格式</w:t>
      </w:r>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p>
    <w:p>
      <w:pPr>
        <w:shd w:val="clear"/>
        <w:spacing w:before="0"/>
        <w:ind w:right="0"/>
        <w:jc w:val="center"/>
        <w:outlineLvl w:val="1"/>
        <w:rPr>
          <w:rFonts w:ascii="宋体" w:hAnsi="宋体"/>
          <w:b/>
          <w:sz w:val="24"/>
          <w:szCs w:val="24"/>
          <w:highlight w:val="none"/>
        </w:rPr>
      </w:pPr>
      <w:bookmarkStart w:id="1040" w:name="_Toc7587"/>
      <w:bookmarkStart w:id="1041" w:name="_Toc25828"/>
      <w:bookmarkStart w:id="1042" w:name="_Toc4026"/>
      <w:bookmarkStart w:id="1043" w:name="_Toc25750633"/>
      <w:bookmarkStart w:id="1044" w:name="_Toc12983547"/>
      <w:bookmarkStart w:id="1045" w:name="_Toc20060"/>
      <w:bookmarkStart w:id="1046" w:name="_Toc6950"/>
      <w:bookmarkStart w:id="1047" w:name="_Toc31368"/>
      <w:bookmarkStart w:id="1048" w:name="_Toc1289"/>
      <w:bookmarkStart w:id="1049" w:name="_Toc32403"/>
      <w:bookmarkStart w:id="1050" w:name="_Toc8999"/>
      <w:bookmarkStart w:id="1051" w:name="_Toc3488"/>
      <w:bookmarkStart w:id="1052" w:name="_Toc6190"/>
      <w:bookmarkStart w:id="1053" w:name="_Toc2618"/>
      <w:bookmarkStart w:id="1054" w:name="_Toc7236"/>
      <w:bookmarkStart w:id="1055" w:name="_Toc29797"/>
      <w:bookmarkStart w:id="1056" w:name="_Toc15840"/>
      <w:bookmarkStart w:id="1057" w:name="_Toc13761"/>
      <w:bookmarkStart w:id="1058" w:name="_Toc14463"/>
      <w:r>
        <w:rPr>
          <w:rFonts w:hint="eastAsia" w:ascii="宋体" w:hAnsi="宋体"/>
          <w:b/>
          <w:sz w:val="24"/>
          <w:szCs w:val="24"/>
          <w:highlight w:val="none"/>
        </w:rPr>
        <w:t>一、合同协议书</w:t>
      </w:r>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p>
    <w:p>
      <w:pPr>
        <w:shd w:val="clear"/>
        <w:spacing w:before="0" w:after="0" w:afterAutospacing="0"/>
        <w:ind w:left="0" w:right="0" w:firstLine="420" w:firstLineChars="200"/>
        <w:jc w:val="left"/>
        <w:rPr>
          <w:rFonts w:ascii="宋体" w:hAnsi="宋体"/>
          <w:highlight w:val="none"/>
          <w:u w:val="single"/>
        </w:rPr>
      </w:pPr>
      <w:r>
        <w:rPr>
          <w:rFonts w:hint="eastAsia" w:ascii="宋体" w:hAnsi="宋体"/>
          <w:highlight w:val="none"/>
        </w:rPr>
        <w:t>甲方（全称）：</w:t>
      </w:r>
    </w:p>
    <w:p>
      <w:pPr>
        <w:shd w:val="clear"/>
        <w:spacing w:before="0" w:after="0" w:afterAutospacing="0"/>
        <w:ind w:left="0" w:right="0" w:firstLine="420" w:firstLineChars="200"/>
        <w:jc w:val="left"/>
        <w:rPr>
          <w:rFonts w:ascii="宋体" w:hAnsi="宋体"/>
          <w:color w:val="auto"/>
          <w:highlight w:val="none"/>
        </w:rPr>
      </w:pPr>
      <w:r>
        <w:rPr>
          <w:rFonts w:hint="eastAsia" w:ascii="宋体" w:hAnsi="宋体"/>
          <w:highlight w:val="none"/>
        </w:rPr>
        <w:t>乙方（全称）：</w:t>
      </w:r>
    </w:p>
    <w:p>
      <w:pPr>
        <w:shd w:val="clear"/>
        <w:spacing w:before="0" w:after="0" w:afterAutospacing="0"/>
        <w:ind w:left="0" w:right="0" w:firstLine="420" w:firstLineChars="200"/>
        <w:jc w:val="left"/>
        <w:rPr>
          <w:rFonts w:ascii="宋体" w:hAnsi="宋体"/>
          <w:highlight w:val="none"/>
        </w:rPr>
      </w:pPr>
      <w:r>
        <w:rPr>
          <w:rFonts w:hint="eastAsia" w:ascii="宋体" w:hAnsi="宋体"/>
          <w:color w:val="auto"/>
          <w:highlight w:val="none"/>
        </w:rPr>
        <w:t>本协议由南宁轨道交通运营有限公司（下称“甲方”或业主）与（下称“乙方”），双方根据</w:t>
      </w:r>
      <w:r>
        <w:rPr>
          <w:rFonts w:hint="eastAsia" w:ascii="宋体" w:hAnsi="宋体"/>
          <w:color w:val="auto"/>
          <w:highlight w:val="none"/>
          <w:u w:val="single"/>
        </w:rPr>
        <w:t>控制中心电动汽车充电桩喷淋系统采购项目</w:t>
      </w:r>
      <w:r>
        <w:rPr>
          <w:rFonts w:hint="eastAsia" w:ascii="宋体" w:hAnsi="宋体"/>
          <w:color w:val="auto"/>
          <w:highlight w:val="none"/>
        </w:rPr>
        <w:t>（项目编号：</w:t>
      </w:r>
      <w:r>
        <w:rPr>
          <w:rFonts w:ascii="宋体" w:hAnsi="宋体"/>
          <w:color w:val="auto"/>
          <w:highlight w:val="none"/>
          <w:u w:val="single"/>
        </w:rPr>
        <w:t>202306250002</w:t>
      </w:r>
      <w:r>
        <w:rPr>
          <w:rFonts w:hint="eastAsia" w:ascii="宋体" w:hAnsi="宋体"/>
          <w:color w:val="auto"/>
          <w:highlight w:val="none"/>
        </w:rPr>
        <w:t>）</w:t>
      </w:r>
      <w:r>
        <w:rPr>
          <w:rFonts w:hint="eastAsia" w:ascii="宋体" w:hAnsi="宋体"/>
          <w:highlight w:val="none"/>
        </w:rPr>
        <w:t>比选结果，依据《中华人民共和国民法典》的规定，签订协议。具体内容如下：</w:t>
      </w:r>
    </w:p>
    <w:p>
      <w:pPr>
        <w:shd w:val="clear"/>
        <w:tabs>
          <w:tab w:val="left" w:pos="1134"/>
          <w:tab w:val="left" w:pos="1680"/>
        </w:tabs>
        <w:spacing w:before="0" w:after="0" w:afterAutospacing="0"/>
        <w:ind w:left="0" w:right="0" w:firstLine="422"/>
        <w:rPr>
          <w:rFonts w:ascii="宋体" w:hAnsi="宋体" w:cs="Arial"/>
          <w:b/>
          <w:highlight w:val="none"/>
        </w:rPr>
      </w:pPr>
      <w:r>
        <w:rPr>
          <w:rFonts w:ascii="宋体" w:hAnsi="宋体" w:cs="Arial"/>
          <w:b/>
          <w:highlight w:val="none"/>
        </w:rPr>
        <w:t>1、</w:t>
      </w:r>
      <w:r>
        <w:rPr>
          <w:rFonts w:hint="eastAsia" w:ascii="宋体" w:hAnsi="宋体" w:cs="Arial"/>
          <w:b/>
          <w:highlight w:val="none"/>
        </w:rPr>
        <w:t>项目概况</w:t>
      </w:r>
    </w:p>
    <w:p>
      <w:pPr>
        <w:shd w:val="clear"/>
        <w:tabs>
          <w:tab w:val="left" w:pos="1134"/>
          <w:tab w:val="left" w:pos="1680"/>
        </w:tabs>
        <w:spacing w:before="0" w:after="0" w:afterAutospacing="0"/>
        <w:ind w:left="0" w:right="0" w:firstLine="420"/>
        <w:rPr>
          <w:rFonts w:ascii="宋体" w:hAnsi="宋体" w:cs="Arial"/>
          <w:highlight w:val="none"/>
        </w:rPr>
      </w:pPr>
      <w:r>
        <w:rPr>
          <w:rFonts w:hint="eastAsia" w:ascii="宋体" w:hAnsi="宋体" w:cs="Arial"/>
          <w:highlight w:val="none"/>
        </w:rPr>
        <w:t>1.1 项目名称</w:t>
      </w:r>
      <w:r>
        <w:rPr>
          <w:rFonts w:hint="eastAsia" w:ascii="宋体" w:hAnsi="宋体" w:cs="Arial"/>
          <w:color w:val="auto"/>
          <w:highlight w:val="none"/>
        </w:rPr>
        <w:t>：</w:t>
      </w:r>
      <w:r>
        <w:rPr>
          <w:rFonts w:hint="eastAsia" w:ascii="宋体" w:hAnsi="宋体"/>
          <w:color w:val="auto"/>
          <w:highlight w:val="none"/>
          <w:u w:val="single"/>
        </w:rPr>
        <w:t>控制中心电动汽车充电桩喷淋系统采购项目</w:t>
      </w:r>
      <w:r>
        <w:rPr>
          <w:rFonts w:hint="eastAsia" w:ascii="宋体" w:hAnsi="宋体"/>
          <w:color w:val="auto"/>
          <w:highlight w:val="none"/>
        </w:rPr>
        <w:t>。</w:t>
      </w:r>
    </w:p>
    <w:p>
      <w:pPr>
        <w:shd w:val="clear"/>
        <w:tabs>
          <w:tab w:val="left" w:pos="1134"/>
          <w:tab w:val="left" w:pos="1680"/>
        </w:tabs>
        <w:spacing w:before="0" w:after="0" w:afterAutospacing="0"/>
        <w:ind w:left="0" w:right="0" w:firstLine="420"/>
        <w:rPr>
          <w:rFonts w:ascii="宋体" w:hAnsi="宋体"/>
          <w:highlight w:val="none"/>
        </w:rPr>
      </w:pPr>
      <w:r>
        <w:rPr>
          <w:rFonts w:hint="eastAsia" w:ascii="宋体" w:hAnsi="宋体" w:cs="Arial"/>
          <w:highlight w:val="none"/>
        </w:rPr>
        <w:t>1.2 项目实施地点：</w:t>
      </w:r>
      <w:r>
        <w:rPr>
          <w:rFonts w:hint="eastAsia" w:ascii="宋体" w:hAnsi="宋体"/>
          <w:highlight w:val="none"/>
        </w:rPr>
        <w:t>广西壮族自治区南宁市青秀区云景路</w:t>
      </w:r>
      <w:r>
        <w:rPr>
          <w:rFonts w:ascii="宋体" w:hAnsi="宋体"/>
          <w:highlight w:val="none"/>
        </w:rPr>
        <w:t>69</w:t>
      </w:r>
      <w:r>
        <w:rPr>
          <w:rFonts w:hint="eastAsia" w:ascii="宋体" w:hAnsi="宋体"/>
          <w:highlight w:val="none"/>
        </w:rPr>
        <w:t>号南宁轨道交通运营有限公司控制中心内7</w:t>
      </w:r>
      <w:r>
        <w:rPr>
          <w:rFonts w:ascii="宋体" w:hAnsi="宋体"/>
          <w:highlight w:val="none"/>
        </w:rPr>
        <w:t>0</w:t>
      </w:r>
      <w:r>
        <w:rPr>
          <w:rFonts w:hint="eastAsia" w:ascii="宋体" w:hAnsi="宋体"/>
          <w:highlight w:val="none"/>
        </w:rPr>
        <w:t>个电动汽车充电桩车棚，分别位于控制中心A1楼后方及右侧。</w:t>
      </w:r>
    </w:p>
    <w:p>
      <w:pPr>
        <w:shd w:val="clear"/>
        <w:tabs>
          <w:tab w:val="left" w:pos="1134"/>
          <w:tab w:val="left" w:pos="1680"/>
        </w:tabs>
        <w:spacing w:before="0" w:after="0" w:afterAutospacing="0"/>
        <w:ind w:left="0" w:right="0" w:firstLine="420"/>
        <w:rPr>
          <w:rFonts w:hint="eastAsia" w:ascii="宋体" w:hAnsi="宋体" w:cs="Arial"/>
          <w:highlight w:val="none"/>
        </w:rPr>
      </w:pPr>
      <w:r>
        <w:rPr>
          <w:rFonts w:hint="eastAsia" w:ascii="宋体" w:hAnsi="宋体" w:cs="Arial"/>
          <w:highlight w:val="none"/>
        </w:rPr>
        <w:t>1.3 项目范围：南宁轨道交通运营有限公司控制中心内70个电动汽车充电桩车棚上方加装自动喷淋灭火系统。</w:t>
      </w:r>
    </w:p>
    <w:p>
      <w:pPr>
        <w:shd w:val="clear"/>
        <w:tabs>
          <w:tab w:val="left" w:pos="1134"/>
          <w:tab w:val="left" w:pos="1680"/>
        </w:tabs>
        <w:spacing w:before="0" w:after="0" w:afterAutospacing="0"/>
        <w:ind w:left="0" w:right="0" w:firstLine="422"/>
        <w:rPr>
          <w:rFonts w:ascii="宋体" w:hAnsi="宋体" w:cs="Arial"/>
          <w:b/>
          <w:highlight w:val="none"/>
        </w:rPr>
      </w:pPr>
      <w:r>
        <w:rPr>
          <w:rFonts w:ascii="宋体" w:hAnsi="宋体" w:cs="Arial"/>
          <w:b/>
          <w:highlight w:val="none"/>
        </w:rPr>
        <w:t>2、</w:t>
      </w:r>
      <w:r>
        <w:rPr>
          <w:rFonts w:hint="eastAsia" w:ascii="宋体" w:hAnsi="宋体" w:cs="Arial"/>
          <w:b/>
          <w:highlight w:val="none"/>
        </w:rPr>
        <w:t>合同标的</w:t>
      </w:r>
    </w:p>
    <w:p>
      <w:pPr>
        <w:shd w:val="clear"/>
        <w:tabs>
          <w:tab w:val="left" w:pos="1134"/>
          <w:tab w:val="left" w:pos="1680"/>
        </w:tabs>
        <w:spacing w:before="0" w:after="0" w:afterAutospacing="0"/>
        <w:ind w:left="0" w:right="0" w:firstLine="420"/>
        <w:rPr>
          <w:highlight w:val="none"/>
        </w:rPr>
      </w:pPr>
      <w:r>
        <w:rPr>
          <w:rFonts w:hint="eastAsia"/>
          <w:highlight w:val="none"/>
        </w:rPr>
        <w:t>甲方同意接受，乙方同意作为中选方并以下列第3条所述价</w:t>
      </w:r>
      <w:r>
        <w:rPr>
          <w:rFonts w:hint="eastAsia"/>
          <w:color w:val="auto"/>
          <w:highlight w:val="none"/>
        </w:rPr>
        <w:t>格提供</w:t>
      </w:r>
      <w:r>
        <w:rPr>
          <w:rFonts w:hint="eastAsia" w:ascii="宋体" w:hAnsi="宋体"/>
          <w:color w:val="auto"/>
          <w:highlight w:val="none"/>
          <w:u w:val="single"/>
        </w:rPr>
        <w:t>控制中心电动汽车充电桩喷淋系统采购项目</w:t>
      </w:r>
      <w:r>
        <w:rPr>
          <w:rFonts w:hint="eastAsia"/>
          <w:highlight w:val="none"/>
        </w:rPr>
        <w:t>项下的</w:t>
      </w:r>
      <w:r>
        <w:rPr>
          <w:rFonts w:hint="eastAsia"/>
          <w:highlight w:val="none"/>
          <w:u w:val="single"/>
        </w:rPr>
        <w:t xml:space="preserve"> </w:t>
      </w:r>
      <w:r>
        <w:rPr>
          <w:rFonts w:hint="eastAsia" w:ascii="宋体" w:hAnsi="宋体" w:cs="Arial"/>
          <w:highlight w:val="none"/>
          <w:u w:val="single"/>
        </w:rPr>
        <w:t>70个电动汽车充电桩车棚上方</w:t>
      </w:r>
      <w:r>
        <w:rPr>
          <w:rFonts w:hint="eastAsia" w:ascii="宋体" w:hAnsi="宋体" w:cs="Arial"/>
          <w:highlight w:val="none"/>
          <w:u w:val="single"/>
          <w:lang w:val="en-US" w:eastAsia="zh-CN"/>
        </w:rPr>
        <w:t>安装</w:t>
      </w:r>
      <w:r>
        <w:rPr>
          <w:rFonts w:hint="eastAsia"/>
          <w:highlight w:val="none"/>
          <w:u w:val="single"/>
        </w:rPr>
        <w:t>喷淋</w:t>
      </w:r>
      <w:r>
        <w:rPr>
          <w:rFonts w:hint="eastAsia"/>
          <w:highlight w:val="none"/>
          <w:u w:val="single"/>
          <w:lang w:val="en-US" w:eastAsia="zh-CN"/>
        </w:rPr>
        <w:t>灭火</w:t>
      </w:r>
      <w:r>
        <w:rPr>
          <w:rFonts w:hint="eastAsia"/>
          <w:highlight w:val="none"/>
          <w:u w:val="single"/>
        </w:rPr>
        <w:t>系统</w:t>
      </w:r>
      <w:r>
        <w:rPr>
          <w:rFonts w:hint="eastAsia"/>
          <w:highlight w:val="none"/>
          <w:u w:val="single"/>
          <w:lang w:val="en-US" w:eastAsia="zh-CN"/>
        </w:rPr>
        <w:t>的</w:t>
      </w:r>
      <w:r>
        <w:rPr>
          <w:rFonts w:hint="eastAsia"/>
          <w:highlight w:val="none"/>
          <w:u w:val="single"/>
        </w:rPr>
        <w:t>服务（包括但不限于</w:t>
      </w:r>
      <w:r>
        <w:rPr>
          <w:rFonts w:hint="eastAsia"/>
          <w:highlight w:val="none"/>
          <w:u w:val="single"/>
          <w:lang w:val="en-US" w:eastAsia="zh-CN"/>
        </w:rPr>
        <w:t>物资采购</w:t>
      </w:r>
      <w:r>
        <w:rPr>
          <w:rFonts w:hint="eastAsia"/>
          <w:highlight w:val="none"/>
          <w:u w:val="single"/>
        </w:rPr>
        <w:t>、</w:t>
      </w:r>
      <w:r>
        <w:rPr>
          <w:rFonts w:hint="eastAsia"/>
          <w:highlight w:val="none"/>
          <w:u w:val="single"/>
          <w:lang w:val="en-US" w:eastAsia="zh-CN"/>
        </w:rPr>
        <w:t>安装、调试</w:t>
      </w:r>
      <w:r>
        <w:rPr>
          <w:rFonts w:hint="eastAsia"/>
          <w:highlight w:val="none"/>
          <w:u w:val="single"/>
        </w:rPr>
        <w:t>及质保等）。</w:t>
      </w:r>
    </w:p>
    <w:p>
      <w:pPr>
        <w:shd w:val="clear"/>
        <w:tabs>
          <w:tab w:val="left" w:pos="567"/>
        </w:tabs>
        <w:spacing w:before="0" w:after="0" w:afterAutospacing="0"/>
        <w:ind w:left="0" w:right="0" w:firstLine="422" w:firstLineChars="200"/>
        <w:rPr>
          <w:rFonts w:ascii="宋体" w:hAnsi="宋体"/>
          <w:b/>
          <w:highlight w:val="none"/>
        </w:rPr>
      </w:pPr>
      <w:r>
        <w:rPr>
          <w:rFonts w:ascii="宋体" w:hAnsi="宋体"/>
          <w:b/>
          <w:highlight w:val="none"/>
        </w:rPr>
        <w:t>3、合同</w:t>
      </w:r>
      <w:r>
        <w:rPr>
          <w:rFonts w:hint="eastAsia" w:ascii="宋体" w:hAnsi="宋体"/>
          <w:b/>
          <w:highlight w:val="none"/>
        </w:rPr>
        <w:t>价格</w:t>
      </w:r>
    </w:p>
    <w:p>
      <w:pPr>
        <w:shd w:val="clear"/>
        <w:tabs>
          <w:tab w:val="left" w:pos="567"/>
        </w:tabs>
        <w:spacing w:before="0" w:after="0" w:afterAutospacing="0"/>
        <w:ind w:left="0" w:right="0" w:firstLine="420" w:firstLineChars="200"/>
        <w:rPr>
          <w:rFonts w:ascii="宋体" w:hAnsi="宋体"/>
          <w:highlight w:val="none"/>
        </w:rPr>
      </w:pPr>
      <w:r>
        <w:rPr>
          <w:rFonts w:hint="eastAsia" w:ascii="宋体" w:hAnsi="宋体"/>
          <w:highlight w:val="none"/>
        </w:rPr>
        <w:t>本项目合同价格为：不含税价：人民币</w:t>
      </w:r>
      <w:r>
        <w:rPr>
          <w:rFonts w:hint="eastAsia" w:ascii="宋体" w:hAnsi="宋体"/>
          <w:highlight w:val="none"/>
          <w:u w:val="single"/>
        </w:rPr>
        <w:t xml:space="preserve">       (¥  )</w:t>
      </w:r>
      <w:r>
        <w:rPr>
          <w:rFonts w:hint="eastAsia" w:ascii="宋体" w:hAnsi="宋体"/>
          <w:highlight w:val="none"/>
        </w:rPr>
        <w:t>；税费：人民币</w:t>
      </w:r>
      <w:r>
        <w:rPr>
          <w:rFonts w:hint="eastAsia" w:ascii="宋体" w:hAnsi="宋体"/>
          <w:highlight w:val="none"/>
          <w:u w:val="single"/>
        </w:rPr>
        <w:t xml:space="preserve">       (¥  )</w:t>
      </w:r>
      <w:r>
        <w:rPr>
          <w:rFonts w:hint="eastAsia" w:ascii="宋体" w:hAnsi="宋体"/>
          <w:highlight w:val="none"/>
        </w:rPr>
        <w:t>；税率</w:t>
      </w:r>
      <w:r>
        <w:rPr>
          <w:rFonts w:hint="eastAsia" w:ascii="宋体" w:hAnsi="宋体"/>
          <w:highlight w:val="none"/>
          <w:u w:val="single"/>
        </w:rPr>
        <w:t>： %</w:t>
      </w:r>
      <w:r>
        <w:rPr>
          <w:rFonts w:hint="eastAsia" w:ascii="宋体" w:hAnsi="宋体"/>
          <w:highlight w:val="none"/>
        </w:rPr>
        <w:t>；含税总价：人民币</w:t>
      </w:r>
      <w:r>
        <w:rPr>
          <w:rFonts w:hint="eastAsia" w:ascii="宋体" w:hAnsi="宋体"/>
          <w:highlight w:val="none"/>
          <w:u w:val="single"/>
        </w:rPr>
        <w:t xml:space="preserve">       (¥  )，</w:t>
      </w:r>
      <w:r>
        <w:rPr>
          <w:rFonts w:hint="eastAsia" w:ascii="宋体" w:hAnsi="宋体"/>
          <w:highlight w:val="none"/>
        </w:rPr>
        <w:t>（下文称“合同价格”</w:t>
      </w:r>
      <w:r>
        <w:rPr>
          <w:rFonts w:ascii="宋体" w:hAnsi="宋体"/>
          <w:highlight w:val="none"/>
        </w:rPr>
        <w:t>)</w:t>
      </w:r>
      <w:r>
        <w:rPr>
          <w:rFonts w:hint="eastAsia" w:ascii="宋体" w:hAnsi="宋体"/>
          <w:highlight w:val="none"/>
        </w:rPr>
        <w:t>。本合同价格为暂定价，</w:t>
      </w:r>
      <w:r>
        <w:rPr>
          <w:rFonts w:hint="eastAsia" w:ascii="宋体" w:hAnsi="宋体"/>
          <w:b/>
          <w:highlight w:val="none"/>
        </w:rPr>
        <w:t>在合同履约过程中，本合同税率将遵照国家现行税法执行，随国家税率调整而调整。本合同最终税金在结算阶段，按实际产生的税金进行核算，但合同不含税价格不因国家税率调整而调整。</w:t>
      </w:r>
    </w:p>
    <w:p>
      <w:pPr>
        <w:shd w:val="clear"/>
        <w:spacing w:before="0" w:after="0" w:afterAutospacing="0"/>
        <w:ind w:left="0" w:right="0" w:firstLine="422" w:firstLineChars="200"/>
        <w:rPr>
          <w:rFonts w:ascii="宋体" w:hAnsi="宋体"/>
          <w:highlight w:val="none"/>
        </w:rPr>
      </w:pPr>
      <w:r>
        <w:rPr>
          <w:rFonts w:ascii="宋体" w:hAnsi="宋体"/>
          <w:b/>
          <w:highlight w:val="none"/>
        </w:rPr>
        <w:t>4.本合同由下列文件构成</w:t>
      </w:r>
      <w:r>
        <w:rPr>
          <w:rFonts w:hint="eastAsia" w:ascii="宋体" w:hAnsi="宋体"/>
          <w:highlight w:val="none"/>
        </w:rPr>
        <w:t>：</w:t>
      </w:r>
    </w:p>
    <w:p>
      <w:pPr>
        <w:shd w:val="clear"/>
        <w:spacing w:before="0" w:after="0" w:afterAutospacing="0"/>
        <w:ind w:left="0" w:right="0" w:firstLine="420" w:firstLineChars="200"/>
        <w:rPr>
          <w:rFonts w:ascii="宋体" w:hAnsi="宋体"/>
          <w:highlight w:val="none"/>
        </w:rPr>
      </w:pPr>
      <w:r>
        <w:rPr>
          <w:rFonts w:hint="eastAsia" w:ascii="宋体" w:hAnsi="宋体"/>
          <w:highlight w:val="none"/>
        </w:rPr>
        <w:t>（</w:t>
      </w:r>
      <w:r>
        <w:rPr>
          <w:rFonts w:ascii="宋体" w:hAnsi="宋体"/>
          <w:highlight w:val="none"/>
        </w:rPr>
        <w:t>1</w:t>
      </w:r>
      <w:r>
        <w:rPr>
          <w:rFonts w:hint="eastAsia" w:ascii="宋体" w:hAnsi="宋体"/>
          <w:highlight w:val="none"/>
        </w:rPr>
        <w:t>）本合同协议书（含合同谈判过程中的澄清文件和补充资料）；</w:t>
      </w:r>
    </w:p>
    <w:p>
      <w:pPr>
        <w:shd w:val="clear"/>
        <w:spacing w:before="0" w:after="0" w:afterAutospacing="0"/>
        <w:ind w:left="0" w:right="0" w:firstLine="420" w:firstLineChars="200"/>
        <w:rPr>
          <w:rFonts w:ascii="宋体" w:hAnsi="宋体"/>
          <w:highlight w:val="none"/>
        </w:rPr>
      </w:pPr>
      <w:r>
        <w:rPr>
          <w:rFonts w:hint="eastAsia" w:ascii="宋体" w:hAnsi="宋体"/>
          <w:highlight w:val="none"/>
        </w:rPr>
        <w:t>（</w:t>
      </w:r>
      <w:r>
        <w:rPr>
          <w:rFonts w:ascii="宋体" w:hAnsi="宋体"/>
          <w:highlight w:val="none"/>
        </w:rPr>
        <w:t>2</w:t>
      </w:r>
      <w:r>
        <w:rPr>
          <w:rFonts w:hint="eastAsia" w:ascii="宋体" w:hAnsi="宋体"/>
          <w:highlight w:val="none"/>
        </w:rPr>
        <w:t>）中选通知书；</w:t>
      </w:r>
    </w:p>
    <w:p>
      <w:pPr>
        <w:shd w:val="clear"/>
        <w:spacing w:before="0" w:after="0" w:afterAutospacing="0"/>
        <w:ind w:left="0" w:right="0" w:firstLine="420" w:firstLineChars="200"/>
        <w:rPr>
          <w:rFonts w:ascii="宋体" w:hAnsi="宋体"/>
          <w:highlight w:val="none"/>
        </w:rPr>
      </w:pPr>
      <w:r>
        <w:rPr>
          <w:rFonts w:hint="eastAsia" w:ascii="宋体" w:hAnsi="宋体"/>
          <w:highlight w:val="none"/>
        </w:rPr>
        <w:t>（</w:t>
      </w:r>
      <w:r>
        <w:rPr>
          <w:rFonts w:ascii="宋体" w:hAnsi="宋体"/>
          <w:highlight w:val="none"/>
        </w:rPr>
        <w:t>3</w:t>
      </w:r>
      <w:r>
        <w:rPr>
          <w:rFonts w:hint="eastAsia" w:ascii="宋体" w:hAnsi="宋体"/>
          <w:highlight w:val="none"/>
        </w:rPr>
        <w:t>）合同条款；</w:t>
      </w:r>
    </w:p>
    <w:p>
      <w:pPr>
        <w:shd w:val="clear"/>
        <w:spacing w:before="0" w:after="0" w:afterAutospacing="0"/>
        <w:ind w:left="0" w:right="0" w:firstLine="420" w:firstLineChars="200"/>
        <w:rPr>
          <w:rFonts w:ascii="宋体" w:hAnsi="宋体"/>
          <w:highlight w:val="none"/>
        </w:rPr>
      </w:pPr>
      <w:r>
        <w:rPr>
          <w:rFonts w:hint="eastAsia" w:ascii="宋体" w:hAnsi="宋体"/>
          <w:highlight w:val="none"/>
        </w:rPr>
        <w:t>（4）价格组成文件；</w:t>
      </w:r>
    </w:p>
    <w:p>
      <w:pPr>
        <w:shd w:val="clear"/>
        <w:spacing w:before="0" w:after="0" w:afterAutospacing="0"/>
        <w:ind w:left="0" w:right="0" w:firstLine="420" w:firstLineChars="200"/>
        <w:rPr>
          <w:rFonts w:ascii="宋体" w:hAnsi="宋体"/>
          <w:highlight w:val="none"/>
        </w:rPr>
      </w:pPr>
      <w:r>
        <w:rPr>
          <w:rFonts w:hint="eastAsia" w:ascii="宋体" w:hAnsi="宋体"/>
          <w:highlight w:val="none"/>
        </w:rPr>
        <w:t>（5）用户需求书/技术规格书；</w:t>
      </w:r>
    </w:p>
    <w:p>
      <w:pPr>
        <w:shd w:val="clear"/>
        <w:spacing w:before="0" w:after="0" w:afterAutospacing="0"/>
        <w:ind w:left="0" w:right="0" w:firstLine="420" w:firstLineChars="200"/>
        <w:rPr>
          <w:rFonts w:ascii="宋体" w:hAnsi="宋体"/>
          <w:highlight w:val="none"/>
        </w:rPr>
      </w:pPr>
      <w:r>
        <w:rPr>
          <w:rFonts w:hint="eastAsia" w:ascii="宋体" w:hAnsi="宋体"/>
          <w:highlight w:val="none"/>
        </w:rPr>
        <w:t>（6）合同附件；</w:t>
      </w:r>
    </w:p>
    <w:p>
      <w:pPr>
        <w:shd w:val="clear"/>
        <w:spacing w:before="0" w:after="0" w:afterAutospacing="0"/>
        <w:ind w:left="0" w:right="0" w:firstLine="420" w:firstLineChars="200"/>
        <w:rPr>
          <w:rFonts w:ascii="宋体" w:hAnsi="宋体"/>
          <w:highlight w:val="none"/>
        </w:rPr>
      </w:pPr>
      <w:r>
        <w:rPr>
          <w:rFonts w:hint="eastAsia" w:ascii="宋体" w:hAnsi="宋体"/>
          <w:highlight w:val="none"/>
        </w:rPr>
        <w:t>（7）比选文件（含比选补充文件）；</w:t>
      </w:r>
    </w:p>
    <w:p>
      <w:pPr>
        <w:shd w:val="clear"/>
        <w:spacing w:before="0" w:after="0" w:afterAutospacing="0"/>
        <w:ind w:left="0" w:right="0" w:firstLine="420" w:firstLineChars="200"/>
        <w:rPr>
          <w:rFonts w:ascii="宋体" w:hAnsi="宋体"/>
          <w:highlight w:val="none"/>
        </w:rPr>
      </w:pPr>
      <w:r>
        <w:rPr>
          <w:rFonts w:hint="eastAsia" w:ascii="宋体" w:hAnsi="宋体"/>
          <w:highlight w:val="none"/>
        </w:rPr>
        <w:t>（8）比选申请文件（含比选申请文件的补充文件）。</w:t>
      </w:r>
    </w:p>
    <w:p>
      <w:pPr>
        <w:shd w:val="clear"/>
        <w:spacing w:before="0" w:after="0" w:afterAutospacing="0"/>
        <w:ind w:left="0" w:right="0" w:firstLine="420" w:firstLineChars="200"/>
        <w:rPr>
          <w:rFonts w:ascii="宋体" w:hAnsi="宋体" w:cs="Arial"/>
          <w:highlight w:val="none"/>
        </w:rPr>
      </w:pPr>
      <w:r>
        <w:rPr>
          <w:rFonts w:hint="eastAsia" w:cs="宋体"/>
          <w:highlight w:val="none"/>
        </w:rPr>
        <w:t xml:space="preserve"> 上述文件相互补充和解释，如有不明确或不一致之处，以上述次序在先者为准。双方关于项目变更通知、会议纪要等书面文本视为本合同的组成部分。合同签订后，双方签订的补充协议也是本合同文件的组成部分，如补充协议与其他文件发生矛盾或歧义时，属于同一类内容的文件，应以最新签署的为准</w:t>
      </w:r>
      <w:r>
        <w:rPr>
          <w:rFonts w:hint="eastAsia" w:ascii="宋体" w:hAnsi="宋体" w:cs="Arial"/>
          <w:highlight w:val="none"/>
        </w:rPr>
        <w:t>。</w:t>
      </w:r>
    </w:p>
    <w:p>
      <w:pPr>
        <w:shd w:val="clear"/>
        <w:spacing w:before="0" w:after="0" w:afterAutospacing="0"/>
        <w:ind w:left="0" w:right="0" w:firstLine="420" w:firstLineChars="200"/>
        <w:rPr>
          <w:rFonts w:ascii="宋体" w:hAnsi="宋体" w:cs="Arial"/>
          <w:highlight w:val="none"/>
        </w:rPr>
      </w:pPr>
      <w:r>
        <w:rPr>
          <w:rFonts w:hint="eastAsia" w:ascii="宋体" w:hAnsi="宋体" w:cs="Arial"/>
          <w:highlight w:val="none"/>
        </w:rPr>
        <w:t>5.</w:t>
      </w:r>
      <w:r>
        <w:rPr>
          <w:rFonts w:hint="eastAsia"/>
          <w:highlight w:val="none"/>
        </w:rPr>
        <w:t xml:space="preserve"> 乙方向甲方承诺严格履行合同条款义务，按合同约定承担本合同责任</w:t>
      </w:r>
      <w:r>
        <w:rPr>
          <w:rFonts w:hint="eastAsia" w:ascii="宋体" w:hAnsi="宋体" w:cs="Arial"/>
          <w:highlight w:val="none"/>
        </w:rPr>
        <w:t>。</w:t>
      </w:r>
    </w:p>
    <w:p>
      <w:pPr>
        <w:shd w:val="clear"/>
        <w:spacing w:before="0" w:after="0" w:afterAutospacing="0"/>
        <w:ind w:left="0" w:right="0" w:firstLine="420" w:firstLineChars="200"/>
        <w:rPr>
          <w:rFonts w:hint="eastAsia" w:ascii="宋体" w:hAnsi="宋体" w:cs="Arial"/>
          <w:highlight w:val="none"/>
        </w:rPr>
      </w:pPr>
      <w:r>
        <w:rPr>
          <w:rFonts w:hint="eastAsia" w:ascii="宋体" w:hAnsi="宋体" w:cs="Arial"/>
          <w:highlight w:val="none"/>
        </w:rPr>
        <w:t>6. 双方依据本次比选文件中的用户需求书，通过合同澄清最终形成技术规格书，并经双方正式签署后构成本合同的有效组成部分。在本合同执行中以技术规格书为准。</w:t>
      </w:r>
    </w:p>
    <w:p>
      <w:pPr>
        <w:shd w:val="clear"/>
        <w:spacing w:before="0" w:after="0" w:afterAutospacing="0"/>
        <w:ind w:left="0" w:right="0" w:firstLine="420" w:firstLineChars="200"/>
        <w:rPr>
          <w:rFonts w:hint="eastAsia" w:ascii="宋体" w:hAnsi="宋体" w:cs="Arial"/>
          <w:highlight w:val="none"/>
        </w:rPr>
      </w:pPr>
      <w:r>
        <w:rPr>
          <w:rFonts w:hint="eastAsia" w:ascii="宋体" w:hAnsi="宋体" w:cs="Arial"/>
          <w:highlight w:val="none"/>
        </w:rPr>
        <w:t>7. 甲方向乙方承诺按合同条款约定的条件、时间和方式支付合同价款。</w:t>
      </w:r>
    </w:p>
    <w:p>
      <w:pPr>
        <w:shd w:val="clear"/>
        <w:spacing w:before="0" w:after="0" w:afterAutospacing="0"/>
        <w:ind w:left="0" w:right="0" w:firstLine="420" w:firstLineChars="200"/>
        <w:rPr>
          <w:rFonts w:hint="eastAsia" w:ascii="宋体" w:hAnsi="宋体" w:cs="Arial"/>
          <w:highlight w:val="none"/>
        </w:rPr>
      </w:pPr>
      <w:r>
        <w:rPr>
          <w:rFonts w:hint="eastAsia" w:ascii="宋体" w:hAnsi="宋体" w:cs="Arial"/>
          <w:highlight w:val="none"/>
        </w:rPr>
        <w:t>8. 甲方、乙方承诺按照合同条款约定的违约责任和解决争议方式履行合同。</w:t>
      </w:r>
    </w:p>
    <w:p>
      <w:pPr>
        <w:shd w:val="clear"/>
        <w:spacing w:before="0" w:after="0" w:afterAutospacing="0"/>
        <w:ind w:left="0" w:right="0" w:firstLine="420" w:firstLineChars="200"/>
        <w:rPr>
          <w:rFonts w:hint="eastAsia" w:ascii="宋体" w:hAnsi="宋体" w:cs="Arial"/>
          <w:highlight w:val="none"/>
        </w:rPr>
      </w:pPr>
      <w:r>
        <w:rPr>
          <w:rFonts w:hint="eastAsia" w:ascii="宋体" w:hAnsi="宋体" w:cs="Arial"/>
          <w:highlight w:val="none"/>
        </w:rPr>
        <w:t>9. 本合同协议书中有关词语含义与本合同《合同条款》中分别赋予它们的定义相同，合同协议书与《合同条款》共同组成完整的合同文本。</w:t>
      </w:r>
    </w:p>
    <w:p>
      <w:pPr>
        <w:shd w:val="clear"/>
        <w:spacing w:before="0" w:after="0" w:afterAutospacing="0"/>
        <w:ind w:left="0" w:right="0" w:firstLine="420" w:firstLineChars="200"/>
        <w:rPr>
          <w:rFonts w:hint="eastAsia" w:ascii="宋体" w:hAnsi="宋体" w:cs="Arial"/>
          <w:highlight w:val="none"/>
        </w:rPr>
      </w:pPr>
      <w:r>
        <w:rPr>
          <w:rFonts w:hint="eastAsia" w:ascii="宋体" w:hAnsi="宋体" w:cs="Arial"/>
          <w:highlight w:val="none"/>
        </w:rPr>
        <w:t>10.本合同用中文书写，正本2份，甲乙方各1份；副本12份，甲方持10份，乙方持2份。</w:t>
      </w:r>
    </w:p>
    <w:p>
      <w:pPr>
        <w:shd w:val="clear"/>
        <w:spacing w:before="0" w:after="0" w:afterAutospacing="0"/>
        <w:ind w:left="0" w:right="0" w:firstLine="420" w:firstLineChars="200"/>
        <w:rPr>
          <w:rFonts w:hint="eastAsia" w:ascii="宋体" w:hAnsi="宋体" w:cs="Arial"/>
          <w:highlight w:val="none"/>
        </w:rPr>
      </w:pPr>
      <w:r>
        <w:rPr>
          <w:rFonts w:hint="eastAsia" w:ascii="宋体" w:hAnsi="宋体" w:cs="Arial"/>
          <w:highlight w:val="none"/>
        </w:rPr>
        <w:t>11.本合同协议书经双方法定代表人或授权代表在合同协议书上签字并加盖单位公章后生效。</w:t>
      </w:r>
    </w:p>
    <w:p>
      <w:pPr>
        <w:shd w:val="clear"/>
        <w:spacing w:before="0" w:after="0" w:afterAutospacing="0"/>
        <w:ind w:left="0" w:right="0" w:firstLine="420" w:firstLineChars="200"/>
        <w:rPr>
          <w:rFonts w:hint="eastAsia" w:ascii="宋体" w:hAnsi="宋体" w:cs="Arial"/>
          <w:highlight w:val="none"/>
        </w:rPr>
      </w:pPr>
      <w:r>
        <w:rPr>
          <w:rFonts w:hint="eastAsia" w:ascii="宋体" w:hAnsi="宋体" w:cs="Arial"/>
          <w:highlight w:val="none"/>
        </w:rPr>
        <w:t>12. 合同未尽事宜，双方另行签订补充协议。</w:t>
      </w:r>
    </w:p>
    <w:tbl>
      <w:tblPr>
        <w:tblStyle w:val="28"/>
        <w:tblW w:w="8522" w:type="dxa"/>
        <w:tblInd w:w="0" w:type="dxa"/>
        <w:tblLayout w:type="fixed"/>
        <w:tblCellMar>
          <w:top w:w="0" w:type="dxa"/>
          <w:left w:w="108" w:type="dxa"/>
          <w:bottom w:w="0" w:type="dxa"/>
          <w:right w:w="108" w:type="dxa"/>
        </w:tblCellMar>
      </w:tblPr>
      <w:tblGrid>
        <w:gridCol w:w="4261"/>
        <w:gridCol w:w="4261"/>
      </w:tblGrid>
      <w:tr>
        <w:tblPrEx>
          <w:tblCellMar>
            <w:top w:w="0" w:type="dxa"/>
            <w:left w:w="108" w:type="dxa"/>
            <w:bottom w:w="0" w:type="dxa"/>
            <w:right w:w="108" w:type="dxa"/>
          </w:tblCellMar>
        </w:tblPrEx>
        <w:tc>
          <w:tcPr>
            <w:tcW w:w="4261" w:type="dxa"/>
          </w:tcPr>
          <w:p>
            <w:pPr>
              <w:pStyle w:val="2"/>
              <w:shd w:val="clear"/>
              <w:spacing w:before="0" w:after="0"/>
              <w:ind w:right="0"/>
              <w:rPr>
                <w:rFonts w:hAnsi="宋体" w:cs="Courier New"/>
                <w:sz w:val="21"/>
                <w:szCs w:val="21"/>
                <w:highlight w:val="none"/>
              </w:rPr>
            </w:pPr>
            <w:r>
              <w:rPr>
                <w:rFonts w:hint="eastAsia" w:hAnsi="宋体" w:cs="Courier New"/>
                <w:sz w:val="21"/>
                <w:szCs w:val="21"/>
                <w:highlight w:val="none"/>
              </w:rPr>
              <w:t>甲方：</w:t>
            </w:r>
            <w:r>
              <w:rPr>
                <w:rFonts w:hint="eastAsia" w:hAnsi="宋体" w:cs="Courier New"/>
                <w:sz w:val="21"/>
                <w:szCs w:val="21"/>
                <w:highlight w:val="none"/>
                <w:u w:val="single"/>
              </w:rPr>
              <w:t>南宁轨道交通运营有限公司</w:t>
            </w:r>
          </w:p>
          <w:p>
            <w:pPr>
              <w:pStyle w:val="2"/>
              <w:shd w:val="clear"/>
              <w:spacing w:before="0" w:after="0"/>
              <w:ind w:right="0"/>
              <w:rPr>
                <w:rFonts w:hAnsi="宋体" w:cs="Courier New"/>
                <w:sz w:val="21"/>
                <w:szCs w:val="21"/>
                <w:highlight w:val="none"/>
                <w:u w:val="single"/>
              </w:rPr>
            </w:pPr>
            <w:r>
              <w:rPr>
                <w:rFonts w:hint="eastAsia" w:hAnsi="宋体" w:cs="Courier New"/>
                <w:sz w:val="21"/>
                <w:szCs w:val="21"/>
                <w:highlight w:val="none"/>
              </w:rPr>
              <w:t>法定代表人或授权人：</w:t>
            </w:r>
          </w:p>
          <w:p>
            <w:pPr>
              <w:pStyle w:val="2"/>
              <w:shd w:val="clear"/>
              <w:spacing w:before="0" w:after="0"/>
              <w:ind w:right="0"/>
              <w:rPr>
                <w:rFonts w:hAnsi="宋体" w:cs="Courier New"/>
                <w:sz w:val="21"/>
                <w:szCs w:val="21"/>
                <w:highlight w:val="none"/>
                <w:u w:val="single"/>
              </w:rPr>
            </w:pPr>
            <w:r>
              <w:rPr>
                <w:rFonts w:hint="eastAsia" w:hAnsi="宋体" w:cs="Courier New"/>
                <w:sz w:val="21"/>
                <w:szCs w:val="21"/>
                <w:highlight w:val="none"/>
              </w:rPr>
              <w:t>地址：</w:t>
            </w:r>
            <w:r>
              <w:rPr>
                <w:rFonts w:hint="eastAsia" w:hAnsi="宋体" w:cs="Courier New"/>
                <w:sz w:val="21"/>
                <w:szCs w:val="21"/>
                <w:highlight w:val="none"/>
                <w:u w:val="single"/>
              </w:rPr>
              <w:t>广西南宁市青秀区云景路</w:t>
            </w:r>
            <w:r>
              <w:rPr>
                <w:rFonts w:hint="eastAsia" w:hAnsi="宋体" w:cs="Courier New"/>
                <w:sz w:val="21"/>
                <w:szCs w:val="21"/>
                <w:highlight w:val="none"/>
                <w:u w:val="single"/>
                <w:lang w:val="en-US" w:eastAsia="zh-CN"/>
              </w:rPr>
              <w:t>83</w:t>
            </w:r>
            <w:r>
              <w:rPr>
                <w:rFonts w:hint="eastAsia" w:hAnsi="宋体" w:cs="Courier New"/>
                <w:sz w:val="21"/>
                <w:szCs w:val="21"/>
                <w:highlight w:val="none"/>
                <w:u w:val="single"/>
              </w:rPr>
              <w:t>号</w:t>
            </w:r>
          </w:p>
          <w:p>
            <w:pPr>
              <w:pStyle w:val="2"/>
              <w:shd w:val="clear"/>
              <w:spacing w:before="0" w:after="0"/>
              <w:ind w:right="0"/>
              <w:rPr>
                <w:rFonts w:hAnsi="宋体" w:cs="Courier New"/>
                <w:sz w:val="21"/>
                <w:szCs w:val="21"/>
                <w:highlight w:val="none"/>
              </w:rPr>
            </w:pPr>
            <w:r>
              <w:rPr>
                <w:rFonts w:hint="eastAsia" w:hAnsi="宋体" w:cs="Courier New"/>
                <w:sz w:val="21"/>
                <w:szCs w:val="21"/>
                <w:highlight w:val="none"/>
              </w:rPr>
              <w:t>邮政编码：</w:t>
            </w:r>
          </w:p>
          <w:p>
            <w:pPr>
              <w:pStyle w:val="2"/>
              <w:shd w:val="clear"/>
              <w:spacing w:before="0" w:after="0"/>
              <w:ind w:right="0"/>
              <w:rPr>
                <w:rFonts w:hAnsi="宋体" w:cs="Courier New"/>
                <w:sz w:val="21"/>
                <w:szCs w:val="21"/>
                <w:highlight w:val="none"/>
              </w:rPr>
            </w:pPr>
            <w:r>
              <w:rPr>
                <w:rFonts w:hint="eastAsia" w:hAnsi="宋体" w:cs="Courier New"/>
                <w:sz w:val="21"/>
                <w:szCs w:val="21"/>
                <w:highlight w:val="none"/>
              </w:rPr>
              <w:t>联系人：</w:t>
            </w:r>
          </w:p>
          <w:p>
            <w:pPr>
              <w:pStyle w:val="2"/>
              <w:shd w:val="clear"/>
              <w:spacing w:before="0" w:after="0"/>
              <w:ind w:right="0"/>
              <w:rPr>
                <w:rFonts w:hAnsi="宋体" w:cs="Courier New"/>
                <w:sz w:val="21"/>
                <w:szCs w:val="21"/>
                <w:highlight w:val="none"/>
                <w:u w:val="single"/>
              </w:rPr>
            </w:pPr>
            <w:r>
              <w:rPr>
                <w:rFonts w:hint="eastAsia" w:hAnsi="宋体" w:cs="Courier New"/>
                <w:sz w:val="21"/>
                <w:szCs w:val="21"/>
                <w:highlight w:val="none"/>
              </w:rPr>
              <w:t xml:space="preserve">联系电话： </w:t>
            </w:r>
          </w:p>
          <w:p>
            <w:pPr>
              <w:pStyle w:val="2"/>
              <w:shd w:val="clear"/>
              <w:spacing w:before="0" w:after="0"/>
              <w:ind w:right="0"/>
              <w:rPr>
                <w:rFonts w:hAnsi="宋体" w:cs="Courier New"/>
                <w:sz w:val="21"/>
                <w:szCs w:val="21"/>
                <w:highlight w:val="none"/>
                <w:u w:val="single"/>
              </w:rPr>
            </w:pPr>
            <w:r>
              <w:rPr>
                <w:rFonts w:hint="eastAsia" w:hAnsi="宋体" w:cs="Courier New"/>
                <w:sz w:val="21"/>
                <w:szCs w:val="21"/>
                <w:highlight w:val="none"/>
              </w:rPr>
              <w:t>传真：</w:t>
            </w:r>
          </w:p>
          <w:p>
            <w:pPr>
              <w:pStyle w:val="2"/>
              <w:shd w:val="clear"/>
              <w:spacing w:before="0" w:after="0"/>
              <w:ind w:right="0"/>
              <w:rPr>
                <w:rFonts w:hAnsi="宋体" w:cs="Courier New"/>
                <w:sz w:val="21"/>
                <w:szCs w:val="21"/>
                <w:highlight w:val="none"/>
              </w:rPr>
            </w:pPr>
            <w:r>
              <w:rPr>
                <w:rFonts w:hint="eastAsia" w:hAnsi="宋体" w:cs="Courier New"/>
                <w:sz w:val="21"/>
                <w:szCs w:val="21"/>
                <w:highlight w:val="none"/>
              </w:rPr>
              <w:t>开户银行：</w:t>
            </w:r>
          </w:p>
          <w:p>
            <w:pPr>
              <w:pStyle w:val="2"/>
              <w:shd w:val="clear"/>
              <w:spacing w:before="0" w:after="0"/>
              <w:ind w:right="0"/>
              <w:rPr>
                <w:rFonts w:hAnsi="宋体" w:cs="Courier New"/>
                <w:sz w:val="21"/>
                <w:szCs w:val="21"/>
                <w:highlight w:val="none"/>
              </w:rPr>
            </w:pPr>
            <w:r>
              <w:rPr>
                <w:rFonts w:hint="eastAsia" w:hAnsi="宋体" w:cs="Courier New"/>
                <w:sz w:val="21"/>
                <w:szCs w:val="21"/>
                <w:highlight w:val="none"/>
              </w:rPr>
              <w:t>纳税人识别号：</w:t>
            </w:r>
          </w:p>
        </w:tc>
        <w:tc>
          <w:tcPr>
            <w:tcW w:w="4261" w:type="dxa"/>
          </w:tcPr>
          <w:p>
            <w:pPr>
              <w:pStyle w:val="2"/>
              <w:shd w:val="clear"/>
              <w:spacing w:before="0" w:after="0"/>
              <w:ind w:right="0" w:firstLine="200"/>
              <w:rPr>
                <w:rFonts w:hAnsi="宋体" w:cs="Courier New"/>
                <w:sz w:val="21"/>
                <w:szCs w:val="21"/>
                <w:highlight w:val="none"/>
                <w:u w:val="single"/>
              </w:rPr>
            </w:pPr>
            <w:r>
              <w:rPr>
                <w:rFonts w:hint="eastAsia" w:hAnsi="宋体" w:cs="Courier New"/>
                <w:sz w:val="21"/>
                <w:szCs w:val="21"/>
                <w:highlight w:val="none"/>
              </w:rPr>
              <w:t>乙方：</w:t>
            </w:r>
          </w:p>
          <w:p>
            <w:pPr>
              <w:pStyle w:val="2"/>
              <w:shd w:val="clear"/>
              <w:spacing w:before="0" w:after="0"/>
              <w:ind w:right="0" w:firstLine="200"/>
              <w:rPr>
                <w:rFonts w:hAnsi="宋体" w:cs="Courier New"/>
                <w:sz w:val="21"/>
                <w:szCs w:val="21"/>
                <w:highlight w:val="none"/>
                <w:u w:val="single"/>
              </w:rPr>
            </w:pPr>
            <w:r>
              <w:rPr>
                <w:rFonts w:hint="eastAsia" w:hAnsi="宋体" w:cs="Courier New"/>
                <w:sz w:val="21"/>
                <w:szCs w:val="21"/>
                <w:highlight w:val="none"/>
              </w:rPr>
              <w:t>法定代表人或授权人：</w:t>
            </w:r>
          </w:p>
          <w:p>
            <w:pPr>
              <w:pStyle w:val="2"/>
              <w:shd w:val="clear"/>
              <w:spacing w:before="0" w:after="0"/>
              <w:ind w:right="0" w:firstLine="200"/>
              <w:rPr>
                <w:rFonts w:hAnsi="宋体" w:cs="Courier New"/>
                <w:sz w:val="21"/>
                <w:szCs w:val="21"/>
                <w:highlight w:val="none"/>
                <w:u w:val="single"/>
              </w:rPr>
            </w:pPr>
            <w:r>
              <w:rPr>
                <w:rFonts w:hint="eastAsia" w:hAnsi="宋体" w:cs="Courier New"/>
                <w:sz w:val="21"/>
                <w:szCs w:val="21"/>
                <w:highlight w:val="none"/>
              </w:rPr>
              <w:t>地址：</w:t>
            </w:r>
          </w:p>
          <w:p>
            <w:pPr>
              <w:pStyle w:val="2"/>
              <w:shd w:val="clear"/>
              <w:spacing w:before="0" w:after="0"/>
              <w:ind w:right="0" w:firstLine="200"/>
              <w:rPr>
                <w:rFonts w:hAnsi="宋体" w:cs="Courier New"/>
                <w:sz w:val="21"/>
                <w:szCs w:val="21"/>
                <w:highlight w:val="none"/>
              </w:rPr>
            </w:pPr>
            <w:r>
              <w:rPr>
                <w:rFonts w:hint="eastAsia" w:hAnsi="宋体" w:cs="Courier New"/>
                <w:sz w:val="21"/>
                <w:szCs w:val="21"/>
                <w:highlight w:val="none"/>
              </w:rPr>
              <w:t>邮政编码：</w:t>
            </w:r>
          </w:p>
          <w:p>
            <w:pPr>
              <w:pStyle w:val="2"/>
              <w:shd w:val="clear"/>
              <w:spacing w:before="0" w:after="0"/>
              <w:ind w:right="0" w:firstLine="200"/>
              <w:rPr>
                <w:rFonts w:hAnsi="宋体" w:cs="Courier New"/>
                <w:sz w:val="21"/>
                <w:szCs w:val="21"/>
                <w:highlight w:val="none"/>
              </w:rPr>
            </w:pPr>
            <w:r>
              <w:rPr>
                <w:rFonts w:hint="eastAsia" w:hAnsi="宋体" w:cs="Courier New"/>
                <w:sz w:val="21"/>
                <w:szCs w:val="21"/>
                <w:highlight w:val="none"/>
              </w:rPr>
              <w:t>联系人：</w:t>
            </w:r>
          </w:p>
          <w:p>
            <w:pPr>
              <w:pStyle w:val="2"/>
              <w:shd w:val="clear"/>
              <w:spacing w:before="0" w:after="0"/>
              <w:ind w:right="0" w:firstLine="200"/>
              <w:rPr>
                <w:rFonts w:hAnsi="宋体" w:cs="Courier New"/>
                <w:sz w:val="21"/>
                <w:szCs w:val="21"/>
                <w:highlight w:val="none"/>
                <w:u w:val="single"/>
              </w:rPr>
            </w:pPr>
            <w:r>
              <w:rPr>
                <w:rFonts w:hint="eastAsia" w:hAnsi="宋体" w:cs="Courier New"/>
                <w:sz w:val="21"/>
                <w:szCs w:val="21"/>
                <w:highlight w:val="none"/>
              </w:rPr>
              <w:t>联系电话：</w:t>
            </w:r>
          </w:p>
          <w:p>
            <w:pPr>
              <w:pStyle w:val="2"/>
              <w:shd w:val="clear"/>
              <w:spacing w:before="0" w:after="0"/>
              <w:ind w:right="0" w:firstLine="200"/>
              <w:rPr>
                <w:rFonts w:hAnsi="宋体" w:cs="Courier New"/>
                <w:sz w:val="21"/>
                <w:szCs w:val="21"/>
                <w:highlight w:val="none"/>
                <w:u w:val="single"/>
              </w:rPr>
            </w:pPr>
            <w:r>
              <w:rPr>
                <w:rFonts w:hint="eastAsia" w:hAnsi="宋体" w:cs="Courier New"/>
                <w:sz w:val="21"/>
                <w:szCs w:val="21"/>
                <w:highlight w:val="none"/>
              </w:rPr>
              <w:t>传真：</w:t>
            </w:r>
          </w:p>
          <w:p>
            <w:pPr>
              <w:pStyle w:val="2"/>
              <w:shd w:val="clear"/>
              <w:spacing w:before="0" w:after="0"/>
              <w:ind w:right="0" w:firstLine="200"/>
              <w:rPr>
                <w:rFonts w:hAnsi="宋体" w:cs="Courier New"/>
                <w:sz w:val="21"/>
                <w:szCs w:val="21"/>
                <w:highlight w:val="none"/>
                <w:u w:val="single"/>
              </w:rPr>
            </w:pPr>
            <w:r>
              <w:rPr>
                <w:rFonts w:hint="eastAsia" w:hAnsi="宋体" w:cs="Courier New"/>
                <w:sz w:val="21"/>
                <w:szCs w:val="21"/>
                <w:highlight w:val="none"/>
              </w:rPr>
              <w:t>开户银行：</w:t>
            </w:r>
          </w:p>
          <w:p>
            <w:pPr>
              <w:pStyle w:val="2"/>
              <w:shd w:val="clear"/>
              <w:spacing w:before="0" w:after="0"/>
              <w:ind w:left="708" w:right="0" w:hanging="707"/>
              <w:rPr>
                <w:rFonts w:hAnsi="宋体" w:cs="Courier New"/>
                <w:sz w:val="21"/>
                <w:szCs w:val="21"/>
                <w:highlight w:val="none"/>
              </w:rPr>
            </w:pPr>
            <w:r>
              <w:rPr>
                <w:rFonts w:hint="eastAsia" w:hAnsi="宋体" w:cs="Courier New"/>
                <w:sz w:val="21"/>
                <w:szCs w:val="21"/>
                <w:highlight w:val="none"/>
              </w:rPr>
              <w:t xml:space="preserve">    纳税人识别号：</w:t>
            </w:r>
          </w:p>
        </w:tc>
      </w:tr>
    </w:tbl>
    <w:p>
      <w:pPr>
        <w:shd w:val="clear"/>
        <w:spacing w:before="0" w:after="0"/>
        <w:ind w:left="699" w:leftChars="333" w:right="0" w:firstLine="1560" w:firstLineChars="740"/>
        <w:rPr>
          <w:rFonts w:ascii="宋体" w:hAnsi="宋体"/>
          <w:b/>
          <w:highlight w:val="none"/>
          <w:u w:val="single"/>
        </w:rPr>
      </w:pPr>
      <w:r>
        <w:rPr>
          <w:rFonts w:hint="eastAsia" w:ascii="宋体" w:hAnsi="宋体"/>
          <w:b/>
          <w:highlight w:val="none"/>
        </w:rPr>
        <w:t>签订时间：     年   月   日</w:t>
      </w:r>
    </w:p>
    <w:p>
      <w:pPr>
        <w:shd w:val="clear"/>
        <w:spacing w:before="0"/>
        <w:ind w:right="0" w:firstLine="200"/>
        <w:jc w:val="center"/>
        <w:outlineLvl w:val="1"/>
        <w:rPr>
          <w:rFonts w:ascii="宋体" w:hAnsi="宋体"/>
          <w:b/>
          <w:sz w:val="24"/>
          <w:szCs w:val="24"/>
          <w:highlight w:val="none"/>
        </w:rPr>
      </w:pPr>
      <w:bookmarkStart w:id="1059" w:name="_Toc10196"/>
      <w:bookmarkStart w:id="1060" w:name="_Toc7689"/>
      <w:bookmarkStart w:id="1061" w:name="_Toc14469"/>
      <w:bookmarkStart w:id="1062" w:name="_Toc16743"/>
      <w:bookmarkStart w:id="1063" w:name="_Toc24973"/>
      <w:bookmarkStart w:id="1064" w:name="_Toc18460"/>
      <w:bookmarkStart w:id="1065" w:name="_Toc11253"/>
      <w:bookmarkStart w:id="1066" w:name="_Toc29876"/>
      <w:bookmarkStart w:id="1067" w:name="_Toc258"/>
      <w:bookmarkStart w:id="1068" w:name="_Toc12155"/>
      <w:bookmarkStart w:id="1069" w:name="_Toc25750634"/>
      <w:bookmarkStart w:id="1070" w:name="_Toc7529"/>
      <w:bookmarkStart w:id="1071" w:name="_Toc9438"/>
      <w:bookmarkStart w:id="1072" w:name="_Toc25942"/>
      <w:bookmarkStart w:id="1073" w:name="_Toc24098"/>
      <w:bookmarkStart w:id="1074" w:name="_Toc4133"/>
      <w:bookmarkStart w:id="1075" w:name="_Toc997"/>
      <w:bookmarkStart w:id="1076" w:name="_Toc9188"/>
    </w:p>
    <w:p>
      <w:pPr>
        <w:pStyle w:val="2"/>
        <w:shd w:val="clear"/>
        <w:rPr>
          <w:highlight w:val="none"/>
        </w:rPr>
      </w:pPr>
    </w:p>
    <w:p>
      <w:pPr>
        <w:pStyle w:val="3"/>
        <w:numPr>
          <w:ilvl w:val="3"/>
          <w:numId w:val="0"/>
        </w:numPr>
        <w:shd w:val="clear"/>
        <w:ind w:leftChars="0" w:right="-27" w:rightChars="0"/>
        <w:rPr>
          <w:highlight w:val="none"/>
        </w:rPr>
      </w:pPr>
    </w:p>
    <w:p>
      <w:pPr>
        <w:pStyle w:val="2"/>
        <w:shd w:val="clear"/>
        <w:ind w:left="0" w:leftChars="0" w:firstLine="0" w:firstLineChars="0"/>
        <w:rPr>
          <w:highlight w:val="none"/>
        </w:rPr>
      </w:pPr>
    </w:p>
    <w:p>
      <w:pPr>
        <w:numPr>
          <w:ilvl w:val="0"/>
          <w:numId w:val="8"/>
        </w:numPr>
        <w:shd w:val="clear"/>
        <w:spacing w:before="0"/>
        <w:ind w:right="0"/>
        <w:jc w:val="center"/>
        <w:outlineLvl w:val="1"/>
        <w:rPr>
          <w:rFonts w:hint="eastAsia" w:ascii="宋体" w:hAnsi="宋体"/>
          <w:b/>
          <w:sz w:val="24"/>
          <w:szCs w:val="24"/>
          <w:highlight w:val="none"/>
          <w:lang w:val="en-US" w:eastAsia="zh-CN"/>
        </w:rPr>
      </w:pPr>
      <w:r>
        <w:rPr>
          <w:rFonts w:hint="eastAsia" w:ascii="宋体" w:hAnsi="宋体"/>
          <w:b/>
          <w:sz w:val="24"/>
          <w:szCs w:val="24"/>
          <w:highlight w:val="none"/>
          <w:lang w:val="en-US" w:eastAsia="zh-CN"/>
        </w:rPr>
        <w:t>中选通知书</w:t>
      </w:r>
    </w:p>
    <w:p>
      <w:pPr>
        <w:numPr>
          <w:ilvl w:val="0"/>
          <w:numId w:val="0"/>
        </w:numPr>
        <w:shd w:val="clear"/>
        <w:spacing w:before="0"/>
        <w:ind w:leftChars="0" w:right="0" w:rightChars="0"/>
        <w:jc w:val="both"/>
        <w:outlineLvl w:val="1"/>
        <w:rPr>
          <w:rFonts w:ascii="宋体" w:hAnsi="宋体"/>
          <w:b/>
          <w:sz w:val="24"/>
          <w:szCs w:val="24"/>
          <w:highlight w:val="none"/>
        </w:rPr>
      </w:pPr>
    </w:p>
    <w:p>
      <w:pPr>
        <w:pStyle w:val="2"/>
        <w:shd w:val="clear"/>
        <w:rPr>
          <w:rFonts w:ascii="宋体" w:hAnsi="宋体"/>
          <w:b/>
          <w:sz w:val="24"/>
          <w:szCs w:val="24"/>
          <w:highlight w:val="none"/>
        </w:rPr>
      </w:pPr>
    </w:p>
    <w:p>
      <w:pPr>
        <w:pStyle w:val="2"/>
        <w:shd w:val="clear"/>
        <w:rPr>
          <w:rFonts w:ascii="宋体" w:hAnsi="宋体"/>
          <w:b/>
          <w:sz w:val="24"/>
          <w:szCs w:val="24"/>
          <w:highlight w:val="none"/>
        </w:rPr>
      </w:pPr>
    </w:p>
    <w:p>
      <w:pPr>
        <w:pStyle w:val="2"/>
        <w:shd w:val="clear"/>
        <w:rPr>
          <w:rFonts w:ascii="宋体" w:hAnsi="宋体"/>
          <w:b/>
          <w:sz w:val="24"/>
          <w:szCs w:val="24"/>
          <w:highlight w:val="none"/>
        </w:rPr>
      </w:pPr>
    </w:p>
    <w:p>
      <w:pPr>
        <w:pStyle w:val="2"/>
        <w:shd w:val="clear"/>
        <w:rPr>
          <w:rFonts w:ascii="宋体" w:hAnsi="宋体"/>
          <w:b/>
          <w:sz w:val="24"/>
          <w:szCs w:val="24"/>
          <w:highlight w:val="none"/>
        </w:rPr>
      </w:pPr>
    </w:p>
    <w:p>
      <w:pPr>
        <w:pStyle w:val="2"/>
        <w:shd w:val="clear"/>
        <w:rPr>
          <w:rFonts w:ascii="宋体" w:hAnsi="宋体"/>
          <w:b/>
          <w:sz w:val="24"/>
          <w:szCs w:val="24"/>
          <w:highlight w:val="none"/>
        </w:rPr>
      </w:pPr>
    </w:p>
    <w:p>
      <w:pPr>
        <w:pStyle w:val="2"/>
        <w:shd w:val="clear"/>
        <w:rPr>
          <w:rFonts w:ascii="宋体" w:hAnsi="宋体"/>
          <w:b/>
          <w:sz w:val="24"/>
          <w:szCs w:val="24"/>
          <w:highlight w:val="none"/>
        </w:rPr>
      </w:pPr>
    </w:p>
    <w:p>
      <w:pPr>
        <w:pStyle w:val="2"/>
        <w:shd w:val="clear"/>
        <w:rPr>
          <w:rFonts w:ascii="宋体" w:hAnsi="宋体"/>
          <w:b/>
          <w:sz w:val="24"/>
          <w:szCs w:val="24"/>
          <w:highlight w:val="none"/>
        </w:rPr>
      </w:pPr>
    </w:p>
    <w:p>
      <w:pPr>
        <w:pStyle w:val="2"/>
        <w:shd w:val="clear"/>
        <w:rPr>
          <w:rFonts w:ascii="宋体" w:hAnsi="宋体"/>
          <w:b/>
          <w:sz w:val="24"/>
          <w:szCs w:val="24"/>
          <w:highlight w:val="none"/>
        </w:rPr>
      </w:pPr>
    </w:p>
    <w:p>
      <w:pPr>
        <w:pStyle w:val="2"/>
        <w:shd w:val="clear"/>
        <w:rPr>
          <w:rFonts w:ascii="宋体" w:hAnsi="宋体"/>
          <w:b/>
          <w:sz w:val="24"/>
          <w:szCs w:val="24"/>
          <w:highlight w:val="none"/>
        </w:rPr>
      </w:pPr>
    </w:p>
    <w:p>
      <w:pPr>
        <w:pStyle w:val="2"/>
        <w:shd w:val="clear"/>
        <w:rPr>
          <w:rFonts w:ascii="宋体" w:hAnsi="宋体"/>
          <w:b/>
          <w:sz w:val="24"/>
          <w:szCs w:val="24"/>
          <w:highlight w:val="none"/>
        </w:rPr>
      </w:pPr>
    </w:p>
    <w:p>
      <w:pPr>
        <w:pStyle w:val="2"/>
        <w:shd w:val="clear"/>
        <w:rPr>
          <w:rFonts w:ascii="宋体" w:hAnsi="宋体"/>
          <w:b/>
          <w:sz w:val="24"/>
          <w:szCs w:val="24"/>
          <w:highlight w:val="none"/>
        </w:rPr>
      </w:pPr>
    </w:p>
    <w:p>
      <w:pPr>
        <w:pStyle w:val="2"/>
        <w:shd w:val="clear"/>
        <w:rPr>
          <w:rFonts w:ascii="宋体" w:hAnsi="宋体"/>
          <w:b/>
          <w:sz w:val="24"/>
          <w:szCs w:val="24"/>
          <w:highlight w:val="none"/>
        </w:rPr>
      </w:pPr>
    </w:p>
    <w:p>
      <w:pPr>
        <w:pStyle w:val="2"/>
        <w:shd w:val="clear"/>
        <w:rPr>
          <w:rFonts w:ascii="宋体" w:hAnsi="宋体"/>
          <w:b/>
          <w:sz w:val="24"/>
          <w:szCs w:val="24"/>
          <w:highlight w:val="none"/>
        </w:rPr>
      </w:pPr>
    </w:p>
    <w:p>
      <w:pPr>
        <w:pStyle w:val="2"/>
        <w:shd w:val="clear"/>
        <w:rPr>
          <w:rFonts w:ascii="宋体" w:hAnsi="宋体"/>
          <w:b/>
          <w:sz w:val="24"/>
          <w:szCs w:val="24"/>
          <w:highlight w:val="none"/>
        </w:rPr>
      </w:pPr>
    </w:p>
    <w:p>
      <w:pPr>
        <w:pStyle w:val="2"/>
        <w:shd w:val="clear"/>
        <w:rPr>
          <w:rFonts w:ascii="宋体" w:hAnsi="宋体"/>
          <w:b/>
          <w:sz w:val="24"/>
          <w:szCs w:val="24"/>
          <w:highlight w:val="none"/>
        </w:rPr>
      </w:pPr>
    </w:p>
    <w:p>
      <w:pPr>
        <w:numPr>
          <w:ilvl w:val="0"/>
          <w:numId w:val="0"/>
        </w:numPr>
        <w:shd w:val="clear"/>
        <w:spacing w:before="0"/>
        <w:ind w:leftChars="0" w:right="0" w:rightChars="0"/>
        <w:jc w:val="both"/>
        <w:outlineLvl w:val="1"/>
        <w:rPr>
          <w:rFonts w:ascii="宋体" w:hAnsi="宋体"/>
          <w:b/>
          <w:sz w:val="24"/>
          <w:szCs w:val="24"/>
          <w:highlight w:val="none"/>
        </w:rPr>
      </w:pPr>
    </w:p>
    <w:p>
      <w:pPr>
        <w:pStyle w:val="2"/>
        <w:shd w:val="clear"/>
        <w:rPr>
          <w:rFonts w:ascii="宋体" w:hAnsi="宋体"/>
          <w:b/>
          <w:sz w:val="24"/>
          <w:szCs w:val="24"/>
          <w:highlight w:val="none"/>
        </w:rPr>
      </w:pPr>
    </w:p>
    <w:p>
      <w:pPr>
        <w:pStyle w:val="2"/>
        <w:shd w:val="clear"/>
        <w:ind w:left="0" w:leftChars="0" w:firstLine="0" w:firstLineChars="0"/>
        <w:rPr>
          <w:highlight w:val="none"/>
        </w:rPr>
      </w:pPr>
    </w:p>
    <w:p>
      <w:pPr>
        <w:numPr>
          <w:ilvl w:val="0"/>
          <w:numId w:val="8"/>
        </w:numPr>
        <w:shd w:val="clear"/>
        <w:spacing w:before="0"/>
        <w:ind w:right="0"/>
        <w:jc w:val="center"/>
        <w:outlineLvl w:val="1"/>
        <w:rPr>
          <w:rFonts w:ascii="宋体" w:hAnsi="宋体"/>
          <w:b/>
          <w:sz w:val="24"/>
          <w:szCs w:val="24"/>
          <w:highlight w:val="none"/>
        </w:rPr>
      </w:pPr>
      <w:r>
        <w:rPr>
          <w:rFonts w:hint="eastAsia" w:ascii="宋体" w:hAnsi="宋体"/>
          <w:b/>
          <w:sz w:val="24"/>
          <w:szCs w:val="24"/>
          <w:highlight w:val="none"/>
        </w:rPr>
        <w:t>合同条款</w:t>
      </w:r>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p>
    <w:p>
      <w:pPr>
        <w:shd w:val="clear"/>
        <w:tabs>
          <w:tab w:val="left" w:pos="640"/>
          <w:tab w:val="left" w:pos="1843"/>
        </w:tabs>
        <w:spacing w:before="0" w:after="0" w:afterAutospacing="0"/>
        <w:ind w:left="422" w:right="0" w:firstLine="0"/>
        <w:outlineLvl w:val="1"/>
        <w:rPr>
          <w:rFonts w:ascii="宋体" w:hAnsi="宋体"/>
          <w:b/>
          <w:highlight w:val="none"/>
        </w:rPr>
      </w:pPr>
      <w:bookmarkStart w:id="1077" w:name="_Toc15707"/>
      <w:bookmarkStart w:id="1078" w:name="_Toc25643"/>
      <w:bookmarkStart w:id="1079" w:name="_Toc20484"/>
      <w:bookmarkStart w:id="1080" w:name="_Toc28024"/>
      <w:bookmarkStart w:id="1081" w:name="_Toc10730"/>
      <w:bookmarkStart w:id="1082" w:name="_Toc18727"/>
      <w:bookmarkStart w:id="1083" w:name="_Toc385427838"/>
      <w:bookmarkStart w:id="1084" w:name="_Toc4032"/>
      <w:bookmarkStart w:id="1085" w:name="_Toc2614"/>
      <w:bookmarkStart w:id="1086" w:name="_Toc19920"/>
      <w:bookmarkStart w:id="1087" w:name="_Toc31691"/>
      <w:bookmarkStart w:id="1088" w:name="_Toc492478763"/>
      <w:bookmarkStart w:id="1089" w:name="_Toc7961"/>
      <w:bookmarkStart w:id="1090" w:name="_Toc378514952"/>
      <w:bookmarkStart w:id="1091" w:name="_Toc43"/>
      <w:bookmarkStart w:id="1092" w:name="_Toc25750635"/>
      <w:bookmarkStart w:id="1093" w:name="_Toc22880"/>
      <w:bookmarkStart w:id="1094" w:name="_Toc12256"/>
      <w:bookmarkStart w:id="1095" w:name="_Toc14287"/>
      <w:bookmarkStart w:id="1096" w:name="_Toc29932"/>
      <w:bookmarkStart w:id="1097" w:name="_Toc370933855"/>
      <w:bookmarkStart w:id="1098" w:name="_Toc6054"/>
      <w:bookmarkStart w:id="1099" w:name="_Toc12080"/>
      <w:bookmarkStart w:id="1100" w:name="_Toc390098464"/>
      <w:r>
        <w:rPr>
          <w:rFonts w:hint="eastAsia" w:ascii="宋体" w:hAnsi="宋体"/>
          <w:b/>
          <w:highlight w:val="none"/>
        </w:rPr>
        <w:t>1.定义及解释</w:t>
      </w:r>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p>
    <w:p>
      <w:pPr>
        <w:numPr>
          <w:ilvl w:val="1"/>
          <w:numId w:val="9"/>
        </w:numPr>
        <w:shd w:val="clear"/>
        <w:tabs>
          <w:tab w:val="left" w:pos="840"/>
          <w:tab w:val="clear" w:pos="1134"/>
        </w:tabs>
        <w:spacing w:before="0" w:after="0" w:afterAutospacing="0"/>
        <w:ind w:left="0" w:right="0" w:firstLine="420" w:firstLineChars="200"/>
        <w:rPr>
          <w:rFonts w:ascii="宋体" w:hAnsi="宋体"/>
          <w:highlight w:val="none"/>
        </w:rPr>
      </w:pPr>
      <w:r>
        <w:rPr>
          <w:rFonts w:hint="eastAsia" w:ascii="宋体" w:hAnsi="宋体"/>
          <w:highlight w:val="none"/>
        </w:rPr>
        <w:t>定义</w:t>
      </w:r>
    </w:p>
    <w:p>
      <w:pPr>
        <w:shd w:val="clear"/>
        <w:tabs>
          <w:tab w:val="left" w:pos="540"/>
          <w:tab w:val="left" w:pos="840"/>
        </w:tabs>
        <w:spacing w:before="0" w:after="0" w:afterAutospacing="0"/>
        <w:ind w:left="420" w:right="0" w:firstLine="0"/>
        <w:rPr>
          <w:rFonts w:ascii="宋体" w:hAnsi="宋体"/>
          <w:highlight w:val="none"/>
        </w:rPr>
      </w:pPr>
      <w:r>
        <w:rPr>
          <w:rFonts w:hint="eastAsia" w:ascii="宋体" w:hAnsi="宋体"/>
          <w:highlight w:val="none"/>
        </w:rPr>
        <w:t>在合同中，下列措辞和用语具有此处所赋予的他们的含义：</w:t>
      </w:r>
    </w:p>
    <w:p>
      <w:pPr>
        <w:numPr>
          <w:ilvl w:val="2"/>
          <w:numId w:val="10"/>
        </w:numPr>
        <w:shd w:val="clear"/>
        <w:tabs>
          <w:tab w:val="left" w:pos="1060"/>
          <w:tab w:val="left" w:pos="1134"/>
        </w:tabs>
        <w:spacing w:before="0" w:after="0" w:afterAutospacing="0"/>
        <w:ind w:left="0" w:right="0" w:firstLine="420" w:firstLineChars="200"/>
        <w:rPr>
          <w:rFonts w:ascii="宋体" w:hAnsi="宋体"/>
          <w:highlight w:val="none"/>
        </w:rPr>
      </w:pPr>
      <w:r>
        <w:rPr>
          <w:rFonts w:hint="eastAsia"/>
          <w:highlight w:val="none"/>
        </w:rPr>
        <w:t>合同文件（或称合同）：指合同协议书、中标通知书、合同条款、合同附件、用户需求书、招标投标文件和澄清文件及甲方对项目开展的有关规定等。</w:t>
      </w:r>
    </w:p>
    <w:p>
      <w:pPr>
        <w:numPr>
          <w:ilvl w:val="2"/>
          <w:numId w:val="10"/>
        </w:numPr>
        <w:shd w:val="clear"/>
        <w:tabs>
          <w:tab w:val="left" w:pos="1060"/>
          <w:tab w:val="left" w:pos="1134"/>
        </w:tabs>
        <w:spacing w:before="0" w:after="0" w:afterAutospacing="0"/>
        <w:ind w:left="0" w:right="0" w:firstLine="420" w:firstLineChars="200"/>
        <w:rPr>
          <w:rFonts w:ascii="宋体" w:hAnsi="宋体"/>
          <w:highlight w:val="none"/>
        </w:rPr>
      </w:pPr>
      <w:r>
        <w:rPr>
          <w:rFonts w:hint="eastAsia" w:ascii="宋体" w:hAnsi="宋体"/>
          <w:highlight w:val="none"/>
        </w:rPr>
        <w:t xml:space="preserve"> “合同价格”指合同规定乙方在正确地完全履行合同义务后甲方应支付给乙方的金额。</w:t>
      </w:r>
    </w:p>
    <w:p>
      <w:pPr>
        <w:numPr>
          <w:ilvl w:val="2"/>
          <w:numId w:val="9"/>
        </w:numPr>
        <w:shd w:val="clear"/>
        <w:tabs>
          <w:tab w:val="left" w:pos="1060"/>
          <w:tab w:val="clear" w:pos="1134"/>
        </w:tabs>
        <w:spacing w:before="0" w:after="0" w:afterAutospacing="0"/>
        <w:ind w:left="0" w:right="0" w:firstLine="420" w:firstLineChars="200"/>
        <w:rPr>
          <w:rFonts w:ascii="宋体" w:hAnsi="宋体"/>
          <w:highlight w:val="none"/>
        </w:rPr>
      </w:pPr>
      <w:r>
        <w:rPr>
          <w:rFonts w:hint="eastAsia" w:ascii="宋体" w:hAnsi="宋体"/>
          <w:highlight w:val="none"/>
        </w:rPr>
        <w:t xml:space="preserve"> “合同条款”系指本合同条款。</w:t>
      </w:r>
    </w:p>
    <w:p>
      <w:pPr>
        <w:numPr>
          <w:ilvl w:val="2"/>
          <w:numId w:val="9"/>
        </w:numPr>
        <w:shd w:val="clear"/>
        <w:tabs>
          <w:tab w:val="left" w:pos="1060"/>
          <w:tab w:val="clear" w:pos="1134"/>
        </w:tabs>
        <w:spacing w:before="0" w:after="0" w:afterAutospacing="0"/>
        <w:ind w:left="0" w:right="0" w:firstLine="420" w:firstLineChars="200"/>
        <w:rPr>
          <w:rFonts w:ascii="宋体" w:hAnsi="宋体"/>
          <w:highlight w:val="none"/>
        </w:rPr>
      </w:pPr>
      <w:r>
        <w:rPr>
          <w:rFonts w:hint="eastAsia" w:ascii="宋体" w:hAnsi="宋体"/>
          <w:highlight w:val="none"/>
        </w:rPr>
        <w:t>“甲方”</w:t>
      </w:r>
      <w:r>
        <w:rPr>
          <w:rFonts w:ascii="宋体" w:hAnsi="宋体"/>
          <w:highlight w:val="none"/>
        </w:rPr>
        <w:t>或“业主”</w:t>
      </w:r>
      <w:r>
        <w:rPr>
          <w:rFonts w:hint="eastAsia" w:ascii="宋体" w:hAnsi="宋体"/>
          <w:highlight w:val="none"/>
        </w:rPr>
        <w:t>系指南宁轨道交通运营有限公司。</w:t>
      </w:r>
    </w:p>
    <w:p>
      <w:pPr>
        <w:numPr>
          <w:ilvl w:val="2"/>
          <w:numId w:val="9"/>
        </w:numPr>
        <w:shd w:val="clear"/>
        <w:tabs>
          <w:tab w:val="left" w:pos="1060"/>
          <w:tab w:val="clear" w:pos="1134"/>
        </w:tabs>
        <w:spacing w:before="0" w:after="0" w:afterAutospacing="0"/>
        <w:ind w:left="0" w:right="0" w:firstLine="420" w:firstLineChars="200"/>
        <w:rPr>
          <w:rFonts w:ascii="宋体" w:hAnsi="宋体"/>
          <w:highlight w:val="none"/>
        </w:rPr>
      </w:pPr>
      <w:r>
        <w:rPr>
          <w:rFonts w:hint="eastAsia" w:ascii="宋体" w:hAnsi="宋体"/>
          <w:highlight w:val="none"/>
        </w:rPr>
        <w:t>“乙方”系指受甲方委托，负责本项目提供</w:t>
      </w:r>
      <w:r>
        <w:rPr>
          <w:rFonts w:hint="eastAsia"/>
          <w:highlight w:val="none"/>
          <w:u w:val="none"/>
          <w:lang w:val="en-US" w:eastAsia="zh-CN"/>
        </w:rPr>
        <w:t>合同项下服务</w:t>
      </w:r>
      <w:r>
        <w:rPr>
          <w:rFonts w:hint="eastAsia" w:ascii="宋体" w:hAnsi="宋体"/>
          <w:highlight w:val="none"/>
        </w:rPr>
        <w:t>的法人和</w:t>
      </w:r>
      <w:r>
        <w:rPr>
          <w:rFonts w:ascii="宋体" w:hAnsi="宋体"/>
          <w:highlight w:val="none"/>
        </w:rPr>
        <w:t>/</w:t>
      </w:r>
      <w:r>
        <w:rPr>
          <w:rFonts w:hint="eastAsia" w:ascii="宋体" w:hAnsi="宋体"/>
          <w:highlight w:val="none"/>
        </w:rPr>
        <w:t>或其他组织。</w:t>
      </w:r>
    </w:p>
    <w:p>
      <w:pPr>
        <w:numPr>
          <w:ilvl w:val="2"/>
          <w:numId w:val="9"/>
        </w:numPr>
        <w:shd w:val="clear"/>
        <w:tabs>
          <w:tab w:val="left" w:pos="1060"/>
          <w:tab w:val="clear" w:pos="1134"/>
        </w:tabs>
        <w:spacing w:before="0" w:after="0" w:afterAutospacing="0"/>
        <w:ind w:left="0" w:right="0" w:firstLine="420" w:firstLineChars="200"/>
        <w:rPr>
          <w:rFonts w:ascii="宋体" w:hAnsi="宋体"/>
          <w:highlight w:val="none"/>
        </w:rPr>
      </w:pPr>
      <w:r>
        <w:rPr>
          <w:rFonts w:hint="eastAsia" w:ascii="宋体" w:hAnsi="宋体"/>
          <w:highlight w:val="none"/>
        </w:rPr>
        <w:t>“双方”系指甲方和乙方。</w:t>
      </w:r>
    </w:p>
    <w:p>
      <w:pPr>
        <w:numPr>
          <w:ilvl w:val="2"/>
          <w:numId w:val="9"/>
        </w:numPr>
        <w:shd w:val="clear"/>
        <w:spacing w:before="0" w:after="0" w:afterAutospacing="0"/>
        <w:ind w:left="0" w:right="0" w:firstLine="420" w:firstLineChars="200"/>
        <w:rPr>
          <w:rFonts w:ascii="宋体" w:hAnsi="宋体" w:cs="Arial"/>
          <w:highlight w:val="none"/>
        </w:rPr>
      </w:pPr>
      <w:r>
        <w:rPr>
          <w:rFonts w:hint="eastAsia"/>
          <w:highlight w:val="none"/>
        </w:rPr>
        <w:t>不可抗力：是指合同当事人在签订合同时不可预见，在合同履行过程中不可避免且不能克服的自然灾害和社会性突发事件，如地震、海啸、瘟疫、骚乱、戒严、暴动、战争和合同条款中约定的其他情形</w:t>
      </w:r>
      <w:r>
        <w:rPr>
          <w:rFonts w:hint="eastAsia" w:ascii="宋体" w:hAnsi="宋体" w:cs="Arial"/>
          <w:highlight w:val="none"/>
        </w:rPr>
        <w:t>。</w:t>
      </w:r>
    </w:p>
    <w:p>
      <w:pPr>
        <w:numPr>
          <w:ilvl w:val="1"/>
          <w:numId w:val="9"/>
        </w:numPr>
        <w:shd w:val="clear"/>
        <w:tabs>
          <w:tab w:val="left" w:pos="840"/>
          <w:tab w:val="clear" w:pos="1134"/>
        </w:tabs>
        <w:spacing w:before="0" w:after="0" w:afterAutospacing="0"/>
        <w:ind w:left="0" w:right="0" w:firstLine="420" w:firstLineChars="200"/>
        <w:rPr>
          <w:rFonts w:ascii="宋体" w:hAnsi="宋体"/>
          <w:highlight w:val="none"/>
        </w:rPr>
      </w:pPr>
      <w:r>
        <w:rPr>
          <w:rFonts w:hint="eastAsia" w:ascii="宋体" w:hAnsi="宋体"/>
          <w:highlight w:val="none"/>
        </w:rPr>
        <w:t>解释</w:t>
      </w:r>
    </w:p>
    <w:p>
      <w:pPr>
        <w:numPr>
          <w:ilvl w:val="2"/>
          <w:numId w:val="9"/>
        </w:numPr>
        <w:shd w:val="clear"/>
        <w:tabs>
          <w:tab w:val="left" w:pos="1060"/>
          <w:tab w:val="clear" w:pos="1134"/>
        </w:tabs>
        <w:spacing w:before="0" w:after="0" w:afterAutospacing="0"/>
        <w:ind w:left="0" w:right="0" w:firstLine="420" w:firstLineChars="200"/>
        <w:rPr>
          <w:rFonts w:ascii="宋体" w:hAnsi="宋体"/>
          <w:highlight w:val="none"/>
        </w:rPr>
      </w:pPr>
      <w:r>
        <w:rPr>
          <w:rFonts w:hint="eastAsia" w:ascii="宋体" w:hAnsi="宋体"/>
          <w:highlight w:val="none"/>
        </w:rPr>
        <w:t>本合同条款中的标题和题名不应视为是本合同条款的一部分，在合同的解释或构成中也不应考虑这些标题和题名。本合同引用某个条款时，除非特别说明，应解释为该条款项下所有子条款的内容。</w:t>
      </w:r>
    </w:p>
    <w:p>
      <w:pPr>
        <w:numPr>
          <w:ilvl w:val="2"/>
          <w:numId w:val="9"/>
        </w:numPr>
        <w:shd w:val="clear"/>
        <w:tabs>
          <w:tab w:val="left" w:pos="1060"/>
          <w:tab w:val="clear" w:pos="1134"/>
        </w:tabs>
        <w:spacing w:before="0" w:after="0" w:afterAutospacing="0"/>
        <w:ind w:left="0" w:right="0" w:firstLine="420" w:firstLineChars="200"/>
        <w:rPr>
          <w:rFonts w:ascii="宋体" w:hAnsi="宋体"/>
          <w:highlight w:val="none"/>
        </w:rPr>
      </w:pPr>
      <w:r>
        <w:rPr>
          <w:rFonts w:hint="eastAsia" w:ascii="宋体" w:hAnsi="宋体"/>
          <w:highlight w:val="none"/>
        </w:rPr>
        <w:t>凡指当事人或各方的措辞应包括商行、公司以及具有法人资格的任何组织。仅表明单数形式的词也包括复数含义，视上下文需要而定，反之亦然。</w:t>
      </w:r>
    </w:p>
    <w:p>
      <w:pPr>
        <w:numPr>
          <w:ilvl w:val="2"/>
          <w:numId w:val="9"/>
        </w:numPr>
        <w:shd w:val="clear"/>
        <w:tabs>
          <w:tab w:val="left" w:pos="1060"/>
          <w:tab w:val="clear" w:pos="1134"/>
        </w:tabs>
        <w:spacing w:before="0" w:after="0" w:afterAutospacing="0"/>
        <w:ind w:left="0" w:right="0" w:firstLine="420" w:firstLineChars="200"/>
        <w:rPr>
          <w:rFonts w:ascii="宋体" w:hAnsi="宋体"/>
          <w:highlight w:val="none"/>
        </w:rPr>
      </w:pPr>
      <w:r>
        <w:rPr>
          <w:rFonts w:hint="eastAsia" w:ascii="宋体" w:hAnsi="宋体"/>
          <w:highlight w:val="none"/>
        </w:rPr>
        <w:t>凡合同中规定通讯是“书面的”或“用书面形式”，这是指任何手写的、打印的或印刷的通讯及其它所有用书面记录的现代通讯方法进行的通讯，包括邮件、电报、电传和传真等发送。</w:t>
      </w:r>
    </w:p>
    <w:p>
      <w:pPr>
        <w:numPr>
          <w:ilvl w:val="2"/>
          <w:numId w:val="9"/>
        </w:numPr>
        <w:shd w:val="clear"/>
        <w:tabs>
          <w:tab w:val="left" w:pos="1060"/>
          <w:tab w:val="clear" w:pos="1134"/>
        </w:tabs>
        <w:spacing w:before="0" w:after="0" w:afterAutospacing="0"/>
        <w:ind w:left="0" w:right="0" w:firstLine="420" w:firstLineChars="200"/>
        <w:rPr>
          <w:rFonts w:ascii="宋体" w:hAnsi="宋体"/>
          <w:highlight w:val="none"/>
        </w:rPr>
      </w:pPr>
      <w:r>
        <w:rPr>
          <w:rFonts w:hint="eastAsia" w:ascii="宋体" w:hAnsi="宋体"/>
          <w:highlight w:val="none"/>
        </w:rPr>
        <w:t>凡合同规定任何人发出通知、同意或确认时，该通知、同意或确认不得被无故扣押。除非另有规定，该通知、同意或确认应是书面的并应对“通知”一词做出相应解释。</w:t>
      </w:r>
    </w:p>
    <w:p>
      <w:pPr>
        <w:numPr>
          <w:ilvl w:val="2"/>
          <w:numId w:val="9"/>
        </w:numPr>
        <w:shd w:val="clear"/>
        <w:tabs>
          <w:tab w:val="left" w:pos="1060"/>
          <w:tab w:val="clear" w:pos="1134"/>
        </w:tabs>
        <w:spacing w:before="0" w:after="0" w:afterAutospacing="0"/>
        <w:ind w:left="0" w:right="0" w:firstLine="420" w:firstLineChars="200"/>
        <w:rPr>
          <w:rFonts w:ascii="宋体" w:hAnsi="宋体"/>
          <w:highlight w:val="none"/>
        </w:rPr>
      </w:pPr>
      <w:r>
        <w:rPr>
          <w:rFonts w:hint="eastAsia" w:ascii="宋体" w:hAnsi="宋体"/>
          <w:highlight w:val="none"/>
        </w:rPr>
        <w:t>可分割性：如果合同的某一条款被禁止或定为是无效的、不可实施的，那么，如此的禁止，无效性或不可实施性不会影响到合同其他条款的有效性或可实施性。</w:t>
      </w:r>
    </w:p>
    <w:p>
      <w:pPr>
        <w:shd w:val="clear"/>
        <w:tabs>
          <w:tab w:val="left" w:pos="640"/>
          <w:tab w:val="left" w:pos="1843"/>
        </w:tabs>
        <w:spacing w:before="0" w:after="0" w:afterAutospacing="0"/>
        <w:ind w:left="422" w:right="0" w:firstLine="0"/>
        <w:outlineLvl w:val="1"/>
        <w:rPr>
          <w:rFonts w:ascii="宋体" w:hAnsi="宋体"/>
          <w:b/>
          <w:highlight w:val="none"/>
        </w:rPr>
      </w:pPr>
      <w:bookmarkStart w:id="1101" w:name="_Toc15944"/>
      <w:bookmarkStart w:id="1102" w:name="_Toc25750636"/>
      <w:bookmarkStart w:id="1103" w:name="_Toc7813"/>
      <w:bookmarkStart w:id="1104" w:name="_Toc23305"/>
      <w:bookmarkStart w:id="1105" w:name="_Toc8477"/>
      <w:bookmarkStart w:id="1106" w:name="_Toc18178"/>
      <w:bookmarkStart w:id="1107" w:name="_Toc385427839"/>
      <w:bookmarkStart w:id="1108" w:name="_Toc4212"/>
      <w:bookmarkStart w:id="1109" w:name="_Toc5955"/>
      <w:bookmarkStart w:id="1110" w:name="_Toc23112"/>
      <w:bookmarkStart w:id="1111" w:name="_Toc7059"/>
      <w:bookmarkStart w:id="1112" w:name="_Toc23247"/>
      <w:bookmarkStart w:id="1113" w:name="_Toc30815"/>
      <w:bookmarkStart w:id="1114" w:name="_Toc13835"/>
      <w:bookmarkStart w:id="1115" w:name="_Toc390098465"/>
      <w:bookmarkStart w:id="1116" w:name="_Toc492478764"/>
      <w:bookmarkStart w:id="1117" w:name="_Toc370933856"/>
      <w:bookmarkStart w:id="1118" w:name="_Toc4301"/>
      <w:bookmarkStart w:id="1119" w:name="_Toc1169"/>
      <w:bookmarkStart w:id="1120" w:name="_Toc4255"/>
      <w:bookmarkStart w:id="1121" w:name="_Toc25826"/>
      <w:bookmarkStart w:id="1122" w:name="_Toc19899"/>
      <w:bookmarkStart w:id="1123" w:name="_Toc378514953"/>
      <w:bookmarkStart w:id="1124" w:name="_Toc3180"/>
      <w:r>
        <w:rPr>
          <w:rFonts w:hint="eastAsia" w:ascii="宋体" w:hAnsi="宋体"/>
          <w:b/>
          <w:highlight w:val="none"/>
        </w:rPr>
        <w:t>2.适用性</w:t>
      </w:r>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pPr>
        <w:shd w:val="clear"/>
        <w:tabs>
          <w:tab w:val="left" w:pos="540"/>
          <w:tab w:val="left" w:pos="840"/>
        </w:tabs>
        <w:spacing w:before="0" w:after="0" w:afterAutospacing="0"/>
        <w:ind w:left="420" w:right="0" w:firstLine="0"/>
        <w:rPr>
          <w:rFonts w:ascii="宋体" w:hAnsi="宋体"/>
          <w:highlight w:val="none"/>
        </w:rPr>
      </w:pPr>
      <w:r>
        <w:rPr>
          <w:rFonts w:hint="eastAsia" w:ascii="宋体" w:hAnsi="宋体"/>
          <w:highlight w:val="none"/>
        </w:rPr>
        <w:t>本合同条款适用于本合同其它部分未有规定或未被替代的范围。</w:t>
      </w:r>
    </w:p>
    <w:p>
      <w:pPr>
        <w:shd w:val="clear"/>
        <w:tabs>
          <w:tab w:val="left" w:pos="640"/>
          <w:tab w:val="left" w:pos="1843"/>
        </w:tabs>
        <w:spacing w:before="0" w:after="0" w:afterAutospacing="0"/>
        <w:ind w:left="422" w:right="0" w:firstLine="0"/>
        <w:outlineLvl w:val="1"/>
        <w:rPr>
          <w:rFonts w:ascii="宋体" w:hAnsi="宋体"/>
          <w:highlight w:val="none"/>
        </w:rPr>
      </w:pPr>
      <w:bookmarkStart w:id="1125" w:name="_Toc3397"/>
      <w:bookmarkStart w:id="1126" w:name="_Toc370933857"/>
      <w:bookmarkStart w:id="1127" w:name="_Toc21065"/>
      <w:bookmarkStart w:id="1128" w:name="_Toc18092"/>
      <w:bookmarkStart w:id="1129" w:name="_Toc9864"/>
      <w:bookmarkStart w:id="1130" w:name="_Toc4738"/>
      <w:bookmarkStart w:id="1131" w:name="_Toc25750637"/>
      <w:bookmarkStart w:id="1132" w:name="_Toc14437"/>
      <w:bookmarkStart w:id="1133" w:name="_Toc9306"/>
      <w:bookmarkStart w:id="1134" w:name="_Toc26983"/>
      <w:bookmarkStart w:id="1135" w:name="_Toc12248"/>
      <w:bookmarkStart w:id="1136" w:name="_Toc4898"/>
      <w:bookmarkStart w:id="1137" w:name="_Toc492478765"/>
      <w:bookmarkStart w:id="1138" w:name="_Toc385427840"/>
      <w:bookmarkStart w:id="1139" w:name="_Toc5253"/>
      <w:bookmarkStart w:id="1140" w:name="_Toc13801"/>
      <w:bookmarkStart w:id="1141" w:name="_Toc3131"/>
      <w:bookmarkStart w:id="1142" w:name="_Toc4969"/>
      <w:bookmarkStart w:id="1143" w:name="_Toc378514954"/>
      <w:bookmarkStart w:id="1144" w:name="_Toc11803"/>
      <w:bookmarkStart w:id="1145" w:name="_Toc21603"/>
      <w:bookmarkStart w:id="1146" w:name="_Toc3674"/>
      <w:bookmarkStart w:id="1147" w:name="_Toc15308"/>
      <w:bookmarkStart w:id="1148" w:name="_Toc390098466"/>
      <w:r>
        <w:rPr>
          <w:rFonts w:hint="eastAsia" w:ascii="宋体" w:hAnsi="宋体"/>
          <w:b/>
          <w:highlight w:val="none"/>
        </w:rPr>
        <w:t>3.</w:t>
      </w:r>
      <w:r>
        <w:rPr>
          <w:rFonts w:hint="eastAsia" w:cs="宋体"/>
          <w:b/>
          <w:bCs/>
          <w:highlight w:val="none"/>
        </w:rPr>
        <w:t xml:space="preserve"> 语言文字</w:t>
      </w:r>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p>
    <w:p>
      <w:pPr>
        <w:shd w:val="clear"/>
        <w:ind w:left="105" w:leftChars="50" w:firstLine="315" w:firstLineChars="150"/>
        <w:rPr>
          <w:rFonts w:ascii="宋体" w:hAnsi="宋体"/>
          <w:highlight w:val="none"/>
        </w:rPr>
      </w:pPr>
      <w:r>
        <w:rPr>
          <w:rFonts w:hint="eastAsia"/>
          <w:highlight w:val="none"/>
        </w:rPr>
        <w:t>除专用术语外，合同使用的语言文字为中文。专用术语在使用其他语种文字应附有中文注释。</w:t>
      </w:r>
    </w:p>
    <w:p>
      <w:pPr>
        <w:shd w:val="clear"/>
        <w:tabs>
          <w:tab w:val="left" w:pos="640"/>
          <w:tab w:val="left" w:pos="1843"/>
        </w:tabs>
        <w:spacing w:before="0" w:after="0" w:afterAutospacing="0"/>
        <w:ind w:left="422" w:right="0" w:firstLine="0"/>
        <w:outlineLvl w:val="1"/>
        <w:rPr>
          <w:rFonts w:ascii="宋体" w:hAnsi="宋体"/>
          <w:highlight w:val="none"/>
        </w:rPr>
      </w:pPr>
      <w:bookmarkStart w:id="1149" w:name="_Toc23249"/>
      <w:bookmarkStart w:id="1150" w:name="_Toc18548"/>
      <w:bookmarkStart w:id="1151" w:name="_Toc25750638"/>
      <w:bookmarkStart w:id="1152" w:name="_Toc11626"/>
      <w:bookmarkStart w:id="1153" w:name="_Toc2708"/>
      <w:bookmarkStart w:id="1154" w:name="_Toc21289"/>
      <w:bookmarkStart w:id="1155" w:name="_Toc385427841"/>
      <w:bookmarkStart w:id="1156" w:name="_Toc27450"/>
      <w:bookmarkStart w:id="1157" w:name="_Toc12180"/>
      <w:bookmarkStart w:id="1158" w:name="_Toc21641"/>
      <w:bookmarkStart w:id="1159" w:name="_Toc3318"/>
      <w:bookmarkStart w:id="1160" w:name="_Toc378514955"/>
      <w:bookmarkStart w:id="1161" w:name="_Toc390098467"/>
      <w:bookmarkStart w:id="1162" w:name="_Toc21356"/>
      <w:bookmarkStart w:id="1163" w:name="_Toc370933858"/>
      <w:bookmarkStart w:id="1164" w:name="_Toc10807"/>
      <w:bookmarkStart w:id="1165" w:name="_Toc16646"/>
      <w:bookmarkStart w:id="1166" w:name="_Toc25311"/>
      <w:bookmarkStart w:id="1167" w:name="_Toc19514"/>
      <w:bookmarkStart w:id="1168" w:name="_Toc492478766"/>
      <w:bookmarkStart w:id="1169" w:name="_Toc14713"/>
      <w:bookmarkStart w:id="1170" w:name="_Toc11524"/>
      <w:bookmarkStart w:id="1171" w:name="_Toc14273"/>
      <w:bookmarkStart w:id="1172" w:name="_Toc23258"/>
      <w:r>
        <w:rPr>
          <w:rFonts w:hint="eastAsia" w:ascii="宋体" w:hAnsi="宋体"/>
          <w:b/>
          <w:highlight w:val="none"/>
        </w:rPr>
        <w:t>4.</w:t>
      </w:r>
      <w:r>
        <w:rPr>
          <w:rFonts w:hint="eastAsia" w:cs="宋体"/>
          <w:b/>
          <w:bCs/>
          <w:highlight w:val="none"/>
        </w:rPr>
        <w:t xml:space="preserve"> 适用法律、标准和规范</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p>
    <w:p>
      <w:pPr>
        <w:numPr>
          <w:ilvl w:val="1"/>
          <w:numId w:val="11"/>
        </w:numPr>
        <w:shd w:val="clear"/>
        <w:tabs>
          <w:tab w:val="left" w:pos="840"/>
        </w:tabs>
        <w:spacing w:before="0" w:after="0" w:afterAutospacing="0"/>
        <w:ind w:left="0" w:right="0" w:firstLine="420" w:firstLineChars="200"/>
        <w:rPr>
          <w:rFonts w:ascii="宋体" w:hAnsi="宋体"/>
          <w:highlight w:val="none"/>
        </w:rPr>
      </w:pPr>
      <w:r>
        <w:rPr>
          <w:rFonts w:hint="eastAsia"/>
          <w:highlight w:val="none"/>
        </w:rPr>
        <w:t>适用于合同的法律包括国家现行法律、行政法规、部门规章，以及广西壮族自治区和南宁市的地方法规、地方政府规章。</w:t>
      </w:r>
    </w:p>
    <w:p>
      <w:pPr>
        <w:numPr>
          <w:ilvl w:val="1"/>
          <w:numId w:val="11"/>
        </w:numPr>
        <w:shd w:val="clear"/>
        <w:tabs>
          <w:tab w:val="left" w:pos="840"/>
        </w:tabs>
        <w:spacing w:before="0" w:after="0" w:afterAutospacing="0"/>
        <w:ind w:left="0" w:right="0" w:firstLine="420" w:firstLineChars="200"/>
        <w:rPr>
          <w:rFonts w:ascii="宋体" w:hAnsi="宋体"/>
          <w:highlight w:val="none"/>
        </w:rPr>
      </w:pPr>
      <w:r>
        <w:rPr>
          <w:rFonts w:hint="eastAsia"/>
          <w:highlight w:val="none"/>
        </w:rPr>
        <w:t>适用标准、规范。</w:t>
      </w:r>
    </w:p>
    <w:p>
      <w:pPr>
        <w:numPr>
          <w:ilvl w:val="1"/>
          <w:numId w:val="11"/>
        </w:numPr>
        <w:shd w:val="clear"/>
        <w:tabs>
          <w:tab w:val="left" w:pos="840"/>
        </w:tabs>
        <w:spacing w:before="0" w:after="0" w:afterAutospacing="0"/>
        <w:ind w:left="0" w:right="0" w:firstLine="420" w:firstLineChars="200"/>
        <w:rPr>
          <w:rFonts w:ascii="宋体" w:hAnsi="宋体"/>
          <w:highlight w:val="none"/>
        </w:rPr>
      </w:pPr>
      <w:r>
        <w:rPr>
          <w:rFonts w:hint="eastAsia"/>
          <w:highlight w:val="none"/>
        </w:rPr>
        <w:t>除甲方的“技术规格书”的特别要求外，标准及规范应适用国家现行标准、规范的名称；没有国家标准、规范但有行业标准、规范的，约定适用行业标准、规范的名称；没有国家和行业标准、规范的，适用广西壮族自治区或南宁市标准、规范。</w:t>
      </w:r>
    </w:p>
    <w:p>
      <w:pPr>
        <w:shd w:val="clear"/>
        <w:tabs>
          <w:tab w:val="left" w:pos="640"/>
          <w:tab w:val="left" w:pos="1843"/>
        </w:tabs>
        <w:spacing w:before="0" w:after="0" w:afterAutospacing="0"/>
        <w:ind w:left="422" w:right="0" w:firstLine="0"/>
        <w:outlineLvl w:val="1"/>
        <w:rPr>
          <w:rFonts w:ascii="宋体" w:hAnsi="宋体"/>
          <w:b/>
          <w:highlight w:val="none"/>
        </w:rPr>
      </w:pPr>
      <w:bookmarkStart w:id="1173" w:name="_Toc378514956"/>
      <w:bookmarkStart w:id="1174" w:name="_Toc24783"/>
      <w:bookmarkStart w:id="1175" w:name="_Toc27620"/>
      <w:bookmarkStart w:id="1176" w:name="_Toc19358"/>
      <w:bookmarkStart w:id="1177" w:name="_Toc3165"/>
      <w:bookmarkStart w:id="1178" w:name="_Toc10995"/>
      <w:bookmarkStart w:id="1179" w:name="_Toc370933859"/>
      <w:bookmarkStart w:id="1180" w:name="_Toc14089"/>
      <w:bookmarkStart w:id="1181" w:name="_Toc492478767"/>
      <w:bookmarkStart w:id="1182" w:name="_Toc390098468"/>
      <w:bookmarkStart w:id="1183" w:name="_Toc23539"/>
      <w:bookmarkStart w:id="1184" w:name="_Toc2352"/>
      <w:bookmarkStart w:id="1185" w:name="_Toc22040"/>
      <w:bookmarkStart w:id="1186" w:name="_Toc11487"/>
      <w:bookmarkStart w:id="1187" w:name="_Toc18813"/>
      <w:bookmarkStart w:id="1188" w:name="_Toc18617"/>
      <w:bookmarkStart w:id="1189" w:name="_Toc31912"/>
      <w:bookmarkStart w:id="1190" w:name="_Toc4048"/>
      <w:bookmarkStart w:id="1191" w:name="_Toc2304"/>
      <w:bookmarkStart w:id="1192" w:name="_Toc20372"/>
      <w:bookmarkStart w:id="1193" w:name="_Toc17081"/>
      <w:bookmarkStart w:id="1194" w:name="_Toc25750639"/>
      <w:bookmarkStart w:id="1195" w:name="_Toc13516"/>
      <w:bookmarkStart w:id="1196" w:name="_Toc385427842"/>
      <w:r>
        <w:rPr>
          <w:rFonts w:hint="eastAsia" w:ascii="宋体" w:hAnsi="宋体"/>
          <w:b/>
          <w:highlight w:val="none"/>
        </w:rPr>
        <w:t>5.合同文件、资料及使用</w:t>
      </w:r>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p>
    <w:p>
      <w:pPr>
        <w:numPr>
          <w:ilvl w:val="1"/>
          <w:numId w:val="12"/>
        </w:numPr>
        <w:shd w:val="clear"/>
        <w:tabs>
          <w:tab w:val="left" w:pos="840"/>
          <w:tab w:val="clear" w:pos="1134"/>
        </w:tabs>
        <w:spacing w:before="0" w:after="0" w:afterAutospacing="0"/>
        <w:ind w:left="0" w:right="0" w:firstLine="420" w:firstLineChars="200"/>
        <w:rPr>
          <w:rFonts w:ascii="宋体" w:hAnsi="宋体"/>
          <w:highlight w:val="none"/>
        </w:rPr>
      </w:pPr>
      <w:r>
        <w:rPr>
          <w:rFonts w:hint="eastAsia" w:ascii="宋体" w:hAnsi="宋体"/>
          <w:highlight w:val="none"/>
        </w:rPr>
        <w:t>没有甲方事先书面同意，乙方不得将由甲方提供的有关合同或任何合同条文、规格、计划、图纸、模型、样品或资料提供给用于履行本合同以外的任何其他人。即使向履行本合同的雇员提供，也应注意保密并限于履行合同必须的范围。</w:t>
      </w:r>
    </w:p>
    <w:p>
      <w:pPr>
        <w:numPr>
          <w:ilvl w:val="1"/>
          <w:numId w:val="12"/>
        </w:numPr>
        <w:shd w:val="clear"/>
        <w:tabs>
          <w:tab w:val="left" w:pos="840"/>
          <w:tab w:val="clear" w:pos="1134"/>
        </w:tabs>
        <w:spacing w:before="0" w:after="0" w:afterAutospacing="0"/>
        <w:ind w:left="0" w:right="0" w:firstLine="420" w:firstLineChars="200"/>
        <w:rPr>
          <w:rFonts w:ascii="宋体" w:hAnsi="宋体"/>
          <w:highlight w:val="none"/>
        </w:rPr>
      </w:pPr>
      <w:r>
        <w:rPr>
          <w:rFonts w:hint="eastAsia" w:ascii="宋体" w:hAnsi="宋体"/>
          <w:highlight w:val="none"/>
        </w:rPr>
        <w:t>没有甲方事先书面同意，除了履行本合同之外，乙方不得允许他人使用条款第</w:t>
      </w:r>
      <w:r>
        <w:rPr>
          <w:rFonts w:ascii="宋体" w:hAnsi="宋体"/>
          <w:highlight w:val="none"/>
        </w:rPr>
        <w:t>5.1</w:t>
      </w:r>
      <w:r>
        <w:rPr>
          <w:rFonts w:hint="eastAsia" w:ascii="宋体" w:hAnsi="宋体"/>
          <w:highlight w:val="none"/>
        </w:rPr>
        <w:t>条所列举的任何文件和资料。</w:t>
      </w:r>
    </w:p>
    <w:p>
      <w:pPr>
        <w:numPr>
          <w:ilvl w:val="1"/>
          <w:numId w:val="12"/>
        </w:numPr>
        <w:shd w:val="clear"/>
        <w:tabs>
          <w:tab w:val="left" w:pos="840"/>
          <w:tab w:val="clear" w:pos="1134"/>
        </w:tabs>
        <w:spacing w:before="0" w:after="0" w:afterAutospacing="0"/>
        <w:ind w:left="0" w:right="0" w:firstLine="420" w:firstLineChars="200"/>
        <w:rPr>
          <w:rFonts w:ascii="宋体" w:hAnsi="宋体"/>
          <w:highlight w:val="none"/>
        </w:rPr>
      </w:pPr>
      <w:r>
        <w:rPr>
          <w:rFonts w:hint="eastAsia" w:ascii="宋体" w:hAnsi="宋体"/>
          <w:highlight w:val="none"/>
        </w:rPr>
        <w:t>除了合同本身以外，条款第</w:t>
      </w:r>
      <w:r>
        <w:rPr>
          <w:rFonts w:ascii="宋体" w:hAnsi="宋体"/>
          <w:highlight w:val="none"/>
        </w:rPr>
        <w:t>5.1</w:t>
      </w:r>
      <w:r>
        <w:rPr>
          <w:rFonts w:hint="eastAsia" w:ascii="宋体" w:hAnsi="宋体"/>
          <w:highlight w:val="none"/>
        </w:rPr>
        <w:t>条所列举的任何文件均视为甲方的财产。如果甲方有要求，乙方在完成合同后或合同终止时应将上述文件及全部复印件还交给甲方，或按甲方需求予以销毁。</w:t>
      </w:r>
    </w:p>
    <w:p>
      <w:pPr>
        <w:numPr>
          <w:ilvl w:val="1"/>
          <w:numId w:val="12"/>
        </w:numPr>
        <w:shd w:val="clear"/>
        <w:tabs>
          <w:tab w:val="left" w:pos="840"/>
          <w:tab w:val="clear" w:pos="1134"/>
        </w:tabs>
        <w:spacing w:before="0" w:after="0" w:afterAutospacing="0"/>
        <w:ind w:left="0" w:right="0" w:firstLine="420" w:firstLineChars="200"/>
        <w:rPr>
          <w:rFonts w:ascii="宋体" w:hAnsi="宋体"/>
          <w:highlight w:val="none"/>
        </w:rPr>
      </w:pPr>
      <w:r>
        <w:rPr>
          <w:rFonts w:hint="eastAsia" w:ascii="宋体" w:hAnsi="宋体"/>
          <w:highlight w:val="none"/>
        </w:rPr>
        <w:t>甲方项目档案管理的规定（各类项目文件资料档案的移交份数，详见南宁轨道交通运营有限公司有关部门立卷的规定文件）。</w:t>
      </w:r>
    </w:p>
    <w:p>
      <w:pPr>
        <w:shd w:val="clear"/>
        <w:spacing w:before="0" w:after="0" w:afterAutospacing="0"/>
        <w:ind w:left="0" w:right="0" w:firstLine="420" w:firstLineChars="200"/>
        <w:rPr>
          <w:rFonts w:ascii="宋体" w:hAnsi="宋体"/>
          <w:highlight w:val="none"/>
        </w:rPr>
      </w:pPr>
      <w:r>
        <w:rPr>
          <w:rFonts w:hint="eastAsia" w:ascii="宋体" w:hAnsi="宋体"/>
          <w:highlight w:val="none"/>
          <w:lang w:val="en-US" w:eastAsia="zh-CN"/>
        </w:rPr>
        <w:t>5.5</w:t>
      </w:r>
      <w:r>
        <w:rPr>
          <w:rFonts w:hint="eastAsia" w:ascii="宋体" w:hAnsi="宋体"/>
          <w:highlight w:val="none"/>
        </w:rPr>
        <w:t>乙方须按甲方有关整理档案的规范，负责编制整理合同项目所产生的档案，在验收三个月内向甲方移交。甲方接收了乙方完整的档案后应签署项目档案移交确认书。未能按时移交档案的，甲方停止支付合同价款。</w:t>
      </w:r>
    </w:p>
    <w:p>
      <w:pPr>
        <w:shd w:val="clear"/>
        <w:spacing w:before="0" w:after="0" w:afterAutospacing="0"/>
        <w:ind w:left="0" w:right="0" w:firstLine="420" w:firstLineChars="200"/>
        <w:rPr>
          <w:rFonts w:ascii="宋体" w:hAnsi="宋体"/>
          <w:highlight w:val="none"/>
        </w:rPr>
      </w:pPr>
      <w:r>
        <w:rPr>
          <w:rFonts w:hint="eastAsia" w:ascii="宋体" w:hAnsi="宋体"/>
          <w:highlight w:val="none"/>
          <w:lang w:val="en-US" w:eastAsia="zh-CN"/>
        </w:rPr>
        <w:t>5.6</w:t>
      </w:r>
      <w:r>
        <w:rPr>
          <w:rFonts w:hint="eastAsia" w:ascii="宋体" w:hAnsi="宋体"/>
          <w:highlight w:val="none"/>
        </w:rPr>
        <w:t>乙方执行合同产生的电子版文件、图纸档案及纸质文件、图纸档案的知识产权属甲方所有，未经甲方书面许可，不得转让、提供第三方使用，不得用于本合同以外的其他用途；乙方执行合同需甲方提供资料、信息及档案材料的，未经甲方书面同意，乙方不能向第三方提供；否则引起的知识产权纠纷及保密责任，以及造成甲方损失的，由乙方负责。</w:t>
      </w:r>
    </w:p>
    <w:p>
      <w:pPr>
        <w:shd w:val="clear"/>
        <w:tabs>
          <w:tab w:val="left" w:pos="640"/>
          <w:tab w:val="left" w:pos="1843"/>
        </w:tabs>
        <w:spacing w:before="0" w:after="0" w:afterAutospacing="0"/>
        <w:ind w:left="422" w:right="0" w:firstLine="0"/>
        <w:outlineLvl w:val="1"/>
        <w:rPr>
          <w:rFonts w:ascii="宋体" w:hAnsi="宋体"/>
          <w:b/>
          <w:highlight w:val="none"/>
        </w:rPr>
      </w:pPr>
      <w:bookmarkStart w:id="1197" w:name="_Toc16891"/>
      <w:bookmarkStart w:id="1198" w:name="_Toc390098469"/>
      <w:bookmarkStart w:id="1199" w:name="_Toc4739"/>
      <w:bookmarkStart w:id="1200" w:name="_Toc23274"/>
      <w:bookmarkStart w:id="1201" w:name="_Toc15801"/>
      <w:bookmarkStart w:id="1202" w:name="_Toc492478768"/>
      <w:bookmarkStart w:id="1203" w:name="_Toc2096"/>
      <w:bookmarkStart w:id="1204" w:name="_Toc25104"/>
      <w:bookmarkStart w:id="1205" w:name="_Toc5930"/>
      <w:bookmarkStart w:id="1206" w:name="_Toc17100"/>
      <w:bookmarkStart w:id="1207" w:name="_Toc18946"/>
      <w:bookmarkStart w:id="1208" w:name="_Toc24189"/>
      <w:bookmarkStart w:id="1209" w:name="_Toc25049"/>
      <w:bookmarkStart w:id="1210" w:name="_Toc17908"/>
      <w:bookmarkStart w:id="1211" w:name="_Toc378514957"/>
      <w:bookmarkStart w:id="1212" w:name="_Toc2340"/>
      <w:bookmarkStart w:id="1213" w:name="_Toc25750640"/>
      <w:bookmarkStart w:id="1214" w:name="_Toc385427843"/>
      <w:bookmarkStart w:id="1215" w:name="_Toc12048"/>
      <w:bookmarkStart w:id="1216" w:name="_Toc16793"/>
      <w:bookmarkStart w:id="1217" w:name="_Toc370933860"/>
      <w:bookmarkStart w:id="1218" w:name="_Toc8848"/>
      <w:bookmarkStart w:id="1219" w:name="_Toc23542"/>
      <w:bookmarkStart w:id="1220" w:name="_Toc17102"/>
      <w:r>
        <w:rPr>
          <w:rFonts w:hint="eastAsia" w:ascii="宋体" w:hAnsi="宋体"/>
          <w:b/>
          <w:highlight w:val="none"/>
        </w:rPr>
        <w:t>6.知识产权</w:t>
      </w:r>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p>
    <w:p>
      <w:pPr>
        <w:numPr>
          <w:ilvl w:val="0"/>
          <w:numId w:val="13"/>
        </w:numPr>
        <w:shd w:val="clear"/>
        <w:tabs>
          <w:tab w:val="left" w:pos="840"/>
          <w:tab w:val="clear" w:pos="1134"/>
        </w:tabs>
        <w:spacing w:before="0" w:after="0" w:afterAutospacing="0"/>
        <w:ind w:left="0" w:right="0" w:firstLine="420" w:firstLineChars="200"/>
        <w:rPr>
          <w:rFonts w:ascii="宋体" w:hAnsi="宋体"/>
          <w:highlight w:val="none"/>
        </w:rPr>
      </w:pPr>
      <w:r>
        <w:rPr>
          <w:rFonts w:hint="eastAsia" w:ascii="宋体" w:hAnsi="宋体"/>
          <w:highlight w:val="none"/>
        </w:rPr>
        <w:t>乙方应保证其拥有货物及服务的知识产权，并保证甲方在中华人民共和国使用货物及服务或其任何一部分时，免受第三方提出侵犯其任何专利</w:t>
      </w:r>
      <w:r>
        <w:rPr>
          <w:rFonts w:hint="eastAsia" w:ascii="宋体" w:hAnsi="宋体" w:cs="Arial"/>
          <w:highlight w:val="none"/>
        </w:rPr>
        <w:t>权、著作权、注册商标专有使用权、计算机软件登记或反不正当竞争的起诉及索赔。</w:t>
      </w:r>
      <w:r>
        <w:rPr>
          <w:rFonts w:hint="eastAsia" w:ascii="宋体" w:hAnsi="宋体"/>
          <w:highlight w:val="none"/>
        </w:rPr>
        <w:t>否则，由此而引起的所有责任及费用由乙方承担。</w:t>
      </w:r>
    </w:p>
    <w:p>
      <w:pPr>
        <w:numPr>
          <w:ilvl w:val="0"/>
          <w:numId w:val="13"/>
        </w:numPr>
        <w:shd w:val="clear"/>
        <w:tabs>
          <w:tab w:val="left" w:pos="840"/>
          <w:tab w:val="clear" w:pos="1134"/>
        </w:tabs>
        <w:spacing w:before="0" w:after="0" w:afterAutospacing="0"/>
        <w:ind w:left="0" w:right="0" w:firstLine="420" w:firstLineChars="200"/>
        <w:rPr>
          <w:rFonts w:ascii="宋体" w:hAnsi="宋体"/>
          <w:highlight w:val="none"/>
        </w:rPr>
      </w:pPr>
      <w:r>
        <w:rPr>
          <w:rFonts w:hint="eastAsia" w:ascii="宋体" w:hAnsi="宋体"/>
          <w:highlight w:val="none"/>
        </w:rPr>
        <w:t>甲方不对乙方提供的货物的及服务的专利</w:t>
      </w:r>
      <w:r>
        <w:rPr>
          <w:rFonts w:hint="eastAsia" w:ascii="宋体" w:hAnsi="宋体" w:cs="Arial"/>
          <w:highlight w:val="none"/>
        </w:rPr>
        <w:t>权、著作权、注册商标专有使用权、计算机软件登记等是否侵犯第三方权利负责，如因乙方提供货物及服务引发争议或违法导致甲方受损的，乙方应赔偿因此对甲方造成的一切损失。</w:t>
      </w:r>
    </w:p>
    <w:p>
      <w:pPr>
        <w:numPr>
          <w:ilvl w:val="0"/>
          <w:numId w:val="13"/>
        </w:numPr>
        <w:shd w:val="clear"/>
        <w:tabs>
          <w:tab w:val="left" w:pos="840"/>
          <w:tab w:val="clear" w:pos="1134"/>
        </w:tabs>
        <w:spacing w:before="0" w:after="0" w:afterAutospacing="0"/>
        <w:ind w:left="0" w:right="0" w:firstLine="420" w:firstLineChars="200"/>
        <w:rPr>
          <w:rFonts w:ascii="宋体" w:hAnsi="宋体"/>
          <w:highlight w:val="none"/>
        </w:rPr>
      </w:pPr>
      <w:r>
        <w:rPr>
          <w:rFonts w:hint="eastAsia" w:ascii="宋体" w:hAnsi="宋体"/>
          <w:highlight w:val="none"/>
        </w:rPr>
        <w:t>非乙方所有知识产权的货物及服务，乙方有义务提供给甲方正规渠道证明。甲方永久享有乙方为本合同项下提供的产品、软件、技术资料的使用权，并无需交纳任何形式的使用费（如有此类费用的话）。</w:t>
      </w:r>
    </w:p>
    <w:p>
      <w:pPr>
        <w:shd w:val="clear"/>
        <w:tabs>
          <w:tab w:val="left" w:pos="640"/>
          <w:tab w:val="left" w:pos="1843"/>
        </w:tabs>
        <w:spacing w:before="0" w:after="0" w:afterAutospacing="0"/>
        <w:ind w:left="422" w:right="0" w:firstLine="0"/>
        <w:outlineLvl w:val="1"/>
        <w:rPr>
          <w:rFonts w:hint="eastAsia" w:ascii="宋体" w:hAnsi="宋体" w:eastAsia="宋体" w:cs="Times New Roman"/>
          <w:b/>
          <w:highlight w:val="none"/>
        </w:rPr>
      </w:pPr>
      <w:r>
        <w:rPr>
          <w:rFonts w:hint="eastAsia" w:ascii="宋体" w:hAnsi="宋体" w:eastAsia="宋体" w:cs="Times New Roman"/>
          <w:b/>
          <w:highlight w:val="none"/>
          <w:lang w:val="en-US" w:eastAsia="zh-CN"/>
        </w:rPr>
        <w:t>7. 履约保证金</w:t>
      </w:r>
    </w:p>
    <w:p>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宋体" w:hAnsi="宋体" w:eastAsia="宋体" w:cs="Arial"/>
          <w:kern w:val="2"/>
          <w:sz w:val="21"/>
          <w:szCs w:val="21"/>
          <w:highlight w:val="none"/>
        </w:rPr>
      </w:pPr>
      <w:r>
        <w:rPr>
          <w:rFonts w:hint="eastAsia" w:ascii="宋体" w:hAnsi="宋体" w:cs="宋体"/>
          <w:kern w:val="0"/>
          <w:sz w:val="21"/>
          <w:szCs w:val="21"/>
          <w:highlight w:val="none"/>
          <w:lang w:val="en-US" w:eastAsia="zh-CN" w:bidi="ar"/>
        </w:rPr>
        <w:t>7.</w:t>
      </w:r>
      <w:r>
        <w:rPr>
          <w:rFonts w:hint="eastAsia" w:ascii="宋体" w:hAnsi="宋体" w:eastAsia="宋体" w:cs="宋体"/>
          <w:kern w:val="0"/>
          <w:sz w:val="21"/>
          <w:szCs w:val="21"/>
          <w:highlight w:val="none"/>
          <w:lang w:val="en-US" w:eastAsia="zh-CN" w:bidi="ar"/>
        </w:rPr>
        <w:t>1在合同签订前，乙方应向甲方提供履约保证</w:t>
      </w:r>
      <w:r>
        <w:rPr>
          <w:rFonts w:hint="eastAsia" w:ascii="宋体" w:hAnsi="宋体" w:eastAsia="宋体" w:cs="宋体"/>
          <w:kern w:val="2"/>
          <w:sz w:val="21"/>
          <w:szCs w:val="21"/>
          <w:highlight w:val="none"/>
          <w:lang w:val="en-US" w:eastAsia="zh-CN" w:bidi="ar"/>
        </w:rPr>
        <w:t>金</w:t>
      </w:r>
      <w:r>
        <w:rPr>
          <w:rFonts w:hint="eastAsia" w:ascii="宋体" w:hAnsi="宋体" w:eastAsia="宋体" w:cs="宋体"/>
          <w:kern w:val="0"/>
          <w:sz w:val="21"/>
          <w:szCs w:val="21"/>
          <w:highlight w:val="none"/>
          <w:lang w:val="en-US" w:eastAsia="zh-CN" w:bidi="ar"/>
        </w:rPr>
        <w:t>，履约保证金的金额为中选金额的</w:t>
      </w:r>
      <w:r>
        <w:rPr>
          <w:rFonts w:hint="eastAsia" w:ascii="宋体" w:hAnsi="宋体" w:cs="宋体"/>
          <w:kern w:val="0"/>
          <w:sz w:val="21"/>
          <w:szCs w:val="21"/>
          <w:highlight w:val="none"/>
          <w:lang w:val="en-US" w:eastAsia="zh-CN" w:bidi="ar"/>
        </w:rPr>
        <w:t>10</w:t>
      </w:r>
      <w:r>
        <w:rPr>
          <w:rFonts w:hint="eastAsia" w:ascii="宋体" w:hAnsi="宋体" w:eastAsia="宋体" w:cs="宋体"/>
          <w:kern w:val="0"/>
          <w:sz w:val="21"/>
          <w:szCs w:val="21"/>
          <w:highlight w:val="none"/>
          <w:lang w:val="en-US" w:eastAsia="zh-CN" w:bidi="ar"/>
        </w:rPr>
        <w:t>%，币种应为人民币。</w:t>
      </w:r>
    </w:p>
    <w:p>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宋体" w:hAnsi="宋体" w:eastAsia="宋体" w:cs="Arial"/>
          <w:kern w:val="2"/>
          <w:sz w:val="21"/>
          <w:szCs w:val="21"/>
          <w:highlight w:val="none"/>
        </w:rPr>
      </w:pPr>
      <w:r>
        <w:rPr>
          <w:rFonts w:hint="eastAsia" w:ascii="宋体" w:hAnsi="宋体" w:cs="宋体"/>
          <w:kern w:val="0"/>
          <w:sz w:val="21"/>
          <w:szCs w:val="21"/>
          <w:highlight w:val="none"/>
          <w:lang w:val="en-US" w:eastAsia="zh-CN" w:bidi="ar"/>
        </w:rPr>
        <w:t>7.</w:t>
      </w:r>
      <w:r>
        <w:rPr>
          <w:rFonts w:hint="eastAsia" w:ascii="宋体" w:hAnsi="宋体" w:eastAsia="宋体" w:cs="宋体"/>
          <w:kern w:val="0"/>
          <w:sz w:val="21"/>
          <w:szCs w:val="21"/>
          <w:highlight w:val="none"/>
          <w:lang w:val="en-US" w:eastAsia="zh-CN" w:bidi="ar"/>
        </w:rPr>
        <w:t>2履约保证金可以采用转账或电汇或银行保函的形式。乙方采用电汇或转账的形式，应从基本账户中递交至甲方指定账户；采用银行保函的形式，原则上使用合同规定格式，其开具银行应为中国境内商业银行地市级以上支行（含地市级支行），并须是以甲方为受益人，见索即付无条件付款的、不可撤销的银行保函。</w:t>
      </w:r>
    </w:p>
    <w:p>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宋体" w:hAnsi="宋体" w:eastAsia="宋体" w:cs="Arial"/>
          <w:kern w:val="2"/>
          <w:sz w:val="21"/>
          <w:szCs w:val="21"/>
          <w:highlight w:val="none"/>
        </w:rPr>
      </w:pPr>
      <w:r>
        <w:rPr>
          <w:rFonts w:hint="eastAsia" w:ascii="宋体" w:hAnsi="宋体" w:cs="宋体"/>
          <w:kern w:val="0"/>
          <w:sz w:val="21"/>
          <w:szCs w:val="21"/>
          <w:highlight w:val="none"/>
          <w:lang w:val="en-US" w:eastAsia="zh-CN" w:bidi="ar"/>
        </w:rPr>
        <w:t>7.3</w:t>
      </w:r>
      <w:r>
        <w:rPr>
          <w:rFonts w:hint="eastAsia" w:ascii="宋体" w:hAnsi="宋体" w:eastAsia="宋体" w:cs="宋体"/>
          <w:kern w:val="0"/>
          <w:sz w:val="21"/>
          <w:szCs w:val="21"/>
          <w:highlight w:val="none"/>
          <w:lang w:val="en-US" w:eastAsia="zh-CN" w:bidi="ar"/>
        </w:rPr>
        <w:t>履约担保应从生效之日起至项目完成结算之日后四十五（45）天一直有效。如本项目实际验收合格日期超出该履约担保写明的日期，则乙方应相应延长履约担保的日期，当出现逾期验收而未及时办理保函续费手续时，甲方有权暂停剩余费用的支付，并收取违约金。</w:t>
      </w:r>
    </w:p>
    <w:p>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宋体" w:hAnsi="宋体" w:eastAsia="宋体" w:cs="Arial"/>
          <w:kern w:val="2"/>
          <w:sz w:val="21"/>
          <w:szCs w:val="21"/>
          <w:highlight w:val="none"/>
        </w:rPr>
      </w:pPr>
      <w:r>
        <w:rPr>
          <w:rFonts w:hint="eastAsia" w:ascii="宋体" w:hAnsi="宋体" w:cs="宋体"/>
          <w:kern w:val="0"/>
          <w:sz w:val="21"/>
          <w:szCs w:val="21"/>
          <w:highlight w:val="none"/>
          <w:lang w:val="en-US" w:eastAsia="zh-CN" w:bidi="ar"/>
        </w:rPr>
        <w:t>7.</w:t>
      </w:r>
      <w:r>
        <w:rPr>
          <w:rFonts w:hint="eastAsia" w:ascii="宋体" w:hAnsi="宋体" w:eastAsia="宋体" w:cs="宋体"/>
          <w:kern w:val="0"/>
          <w:sz w:val="21"/>
          <w:szCs w:val="21"/>
          <w:highlight w:val="none"/>
          <w:lang w:val="en-US" w:eastAsia="zh-CN" w:bidi="ar"/>
        </w:rPr>
        <w:t>4乙方提交履约担保所产生的费用由乙方承担。</w:t>
      </w:r>
    </w:p>
    <w:p>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宋体" w:hAnsi="宋体" w:eastAsia="宋体" w:cs="Arial"/>
          <w:kern w:val="2"/>
          <w:sz w:val="21"/>
          <w:szCs w:val="21"/>
          <w:highlight w:val="none"/>
        </w:rPr>
      </w:pPr>
      <w:r>
        <w:rPr>
          <w:rFonts w:hint="eastAsia" w:ascii="宋体" w:hAnsi="宋体" w:cs="宋体"/>
          <w:kern w:val="0"/>
          <w:sz w:val="21"/>
          <w:szCs w:val="21"/>
          <w:highlight w:val="none"/>
          <w:lang w:val="en-US" w:eastAsia="zh-CN" w:bidi="ar"/>
        </w:rPr>
        <w:t>7.</w:t>
      </w:r>
      <w:r>
        <w:rPr>
          <w:rFonts w:hint="eastAsia" w:ascii="宋体" w:hAnsi="宋体" w:eastAsia="宋体" w:cs="宋体"/>
          <w:kern w:val="0"/>
          <w:sz w:val="21"/>
          <w:szCs w:val="21"/>
          <w:highlight w:val="none"/>
          <w:lang w:val="en-US" w:eastAsia="zh-CN" w:bidi="ar"/>
        </w:rPr>
        <w:t>5如果在有效期内乙方不能履行其在合同项下的义务，则乙方应承担相应的违约责任，同时甲方有权用履约保证金的资金补偿其任何损失或有权通过银行保函追索，但其剩余的履约保证金仍应满足中选金额的</w:t>
      </w:r>
      <w:r>
        <w:rPr>
          <w:rFonts w:hint="eastAsia" w:ascii="宋体" w:hAnsi="宋体" w:eastAsia="宋体" w:cs="Arial"/>
          <w:kern w:val="0"/>
          <w:sz w:val="21"/>
          <w:szCs w:val="21"/>
          <w:highlight w:val="none"/>
          <w:lang w:val="en-US" w:eastAsia="zh-CN" w:bidi="ar"/>
        </w:rPr>
        <w:t xml:space="preserve"> </w:t>
      </w:r>
      <w:r>
        <w:rPr>
          <w:rFonts w:hint="eastAsia" w:ascii="宋体" w:hAnsi="宋体" w:cs="宋体"/>
          <w:kern w:val="0"/>
          <w:sz w:val="21"/>
          <w:szCs w:val="21"/>
          <w:highlight w:val="none"/>
          <w:lang w:val="en-US" w:eastAsia="zh-CN" w:bidi="ar"/>
        </w:rPr>
        <w:t>10</w:t>
      </w:r>
      <w:r>
        <w:rPr>
          <w:rFonts w:hint="eastAsia" w:ascii="宋体" w:hAnsi="宋体" w:eastAsia="宋体" w:cs="宋体"/>
          <w:kern w:val="0"/>
          <w:sz w:val="21"/>
          <w:szCs w:val="21"/>
          <w:highlight w:val="none"/>
          <w:lang w:val="en-US" w:eastAsia="zh-CN" w:bidi="ar"/>
        </w:rPr>
        <w:t>%，乙方应在期限内及时补足担保金额，每逾期一天，按照应补未补部分的万分之五向向甲方支付违约金，甲方有权在货款中扣留。</w:t>
      </w:r>
    </w:p>
    <w:p>
      <w:pPr>
        <w:pStyle w:val="26"/>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宋体" w:hAnsi="宋体" w:eastAsia="宋体" w:cs="Arial"/>
          <w:kern w:val="0"/>
          <w:sz w:val="21"/>
          <w:szCs w:val="21"/>
          <w:highlight w:val="none"/>
        </w:rPr>
      </w:pPr>
      <w:r>
        <w:rPr>
          <w:rFonts w:hint="eastAsia" w:ascii="宋体" w:hAnsi="宋体" w:cs="宋体"/>
          <w:kern w:val="0"/>
          <w:sz w:val="21"/>
          <w:szCs w:val="21"/>
          <w:highlight w:val="none"/>
          <w:lang w:val="en-US" w:eastAsia="zh-CN" w:bidi="ar"/>
        </w:rPr>
        <w:t>7.</w:t>
      </w:r>
      <w:r>
        <w:rPr>
          <w:rFonts w:hint="eastAsia" w:ascii="宋体" w:hAnsi="宋体" w:eastAsia="宋体" w:cs="宋体"/>
          <w:kern w:val="0"/>
          <w:sz w:val="21"/>
          <w:szCs w:val="21"/>
          <w:highlight w:val="none"/>
          <w:lang w:val="en-US" w:eastAsia="zh-CN" w:bidi="ar"/>
        </w:rPr>
        <w:t>6履约保证金在本合同项目完成结算之日起四十五（45）天后，根据履约期间甲方的索赔情况，将剩余履约保证金款项无息退还乙方。</w:t>
      </w:r>
    </w:p>
    <w:p>
      <w:pPr>
        <w:pStyle w:val="26"/>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宋体" w:hAnsi="宋体" w:eastAsia="宋体" w:cs="Arial"/>
          <w:kern w:val="0"/>
          <w:sz w:val="21"/>
          <w:szCs w:val="21"/>
          <w:highlight w:val="none"/>
        </w:rPr>
      </w:pPr>
      <w:r>
        <w:rPr>
          <w:rFonts w:hint="eastAsia" w:ascii="宋体" w:hAnsi="宋体" w:cs="宋体"/>
          <w:kern w:val="0"/>
          <w:sz w:val="21"/>
          <w:szCs w:val="21"/>
          <w:highlight w:val="none"/>
          <w:lang w:val="en-US" w:eastAsia="zh-CN" w:bidi="ar"/>
        </w:rPr>
        <w:t>7</w:t>
      </w:r>
      <w:r>
        <w:rPr>
          <w:rFonts w:hint="eastAsia" w:ascii="宋体" w:hAnsi="宋体" w:eastAsia="宋体" w:cs="宋体"/>
          <w:kern w:val="0"/>
          <w:sz w:val="21"/>
          <w:szCs w:val="21"/>
          <w:highlight w:val="none"/>
          <w:lang w:val="en-US" w:eastAsia="zh-CN" w:bidi="ar"/>
        </w:rPr>
        <w:t>.7 若发生以下行为，甲方将不退还履约保证金：</w:t>
      </w:r>
    </w:p>
    <w:p>
      <w:pPr>
        <w:pStyle w:val="26"/>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宋体" w:hAnsi="宋体" w:eastAsia="宋体" w:cs="Arial"/>
          <w:kern w:val="0"/>
          <w:sz w:val="21"/>
          <w:szCs w:val="21"/>
          <w:highlight w:val="none"/>
        </w:rPr>
      </w:pPr>
      <w:r>
        <w:rPr>
          <w:rFonts w:hint="eastAsia" w:ascii="宋体" w:hAnsi="宋体" w:cs="宋体"/>
          <w:kern w:val="0"/>
          <w:sz w:val="21"/>
          <w:szCs w:val="21"/>
          <w:highlight w:val="none"/>
          <w:lang w:val="en-US" w:eastAsia="zh-CN" w:bidi="ar"/>
        </w:rPr>
        <w:t>7</w:t>
      </w:r>
      <w:r>
        <w:rPr>
          <w:rFonts w:hint="eastAsia" w:ascii="宋体" w:hAnsi="宋体" w:eastAsia="宋体" w:cs="宋体"/>
          <w:kern w:val="0"/>
          <w:sz w:val="21"/>
          <w:szCs w:val="21"/>
          <w:highlight w:val="none"/>
          <w:lang w:val="en-US" w:eastAsia="zh-CN" w:bidi="ar"/>
        </w:rPr>
        <w:t>.7.1在合同履行期间，乙方明确表示或者以自己的行为表明不履行主要义务的；</w:t>
      </w:r>
    </w:p>
    <w:p>
      <w:pPr>
        <w:pStyle w:val="26"/>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宋体" w:hAnsi="宋体" w:eastAsia="宋体" w:cs="Arial"/>
          <w:kern w:val="0"/>
          <w:sz w:val="21"/>
          <w:szCs w:val="21"/>
          <w:highlight w:val="none"/>
        </w:rPr>
      </w:pPr>
      <w:r>
        <w:rPr>
          <w:rFonts w:hint="eastAsia" w:ascii="宋体" w:hAnsi="宋体" w:cs="宋体"/>
          <w:kern w:val="0"/>
          <w:sz w:val="21"/>
          <w:szCs w:val="21"/>
          <w:highlight w:val="none"/>
          <w:lang w:val="en-US" w:eastAsia="zh-CN" w:bidi="ar"/>
        </w:rPr>
        <w:t>7</w:t>
      </w:r>
      <w:r>
        <w:rPr>
          <w:rFonts w:hint="eastAsia" w:ascii="宋体" w:hAnsi="宋体" w:eastAsia="宋体" w:cs="宋体"/>
          <w:kern w:val="0"/>
          <w:sz w:val="21"/>
          <w:szCs w:val="21"/>
          <w:highlight w:val="none"/>
          <w:lang w:val="en-US" w:eastAsia="zh-CN" w:bidi="ar"/>
        </w:rPr>
        <w:t>.7.2乙方迟延履行主要义务，经催告后在合理期限内仍未履行的；</w:t>
      </w:r>
    </w:p>
    <w:p>
      <w:pPr>
        <w:pStyle w:val="26"/>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宋体" w:hAnsi="宋体" w:eastAsia="宋体" w:cs="Arial"/>
          <w:kern w:val="0"/>
          <w:sz w:val="21"/>
          <w:szCs w:val="21"/>
          <w:highlight w:val="none"/>
        </w:rPr>
      </w:pPr>
      <w:r>
        <w:rPr>
          <w:rFonts w:hint="eastAsia" w:ascii="宋体" w:hAnsi="宋体" w:cs="宋体"/>
          <w:kern w:val="0"/>
          <w:sz w:val="21"/>
          <w:szCs w:val="21"/>
          <w:highlight w:val="none"/>
          <w:lang w:val="en-US" w:eastAsia="zh-CN" w:bidi="ar"/>
        </w:rPr>
        <w:t>7</w:t>
      </w:r>
      <w:r>
        <w:rPr>
          <w:rFonts w:hint="eastAsia" w:ascii="宋体" w:hAnsi="宋体" w:eastAsia="宋体" w:cs="宋体"/>
          <w:kern w:val="0"/>
          <w:sz w:val="21"/>
          <w:szCs w:val="21"/>
          <w:highlight w:val="none"/>
          <w:lang w:val="en-US" w:eastAsia="zh-CN" w:bidi="ar"/>
        </w:rPr>
        <w:t>.7.3乙方履行的义务不符合合同约定，经甲方催告后未在合理期限内整改完毕的；</w:t>
      </w:r>
    </w:p>
    <w:p>
      <w:pPr>
        <w:pStyle w:val="26"/>
        <w:keepNext w:val="0"/>
        <w:keepLines w:val="0"/>
        <w:widowControl w:val="0"/>
        <w:suppressLineNumbers w:val="0"/>
        <w:shd w:val="clear"/>
        <w:spacing w:before="0" w:beforeAutospacing="0" w:after="0" w:afterAutospacing="0" w:line="360" w:lineRule="auto"/>
        <w:ind w:left="0" w:right="0" w:firstLine="420" w:firstLineChars="200"/>
        <w:jc w:val="both"/>
        <w:rPr>
          <w:highlight w:val="none"/>
        </w:rPr>
      </w:pPr>
      <w:r>
        <w:rPr>
          <w:rFonts w:hint="eastAsia" w:ascii="宋体" w:hAnsi="宋体" w:cs="宋体"/>
          <w:kern w:val="0"/>
          <w:sz w:val="21"/>
          <w:szCs w:val="21"/>
          <w:highlight w:val="none"/>
          <w:lang w:val="en-US" w:eastAsia="zh-CN" w:bidi="ar"/>
        </w:rPr>
        <w:t>7</w:t>
      </w:r>
      <w:r>
        <w:rPr>
          <w:rFonts w:hint="eastAsia" w:ascii="宋体" w:hAnsi="宋体" w:eastAsia="宋体" w:cs="宋体"/>
          <w:kern w:val="0"/>
          <w:sz w:val="21"/>
          <w:szCs w:val="21"/>
          <w:highlight w:val="none"/>
          <w:lang w:val="en-US" w:eastAsia="zh-CN" w:bidi="ar"/>
        </w:rPr>
        <w:t>.7.4乙方其他违约行为导致合同解除或终止的。</w:t>
      </w:r>
    </w:p>
    <w:p>
      <w:pPr>
        <w:shd w:val="clear"/>
        <w:tabs>
          <w:tab w:val="left" w:pos="840"/>
          <w:tab w:val="left" w:pos="1843"/>
        </w:tabs>
        <w:spacing w:before="0" w:after="0" w:afterAutospacing="0"/>
        <w:ind w:left="422" w:right="0" w:firstLine="0"/>
        <w:outlineLvl w:val="1"/>
        <w:rPr>
          <w:rFonts w:ascii="宋体" w:hAnsi="宋体"/>
          <w:b/>
          <w:highlight w:val="none"/>
        </w:rPr>
      </w:pPr>
      <w:bookmarkStart w:id="1221" w:name="_Toc459797495"/>
      <w:bookmarkEnd w:id="1221"/>
      <w:bookmarkStart w:id="1222" w:name="_Toc459730454"/>
      <w:bookmarkEnd w:id="1222"/>
      <w:bookmarkStart w:id="1223" w:name="_Toc459730453"/>
      <w:bookmarkEnd w:id="1223"/>
      <w:bookmarkStart w:id="1224" w:name="_Toc459797499"/>
      <w:bookmarkEnd w:id="1224"/>
      <w:bookmarkStart w:id="1225" w:name="_Toc459730451"/>
      <w:bookmarkEnd w:id="1225"/>
      <w:bookmarkStart w:id="1226" w:name="_Toc459730442"/>
      <w:bookmarkEnd w:id="1226"/>
      <w:bookmarkStart w:id="1227" w:name="_Toc459730457"/>
      <w:bookmarkEnd w:id="1227"/>
      <w:bookmarkStart w:id="1228" w:name="_Toc459797510"/>
      <w:bookmarkEnd w:id="1228"/>
      <w:bookmarkStart w:id="1229" w:name="_Toc459730445"/>
      <w:bookmarkEnd w:id="1229"/>
      <w:bookmarkStart w:id="1230" w:name="_Toc459730456"/>
      <w:bookmarkEnd w:id="1230"/>
      <w:bookmarkStart w:id="1231" w:name="_Toc459797500"/>
      <w:bookmarkEnd w:id="1231"/>
      <w:bookmarkStart w:id="1232" w:name="_Toc459797505"/>
      <w:bookmarkEnd w:id="1232"/>
      <w:bookmarkStart w:id="1233" w:name="_Toc459730449"/>
      <w:bookmarkEnd w:id="1233"/>
      <w:bookmarkStart w:id="1234" w:name="_Toc459797498"/>
      <w:bookmarkEnd w:id="1234"/>
      <w:bookmarkStart w:id="1235" w:name="_Toc459730450"/>
      <w:bookmarkEnd w:id="1235"/>
      <w:bookmarkStart w:id="1236" w:name="_Toc459730448"/>
      <w:bookmarkEnd w:id="1236"/>
      <w:bookmarkStart w:id="1237" w:name="_Toc459730446"/>
      <w:bookmarkEnd w:id="1237"/>
      <w:bookmarkStart w:id="1238" w:name="_Toc459730443"/>
      <w:bookmarkEnd w:id="1238"/>
      <w:bookmarkStart w:id="1239" w:name="_Toc459797503"/>
      <w:bookmarkEnd w:id="1239"/>
      <w:bookmarkStart w:id="1240" w:name="_Toc459797509"/>
      <w:bookmarkEnd w:id="1240"/>
      <w:bookmarkStart w:id="1241" w:name="_Toc459797497"/>
      <w:bookmarkEnd w:id="1241"/>
      <w:bookmarkStart w:id="1242" w:name="_Toc459797508"/>
      <w:bookmarkEnd w:id="1242"/>
      <w:bookmarkStart w:id="1243" w:name="_Toc459730447"/>
      <w:bookmarkEnd w:id="1243"/>
      <w:bookmarkStart w:id="1244" w:name="_Toc459797506"/>
      <w:bookmarkEnd w:id="1244"/>
      <w:bookmarkStart w:id="1245" w:name="_Toc459797502"/>
      <w:bookmarkEnd w:id="1245"/>
      <w:bookmarkStart w:id="1246" w:name="_Toc459730455"/>
      <w:bookmarkEnd w:id="1246"/>
      <w:bookmarkStart w:id="1247" w:name="_Toc459797504"/>
      <w:bookmarkEnd w:id="1247"/>
      <w:bookmarkStart w:id="1248" w:name="_Toc459797496"/>
      <w:bookmarkEnd w:id="1248"/>
      <w:bookmarkStart w:id="1249" w:name="_Toc459730458"/>
      <w:bookmarkEnd w:id="1249"/>
      <w:bookmarkStart w:id="1250" w:name="_Toc459730444"/>
      <w:bookmarkEnd w:id="1250"/>
      <w:bookmarkStart w:id="1251" w:name="_Toc459730452"/>
      <w:bookmarkEnd w:id="1251"/>
      <w:bookmarkStart w:id="1252" w:name="_Toc459797511"/>
      <w:bookmarkEnd w:id="1252"/>
      <w:bookmarkStart w:id="1253" w:name="_Toc459797501"/>
      <w:bookmarkEnd w:id="1253"/>
      <w:bookmarkStart w:id="1254" w:name="_Toc459730459"/>
      <w:bookmarkEnd w:id="1254"/>
      <w:bookmarkStart w:id="1255" w:name="_Toc459797512"/>
      <w:bookmarkEnd w:id="1255"/>
      <w:bookmarkStart w:id="1256" w:name="_Toc459797507"/>
      <w:bookmarkEnd w:id="1256"/>
      <w:r>
        <w:rPr>
          <w:rFonts w:hint="eastAsia" w:ascii="宋体" w:hAnsi="宋体"/>
          <w:b/>
          <w:highlight w:val="none"/>
          <w:lang w:eastAsia="zh-CN"/>
        </w:rPr>
        <w:t>8.</w:t>
      </w:r>
      <w:r>
        <w:rPr>
          <w:rFonts w:hint="eastAsia" w:ascii="宋体" w:hAnsi="宋体"/>
          <w:b/>
          <w:highlight w:val="none"/>
        </w:rPr>
        <w:t>合同价款支付方式</w:t>
      </w:r>
    </w:p>
    <w:p>
      <w:pPr>
        <w:shd w:val="clear"/>
        <w:tabs>
          <w:tab w:val="left" w:pos="960"/>
          <w:tab w:val="left" w:pos="8364"/>
        </w:tabs>
        <w:spacing w:before="0" w:after="0" w:afterAutospacing="0"/>
        <w:ind w:left="420" w:right="0" w:firstLine="0"/>
        <w:rPr>
          <w:rFonts w:ascii="宋体" w:hAnsi="宋体"/>
          <w:highlight w:val="none"/>
        </w:rPr>
      </w:pPr>
      <w:bookmarkStart w:id="1257" w:name="_Toc378514969"/>
      <w:bookmarkStart w:id="1258" w:name="_Toc370933872"/>
      <w:r>
        <w:rPr>
          <w:rFonts w:hint="eastAsia" w:ascii="宋体" w:hAnsi="宋体" w:cs="Arial"/>
          <w:highlight w:val="none"/>
        </w:rPr>
        <w:t>本合同项下的支付按</w:t>
      </w:r>
      <w:r>
        <w:rPr>
          <w:rFonts w:hint="eastAsia" w:ascii="宋体" w:hAnsi="宋体"/>
          <w:highlight w:val="none"/>
        </w:rPr>
        <w:t>合同</w:t>
      </w:r>
      <w:r>
        <w:rPr>
          <w:rFonts w:hint="eastAsia" w:ascii="宋体" w:hAnsi="宋体" w:cs="Arial"/>
          <w:highlight w:val="none"/>
        </w:rPr>
        <w:t>条款规定方式进行</w:t>
      </w:r>
      <w:r>
        <w:rPr>
          <w:rFonts w:ascii="宋体" w:hAnsi="宋体"/>
          <w:highlight w:val="none"/>
        </w:rPr>
        <w:t>。</w:t>
      </w:r>
    </w:p>
    <w:p>
      <w:pPr>
        <w:shd w:val="clear"/>
        <w:tabs>
          <w:tab w:val="left" w:pos="840"/>
        </w:tabs>
        <w:spacing w:before="0" w:after="0" w:afterAutospacing="0"/>
        <w:ind w:left="0" w:right="0" w:firstLine="420" w:firstLineChars="200"/>
        <w:rPr>
          <w:rFonts w:ascii="宋体" w:hAnsi="宋体"/>
          <w:highlight w:val="none"/>
        </w:rPr>
      </w:pPr>
      <w:r>
        <w:rPr>
          <w:rFonts w:hint="eastAsia" w:ascii="宋体" w:hAnsi="宋体"/>
          <w:highlight w:val="none"/>
          <w:lang w:eastAsia="zh-CN"/>
        </w:rPr>
        <w:t>8.</w:t>
      </w:r>
      <w:r>
        <w:rPr>
          <w:rFonts w:hint="eastAsia" w:ascii="宋体" w:hAnsi="宋体"/>
          <w:highlight w:val="none"/>
        </w:rPr>
        <w:t>1在合同履约过程中，本合同税率将遵照国家现行税法执行，随国家税率调整而调整。本合同最终税金在结算阶段，按实际产生的税金进行核算，但合同不含税价格不因国家税率调整而调整。</w:t>
      </w:r>
    </w:p>
    <w:p>
      <w:pPr>
        <w:shd w:val="clear"/>
        <w:tabs>
          <w:tab w:val="left" w:pos="840"/>
        </w:tabs>
        <w:spacing w:before="0" w:after="0" w:afterAutospacing="0"/>
        <w:ind w:left="0" w:right="0" w:firstLine="420" w:firstLineChars="200"/>
        <w:rPr>
          <w:rFonts w:ascii="宋体" w:hAnsi="宋体"/>
          <w:highlight w:val="none"/>
        </w:rPr>
      </w:pPr>
      <w:r>
        <w:rPr>
          <w:rFonts w:hint="eastAsia" w:ascii="宋体" w:hAnsi="宋体"/>
          <w:highlight w:val="none"/>
          <w:lang w:eastAsia="zh-CN"/>
        </w:rPr>
        <w:t>8.</w:t>
      </w:r>
      <w:r>
        <w:rPr>
          <w:rFonts w:hint="eastAsia" w:ascii="宋体" w:hAnsi="宋体"/>
          <w:highlight w:val="none"/>
        </w:rPr>
        <w:t>2付款方式</w:t>
      </w:r>
    </w:p>
    <w:p>
      <w:pPr>
        <w:shd w:val="clear"/>
        <w:tabs>
          <w:tab w:val="left" w:pos="840"/>
        </w:tabs>
        <w:spacing w:before="0" w:after="0" w:afterAutospacing="0"/>
        <w:ind w:left="0" w:right="0" w:firstLine="420" w:firstLineChars="200"/>
        <w:rPr>
          <w:rFonts w:ascii="宋体" w:hAnsi="宋体"/>
          <w:highlight w:val="none"/>
        </w:rPr>
      </w:pPr>
      <w:r>
        <w:rPr>
          <w:rFonts w:hint="eastAsia" w:ascii="宋体" w:hAnsi="宋体"/>
          <w:highlight w:val="none"/>
          <w:lang w:eastAsia="zh-CN"/>
        </w:rPr>
        <w:t>8.</w:t>
      </w:r>
      <w:r>
        <w:rPr>
          <w:rFonts w:hint="eastAsia" w:ascii="宋体" w:hAnsi="宋体"/>
          <w:highlight w:val="none"/>
        </w:rPr>
        <w:t>2.1全部项目完成并验收合格后，乙方根据甲方要求完成档案归档及合同结算经甲方审定后，甲方在收到乙方提供的以下材料后</w:t>
      </w:r>
      <w:r>
        <w:rPr>
          <w:rFonts w:hint="eastAsia" w:ascii="宋体" w:hAnsi="宋体"/>
          <w:highlight w:val="none"/>
          <w:lang w:val="en-US" w:eastAsia="zh-CN"/>
        </w:rPr>
        <w:t>60</w:t>
      </w:r>
      <w:r>
        <w:rPr>
          <w:rFonts w:hint="eastAsia" w:ascii="宋体" w:hAnsi="宋体"/>
          <w:highlight w:val="none"/>
        </w:rPr>
        <w:t>个工作日内支付至合同最终审定金额的95%，待满足质保期要求后支付余款。</w:t>
      </w:r>
    </w:p>
    <w:p>
      <w:pPr>
        <w:shd w:val="clear"/>
        <w:tabs>
          <w:tab w:val="left" w:pos="1134"/>
          <w:tab w:val="left" w:pos="8364"/>
        </w:tabs>
        <w:spacing w:before="0" w:after="0" w:afterAutospacing="0"/>
        <w:ind w:left="0" w:right="0" w:firstLine="420" w:firstLineChars="200"/>
        <w:rPr>
          <w:rFonts w:ascii="宋体" w:hAnsi="宋体" w:cs="Arial"/>
          <w:highlight w:val="none"/>
        </w:rPr>
      </w:pPr>
      <w:r>
        <w:rPr>
          <w:rFonts w:hint="eastAsia" w:ascii="宋体" w:hAnsi="宋体" w:cs="Arial"/>
          <w:highlight w:val="none"/>
        </w:rPr>
        <w:t>①乙方开具的增值税专用发票金额，金额为合同最终结算审定金额的100%。</w:t>
      </w:r>
    </w:p>
    <w:p>
      <w:pPr>
        <w:shd w:val="clear"/>
        <w:tabs>
          <w:tab w:val="left" w:pos="1134"/>
          <w:tab w:val="left" w:pos="8364"/>
        </w:tabs>
        <w:spacing w:before="0" w:after="0" w:afterAutospacing="0"/>
        <w:ind w:left="0" w:right="0" w:firstLine="420" w:firstLineChars="200"/>
        <w:rPr>
          <w:rFonts w:ascii="宋体" w:hAnsi="宋体" w:cs="Arial"/>
          <w:highlight w:val="none"/>
        </w:rPr>
      </w:pPr>
      <w:r>
        <w:rPr>
          <w:rFonts w:hint="eastAsia" w:ascii="宋体" w:hAnsi="宋体" w:cs="Arial"/>
          <w:highlight w:val="none"/>
        </w:rPr>
        <w:t>②乙方出具的支付申请书。</w:t>
      </w:r>
    </w:p>
    <w:p>
      <w:pPr>
        <w:shd w:val="clear"/>
        <w:tabs>
          <w:tab w:val="left" w:pos="1134"/>
          <w:tab w:val="left" w:pos="8364"/>
        </w:tabs>
        <w:spacing w:before="0" w:after="0" w:afterAutospacing="0"/>
        <w:ind w:left="420" w:right="0" w:firstLine="0"/>
        <w:rPr>
          <w:rFonts w:hint="eastAsia" w:ascii="宋体" w:hAnsi="宋体" w:cs="Arial"/>
          <w:highlight w:val="none"/>
        </w:rPr>
      </w:pPr>
      <w:r>
        <w:rPr>
          <w:rFonts w:hint="eastAsia" w:ascii="宋体" w:hAnsi="宋体" w:cs="Arial"/>
          <w:highlight w:val="none"/>
        </w:rPr>
        <w:t>③全部项目成果验收合格证明。</w:t>
      </w:r>
    </w:p>
    <w:p>
      <w:pPr>
        <w:shd w:val="clear"/>
        <w:tabs>
          <w:tab w:val="left" w:pos="840"/>
        </w:tabs>
        <w:spacing w:before="0" w:after="0" w:afterAutospacing="0"/>
        <w:ind w:left="0" w:right="0" w:firstLine="420" w:firstLineChars="200"/>
        <w:rPr>
          <w:rFonts w:hint="eastAsia" w:ascii="宋体" w:hAnsi="宋体"/>
          <w:highlight w:val="none"/>
          <w:lang w:eastAsia="zh-CN"/>
        </w:rPr>
      </w:pPr>
      <w:r>
        <w:rPr>
          <w:rFonts w:hint="eastAsia" w:ascii="宋体" w:hAnsi="宋体"/>
          <w:highlight w:val="none"/>
          <w:lang w:eastAsia="zh-CN"/>
        </w:rPr>
        <w:t>8.3 乙方在完成相应合同义务后以书面形式向甲方申请付款，同时随附注明已完成合同项目的发票和</w:t>
      </w:r>
    </w:p>
    <w:p>
      <w:pPr>
        <w:shd w:val="clear"/>
        <w:tabs>
          <w:tab w:val="left" w:pos="840"/>
        </w:tabs>
        <w:spacing w:before="0" w:after="0" w:afterAutospacing="0"/>
        <w:ind w:left="0" w:leftChars="0" w:right="0" w:firstLine="0" w:firstLineChars="0"/>
        <w:rPr>
          <w:rFonts w:hint="eastAsia" w:ascii="宋体" w:hAnsi="宋体"/>
          <w:highlight w:val="none"/>
          <w:lang w:eastAsia="zh-CN"/>
        </w:rPr>
      </w:pPr>
      <w:r>
        <w:rPr>
          <w:rFonts w:hint="eastAsia" w:ascii="宋体" w:hAnsi="宋体"/>
          <w:highlight w:val="none"/>
          <w:lang w:eastAsia="zh-CN"/>
        </w:rPr>
        <w:t>合同条款规定的单据。如乙方未按约定向甲方提供付款申请、足额发票及相关单据的，甲方有权顺延付款时间，且无需承担逾期付款的违约责任。</w:t>
      </w:r>
    </w:p>
    <w:p>
      <w:pPr>
        <w:shd w:val="clear"/>
        <w:tabs>
          <w:tab w:val="left" w:pos="840"/>
        </w:tabs>
        <w:spacing w:before="0" w:after="0" w:afterAutospacing="0"/>
        <w:ind w:left="0" w:leftChars="0" w:right="0" w:firstLine="420" w:firstLineChars="200"/>
        <w:rPr>
          <w:highlight w:val="none"/>
        </w:rPr>
      </w:pPr>
      <w:r>
        <w:rPr>
          <w:rFonts w:hint="eastAsia" w:ascii="宋体" w:hAnsi="宋体"/>
          <w:highlight w:val="none"/>
          <w:lang w:eastAsia="zh-CN"/>
        </w:rPr>
        <w:t>8.4 支</w:t>
      </w:r>
      <w:r>
        <w:rPr>
          <w:rFonts w:hint="eastAsia"/>
          <w:highlight w:val="none"/>
        </w:rPr>
        <w:t>付的货币应以人民币支付，支付形式包括但不限于银行转账、汇票、国内信用证、供应链金融产品等。</w:t>
      </w:r>
    </w:p>
    <w:p>
      <w:pPr>
        <w:shd w:val="clear"/>
        <w:tabs>
          <w:tab w:val="left" w:pos="840"/>
          <w:tab w:val="left" w:pos="1134"/>
        </w:tabs>
        <w:spacing w:before="0" w:after="0" w:afterAutospacing="0"/>
        <w:ind w:left="426" w:right="0" w:firstLine="0"/>
        <w:outlineLvl w:val="1"/>
        <w:rPr>
          <w:rFonts w:ascii="宋体" w:hAnsi="宋体"/>
          <w:highlight w:val="none"/>
        </w:rPr>
      </w:pPr>
      <w:bookmarkStart w:id="1259" w:name="_Toc22179"/>
      <w:bookmarkStart w:id="1260" w:name="_Toc18890"/>
      <w:bookmarkStart w:id="1261" w:name="_Toc16641"/>
      <w:bookmarkStart w:id="1262" w:name="_Toc9642"/>
      <w:bookmarkStart w:id="1263" w:name="_Toc9852"/>
      <w:bookmarkStart w:id="1264" w:name="_Toc19387"/>
      <w:bookmarkStart w:id="1265" w:name="_Toc2069"/>
      <w:bookmarkStart w:id="1266" w:name="_Toc25750650"/>
      <w:bookmarkStart w:id="1267" w:name="_Toc390098481"/>
      <w:bookmarkStart w:id="1268" w:name="_Toc18054"/>
      <w:bookmarkStart w:id="1269" w:name="_Toc385427855"/>
      <w:bookmarkStart w:id="1270" w:name="_Toc24274"/>
      <w:bookmarkStart w:id="1271" w:name="_Toc28757"/>
      <w:bookmarkStart w:id="1272" w:name="_Toc2957"/>
      <w:bookmarkStart w:id="1273" w:name="_Toc12729"/>
      <w:bookmarkStart w:id="1274" w:name="_Toc30094"/>
      <w:bookmarkStart w:id="1275" w:name="_Toc4697"/>
      <w:bookmarkStart w:id="1276" w:name="_Toc13281"/>
      <w:bookmarkStart w:id="1277" w:name="_Toc492478779"/>
      <w:bookmarkStart w:id="1278" w:name="_Toc26222"/>
      <w:bookmarkStart w:id="1279" w:name="_Toc27798"/>
      <w:bookmarkStart w:id="1280" w:name="_Toc12979"/>
      <w:r>
        <w:rPr>
          <w:rFonts w:hint="eastAsia" w:ascii="宋体" w:hAnsi="宋体"/>
          <w:b/>
          <w:highlight w:val="none"/>
          <w:lang w:val="en-US" w:eastAsia="zh-CN"/>
        </w:rPr>
        <w:t>9</w:t>
      </w:r>
      <w:r>
        <w:rPr>
          <w:rFonts w:hint="eastAsia" w:ascii="宋体" w:hAnsi="宋体"/>
          <w:b/>
          <w:highlight w:val="none"/>
        </w:rPr>
        <w:t>.合同价格</w:t>
      </w:r>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p>
    <w:p>
      <w:pPr>
        <w:shd w:val="clear"/>
        <w:tabs>
          <w:tab w:val="left" w:pos="960"/>
          <w:tab w:val="left" w:pos="1418"/>
          <w:tab w:val="left" w:pos="8364"/>
        </w:tabs>
        <w:spacing w:before="0" w:after="0" w:afterAutospacing="0"/>
        <w:ind w:left="0" w:right="0" w:firstLine="420" w:firstLineChars="200"/>
        <w:rPr>
          <w:rFonts w:hint="eastAsia" w:ascii="宋体" w:hAnsi="宋体"/>
          <w:highlight w:val="none"/>
        </w:rPr>
      </w:pPr>
      <w:r>
        <w:rPr>
          <w:rFonts w:hint="eastAsia" w:ascii="宋体" w:hAnsi="宋体"/>
          <w:highlight w:val="none"/>
          <w:lang w:val="en-US" w:eastAsia="zh-CN"/>
        </w:rPr>
        <w:t>9</w:t>
      </w:r>
      <w:r>
        <w:rPr>
          <w:rFonts w:hint="eastAsia" w:ascii="宋体" w:hAnsi="宋体"/>
          <w:highlight w:val="none"/>
        </w:rPr>
        <w:t>.1合同价格执行以下条款的规定。</w:t>
      </w:r>
    </w:p>
    <w:p>
      <w:pPr>
        <w:shd w:val="clear"/>
        <w:tabs>
          <w:tab w:val="left" w:pos="960"/>
          <w:tab w:val="left" w:pos="1418"/>
          <w:tab w:val="left" w:pos="8364"/>
        </w:tabs>
        <w:spacing w:before="0" w:after="0" w:afterAutospacing="0"/>
        <w:ind w:left="0" w:right="0" w:firstLine="420" w:firstLineChars="200"/>
        <w:rPr>
          <w:rFonts w:ascii="宋体" w:hAnsi="宋体"/>
          <w:highlight w:val="none"/>
        </w:rPr>
      </w:pPr>
      <w:r>
        <w:rPr>
          <w:rFonts w:hint="eastAsia" w:ascii="宋体" w:hAnsi="宋体"/>
          <w:highlight w:val="none"/>
          <w:lang w:val="en-US" w:eastAsia="zh-CN"/>
        </w:rPr>
        <w:t>9</w:t>
      </w:r>
      <w:r>
        <w:rPr>
          <w:rFonts w:hint="eastAsia" w:ascii="宋体" w:hAnsi="宋体"/>
          <w:highlight w:val="none"/>
        </w:rPr>
        <w:t>.</w:t>
      </w:r>
      <w:r>
        <w:rPr>
          <w:rFonts w:hint="eastAsia" w:ascii="宋体" w:hAnsi="宋体"/>
          <w:highlight w:val="none"/>
          <w:lang w:val="en-US" w:eastAsia="zh-CN"/>
        </w:rPr>
        <w:t>2</w:t>
      </w:r>
      <w:r>
        <w:rPr>
          <w:rFonts w:hint="eastAsia" w:ascii="宋体" w:hAnsi="宋体"/>
          <w:highlight w:val="none"/>
        </w:rPr>
        <w:t>合同价格完全包括本合同中要求的人工费、材料费、机械费、管理费、措施费、利润、风险、安全文明施工费等为完成本项目所发生的所有费用。</w:t>
      </w:r>
    </w:p>
    <w:p>
      <w:pPr>
        <w:shd w:val="clear"/>
        <w:tabs>
          <w:tab w:val="left" w:pos="960"/>
          <w:tab w:val="left" w:pos="1418"/>
          <w:tab w:val="left" w:pos="8364"/>
        </w:tabs>
        <w:spacing w:before="0" w:after="0" w:afterAutospacing="0"/>
        <w:ind w:left="420" w:right="0" w:firstLine="0"/>
        <w:rPr>
          <w:rFonts w:hint="eastAsia" w:ascii="宋体" w:hAnsi="宋体"/>
          <w:highlight w:val="none"/>
        </w:rPr>
      </w:pPr>
      <w:r>
        <w:rPr>
          <w:rFonts w:hint="eastAsia" w:ascii="宋体" w:hAnsi="宋体"/>
          <w:highlight w:val="none"/>
          <w:lang w:val="en-US" w:eastAsia="zh-CN"/>
        </w:rPr>
        <w:t>9</w:t>
      </w:r>
      <w:r>
        <w:rPr>
          <w:rFonts w:hint="eastAsia" w:ascii="宋体" w:hAnsi="宋体"/>
          <w:highlight w:val="none"/>
        </w:rPr>
        <w:t>.</w:t>
      </w:r>
      <w:r>
        <w:rPr>
          <w:rFonts w:hint="eastAsia" w:ascii="宋体" w:hAnsi="宋体"/>
          <w:highlight w:val="none"/>
          <w:lang w:val="en-US" w:eastAsia="zh-CN"/>
        </w:rPr>
        <w:t>3</w:t>
      </w:r>
      <w:r>
        <w:rPr>
          <w:rFonts w:hint="eastAsia" w:ascii="宋体" w:hAnsi="宋体"/>
          <w:highlight w:val="none"/>
        </w:rPr>
        <w:t>本合同为总价包干合同，不含增值税总价： 人民币</w:t>
      </w:r>
      <w:r>
        <w:rPr>
          <w:rFonts w:hint="eastAsia" w:ascii="宋体" w:hAnsi="宋体"/>
          <w:highlight w:val="none"/>
          <w:u w:val="single"/>
        </w:rPr>
        <w:t xml:space="preserve"> </w:t>
      </w:r>
      <w:r>
        <w:rPr>
          <w:rFonts w:ascii="宋体" w:hAnsi="宋体"/>
          <w:highlight w:val="none"/>
          <w:u w:val="single"/>
        </w:rPr>
        <w:t xml:space="preserve">   </w:t>
      </w:r>
      <w:r>
        <w:rPr>
          <w:rFonts w:hint="eastAsia" w:ascii="宋体" w:hAnsi="宋体"/>
          <w:highlight w:val="none"/>
          <w:u w:val="single"/>
        </w:rPr>
        <w:t>(¥</w:t>
      </w:r>
      <w:r>
        <w:rPr>
          <w:rFonts w:ascii="宋体" w:hAnsi="宋体"/>
          <w:highlight w:val="none"/>
          <w:u w:val="single"/>
        </w:rPr>
        <w:t xml:space="preserve">  </w:t>
      </w:r>
      <w:r>
        <w:rPr>
          <w:rFonts w:hint="eastAsia" w:ascii="宋体" w:hAnsi="宋体"/>
          <w:highlight w:val="none"/>
          <w:u w:val="single"/>
        </w:rPr>
        <w:t>)</w:t>
      </w:r>
      <w:r>
        <w:rPr>
          <w:rFonts w:hint="eastAsia" w:ascii="宋体" w:hAnsi="宋体"/>
          <w:highlight w:val="none"/>
        </w:rPr>
        <w:t>；增值税额：人民币</w:t>
      </w:r>
      <w:r>
        <w:rPr>
          <w:rFonts w:hint="eastAsia" w:ascii="宋体" w:hAnsi="宋体"/>
          <w:highlight w:val="none"/>
          <w:u w:val="single"/>
        </w:rPr>
        <w:t xml:space="preserve">      (¥     )</w:t>
      </w:r>
      <w:r>
        <w:rPr>
          <w:rFonts w:hint="eastAsia" w:ascii="宋体" w:hAnsi="宋体"/>
          <w:highlight w:val="none"/>
        </w:rPr>
        <w:t>；</w:t>
      </w:r>
    </w:p>
    <w:p>
      <w:pPr>
        <w:shd w:val="clear"/>
        <w:tabs>
          <w:tab w:val="left" w:pos="960"/>
          <w:tab w:val="left" w:pos="1418"/>
          <w:tab w:val="left" w:pos="8364"/>
        </w:tabs>
        <w:spacing w:before="0" w:after="0" w:afterAutospacing="0"/>
        <w:ind w:right="0"/>
        <w:rPr>
          <w:rFonts w:ascii="宋体" w:hAnsi="宋体"/>
          <w:highlight w:val="none"/>
        </w:rPr>
      </w:pPr>
      <w:r>
        <w:rPr>
          <w:rFonts w:hint="eastAsia" w:ascii="宋体" w:hAnsi="宋体"/>
          <w:highlight w:val="none"/>
        </w:rPr>
        <w:t>增值税税率</w:t>
      </w:r>
      <w:r>
        <w:rPr>
          <w:rFonts w:hint="eastAsia" w:ascii="宋体" w:hAnsi="宋体"/>
          <w:highlight w:val="none"/>
          <w:u w:val="single"/>
        </w:rPr>
        <w:t>：     %</w:t>
      </w:r>
      <w:r>
        <w:rPr>
          <w:rFonts w:hint="eastAsia" w:ascii="宋体" w:hAnsi="宋体"/>
          <w:highlight w:val="none"/>
        </w:rPr>
        <w:t>；含税总价：人民币</w:t>
      </w:r>
      <w:r>
        <w:rPr>
          <w:rFonts w:hint="eastAsia" w:ascii="宋体" w:hAnsi="宋体"/>
          <w:highlight w:val="none"/>
          <w:u w:val="single"/>
        </w:rPr>
        <w:t xml:space="preserve">     (¥  )，</w:t>
      </w:r>
      <w:r>
        <w:rPr>
          <w:rFonts w:hint="eastAsia" w:ascii="宋体" w:hAnsi="宋体"/>
          <w:highlight w:val="none"/>
        </w:rPr>
        <w:t>（下文称“合同价格”</w:t>
      </w:r>
      <w:r>
        <w:rPr>
          <w:rFonts w:ascii="宋体" w:hAnsi="宋体"/>
          <w:highlight w:val="none"/>
        </w:rPr>
        <w:t>)</w:t>
      </w:r>
      <w:r>
        <w:rPr>
          <w:rFonts w:hint="eastAsia" w:ascii="宋体" w:hAnsi="宋体"/>
          <w:highlight w:val="none"/>
        </w:rPr>
        <w:t>。</w:t>
      </w:r>
    </w:p>
    <w:p>
      <w:pPr>
        <w:widowControl w:val="0"/>
        <w:shd w:val="clear"/>
        <w:tabs>
          <w:tab w:val="left" w:pos="567"/>
        </w:tabs>
        <w:spacing w:before="0" w:after="0" w:afterAutospacing="0" w:line="360" w:lineRule="auto"/>
        <w:ind w:left="0" w:right="0" w:firstLine="422" w:firstLineChars="200"/>
        <w:rPr>
          <w:rFonts w:hint="eastAsia" w:ascii="宋体" w:hAnsi="宋体" w:cs="黑体"/>
          <w:b/>
          <w:kern w:val="2"/>
          <w:szCs w:val="22"/>
          <w:highlight w:val="none"/>
        </w:rPr>
      </w:pPr>
      <w:r>
        <w:rPr>
          <w:rFonts w:hint="eastAsia" w:ascii="宋体" w:hAnsi="宋体" w:cs="黑体"/>
          <w:b/>
          <w:kern w:val="2"/>
          <w:szCs w:val="22"/>
          <w:highlight w:val="none"/>
        </w:rPr>
        <w:t>在合同履约过程中，本合同税率将遵照国家现行税法执行。本合同最终税金在结算阶段，按实际产生的税金进行核算，但合同不含税价格不因国家税率调整而调整。</w:t>
      </w:r>
    </w:p>
    <w:p>
      <w:pPr>
        <w:shd w:val="clear"/>
        <w:tabs>
          <w:tab w:val="left" w:pos="960"/>
          <w:tab w:val="left" w:pos="1418"/>
          <w:tab w:val="left" w:pos="8364"/>
        </w:tabs>
        <w:spacing w:before="0" w:after="0" w:afterAutospacing="0"/>
        <w:ind w:left="705" w:leftChars="200" w:right="0" w:hanging="285" w:hangingChars="136"/>
        <w:rPr>
          <w:rFonts w:ascii="宋体" w:hAnsi="宋体"/>
          <w:highlight w:val="none"/>
        </w:rPr>
      </w:pPr>
      <w:r>
        <w:rPr>
          <w:rFonts w:hint="eastAsia" w:ascii="宋体" w:hAnsi="宋体"/>
          <w:highlight w:val="none"/>
          <w:lang w:val="en-US" w:eastAsia="zh-CN"/>
        </w:rPr>
        <w:t>9</w:t>
      </w:r>
      <w:r>
        <w:rPr>
          <w:rFonts w:hint="eastAsia" w:ascii="宋体" w:hAnsi="宋体"/>
          <w:highlight w:val="none"/>
        </w:rPr>
        <w:t>.5现场知晓</w:t>
      </w:r>
    </w:p>
    <w:p>
      <w:pPr>
        <w:shd w:val="clear"/>
        <w:spacing w:before="0" w:after="0" w:afterAutospacing="0"/>
        <w:ind w:left="0" w:right="0" w:firstLine="420" w:firstLineChars="200"/>
        <w:rPr>
          <w:rFonts w:ascii="宋体" w:hAnsi="宋体"/>
          <w:highlight w:val="none"/>
        </w:rPr>
      </w:pPr>
      <w:r>
        <w:rPr>
          <w:rFonts w:hint="eastAsia" w:ascii="宋体" w:hAnsi="宋体"/>
          <w:highlight w:val="none"/>
        </w:rPr>
        <w:t>应当认为，乙方对本合同现场的气候、水文和综合条件以及用于项目运行的资料完全知晓，并对国家及地方法律法规完全知晓。</w:t>
      </w:r>
    </w:p>
    <w:p>
      <w:pPr>
        <w:shd w:val="clear"/>
        <w:tabs>
          <w:tab w:val="left" w:pos="960"/>
          <w:tab w:val="left" w:pos="1418"/>
          <w:tab w:val="left" w:pos="8364"/>
        </w:tabs>
        <w:spacing w:before="0" w:after="0" w:afterAutospacing="0"/>
        <w:ind w:left="420" w:right="0" w:firstLine="0"/>
        <w:rPr>
          <w:rFonts w:ascii="宋体" w:hAnsi="宋体"/>
          <w:highlight w:val="none"/>
        </w:rPr>
      </w:pPr>
      <w:r>
        <w:rPr>
          <w:rFonts w:hint="eastAsia" w:ascii="宋体" w:hAnsi="宋体"/>
          <w:highlight w:val="none"/>
        </w:rPr>
        <w:t>8.6价格的充分性</w:t>
      </w:r>
    </w:p>
    <w:p>
      <w:pPr>
        <w:shd w:val="clear"/>
        <w:spacing w:before="0" w:after="0" w:afterAutospacing="0"/>
        <w:ind w:left="0" w:right="0" w:firstLine="420" w:firstLineChars="200"/>
        <w:rPr>
          <w:rFonts w:ascii="宋体" w:hAnsi="宋体"/>
          <w:highlight w:val="none"/>
        </w:rPr>
      </w:pPr>
      <w:r>
        <w:rPr>
          <w:rFonts w:hint="eastAsia" w:ascii="宋体" w:hAnsi="宋体"/>
          <w:highlight w:val="none"/>
        </w:rPr>
        <w:t>应当认为乙方已彻底查清，并在本合同价格中充分考虑到了以下各项：</w:t>
      </w:r>
    </w:p>
    <w:p>
      <w:pPr>
        <w:shd w:val="clear"/>
        <w:tabs>
          <w:tab w:val="left" w:pos="1134"/>
          <w:tab w:val="left" w:pos="8364"/>
        </w:tabs>
        <w:spacing w:before="0" w:after="0" w:afterAutospacing="0"/>
        <w:ind w:left="420" w:right="0" w:firstLine="0"/>
        <w:rPr>
          <w:rFonts w:ascii="宋体" w:hAnsi="宋体"/>
          <w:highlight w:val="none"/>
        </w:rPr>
      </w:pPr>
      <w:r>
        <w:rPr>
          <w:rFonts w:hint="eastAsia" w:ascii="宋体" w:hAnsi="宋体"/>
          <w:highlight w:val="none"/>
        </w:rPr>
        <w:t>8.6.1影响合同价格的全部条件和情况；</w:t>
      </w:r>
    </w:p>
    <w:p>
      <w:pPr>
        <w:shd w:val="clear"/>
        <w:tabs>
          <w:tab w:val="left" w:pos="1134"/>
          <w:tab w:val="left" w:pos="8364"/>
        </w:tabs>
        <w:spacing w:before="0" w:after="0" w:afterAutospacing="0"/>
        <w:ind w:left="0" w:right="0" w:firstLine="420" w:firstLineChars="200"/>
        <w:rPr>
          <w:rFonts w:ascii="宋体" w:hAnsi="宋体"/>
          <w:highlight w:val="none"/>
        </w:rPr>
      </w:pPr>
      <w:r>
        <w:rPr>
          <w:rFonts w:hint="eastAsia" w:ascii="宋体" w:hAnsi="宋体"/>
          <w:highlight w:val="none"/>
        </w:rPr>
        <w:t>8.6.2完成合同中所述项目的可能性；</w:t>
      </w:r>
    </w:p>
    <w:p>
      <w:pPr>
        <w:shd w:val="clear"/>
        <w:tabs>
          <w:tab w:val="left" w:pos="1134"/>
          <w:tab w:val="left" w:pos="8364"/>
        </w:tabs>
        <w:spacing w:before="0" w:after="0" w:afterAutospacing="0"/>
        <w:ind w:left="420" w:right="0" w:firstLine="0"/>
        <w:rPr>
          <w:rFonts w:ascii="宋体" w:hAnsi="宋体"/>
          <w:highlight w:val="none"/>
        </w:rPr>
      </w:pPr>
      <w:r>
        <w:rPr>
          <w:rFonts w:hint="eastAsia" w:ascii="宋体" w:hAnsi="宋体"/>
          <w:highlight w:val="none"/>
        </w:rPr>
        <w:t>8.6.3现场的综合情况；</w:t>
      </w:r>
    </w:p>
    <w:p>
      <w:pPr>
        <w:shd w:val="clear"/>
        <w:tabs>
          <w:tab w:val="left" w:pos="1134"/>
          <w:tab w:val="left" w:pos="8364"/>
        </w:tabs>
        <w:spacing w:before="0" w:after="0" w:afterAutospacing="0"/>
        <w:ind w:left="420" w:right="0" w:firstLine="0"/>
        <w:rPr>
          <w:rFonts w:ascii="宋体" w:hAnsi="宋体"/>
          <w:highlight w:val="none"/>
        </w:rPr>
      </w:pPr>
      <w:r>
        <w:rPr>
          <w:rFonts w:hint="eastAsia" w:ascii="宋体" w:hAnsi="宋体"/>
          <w:highlight w:val="none"/>
        </w:rPr>
        <w:t>8.6.4现场总的劳务情况；</w:t>
      </w:r>
    </w:p>
    <w:p>
      <w:pPr>
        <w:shd w:val="clear"/>
        <w:tabs>
          <w:tab w:val="left" w:pos="840"/>
        </w:tabs>
        <w:spacing w:before="0" w:after="0" w:afterAutospacing="0"/>
        <w:ind w:left="0" w:right="0" w:firstLine="420" w:firstLineChars="200"/>
        <w:rPr>
          <w:rFonts w:ascii="宋体" w:hAnsi="宋体"/>
          <w:highlight w:val="none"/>
        </w:rPr>
      </w:pPr>
      <w:r>
        <w:rPr>
          <w:rFonts w:hint="eastAsia" w:ascii="宋体" w:hAnsi="宋体"/>
          <w:highlight w:val="none"/>
        </w:rPr>
        <w:t>8.6.5甲方不接受乙方以组价不当（包括对工作内容理解的偏差、工料耗量水平的确定、生产要素市场价格的判断、取费决策等）为由而主张的任何损失或索赔。</w:t>
      </w:r>
    </w:p>
    <w:p>
      <w:pPr>
        <w:shd w:val="clear"/>
        <w:tabs>
          <w:tab w:val="left" w:pos="840"/>
          <w:tab w:val="left" w:pos="1843"/>
        </w:tabs>
        <w:spacing w:before="0" w:after="0" w:afterAutospacing="0"/>
        <w:ind w:left="422" w:right="0" w:firstLine="0"/>
        <w:outlineLvl w:val="1"/>
        <w:rPr>
          <w:rFonts w:ascii="宋体" w:hAnsi="宋体"/>
          <w:b/>
          <w:highlight w:val="none"/>
        </w:rPr>
      </w:pPr>
      <w:bookmarkStart w:id="1281" w:name="_Toc26418"/>
      <w:bookmarkStart w:id="1282" w:name="_Toc6771"/>
      <w:bookmarkStart w:id="1283" w:name="_Toc3558"/>
      <w:bookmarkStart w:id="1284" w:name="_Toc24113"/>
      <w:bookmarkStart w:id="1285" w:name="_Toc25750651"/>
      <w:bookmarkStart w:id="1286" w:name="_Toc30611"/>
      <w:bookmarkStart w:id="1287" w:name="_Toc29106"/>
      <w:bookmarkStart w:id="1288" w:name="_Toc769"/>
      <w:bookmarkStart w:id="1289" w:name="_Toc21856"/>
      <w:bookmarkStart w:id="1290" w:name="_Toc10545"/>
      <w:bookmarkStart w:id="1291" w:name="_Toc390098482"/>
      <w:bookmarkStart w:id="1292" w:name="_Toc32028"/>
      <w:bookmarkStart w:id="1293" w:name="_Toc23070"/>
      <w:bookmarkStart w:id="1294" w:name="_Toc27489"/>
      <w:bookmarkStart w:id="1295" w:name="_Toc12825"/>
      <w:bookmarkStart w:id="1296" w:name="_Toc14851"/>
      <w:bookmarkStart w:id="1297" w:name="_Toc29593"/>
      <w:bookmarkStart w:id="1298" w:name="_Toc25441"/>
      <w:bookmarkStart w:id="1299" w:name="_Toc2295"/>
      <w:bookmarkStart w:id="1300" w:name="_Toc370933873"/>
      <w:bookmarkStart w:id="1301" w:name="_Toc378514970"/>
      <w:bookmarkStart w:id="1302" w:name="_Toc25230"/>
      <w:bookmarkStart w:id="1303" w:name="_Toc492478780"/>
      <w:bookmarkStart w:id="1304" w:name="_Toc385427856"/>
      <w:r>
        <w:rPr>
          <w:rFonts w:hint="eastAsia" w:ascii="宋体" w:hAnsi="宋体"/>
          <w:b/>
          <w:highlight w:val="none"/>
          <w:lang w:val="en-US" w:eastAsia="zh-CN"/>
        </w:rPr>
        <w:t>10</w:t>
      </w:r>
      <w:r>
        <w:rPr>
          <w:rFonts w:hint="eastAsia" w:ascii="宋体" w:hAnsi="宋体"/>
          <w:b/>
          <w:highlight w:val="none"/>
        </w:rPr>
        <w:t>.合同变更与修改</w:t>
      </w:r>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p>
    <w:p>
      <w:pPr>
        <w:shd w:val="clear"/>
        <w:tabs>
          <w:tab w:val="left" w:pos="840"/>
        </w:tabs>
        <w:spacing w:before="0" w:after="0" w:afterAutospacing="0"/>
        <w:ind w:left="0" w:right="0" w:firstLine="420" w:firstLineChars="200"/>
        <w:rPr>
          <w:rFonts w:ascii="宋体" w:hAnsi="宋体"/>
          <w:highlight w:val="none"/>
        </w:rPr>
      </w:pPr>
      <w:r>
        <w:rPr>
          <w:rFonts w:hint="eastAsia" w:ascii="宋体" w:hAnsi="宋体"/>
          <w:highlight w:val="none"/>
          <w:lang w:eastAsia="zh-CN"/>
        </w:rPr>
        <w:t>10.</w:t>
      </w:r>
      <w:r>
        <w:rPr>
          <w:rFonts w:hint="eastAsia" w:ascii="宋体" w:hAnsi="宋体"/>
          <w:highlight w:val="none"/>
        </w:rPr>
        <w:t>1除非甲方与乙方双方签署书面修改书，否则不能对合同条款进行任何变更。如果合同另有约定，从其约定。</w:t>
      </w:r>
    </w:p>
    <w:p>
      <w:pPr>
        <w:shd w:val="clear"/>
        <w:tabs>
          <w:tab w:val="left" w:pos="840"/>
        </w:tabs>
        <w:spacing w:before="0" w:after="0" w:afterAutospacing="0"/>
        <w:ind w:left="0" w:right="0" w:firstLine="420" w:firstLineChars="200"/>
        <w:rPr>
          <w:rFonts w:ascii="宋体" w:hAnsi="宋体"/>
          <w:highlight w:val="none"/>
        </w:rPr>
      </w:pPr>
      <w:r>
        <w:rPr>
          <w:rFonts w:hint="eastAsia" w:ascii="宋体" w:hAnsi="宋体"/>
          <w:highlight w:val="none"/>
          <w:lang w:eastAsia="zh-CN"/>
        </w:rPr>
        <w:t>10.</w:t>
      </w:r>
      <w:r>
        <w:rPr>
          <w:rFonts w:hint="eastAsia" w:ascii="宋体" w:hAnsi="宋体"/>
          <w:highlight w:val="none"/>
        </w:rPr>
        <w:t>2任何对合同条件的变更或修改均须根据双方协商达成的协议，以规定的标准修改书形式由双方授权代表签字盖章来完成，并作为本合同不可分割的组成部分，具有与合同本身同样的效力。</w:t>
      </w:r>
    </w:p>
    <w:p>
      <w:pPr>
        <w:shd w:val="clear"/>
        <w:tabs>
          <w:tab w:val="left" w:pos="840"/>
        </w:tabs>
        <w:spacing w:before="0" w:after="0" w:afterAutospacing="0"/>
        <w:ind w:left="0" w:right="0" w:firstLine="420" w:firstLineChars="200"/>
        <w:rPr>
          <w:rFonts w:ascii="宋体" w:hAnsi="宋体"/>
          <w:highlight w:val="none"/>
        </w:rPr>
      </w:pPr>
      <w:r>
        <w:rPr>
          <w:rFonts w:hint="eastAsia" w:ascii="宋体" w:hAnsi="宋体"/>
          <w:highlight w:val="none"/>
          <w:lang w:eastAsia="zh-CN"/>
        </w:rPr>
        <w:t>10.</w:t>
      </w:r>
      <w:r>
        <w:rPr>
          <w:rFonts w:hint="eastAsia" w:ascii="宋体" w:hAnsi="宋体"/>
          <w:highlight w:val="none"/>
        </w:rPr>
        <w:t>3甲方在执行合同期间内的任何时间可以对合同作变更、修改、删除、增加或做其它改变，经乙方同意后，这些变更应作为合同的组成部分，任何修改将构成合同的组成部分并适用其他条款，乙方应履行这些变更并受同样条件约束。</w:t>
      </w:r>
    </w:p>
    <w:p>
      <w:pPr>
        <w:shd w:val="clear"/>
        <w:tabs>
          <w:tab w:val="left" w:pos="840"/>
        </w:tabs>
        <w:spacing w:before="0" w:after="0" w:afterAutospacing="0"/>
        <w:ind w:left="0" w:right="0" w:firstLine="420" w:firstLineChars="200"/>
        <w:rPr>
          <w:rFonts w:ascii="宋体" w:hAnsi="宋体"/>
          <w:highlight w:val="none"/>
        </w:rPr>
      </w:pPr>
      <w:r>
        <w:rPr>
          <w:rFonts w:hint="eastAsia" w:ascii="宋体" w:hAnsi="宋体"/>
          <w:highlight w:val="none"/>
          <w:lang w:eastAsia="zh-CN"/>
        </w:rPr>
        <w:t>10.</w:t>
      </w:r>
      <w:r>
        <w:rPr>
          <w:rFonts w:hint="eastAsia" w:ascii="宋体" w:hAnsi="宋体"/>
          <w:highlight w:val="none"/>
        </w:rPr>
        <w:t>4 变更费用的确认：</w:t>
      </w:r>
    </w:p>
    <w:p>
      <w:pPr>
        <w:shd w:val="clear"/>
        <w:tabs>
          <w:tab w:val="left" w:pos="840"/>
        </w:tabs>
        <w:spacing w:before="0" w:after="0" w:afterAutospacing="0"/>
        <w:ind w:left="0" w:right="0" w:firstLine="420" w:firstLineChars="200"/>
        <w:rPr>
          <w:rFonts w:ascii="宋体" w:hAnsi="宋体"/>
          <w:highlight w:val="none"/>
        </w:rPr>
      </w:pPr>
      <w:r>
        <w:rPr>
          <w:rFonts w:hint="eastAsia" w:ascii="宋体" w:hAnsi="宋体"/>
          <w:highlight w:val="none"/>
          <w:lang w:eastAsia="zh-CN"/>
        </w:rPr>
        <w:t>10.</w:t>
      </w:r>
      <w:r>
        <w:rPr>
          <w:rFonts w:hint="eastAsia" w:ascii="宋体" w:hAnsi="宋体"/>
          <w:highlight w:val="none"/>
        </w:rPr>
        <w:t>4.1变更后的费用经甲乙双方协商确认后，如低于原合同价格，则按照变更后的费用来执行；</w:t>
      </w:r>
    </w:p>
    <w:p>
      <w:pPr>
        <w:shd w:val="clear"/>
        <w:tabs>
          <w:tab w:val="left" w:pos="840"/>
        </w:tabs>
        <w:spacing w:before="0" w:after="0" w:afterAutospacing="0"/>
        <w:ind w:left="0" w:right="0" w:firstLine="420" w:firstLineChars="200"/>
        <w:rPr>
          <w:rFonts w:ascii="宋体" w:hAnsi="宋体"/>
          <w:highlight w:val="none"/>
        </w:rPr>
      </w:pPr>
      <w:r>
        <w:rPr>
          <w:rFonts w:hint="eastAsia" w:ascii="宋体" w:hAnsi="宋体"/>
          <w:highlight w:val="none"/>
          <w:lang w:eastAsia="zh-CN"/>
        </w:rPr>
        <w:t>10.</w:t>
      </w:r>
      <w:r>
        <w:rPr>
          <w:rFonts w:hint="eastAsia" w:ascii="宋体" w:hAnsi="宋体"/>
          <w:highlight w:val="none"/>
        </w:rPr>
        <w:t>4.2变更后的费用经甲乙双方协商确认后，如高于原合同价格，则按照原合同价格来执行。</w:t>
      </w:r>
    </w:p>
    <w:p>
      <w:pPr>
        <w:shd w:val="clear"/>
        <w:tabs>
          <w:tab w:val="left" w:pos="840"/>
          <w:tab w:val="left" w:pos="1843"/>
        </w:tabs>
        <w:spacing w:before="0" w:after="0" w:afterAutospacing="0"/>
        <w:ind w:left="422" w:right="0" w:firstLine="0"/>
        <w:outlineLvl w:val="1"/>
        <w:rPr>
          <w:rFonts w:ascii="宋体" w:hAnsi="宋体"/>
          <w:b/>
          <w:highlight w:val="none"/>
        </w:rPr>
      </w:pPr>
      <w:bookmarkStart w:id="1305" w:name="_Toc24029"/>
      <w:bookmarkStart w:id="1306" w:name="_Toc370933874"/>
      <w:bookmarkStart w:id="1307" w:name="_Toc25965"/>
      <w:bookmarkStart w:id="1308" w:name="_Toc4403"/>
      <w:bookmarkStart w:id="1309" w:name="_Toc16088"/>
      <w:bookmarkStart w:id="1310" w:name="_Toc29664"/>
      <w:bookmarkStart w:id="1311" w:name="_Toc29029"/>
      <w:bookmarkStart w:id="1312" w:name="_Toc27980"/>
      <w:bookmarkStart w:id="1313" w:name="_Toc21302"/>
      <w:bookmarkStart w:id="1314" w:name="_Toc28641"/>
      <w:bookmarkStart w:id="1315" w:name="_Toc18239"/>
      <w:bookmarkStart w:id="1316" w:name="_Toc25750652"/>
      <w:bookmarkStart w:id="1317" w:name="_Toc385427857"/>
      <w:bookmarkStart w:id="1318" w:name="_Toc3081"/>
      <w:bookmarkStart w:id="1319" w:name="_Toc492478781"/>
      <w:bookmarkStart w:id="1320" w:name="_Toc18453"/>
      <w:bookmarkStart w:id="1321" w:name="_Toc2307"/>
      <w:bookmarkStart w:id="1322" w:name="_Toc15094"/>
      <w:bookmarkStart w:id="1323" w:name="_Toc390098483"/>
      <w:bookmarkStart w:id="1324" w:name="_Toc11895"/>
      <w:bookmarkStart w:id="1325" w:name="_Toc17820"/>
      <w:bookmarkStart w:id="1326" w:name="_Toc1259"/>
      <w:bookmarkStart w:id="1327" w:name="_Toc25195"/>
      <w:bookmarkStart w:id="1328" w:name="_Toc378514971"/>
      <w:r>
        <w:rPr>
          <w:rFonts w:hint="eastAsia" w:ascii="宋体" w:hAnsi="宋体"/>
          <w:b/>
          <w:highlight w:val="none"/>
        </w:rPr>
        <w:t>1</w:t>
      </w:r>
      <w:r>
        <w:rPr>
          <w:rFonts w:hint="eastAsia" w:ascii="宋体" w:hAnsi="宋体"/>
          <w:b/>
          <w:highlight w:val="none"/>
          <w:lang w:val="en-US" w:eastAsia="zh-CN"/>
        </w:rPr>
        <w:t>1</w:t>
      </w:r>
      <w:r>
        <w:rPr>
          <w:rFonts w:hint="eastAsia" w:ascii="宋体" w:hAnsi="宋体"/>
          <w:b/>
          <w:highlight w:val="none"/>
        </w:rPr>
        <w:t>.</w:t>
      </w:r>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r>
        <w:rPr>
          <w:rFonts w:hint="eastAsia" w:ascii="宋体" w:hAnsi="宋体"/>
          <w:b/>
          <w:highlight w:val="none"/>
        </w:rPr>
        <w:t>违约责任</w:t>
      </w:r>
    </w:p>
    <w:p>
      <w:pPr>
        <w:shd w:val="clear"/>
        <w:tabs>
          <w:tab w:val="left" w:pos="840"/>
        </w:tabs>
        <w:spacing w:before="0" w:after="0" w:afterAutospacing="0"/>
        <w:ind w:left="0" w:right="0" w:firstLine="420" w:firstLineChars="200"/>
        <w:rPr>
          <w:rFonts w:hint="eastAsia" w:ascii="宋体" w:hAnsi="宋体" w:eastAsia="宋体" w:cs="Times New Roman"/>
          <w:highlight w:val="none"/>
        </w:rPr>
      </w:pPr>
      <w:bookmarkStart w:id="1329" w:name="_Toc137824306"/>
      <w:r>
        <w:rPr>
          <w:rFonts w:hint="eastAsia" w:ascii="宋体" w:hAnsi="宋体" w:eastAsia="宋体" w:cs="Times New Roman"/>
          <w:highlight w:val="none"/>
          <w:lang w:eastAsia="zh-CN"/>
        </w:rPr>
        <w:t>11.</w:t>
      </w:r>
      <w:r>
        <w:rPr>
          <w:rFonts w:hint="eastAsia" w:ascii="宋体" w:hAnsi="宋体" w:eastAsia="宋体" w:cs="Times New Roman"/>
          <w:highlight w:val="none"/>
        </w:rPr>
        <w:t>1合同期评价</w:t>
      </w:r>
      <w:bookmarkEnd w:id="1329"/>
    </w:p>
    <w:p>
      <w:pPr>
        <w:shd w:val="clear"/>
        <w:tabs>
          <w:tab w:val="left" w:pos="840"/>
        </w:tabs>
        <w:spacing w:before="0" w:after="0" w:afterAutospacing="0"/>
        <w:ind w:left="0" w:right="0" w:firstLine="420" w:firstLineChars="200"/>
        <w:rPr>
          <w:rFonts w:hint="eastAsia" w:ascii="宋体" w:hAnsi="宋体" w:eastAsia="宋体" w:cs="Times New Roman"/>
          <w:highlight w:val="none"/>
        </w:rPr>
      </w:pPr>
      <w:r>
        <w:rPr>
          <w:rFonts w:hint="eastAsia" w:ascii="宋体" w:hAnsi="宋体" w:eastAsia="宋体" w:cs="Times New Roman"/>
          <w:highlight w:val="none"/>
        </w:rPr>
        <w:t>凡涉及以下任一条款，则比选人有权行使一票否决制，考核评定不合格，比选人有权随时终止合同。</w:t>
      </w:r>
    </w:p>
    <w:p>
      <w:pPr>
        <w:shd w:val="clear"/>
        <w:tabs>
          <w:tab w:val="left" w:pos="840"/>
        </w:tabs>
        <w:spacing w:before="0" w:after="0" w:afterAutospacing="0"/>
        <w:ind w:left="0" w:right="0" w:firstLine="420" w:firstLineChars="200"/>
        <w:rPr>
          <w:rFonts w:hint="eastAsia" w:ascii="宋体" w:hAnsi="宋体" w:eastAsia="宋体" w:cs="Times New Roman"/>
          <w:highlight w:val="none"/>
        </w:rPr>
      </w:pPr>
      <w:r>
        <w:rPr>
          <w:rFonts w:hint="eastAsia" w:ascii="宋体" w:hAnsi="宋体" w:eastAsia="宋体" w:cs="Times New Roman"/>
          <w:highlight w:val="none"/>
          <w:lang w:eastAsia="zh-CN"/>
        </w:rPr>
        <w:t>11.</w:t>
      </w:r>
      <w:r>
        <w:rPr>
          <w:rFonts w:hint="eastAsia" w:ascii="宋体" w:hAnsi="宋体" w:eastAsia="宋体" w:cs="Times New Roman"/>
          <w:highlight w:val="none"/>
        </w:rPr>
        <w:t>1.1对外透露保密性的信息，情节严重。</w:t>
      </w:r>
    </w:p>
    <w:p>
      <w:pPr>
        <w:shd w:val="clear"/>
        <w:tabs>
          <w:tab w:val="left" w:pos="840"/>
        </w:tabs>
        <w:spacing w:before="0" w:after="0" w:afterAutospacing="0"/>
        <w:ind w:left="0" w:right="0" w:firstLine="420" w:firstLineChars="200"/>
        <w:rPr>
          <w:rFonts w:hint="eastAsia" w:ascii="宋体" w:hAnsi="宋体" w:eastAsia="宋体" w:cs="Times New Roman"/>
          <w:highlight w:val="none"/>
        </w:rPr>
      </w:pPr>
      <w:r>
        <w:rPr>
          <w:rFonts w:hint="eastAsia" w:ascii="宋体" w:hAnsi="宋体" w:eastAsia="宋体" w:cs="Times New Roman"/>
          <w:highlight w:val="none"/>
          <w:lang w:eastAsia="zh-CN"/>
        </w:rPr>
        <w:t>11.</w:t>
      </w:r>
      <w:r>
        <w:rPr>
          <w:rFonts w:hint="eastAsia" w:ascii="宋体" w:hAnsi="宋体" w:eastAsia="宋体" w:cs="Times New Roman"/>
          <w:highlight w:val="none"/>
        </w:rPr>
        <w:t>1.2因</w:t>
      </w:r>
      <w:r>
        <w:rPr>
          <w:rFonts w:hint="eastAsia" w:ascii="宋体" w:hAnsi="宋体" w:cs="Times New Roman"/>
          <w:highlight w:val="none"/>
          <w:lang w:eastAsia="zh-CN"/>
        </w:rPr>
        <w:t>乙方</w:t>
      </w:r>
      <w:r>
        <w:rPr>
          <w:rFonts w:hint="eastAsia" w:ascii="宋体" w:hAnsi="宋体" w:eastAsia="宋体" w:cs="Times New Roman"/>
          <w:highlight w:val="none"/>
        </w:rPr>
        <w:t>原因，造成发生一般事件C类及以上事故、事件。</w:t>
      </w:r>
    </w:p>
    <w:p>
      <w:pPr>
        <w:shd w:val="clear"/>
        <w:tabs>
          <w:tab w:val="left" w:pos="840"/>
        </w:tabs>
        <w:spacing w:before="0" w:after="0" w:afterAutospacing="0"/>
        <w:ind w:left="0" w:right="0" w:firstLine="420" w:firstLineChars="200"/>
        <w:rPr>
          <w:rFonts w:hint="eastAsia" w:ascii="宋体" w:hAnsi="宋体" w:eastAsia="宋体" w:cs="Times New Roman"/>
          <w:highlight w:val="none"/>
        </w:rPr>
      </w:pPr>
      <w:r>
        <w:rPr>
          <w:rFonts w:hint="eastAsia" w:ascii="宋体" w:hAnsi="宋体" w:eastAsia="宋体" w:cs="Times New Roman"/>
          <w:highlight w:val="none"/>
          <w:lang w:eastAsia="zh-CN"/>
        </w:rPr>
        <w:t>11.</w:t>
      </w:r>
      <w:r>
        <w:rPr>
          <w:rFonts w:hint="eastAsia" w:ascii="宋体" w:hAnsi="宋体" w:eastAsia="宋体" w:cs="Times New Roman"/>
          <w:highlight w:val="none"/>
        </w:rPr>
        <w:t>1.3发生责任员工轻伤及以上。</w:t>
      </w:r>
    </w:p>
    <w:p>
      <w:pPr>
        <w:shd w:val="clear"/>
        <w:tabs>
          <w:tab w:val="left" w:pos="840"/>
        </w:tabs>
        <w:spacing w:before="0" w:after="0" w:afterAutospacing="0"/>
        <w:ind w:left="0" w:right="0" w:firstLine="420" w:firstLineChars="200"/>
        <w:rPr>
          <w:rFonts w:hint="eastAsia" w:ascii="宋体" w:hAnsi="宋体" w:eastAsia="宋体" w:cs="Times New Roman"/>
          <w:highlight w:val="none"/>
        </w:rPr>
      </w:pPr>
      <w:r>
        <w:rPr>
          <w:rFonts w:hint="eastAsia" w:ascii="宋体" w:hAnsi="宋体" w:eastAsia="宋体" w:cs="Times New Roman"/>
          <w:highlight w:val="none"/>
          <w:lang w:eastAsia="zh-CN"/>
        </w:rPr>
        <w:t>11.</w:t>
      </w:r>
      <w:r>
        <w:rPr>
          <w:rFonts w:hint="eastAsia" w:ascii="宋体" w:hAnsi="宋体" w:eastAsia="宋体" w:cs="Times New Roman"/>
          <w:highlight w:val="none"/>
        </w:rPr>
        <w:t>1.4施工作业完成后，未按比选人相关施工管理规定进行出清或跨区域、跨范围作业。</w:t>
      </w:r>
    </w:p>
    <w:p>
      <w:pPr>
        <w:shd w:val="clear"/>
        <w:tabs>
          <w:tab w:val="left" w:pos="840"/>
        </w:tabs>
        <w:spacing w:before="0" w:after="0" w:afterAutospacing="0"/>
        <w:ind w:left="0" w:right="0" w:firstLine="420" w:firstLineChars="200"/>
        <w:rPr>
          <w:rFonts w:hint="eastAsia" w:ascii="宋体" w:hAnsi="宋体" w:eastAsia="宋体" w:cs="Times New Roman"/>
          <w:highlight w:val="none"/>
        </w:rPr>
      </w:pPr>
      <w:r>
        <w:rPr>
          <w:rFonts w:hint="eastAsia" w:ascii="宋体" w:hAnsi="宋体" w:eastAsia="宋体" w:cs="Times New Roman"/>
          <w:highlight w:val="none"/>
          <w:lang w:eastAsia="zh-CN"/>
        </w:rPr>
        <w:t>11.</w:t>
      </w:r>
      <w:r>
        <w:rPr>
          <w:rFonts w:hint="eastAsia" w:ascii="宋体" w:hAnsi="宋体" w:eastAsia="宋体" w:cs="Times New Roman"/>
          <w:highlight w:val="none"/>
        </w:rPr>
        <w:t>1.5因</w:t>
      </w:r>
      <w:r>
        <w:rPr>
          <w:rFonts w:hint="eastAsia" w:ascii="宋体" w:hAnsi="宋体" w:cs="Times New Roman"/>
          <w:highlight w:val="none"/>
          <w:lang w:eastAsia="zh-CN"/>
        </w:rPr>
        <w:t>乙方</w:t>
      </w:r>
      <w:r>
        <w:rPr>
          <w:rFonts w:hint="eastAsia" w:ascii="宋体" w:hAnsi="宋体" w:eastAsia="宋体" w:cs="Times New Roman"/>
          <w:highlight w:val="none"/>
        </w:rPr>
        <w:t>责任造成解除合同的，由</w:t>
      </w:r>
      <w:r>
        <w:rPr>
          <w:rFonts w:hint="eastAsia" w:ascii="宋体" w:hAnsi="宋体" w:cs="Times New Roman"/>
          <w:highlight w:val="none"/>
          <w:lang w:eastAsia="zh-CN"/>
        </w:rPr>
        <w:t>乙方</w:t>
      </w:r>
      <w:r>
        <w:rPr>
          <w:rFonts w:hint="eastAsia" w:ascii="宋体" w:hAnsi="宋体" w:eastAsia="宋体" w:cs="Times New Roman"/>
          <w:highlight w:val="none"/>
        </w:rPr>
        <w:t>承担相应的责任, 并赔偿相应损失。</w:t>
      </w:r>
    </w:p>
    <w:p>
      <w:pPr>
        <w:shd w:val="clear"/>
        <w:tabs>
          <w:tab w:val="left" w:pos="840"/>
        </w:tabs>
        <w:spacing w:before="0" w:after="0" w:afterAutospacing="0"/>
        <w:ind w:left="0" w:right="0" w:firstLine="420" w:firstLineChars="200"/>
        <w:rPr>
          <w:rFonts w:hint="eastAsia" w:ascii="宋体" w:hAnsi="宋体" w:eastAsia="宋体" w:cs="Times New Roman"/>
          <w:highlight w:val="none"/>
        </w:rPr>
      </w:pPr>
      <w:r>
        <w:rPr>
          <w:rFonts w:hint="eastAsia" w:ascii="宋体" w:hAnsi="宋体" w:eastAsia="宋体" w:cs="Times New Roman"/>
          <w:highlight w:val="none"/>
          <w:lang w:eastAsia="zh-CN"/>
        </w:rPr>
        <w:t>11.</w:t>
      </w:r>
      <w:r>
        <w:rPr>
          <w:rFonts w:hint="eastAsia" w:ascii="宋体" w:hAnsi="宋体" w:eastAsia="宋体" w:cs="Times New Roman"/>
          <w:highlight w:val="none"/>
        </w:rPr>
        <w:t>1.6</w:t>
      </w:r>
      <w:r>
        <w:rPr>
          <w:rFonts w:hint="eastAsia" w:ascii="宋体" w:hAnsi="宋体" w:cs="Times New Roman"/>
          <w:highlight w:val="none"/>
          <w:lang w:eastAsia="zh-CN"/>
        </w:rPr>
        <w:t>乙方</w:t>
      </w:r>
      <w:r>
        <w:rPr>
          <w:rFonts w:hint="eastAsia" w:ascii="宋体" w:hAnsi="宋体" w:eastAsia="宋体" w:cs="Times New Roman"/>
          <w:highlight w:val="none"/>
        </w:rPr>
        <w:t>有责任保证装修质量达到国家相关质量标准，并在合同执行过程中严格遵守比选人各项管理规定、要求。</w:t>
      </w:r>
    </w:p>
    <w:p>
      <w:pPr>
        <w:shd w:val="clear"/>
        <w:tabs>
          <w:tab w:val="left" w:pos="840"/>
        </w:tabs>
        <w:spacing w:before="0" w:after="0" w:afterAutospacing="0"/>
        <w:ind w:left="0" w:right="0" w:firstLine="420" w:firstLineChars="200"/>
        <w:rPr>
          <w:rFonts w:hint="eastAsia" w:ascii="宋体" w:hAnsi="宋体" w:eastAsia="宋体" w:cs="Times New Roman"/>
          <w:highlight w:val="none"/>
        </w:rPr>
      </w:pPr>
      <w:r>
        <w:rPr>
          <w:rFonts w:hint="eastAsia" w:ascii="宋体" w:hAnsi="宋体" w:eastAsia="宋体" w:cs="Times New Roman"/>
          <w:highlight w:val="none"/>
          <w:lang w:eastAsia="zh-CN"/>
        </w:rPr>
        <w:t>11.</w:t>
      </w:r>
      <w:r>
        <w:rPr>
          <w:rFonts w:hint="eastAsia" w:ascii="宋体" w:hAnsi="宋体" w:eastAsia="宋体" w:cs="Times New Roman"/>
          <w:highlight w:val="none"/>
        </w:rPr>
        <w:t>1.7</w:t>
      </w:r>
      <w:r>
        <w:rPr>
          <w:rFonts w:hint="eastAsia" w:ascii="宋体" w:hAnsi="宋体" w:cs="Times New Roman"/>
          <w:highlight w:val="none"/>
          <w:lang w:eastAsia="zh-CN"/>
        </w:rPr>
        <w:t>乙方</w:t>
      </w:r>
      <w:r>
        <w:rPr>
          <w:rFonts w:hint="eastAsia" w:ascii="宋体" w:hAnsi="宋体" w:eastAsia="宋体" w:cs="Times New Roman"/>
          <w:highlight w:val="none"/>
        </w:rPr>
        <w:t>在收到考核单后，如有意见，在三个工作日可提出申诉，比选人在收到申诉后三个工作日答复，</w:t>
      </w:r>
      <w:r>
        <w:rPr>
          <w:rFonts w:hint="eastAsia" w:ascii="宋体" w:hAnsi="宋体" w:cs="Times New Roman"/>
          <w:highlight w:val="none"/>
          <w:lang w:eastAsia="zh-CN"/>
        </w:rPr>
        <w:t>乙方</w:t>
      </w:r>
      <w:r>
        <w:rPr>
          <w:rFonts w:hint="eastAsia" w:ascii="宋体" w:hAnsi="宋体" w:eastAsia="宋体" w:cs="Times New Roman"/>
          <w:highlight w:val="none"/>
        </w:rPr>
        <w:t>在三个工作日内必须签字盖章返回，若因此导致比选人支付款项延时，责任由</w:t>
      </w:r>
      <w:r>
        <w:rPr>
          <w:rFonts w:hint="eastAsia" w:ascii="宋体" w:hAnsi="宋体" w:cs="Times New Roman"/>
          <w:highlight w:val="none"/>
          <w:lang w:eastAsia="zh-CN"/>
        </w:rPr>
        <w:t>乙方</w:t>
      </w:r>
      <w:r>
        <w:rPr>
          <w:rFonts w:hint="eastAsia" w:ascii="宋体" w:hAnsi="宋体" w:eastAsia="宋体" w:cs="Times New Roman"/>
          <w:highlight w:val="none"/>
        </w:rPr>
        <w:t>自行承担。</w:t>
      </w:r>
    </w:p>
    <w:p>
      <w:pPr>
        <w:shd w:val="clear"/>
        <w:tabs>
          <w:tab w:val="left" w:pos="840"/>
        </w:tabs>
        <w:spacing w:before="0" w:after="0" w:afterAutospacing="0"/>
        <w:ind w:left="0" w:right="0" w:firstLine="420" w:firstLineChars="200"/>
        <w:rPr>
          <w:rFonts w:hint="eastAsia" w:ascii="宋体" w:hAnsi="宋体" w:eastAsia="宋体" w:cs="Times New Roman"/>
          <w:highlight w:val="none"/>
        </w:rPr>
      </w:pPr>
      <w:bookmarkStart w:id="1330" w:name="_Toc137824307"/>
      <w:r>
        <w:rPr>
          <w:rFonts w:hint="eastAsia" w:ascii="宋体" w:hAnsi="宋体" w:eastAsia="宋体" w:cs="Times New Roman"/>
          <w:highlight w:val="none"/>
          <w:lang w:eastAsia="zh-CN"/>
        </w:rPr>
        <w:t>11.</w:t>
      </w:r>
      <w:r>
        <w:rPr>
          <w:rFonts w:hint="eastAsia" w:ascii="宋体" w:hAnsi="宋体" w:eastAsia="宋体" w:cs="Times New Roman"/>
          <w:highlight w:val="none"/>
        </w:rPr>
        <w:t>2违约处理</w:t>
      </w:r>
      <w:bookmarkEnd w:id="1330"/>
    </w:p>
    <w:p>
      <w:pPr>
        <w:shd w:val="clear"/>
        <w:tabs>
          <w:tab w:val="left" w:pos="840"/>
        </w:tabs>
        <w:spacing w:before="0" w:after="0" w:afterAutospacing="0"/>
        <w:ind w:left="0" w:right="0" w:firstLine="420" w:firstLineChars="200"/>
        <w:rPr>
          <w:rFonts w:hint="eastAsia" w:ascii="宋体" w:hAnsi="宋体" w:eastAsia="宋体" w:cs="Times New Roman"/>
          <w:highlight w:val="none"/>
        </w:rPr>
      </w:pPr>
      <w:r>
        <w:rPr>
          <w:rFonts w:hint="eastAsia" w:ascii="宋体" w:hAnsi="宋体" w:eastAsia="宋体" w:cs="Times New Roman"/>
          <w:highlight w:val="none"/>
          <w:lang w:eastAsia="zh-CN"/>
        </w:rPr>
        <w:t>11.</w:t>
      </w:r>
      <w:r>
        <w:rPr>
          <w:rFonts w:hint="eastAsia" w:ascii="宋体" w:hAnsi="宋体" w:eastAsia="宋体" w:cs="Times New Roman"/>
          <w:highlight w:val="none"/>
        </w:rPr>
        <w:t>2.1因</w:t>
      </w:r>
      <w:r>
        <w:rPr>
          <w:rFonts w:hint="eastAsia" w:ascii="宋体" w:hAnsi="宋体" w:cs="Times New Roman"/>
          <w:highlight w:val="none"/>
          <w:lang w:eastAsia="zh-CN"/>
        </w:rPr>
        <w:t>乙方</w:t>
      </w:r>
      <w:r>
        <w:rPr>
          <w:rFonts w:hint="eastAsia" w:ascii="宋体" w:hAnsi="宋体" w:eastAsia="宋体" w:cs="Times New Roman"/>
          <w:highlight w:val="none"/>
        </w:rPr>
        <w:t>原因造成一般事件C类及以上的，课以比选人受考核的金额或者合同总价款的5%作为违约金，以两者考核金额大的进行考核；且比选人有权根据影响程度追加考核，因此造成的其他损失比选人有权向</w:t>
      </w:r>
      <w:r>
        <w:rPr>
          <w:rFonts w:hint="eastAsia" w:ascii="宋体" w:hAnsi="宋体" w:cs="Times New Roman"/>
          <w:highlight w:val="none"/>
          <w:lang w:eastAsia="zh-CN"/>
        </w:rPr>
        <w:t>乙方</w:t>
      </w:r>
      <w:r>
        <w:rPr>
          <w:rFonts w:hint="eastAsia" w:ascii="宋体" w:hAnsi="宋体" w:eastAsia="宋体" w:cs="Times New Roman"/>
          <w:highlight w:val="none"/>
        </w:rPr>
        <w:t>索赔。因</w:t>
      </w:r>
      <w:r>
        <w:rPr>
          <w:rFonts w:hint="eastAsia" w:ascii="宋体" w:hAnsi="宋体" w:cs="Times New Roman"/>
          <w:highlight w:val="none"/>
          <w:lang w:eastAsia="zh-CN"/>
        </w:rPr>
        <w:t>乙方</w:t>
      </w:r>
      <w:r>
        <w:rPr>
          <w:rFonts w:hint="eastAsia" w:ascii="宋体" w:hAnsi="宋体" w:eastAsia="宋体" w:cs="Times New Roman"/>
          <w:highlight w:val="none"/>
        </w:rPr>
        <w:t>原因造成一般事件C类以上事件的，比选人有权终止合同。</w:t>
      </w:r>
    </w:p>
    <w:p>
      <w:pPr>
        <w:shd w:val="clear"/>
        <w:tabs>
          <w:tab w:val="left" w:pos="840"/>
        </w:tabs>
        <w:spacing w:before="0" w:after="0" w:afterAutospacing="0"/>
        <w:ind w:left="0" w:right="0" w:firstLine="420" w:firstLineChars="200"/>
        <w:rPr>
          <w:rFonts w:hint="eastAsia" w:ascii="宋体" w:hAnsi="宋体" w:eastAsia="宋体" w:cs="Times New Roman"/>
          <w:highlight w:val="none"/>
        </w:rPr>
      </w:pPr>
      <w:r>
        <w:rPr>
          <w:rFonts w:hint="eastAsia" w:ascii="宋体" w:hAnsi="宋体" w:eastAsia="宋体" w:cs="Times New Roman"/>
          <w:highlight w:val="none"/>
          <w:lang w:eastAsia="zh-CN"/>
        </w:rPr>
        <w:t>11.</w:t>
      </w:r>
      <w:r>
        <w:rPr>
          <w:rFonts w:hint="eastAsia" w:ascii="宋体" w:hAnsi="宋体" w:eastAsia="宋体" w:cs="Times New Roman"/>
          <w:highlight w:val="none"/>
        </w:rPr>
        <w:t>2.2因</w:t>
      </w:r>
      <w:r>
        <w:rPr>
          <w:rFonts w:hint="eastAsia" w:ascii="宋体" w:hAnsi="宋体" w:cs="Times New Roman"/>
          <w:highlight w:val="none"/>
          <w:lang w:eastAsia="zh-CN"/>
        </w:rPr>
        <w:t>乙方</w:t>
      </w:r>
      <w:r>
        <w:rPr>
          <w:rFonts w:hint="eastAsia" w:ascii="宋体" w:hAnsi="宋体" w:eastAsia="宋体" w:cs="Times New Roman"/>
          <w:highlight w:val="none"/>
        </w:rPr>
        <w:t>原因造成比选人、第三方财产或人身损害的，</w:t>
      </w:r>
      <w:r>
        <w:rPr>
          <w:rFonts w:hint="eastAsia" w:ascii="宋体" w:hAnsi="宋体" w:cs="Times New Roman"/>
          <w:highlight w:val="none"/>
          <w:lang w:eastAsia="zh-CN"/>
        </w:rPr>
        <w:t>乙方</w:t>
      </w:r>
      <w:r>
        <w:rPr>
          <w:rFonts w:hint="eastAsia" w:ascii="宋体" w:hAnsi="宋体" w:eastAsia="宋体" w:cs="Times New Roman"/>
          <w:highlight w:val="none"/>
        </w:rPr>
        <w:t>除负责赔偿责任外，尚需向比选人赔付由比选人依据安全事故的性质，设备受损的程度以及比选人的名誉、形象受损的范围和程度等确定的费用，并承担比选人因该事件发生的诉讼费、律师费等一切费用。</w:t>
      </w:r>
    </w:p>
    <w:p>
      <w:pPr>
        <w:shd w:val="clear"/>
        <w:tabs>
          <w:tab w:val="left" w:pos="840"/>
        </w:tabs>
        <w:spacing w:before="0" w:after="0" w:afterAutospacing="0"/>
        <w:ind w:left="0" w:right="0" w:firstLine="420" w:firstLineChars="200"/>
        <w:rPr>
          <w:rFonts w:hint="eastAsia" w:ascii="宋体" w:hAnsi="宋体" w:eastAsia="宋体" w:cs="Times New Roman"/>
          <w:highlight w:val="none"/>
        </w:rPr>
      </w:pPr>
      <w:r>
        <w:rPr>
          <w:rFonts w:hint="eastAsia" w:ascii="宋体" w:hAnsi="宋体" w:eastAsia="宋体" w:cs="Times New Roman"/>
          <w:highlight w:val="none"/>
          <w:lang w:eastAsia="zh-CN"/>
        </w:rPr>
        <w:t>11.</w:t>
      </w:r>
      <w:r>
        <w:rPr>
          <w:rFonts w:hint="eastAsia" w:ascii="宋体" w:hAnsi="宋体" w:eastAsia="宋体" w:cs="Times New Roman"/>
          <w:highlight w:val="none"/>
        </w:rPr>
        <w:t>2.3合同签订之后，未经比选人书面同意，</w:t>
      </w:r>
      <w:r>
        <w:rPr>
          <w:rFonts w:hint="eastAsia" w:ascii="宋体" w:hAnsi="宋体" w:cs="Times New Roman"/>
          <w:highlight w:val="none"/>
          <w:lang w:eastAsia="zh-CN"/>
        </w:rPr>
        <w:t>乙方</w:t>
      </w:r>
      <w:r>
        <w:rPr>
          <w:rFonts w:hint="eastAsia" w:ascii="宋体" w:hAnsi="宋体" w:eastAsia="宋体" w:cs="Times New Roman"/>
          <w:highlight w:val="none"/>
        </w:rPr>
        <w:t>擅自更换项目经理或施工负责人的，视为</w:t>
      </w:r>
      <w:r>
        <w:rPr>
          <w:rFonts w:hint="eastAsia" w:ascii="宋体" w:hAnsi="宋体" w:cs="Times New Roman"/>
          <w:highlight w:val="none"/>
          <w:lang w:eastAsia="zh-CN"/>
        </w:rPr>
        <w:t>乙方</w:t>
      </w:r>
      <w:r>
        <w:rPr>
          <w:rFonts w:hint="eastAsia" w:ascii="宋体" w:hAnsi="宋体" w:eastAsia="宋体" w:cs="Times New Roman"/>
          <w:highlight w:val="none"/>
        </w:rPr>
        <w:t>违约，并课以违约金5000元/人次。</w:t>
      </w:r>
    </w:p>
    <w:p>
      <w:pPr>
        <w:shd w:val="clear"/>
        <w:tabs>
          <w:tab w:val="left" w:pos="840"/>
        </w:tabs>
        <w:spacing w:before="0" w:after="0" w:afterAutospacing="0"/>
        <w:ind w:left="0" w:right="0" w:firstLine="420" w:firstLineChars="200"/>
        <w:rPr>
          <w:rFonts w:hint="eastAsia" w:ascii="宋体" w:hAnsi="宋体" w:eastAsia="宋体" w:cs="Times New Roman"/>
          <w:highlight w:val="none"/>
        </w:rPr>
      </w:pPr>
      <w:r>
        <w:rPr>
          <w:rFonts w:hint="eastAsia" w:ascii="宋体" w:hAnsi="宋体" w:eastAsia="宋体" w:cs="Times New Roman"/>
          <w:highlight w:val="none"/>
          <w:lang w:eastAsia="zh-CN"/>
        </w:rPr>
        <w:t>11.</w:t>
      </w:r>
      <w:r>
        <w:rPr>
          <w:rFonts w:hint="eastAsia" w:ascii="宋体" w:hAnsi="宋体" w:eastAsia="宋体" w:cs="Times New Roman"/>
          <w:highlight w:val="none"/>
        </w:rPr>
        <w:t>2.4</w:t>
      </w:r>
      <w:r>
        <w:rPr>
          <w:rFonts w:hint="eastAsia" w:ascii="宋体" w:hAnsi="宋体" w:cs="Times New Roman"/>
          <w:highlight w:val="none"/>
          <w:lang w:eastAsia="zh-CN"/>
        </w:rPr>
        <w:t>乙方</w:t>
      </w:r>
      <w:r>
        <w:rPr>
          <w:rFonts w:hint="eastAsia" w:ascii="宋体" w:hAnsi="宋体" w:eastAsia="宋体" w:cs="Times New Roman"/>
          <w:highlight w:val="none"/>
        </w:rPr>
        <w:t>人员在禁止抽烟区域内抽烟，工作期间喝酒或与其他部门/单位发生争执或打架斗殴等不文明现象的，课以违约金200元/次，造成不良影响的加倍处罚。</w:t>
      </w:r>
    </w:p>
    <w:p>
      <w:pPr>
        <w:shd w:val="clear"/>
        <w:tabs>
          <w:tab w:val="left" w:pos="840"/>
        </w:tabs>
        <w:spacing w:before="0" w:after="0" w:afterAutospacing="0"/>
        <w:ind w:left="0" w:right="0" w:firstLine="420" w:firstLineChars="200"/>
        <w:rPr>
          <w:rFonts w:hint="eastAsia" w:ascii="宋体" w:hAnsi="宋体" w:eastAsia="宋体" w:cs="Times New Roman"/>
          <w:highlight w:val="none"/>
        </w:rPr>
      </w:pPr>
      <w:r>
        <w:rPr>
          <w:rFonts w:hint="eastAsia" w:ascii="宋体" w:hAnsi="宋体" w:eastAsia="宋体" w:cs="Times New Roman"/>
          <w:highlight w:val="none"/>
          <w:lang w:eastAsia="zh-CN"/>
        </w:rPr>
        <w:t>11.</w:t>
      </w:r>
      <w:r>
        <w:rPr>
          <w:rFonts w:hint="eastAsia" w:ascii="宋体" w:hAnsi="宋体" w:eastAsia="宋体" w:cs="Times New Roman"/>
          <w:highlight w:val="none"/>
        </w:rPr>
        <w:t>2.5</w:t>
      </w:r>
      <w:r>
        <w:rPr>
          <w:rFonts w:hint="eastAsia" w:ascii="宋体" w:hAnsi="宋体" w:cs="Times New Roman"/>
          <w:highlight w:val="none"/>
          <w:lang w:eastAsia="zh-CN"/>
        </w:rPr>
        <w:t>乙方</w:t>
      </w:r>
      <w:r>
        <w:rPr>
          <w:rFonts w:hint="eastAsia" w:ascii="宋体" w:hAnsi="宋体" w:eastAsia="宋体" w:cs="Times New Roman"/>
          <w:highlight w:val="none"/>
        </w:rPr>
        <w:t>不服从比选人现场管理，课以违约金200元/次，此外造成比选人的损失，比选人有权向</w:t>
      </w:r>
      <w:r>
        <w:rPr>
          <w:rFonts w:hint="eastAsia" w:ascii="宋体" w:hAnsi="宋体" w:cs="Times New Roman"/>
          <w:highlight w:val="none"/>
          <w:lang w:eastAsia="zh-CN"/>
        </w:rPr>
        <w:t>乙方</w:t>
      </w:r>
      <w:r>
        <w:rPr>
          <w:rFonts w:hint="eastAsia" w:ascii="宋体" w:hAnsi="宋体" w:eastAsia="宋体" w:cs="Times New Roman"/>
          <w:highlight w:val="none"/>
        </w:rPr>
        <w:t>索赔。</w:t>
      </w:r>
    </w:p>
    <w:p>
      <w:pPr>
        <w:shd w:val="clear"/>
        <w:tabs>
          <w:tab w:val="left" w:pos="840"/>
        </w:tabs>
        <w:spacing w:before="0" w:after="0" w:afterAutospacing="0"/>
        <w:ind w:left="0" w:right="0" w:firstLine="420" w:firstLineChars="200"/>
        <w:rPr>
          <w:rFonts w:hint="eastAsia" w:ascii="宋体" w:hAnsi="宋体" w:eastAsia="宋体" w:cs="Times New Roman"/>
          <w:highlight w:val="none"/>
        </w:rPr>
      </w:pPr>
      <w:r>
        <w:rPr>
          <w:rFonts w:hint="eastAsia" w:ascii="宋体" w:hAnsi="宋体" w:eastAsia="宋体" w:cs="Times New Roman"/>
          <w:highlight w:val="none"/>
          <w:lang w:eastAsia="zh-CN"/>
        </w:rPr>
        <w:t>11.</w:t>
      </w:r>
      <w:r>
        <w:rPr>
          <w:rFonts w:hint="eastAsia" w:ascii="宋体" w:hAnsi="宋体" w:eastAsia="宋体" w:cs="Times New Roman"/>
          <w:highlight w:val="none"/>
        </w:rPr>
        <w:t>2.6</w:t>
      </w:r>
      <w:r>
        <w:rPr>
          <w:rFonts w:hint="eastAsia" w:ascii="宋体" w:hAnsi="宋体" w:cs="Times New Roman"/>
          <w:highlight w:val="none"/>
          <w:lang w:eastAsia="zh-CN"/>
        </w:rPr>
        <w:t>乙方</w:t>
      </w:r>
      <w:r>
        <w:rPr>
          <w:rFonts w:hint="eastAsia" w:ascii="宋体" w:hAnsi="宋体" w:eastAsia="宋体" w:cs="Times New Roman"/>
          <w:highlight w:val="none"/>
        </w:rPr>
        <w:t>在施工作业时未按要求穿戴劳保用品（荧光衣、劳保鞋、安全帽等）或使用过期的劳保用品，课以违约金500元/次。</w:t>
      </w:r>
    </w:p>
    <w:p>
      <w:pPr>
        <w:shd w:val="clear"/>
        <w:tabs>
          <w:tab w:val="left" w:pos="840"/>
        </w:tabs>
        <w:spacing w:before="0" w:after="0" w:afterAutospacing="0"/>
        <w:ind w:left="0" w:right="0" w:firstLine="420" w:firstLineChars="200"/>
        <w:rPr>
          <w:rFonts w:hint="eastAsia" w:ascii="宋体" w:hAnsi="宋体" w:eastAsia="宋体" w:cs="Times New Roman"/>
          <w:highlight w:val="none"/>
        </w:rPr>
      </w:pPr>
      <w:r>
        <w:rPr>
          <w:rFonts w:hint="eastAsia" w:ascii="宋体" w:hAnsi="宋体" w:eastAsia="宋体" w:cs="Times New Roman"/>
          <w:highlight w:val="none"/>
          <w:lang w:eastAsia="zh-CN"/>
        </w:rPr>
        <w:t>11.</w:t>
      </w:r>
      <w:r>
        <w:rPr>
          <w:rFonts w:hint="eastAsia" w:ascii="宋体" w:hAnsi="宋体" w:eastAsia="宋体" w:cs="Times New Roman"/>
          <w:highlight w:val="none"/>
        </w:rPr>
        <w:t>2.7未经许可携带危化品进入作业现场的；作业结束后危化品处置不当，课以违约金500元/件。</w:t>
      </w:r>
    </w:p>
    <w:p>
      <w:pPr>
        <w:shd w:val="clear"/>
        <w:tabs>
          <w:tab w:val="left" w:pos="840"/>
        </w:tabs>
        <w:spacing w:before="0" w:after="0" w:afterAutospacing="0"/>
        <w:ind w:left="0" w:right="0" w:firstLine="420" w:firstLineChars="200"/>
        <w:rPr>
          <w:rFonts w:hint="eastAsia" w:ascii="宋体" w:hAnsi="宋体" w:eastAsia="宋体" w:cs="Times New Roman"/>
          <w:highlight w:val="none"/>
        </w:rPr>
      </w:pPr>
      <w:r>
        <w:rPr>
          <w:rFonts w:hint="eastAsia" w:ascii="宋体" w:hAnsi="宋体" w:eastAsia="宋体" w:cs="Times New Roman"/>
          <w:highlight w:val="none"/>
          <w:lang w:eastAsia="zh-CN"/>
        </w:rPr>
        <w:t>11.</w:t>
      </w:r>
      <w:r>
        <w:rPr>
          <w:rFonts w:hint="eastAsia" w:ascii="宋体" w:hAnsi="宋体" w:eastAsia="宋体" w:cs="Times New Roman"/>
          <w:highlight w:val="none"/>
        </w:rPr>
        <w:t>2.8未经比选人同意，</w:t>
      </w:r>
      <w:r>
        <w:rPr>
          <w:rFonts w:hint="eastAsia" w:ascii="宋体" w:hAnsi="宋体" w:cs="Times New Roman"/>
          <w:highlight w:val="none"/>
          <w:lang w:eastAsia="zh-CN"/>
        </w:rPr>
        <w:t>乙方</w:t>
      </w:r>
      <w:r>
        <w:rPr>
          <w:rFonts w:hint="eastAsia" w:ascii="宋体" w:hAnsi="宋体" w:eastAsia="宋体" w:cs="Times New Roman"/>
          <w:highlight w:val="none"/>
        </w:rPr>
        <w:t>带与工作无关人员进入地铁作业区域的，课以违约金1000元/次，因此造成其他经济损失由</w:t>
      </w:r>
      <w:r>
        <w:rPr>
          <w:rFonts w:hint="eastAsia" w:ascii="宋体" w:hAnsi="宋体" w:cs="Times New Roman"/>
          <w:highlight w:val="none"/>
          <w:lang w:eastAsia="zh-CN"/>
        </w:rPr>
        <w:t>乙方</w:t>
      </w:r>
      <w:r>
        <w:rPr>
          <w:rFonts w:hint="eastAsia" w:ascii="宋体" w:hAnsi="宋体" w:eastAsia="宋体" w:cs="Times New Roman"/>
          <w:highlight w:val="none"/>
        </w:rPr>
        <w:t>负责。</w:t>
      </w:r>
    </w:p>
    <w:p>
      <w:pPr>
        <w:shd w:val="clear"/>
        <w:tabs>
          <w:tab w:val="left" w:pos="840"/>
        </w:tabs>
        <w:spacing w:before="0" w:after="0" w:afterAutospacing="0"/>
        <w:ind w:left="0" w:right="0" w:firstLine="420" w:firstLineChars="200"/>
        <w:rPr>
          <w:rFonts w:hint="eastAsia" w:ascii="宋体" w:hAnsi="宋体" w:eastAsia="宋体" w:cs="Times New Roman"/>
          <w:highlight w:val="none"/>
        </w:rPr>
      </w:pPr>
      <w:r>
        <w:rPr>
          <w:rFonts w:hint="eastAsia" w:ascii="宋体" w:hAnsi="宋体" w:eastAsia="宋体" w:cs="Times New Roman"/>
          <w:highlight w:val="none"/>
          <w:lang w:eastAsia="zh-CN"/>
        </w:rPr>
        <w:t>11.</w:t>
      </w:r>
      <w:r>
        <w:rPr>
          <w:rFonts w:hint="eastAsia" w:ascii="宋体" w:hAnsi="宋体" w:eastAsia="宋体" w:cs="Times New Roman"/>
          <w:highlight w:val="none"/>
        </w:rPr>
        <w:t>2.9</w:t>
      </w:r>
      <w:r>
        <w:rPr>
          <w:rFonts w:hint="eastAsia" w:ascii="宋体" w:hAnsi="宋体" w:cs="Times New Roman"/>
          <w:highlight w:val="none"/>
          <w:lang w:eastAsia="zh-CN"/>
        </w:rPr>
        <w:t>乙方</w:t>
      </w:r>
      <w:r>
        <w:rPr>
          <w:rFonts w:hint="eastAsia" w:ascii="宋体" w:hAnsi="宋体" w:eastAsia="宋体" w:cs="Times New Roman"/>
          <w:highlight w:val="none"/>
        </w:rPr>
        <w:t>逾期完成施工的，每逾期一天，</w:t>
      </w:r>
      <w:r>
        <w:rPr>
          <w:rFonts w:hint="eastAsia" w:ascii="宋体" w:hAnsi="宋体" w:cs="Times New Roman"/>
          <w:highlight w:val="none"/>
          <w:lang w:eastAsia="zh-CN"/>
        </w:rPr>
        <w:t>乙方</w:t>
      </w:r>
      <w:r>
        <w:rPr>
          <w:rFonts w:hint="eastAsia" w:ascii="宋体" w:hAnsi="宋体" w:eastAsia="宋体" w:cs="Times New Roman"/>
          <w:highlight w:val="none"/>
        </w:rPr>
        <w:t>向比选人支付合同价款的0.5%的违约金，逾期一个月的，</w:t>
      </w:r>
      <w:r>
        <w:rPr>
          <w:rFonts w:hint="eastAsia" w:ascii="宋体" w:hAnsi="宋体" w:cs="Times New Roman"/>
          <w:highlight w:val="none"/>
          <w:lang w:eastAsia="zh-CN"/>
        </w:rPr>
        <w:t>乙方</w:t>
      </w:r>
      <w:r>
        <w:rPr>
          <w:rFonts w:hint="eastAsia" w:ascii="宋体" w:hAnsi="宋体" w:eastAsia="宋体" w:cs="Times New Roman"/>
          <w:highlight w:val="none"/>
        </w:rPr>
        <w:t>有权解除合同。</w:t>
      </w:r>
    </w:p>
    <w:p>
      <w:pPr>
        <w:shd w:val="clear"/>
        <w:tabs>
          <w:tab w:val="left" w:pos="840"/>
          <w:tab w:val="left" w:pos="1843"/>
        </w:tabs>
        <w:spacing w:before="0" w:after="0" w:afterAutospacing="0"/>
        <w:ind w:left="422" w:right="0" w:firstLine="0"/>
        <w:outlineLvl w:val="1"/>
        <w:rPr>
          <w:rFonts w:ascii="宋体" w:hAnsi="宋体"/>
          <w:b/>
          <w:highlight w:val="none"/>
        </w:rPr>
      </w:pPr>
      <w:r>
        <w:rPr>
          <w:rFonts w:hint="eastAsia" w:ascii="宋体" w:hAnsi="宋体"/>
          <w:b/>
          <w:highlight w:val="none"/>
        </w:rPr>
        <w:t>1</w:t>
      </w:r>
      <w:r>
        <w:rPr>
          <w:rFonts w:hint="eastAsia" w:ascii="宋体" w:hAnsi="宋体"/>
          <w:b/>
          <w:highlight w:val="none"/>
          <w:lang w:val="en-US" w:eastAsia="zh-CN"/>
        </w:rPr>
        <w:t>2</w:t>
      </w:r>
      <w:r>
        <w:rPr>
          <w:rFonts w:hint="eastAsia" w:ascii="宋体" w:hAnsi="宋体"/>
          <w:b/>
          <w:highlight w:val="none"/>
        </w:rPr>
        <w:t xml:space="preserve"> 验收</w:t>
      </w:r>
    </w:p>
    <w:p>
      <w:pPr>
        <w:shd w:val="clear"/>
        <w:tabs>
          <w:tab w:val="left" w:pos="840"/>
        </w:tabs>
        <w:spacing w:before="0" w:after="0" w:afterAutospacing="0"/>
        <w:ind w:left="0" w:right="0" w:firstLine="420" w:firstLineChars="200"/>
        <w:rPr>
          <w:rFonts w:hint="eastAsia" w:ascii="宋体" w:hAnsi="宋体" w:eastAsia="宋体" w:cs="Times New Roman"/>
          <w:highlight w:val="none"/>
          <w:lang w:eastAsia="zh-CN"/>
        </w:rPr>
      </w:pPr>
      <w:bookmarkStart w:id="1331" w:name="_Toc137824309"/>
      <w:bookmarkEnd w:id="1331"/>
      <w:bookmarkStart w:id="1332" w:name="_Toc437544545"/>
      <w:bookmarkStart w:id="1333" w:name="_Toc1184"/>
      <w:r>
        <w:rPr>
          <w:rFonts w:hint="eastAsia" w:ascii="宋体" w:hAnsi="宋体" w:eastAsia="宋体" w:cs="Times New Roman"/>
          <w:highlight w:val="none"/>
          <w:lang w:eastAsia="zh-CN"/>
        </w:rPr>
        <w:t>12.1总体要求</w:t>
      </w:r>
    </w:p>
    <w:p>
      <w:pPr>
        <w:shd w:val="clear"/>
        <w:tabs>
          <w:tab w:val="left" w:pos="840"/>
        </w:tabs>
        <w:spacing w:before="0" w:after="0" w:afterAutospacing="0"/>
        <w:ind w:left="0" w:right="0" w:firstLine="420" w:firstLineChars="200"/>
        <w:rPr>
          <w:rFonts w:hint="eastAsia" w:ascii="宋体" w:hAnsi="宋体" w:eastAsia="宋体" w:cs="Times New Roman"/>
          <w:highlight w:val="none"/>
          <w:lang w:eastAsia="zh-CN"/>
        </w:rPr>
      </w:pPr>
      <w:r>
        <w:rPr>
          <w:rFonts w:hint="eastAsia" w:ascii="宋体" w:hAnsi="宋体" w:eastAsia="宋体" w:cs="Times New Roman"/>
          <w:highlight w:val="none"/>
          <w:lang w:val="en-US" w:eastAsia="zh-CN"/>
        </w:rPr>
        <w:t>12.1.1施工必须保证建筑物的结构安全和主要使用功能。当涉及主体和承重结构改动或增加荷载时，必须由原结构设计单位或具备相应资质的设计单位核查有关原始资料，对既有建筑物结构的安全性进行核验、确认。</w:t>
      </w:r>
    </w:p>
    <w:p>
      <w:pPr>
        <w:shd w:val="clear"/>
        <w:tabs>
          <w:tab w:val="left" w:pos="840"/>
        </w:tabs>
        <w:spacing w:before="0" w:after="0" w:afterAutospacing="0"/>
        <w:ind w:left="0" w:right="0" w:firstLine="420" w:firstLineChars="200"/>
        <w:rPr>
          <w:rFonts w:hint="eastAsia" w:ascii="宋体" w:hAnsi="宋体" w:eastAsia="宋体" w:cs="Times New Roman"/>
          <w:highlight w:val="none"/>
          <w:lang w:eastAsia="zh-CN"/>
        </w:rPr>
      </w:pPr>
      <w:r>
        <w:rPr>
          <w:rFonts w:hint="eastAsia" w:ascii="宋体" w:hAnsi="宋体" w:eastAsia="宋体" w:cs="Times New Roman"/>
          <w:highlight w:val="none"/>
          <w:lang w:val="en-US" w:eastAsia="zh-CN"/>
        </w:rPr>
        <w:t>12.1.2养护维修验收应在</w:t>
      </w:r>
      <w:r>
        <w:rPr>
          <w:rFonts w:hint="eastAsia" w:ascii="宋体" w:hAnsi="宋体" w:cs="Times New Roman"/>
          <w:highlight w:val="none"/>
          <w:lang w:val="en-US" w:eastAsia="zh-CN"/>
        </w:rPr>
        <w:t>乙方</w:t>
      </w:r>
      <w:r>
        <w:rPr>
          <w:rFonts w:hint="eastAsia" w:ascii="宋体" w:hAnsi="宋体" w:eastAsia="宋体" w:cs="Times New Roman"/>
          <w:highlight w:val="none"/>
          <w:lang w:val="en-US" w:eastAsia="zh-CN"/>
        </w:rPr>
        <w:t>自检合格的基础上进行。</w:t>
      </w:r>
    </w:p>
    <w:p>
      <w:pPr>
        <w:shd w:val="clear"/>
        <w:tabs>
          <w:tab w:val="left" w:pos="840"/>
        </w:tabs>
        <w:spacing w:before="0" w:after="0" w:afterAutospacing="0"/>
        <w:ind w:left="0" w:right="0" w:firstLine="420" w:firstLineChars="200"/>
        <w:rPr>
          <w:rFonts w:hint="eastAsia" w:ascii="宋体" w:hAnsi="宋体" w:eastAsia="宋体" w:cs="Times New Roman"/>
          <w:highlight w:val="none"/>
          <w:lang w:eastAsia="zh-CN"/>
        </w:rPr>
      </w:pPr>
      <w:r>
        <w:rPr>
          <w:rFonts w:hint="eastAsia" w:ascii="宋体" w:hAnsi="宋体" w:eastAsia="宋体" w:cs="Times New Roman"/>
          <w:highlight w:val="none"/>
          <w:lang w:val="en-US" w:eastAsia="zh-CN"/>
        </w:rPr>
        <w:t>12.1.3测试完毕需恢复现场设备。</w:t>
      </w:r>
    </w:p>
    <w:p>
      <w:pPr>
        <w:shd w:val="clear"/>
        <w:tabs>
          <w:tab w:val="left" w:pos="840"/>
        </w:tabs>
        <w:spacing w:before="0" w:after="0" w:afterAutospacing="0"/>
        <w:ind w:left="0" w:right="0" w:firstLine="420" w:firstLineChars="200"/>
        <w:rPr>
          <w:rFonts w:hint="default" w:ascii="宋体" w:hAnsi="宋体" w:eastAsia="宋体" w:cs="Times New Roman"/>
          <w:highlight w:val="none"/>
          <w:lang w:eastAsia="zh-CN"/>
        </w:rPr>
      </w:pPr>
      <w:r>
        <w:rPr>
          <w:rFonts w:hint="eastAsia" w:ascii="宋体" w:hAnsi="宋体" w:eastAsia="宋体" w:cs="Times New Roman"/>
          <w:highlight w:val="none"/>
          <w:lang w:eastAsia="zh-CN"/>
        </w:rPr>
        <w:t>12.1.4</w:t>
      </w:r>
      <w:r>
        <w:rPr>
          <w:rFonts w:hint="eastAsia" w:ascii="宋体" w:hAnsi="宋体" w:cs="Times New Roman"/>
          <w:highlight w:val="none"/>
          <w:lang w:eastAsia="zh-CN"/>
        </w:rPr>
        <w:t>乙方</w:t>
      </w:r>
      <w:r>
        <w:rPr>
          <w:rFonts w:hint="eastAsia" w:ascii="宋体" w:hAnsi="宋体" w:eastAsia="宋体" w:cs="Times New Roman"/>
          <w:highlight w:val="none"/>
          <w:lang w:eastAsia="zh-CN"/>
        </w:rPr>
        <w:t>需按照比选人验收表格要求（详见附件2-9）配合完成验收工作。</w:t>
      </w:r>
    </w:p>
    <w:p>
      <w:pPr>
        <w:shd w:val="clear"/>
        <w:tabs>
          <w:tab w:val="left" w:pos="840"/>
        </w:tabs>
        <w:spacing w:before="0" w:after="0" w:afterAutospacing="0"/>
        <w:ind w:left="0" w:right="0" w:firstLine="420" w:firstLineChars="200"/>
        <w:rPr>
          <w:rFonts w:hint="eastAsia" w:ascii="宋体" w:hAnsi="宋体" w:eastAsia="宋体" w:cs="Times New Roman"/>
          <w:highlight w:val="none"/>
          <w:lang w:eastAsia="zh-CN"/>
        </w:rPr>
      </w:pPr>
      <w:bookmarkStart w:id="1334" w:name="_Toc137824310"/>
      <w:r>
        <w:rPr>
          <w:rFonts w:hint="eastAsia" w:ascii="宋体" w:hAnsi="宋体" w:eastAsia="宋体" w:cs="Times New Roman"/>
          <w:highlight w:val="none"/>
          <w:lang w:eastAsia="zh-CN"/>
        </w:rPr>
        <w:t>12.2项目验收要求</w:t>
      </w:r>
      <w:bookmarkEnd w:id="1334"/>
    </w:p>
    <w:p>
      <w:pPr>
        <w:shd w:val="clear"/>
        <w:tabs>
          <w:tab w:val="left" w:pos="840"/>
        </w:tabs>
        <w:spacing w:before="0" w:after="0" w:afterAutospacing="0"/>
        <w:ind w:left="0" w:right="0" w:firstLine="420" w:firstLineChars="200"/>
        <w:rPr>
          <w:rFonts w:hint="eastAsia" w:ascii="宋体" w:hAnsi="宋体" w:eastAsia="宋体" w:cs="Times New Roman"/>
          <w:highlight w:val="none"/>
          <w:lang w:eastAsia="zh-CN"/>
        </w:rPr>
      </w:pPr>
      <w:r>
        <w:rPr>
          <w:rFonts w:hint="eastAsia" w:ascii="宋体" w:hAnsi="宋体" w:eastAsia="宋体" w:cs="Times New Roman"/>
          <w:highlight w:val="none"/>
          <w:lang w:val="en-US" w:eastAsia="zh-CN"/>
        </w:rPr>
        <w:t>12.2.1依据</w:t>
      </w:r>
      <w:r>
        <w:rPr>
          <w:rFonts w:hint="default" w:ascii="宋体" w:hAnsi="宋体" w:eastAsia="宋体" w:cs="Times New Roman"/>
          <w:highlight w:val="none"/>
          <w:lang w:val="en-US" w:eastAsia="zh-CN"/>
        </w:rPr>
        <w:fldChar w:fldCharType="begin"/>
      </w:r>
      <w:r>
        <w:rPr>
          <w:rFonts w:hint="default" w:ascii="宋体" w:hAnsi="宋体" w:eastAsia="宋体" w:cs="Times New Roman"/>
          <w:highlight w:val="none"/>
          <w:lang w:val="en-US" w:eastAsia="zh-CN"/>
        </w:rPr>
        <w:instrText xml:space="preserve"> HYPERLINK "https://gf.1190119.com/list-968.htm" </w:instrText>
      </w:r>
      <w:r>
        <w:rPr>
          <w:rFonts w:hint="default" w:ascii="宋体" w:hAnsi="宋体" w:eastAsia="宋体" w:cs="Times New Roman"/>
          <w:highlight w:val="none"/>
          <w:lang w:val="en-US" w:eastAsia="zh-CN"/>
        </w:rPr>
        <w:fldChar w:fldCharType="separate"/>
      </w:r>
      <w:r>
        <w:rPr>
          <w:rFonts w:hint="eastAsia" w:ascii="宋体" w:hAnsi="宋体" w:eastAsia="宋体" w:cs="Times New Roman"/>
          <w:highlight w:val="none"/>
          <w:lang w:eastAsia="zh-CN"/>
        </w:rPr>
        <w:t>自动喷水灭火系统施工及验收规范 GB50261-2017</w:t>
      </w:r>
      <w:r>
        <w:rPr>
          <w:rFonts w:hint="default" w:ascii="宋体" w:hAnsi="宋体" w:eastAsia="宋体" w:cs="Times New Roman"/>
          <w:highlight w:val="none"/>
          <w:lang w:val="en-US" w:eastAsia="zh-CN"/>
        </w:rPr>
        <w:fldChar w:fldCharType="end"/>
      </w:r>
      <w:r>
        <w:rPr>
          <w:rFonts w:hint="eastAsia" w:ascii="宋体" w:hAnsi="宋体" w:eastAsia="宋体" w:cs="Times New Roman"/>
          <w:highlight w:val="none"/>
          <w:lang w:val="en-US" w:eastAsia="zh-CN"/>
        </w:rPr>
        <w:t>，自动喷水灭火系统安装工程验收时应提供下列文件和记录：</w:t>
      </w:r>
    </w:p>
    <w:p>
      <w:pPr>
        <w:shd w:val="clear"/>
        <w:tabs>
          <w:tab w:val="left" w:pos="840"/>
        </w:tabs>
        <w:spacing w:before="0" w:after="0" w:afterAutospacing="0"/>
        <w:ind w:left="0" w:right="0" w:firstLine="420" w:firstLineChars="200"/>
        <w:rPr>
          <w:rFonts w:hint="eastAsia" w:ascii="宋体" w:hAnsi="宋体" w:eastAsia="宋体" w:cs="Times New Roman"/>
          <w:highlight w:val="none"/>
          <w:lang w:eastAsia="zh-CN"/>
        </w:rPr>
      </w:pPr>
      <w:r>
        <w:rPr>
          <w:rFonts w:hint="eastAsia" w:ascii="宋体" w:hAnsi="宋体" w:eastAsia="宋体" w:cs="Times New Roman"/>
          <w:highlight w:val="none"/>
          <w:lang w:val="en-US" w:eastAsia="zh-CN"/>
        </w:rPr>
        <w:t>a.材料的产品合格证书、性能检验报告、和进场验收记录；</w:t>
      </w:r>
    </w:p>
    <w:p>
      <w:pPr>
        <w:shd w:val="clear"/>
        <w:tabs>
          <w:tab w:val="left" w:pos="840"/>
        </w:tabs>
        <w:spacing w:before="0" w:after="0" w:afterAutospacing="0"/>
        <w:ind w:left="0" w:right="0" w:firstLine="420" w:firstLineChars="200"/>
        <w:rPr>
          <w:rFonts w:hint="eastAsia" w:ascii="宋体" w:hAnsi="宋体" w:eastAsia="宋体" w:cs="Times New Roman"/>
          <w:highlight w:val="none"/>
          <w:lang w:eastAsia="zh-CN"/>
        </w:rPr>
      </w:pPr>
      <w:r>
        <w:rPr>
          <w:rFonts w:hint="eastAsia" w:ascii="宋体" w:hAnsi="宋体" w:eastAsia="宋体" w:cs="Times New Roman"/>
          <w:highlight w:val="none"/>
          <w:lang w:val="en-US" w:eastAsia="zh-CN"/>
        </w:rPr>
        <w:t>b.施工记录（管网试压报告、施工过程图片等）。</w:t>
      </w:r>
    </w:p>
    <w:p>
      <w:pPr>
        <w:shd w:val="clear"/>
        <w:tabs>
          <w:tab w:val="left" w:pos="840"/>
        </w:tabs>
        <w:spacing w:before="0" w:after="0" w:afterAutospacing="0"/>
        <w:ind w:left="0" w:right="0" w:firstLine="420" w:firstLineChars="200"/>
        <w:rPr>
          <w:rFonts w:hint="eastAsia" w:ascii="宋体" w:hAnsi="宋体" w:eastAsia="宋体" w:cs="Times New Roman"/>
          <w:highlight w:val="none"/>
          <w:lang w:eastAsia="zh-CN"/>
        </w:rPr>
      </w:pPr>
      <w:r>
        <w:rPr>
          <w:rFonts w:hint="eastAsia" w:ascii="宋体" w:hAnsi="宋体" w:eastAsia="宋体" w:cs="Times New Roman"/>
          <w:highlight w:val="none"/>
          <w:lang w:val="en-US" w:eastAsia="zh-CN"/>
        </w:rPr>
        <w:t>12.2.2管网采用钢管时，其材质符合现行国家标准《输送流体用无缝钢管》GB/T 8163和《低压流体输送用焊接钢管》GB/T 3091 的要求。</w:t>
      </w:r>
    </w:p>
    <w:p>
      <w:pPr>
        <w:shd w:val="clear"/>
        <w:tabs>
          <w:tab w:val="left" w:pos="840"/>
        </w:tabs>
        <w:spacing w:before="0" w:after="0" w:afterAutospacing="0"/>
        <w:ind w:left="0" w:right="0" w:firstLine="420" w:firstLineChars="200"/>
        <w:rPr>
          <w:rFonts w:hint="eastAsia" w:ascii="宋体" w:hAnsi="宋体" w:eastAsia="宋体" w:cs="Times New Roman"/>
          <w:highlight w:val="none"/>
          <w:lang w:eastAsia="zh-CN"/>
        </w:rPr>
      </w:pPr>
      <w:r>
        <w:rPr>
          <w:rFonts w:hint="eastAsia" w:ascii="宋体" w:hAnsi="宋体" w:eastAsia="宋体" w:cs="Times New Roman"/>
          <w:highlight w:val="none"/>
          <w:lang w:val="en-US" w:eastAsia="zh-CN"/>
        </w:rPr>
        <w:t>检查数量：全数检查。</w:t>
      </w:r>
    </w:p>
    <w:p>
      <w:pPr>
        <w:shd w:val="clear"/>
        <w:tabs>
          <w:tab w:val="left" w:pos="840"/>
        </w:tabs>
        <w:spacing w:before="0" w:after="0" w:afterAutospacing="0"/>
        <w:ind w:left="0" w:right="0" w:firstLine="420" w:firstLineChars="200"/>
        <w:rPr>
          <w:rFonts w:hint="eastAsia" w:ascii="宋体" w:hAnsi="宋体" w:eastAsia="宋体" w:cs="Times New Roman"/>
          <w:highlight w:val="none"/>
          <w:lang w:eastAsia="zh-CN"/>
        </w:rPr>
      </w:pPr>
      <w:r>
        <w:rPr>
          <w:rFonts w:hint="eastAsia" w:ascii="宋体" w:hAnsi="宋体" w:eastAsia="宋体" w:cs="Times New Roman"/>
          <w:highlight w:val="none"/>
          <w:lang w:val="en-US" w:eastAsia="zh-CN"/>
        </w:rPr>
        <w:t>检查方法：查验材料质量合格证明文件、性能检测报告，尺量、观察检查。</w:t>
      </w:r>
    </w:p>
    <w:p>
      <w:pPr>
        <w:shd w:val="clear"/>
        <w:tabs>
          <w:tab w:val="left" w:pos="840"/>
        </w:tabs>
        <w:spacing w:before="0" w:after="0" w:afterAutospacing="0"/>
        <w:ind w:left="0" w:right="0" w:firstLine="420" w:firstLineChars="200"/>
        <w:rPr>
          <w:rFonts w:hint="eastAsia" w:ascii="宋体" w:hAnsi="宋体" w:eastAsia="宋体" w:cs="Times New Roman"/>
          <w:highlight w:val="none"/>
          <w:lang w:eastAsia="zh-CN"/>
        </w:rPr>
      </w:pPr>
      <w:r>
        <w:rPr>
          <w:rFonts w:hint="eastAsia" w:ascii="宋体" w:hAnsi="宋体" w:eastAsia="宋体" w:cs="Times New Roman"/>
          <w:highlight w:val="none"/>
          <w:lang w:val="en-US" w:eastAsia="zh-CN"/>
        </w:rPr>
        <w:t>12.2.3管道连接后不得减小过水横断面面积。热镀锌钢管、涂覆钢管安装采用螺纹、沟槽式管件或法兰连接。</w:t>
      </w:r>
    </w:p>
    <w:p>
      <w:pPr>
        <w:shd w:val="clear"/>
        <w:tabs>
          <w:tab w:val="left" w:pos="840"/>
        </w:tabs>
        <w:spacing w:before="0" w:after="0" w:afterAutospacing="0"/>
        <w:ind w:left="0" w:right="0" w:firstLine="420" w:firstLineChars="200"/>
        <w:rPr>
          <w:rFonts w:hint="eastAsia" w:ascii="宋体" w:hAnsi="宋体" w:eastAsia="宋体" w:cs="Times New Roman"/>
          <w:highlight w:val="none"/>
          <w:lang w:eastAsia="zh-CN"/>
        </w:rPr>
      </w:pPr>
      <w:r>
        <w:rPr>
          <w:rFonts w:hint="eastAsia" w:ascii="宋体" w:hAnsi="宋体" w:eastAsia="宋体" w:cs="Times New Roman"/>
          <w:highlight w:val="none"/>
          <w:lang w:val="en-US" w:eastAsia="zh-CN"/>
        </w:rPr>
        <w:t>12.2.4沟槽式管件连接符合下列规定：</w:t>
      </w:r>
    </w:p>
    <w:p>
      <w:pPr>
        <w:shd w:val="clear"/>
        <w:tabs>
          <w:tab w:val="left" w:pos="840"/>
        </w:tabs>
        <w:spacing w:before="0" w:after="0" w:afterAutospacing="0"/>
        <w:ind w:left="0" w:right="0" w:firstLine="420" w:firstLineChars="200"/>
        <w:rPr>
          <w:rFonts w:hint="eastAsia" w:ascii="宋体" w:hAnsi="宋体" w:eastAsia="宋体" w:cs="Times New Roman"/>
          <w:highlight w:val="none"/>
          <w:lang w:eastAsia="zh-CN"/>
        </w:rPr>
      </w:pPr>
      <w:r>
        <w:rPr>
          <w:rFonts w:hint="eastAsia" w:ascii="宋体" w:hAnsi="宋体" w:eastAsia="宋体" w:cs="Times New Roman"/>
          <w:highlight w:val="none"/>
          <w:lang w:val="en-US" w:eastAsia="zh-CN"/>
        </w:rPr>
        <w:t>12.2.4.1 选用的沟槽式管件符合现行国家标准《自动喷水灭火系统  第11部分：沟槽式管接件》GB 5135.11 的要求，其材质为球墨铸铁，并符合现行国家标准《球墨铸铁件》GB/T 1348 的要求；橡胶密封圈的材质为EPDM（三元乙丙橡胶），并符合《金属管道系统快速管接头的性能要求和试验方法》ISO 6182-12 的要求。</w:t>
      </w:r>
    </w:p>
    <w:p>
      <w:pPr>
        <w:shd w:val="clear"/>
        <w:tabs>
          <w:tab w:val="left" w:pos="840"/>
        </w:tabs>
        <w:spacing w:before="0" w:after="0" w:afterAutospacing="0"/>
        <w:ind w:left="0" w:right="0" w:firstLine="420" w:firstLineChars="200"/>
        <w:rPr>
          <w:rFonts w:hint="eastAsia" w:ascii="宋体" w:hAnsi="宋体" w:eastAsia="宋体" w:cs="Times New Roman"/>
          <w:highlight w:val="none"/>
          <w:lang w:eastAsia="zh-CN"/>
        </w:rPr>
      </w:pPr>
      <w:r>
        <w:rPr>
          <w:rFonts w:hint="eastAsia" w:ascii="宋体" w:hAnsi="宋体" w:eastAsia="宋体" w:cs="Times New Roman"/>
          <w:highlight w:val="none"/>
          <w:lang w:val="en-US" w:eastAsia="zh-CN"/>
        </w:rPr>
        <w:t>12.2.4.2沟槽式管件连接时，其管道连接沟槽和开孔用专用滚槽机和开孔机加工，并做防腐处理；加工质量应符合技术要求；沟槽、孔洞处不得有毛刺、破损性裂纹和脏物。</w:t>
      </w:r>
    </w:p>
    <w:p>
      <w:pPr>
        <w:shd w:val="clear"/>
        <w:tabs>
          <w:tab w:val="left" w:pos="840"/>
        </w:tabs>
        <w:spacing w:before="0" w:after="0" w:afterAutospacing="0"/>
        <w:ind w:left="0" w:right="0" w:firstLine="420" w:firstLineChars="200"/>
        <w:rPr>
          <w:rFonts w:hint="eastAsia" w:ascii="宋体" w:hAnsi="宋体" w:eastAsia="宋体" w:cs="Times New Roman"/>
          <w:highlight w:val="none"/>
          <w:lang w:eastAsia="zh-CN"/>
        </w:rPr>
      </w:pPr>
      <w:r>
        <w:rPr>
          <w:rFonts w:hint="eastAsia" w:ascii="宋体" w:hAnsi="宋体" w:eastAsia="宋体" w:cs="Times New Roman"/>
          <w:highlight w:val="none"/>
          <w:lang w:val="en-US" w:eastAsia="zh-CN"/>
        </w:rPr>
        <w:t>检查数量：抽查20%，且不得少于5处。</w:t>
      </w:r>
    </w:p>
    <w:p>
      <w:pPr>
        <w:shd w:val="clear"/>
        <w:tabs>
          <w:tab w:val="left" w:pos="840"/>
        </w:tabs>
        <w:spacing w:before="0" w:after="0" w:afterAutospacing="0"/>
        <w:ind w:left="0" w:right="0" w:firstLine="420" w:firstLineChars="200"/>
        <w:rPr>
          <w:rFonts w:hint="eastAsia" w:ascii="宋体" w:hAnsi="宋体" w:eastAsia="宋体" w:cs="Times New Roman"/>
          <w:highlight w:val="none"/>
          <w:lang w:eastAsia="zh-CN"/>
        </w:rPr>
      </w:pPr>
      <w:r>
        <w:rPr>
          <w:rFonts w:hint="eastAsia" w:ascii="宋体" w:hAnsi="宋体" w:eastAsia="宋体" w:cs="Times New Roman"/>
          <w:highlight w:val="none"/>
          <w:lang w:val="en-US" w:eastAsia="zh-CN"/>
        </w:rPr>
        <w:t>检查方法：观察和尺量检查。</w:t>
      </w:r>
    </w:p>
    <w:p>
      <w:pPr>
        <w:shd w:val="clear"/>
        <w:tabs>
          <w:tab w:val="left" w:pos="840"/>
        </w:tabs>
        <w:spacing w:before="0" w:after="0" w:afterAutospacing="0"/>
        <w:ind w:left="0" w:right="0" w:firstLine="420" w:firstLineChars="200"/>
        <w:rPr>
          <w:rFonts w:hint="eastAsia" w:ascii="宋体" w:hAnsi="宋体" w:eastAsia="宋体" w:cs="Times New Roman"/>
          <w:highlight w:val="none"/>
          <w:lang w:eastAsia="zh-CN"/>
        </w:rPr>
      </w:pPr>
      <w:r>
        <w:rPr>
          <w:rFonts w:hint="eastAsia" w:ascii="宋体" w:hAnsi="宋体" w:eastAsia="宋体" w:cs="Times New Roman"/>
          <w:highlight w:val="none"/>
          <w:lang w:val="en-US" w:eastAsia="zh-CN"/>
        </w:rPr>
        <w:t>12.2.4.3 橡胶密封圈无破损和变形。</w:t>
      </w:r>
    </w:p>
    <w:p>
      <w:pPr>
        <w:shd w:val="clear"/>
        <w:tabs>
          <w:tab w:val="left" w:pos="840"/>
        </w:tabs>
        <w:spacing w:before="0" w:after="0" w:afterAutospacing="0"/>
        <w:ind w:left="0" w:right="0" w:firstLine="420" w:firstLineChars="200"/>
        <w:rPr>
          <w:rFonts w:hint="eastAsia" w:ascii="宋体" w:hAnsi="宋体" w:eastAsia="宋体" w:cs="Times New Roman"/>
          <w:highlight w:val="none"/>
          <w:lang w:eastAsia="zh-CN"/>
        </w:rPr>
      </w:pPr>
      <w:r>
        <w:rPr>
          <w:rFonts w:hint="eastAsia" w:ascii="宋体" w:hAnsi="宋体" w:eastAsia="宋体" w:cs="Times New Roman"/>
          <w:highlight w:val="none"/>
          <w:lang w:val="en-US" w:eastAsia="zh-CN"/>
        </w:rPr>
        <w:t>检查数量：抽查20%，且不得少于5处。</w:t>
      </w:r>
    </w:p>
    <w:p>
      <w:pPr>
        <w:shd w:val="clear"/>
        <w:tabs>
          <w:tab w:val="left" w:pos="840"/>
        </w:tabs>
        <w:spacing w:before="0" w:after="0" w:afterAutospacing="0"/>
        <w:ind w:left="0" w:right="0" w:firstLine="420" w:firstLineChars="200"/>
        <w:rPr>
          <w:rFonts w:hint="eastAsia" w:ascii="宋体" w:hAnsi="宋体" w:eastAsia="宋体" w:cs="Times New Roman"/>
          <w:highlight w:val="none"/>
          <w:lang w:eastAsia="zh-CN"/>
        </w:rPr>
      </w:pPr>
      <w:r>
        <w:rPr>
          <w:rFonts w:hint="eastAsia" w:ascii="宋体" w:hAnsi="宋体" w:eastAsia="宋体" w:cs="Times New Roman"/>
          <w:highlight w:val="none"/>
          <w:lang w:val="en-US" w:eastAsia="zh-CN"/>
        </w:rPr>
        <w:t>检查方法：观察检查。</w:t>
      </w:r>
    </w:p>
    <w:p>
      <w:pPr>
        <w:shd w:val="clear"/>
        <w:tabs>
          <w:tab w:val="left" w:pos="840"/>
        </w:tabs>
        <w:spacing w:before="0" w:after="0" w:afterAutospacing="0"/>
        <w:ind w:left="0" w:right="0" w:firstLine="420" w:firstLineChars="200"/>
        <w:rPr>
          <w:rFonts w:hint="eastAsia" w:ascii="宋体" w:hAnsi="宋体" w:eastAsia="宋体" w:cs="Times New Roman"/>
          <w:highlight w:val="none"/>
          <w:lang w:eastAsia="zh-CN"/>
        </w:rPr>
      </w:pPr>
      <w:r>
        <w:rPr>
          <w:rFonts w:hint="eastAsia" w:ascii="宋体" w:hAnsi="宋体" w:eastAsia="宋体" w:cs="Times New Roman"/>
          <w:highlight w:val="none"/>
          <w:lang w:val="en-US" w:eastAsia="zh-CN"/>
        </w:rPr>
        <w:t>12.2.4.4 沟槽式管件的凸边卡进沟槽且安装紧固，橡胶圈无起皱。</w:t>
      </w:r>
    </w:p>
    <w:p>
      <w:pPr>
        <w:shd w:val="clear"/>
        <w:tabs>
          <w:tab w:val="left" w:pos="840"/>
        </w:tabs>
        <w:spacing w:before="0" w:after="0" w:afterAutospacing="0"/>
        <w:ind w:left="0" w:right="0" w:firstLine="420" w:firstLineChars="200"/>
        <w:rPr>
          <w:rFonts w:hint="eastAsia" w:ascii="宋体" w:hAnsi="宋体" w:eastAsia="宋体" w:cs="Times New Roman"/>
          <w:highlight w:val="none"/>
          <w:lang w:eastAsia="zh-CN"/>
        </w:rPr>
      </w:pPr>
      <w:r>
        <w:rPr>
          <w:rFonts w:hint="eastAsia" w:ascii="宋体" w:hAnsi="宋体" w:eastAsia="宋体" w:cs="Times New Roman"/>
          <w:highlight w:val="none"/>
          <w:lang w:val="en-US" w:eastAsia="zh-CN"/>
        </w:rPr>
        <w:t>检查数量：抽查20%，且不得少于5处。</w:t>
      </w:r>
    </w:p>
    <w:p>
      <w:pPr>
        <w:shd w:val="clear"/>
        <w:tabs>
          <w:tab w:val="left" w:pos="840"/>
        </w:tabs>
        <w:spacing w:before="0" w:after="0" w:afterAutospacing="0"/>
        <w:ind w:left="0" w:right="0" w:firstLine="420" w:firstLineChars="200"/>
        <w:rPr>
          <w:rFonts w:hint="eastAsia" w:ascii="宋体" w:hAnsi="宋体" w:eastAsia="宋体" w:cs="Times New Roman"/>
          <w:highlight w:val="none"/>
          <w:lang w:eastAsia="zh-CN"/>
        </w:rPr>
      </w:pPr>
      <w:r>
        <w:rPr>
          <w:rFonts w:hint="eastAsia" w:ascii="宋体" w:hAnsi="宋体" w:eastAsia="宋体" w:cs="Times New Roman"/>
          <w:highlight w:val="none"/>
          <w:lang w:val="en-US" w:eastAsia="zh-CN"/>
        </w:rPr>
        <w:t>检查方法：观察检查。</w:t>
      </w:r>
    </w:p>
    <w:p>
      <w:pPr>
        <w:shd w:val="clear"/>
        <w:tabs>
          <w:tab w:val="left" w:pos="840"/>
        </w:tabs>
        <w:spacing w:before="0" w:after="0" w:afterAutospacing="0"/>
        <w:ind w:left="0" w:right="0" w:firstLine="420" w:firstLineChars="200"/>
        <w:rPr>
          <w:rFonts w:hint="eastAsia" w:ascii="宋体" w:hAnsi="宋体" w:eastAsia="宋体" w:cs="Times New Roman"/>
          <w:highlight w:val="none"/>
          <w:lang w:eastAsia="zh-CN"/>
        </w:rPr>
      </w:pPr>
      <w:r>
        <w:rPr>
          <w:rFonts w:hint="eastAsia" w:ascii="宋体" w:hAnsi="宋体" w:eastAsia="宋体" w:cs="Times New Roman"/>
          <w:highlight w:val="none"/>
          <w:lang w:val="en-US" w:eastAsia="zh-CN"/>
        </w:rPr>
        <w:t>12.2.5机械三通、机械四通连接时支管的口径应满足下表规定。</w:t>
      </w:r>
    </w:p>
    <w:p>
      <w:pPr>
        <w:shd w:val="clear"/>
        <w:tabs>
          <w:tab w:val="left" w:pos="840"/>
        </w:tabs>
        <w:spacing w:before="0" w:after="0" w:afterAutospacing="0"/>
        <w:ind w:left="0" w:right="0" w:firstLine="420" w:firstLineChars="200"/>
        <w:jc w:val="left"/>
        <w:rPr>
          <w:rFonts w:hint="eastAsia" w:ascii="宋体" w:hAnsi="宋体" w:eastAsia="宋体" w:cs="Times New Roman"/>
          <w:highlight w:val="none"/>
          <w:lang w:eastAsia="zh-CN"/>
        </w:rPr>
      </w:pPr>
      <w:r>
        <w:rPr>
          <w:rFonts w:hint="default" w:ascii="宋体" w:hAnsi="宋体" w:eastAsia="宋体" w:cs="Times New Roman"/>
          <w:highlight w:val="none"/>
          <w:lang w:val="en-US" w:eastAsia="zh-CN"/>
        </w:rPr>
        <w:drawing>
          <wp:inline distT="0" distB="0" distL="114300" distR="114300">
            <wp:extent cx="5290185" cy="1200150"/>
            <wp:effectExtent l="0" t="0" r="5715" b="635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20"/>
                    <a:stretch>
                      <a:fillRect/>
                    </a:stretch>
                  </pic:blipFill>
                  <pic:spPr>
                    <a:xfrm>
                      <a:off x="0" y="0"/>
                      <a:ext cx="5290185" cy="1200150"/>
                    </a:xfrm>
                    <a:prstGeom prst="rect">
                      <a:avLst/>
                    </a:prstGeom>
                    <a:noFill/>
                    <a:ln w="9525">
                      <a:noFill/>
                    </a:ln>
                  </pic:spPr>
                </pic:pic>
              </a:graphicData>
            </a:graphic>
          </wp:inline>
        </w:drawing>
      </w:r>
    </w:p>
    <w:p>
      <w:pPr>
        <w:shd w:val="clear"/>
        <w:tabs>
          <w:tab w:val="left" w:pos="840"/>
        </w:tabs>
        <w:spacing w:before="0" w:after="0" w:afterAutospacing="0"/>
        <w:ind w:left="0" w:right="0" w:firstLine="420" w:firstLineChars="200"/>
        <w:jc w:val="left"/>
        <w:rPr>
          <w:rFonts w:hint="eastAsia" w:ascii="宋体" w:hAnsi="宋体" w:eastAsia="宋体" w:cs="Times New Roman"/>
          <w:highlight w:val="none"/>
          <w:lang w:eastAsia="zh-CN"/>
        </w:rPr>
      </w:pPr>
      <w:r>
        <w:rPr>
          <w:rFonts w:hint="eastAsia" w:ascii="宋体" w:hAnsi="宋体" w:eastAsia="宋体" w:cs="Times New Roman"/>
          <w:highlight w:val="none"/>
          <w:lang w:val="en-US" w:eastAsia="zh-CN"/>
        </w:rPr>
        <w:t>上表采用支管接头（机械三通、机械四通）时，支管的最大允许管径（mm）</w:t>
      </w:r>
    </w:p>
    <w:p>
      <w:pPr>
        <w:shd w:val="clear"/>
        <w:tabs>
          <w:tab w:val="left" w:pos="840"/>
        </w:tabs>
        <w:spacing w:before="0" w:after="0" w:afterAutospacing="0"/>
        <w:ind w:left="0" w:right="0" w:firstLine="420" w:firstLineChars="200"/>
        <w:rPr>
          <w:rFonts w:hint="eastAsia" w:ascii="宋体" w:hAnsi="宋体" w:eastAsia="宋体" w:cs="Times New Roman"/>
          <w:highlight w:val="none"/>
          <w:lang w:eastAsia="zh-CN"/>
        </w:rPr>
      </w:pPr>
      <w:r>
        <w:rPr>
          <w:rFonts w:hint="eastAsia" w:ascii="宋体" w:hAnsi="宋体" w:eastAsia="宋体" w:cs="Times New Roman"/>
          <w:highlight w:val="none"/>
          <w:lang w:val="en-US" w:eastAsia="zh-CN"/>
        </w:rPr>
        <w:t>检查数量：抽查20%，且不得少于5处。</w:t>
      </w:r>
    </w:p>
    <w:p>
      <w:pPr>
        <w:shd w:val="clear"/>
        <w:tabs>
          <w:tab w:val="left" w:pos="840"/>
        </w:tabs>
        <w:spacing w:before="0" w:after="0" w:afterAutospacing="0"/>
        <w:ind w:left="0" w:right="0" w:firstLine="420" w:firstLineChars="200"/>
        <w:rPr>
          <w:rFonts w:hint="eastAsia" w:ascii="宋体" w:hAnsi="宋体" w:eastAsia="宋体" w:cs="Times New Roman"/>
          <w:highlight w:val="none"/>
          <w:lang w:eastAsia="zh-CN"/>
        </w:rPr>
      </w:pPr>
      <w:r>
        <w:rPr>
          <w:rFonts w:hint="eastAsia" w:ascii="宋体" w:hAnsi="宋体" w:eastAsia="宋体" w:cs="Times New Roman"/>
          <w:highlight w:val="none"/>
          <w:lang w:val="en-US" w:eastAsia="zh-CN"/>
        </w:rPr>
        <w:t>检查方法：观察检查和尺量检查。</w:t>
      </w:r>
    </w:p>
    <w:p>
      <w:pPr>
        <w:shd w:val="clear"/>
        <w:tabs>
          <w:tab w:val="left" w:pos="840"/>
        </w:tabs>
        <w:spacing w:before="0" w:after="0" w:afterAutospacing="0"/>
        <w:ind w:left="0" w:right="0" w:firstLine="420" w:firstLineChars="200"/>
        <w:rPr>
          <w:rFonts w:hint="eastAsia" w:ascii="宋体" w:hAnsi="宋体" w:eastAsia="宋体" w:cs="Times New Roman"/>
          <w:highlight w:val="none"/>
          <w:lang w:eastAsia="zh-CN"/>
        </w:rPr>
      </w:pPr>
      <w:r>
        <w:rPr>
          <w:rFonts w:hint="eastAsia" w:ascii="宋体" w:hAnsi="宋体" w:eastAsia="宋体" w:cs="Times New Roman"/>
          <w:highlight w:val="none"/>
          <w:lang w:val="en-US" w:eastAsia="zh-CN"/>
        </w:rPr>
        <w:t>12.2.6配水干管（立管）与配水管（水平管）连接，应采用沟槽式管件，不应采用机械三通。</w:t>
      </w:r>
    </w:p>
    <w:p>
      <w:pPr>
        <w:shd w:val="clear"/>
        <w:tabs>
          <w:tab w:val="left" w:pos="840"/>
        </w:tabs>
        <w:spacing w:before="0" w:after="0" w:afterAutospacing="0"/>
        <w:ind w:left="0" w:right="0" w:firstLine="420" w:firstLineChars="200"/>
        <w:rPr>
          <w:rFonts w:hint="eastAsia" w:ascii="宋体" w:hAnsi="宋体" w:eastAsia="宋体" w:cs="Times New Roman"/>
          <w:highlight w:val="none"/>
          <w:lang w:eastAsia="zh-CN"/>
        </w:rPr>
      </w:pPr>
      <w:r>
        <w:rPr>
          <w:rFonts w:hint="eastAsia" w:ascii="宋体" w:hAnsi="宋体" w:eastAsia="宋体" w:cs="Times New Roman"/>
          <w:highlight w:val="none"/>
          <w:lang w:val="en-US" w:eastAsia="zh-CN"/>
        </w:rPr>
        <w:t>检查数量：抽查20%，且不得少于5处。</w:t>
      </w:r>
    </w:p>
    <w:p>
      <w:pPr>
        <w:shd w:val="clear"/>
        <w:tabs>
          <w:tab w:val="left" w:pos="840"/>
        </w:tabs>
        <w:spacing w:before="0" w:after="0" w:afterAutospacing="0"/>
        <w:ind w:left="0" w:right="0" w:firstLine="420" w:firstLineChars="200"/>
        <w:rPr>
          <w:rFonts w:hint="eastAsia" w:ascii="宋体" w:hAnsi="宋体" w:eastAsia="宋体" w:cs="Times New Roman"/>
          <w:highlight w:val="none"/>
          <w:lang w:eastAsia="zh-CN"/>
        </w:rPr>
      </w:pPr>
      <w:r>
        <w:rPr>
          <w:rFonts w:hint="eastAsia" w:ascii="宋体" w:hAnsi="宋体" w:eastAsia="宋体" w:cs="Times New Roman"/>
          <w:highlight w:val="none"/>
          <w:lang w:val="en-US" w:eastAsia="zh-CN"/>
        </w:rPr>
        <w:t>检查方法：观察检查。</w:t>
      </w:r>
    </w:p>
    <w:p>
      <w:pPr>
        <w:shd w:val="clear"/>
        <w:tabs>
          <w:tab w:val="left" w:pos="840"/>
        </w:tabs>
        <w:spacing w:before="0" w:after="0" w:afterAutospacing="0"/>
        <w:ind w:left="0" w:right="0" w:firstLine="420" w:firstLineChars="200"/>
        <w:rPr>
          <w:rFonts w:hint="eastAsia" w:ascii="宋体" w:hAnsi="宋体" w:eastAsia="宋体" w:cs="Times New Roman"/>
          <w:highlight w:val="none"/>
          <w:lang w:eastAsia="zh-CN"/>
        </w:rPr>
      </w:pPr>
      <w:r>
        <w:rPr>
          <w:rFonts w:hint="eastAsia" w:ascii="宋体" w:hAnsi="宋体" w:eastAsia="宋体" w:cs="Times New Roman"/>
          <w:highlight w:val="none"/>
          <w:lang w:val="en-US" w:eastAsia="zh-CN"/>
        </w:rPr>
        <w:t>12.2.7螺纹连接应符合下列要求：</w:t>
      </w:r>
    </w:p>
    <w:p>
      <w:pPr>
        <w:shd w:val="clear"/>
        <w:tabs>
          <w:tab w:val="left" w:pos="840"/>
        </w:tabs>
        <w:spacing w:before="0" w:after="0" w:afterAutospacing="0"/>
        <w:ind w:left="0" w:right="0" w:firstLine="420" w:firstLineChars="200"/>
        <w:rPr>
          <w:rFonts w:hint="eastAsia" w:ascii="宋体" w:hAnsi="宋体" w:eastAsia="宋体" w:cs="Times New Roman"/>
          <w:highlight w:val="none"/>
          <w:lang w:eastAsia="zh-CN"/>
        </w:rPr>
      </w:pPr>
      <w:r>
        <w:rPr>
          <w:rFonts w:hint="eastAsia" w:ascii="宋体" w:hAnsi="宋体" w:eastAsia="宋体" w:cs="Times New Roman"/>
          <w:highlight w:val="none"/>
          <w:lang w:val="en-US" w:eastAsia="zh-CN"/>
        </w:rPr>
        <w:t>12.2.12.1 管道宜采用机械切割，切割面不得有飞边、毛刺；管道螺纹密封面符合现行国家标准《普通螺纹  基本尺寸》GB/T 196、《普通螺纹  公差》GB/T 197 和《普通螺纹  管路系列》GB/T 1414的有关规定。</w:t>
      </w:r>
    </w:p>
    <w:p>
      <w:pPr>
        <w:shd w:val="clear"/>
        <w:tabs>
          <w:tab w:val="left" w:pos="840"/>
        </w:tabs>
        <w:spacing w:before="0" w:after="0" w:afterAutospacing="0"/>
        <w:ind w:left="0" w:right="0" w:firstLine="420" w:firstLineChars="200"/>
        <w:rPr>
          <w:rFonts w:hint="eastAsia" w:ascii="宋体" w:hAnsi="宋体" w:eastAsia="宋体" w:cs="Times New Roman"/>
          <w:highlight w:val="none"/>
          <w:lang w:eastAsia="zh-CN"/>
        </w:rPr>
      </w:pPr>
      <w:r>
        <w:rPr>
          <w:rFonts w:hint="eastAsia" w:ascii="宋体" w:hAnsi="宋体" w:eastAsia="宋体" w:cs="Times New Roman"/>
          <w:highlight w:val="none"/>
          <w:lang w:val="en-US" w:eastAsia="zh-CN"/>
        </w:rPr>
        <w:t>12.2.12.2 当管道变径时，采用异径接头；在管道弯头处不得采用补芯，当需要采用补芯时，三通上可用1个，四通上不应超过2个；公称直径大于50mm的管道不得采用活接头</w:t>
      </w:r>
    </w:p>
    <w:p>
      <w:pPr>
        <w:shd w:val="clear"/>
        <w:tabs>
          <w:tab w:val="left" w:pos="840"/>
        </w:tabs>
        <w:spacing w:before="0" w:after="0" w:afterAutospacing="0"/>
        <w:ind w:left="0" w:right="0" w:firstLine="420" w:firstLineChars="200"/>
        <w:rPr>
          <w:rFonts w:hint="eastAsia" w:ascii="宋体" w:hAnsi="宋体" w:eastAsia="宋体" w:cs="Times New Roman"/>
          <w:highlight w:val="none"/>
          <w:lang w:eastAsia="zh-CN"/>
        </w:rPr>
      </w:pPr>
      <w:r>
        <w:rPr>
          <w:rFonts w:hint="eastAsia" w:ascii="宋体" w:hAnsi="宋体" w:eastAsia="宋体" w:cs="Times New Roman"/>
          <w:highlight w:val="none"/>
          <w:lang w:val="en-US" w:eastAsia="zh-CN"/>
        </w:rPr>
        <w:t>检查数量：全数检查。</w:t>
      </w:r>
    </w:p>
    <w:p>
      <w:pPr>
        <w:shd w:val="clear"/>
        <w:tabs>
          <w:tab w:val="left" w:pos="840"/>
        </w:tabs>
        <w:spacing w:before="0" w:after="0" w:afterAutospacing="0"/>
        <w:ind w:left="0" w:right="0" w:firstLine="420" w:firstLineChars="200"/>
        <w:rPr>
          <w:rFonts w:hint="eastAsia" w:ascii="宋体" w:hAnsi="宋体" w:eastAsia="宋体" w:cs="Times New Roman"/>
          <w:highlight w:val="none"/>
          <w:lang w:eastAsia="zh-CN"/>
        </w:rPr>
      </w:pPr>
      <w:r>
        <w:rPr>
          <w:rFonts w:hint="eastAsia" w:ascii="宋体" w:hAnsi="宋体" w:eastAsia="宋体" w:cs="Times New Roman"/>
          <w:highlight w:val="none"/>
          <w:lang w:val="en-US" w:eastAsia="zh-CN"/>
        </w:rPr>
        <w:t>检查方法：观察检查。</w:t>
      </w:r>
    </w:p>
    <w:p>
      <w:pPr>
        <w:shd w:val="clear"/>
        <w:tabs>
          <w:tab w:val="left" w:pos="840"/>
        </w:tabs>
        <w:spacing w:before="0" w:after="0" w:afterAutospacing="0"/>
        <w:ind w:left="0" w:right="0" w:firstLine="420" w:firstLineChars="200"/>
        <w:rPr>
          <w:rFonts w:hint="eastAsia" w:ascii="宋体" w:hAnsi="宋体" w:eastAsia="宋体" w:cs="Times New Roman"/>
          <w:highlight w:val="none"/>
          <w:lang w:eastAsia="zh-CN"/>
        </w:rPr>
      </w:pPr>
      <w:r>
        <w:rPr>
          <w:rFonts w:hint="eastAsia" w:ascii="宋体" w:hAnsi="宋体" w:eastAsia="宋体" w:cs="Times New Roman"/>
          <w:highlight w:val="none"/>
          <w:lang w:val="en-US" w:eastAsia="zh-CN"/>
        </w:rPr>
        <w:t>12.2.8喷头安装必须在系统试压、冲洗合格后进行。</w:t>
      </w:r>
    </w:p>
    <w:p>
      <w:pPr>
        <w:shd w:val="clear"/>
        <w:tabs>
          <w:tab w:val="left" w:pos="840"/>
        </w:tabs>
        <w:spacing w:before="0" w:after="0" w:afterAutospacing="0"/>
        <w:ind w:left="0" w:right="0" w:firstLine="420" w:firstLineChars="200"/>
        <w:rPr>
          <w:rFonts w:hint="eastAsia" w:ascii="宋体" w:hAnsi="宋体" w:eastAsia="宋体" w:cs="Times New Roman"/>
          <w:highlight w:val="none"/>
          <w:lang w:eastAsia="zh-CN"/>
        </w:rPr>
      </w:pPr>
      <w:r>
        <w:rPr>
          <w:rFonts w:hint="eastAsia" w:ascii="宋体" w:hAnsi="宋体" w:eastAsia="宋体" w:cs="Times New Roman"/>
          <w:highlight w:val="none"/>
          <w:lang w:val="en-US" w:eastAsia="zh-CN"/>
        </w:rPr>
        <w:t>检查数量：全数检查。</w:t>
      </w:r>
    </w:p>
    <w:p>
      <w:pPr>
        <w:shd w:val="clear"/>
        <w:tabs>
          <w:tab w:val="left" w:pos="840"/>
        </w:tabs>
        <w:spacing w:before="0" w:after="0" w:afterAutospacing="0"/>
        <w:ind w:left="0" w:right="0" w:firstLine="420" w:firstLineChars="200"/>
        <w:rPr>
          <w:rFonts w:hint="eastAsia" w:ascii="宋体" w:hAnsi="宋体" w:eastAsia="宋体" w:cs="Times New Roman"/>
          <w:highlight w:val="none"/>
          <w:lang w:eastAsia="zh-CN"/>
        </w:rPr>
      </w:pPr>
      <w:r>
        <w:rPr>
          <w:rFonts w:hint="eastAsia" w:ascii="宋体" w:hAnsi="宋体" w:eastAsia="宋体" w:cs="Times New Roman"/>
          <w:highlight w:val="none"/>
          <w:lang w:val="en-US" w:eastAsia="zh-CN"/>
        </w:rPr>
        <w:t>检查方法：检查系统试压、冲洗记录表。</w:t>
      </w:r>
    </w:p>
    <w:p>
      <w:pPr>
        <w:shd w:val="clear"/>
        <w:tabs>
          <w:tab w:val="left" w:pos="840"/>
        </w:tabs>
        <w:spacing w:before="0" w:after="0" w:afterAutospacing="0"/>
        <w:ind w:left="0" w:right="0" w:firstLine="420" w:firstLineChars="200"/>
        <w:rPr>
          <w:rFonts w:hint="eastAsia" w:ascii="宋体" w:hAnsi="宋体" w:eastAsia="宋体" w:cs="Times New Roman"/>
          <w:highlight w:val="none"/>
          <w:lang w:eastAsia="zh-CN"/>
        </w:rPr>
      </w:pPr>
      <w:r>
        <w:rPr>
          <w:rFonts w:hint="eastAsia" w:ascii="宋体" w:hAnsi="宋体" w:eastAsia="宋体" w:cs="Times New Roman"/>
          <w:highlight w:val="none"/>
          <w:lang w:val="en-US" w:eastAsia="zh-CN"/>
        </w:rPr>
        <w:t>12.2.9末端试水装置和试水阀的安装位置便于检查、试验，且有相应排水能力的排水设施。</w:t>
      </w:r>
    </w:p>
    <w:p>
      <w:pPr>
        <w:shd w:val="clear"/>
        <w:tabs>
          <w:tab w:val="left" w:pos="840"/>
        </w:tabs>
        <w:spacing w:before="0" w:after="0" w:afterAutospacing="0"/>
        <w:ind w:left="0" w:right="0" w:firstLine="420" w:firstLineChars="200"/>
        <w:rPr>
          <w:rFonts w:hint="eastAsia" w:ascii="宋体" w:hAnsi="宋体" w:eastAsia="宋体" w:cs="Times New Roman"/>
          <w:highlight w:val="none"/>
          <w:lang w:eastAsia="zh-CN"/>
        </w:rPr>
      </w:pPr>
      <w:r>
        <w:rPr>
          <w:rFonts w:hint="eastAsia" w:ascii="宋体" w:hAnsi="宋体" w:eastAsia="宋体" w:cs="Times New Roman"/>
          <w:highlight w:val="none"/>
          <w:lang w:val="en-US" w:eastAsia="zh-CN"/>
        </w:rPr>
        <w:t>检查数量：全数检查。</w:t>
      </w:r>
    </w:p>
    <w:p>
      <w:pPr>
        <w:shd w:val="clear"/>
        <w:tabs>
          <w:tab w:val="left" w:pos="840"/>
        </w:tabs>
        <w:spacing w:before="0" w:after="0" w:afterAutospacing="0"/>
        <w:ind w:left="0" w:right="0" w:firstLine="420" w:firstLineChars="200"/>
        <w:rPr>
          <w:rFonts w:hint="eastAsia" w:ascii="宋体" w:hAnsi="宋体" w:eastAsia="宋体" w:cs="Times New Roman"/>
          <w:highlight w:val="none"/>
          <w:lang w:val="en-US" w:eastAsia="zh-CN"/>
        </w:rPr>
      </w:pPr>
      <w:r>
        <w:rPr>
          <w:rFonts w:hint="eastAsia" w:ascii="宋体" w:hAnsi="宋体" w:eastAsia="宋体" w:cs="Times New Roman"/>
          <w:highlight w:val="none"/>
          <w:lang w:val="en-US" w:eastAsia="zh-CN"/>
        </w:rPr>
        <w:t>检查方法：观察检查。</w:t>
      </w:r>
    </w:p>
    <w:p>
      <w:pPr>
        <w:shd w:val="clear"/>
        <w:tabs>
          <w:tab w:val="left" w:pos="840"/>
        </w:tabs>
        <w:spacing w:before="0" w:after="0" w:afterAutospacing="0"/>
        <w:ind w:left="0" w:right="0" w:firstLine="420" w:firstLineChars="200"/>
        <w:rPr>
          <w:rFonts w:hint="eastAsia" w:ascii="宋体" w:hAnsi="宋体" w:eastAsia="宋体" w:cs="Times New Roman"/>
          <w:highlight w:val="none"/>
          <w:lang w:val="en-US" w:eastAsia="zh-CN"/>
        </w:rPr>
      </w:pPr>
      <w:r>
        <w:rPr>
          <w:rFonts w:hint="eastAsia" w:ascii="宋体" w:hAnsi="宋体" w:eastAsia="宋体" w:cs="Times New Roman"/>
          <w:highlight w:val="none"/>
          <w:lang w:val="en-US" w:eastAsia="zh-CN"/>
        </w:rPr>
        <w:t>12.2.10交货时，压力表等仪器仪表需提供市级以上计量检测单位的检测合格报告或检验合格标签</w:t>
      </w:r>
      <w:r>
        <w:rPr>
          <w:rFonts w:hint="eastAsia" w:ascii="宋体" w:hAnsi="宋体" w:cs="Times New Roman"/>
          <w:highlight w:val="none"/>
          <w:lang w:val="en-US" w:eastAsia="zh-CN"/>
        </w:rPr>
        <w:t>。</w:t>
      </w:r>
    </w:p>
    <w:p>
      <w:pPr>
        <w:shd w:val="clear"/>
        <w:tabs>
          <w:tab w:val="left" w:pos="840"/>
        </w:tabs>
        <w:spacing w:before="0" w:after="0" w:afterAutospacing="0"/>
        <w:ind w:left="0" w:right="0" w:firstLine="420" w:firstLineChars="200"/>
        <w:rPr>
          <w:rFonts w:hint="eastAsia" w:ascii="宋体" w:hAnsi="宋体" w:eastAsia="宋体" w:cs="Times New Roman"/>
          <w:highlight w:val="none"/>
          <w:lang w:eastAsia="zh-CN"/>
        </w:rPr>
      </w:pPr>
      <w:r>
        <w:rPr>
          <w:rFonts w:hint="eastAsia" w:ascii="宋体" w:hAnsi="宋体" w:eastAsia="宋体" w:cs="Times New Roman"/>
          <w:highlight w:val="none"/>
          <w:lang w:val="en-US" w:eastAsia="zh-CN"/>
        </w:rPr>
        <w:t>12.2.1</w:t>
      </w:r>
      <w:r>
        <w:rPr>
          <w:rFonts w:hint="eastAsia" w:ascii="宋体" w:hAnsi="宋体" w:cs="Times New Roman"/>
          <w:highlight w:val="none"/>
          <w:lang w:val="en-US" w:eastAsia="zh-CN"/>
        </w:rPr>
        <w:t>1</w:t>
      </w:r>
      <w:r>
        <w:rPr>
          <w:rFonts w:hint="eastAsia" w:ascii="宋体" w:hAnsi="宋体" w:eastAsia="宋体" w:cs="Times New Roman"/>
          <w:highlight w:val="none"/>
          <w:lang w:val="en-US" w:eastAsia="zh-CN"/>
        </w:rPr>
        <w:t>未尽事宜按照国家有关验收标准执行。</w:t>
      </w:r>
    </w:p>
    <w:p>
      <w:pPr>
        <w:shd w:val="clear"/>
        <w:tabs>
          <w:tab w:val="left" w:pos="840"/>
        </w:tabs>
        <w:spacing w:before="0" w:after="0" w:afterAutospacing="0"/>
        <w:ind w:left="0" w:right="0" w:firstLine="420" w:firstLineChars="200"/>
        <w:rPr>
          <w:rFonts w:hint="eastAsia" w:ascii="宋体" w:hAnsi="宋体" w:eastAsia="宋体" w:cs="Times New Roman"/>
          <w:highlight w:val="none"/>
          <w:lang w:eastAsia="zh-CN"/>
        </w:rPr>
      </w:pPr>
      <w:r>
        <w:rPr>
          <w:rFonts w:hint="eastAsia" w:ascii="宋体" w:hAnsi="宋体" w:eastAsia="宋体" w:cs="Times New Roman"/>
          <w:highlight w:val="none"/>
          <w:lang w:val="en-US" w:eastAsia="zh-CN"/>
        </w:rPr>
        <w:t>12.2.1</w:t>
      </w:r>
      <w:r>
        <w:rPr>
          <w:rFonts w:hint="eastAsia" w:ascii="宋体" w:hAnsi="宋体" w:cs="Times New Roman"/>
          <w:highlight w:val="none"/>
          <w:lang w:val="en-US" w:eastAsia="zh-CN"/>
        </w:rPr>
        <w:t>2乙方</w:t>
      </w:r>
      <w:r>
        <w:rPr>
          <w:rFonts w:hint="eastAsia" w:ascii="宋体" w:hAnsi="宋体" w:eastAsia="宋体" w:cs="Times New Roman"/>
          <w:highlight w:val="none"/>
          <w:lang w:val="en-US" w:eastAsia="zh-CN"/>
        </w:rPr>
        <w:t>向比选人主办部门申请组织验收，若比选人对验收成果报告存在异议，</w:t>
      </w:r>
      <w:r>
        <w:rPr>
          <w:rFonts w:hint="eastAsia" w:ascii="宋体" w:hAnsi="宋体" w:cs="Times New Roman"/>
          <w:highlight w:val="none"/>
          <w:lang w:val="en-US" w:eastAsia="zh-CN"/>
        </w:rPr>
        <w:t>乙方</w:t>
      </w:r>
      <w:r>
        <w:rPr>
          <w:rFonts w:hint="eastAsia" w:ascii="宋体" w:hAnsi="宋体" w:eastAsia="宋体" w:cs="Times New Roman"/>
          <w:highlight w:val="none"/>
          <w:lang w:val="en-US" w:eastAsia="zh-CN"/>
        </w:rPr>
        <w:t>在商定的期限内完成审核意见的整改，并按整改合格之日为验收合格之日，由此发生的费用由</w:t>
      </w:r>
      <w:r>
        <w:rPr>
          <w:rFonts w:hint="eastAsia" w:ascii="宋体" w:hAnsi="宋体" w:cs="Times New Roman"/>
          <w:highlight w:val="none"/>
          <w:lang w:val="en-US" w:eastAsia="zh-CN"/>
        </w:rPr>
        <w:t>乙方</w:t>
      </w:r>
      <w:r>
        <w:rPr>
          <w:rFonts w:hint="eastAsia" w:ascii="宋体" w:hAnsi="宋体" w:eastAsia="宋体" w:cs="Times New Roman"/>
          <w:highlight w:val="none"/>
          <w:lang w:val="en-US" w:eastAsia="zh-CN"/>
        </w:rPr>
        <w:t>承担。</w:t>
      </w:r>
    </w:p>
    <w:p>
      <w:pPr>
        <w:shd w:val="clear"/>
        <w:tabs>
          <w:tab w:val="left" w:pos="840"/>
          <w:tab w:val="left" w:pos="1843"/>
        </w:tabs>
        <w:spacing w:before="0" w:after="0" w:afterAutospacing="0"/>
        <w:ind w:left="422" w:right="0" w:firstLine="0"/>
        <w:outlineLvl w:val="1"/>
        <w:rPr>
          <w:rFonts w:ascii="宋体" w:hAnsi="宋体"/>
          <w:b/>
          <w:highlight w:val="none"/>
        </w:rPr>
      </w:pPr>
      <w:bookmarkStart w:id="1335" w:name="_Toc137824311"/>
      <w:bookmarkEnd w:id="1335"/>
      <w:r>
        <w:rPr>
          <w:rFonts w:hint="eastAsia" w:ascii="宋体" w:hAnsi="宋体"/>
          <w:b/>
          <w:highlight w:val="none"/>
        </w:rPr>
        <w:t>1</w:t>
      </w:r>
      <w:r>
        <w:rPr>
          <w:rFonts w:hint="eastAsia" w:ascii="宋体" w:hAnsi="宋体"/>
          <w:b/>
          <w:highlight w:val="none"/>
          <w:lang w:val="en-US" w:eastAsia="zh-CN"/>
        </w:rPr>
        <w:t>3.</w:t>
      </w:r>
      <w:r>
        <w:rPr>
          <w:rFonts w:hint="eastAsia" w:ascii="宋体" w:hAnsi="宋体"/>
          <w:b/>
          <w:highlight w:val="none"/>
        </w:rPr>
        <w:t>质量标准、工期和</w:t>
      </w:r>
      <w:bookmarkEnd w:id="1332"/>
      <w:bookmarkEnd w:id="1333"/>
      <w:r>
        <w:rPr>
          <w:rFonts w:hint="eastAsia" w:ascii="宋体" w:hAnsi="宋体"/>
          <w:b/>
          <w:highlight w:val="none"/>
        </w:rPr>
        <w:t>质保</w:t>
      </w:r>
    </w:p>
    <w:p>
      <w:pPr>
        <w:shd w:val="clear"/>
        <w:spacing w:before="0" w:after="0" w:afterAutospacing="0"/>
        <w:ind w:left="0" w:right="0" w:firstLine="420" w:firstLineChars="200"/>
        <w:rPr>
          <w:rFonts w:hint="eastAsia" w:ascii="宋体" w:hAnsi="宋体" w:eastAsia="宋体" w:cs="Arial"/>
          <w:highlight w:val="none"/>
        </w:rPr>
      </w:pPr>
      <w:r>
        <w:rPr>
          <w:rFonts w:hint="eastAsia" w:ascii="宋体" w:hAnsi="宋体" w:eastAsia="宋体" w:cs="Arial"/>
          <w:highlight w:val="none"/>
        </w:rPr>
        <w:t>1</w:t>
      </w:r>
      <w:r>
        <w:rPr>
          <w:rFonts w:hint="eastAsia" w:ascii="宋体" w:hAnsi="宋体" w:eastAsia="宋体" w:cs="Arial"/>
          <w:highlight w:val="none"/>
          <w:lang w:val="en-US" w:eastAsia="zh-CN"/>
        </w:rPr>
        <w:t>3</w:t>
      </w:r>
      <w:r>
        <w:rPr>
          <w:rFonts w:hint="eastAsia" w:ascii="宋体" w:hAnsi="宋体" w:eastAsia="宋体" w:cs="Arial"/>
          <w:highlight w:val="none"/>
        </w:rPr>
        <w:t>.1乙方交付的项目的质量、工期、质保等应符合合同规定的标准。如合同规定的标准低于国家或行业标准，或未提及适用标准，则按国家标准或行业标准的较高标准执行。这些标准必须是有关机构发布的最新有效版本的标准。</w:t>
      </w:r>
    </w:p>
    <w:p>
      <w:pPr>
        <w:shd w:val="clear"/>
        <w:spacing w:before="0" w:after="0" w:afterAutospacing="0"/>
        <w:ind w:left="0" w:right="0" w:firstLine="420" w:firstLineChars="200"/>
        <w:rPr>
          <w:rFonts w:hint="eastAsia" w:ascii="宋体" w:hAnsi="宋体" w:eastAsia="宋体" w:cs="Arial"/>
          <w:highlight w:val="none"/>
        </w:rPr>
      </w:pPr>
      <w:r>
        <w:rPr>
          <w:rFonts w:hint="eastAsia" w:ascii="宋体" w:hAnsi="宋体" w:eastAsia="宋体" w:cs="Arial"/>
          <w:highlight w:val="none"/>
        </w:rPr>
        <w:t>1</w:t>
      </w:r>
      <w:r>
        <w:rPr>
          <w:rFonts w:hint="eastAsia" w:ascii="宋体" w:hAnsi="宋体" w:eastAsia="宋体" w:cs="Arial"/>
          <w:highlight w:val="none"/>
          <w:lang w:val="en-US" w:eastAsia="zh-CN"/>
        </w:rPr>
        <w:t>3</w:t>
      </w:r>
      <w:r>
        <w:rPr>
          <w:rFonts w:hint="eastAsia" w:ascii="宋体" w:hAnsi="宋体" w:eastAsia="宋体" w:cs="Arial"/>
          <w:highlight w:val="none"/>
        </w:rPr>
        <w:t>.2本合同工期：计划工期60天（如遇特殊情况或极端天气则工期顺延），具体开工日期以比选人开工令发布时间为准。</w:t>
      </w:r>
    </w:p>
    <w:p>
      <w:pPr>
        <w:shd w:val="clear"/>
        <w:spacing w:before="0" w:after="0" w:afterAutospacing="0"/>
        <w:ind w:left="0" w:right="0" w:firstLine="420" w:firstLineChars="200"/>
        <w:rPr>
          <w:rFonts w:hint="eastAsia" w:ascii="宋体" w:hAnsi="宋体" w:eastAsia="宋体" w:cs="Arial"/>
          <w:highlight w:val="none"/>
        </w:rPr>
      </w:pPr>
      <w:r>
        <w:rPr>
          <w:rFonts w:hint="eastAsia" w:ascii="宋体" w:hAnsi="宋体" w:eastAsia="宋体" w:cs="Arial"/>
          <w:highlight w:val="none"/>
        </w:rPr>
        <w:t>1</w:t>
      </w:r>
      <w:r>
        <w:rPr>
          <w:rFonts w:hint="eastAsia" w:ascii="宋体" w:hAnsi="宋体" w:eastAsia="宋体" w:cs="Arial"/>
          <w:highlight w:val="none"/>
          <w:lang w:val="en-US" w:eastAsia="zh-CN"/>
        </w:rPr>
        <w:t>3</w:t>
      </w:r>
      <w:r>
        <w:rPr>
          <w:rFonts w:hint="eastAsia" w:ascii="宋体" w:hAnsi="宋体" w:eastAsia="宋体" w:cs="Arial"/>
          <w:highlight w:val="none"/>
        </w:rPr>
        <w:t>.3项目质保期为2年，自验收合格之日起计算；质保期内</w:t>
      </w:r>
      <w:r>
        <w:rPr>
          <w:rFonts w:hint="eastAsia" w:ascii="宋体" w:hAnsi="宋体" w:cs="Arial"/>
          <w:highlight w:val="none"/>
          <w:lang w:eastAsia="zh-CN"/>
        </w:rPr>
        <w:t>乙方</w:t>
      </w:r>
      <w:r>
        <w:rPr>
          <w:rFonts w:hint="eastAsia" w:ascii="宋体" w:hAnsi="宋体" w:eastAsia="宋体" w:cs="Arial"/>
          <w:highlight w:val="none"/>
        </w:rPr>
        <w:t>需提供免费上门维修（包含所有配件的更换及服务）及保养服务。</w:t>
      </w:r>
    </w:p>
    <w:p>
      <w:pPr>
        <w:shd w:val="clear"/>
        <w:spacing w:before="0" w:after="0" w:afterAutospacing="0"/>
        <w:ind w:left="0" w:right="0" w:firstLine="420" w:firstLineChars="200"/>
        <w:rPr>
          <w:rFonts w:asciiTheme="minorEastAsia" w:hAnsiTheme="minorEastAsia" w:eastAsiaTheme="minorEastAsia"/>
          <w:color w:val="FF0000"/>
          <w:sz w:val="28"/>
          <w:szCs w:val="28"/>
          <w:highlight w:val="none"/>
        </w:rPr>
      </w:pPr>
      <w:r>
        <w:rPr>
          <w:rFonts w:hint="eastAsia" w:ascii="宋体" w:hAnsi="宋体" w:eastAsia="宋体" w:cs="Arial"/>
          <w:highlight w:val="none"/>
        </w:rPr>
        <w:t>1</w:t>
      </w:r>
      <w:r>
        <w:rPr>
          <w:rFonts w:hint="eastAsia" w:ascii="宋体" w:hAnsi="宋体" w:eastAsia="宋体" w:cs="Arial"/>
          <w:highlight w:val="none"/>
          <w:lang w:val="en-US" w:eastAsia="zh-CN"/>
        </w:rPr>
        <w:t>3</w:t>
      </w:r>
      <w:r>
        <w:rPr>
          <w:rFonts w:hint="eastAsia" w:ascii="宋体" w:hAnsi="宋体" w:eastAsia="宋体" w:cs="Arial"/>
          <w:highlight w:val="none"/>
        </w:rPr>
        <w:t>.4质保期内出现的工程质量问题，</w:t>
      </w:r>
      <w:r>
        <w:rPr>
          <w:rFonts w:hint="eastAsia" w:ascii="宋体" w:hAnsi="宋体" w:cs="Arial"/>
          <w:highlight w:val="none"/>
          <w:lang w:eastAsia="zh-CN"/>
        </w:rPr>
        <w:t>乙方</w:t>
      </w:r>
      <w:r>
        <w:rPr>
          <w:rFonts w:hint="eastAsia" w:ascii="宋体" w:hAnsi="宋体" w:eastAsia="宋体" w:cs="Arial"/>
          <w:highlight w:val="none"/>
        </w:rPr>
        <w:t xml:space="preserve">需比选人发出通知后1小时内做出响应，24小时到达维修现场。一般问题应在72小时内解决，如无法在时效内解决的，需做好临时处理措施，并向比选人做出书面说明、明确修复时间。     </w:t>
      </w:r>
      <w:r>
        <w:rPr>
          <w:rFonts w:hint="eastAsia" w:ascii="宋体" w:hAnsi="宋体" w:cs="Arial"/>
          <w:color w:val="FF0000"/>
          <w:highlight w:val="none"/>
        </w:rPr>
        <w:t xml:space="preserve"> </w:t>
      </w:r>
      <w:r>
        <w:rPr>
          <w:rFonts w:hint="eastAsia" w:asciiTheme="minorEastAsia" w:hAnsiTheme="minorEastAsia" w:eastAsiaTheme="minorEastAsia"/>
          <w:color w:val="FF0000"/>
          <w:sz w:val="28"/>
          <w:szCs w:val="28"/>
          <w:highlight w:val="none"/>
        </w:rPr>
        <w:t xml:space="preserve">         </w:t>
      </w:r>
    </w:p>
    <w:p>
      <w:pPr>
        <w:shd w:val="clear"/>
        <w:tabs>
          <w:tab w:val="left" w:pos="840"/>
          <w:tab w:val="left" w:pos="1843"/>
        </w:tabs>
        <w:spacing w:before="0" w:after="0" w:afterAutospacing="0"/>
        <w:ind w:left="422" w:right="0" w:firstLine="0"/>
        <w:outlineLvl w:val="1"/>
        <w:rPr>
          <w:rFonts w:cs="宋体"/>
          <w:b/>
          <w:bCs/>
          <w:highlight w:val="none"/>
        </w:rPr>
      </w:pPr>
      <w:r>
        <w:rPr>
          <w:rFonts w:hint="eastAsia" w:ascii="宋体" w:hAnsi="宋体"/>
          <w:b/>
          <w:highlight w:val="none"/>
        </w:rPr>
        <w:t>1</w:t>
      </w:r>
      <w:r>
        <w:rPr>
          <w:rFonts w:hint="eastAsia" w:ascii="宋体" w:hAnsi="宋体"/>
          <w:b/>
          <w:highlight w:val="none"/>
          <w:lang w:val="en-US" w:eastAsia="zh-CN"/>
        </w:rPr>
        <w:t>4</w:t>
      </w:r>
      <w:r>
        <w:rPr>
          <w:rFonts w:hint="eastAsia" w:ascii="宋体" w:hAnsi="宋体"/>
          <w:b/>
          <w:highlight w:val="none"/>
        </w:rPr>
        <w:t>.</w:t>
      </w:r>
      <w:r>
        <w:rPr>
          <w:rFonts w:hint="eastAsia" w:cs="宋体"/>
          <w:b/>
          <w:bCs/>
          <w:highlight w:val="none"/>
        </w:rPr>
        <w:t xml:space="preserve"> 合同解除和终止</w:t>
      </w:r>
    </w:p>
    <w:p>
      <w:pPr>
        <w:shd w:val="clear"/>
        <w:spacing w:before="0" w:after="0" w:afterAutospacing="0"/>
        <w:ind w:left="0" w:right="0" w:firstLine="420" w:firstLineChars="200"/>
        <w:rPr>
          <w:rFonts w:ascii="宋体" w:hAnsi="宋体" w:cs="Arial"/>
          <w:highlight w:val="none"/>
        </w:rPr>
      </w:pPr>
      <w:r>
        <w:rPr>
          <w:rFonts w:hint="eastAsia" w:ascii="宋体" w:hAnsi="宋体" w:cs="Arial"/>
          <w:highlight w:val="none"/>
        </w:rPr>
        <w:t>1</w:t>
      </w:r>
      <w:r>
        <w:rPr>
          <w:rFonts w:hint="eastAsia" w:ascii="宋体" w:hAnsi="宋体" w:cs="Arial"/>
          <w:highlight w:val="none"/>
          <w:lang w:val="en-US" w:eastAsia="zh-CN"/>
        </w:rPr>
        <w:t>4</w:t>
      </w:r>
      <w:r>
        <w:rPr>
          <w:rFonts w:hint="eastAsia" w:ascii="宋体" w:hAnsi="宋体" w:cs="Arial"/>
          <w:highlight w:val="none"/>
        </w:rPr>
        <w:t>.1合同自然终止</w:t>
      </w:r>
    </w:p>
    <w:p>
      <w:pPr>
        <w:shd w:val="clear"/>
        <w:spacing w:before="0" w:after="0" w:afterAutospacing="0"/>
        <w:ind w:left="0" w:right="0" w:firstLine="420" w:firstLineChars="200"/>
        <w:rPr>
          <w:rFonts w:ascii="宋体" w:hAnsi="宋体" w:cs="Arial"/>
          <w:highlight w:val="none"/>
        </w:rPr>
      </w:pPr>
      <w:r>
        <w:rPr>
          <w:rFonts w:hint="eastAsia" w:ascii="宋体" w:hAnsi="宋体" w:cs="Arial"/>
          <w:highlight w:val="none"/>
        </w:rPr>
        <w:t>甲乙双方各自完成合同规定的责任和义务或发生不可抗力，合同自然终止。</w:t>
      </w:r>
    </w:p>
    <w:p>
      <w:pPr>
        <w:shd w:val="clear"/>
        <w:spacing w:before="0" w:after="0" w:afterAutospacing="0"/>
        <w:ind w:left="0" w:right="0" w:firstLine="420" w:firstLineChars="200"/>
        <w:rPr>
          <w:rFonts w:ascii="宋体" w:hAnsi="宋体" w:cs="Arial"/>
          <w:highlight w:val="none"/>
        </w:rPr>
      </w:pPr>
      <w:r>
        <w:rPr>
          <w:rFonts w:hint="eastAsia" w:ascii="宋体" w:hAnsi="宋体" w:cs="Arial"/>
          <w:highlight w:val="none"/>
        </w:rPr>
        <w:t>1</w:t>
      </w:r>
      <w:r>
        <w:rPr>
          <w:rFonts w:hint="eastAsia" w:ascii="宋体" w:hAnsi="宋体" w:cs="Arial"/>
          <w:highlight w:val="none"/>
          <w:lang w:val="en-US" w:eastAsia="zh-CN"/>
        </w:rPr>
        <w:t>4</w:t>
      </w:r>
      <w:r>
        <w:rPr>
          <w:rFonts w:hint="eastAsia" w:ascii="宋体" w:hAnsi="宋体" w:cs="Arial"/>
          <w:highlight w:val="none"/>
        </w:rPr>
        <w:t>.2 违约违规终止合同</w:t>
      </w:r>
    </w:p>
    <w:p>
      <w:pPr>
        <w:shd w:val="clear"/>
        <w:spacing w:before="0" w:after="0" w:afterAutospacing="0"/>
        <w:ind w:left="0" w:right="0" w:firstLine="420" w:firstLineChars="200"/>
        <w:rPr>
          <w:rFonts w:ascii="宋体" w:hAnsi="宋体" w:cs="Arial"/>
          <w:highlight w:val="none"/>
        </w:rPr>
      </w:pPr>
      <w:r>
        <w:rPr>
          <w:rFonts w:hint="eastAsia" w:ascii="宋体" w:hAnsi="宋体" w:cs="Arial"/>
          <w:highlight w:val="none"/>
        </w:rPr>
        <w:t>1</w:t>
      </w:r>
      <w:r>
        <w:rPr>
          <w:rFonts w:hint="eastAsia" w:ascii="宋体" w:hAnsi="宋体" w:cs="Arial"/>
          <w:highlight w:val="none"/>
          <w:lang w:val="en-US" w:eastAsia="zh-CN"/>
        </w:rPr>
        <w:t>4</w:t>
      </w:r>
      <w:r>
        <w:rPr>
          <w:rFonts w:hint="eastAsia" w:ascii="宋体" w:hAnsi="宋体" w:cs="Arial"/>
          <w:highlight w:val="none"/>
        </w:rPr>
        <w:t>.2.1在合同有效期内，如发现乙方违法分包、转包或挂靠，或前期存在围标串标或提供虚假资料情形的，甲方将单方终止合同，履约保证金不予退还，乙方须承担违约责任、赔偿甲方的一切经济损失</w:t>
      </w:r>
    </w:p>
    <w:p>
      <w:pPr>
        <w:shd w:val="clear"/>
        <w:spacing w:before="0" w:after="0" w:afterAutospacing="0"/>
        <w:ind w:left="0" w:right="0" w:firstLine="420" w:firstLineChars="200"/>
        <w:rPr>
          <w:rFonts w:ascii="宋体" w:hAnsi="宋体" w:cs="Arial"/>
          <w:highlight w:val="none"/>
        </w:rPr>
      </w:pPr>
      <w:r>
        <w:rPr>
          <w:rFonts w:hint="eastAsia" w:ascii="宋体" w:hAnsi="宋体" w:cs="Arial"/>
          <w:highlight w:val="none"/>
        </w:rPr>
        <w:t>1</w:t>
      </w:r>
      <w:r>
        <w:rPr>
          <w:rFonts w:hint="eastAsia" w:ascii="宋体" w:hAnsi="宋体" w:cs="Arial"/>
          <w:highlight w:val="none"/>
          <w:lang w:val="en-US" w:eastAsia="zh-CN"/>
        </w:rPr>
        <w:t>4</w:t>
      </w:r>
      <w:r>
        <w:rPr>
          <w:rFonts w:hint="eastAsia" w:ascii="宋体" w:hAnsi="宋体" w:cs="Arial"/>
          <w:highlight w:val="none"/>
        </w:rPr>
        <w:t>.2.2合同成立后，若乙方不按合同履行职责导致对甲方安全运营、名誉、形象等造成影响，甲方有权终止合同，履约保证金不予退还。</w:t>
      </w:r>
    </w:p>
    <w:p>
      <w:pPr>
        <w:shd w:val="clear"/>
        <w:tabs>
          <w:tab w:val="left" w:pos="540"/>
          <w:tab w:val="left" w:pos="960"/>
        </w:tabs>
        <w:spacing w:before="0" w:after="0" w:afterAutospacing="0"/>
        <w:ind w:left="0" w:right="0" w:firstLine="316" w:firstLineChars="150"/>
        <w:rPr>
          <w:rFonts w:ascii="宋体" w:hAnsi="宋体"/>
          <w:b/>
          <w:highlight w:val="none"/>
        </w:rPr>
      </w:pPr>
      <w:bookmarkStart w:id="1336" w:name="_Toc385427858"/>
      <w:bookmarkStart w:id="1337" w:name="_Toc3130"/>
      <w:bookmarkStart w:id="1338" w:name="_Toc16315"/>
      <w:bookmarkStart w:id="1339" w:name="_Toc492478782"/>
      <w:bookmarkStart w:id="1340" w:name="_Toc390098484"/>
      <w:bookmarkStart w:id="1341" w:name="_Toc370933875"/>
      <w:bookmarkStart w:id="1342" w:name="_Toc32343"/>
      <w:bookmarkStart w:id="1343" w:name="_Toc11530"/>
      <w:bookmarkStart w:id="1344" w:name="_Toc21413"/>
      <w:bookmarkStart w:id="1345" w:name="_Toc25342"/>
      <w:bookmarkStart w:id="1346" w:name="_Toc17029"/>
      <w:bookmarkStart w:id="1347" w:name="_Toc12432"/>
      <w:bookmarkStart w:id="1348" w:name="_Toc8696"/>
      <w:bookmarkStart w:id="1349" w:name="_Toc25750653"/>
      <w:bookmarkStart w:id="1350" w:name="_Toc24037"/>
      <w:bookmarkStart w:id="1351" w:name="_Toc18508"/>
      <w:bookmarkStart w:id="1352" w:name="_Toc6234"/>
      <w:bookmarkStart w:id="1353" w:name="_Toc24065"/>
      <w:bookmarkStart w:id="1354" w:name="_Toc19987"/>
      <w:bookmarkStart w:id="1355" w:name="_Toc4396"/>
      <w:bookmarkStart w:id="1356" w:name="_Toc13888"/>
      <w:bookmarkStart w:id="1357" w:name="_Toc661"/>
      <w:bookmarkStart w:id="1358" w:name="_Toc378514972"/>
      <w:bookmarkStart w:id="1359" w:name="_Toc13416"/>
      <w:r>
        <w:rPr>
          <w:rFonts w:hint="eastAsia" w:ascii="宋体" w:hAnsi="宋体"/>
          <w:b/>
          <w:highlight w:val="none"/>
        </w:rPr>
        <w:t>1</w:t>
      </w:r>
      <w:r>
        <w:rPr>
          <w:rFonts w:hint="eastAsia" w:ascii="宋体" w:hAnsi="宋体"/>
          <w:b/>
          <w:highlight w:val="none"/>
          <w:lang w:val="en-US" w:eastAsia="zh-CN"/>
        </w:rPr>
        <w:t>5</w:t>
      </w:r>
      <w:r>
        <w:rPr>
          <w:rFonts w:ascii="宋体" w:hAnsi="宋体"/>
          <w:b/>
          <w:highlight w:val="none"/>
        </w:rPr>
        <w:t>.不可抗力</w:t>
      </w:r>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p>
    <w:p>
      <w:pPr>
        <w:shd w:val="clear"/>
        <w:tabs>
          <w:tab w:val="left" w:pos="540"/>
          <w:tab w:val="left" w:pos="960"/>
        </w:tabs>
        <w:spacing w:before="0" w:after="0" w:afterAutospacing="0"/>
        <w:ind w:left="0" w:right="0" w:firstLine="315" w:firstLineChars="150"/>
        <w:rPr>
          <w:rFonts w:ascii="宋体" w:hAnsi="宋体"/>
          <w:highlight w:val="none"/>
        </w:rPr>
      </w:pPr>
      <w:r>
        <w:rPr>
          <w:rFonts w:hint="eastAsia" w:ascii="宋体" w:hAnsi="宋体"/>
          <w:highlight w:val="none"/>
          <w:lang w:eastAsia="zh-CN"/>
        </w:rPr>
        <w:t>15.</w:t>
      </w:r>
      <w:r>
        <w:rPr>
          <w:rFonts w:ascii="宋体" w:hAnsi="宋体"/>
          <w:highlight w:val="none"/>
        </w:rPr>
        <w:t>1</w:t>
      </w:r>
      <w:r>
        <w:rPr>
          <w:rFonts w:hint="eastAsia" w:ascii="宋体" w:hAnsi="宋体"/>
          <w:highlight w:val="none"/>
        </w:rPr>
        <w:t>本条所述的“不可抗力”系指那些不能预见、不能避免并不能克服的客观情况，但不包括违约或疏忽。不可抗力包括但不限于：战争、暴乱、水灾、地震、防疫限制、禁运以及项目正在使用的任何土地上发现考古文物、化石、古墓及遗址、艺术历史遗物及具有考古学、地质学和历史意义的任何其他物品。</w:t>
      </w:r>
    </w:p>
    <w:p>
      <w:pPr>
        <w:shd w:val="clear"/>
        <w:tabs>
          <w:tab w:val="left" w:pos="540"/>
          <w:tab w:val="left" w:pos="960"/>
        </w:tabs>
        <w:spacing w:before="0" w:after="0" w:afterAutospacing="0"/>
        <w:ind w:left="0" w:right="0" w:firstLine="315" w:firstLineChars="150"/>
        <w:rPr>
          <w:rFonts w:ascii="宋体" w:hAnsi="宋体"/>
          <w:highlight w:val="none"/>
        </w:rPr>
      </w:pPr>
      <w:r>
        <w:rPr>
          <w:rFonts w:hint="eastAsia" w:ascii="宋体" w:hAnsi="宋体"/>
          <w:highlight w:val="none"/>
          <w:lang w:eastAsia="zh-CN"/>
        </w:rPr>
        <w:t>15.</w:t>
      </w:r>
      <w:r>
        <w:rPr>
          <w:rFonts w:hint="eastAsia" w:ascii="宋体" w:hAnsi="宋体"/>
          <w:highlight w:val="none"/>
        </w:rPr>
        <w:t>2若不可抗力发生使合同执行受阻，则合同执行时间根据受影响的时间相应延长，但合同价格不得调整。</w:t>
      </w:r>
    </w:p>
    <w:p>
      <w:pPr>
        <w:shd w:val="clear"/>
        <w:tabs>
          <w:tab w:val="left" w:pos="540"/>
          <w:tab w:val="left" w:pos="960"/>
        </w:tabs>
        <w:spacing w:before="0" w:after="0" w:afterAutospacing="0"/>
        <w:ind w:left="0" w:right="0" w:firstLine="315" w:firstLineChars="150"/>
        <w:rPr>
          <w:highlight w:val="none"/>
        </w:rPr>
      </w:pPr>
      <w:r>
        <w:rPr>
          <w:rFonts w:hint="eastAsia" w:ascii="宋体" w:hAnsi="宋体"/>
          <w:highlight w:val="none"/>
          <w:lang w:eastAsia="zh-CN"/>
        </w:rPr>
        <w:t>15.</w:t>
      </w:r>
      <w:r>
        <w:rPr>
          <w:rFonts w:hint="eastAsia" w:ascii="宋体" w:hAnsi="宋体"/>
          <w:highlight w:val="none"/>
        </w:rPr>
        <w:t>3</w:t>
      </w:r>
      <w:r>
        <w:rPr>
          <w:rFonts w:hint="eastAsia"/>
          <w:highlight w:val="none"/>
        </w:rPr>
        <w:t>不可抗力的确认</w:t>
      </w:r>
    </w:p>
    <w:p>
      <w:pPr>
        <w:shd w:val="clear"/>
        <w:tabs>
          <w:tab w:val="left" w:pos="540"/>
          <w:tab w:val="left" w:pos="960"/>
        </w:tabs>
        <w:spacing w:before="0" w:after="0" w:afterAutospacing="0"/>
        <w:ind w:left="0" w:right="0" w:firstLine="315" w:firstLineChars="150"/>
        <w:rPr>
          <w:highlight w:val="none"/>
        </w:rPr>
      </w:pPr>
      <w:r>
        <w:rPr>
          <w:rFonts w:hint="eastAsia"/>
          <w:highlight w:val="none"/>
        </w:rPr>
        <w:t>不可抗力发生后，甲方和乙方应收集证明不可抗力发生及不可抗力造成损失的证据，并及时认真统计所造成的损失。甲乙双方对是否属于不可抗力或其损失发生争议时，按第14条〔争议解决方式〕的约定处理。</w:t>
      </w:r>
    </w:p>
    <w:p>
      <w:pPr>
        <w:shd w:val="clear"/>
        <w:tabs>
          <w:tab w:val="left" w:pos="540"/>
          <w:tab w:val="left" w:pos="960"/>
        </w:tabs>
        <w:spacing w:before="0" w:after="0" w:afterAutospacing="0"/>
        <w:ind w:left="0" w:right="0" w:firstLine="315" w:firstLineChars="150"/>
        <w:rPr>
          <w:highlight w:val="none"/>
        </w:rPr>
      </w:pPr>
      <w:r>
        <w:rPr>
          <w:rFonts w:hint="eastAsia" w:ascii="宋体" w:hAnsi="宋体"/>
          <w:highlight w:val="none"/>
          <w:lang w:eastAsia="zh-CN"/>
        </w:rPr>
        <w:t>15.</w:t>
      </w:r>
      <w:r>
        <w:rPr>
          <w:rFonts w:hint="eastAsia" w:ascii="宋体" w:hAnsi="宋体"/>
          <w:highlight w:val="none"/>
        </w:rPr>
        <w:t>4</w:t>
      </w:r>
      <w:r>
        <w:rPr>
          <w:rFonts w:hint="eastAsia"/>
          <w:highlight w:val="none"/>
        </w:rPr>
        <w:t>不可抗力的通知</w:t>
      </w:r>
    </w:p>
    <w:p>
      <w:pPr>
        <w:shd w:val="clear"/>
        <w:tabs>
          <w:tab w:val="left" w:pos="540"/>
          <w:tab w:val="left" w:pos="960"/>
        </w:tabs>
        <w:spacing w:before="0" w:after="0" w:afterAutospacing="0"/>
        <w:ind w:left="0" w:right="0" w:firstLine="315" w:firstLineChars="150"/>
        <w:rPr>
          <w:highlight w:val="none"/>
        </w:rPr>
      </w:pPr>
      <w:r>
        <w:rPr>
          <w:rFonts w:hint="eastAsia"/>
          <w:highlight w:val="none"/>
        </w:rPr>
        <w:t>合同一方当事人遇到不可抗力事件，使其履行合同义务受到阻碍时，应立即通知合同另一方当事人，书面说明不可抗力和受阻碍的详细情况，并在合理期限内提供必要的证明。</w:t>
      </w:r>
    </w:p>
    <w:p>
      <w:pPr>
        <w:shd w:val="clear"/>
        <w:tabs>
          <w:tab w:val="left" w:pos="540"/>
          <w:tab w:val="left" w:pos="960"/>
        </w:tabs>
        <w:spacing w:before="0" w:after="0" w:afterAutospacing="0"/>
        <w:ind w:left="0" w:right="0" w:firstLine="315" w:firstLineChars="150"/>
        <w:rPr>
          <w:rFonts w:ascii="宋体" w:hAnsi="宋体"/>
          <w:highlight w:val="none"/>
        </w:rPr>
      </w:pPr>
      <w:r>
        <w:rPr>
          <w:rFonts w:hint="eastAsia"/>
          <w:highlight w:val="none"/>
        </w:rPr>
        <w:t>不可抗力持续发生的，合同一方当事人应及时向合同另一方当事人提交中间报告，说明不可抗力和履行合同受阻的情况，并于不可抗力事件结束后</w:t>
      </w:r>
      <w:r>
        <w:rPr>
          <w:highlight w:val="none"/>
        </w:rPr>
        <w:t>28</w:t>
      </w:r>
      <w:r>
        <w:rPr>
          <w:rFonts w:hint="eastAsia"/>
          <w:highlight w:val="none"/>
        </w:rPr>
        <w:t>天内提交最终报告及有关资料</w:t>
      </w:r>
    </w:p>
    <w:p>
      <w:pPr>
        <w:shd w:val="clear"/>
        <w:tabs>
          <w:tab w:val="left" w:pos="540"/>
          <w:tab w:val="left" w:pos="960"/>
        </w:tabs>
        <w:spacing w:before="0" w:after="0" w:afterAutospacing="0"/>
        <w:ind w:left="0" w:right="0" w:firstLine="315" w:firstLineChars="150"/>
        <w:rPr>
          <w:rFonts w:ascii="宋体" w:hAnsi="宋体"/>
          <w:highlight w:val="none"/>
        </w:rPr>
      </w:pPr>
      <w:r>
        <w:rPr>
          <w:rFonts w:hint="eastAsia" w:ascii="宋体" w:hAnsi="宋体"/>
          <w:highlight w:val="none"/>
          <w:lang w:eastAsia="zh-CN"/>
        </w:rPr>
        <w:t>15.</w:t>
      </w:r>
      <w:r>
        <w:rPr>
          <w:rFonts w:hint="eastAsia" w:ascii="宋体" w:hAnsi="宋体"/>
          <w:highlight w:val="none"/>
        </w:rPr>
        <w:t>5</w:t>
      </w:r>
      <w:r>
        <w:rPr>
          <w:rFonts w:hint="eastAsia"/>
          <w:highlight w:val="none"/>
        </w:rPr>
        <w:t>不可抗力后果的承担</w:t>
      </w:r>
    </w:p>
    <w:p>
      <w:pPr>
        <w:shd w:val="clear"/>
        <w:tabs>
          <w:tab w:val="left" w:pos="540"/>
          <w:tab w:val="left" w:pos="960"/>
        </w:tabs>
        <w:spacing w:before="0" w:after="0" w:afterAutospacing="0"/>
        <w:ind w:left="0" w:right="0" w:firstLine="315" w:firstLineChars="150"/>
        <w:rPr>
          <w:rFonts w:ascii="宋体" w:hAnsi="宋体"/>
          <w:highlight w:val="none"/>
        </w:rPr>
      </w:pPr>
      <w:r>
        <w:rPr>
          <w:rFonts w:hint="eastAsia" w:ascii="宋体" w:hAnsi="宋体"/>
          <w:highlight w:val="none"/>
        </w:rPr>
        <w:t>如发生不可抗力，乙方应在十四天内通知甲方并应提供有关当局（官方机构）的证明文件。除非甲方另有书面指示，乙方应继续依可行方式及其他不受不可抗力制约的替代形式履行合同义务。</w:t>
      </w:r>
    </w:p>
    <w:p>
      <w:pPr>
        <w:shd w:val="clear"/>
        <w:tabs>
          <w:tab w:val="left" w:pos="540"/>
          <w:tab w:val="left" w:pos="960"/>
        </w:tabs>
        <w:spacing w:before="0" w:after="0" w:afterAutospacing="0"/>
        <w:ind w:left="0" w:right="0" w:firstLine="315" w:firstLineChars="150"/>
        <w:rPr>
          <w:rFonts w:ascii="宋体" w:hAnsi="宋体"/>
          <w:highlight w:val="none"/>
        </w:rPr>
      </w:pPr>
      <w:r>
        <w:rPr>
          <w:rFonts w:hint="eastAsia" w:ascii="宋体" w:hAnsi="宋体"/>
          <w:highlight w:val="none"/>
        </w:rPr>
        <w:t>任何因不可抗力所导致延误履行合同或不能履行合同，受阻方将不因此而构成违约。</w:t>
      </w:r>
    </w:p>
    <w:p>
      <w:pPr>
        <w:shd w:val="clear"/>
        <w:tabs>
          <w:tab w:val="left" w:pos="540"/>
          <w:tab w:val="left" w:pos="960"/>
        </w:tabs>
        <w:spacing w:before="0" w:after="0" w:afterAutospacing="0"/>
        <w:ind w:left="0" w:right="0" w:firstLine="315" w:firstLineChars="150"/>
        <w:rPr>
          <w:rFonts w:ascii="宋体" w:hAnsi="宋体"/>
          <w:highlight w:val="none"/>
        </w:rPr>
      </w:pPr>
      <w:r>
        <w:rPr>
          <w:rFonts w:hint="eastAsia" w:ascii="宋体" w:hAnsi="宋体"/>
          <w:highlight w:val="none"/>
        </w:rPr>
        <w:t>在发生任何不可抗力的情况时，只要合理可行，双方应尽力继续履行其合同中的义务。并应通知对方准备采取的措施，包括不可抗力不能阻止的任何合理的替代履约方法。不可抗力结束后，乙方应及时履行合同，否则视为违约。</w:t>
      </w:r>
    </w:p>
    <w:p>
      <w:pPr>
        <w:shd w:val="clear"/>
        <w:tabs>
          <w:tab w:val="left" w:pos="540"/>
          <w:tab w:val="left" w:pos="960"/>
        </w:tabs>
        <w:spacing w:before="0" w:after="0" w:afterAutospacing="0"/>
        <w:ind w:left="0" w:right="0" w:firstLine="315" w:firstLineChars="150"/>
        <w:rPr>
          <w:rFonts w:ascii="宋体" w:hAnsi="宋体"/>
          <w:highlight w:val="none"/>
        </w:rPr>
      </w:pPr>
      <w:r>
        <w:rPr>
          <w:rFonts w:hint="eastAsia" w:ascii="宋体" w:hAnsi="宋体"/>
          <w:highlight w:val="none"/>
        </w:rPr>
        <w:t>如果不可抗力已发生并持续一百八十（</w:t>
      </w:r>
      <w:r>
        <w:rPr>
          <w:rFonts w:ascii="宋体" w:hAnsi="宋体"/>
          <w:highlight w:val="none"/>
        </w:rPr>
        <w:t>180</w:t>
      </w:r>
      <w:r>
        <w:rPr>
          <w:rFonts w:hint="eastAsia" w:ascii="宋体" w:hAnsi="宋体"/>
          <w:highlight w:val="none"/>
        </w:rPr>
        <w:t>）天，则尽管由于此原因可能已允许乙方延长合同期限，双方中任何一方均有权在通知对方三十（</w:t>
      </w:r>
      <w:r>
        <w:rPr>
          <w:rFonts w:ascii="宋体" w:hAnsi="宋体"/>
          <w:highlight w:val="none"/>
        </w:rPr>
        <w:t>30</w:t>
      </w:r>
      <w:r>
        <w:rPr>
          <w:rFonts w:hint="eastAsia" w:ascii="宋体" w:hAnsi="宋体"/>
          <w:highlight w:val="none"/>
        </w:rPr>
        <w:t>）天后终止合同。</w:t>
      </w:r>
    </w:p>
    <w:p>
      <w:pPr>
        <w:shd w:val="clear"/>
        <w:tabs>
          <w:tab w:val="left" w:pos="540"/>
          <w:tab w:val="left" w:pos="960"/>
        </w:tabs>
        <w:spacing w:before="0" w:after="0" w:afterAutospacing="0"/>
        <w:ind w:left="0" w:right="0" w:firstLine="315" w:firstLineChars="150"/>
        <w:rPr>
          <w:rFonts w:ascii="宋体" w:hAnsi="宋体"/>
          <w:highlight w:val="none"/>
        </w:rPr>
      </w:pPr>
      <w:r>
        <w:rPr>
          <w:rFonts w:hint="eastAsia" w:ascii="宋体" w:hAnsi="宋体"/>
          <w:highlight w:val="none"/>
        </w:rPr>
        <w:t>如果不可抗力的情况发生并因此根据合同法双方均被解除进一步履行合同，乙方的履约担保不被没收。</w:t>
      </w:r>
    </w:p>
    <w:p>
      <w:pPr>
        <w:shd w:val="clear"/>
        <w:tabs>
          <w:tab w:val="left" w:pos="540"/>
          <w:tab w:val="left" w:pos="960"/>
        </w:tabs>
        <w:spacing w:before="0" w:after="0" w:afterAutospacing="0"/>
        <w:ind w:left="0" w:right="0" w:firstLine="315" w:firstLineChars="150"/>
        <w:rPr>
          <w:rFonts w:ascii="宋体" w:hAnsi="宋体"/>
          <w:highlight w:val="none"/>
        </w:rPr>
      </w:pPr>
      <w:r>
        <w:rPr>
          <w:rFonts w:hint="eastAsia"/>
          <w:highlight w:val="none"/>
        </w:rPr>
        <w:t>因合同一方迟延履行合同义务，在迟延履行期间遭遇不可抗力的，不免除其违约责任。</w:t>
      </w:r>
    </w:p>
    <w:p>
      <w:pPr>
        <w:shd w:val="clear"/>
        <w:tabs>
          <w:tab w:val="left" w:pos="840"/>
          <w:tab w:val="left" w:pos="1843"/>
        </w:tabs>
        <w:spacing w:before="0" w:after="0" w:afterAutospacing="0"/>
        <w:ind w:left="422" w:right="0" w:firstLine="0"/>
        <w:outlineLvl w:val="1"/>
        <w:rPr>
          <w:rFonts w:ascii="宋体" w:hAnsi="宋体"/>
          <w:b/>
          <w:highlight w:val="none"/>
        </w:rPr>
      </w:pPr>
      <w:bookmarkStart w:id="1360" w:name="_Toc7691"/>
      <w:bookmarkStart w:id="1361" w:name="_Toc21718"/>
      <w:bookmarkStart w:id="1362" w:name="_Toc15352"/>
      <w:bookmarkStart w:id="1363" w:name="_Toc20850"/>
      <w:bookmarkStart w:id="1364" w:name="_Toc1972"/>
      <w:bookmarkStart w:id="1365" w:name="_Toc492478788"/>
      <w:bookmarkStart w:id="1366" w:name="_Toc1503"/>
      <w:bookmarkStart w:id="1367" w:name="_Toc390098490"/>
      <w:bookmarkStart w:id="1368" w:name="_Toc10805"/>
      <w:bookmarkStart w:id="1369" w:name="_Toc16121"/>
      <w:bookmarkStart w:id="1370" w:name="_Toc24354"/>
      <w:bookmarkStart w:id="1371" w:name="_Toc385427864"/>
      <w:bookmarkStart w:id="1372" w:name="_Toc10764"/>
      <w:bookmarkStart w:id="1373" w:name="_Toc19072"/>
      <w:bookmarkStart w:id="1374" w:name="_Toc370933881"/>
      <w:bookmarkStart w:id="1375" w:name="_Toc29365"/>
      <w:bookmarkStart w:id="1376" w:name="_Toc17213"/>
      <w:bookmarkStart w:id="1377" w:name="_Toc15991"/>
      <w:bookmarkStart w:id="1378" w:name="_Toc25750659"/>
      <w:bookmarkStart w:id="1379" w:name="_Toc378514978"/>
      <w:bookmarkStart w:id="1380" w:name="_Toc26667"/>
      <w:bookmarkStart w:id="1381" w:name="_Toc20058"/>
      <w:bookmarkStart w:id="1382" w:name="_Toc26831"/>
      <w:bookmarkStart w:id="1383" w:name="_Toc4002"/>
      <w:r>
        <w:rPr>
          <w:rFonts w:hint="eastAsia" w:ascii="宋体" w:hAnsi="宋体"/>
          <w:b/>
          <w:highlight w:val="none"/>
        </w:rPr>
        <w:t>1</w:t>
      </w:r>
      <w:r>
        <w:rPr>
          <w:rFonts w:hint="eastAsia" w:ascii="宋体" w:hAnsi="宋体"/>
          <w:b/>
          <w:highlight w:val="none"/>
          <w:lang w:val="en-US" w:eastAsia="zh-CN"/>
        </w:rPr>
        <w:t>6</w:t>
      </w:r>
      <w:r>
        <w:rPr>
          <w:rFonts w:hint="eastAsia" w:ascii="宋体" w:hAnsi="宋体"/>
          <w:b/>
          <w:highlight w:val="none"/>
        </w:rPr>
        <w:t>. 转让和分包</w:t>
      </w:r>
    </w:p>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p>
      <w:pPr>
        <w:shd w:val="clear"/>
        <w:tabs>
          <w:tab w:val="left" w:pos="840"/>
          <w:tab w:val="left" w:pos="1843"/>
        </w:tabs>
        <w:spacing w:before="0" w:after="0" w:afterAutospacing="0"/>
        <w:ind w:left="422" w:right="0" w:firstLine="0"/>
        <w:outlineLvl w:val="1"/>
        <w:rPr>
          <w:rFonts w:hint="eastAsia" w:ascii="宋体" w:hAnsi="宋体" w:eastAsia="宋体" w:cs="Times New Roman"/>
          <w:b w:val="0"/>
          <w:bCs/>
          <w:highlight w:val="none"/>
        </w:rPr>
      </w:pPr>
      <w:bookmarkStart w:id="1384" w:name="_Toc3019"/>
      <w:bookmarkStart w:id="1385" w:name="_Toc28875"/>
      <w:bookmarkStart w:id="1386" w:name="_Toc390098493"/>
      <w:bookmarkStart w:id="1387" w:name="_Toc378514981"/>
      <w:bookmarkStart w:id="1388" w:name="_Toc6374"/>
      <w:bookmarkStart w:id="1389" w:name="_Toc19209"/>
      <w:bookmarkStart w:id="1390" w:name="_Toc864"/>
      <w:bookmarkStart w:id="1391" w:name="_Toc2458"/>
      <w:bookmarkStart w:id="1392" w:name="_Toc13343"/>
      <w:bookmarkStart w:id="1393" w:name="_Toc3785"/>
      <w:bookmarkStart w:id="1394" w:name="_Toc492478791"/>
      <w:bookmarkStart w:id="1395" w:name="_Toc22330"/>
      <w:bookmarkStart w:id="1396" w:name="_Toc25750662"/>
      <w:bookmarkStart w:id="1397" w:name="_Toc6421"/>
      <w:bookmarkStart w:id="1398" w:name="_Toc23442"/>
      <w:bookmarkStart w:id="1399" w:name="_Toc32638"/>
      <w:bookmarkStart w:id="1400" w:name="_Toc26295"/>
      <w:bookmarkStart w:id="1401" w:name="_Toc32071"/>
      <w:bookmarkStart w:id="1402" w:name="_Toc10304"/>
      <w:bookmarkStart w:id="1403" w:name="_Toc385427867"/>
      <w:bookmarkStart w:id="1404" w:name="_Toc25119"/>
      <w:bookmarkStart w:id="1405" w:name="_Toc15635"/>
      <w:bookmarkStart w:id="1406" w:name="_Toc17344"/>
      <w:bookmarkStart w:id="1407" w:name="_Toc370933884"/>
      <w:r>
        <w:rPr>
          <w:rFonts w:hint="eastAsia" w:ascii="宋体" w:hAnsi="宋体" w:eastAsia="宋体" w:cs="Times New Roman"/>
          <w:b w:val="0"/>
          <w:bCs/>
          <w:highlight w:val="none"/>
        </w:rPr>
        <w:t>不允许任何形式转包或分包</w:t>
      </w:r>
    </w:p>
    <w:p>
      <w:pPr>
        <w:shd w:val="clear"/>
        <w:tabs>
          <w:tab w:val="left" w:pos="840"/>
          <w:tab w:val="left" w:pos="1843"/>
        </w:tabs>
        <w:spacing w:before="0" w:after="0" w:afterAutospacing="0"/>
        <w:ind w:left="422" w:right="0" w:firstLine="0"/>
        <w:outlineLvl w:val="1"/>
        <w:rPr>
          <w:rFonts w:hint="eastAsia" w:ascii="宋体" w:hAnsi="宋体" w:eastAsia="宋体" w:cs="Times New Roman"/>
          <w:b/>
          <w:highlight w:val="none"/>
        </w:rPr>
      </w:pPr>
      <w:r>
        <w:rPr>
          <w:rFonts w:hint="eastAsia" w:ascii="宋体" w:hAnsi="宋体" w:eastAsia="宋体" w:cs="Times New Roman"/>
          <w:b/>
          <w:highlight w:val="none"/>
        </w:rPr>
        <w:t>1</w:t>
      </w:r>
      <w:r>
        <w:rPr>
          <w:rFonts w:hint="eastAsia" w:ascii="宋体" w:hAnsi="宋体" w:eastAsia="宋体" w:cs="Times New Roman"/>
          <w:b/>
          <w:highlight w:val="none"/>
          <w:lang w:val="en-US" w:eastAsia="zh-CN"/>
        </w:rPr>
        <w:t>7</w:t>
      </w:r>
      <w:r>
        <w:rPr>
          <w:rFonts w:hint="eastAsia" w:ascii="宋体" w:hAnsi="宋体" w:eastAsia="宋体" w:cs="Times New Roman"/>
          <w:b/>
          <w:highlight w:val="none"/>
        </w:rPr>
        <w:t>.通知</w:t>
      </w:r>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p>
    <w:p>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宋体" w:hAnsi="宋体" w:eastAsia="宋体" w:cs="黑体"/>
          <w:kern w:val="2"/>
          <w:sz w:val="21"/>
          <w:szCs w:val="21"/>
          <w:highlight w:val="none"/>
        </w:rPr>
      </w:pPr>
      <w:bookmarkStart w:id="1408" w:name="_Toc459797569"/>
      <w:bookmarkEnd w:id="1408"/>
      <w:bookmarkStart w:id="1409" w:name="_Toc459797563"/>
      <w:bookmarkEnd w:id="1409"/>
      <w:bookmarkStart w:id="1410" w:name="_Toc459797558"/>
      <w:bookmarkEnd w:id="1410"/>
      <w:bookmarkStart w:id="1411" w:name="_Toc459797562"/>
      <w:bookmarkEnd w:id="1411"/>
      <w:bookmarkStart w:id="1412" w:name="_Toc459730510"/>
      <w:bookmarkEnd w:id="1412"/>
      <w:bookmarkStart w:id="1413" w:name="_Toc459797553"/>
      <w:bookmarkEnd w:id="1413"/>
      <w:bookmarkStart w:id="1414" w:name="_Toc459730494"/>
      <w:bookmarkEnd w:id="1414"/>
      <w:bookmarkStart w:id="1415" w:name="_Toc459797538"/>
      <w:bookmarkEnd w:id="1415"/>
      <w:bookmarkStart w:id="1416" w:name="_Toc459797559"/>
      <w:bookmarkEnd w:id="1416"/>
      <w:bookmarkStart w:id="1417" w:name="_Toc459797544"/>
      <w:bookmarkEnd w:id="1417"/>
      <w:bookmarkStart w:id="1418" w:name="_Toc459730499"/>
      <w:bookmarkEnd w:id="1418"/>
      <w:bookmarkStart w:id="1419" w:name="_Toc459797545"/>
      <w:bookmarkEnd w:id="1419"/>
      <w:bookmarkStart w:id="1420" w:name="_Toc459730485"/>
      <w:bookmarkEnd w:id="1420"/>
      <w:bookmarkStart w:id="1421" w:name="_Toc459797554"/>
      <w:bookmarkEnd w:id="1421"/>
      <w:bookmarkStart w:id="1422" w:name="_Toc459797567"/>
      <w:bookmarkEnd w:id="1422"/>
      <w:bookmarkStart w:id="1423" w:name="_Toc459730488"/>
      <w:bookmarkEnd w:id="1423"/>
      <w:bookmarkStart w:id="1424" w:name="_Toc459797557"/>
      <w:bookmarkEnd w:id="1424"/>
      <w:bookmarkStart w:id="1425" w:name="_Toc459797540"/>
      <w:bookmarkEnd w:id="1425"/>
      <w:bookmarkStart w:id="1426" w:name="_Toc459730497"/>
      <w:bookmarkEnd w:id="1426"/>
      <w:bookmarkStart w:id="1427" w:name="_Toc459797565"/>
      <w:bookmarkEnd w:id="1427"/>
      <w:bookmarkStart w:id="1428" w:name="_Toc459797549"/>
      <w:bookmarkEnd w:id="1428"/>
      <w:bookmarkStart w:id="1429" w:name="_Toc459730492"/>
      <w:bookmarkEnd w:id="1429"/>
      <w:bookmarkStart w:id="1430" w:name="_Toc459797541"/>
      <w:bookmarkEnd w:id="1430"/>
      <w:bookmarkStart w:id="1431" w:name="_Toc459730490"/>
      <w:bookmarkEnd w:id="1431"/>
      <w:bookmarkStart w:id="1432" w:name="_Toc459730507"/>
      <w:bookmarkEnd w:id="1432"/>
      <w:bookmarkStart w:id="1433" w:name="_Toc459730487"/>
      <w:bookmarkEnd w:id="1433"/>
      <w:bookmarkStart w:id="1434" w:name="_Toc459797550"/>
      <w:bookmarkEnd w:id="1434"/>
      <w:bookmarkStart w:id="1435" w:name="_Toc459730511"/>
      <w:bookmarkEnd w:id="1435"/>
      <w:bookmarkStart w:id="1436" w:name="_Toc459797564"/>
      <w:bookmarkEnd w:id="1436"/>
      <w:bookmarkStart w:id="1437" w:name="_Toc459797560"/>
      <w:bookmarkEnd w:id="1437"/>
      <w:bookmarkStart w:id="1438" w:name="_Toc459730516"/>
      <w:bookmarkEnd w:id="1438"/>
      <w:bookmarkStart w:id="1439" w:name="_Toc459730504"/>
      <w:bookmarkEnd w:id="1439"/>
      <w:bookmarkStart w:id="1440" w:name="_Toc459797543"/>
      <w:bookmarkEnd w:id="1440"/>
      <w:bookmarkStart w:id="1441" w:name="_Toc459730491"/>
      <w:bookmarkEnd w:id="1441"/>
      <w:bookmarkStart w:id="1442" w:name="_Toc459730517"/>
      <w:bookmarkEnd w:id="1442"/>
      <w:bookmarkStart w:id="1443" w:name="_Toc459797547"/>
      <w:bookmarkEnd w:id="1443"/>
      <w:bookmarkStart w:id="1444" w:name="_Toc459730493"/>
      <w:bookmarkEnd w:id="1444"/>
      <w:bookmarkStart w:id="1445" w:name="_Toc459730498"/>
      <w:bookmarkEnd w:id="1445"/>
      <w:bookmarkStart w:id="1446" w:name="_Toc459797555"/>
      <w:bookmarkEnd w:id="1446"/>
      <w:bookmarkStart w:id="1447" w:name="_Toc459797542"/>
      <w:bookmarkEnd w:id="1447"/>
      <w:bookmarkStart w:id="1448" w:name="_Toc459797561"/>
      <w:bookmarkEnd w:id="1448"/>
      <w:bookmarkStart w:id="1449" w:name="_Toc459730503"/>
      <w:bookmarkEnd w:id="1449"/>
      <w:bookmarkStart w:id="1450" w:name="_Toc459730496"/>
      <w:bookmarkEnd w:id="1450"/>
      <w:bookmarkStart w:id="1451" w:name="_Toc459730500"/>
      <w:bookmarkEnd w:id="1451"/>
      <w:bookmarkStart w:id="1452" w:name="_Toc459797556"/>
      <w:bookmarkEnd w:id="1452"/>
      <w:bookmarkStart w:id="1453" w:name="_Toc459797568"/>
      <w:bookmarkEnd w:id="1453"/>
      <w:bookmarkStart w:id="1454" w:name="_Toc459730515"/>
      <w:bookmarkEnd w:id="1454"/>
      <w:bookmarkStart w:id="1455" w:name="_Toc459730495"/>
      <w:bookmarkEnd w:id="1455"/>
      <w:bookmarkStart w:id="1456" w:name="_Toc459797548"/>
      <w:bookmarkEnd w:id="1456"/>
      <w:bookmarkStart w:id="1457" w:name="_Toc459730486"/>
      <w:bookmarkEnd w:id="1457"/>
      <w:bookmarkStart w:id="1458" w:name="_Toc459730513"/>
      <w:bookmarkEnd w:id="1458"/>
      <w:bookmarkStart w:id="1459" w:name="_Toc459797539"/>
      <w:bookmarkEnd w:id="1459"/>
      <w:bookmarkStart w:id="1460" w:name="_Toc459797566"/>
      <w:bookmarkEnd w:id="1460"/>
      <w:bookmarkStart w:id="1461" w:name="_Toc459730502"/>
      <w:bookmarkEnd w:id="1461"/>
      <w:bookmarkStart w:id="1462" w:name="_Toc459797551"/>
      <w:bookmarkEnd w:id="1462"/>
      <w:bookmarkStart w:id="1463" w:name="_Toc459730501"/>
      <w:bookmarkEnd w:id="1463"/>
      <w:bookmarkStart w:id="1464" w:name="_Toc459797546"/>
      <w:bookmarkEnd w:id="1464"/>
      <w:bookmarkStart w:id="1465" w:name="_Toc459730489"/>
      <w:bookmarkEnd w:id="1465"/>
      <w:bookmarkStart w:id="1466" w:name="_Toc459730506"/>
      <w:bookmarkEnd w:id="1466"/>
      <w:bookmarkStart w:id="1467" w:name="_Toc459730505"/>
      <w:bookmarkEnd w:id="1467"/>
      <w:bookmarkStart w:id="1468" w:name="_Toc459730514"/>
      <w:bookmarkEnd w:id="1468"/>
      <w:bookmarkStart w:id="1469" w:name="_Toc459730512"/>
      <w:bookmarkEnd w:id="1469"/>
      <w:bookmarkStart w:id="1470" w:name="_Toc459730508"/>
      <w:bookmarkEnd w:id="1470"/>
      <w:bookmarkStart w:id="1471" w:name="_Toc459797552"/>
      <w:bookmarkEnd w:id="1471"/>
      <w:bookmarkStart w:id="1472" w:name="_Toc459730509"/>
      <w:bookmarkEnd w:id="1472"/>
      <w:bookmarkStart w:id="1473" w:name="_Toc459797570"/>
      <w:bookmarkEnd w:id="1473"/>
      <w:bookmarkStart w:id="1474" w:name="_Toc14240"/>
      <w:bookmarkStart w:id="1475" w:name="_Toc25750670"/>
      <w:bookmarkStart w:id="1476" w:name="_Toc16845"/>
      <w:bookmarkStart w:id="1477" w:name="_Toc8642"/>
      <w:bookmarkStart w:id="1478" w:name="_Toc24789"/>
      <w:bookmarkStart w:id="1479" w:name="_Toc925"/>
      <w:bookmarkStart w:id="1480" w:name="_Toc390098502"/>
      <w:bookmarkStart w:id="1481" w:name="_Toc492478800"/>
      <w:bookmarkStart w:id="1482" w:name="_Toc25406"/>
      <w:bookmarkStart w:id="1483" w:name="_Toc4370"/>
      <w:bookmarkStart w:id="1484" w:name="_Toc385427876"/>
      <w:bookmarkStart w:id="1485" w:name="_Toc11286"/>
      <w:bookmarkStart w:id="1486" w:name="_Toc11322"/>
      <w:bookmarkStart w:id="1487" w:name="_Toc309"/>
      <w:bookmarkStart w:id="1488" w:name="_Toc370933887"/>
      <w:bookmarkStart w:id="1489" w:name="_Toc20826"/>
      <w:bookmarkStart w:id="1490" w:name="_Toc27400"/>
      <w:bookmarkStart w:id="1491" w:name="_Toc6462"/>
      <w:bookmarkStart w:id="1492" w:name="_Toc27029"/>
      <w:bookmarkStart w:id="1493" w:name="_Toc2427"/>
      <w:bookmarkStart w:id="1494" w:name="_Toc26446"/>
      <w:bookmarkStart w:id="1495" w:name="_Toc378514990"/>
      <w:bookmarkStart w:id="1496" w:name="_Toc20780"/>
      <w:bookmarkStart w:id="1497" w:name="_Toc25859"/>
      <w:r>
        <w:rPr>
          <w:rFonts w:hint="eastAsia" w:ascii="宋体" w:hAnsi="宋体" w:cs="宋体"/>
          <w:kern w:val="2"/>
          <w:sz w:val="21"/>
          <w:szCs w:val="21"/>
          <w:highlight w:val="none"/>
          <w:lang w:val="en-US" w:eastAsia="zh-CN" w:bidi="ar"/>
        </w:rPr>
        <w:t>17.</w:t>
      </w:r>
      <w:r>
        <w:rPr>
          <w:rFonts w:hint="eastAsia" w:ascii="宋体" w:hAnsi="宋体" w:eastAsia="宋体" w:cs="宋体"/>
          <w:kern w:val="2"/>
          <w:sz w:val="21"/>
          <w:szCs w:val="21"/>
          <w:highlight w:val="none"/>
          <w:lang w:val="en-US" w:eastAsia="zh-CN" w:bidi="ar"/>
        </w:rPr>
        <w:t>1所有根据本合同作出的通知或者报告（包括违约处罚等）应以书面形式作出，并以以下任一方式送达对方，收到的一方应在5个工作日内予以回复，否则视为认同通知的内容。本合同任何一方为了本合同目的可以书面通知对方变更联系地址。任何一方的联系方式发生变更的，应当在变更之日起5个工作日内通知对方，否则对方按照原联系方式发出的通知视为有效送达。</w:t>
      </w:r>
    </w:p>
    <w:p>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宋体" w:hAnsi="宋体" w:eastAsia="宋体" w:cs="黑体"/>
          <w:kern w:val="2"/>
          <w:sz w:val="21"/>
          <w:szCs w:val="21"/>
          <w:highlight w:val="none"/>
        </w:rPr>
      </w:pPr>
      <w:r>
        <w:rPr>
          <w:rFonts w:hint="eastAsia" w:ascii="宋体" w:hAnsi="宋体" w:cs="宋体"/>
          <w:kern w:val="2"/>
          <w:sz w:val="21"/>
          <w:szCs w:val="21"/>
          <w:highlight w:val="none"/>
          <w:lang w:val="en-US" w:eastAsia="zh-CN" w:bidi="ar"/>
        </w:rPr>
        <w:t>17.</w:t>
      </w:r>
      <w:r>
        <w:rPr>
          <w:rFonts w:hint="eastAsia" w:ascii="宋体" w:hAnsi="宋体" w:eastAsia="宋体" w:cs="宋体"/>
          <w:kern w:val="2"/>
          <w:sz w:val="21"/>
          <w:szCs w:val="21"/>
          <w:highlight w:val="none"/>
          <w:lang w:val="en-US" w:eastAsia="zh-CN" w:bidi="ar"/>
        </w:rPr>
        <w:t>2送达时间基准为：（1）直接送达以签收人签收时间为准；（2）留置送达以通知或者报告（包括违约处罚等）送达指定地点时间为准（如出现拒签情况，以通知或者报告（包括违约处罚等）送达指定地点时派送人现场照片或物流信息显示送达时间为准）；（3）电子送达以发送人发出通知或者报告（包括违约处罚等）时间为准。（4）邮寄送达以邮寄至另一方在本合同签署页规定的地址或者另一方书面制定或通知的其他地址，以另一方签收日期视为送达，签收日期不明确的，以邮件寄出后第3日视为送达。收件人拒收的，拒收之日视为送达。</w:t>
      </w:r>
    </w:p>
    <w:p>
      <w:pPr>
        <w:numPr>
          <w:ilvl w:val="0"/>
          <w:numId w:val="14"/>
        </w:numPr>
        <w:shd w:val="clear"/>
        <w:tabs>
          <w:tab w:val="left" w:pos="840"/>
          <w:tab w:val="left" w:pos="1843"/>
        </w:tabs>
        <w:spacing w:before="0" w:after="0" w:afterAutospacing="0"/>
        <w:ind w:left="422" w:right="0" w:firstLine="0"/>
        <w:outlineLvl w:val="1"/>
        <w:rPr>
          <w:highlight w:val="none"/>
        </w:rPr>
      </w:pPr>
      <w:r>
        <w:rPr>
          <w:rFonts w:hint="eastAsia" w:ascii="宋体" w:hAnsi="宋体"/>
          <w:b/>
          <w:highlight w:val="none"/>
        </w:rPr>
        <w:t>争端的解决</w:t>
      </w:r>
    </w:p>
    <w:p>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18.1甲乙双方履行合同中发生争议的，可以先通过友好协商解决。</w:t>
      </w:r>
    </w:p>
    <w:p>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18.2双方协商不成的，应当按下列第（2）种方式解决：</w:t>
      </w:r>
    </w:p>
    <w:p>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（1）提交南宁仲裁委员会仲裁；</w:t>
      </w:r>
    </w:p>
    <w:p>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（2）依法向甲方所在地人民法院起诉。</w:t>
      </w:r>
    </w:p>
    <w:p>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18.3发生争议后，除非出现下列情况的，双方都应继续履行合同，保持施工连续并保护好已完项目：</w:t>
      </w:r>
    </w:p>
    <w:p>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（1）单方违约导致合同确己无法履行，双方协议停止施工；</w:t>
      </w:r>
    </w:p>
    <w:p>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（2）不可抗力导致合同无法履行；</w:t>
      </w:r>
    </w:p>
    <w:p>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（3）调解要求停止施工，且为双方接受；</w:t>
      </w:r>
    </w:p>
    <w:p>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（4）仲裁机关要求停止施工；</w:t>
      </w:r>
    </w:p>
    <w:p>
      <w:pPr>
        <w:keepNext w:val="0"/>
        <w:keepLines w:val="0"/>
        <w:widowControl w:val="0"/>
        <w:suppressLineNumbers w:val="0"/>
        <w:shd w:val="clear"/>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（5）法院要求停止施工。</w:t>
      </w:r>
    </w:p>
    <w:p>
      <w:pPr>
        <w:shd w:val="clear"/>
        <w:tabs>
          <w:tab w:val="left" w:pos="840"/>
          <w:tab w:val="left" w:pos="1843"/>
        </w:tabs>
        <w:spacing w:before="0" w:after="0" w:afterAutospacing="0"/>
        <w:ind w:left="422" w:right="0" w:firstLine="0"/>
        <w:outlineLvl w:val="1"/>
        <w:rPr>
          <w:rFonts w:ascii="宋体" w:hAnsi="宋体"/>
          <w:b/>
          <w:highlight w:val="none"/>
        </w:rPr>
      </w:pPr>
      <w:r>
        <w:rPr>
          <w:rFonts w:hint="eastAsia" w:ascii="宋体" w:hAnsi="宋体"/>
          <w:b/>
          <w:highlight w:val="none"/>
        </w:rPr>
        <w:t>1</w:t>
      </w:r>
      <w:r>
        <w:rPr>
          <w:rFonts w:hint="eastAsia" w:ascii="宋体" w:hAnsi="宋体"/>
          <w:b/>
          <w:highlight w:val="none"/>
          <w:lang w:val="en-US" w:eastAsia="zh-CN"/>
        </w:rPr>
        <w:t>9</w:t>
      </w:r>
      <w:r>
        <w:rPr>
          <w:rFonts w:hint="eastAsia" w:ascii="宋体" w:hAnsi="宋体"/>
          <w:b/>
          <w:highlight w:val="none"/>
        </w:rPr>
        <w:t>.合同生效和签约地</w:t>
      </w:r>
    </w:p>
    <w:p>
      <w:pPr>
        <w:shd w:val="clear"/>
        <w:tabs>
          <w:tab w:val="left" w:pos="960"/>
          <w:tab w:val="left" w:pos="8364"/>
        </w:tabs>
        <w:spacing w:before="0" w:after="0" w:afterAutospacing="0"/>
        <w:ind w:left="420" w:right="0" w:firstLine="0"/>
        <w:rPr>
          <w:rFonts w:ascii="宋体" w:hAnsi="宋体"/>
          <w:highlight w:val="none"/>
        </w:rPr>
      </w:pPr>
      <w:r>
        <w:rPr>
          <w:rFonts w:hint="eastAsia" w:ascii="宋体" w:hAnsi="宋体"/>
          <w:highlight w:val="none"/>
        </w:rPr>
        <w:t>本合同生效的时间以双方签署的协议书上的最后日期为准。</w:t>
      </w:r>
    </w:p>
    <w:p>
      <w:pPr>
        <w:shd w:val="clear"/>
        <w:tabs>
          <w:tab w:val="left" w:pos="960"/>
          <w:tab w:val="left" w:pos="8364"/>
        </w:tabs>
        <w:spacing w:before="0" w:after="0" w:afterAutospacing="0"/>
        <w:ind w:left="420" w:right="0" w:firstLine="0"/>
        <w:rPr>
          <w:rFonts w:ascii="宋体" w:hAnsi="宋体"/>
          <w:highlight w:val="none"/>
        </w:rPr>
      </w:pPr>
      <w:r>
        <w:rPr>
          <w:rFonts w:hint="eastAsia" w:ascii="宋体" w:hAnsi="宋体"/>
          <w:highlight w:val="none"/>
        </w:rPr>
        <w:t>本合同签约地为中华人民共和国广西壮族自治区南宁市青秀区。</w:t>
      </w:r>
    </w:p>
    <w:p>
      <w:pPr>
        <w:shd w:val="clear"/>
        <w:tabs>
          <w:tab w:val="left" w:pos="960"/>
          <w:tab w:val="left" w:pos="8364"/>
        </w:tabs>
        <w:spacing w:before="0" w:after="0" w:afterAutospacing="0"/>
        <w:ind w:left="420" w:right="0" w:firstLine="0"/>
        <w:rPr>
          <w:rFonts w:ascii="宋体" w:hAnsi="宋体"/>
          <w:highlight w:val="none"/>
        </w:rPr>
      </w:pPr>
      <w:r>
        <w:rPr>
          <w:rFonts w:hint="eastAsia" w:ascii="宋体" w:hAnsi="宋体"/>
          <w:highlight w:val="none"/>
        </w:rPr>
        <w:t>本合同将在各方授权代表签字，甲方收到乙方的履约担保后，方可生效。</w:t>
      </w:r>
    </w:p>
    <w:p>
      <w:pPr>
        <w:shd w:val="clear"/>
        <w:spacing w:before="0" w:after="0" w:afterAutospacing="0"/>
        <w:ind w:left="0" w:right="0" w:firstLine="420" w:firstLineChars="200"/>
        <w:rPr>
          <w:rFonts w:ascii="宋体" w:hAnsi="宋体"/>
          <w:highlight w:val="none"/>
        </w:rPr>
      </w:pPr>
      <w:r>
        <w:rPr>
          <w:rFonts w:hint="eastAsia" w:ascii="宋体" w:hAnsi="宋体"/>
          <w:highlight w:val="none"/>
        </w:rPr>
        <w:t>所有合同附件为合同不可分割的一部分。所有附件、修改、补充、改动条款和执行合同的条件均应以书面形式列明，双方经过协商达成一致意见，并由双方授权代表签字，是合同执行中不可分割的一部分，与合同具有同等效力。</w:t>
      </w:r>
    </w:p>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p>
      <w:pPr>
        <w:shd w:val="clear"/>
        <w:tabs>
          <w:tab w:val="left" w:pos="840"/>
          <w:tab w:val="left" w:pos="1843"/>
        </w:tabs>
        <w:spacing w:before="0" w:after="0" w:afterAutospacing="0"/>
        <w:ind w:left="422" w:right="0" w:firstLine="0"/>
        <w:outlineLvl w:val="1"/>
        <w:rPr>
          <w:rFonts w:ascii="宋体" w:hAnsi="宋体"/>
          <w:b/>
          <w:highlight w:val="none"/>
        </w:rPr>
      </w:pPr>
      <w:r>
        <w:rPr>
          <w:rFonts w:hint="eastAsia" w:ascii="宋体" w:hAnsi="宋体"/>
          <w:b/>
          <w:highlight w:val="none"/>
          <w:lang w:val="en-US" w:eastAsia="zh-CN"/>
        </w:rPr>
        <w:t>20.</w:t>
      </w:r>
      <w:r>
        <w:rPr>
          <w:rFonts w:hint="eastAsia" w:ascii="宋体" w:hAnsi="宋体"/>
          <w:b/>
          <w:highlight w:val="none"/>
        </w:rPr>
        <w:t>其他</w:t>
      </w:r>
    </w:p>
    <w:p>
      <w:pPr>
        <w:shd w:val="clear"/>
        <w:tabs>
          <w:tab w:val="left" w:pos="840"/>
          <w:tab w:val="left" w:pos="1843"/>
        </w:tabs>
        <w:spacing w:before="0" w:after="0" w:afterAutospacing="0"/>
        <w:ind w:left="422" w:right="0" w:firstLine="0"/>
        <w:outlineLvl w:val="1"/>
        <w:rPr>
          <w:rFonts w:ascii="宋体" w:hAnsi="宋体"/>
          <w:b/>
          <w:highlight w:val="none"/>
        </w:rPr>
      </w:pPr>
      <w:r>
        <w:rPr>
          <w:rFonts w:hint="eastAsia"/>
          <w:highlight w:val="none"/>
        </w:rPr>
        <w:t>本合同未尽事宜，由双方协商解决，必要时可签订补充合同。</w:t>
      </w:r>
    </w:p>
    <w:p>
      <w:pPr>
        <w:shd w:val="clear"/>
        <w:tabs>
          <w:tab w:val="left" w:pos="840"/>
          <w:tab w:val="left" w:pos="1843"/>
        </w:tabs>
        <w:spacing w:before="0" w:after="0" w:afterAutospacing="0"/>
        <w:ind w:left="422" w:right="0" w:firstLine="0"/>
        <w:jc w:val="center"/>
        <w:outlineLvl w:val="1"/>
        <w:rPr>
          <w:rFonts w:ascii="宋体" w:hAnsi="宋体"/>
          <w:b/>
          <w:highlight w:val="none"/>
        </w:rPr>
      </w:pPr>
      <w:bookmarkStart w:id="1498" w:name="_Toc13288"/>
      <w:bookmarkStart w:id="1499" w:name="_Toc19448"/>
      <w:bookmarkStart w:id="1500" w:name="_Toc6194"/>
      <w:bookmarkStart w:id="1501" w:name="_Toc29249"/>
      <w:bookmarkStart w:id="1502" w:name="_Toc16716"/>
      <w:bookmarkStart w:id="1503" w:name="_Toc14997"/>
      <w:bookmarkStart w:id="1504" w:name="_Toc5186"/>
      <w:bookmarkStart w:id="1505" w:name="_Toc27316"/>
      <w:bookmarkStart w:id="1506" w:name="_Toc21372"/>
      <w:bookmarkStart w:id="1507" w:name="_Toc27258"/>
      <w:bookmarkStart w:id="1508" w:name="_Toc16443"/>
      <w:bookmarkStart w:id="1509" w:name="_Toc2753"/>
      <w:bookmarkStart w:id="1510" w:name="_Toc25750672"/>
      <w:bookmarkStart w:id="1511" w:name="_Toc12983548"/>
      <w:bookmarkStart w:id="1512" w:name="_Toc21659"/>
      <w:bookmarkStart w:id="1513" w:name="_Toc21635"/>
      <w:bookmarkStart w:id="1514" w:name="_Toc12470"/>
      <w:bookmarkStart w:id="1515" w:name="_Toc5644"/>
      <w:bookmarkStart w:id="1516" w:name="_Toc21033"/>
    </w:p>
    <w:p>
      <w:pPr>
        <w:shd w:val="clear"/>
        <w:tabs>
          <w:tab w:val="left" w:pos="840"/>
          <w:tab w:val="left" w:pos="1843"/>
        </w:tabs>
        <w:spacing w:before="0" w:after="0" w:afterAutospacing="0"/>
        <w:ind w:left="422" w:right="0" w:firstLine="0"/>
        <w:jc w:val="center"/>
        <w:outlineLvl w:val="1"/>
        <w:rPr>
          <w:rFonts w:ascii="宋体" w:hAnsi="宋体"/>
          <w:b/>
          <w:highlight w:val="none"/>
        </w:rPr>
      </w:pPr>
    </w:p>
    <w:p>
      <w:pPr>
        <w:shd w:val="clear"/>
        <w:tabs>
          <w:tab w:val="left" w:pos="840"/>
          <w:tab w:val="left" w:pos="1843"/>
        </w:tabs>
        <w:spacing w:before="0" w:after="0" w:afterAutospacing="0"/>
        <w:ind w:left="422" w:right="0" w:firstLine="0"/>
        <w:jc w:val="center"/>
        <w:outlineLvl w:val="1"/>
        <w:rPr>
          <w:rFonts w:ascii="宋体" w:hAnsi="宋体"/>
          <w:b/>
          <w:highlight w:val="none"/>
        </w:rPr>
      </w:pPr>
    </w:p>
    <w:p>
      <w:pPr>
        <w:pStyle w:val="3"/>
        <w:numPr>
          <w:ilvl w:val="3"/>
          <w:numId w:val="0"/>
        </w:numPr>
        <w:shd w:val="clear"/>
        <w:ind w:leftChars="0" w:right="-27" w:rightChars="0"/>
        <w:rPr>
          <w:rFonts w:hint="eastAsia" w:ascii="宋体" w:hAnsi="宋体" w:eastAsia="宋体" w:cs="Courier New"/>
          <w:b/>
          <w:kern w:val="2"/>
          <w:sz w:val="24"/>
          <w:szCs w:val="24"/>
          <w:highlight w:val="none"/>
        </w:rPr>
      </w:pPr>
    </w:p>
    <w:p>
      <w:pPr>
        <w:shd w:val="clear"/>
        <w:rPr>
          <w:rFonts w:hint="eastAsia"/>
          <w:highlight w:val="none"/>
        </w:rPr>
      </w:pPr>
    </w:p>
    <w:p>
      <w:pPr>
        <w:pStyle w:val="2"/>
        <w:widowControl w:val="0"/>
        <w:shd w:val="clear"/>
        <w:spacing w:before="0" w:after="0" w:afterAutospacing="0" w:line="360" w:lineRule="auto"/>
        <w:ind w:left="0" w:right="0" w:firstLine="0"/>
        <w:outlineLvl w:val="1"/>
        <w:rPr>
          <w:rFonts w:hint="eastAsia" w:ascii="宋体" w:hAnsi="宋体" w:eastAsia="宋体" w:cs="Courier New"/>
          <w:b/>
          <w:kern w:val="2"/>
          <w:sz w:val="24"/>
          <w:szCs w:val="24"/>
          <w:highlight w:val="none"/>
        </w:rPr>
      </w:pPr>
      <w:r>
        <w:rPr>
          <w:rFonts w:hint="eastAsia" w:ascii="宋体" w:hAnsi="宋体" w:eastAsia="宋体" w:cs="Courier New"/>
          <w:b/>
          <w:kern w:val="2"/>
          <w:sz w:val="24"/>
          <w:szCs w:val="24"/>
          <w:highlight w:val="none"/>
        </w:rPr>
        <w:t>四、价格组成文件</w:t>
      </w:r>
    </w:p>
    <w:p>
      <w:pPr>
        <w:pStyle w:val="2"/>
        <w:widowControl w:val="0"/>
        <w:shd w:val="clear"/>
        <w:spacing w:before="0" w:after="0" w:afterAutospacing="0" w:line="360" w:lineRule="auto"/>
        <w:ind w:left="0" w:right="0" w:firstLine="480" w:firstLineChars="200"/>
        <w:outlineLvl w:val="1"/>
        <w:rPr>
          <w:rFonts w:hint="eastAsia" w:ascii="宋体" w:hAnsi="宋体" w:eastAsia="宋体" w:cs="Courier New"/>
          <w:b w:val="0"/>
          <w:bCs/>
          <w:kern w:val="2"/>
          <w:sz w:val="24"/>
          <w:szCs w:val="24"/>
          <w:highlight w:val="none"/>
        </w:rPr>
      </w:pPr>
      <w:r>
        <w:rPr>
          <w:rFonts w:hint="eastAsia" w:ascii="宋体" w:hAnsi="宋体" w:eastAsia="宋体" w:cs="Courier New"/>
          <w:b w:val="0"/>
          <w:bCs/>
          <w:kern w:val="2"/>
          <w:sz w:val="24"/>
          <w:szCs w:val="24"/>
          <w:highlight w:val="none"/>
        </w:rPr>
        <w:t>1.税率确认函</w:t>
      </w:r>
    </w:p>
    <w:p>
      <w:pPr>
        <w:pStyle w:val="2"/>
        <w:widowControl w:val="0"/>
        <w:shd w:val="clear"/>
        <w:spacing w:before="0" w:after="0" w:afterAutospacing="0" w:line="360" w:lineRule="auto"/>
        <w:ind w:left="0" w:right="0" w:firstLine="480" w:firstLineChars="200"/>
        <w:outlineLvl w:val="1"/>
        <w:rPr>
          <w:rFonts w:hint="eastAsia" w:ascii="宋体" w:hAnsi="宋体" w:eastAsia="宋体" w:cs="Courier New"/>
          <w:b w:val="0"/>
          <w:bCs/>
          <w:kern w:val="2"/>
          <w:sz w:val="24"/>
          <w:szCs w:val="24"/>
          <w:highlight w:val="none"/>
        </w:rPr>
      </w:pPr>
      <w:r>
        <w:rPr>
          <w:rFonts w:hint="eastAsia" w:ascii="宋体" w:hAnsi="宋体" w:eastAsia="宋体" w:cs="Courier New"/>
          <w:b w:val="0"/>
          <w:bCs/>
          <w:kern w:val="2"/>
          <w:sz w:val="24"/>
          <w:szCs w:val="24"/>
          <w:highlight w:val="none"/>
        </w:rPr>
        <w:t>2.中选文件分项报价表</w:t>
      </w:r>
    </w:p>
    <w:p>
      <w:pPr>
        <w:pStyle w:val="3"/>
        <w:numPr>
          <w:ilvl w:val="3"/>
          <w:numId w:val="0"/>
        </w:numPr>
        <w:shd w:val="clear"/>
        <w:ind w:leftChars="0" w:right="-27" w:rightChars="0"/>
        <w:rPr>
          <w:rFonts w:hint="eastAsia" w:ascii="宋体" w:hAnsi="宋体" w:eastAsia="宋体" w:cs="Courier New"/>
          <w:b w:val="0"/>
          <w:bCs/>
          <w:kern w:val="2"/>
          <w:sz w:val="28"/>
          <w:szCs w:val="28"/>
          <w:highlight w:val="none"/>
        </w:rPr>
      </w:pPr>
    </w:p>
    <w:p>
      <w:pPr>
        <w:shd w:val="clear"/>
        <w:rPr>
          <w:rFonts w:hint="eastAsia" w:ascii="宋体" w:hAnsi="宋体" w:eastAsia="宋体" w:cs="Courier New"/>
          <w:b w:val="0"/>
          <w:bCs/>
          <w:kern w:val="2"/>
          <w:sz w:val="28"/>
          <w:szCs w:val="28"/>
          <w:highlight w:val="none"/>
        </w:rPr>
      </w:pPr>
    </w:p>
    <w:p>
      <w:pPr>
        <w:pStyle w:val="2"/>
        <w:shd w:val="clear"/>
        <w:rPr>
          <w:rFonts w:hint="eastAsia" w:ascii="宋体" w:hAnsi="宋体" w:eastAsia="宋体" w:cs="Courier New"/>
          <w:b w:val="0"/>
          <w:bCs/>
          <w:kern w:val="2"/>
          <w:sz w:val="28"/>
          <w:szCs w:val="28"/>
          <w:highlight w:val="none"/>
        </w:rPr>
      </w:pPr>
    </w:p>
    <w:p>
      <w:pPr>
        <w:pStyle w:val="3"/>
        <w:numPr>
          <w:ilvl w:val="3"/>
          <w:numId w:val="0"/>
        </w:numPr>
        <w:shd w:val="clear"/>
        <w:ind w:leftChars="0" w:right="-27" w:rightChars="0"/>
        <w:rPr>
          <w:rFonts w:hint="eastAsia"/>
          <w:highlight w:val="none"/>
        </w:rPr>
      </w:pPr>
    </w:p>
    <w:p>
      <w:pPr>
        <w:shd w:val="clear"/>
        <w:rPr>
          <w:rFonts w:hint="eastAsia" w:ascii="宋体" w:hAnsi="宋体" w:eastAsia="宋体" w:cs="Courier New"/>
          <w:b w:val="0"/>
          <w:bCs/>
          <w:kern w:val="2"/>
          <w:sz w:val="28"/>
          <w:szCs w:val="28"/>
          <w:highlight w:val="none"/>
        </w:rPr>
      </w:pPr>
    </w:p>
    <w:p>
      <w:pPr>
        <w:pStyle w:val="3"/>
        <w:numPr>
          <w:ilvl w:val="3"/>
          <w:numId w:val="0"/>
        </w:numPr>
        <w:shd w:val="clear"/>
        <w:ind w:leftChars="0" w:right="-27" w:rightChars="0"/>
        <w:rPr>
          <w:rFonts w:hint="eastAsia"/>
          <w:highlight w:val="none"/>
        </w:rPr>
      </w:pPr>
    </w:p>
    <w:p>
      <w:pPr>
        <w:shd w:val="clear"/>
        <w:rPr>
          <w:rFonts w:hint="eastAsia"/>
          <w:highlight w:val="none"/>
        </w:rPr>
      </w:pPr>
    </w:p>
    <w:p>
      <w:pPr>
        <w:pStyle w:val="2"/>
        <w:shd w:val="clear"/>
        <w:rPr>
          <w:rFonts w:hint="eastAsia"/>
          <w:highlight w:val="none"/>
        </w:rPr>
      </w:pPr>
    </w:p>
    <w:p>
      <w:pPr>
        <w:shd w:val="clear"/>
        <w:rPr>
          <w:rFonts w:hint="eastAsia"/>
          <w:highlight w:val="none"/>
        </w:rPr>
      </w:pPr>
    </w:p>
    <w:p>
      <w:pPr>
        <w:pStyle w:val="3"/>
        <w:numPr>
          <w:ilvl w:val="3"/>
          <w:numId w:val="0"/>
        </w:numPr>
        <w:shd w:val="clear"/>
        <w:ind w:leftChars="0" w:right="-27" w:rightChars="0"/>
        <w:rPr>
          <w:rFonts w:hint="eastAsia"/>
          <w:highlight w:val="none"/>
        </w:rPr>
      </w:pPr>
    </w:p>
    <w:p>
      <w:pPr>
        <w:shd w:val="clear"/>
        <w:rPr>
          <w:rFonts w:hint="eastAsia"/>
          <w:highlight w:val="none"/>
        </w:rPr>
      </w:pPr>
    </w:p>
    <w:p>
      <w:pPr>
        <w:pStyle w:val="3"/>
        <w:numPr>
          <w:ilvl w:val="3"/>
          <w:numId w:val="0"/>
        </w:numPr>
        <w:shd w:val="clear"/>
        <w:ind w:leftChars="0" w:right="-27" w:rightChars="0"/>
        <w:rPr>
          <w:rFonts w:hint="eastAsia"/>
          <w:highlight w:val="none"/>
        </w:rPr>
      </w:pPr>
    </w:p>
    <w:p>
      <w:pPr>
        <w:shd w:val="clear"/>
        <w:rPr>
          <w:rFonts w:hint="eastAsia"/>
          <w:highlight w:val="none"/>
        </w:rPr>
      </w:pPr>
    </w:p>
    <w:p>
      <w:pPr>
        <w:pStyle w:val="2"/>
        <w:shd w:val="clear"/>
        <w:rPr>
          <w:rFonts w:hint="eastAsia"/>
          <w:highlight w:val="none"/>
        </w:rPr>
      </w:pPr>
    </w:p>
    <w:p>
      <w:pPr>
        <w:pStyle w:val="3"/>
        <w:numPr>
          <w:ilvl w:val="3"/>
          <w:numId w:val="0"/>
        </w:numPr>
        <w:shd w:val="clear"/>
        <w:ind w:leftChars="0" w:right="-27" w:rightChars="0"/>
        <w:rPr>
          <w:rFonts w:hint="eastAsia"/>
          <w:highlight w:val="none"/>
        </w:rPr>
      </w:pPr>
    </w:p>
    <w:p>
      <w:pPr>
        <w:shd w:val="clear"/>
        <w:tabs>
          <w:tab w:val="left" w:pos="840"/>
          <w:tab w:val="left" w:pos="1843"/>
        </w:tabs>
        <w:spacing w:before="0" w:after="0" w:afterAutospacing="0"/>
        <w:ind w:left="422" w:right="0" w:firstLine="0"/>
        <w:jc w:val="center"/>
        <w:outlineLvl w:val="1"/>
        <w:rPr>
          <w:rFonts w:ascii="宋体" w:hAnsi="宋体"/>
          <w:b/>
          <w:highlight w:val="none"/>
        </w:rPr>
      </w:pPr>
    </w:p>
    <w:p>
      <w:pPr>
        <w:shd w:val="clear"/>
        <w:ind w:left="0" w:leftChars="0" w:firstLine="0" w:firstLineChars="0"/>
        <w:rPr>
          <w:highlight w:val="none"/>
        </w:rPr>
      </w:pPr>
    </w:p>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p>
      <w:pPr>
        <w:pStyle w:val="2"/>
        <w:shd w:val="clear"/>
        <w:spacing w:line="360" w:lineRule="auto"/>
        <w:outlineLvl w:val="1"/>
        <w:rPr>
          <w:rFonts w:hint="eastAsia" w:hAnsi="宋体"/>
          <w:b/>
          <w:sz w:val="24"/>
          <w:szCs w:val="24"/>
          <w:highlight w:val="none"/>
        </w:rPr>
      </w:pPr>
      <w:bookmarkStart w:id="1517" w:name="_Toc21643"/>
      <w:bookmarkStart w:id="1518" w:name="_Toc10097"/>
      <w:bookmarkStart w:id="1519" w:name="_Toc31430"/>
    </w:p>
    <w:p>
      <w:pPr>
        <w:pStyle w:val="2"/>
        <w:shd w:val="clear"/>
        <w:spacing w:line="360" w:lineRule="auto"/>
        <w:outlineLvl w:val="1"/>
        <w:rPr>
          <w:rFonts w:hAnsi="宋体"/>
          <w:b/>
          <w:sz w:val="24"/>
          <w:szCs w:val="24"/>
          <w:highlight w:val="none"/>
        </w:rPr>
      </w:pPr>
      <w:r>
        <w:rPr>
          <w:rFonts w:hint="eastAsia" w:hAnsi="宋体"/>
          <w:b/>
          <w:sz w:val="24"/>
          <w:szCs w:val="24"/>
          <w:highlight w:val="none"/>
        </w:rPr>
        <w:t>五、技术规格书</w:t>
      </w:r>
      <w:bookmarkEnd w:id="1517"/>
      <w:bookmarkEnd w:id="1518"/>
      <w:bookmarkEnd w:id="1519"/>
    </w:p>
    <w:p>
      <w:pPr>
        <w:shd w:val="clear"/>
        <w:rPr>
          <w:rFonts w:ascii="宋体" w:hAnsi="宋体"/>
          <w:highlight w:val="none"/>
        </w:rPr>
      </w:pPr>
    </w:p>
    <w:p>
      <w:pPr>
        <w:pStyle w:val="2"/>
        <w:shd w:val="clear"/>
        <w:jc w:val="center"/>
        <w:rPr>
          <w:rFonts w:hAnsi="宋体"/>
          <w:b/>
          <w:sz w:val="24"/>
          <w:szCs w:val="24"/>
          <w:highlight w:val="none"/>
        </w:rPr>
      </w:pPr>
    </w:p>
    <w:p>
      <w:pPr>
        <w:pStyle w:val="3"/>
        <w:numPr>
          <w:ilvl w:val="3"/>
          <w:numId w:val="0"/>
        </w:numPr>
        <w:shd w:val="clear"/>
        <w:ind w:leftChars="0" w:right="-27" w:rightChars="0"/>
        <w:rPr>
          <w:rFonts w:hAnsi="宋体"/>
          <w:b/>
          <w:sz w:val="24"/>
          <w:szCs w:val="24"/>
          <w:highlight w:val="none"/>
        </w:rPr>
      </w:pPr>
    </w:p>
    <w:p>
      <w:pPr>
        <w:shd w:val="clear"/>
        <w:rPr>
          <w:rFonts w:hAnsi="宋体"/>
          <w:b/>
          <w:sz w:val="24"/>
          <w:szCs w:val="24"/>
          <w:highlight w:val="none"/>
        </w:rPr>
      </w:pPr>
    </w:p>
    <w:p>
      <w:pPr>
        <w:pStyle w:val="2"/>
        <w:shd w:val="clear"/>
        <w:rPr>
          <w:rFonts w:hAnsi="宋体"/>
          <w:b/>
          <w:sz w:val="24"/>
          <w:szCs w:val="24"/>
          <w:highlight w:val="none"/>
        </w:rPr>
      </w:pPr>
    </w:p>
    <w:p>
      <w:pPr>
        <w:pStyle w:val="3"/>
        <w:numPr>
          <w:ilvl w:val="3"/>
          <w:numId w:val="0"/>
        </w:numPr>
        <w:shd w:val="clear"/>
        <w:ind w:leftChars="0" w:right="-27" w:rightChars="0"/>
        <w:rPr>
          <w:highlight w:val="none"/>
        </w:rPr>
      </w:pPr>
    </w:p>
    <w:p>
      <w:pPr>
        <w:shd w:val="clear"/>
        <w:rPr>
          <w:rFonts w:hAnsi="宋体"/>
          <w:b/>
          <w:sz w:val="24"/>
          <w:szCs w:val="24"/>
          <w:highlight w:val="none"/>
        </w:rPr>
      </w:pPr>
    </w:p>
    <w:p>
      <w:pPr>
        <w:pStyle w:val="2"/>
        <w:shd w:val="clear"/>
        <w:rPr>
          <w:rFonts w:hAnsi="宋体"/>
          <w:b/>
          <w:sz w:val="24"/>
          <w:szCs w:val="24"/>
          <w:highlight w:val="none"/>
        </w:rPr>
      </w:pPr>
    </w:p>
    <w:p>
      <w:pPr>
        <w:pStyle w:val="3"/>
        <w:numPr>
          <w:ilvl w:val="3"/>
          <w:numId w:val="0"/>
        </w:numPr>
        <w:shd w:val="clear"/>
        <w:ind w:leftChars="0" w:right="-27" w:rightChars="0"/>
        <w:rPr>
          <w:highlight w:val="none"/>
        </w:rPr>
      </w:pPr>
    </w:p>
    <w:p>
      <w:pPr>
        <w:shd w:val="clear"/>
        <w:rPr>
          <w:rFonts w:hAnsi="宋体"/>
          <w:b/>
          <w:sz w:val="24"/>
          <w:szCs w:val="24"/>
          <w:highlight w:val="none"/>
        </w:rPr>
      </w:pPr>
    </w:p>
    <w:p>
      <w:pPr>
        <w:pStyle w:val="2"/>
        <w:shd w:val="clear"/>
        <w:rPr>
          <w:rFonts w:hAnsi="宋体"/>
          <w:b/>
          <w:sz w:val="24"/>
          <w:szCs w:val="24"/>
          <w:highlight w:val="none"/>
        </w:rPr>
      </w:pPr>
    </w:p>
    <w:p>
      <w:pPr>
        <w:pStyle w:val="3"/>
        <w:numPr>
          <w:ilvl w:val="3"/>
          <w:numId w:val="0"/>
        </w:numPr>
        <w:shd w:val="clear"/>
        <w:ind w:leftChars="0" w:right="-27" w:rightChars="0"/>
        <w:rPr>
          <w:highlight w:val="none"/>
        </w:rPr>
      </w:pPr>
    </w:p>
    <w:p>
      <w:pPr>
        <w:shd w:val="clear"/>
        <w:rPr>
          <w:highlight w:val="none"/>
        </w:rPr>
      </w:pPr>
    </w:p>
    <w:p>
      <w:pPr>
        <w:pStyle w:val="2"/>
        <w:shd w:val="clear"/>
        <w:rPr>
          <w:highlight w:val="none"/>
        </w:rPr>
      </w:pPr>
    </w:p>
    <w:p>
      <w:pPr>
        <w:pStyle w:val="3"/>
        <w:numPr>
          <w:ilvl w:val="3"/>
          <w:numId w:val="0"/>
        </w:numPr>
        <w:shd w:val="clear"/>
        <w:ind w:leftChars="0" w:right="-27" w:rightChars="0"/>
        <w:rPr>
          <w:highlight w:val="none"/>
        </w:rPr>
      </w:pPr>
    </w:p>
    <w:p>
      <w:pPr>
        <w:shd w:val="clear"/>
        <w:rPr>
          <w:highlight w:val="none"/>
        </w:rPr>
      </w:pPr>
    </w:p>
    <w:p>
      <w:pPr>
        <w:shd w:val="clear"/>
        <w:ind w:left="0" w:leftChars="0" w:firstLine="0" w:firstLineChars="0"/>
        <w:rPr>
          <w:rFonts w:hint="eastAsia"/>
          <w:highlight w:val="none"/>
        </w:rPr>
      </w:pPr>
      <w:bookmarkStart w:id="1520" w:name="_Toc28768"/>
      <w:bookmarkStart w:id="1521" w:name="_Toc7800"/>
      <w:bookmarkStart w:id="1522" w:name="_Toc27753"/>
      <w:bookmarkStart w:id="1523" w:name="_Toc27263"/>
      <w:bookmarkStart w:id="1524" w:name="_Toc25306"/>
      <w:bookmarkStart w:id="1525" w:name="_Toc28677"/>
      <w:bookmarkStart w:id="1526" w:name="_Toc31574"/>
      <w:bookmarkStart w:id="1527" w:name="_Toc30920"/>
      <w:bookmarkStart w:id="1528" w:name="_Toc28285"/>
      <w:bookmarkStart w:id="1529" w:name="_Toc17261"/>
      <w:bookmarkStart w:id="1530" w:name="_Toc29546"/>
      <w:bookmarkStart w:id="1531" w:name="_Toc32011"/>
      <w:bookmarkStart w:id="1532" w:name="_Toc31873"/>
      <w:bookmarkStart w:id="1533" w:name="_Toc13167"/>
      <w:bookmarkStart w:id="1534" w:name="_Toc14790"/>
      <w:bookmarkStart w:id="1535" w:name="_Toc25750673"/>
      <w:bookmarkStart w:id="1536" w:name="_Toc11320"/>
      <w:bookmarkStart w:id="1537" w:name="_Toc4374"/>
      <w:bookmarkStart w:id="1538" w:name="_Toc17396"/>
      <w:bookmarkStart w:id="1539" w:name="_Toc21689"/>
      <w:bookmarkStart w:id="1540" w:name="_Toc6151"/>
    </w:p>
    <w:p>
      <w:pPr>
        <w:pStyle w:val="3"/>
        <w:numPr>
          <w:ilvl w:val="3"/>
          <w:numId w:val="0"/>
        </w:numPr>
        <w:shd w:val="clear"/>
        <w:ind w:leftChars="0" w:right="-27" w:rightChars="0"/>
        <w:rPr>
          <w:rFonts w:hint="eastAsia"/>
          <w:highlight w:val="none"/>
        </w:rPr>
      </w:pPr>
    </w:p>
    <w:p>
      <w:pPr>
        <w:shd w:val="clear"/>
        <w:rPr>
          <w:rFonts w:hint="eastAsia"/>
          <w:highlight w:val="none"/>
        </w:rPr>
      </w:pPr>
    </w:p>
    <w:p>
      <w:pPr>
        <w:pStyle w:val="2"/>
        <w:numPr>
          <w:ilvl w:val="0"/>
          <w:numId w:val="15"/>
        </w:numPr>
        <w:shd w:val="clear"/>
        <w:spacing w:line="360" w:lineRule="auto"/>
        <w:ind w:left="0" w:leftChars="0" w:firstLine="0" w:firstLineChars="0"/>
        <w:outlineLvl w:val="1"/>
        <w:rPr>
          <w:rFonts w:hint="eastAsia" w:hAnsi="宋体"/>
          <w:b/>
          <w:sz w:val="32"/>
          <w:szCs w:val="32"/>
          <w:highlight w:val="none"/>
        </w:rPr>
      </w:pPr>
      <w:r>
        <w:rPr>
          <w:rFonts w:hint="eastAsia" w:hAnsi="宋体"/>
          <w:b/>
          <w:sz w:val="32"/>
          <w:szCs w:val="32"/>
          <w:highlight w:val="none"/>
        </w:rPr>
        <w:t>合同附件及格式</w:t>
      </w:r>
      <w:bookmarkEnd w:id="1520"/>
      <w:bookmarkEnd w:id="1521"/>
      <w:bookmarkEnd w:id="1522"/>
    </w:p>
    <w:p>
      <w:pPr>
        <w:shd w:val="clear"/>
        <w:tabs>
          <w:tab w:val="left" w:pos="1134"/>
          <w:tab w:val="left" w:pos="8364"/>
        </w:tabs>
        <w:ind w:right="-57"/>
        <w:rPr>
          <w:rFonts w:ascii="宋体" w:hAnsi="宋体"/>
          <w:sz w:val="24"/>
          <w:szCs w:val="24"/>
          <w:highlight w:val="none"/>
        </w:rPr>
      </w:pPr>
      <w:r>
        <w:rPr>
          <w:rFonts w:hint="eastAsia" w:ascii="宋体" w:hAnsi="宋体"/>
          <w:b/>
          <w:sz w:val="24"/>
          <w:szCs w:val="24"/>
          <w:highlight w:val="none"/>
        </w:rPr>
        <w:t>附件1：</w:t>
      </w:r>
    </w:p>
    <w:p>
      <w:pPr>
        <w:shd w:val="clear"/>
        <w:ind w:right="-57"/>
        <w:jc w:val="center"/>
        <w:rPr>
          <w:rFonts w:hint="eastAsia"/>
          <w:highlight w:val="none"/>
        </w:rPr>
      </w:pPr>
      <w:r>
        <w:rPr>
          <w:rFonts w:hint="eastAsia" w:ascii="宋体" w:hAnsi="宋体"/>
          <w:b/>
          <w:sz w:val="24"/>
          <w:szCs w:val="24"/>
          <w:highlight w:val="none"/>
        </w:rPr>
        <w:t>银行</w:t>
      </w:r>
      <w:r>
        <w:rPr>
          <w:rFonts w:ascii="宋体" w:hAnsi="宋体"/>
          <w:b/>
          <w:sz w:val="24"/>
          <w:szCs w:val="24"/>
          <w:highlight w:val="none"/>
        </w:rPr>
        <w:t>保函</w:t>
      </w:r>
      <w:r>
        <w:rPr>
          <w:rFonts w:hint="eastAsia" w:ascii="宋体" w:hAnsi="宋体"/>
          <w:b/>
          <w:sz w:val="24"/>
          <w:szCs w:val="24"/>
          <w:highlight w:val="none"/>
        </w:rPr>
        <w:t>（中选后提供）</w:t>
      </w:r>
    </w:p>
    <w:p>
      <w:pPr>
        <w:widowControl w:val="0"/>
        <w:shd w:val="clear"/>
        <w:ind w:right="-57"/>
        <w:jc w:val="both"/>
        <w:rPr>
          <w:rFonts w:ascii="宋体" w:hAnsi="宋体" w:eastAsia="宋体" w:cs="Courier New"/>
          <w:spacing w:val="20"/>
          <w:kern w:val="2"/>
          <w:sz w:val="21"/>
          <w:szCs w:val="21"/>
          <w:highlight w:val="none"/>
          <w:lang w:val="en-US" w:eastAsia="zh-CN" w:bidi="ar-SA"/>
        </w:rPr>
      </w:pPr>
      <w:r>
        <w:rPr>
          <w:rFonts w:hint="eastAsia" w:ascii="宋体" w:hAnsi="宋体" w:eastAsia="宋体" w:cs="Courier New"/>
          <w:spacing w:val="20"/>
          <w:kern w:val="2"/>
          <w:sz w:val="21"/>
          <w:szCs w:val="21"/>
          <w:highlight w:val="none"/>
          <w:lang w:val="en-US" w:eastAsia="zh-CN" w:bidi="ar-SA"/>
        </w:rPr>
        <w:t>保函编号：</w:t>
      </w:r>
    </w:p>
    <w:p>
      <w:pPr>
        <w:widowControl w:val="0"/>
        <w:shd w:val="clear"/>
        <w:autoSpaceDE w:val="0"/>
        <w:autoSpaceDN w:val="0"/>
        <w:spacing w:before="0" w:after="0" w:afterAutospacing="0" w:line="240" w:lineRule="auto"/>
        <w:ind w:left="0" w:right="-57" w:firstLine="0"/>
        <w:jc w:val="left"/>
        <w:rPr>
          <w:rFonts w:ascii="宋体" w:hAnsi="宋体" w:cs="黑体"/>
          <w:kern w:val="2"/>
          <w:szCs w:val="22"/>
          <w:highlight w:val="none"/>
        </w:rPr>
      </w:pPr>
      <w:r>
        <w:rPr>
          <w:rFonts w:hint="eastAsia" w:ascii="宋体" w:hAnsi="宋体" w:cs="黑体"/>
          <w:kern w:val="2"/>
          <w:szCs w:val="22"/>
          <w:highlight w:val="none"/>
        </w:rPr>
        <w:t>致：南宁轨道交通运营有限公司</w:t>
      </w:r>
    </w:p>
    <w:p>
      <w:pPr>
        <w:widowControl w:val="0"/>
        <w:shd w:val="clear"/>
        <w:autoSpaceDE w:val="0"/>
        <w:autoSpaceDN w:val="0"/>
        <w:spacing w:before="0" w:after="0" w:afterAutospacing="0" w:line="240" w:lineRule="auto"/>
        <w:ind w:left="0" w:right="0" w:firstLine="200"/>
        <w:jc w:val="left"/>
        <w:rPr>
          <w:rFonts w:ascii="宋体" w:hAnsi="宋体" w:cs="黑体"/>
          <w:kern w:val="2"/>
          <w:szCs w:val="22"/>
          <w:highlight w:val="none"/>
        </w:rPr>
      </w:pPr>
      <w:r>
        <w:rPr>
          <w:rFonts w:hint="eastAsia" w:ascii="宋体" w:hAnsi="宋体" w:cs="黑体"/>
          <w:kern w:val="2"/>
          <w:szCs w:val="22"/>
          <w:highlight w:val="none"/>
        </w:rPr>
        <w:t>鉴于贵方已于年月日发出中选通知书，本保函作为贵方将与</w:t>
      </w:r>
      <w:r>
        <w:rPr>
          <w:rFonts w:hint="eastAsia" w:ascii="宋体" w:hAnsi="宋体" w:cs="黑体"/>
          <w:kern w:val="2"/>
          <w:szCs w:val="22"/>
          <w:highlight w:val="none"/>
          <w:u w:val="single"/>
        </w:rPr>
        <w:t xml:space="preserve">   （乙方名称） </w:t>
      </w:r>
      <w:r>
        <w:rPr>
          <w:rFonts w:hint="eastAsia" w:ascii="宋体" w:hAnsi="宋体" w:cs="黑体"/>
          <w:kern w:val="2"/>
          <w:szCs w:val="22"/>
          <w:highlight w:val="none"/>
        </w:rPr>
        <w:t>（以下简称“乙方”）签订的</w:t>
      </w:r>
      <w:r>
        <w:rPr>
          <w:rFonts w:hint="eastAsia" w:ascii="宋体" w:hAnsi="宋体" w:cs="黑体"/>
          <w:kern w:val="2"/>
          <w:szCs w:val="22"/>
          <w:highlight w:val="none"/>
          <w:u w:val="single"/>
        </w:rPr>
        <w:t xml:space="preserve">  （项目名称）   </w:t>
      </w:r>
      <w:r>
        <w:rPr>
          <w:rFonts w:hint="eastAsia" w:ascii="宋体" w:hAnsi="宋体" w:cs="黑体"/>
          <w:kern w:val="2"/>
          <w:szCs w:val="22"/>
          <w:highlight w:val="none"/>
        </w:rPr>
        <w:t>以下简称“本项目”）合同（中选价格￥元，大写：元）的银行保函。</w:t>
      </w:r>
    </w:p>
    <w:p>
      <w:pPr>
        <w:widowControl w:val="0"/>
        <w:shd w:val="clear"/>
        <w:autoSpaceDE w:val="0"/>
        <w:autoSpaceDN w:val="0"/>
        <w:spacing w:before="0" w:after="0" w:afterAutospacing="0" w:line="240" w:lineRule="auto"/>
        <w:ind w:left="0" w:right="0" w:firstLine="200"/>
        <w:jc w:val="left"/>
        <w:rPr>
          <w:rFonts w:ascii="宋体" w:hAnsi="宋体" w:cs="黑体"/>
          <w:kern w:val="2"/>
          <w:szCs w:val="22"/>
          <w:highlight w:val="none"/>
        </w:rPr>
      </w:pPr>
      <w:r>
        <w:rPr>
          <w:rFonts w:hint="eastAsia" w:ascii="宋体" w:hAnsi="宋体" w:cs="黑体"/>
          <w:kern w:val="2"/>
          <w:szCs w:val="22"/>
          <w:highlight w:val="none"/>
        </w:rPr>
        <w:t>我方</w:t>
      </w:r>
      <w:r>
        <w:rPr>
          <w:rFonts w:hint="eastAsia" w:ascii="宋体" w:hAnsi="宋体" w:cs="黑体"/>
          <w:kern w:val="2"/>
          <w:szCs w:val="22"/>
          <w:highlight w:val="none"/>
          <w:u w:val="single"/>
        </w:rPr>
        <w:t>（担保人名称    ）</w:t>
      </w:r>
      <w:r>
        <w:rPr>
          <w:rFonts w:hint="eastAsia" w:ascii="宋体" w:hAnsi="宋体" w:cs="黑体"/>
          <w:kern w:val="2"/>
          <w:szCs w:val="22"/>
          <w:highlight w:val="none"/>
        </w:rPr>
        <w:t>，受该乙方委托，为该乙方履行上述合同规定的义务做出如下无条件地和不可撤销的保证：</w:t>
      </w:r>
    </w:p>
    <w:p>
      <w:pPr>
        <w:widowControl w:val="0"/>
        <w:shd w:val="clear"/>
        <w:autoSpaceDE w:val="0"/>
        <w:autoSpaceDN w:val="0"/>
        <w:spacing w:before="0" w:after="0" w:afterAutospacing="0" w:line="240" w:lineRule="auto"/>
        <w:ind w:left="0" w:right="0" w:firstLine="200"/>
        <w:jc w:val="left"/>
        <w:rPr>
          <w:rFonts w:ascii="宋体" w:hAnsi="宋体" w:cs="黑体"/>
          <w:kern w:val="2"/>
          <w:szCs w:val="22"/>
          <w:highlight w:val="none"/>
        </w:rPr>
      </w:pPr>
      <w:r>
        <w:rPr>
          <w:rFonts w:hint="eastAsia" w:ascii="宋体" w:hAnsi="宋体" w:cs="黑体"/>
          <w:kern w:val="2"/>
          <w:szCs w:val="22"/>
          <w:highlight w:val="none"/>
        </w:rPr>
        <w:t>我方在收到贵方提出要求支付保证金的通知时，无须提出任何证明或证据，将于7日内无条件地和不可改变地向贵方支付不超过人民币元（大写：</w:t>
      </w:r>
      <w:r>
        <w:rPr>
          <w:rFonts w:hint="eastAsia" w:ascii="宋体" w:hAnsi="宋体" w:cs="黑体"/>
          <w:kern w:val="2"/>
          <w:szCs w:val="22"/>
          <w:highlight w:val="none"/>
          <w:lang w:val="en-US" w:eastAsia="zh-CN"/>
        </w:rPr>
        <w:t xml:space="preserve"> </w:t>
      </w:r>
      <w:r>
        <w:rPr>
          <w:rFonts w:hint="eastAsia" w:ascii="宋体" w:hAnsi="宋体" w:cs="黑体"/>
          <w:kern w:val="2"/>
          <w:szCs w:val="22"/>
          <w:highlight w:val="none"/>
        </w:rPr>
        <w:t>）的任何要求金额，我方不要求贵方证实其在索赔要求中指出的违约情况。</w:t>
      </w:r>
    </w:p>
    <w:p>
      <w:pPr>
        <w:widowControl w:val="0"/>
        <w:shd w:val="clear"/>
        <w:autoSpaceDE w:val="0"/>
        <w:autoSpaceDN w:val="0"/>
        <w:spacing w:before="0" w:after="0" w:afterAutospacing="0" w:line="240" w:lineRule="auto"/>
        <w:ind w:left="0" w:right="0" w:firstLine="200"/>
        <w:jc w:val="left"/>
        <w:rPr>
          <w:rFonts w:ascii="宋体" w:hAnsi="宋体" w:cs="黑体"/>
          <w:kern w:val="2"/>
          <w:szCs w:val="22"/>
          <w:highlight w:val="none"/>
        </w:rPr>
      </w:pPr>
      <w:r>
        <w:rPr>
          <w:rFonts w:hint="eastAsia" w:ascii="宋体" w:hAnsi="宋体" w:cs="黑体"/>
          <w:kern w:val="2"/>
          <w:szCs w:val="22"/>
          <w:highlight w:val="none"/>
        </w:rPr>
        <w:t>我方同意，任何贵方与乙方之间可能对合同的修改、变更或补充，或由乙方原因导致合同解除、终止，都不能减少和免除我方按本保函所承担的责任。有关修改、变更或补充无须通知我方。</w:t>
      </w:r>
    </w:p>
    <w:p>
      <w:pPr>
        <w:widowControl w:val="0"/>
        <w:shd w:val="clear"/>
        <w:autoSpaceDE w:val="0"/>
        <w:autoSpaceDN w:val="0"/>
        <w:spacing w:before="0" w:after="0" w:afterAutospacing="0" w:line="240" w:lineRule="auto"/>
        <w:ind w:left="0" w:right="0" w:firstLine="198"/>
        <w:jc w:val="left"/>
        <w:rPr>
          <w:rFonts w:ascii="宋体" w:hAnsi="宋体" w:cs="黑体"/>
          <w:kern w:val="2"/>
          <w:szCs w:val="22"/>
          <w:highlight w:val="none"/>
        </w:rPr>
      </w:pPr>
      <w:r>
        <w:rPr>
          <w:rFonts w:hint="eastAsia" w:ascii="宋体" w:hAnsi="宋体" w:cs="黑体"/>
          <w:kern w:val="2"/>
          <w:szCs w:val="22"/>
          <w:highlight w:val="none"/>
        </w:rPr>
        <w:t>本保函项下所有权利和义务均适用于中华人民共和国法律。</w:t>
      </w:r>
    </w:p>
    <w:p>
      <w:pPr>
        <w:widowControl w:val="0"/>
        <w:shd w:val="clear"/>
        <w:autoSpaceDE w:val="0"/>
        <w:autoSpaceDN w:val="0"/>
        <w:spacing w:before="0" w:after="0" w:afterAutospacing="0" w:line="240" w:lineRule="auto"/>
        <w:ind w:left="0" w:right="-57" w:firstLine="198"/>
        <w:jc w:val="left"/>
        <w:rPr>
          <w:rFonts w:ascii="宋体" w:hAnsi="宋体" w:cs="黑体"/>
          <w:kern w:val="2"/>
          <w:szCs w:val="22"/>
          <w:highlight w:val="none"/>
        </w:rPr>
      </w:pPr>
      <w:r>
        <w:rPr>
          <w:rFonts w:hint="eastAsia" w:ascii="宋体" w:hAnsi="宋体" w:cs="黑体"/>
          <w:kern w:val="2"/>
          <w:szCs w:val="22"/>
          <w:highlight w:val="none"/>
        </w:rPr>
        <w:t>1、本保函自</w:t>
      </w:r>
      <w:r>
        <w:rPr>
          <w:rFonts w:hint="eastAsia" w:ascii="宋体" w:hAnsi="宋体" w:cs="黑体"/>
          <w:kern w:val="2"/>
          <w:szCs w:val="22"/>
          <w:highlight w:val="none"/>
          <w:u w:val="single"/>
        </w:rPr>
        <w:t>X年X月X日</w:t>
      </w:r>
      <w:r>
        <w:rPr>
          <w:rFonts w:hint="eastAsia" w:ascii="宋体" w:hAnsi="宋体" w:cs="黑体"/>
          <w:kern w:val="2"/>
          <w:szCs w:val="22"/>
          <w:highlight w:val="none"/>
        </w:rPr>
        <w:t>起生效，至</w:t>
      </w:r>
      <w:r>
        <w:rPr>
          <w:rFonts w:hint="eastAsia" w:ascii="宋体" w:hAnsi="宋体" w:cs="黑体"/>
          <w:kern w:val="2"/>
          <w:szCs w:val="22"/>
          <w:highlight w:val="none"/>
          <w:u w:val="single"/>
        </w:rPr>
        <w:t>本合同维保项目完成结算之日后四十五（45）天一直有效</w:t>
      </w:r>
      <w:r>
        <w:rPr>
          <w:rFonts w:hint="eastAsia" w:ascii="宋体" w:hAnsi="宋体" w:cs="黑体"/>
          <w:kern w:val="2"/>
          <w:szCs w:val="22"/>
          <w:highlight w:val="none"/>
        </w:rPr>
        <w:t>，你方有权提前终止或解除本保函。保函失效后请将本保函退回我方注销。</w:t>
      </w:r>
    </w:p>
    <w:p>
      <w:pPr>
        <w:widowControl w:val="0"/>
        <w:shd w:val="clear"/>
        <w:autoSpaceDE w:val="0"/>
        <w:autoSpaceDN w:val="0"/>
        <w:spacing w:before="0" w:after="0" w:afterAutospacing="0" w:line="240" w:lineRule="auto"/>
        <w:ind w:left="0" w:right="-57" w:firstLine="198"/>
        <w:jc w:val="left"/>
        <w:rPr>
          <w:rFonts w:ascii="宋体" w:hAnsi="宋体" w:cs="黑体"/>
          <w:kern w:val="2"/>
          <w:szCs w:val="22"/>
          <w:highlight w:val="none"/>
        </w:rPr>
      </w:pPr>
      <w:r>
        <w:rPr>
          <w:rFonts w:hint="eastAsia" w:ascii="宋体" w:hAnsi="宋体" w:cs="黑体"/>
          <w:kern w:val="2"/>
          <w:szCs w:val="22"/>
          <w:highlight w:val="none"/>
        </w:rPr>
        <w:t>2、本保函自</w:t>
      </w:r>
      <w:r>
        <w:rPr>
          <w:rFonts w:hint="eastAsia" w:ascii="宋体" w:hAnsi="宋体" w:cs="黑体"/>
          <w:kern w:val="2"/>
          <w:szCs w:val="22"/>
          <w:highlight w:val="none"/>
          <w:u w:val="single"/>
        </w:rPr>
        <w:t>X年X月X日</w:t>
      </w:r>
      <w:r>
        <w:rPr>
          <w:rFonts w:hint="eastAsia" w:ascii="宋体" w:hAnsi="宋体" w:cs="黑体"/>
          <w:kern w:val="2"/>
          <w:szCs w:val="22"/>
          <w:highlight w:val="none"/>
        </w:rPr>
        <w:t>起生效，至</w:t>
      </w:r>
      <w:r>
        <w:rPr>
          <w:rFonts w:hint="eastAsia" w:ascii="宋体" w:hAnsi="宋体" w:cs="黑体"/>
          <w:kern w:val="2"/>
          <w:szCs w:val="22"/>
          <w:highlight w:val="none"/>
          <w:u w:val="single"/>
        </w:rPr>
        <w:t>X年X月X日</w:t>
      </w:r>
      <w:r>
        <w:rPr>
          <w:rFonts w:hint="eastAsia" w:ascii="宋体" w:hAnsi="宋体" w:cs="Arial"/>
          <w:kern w:val="2"/>
          <w:szCs w:val="22"/>
          <w:highlight w:val="none"/>
        </w:rPr>
        <w:t>一直有效，</w:t>
      </w:r>
      <w:r>
        <w:rPr>
          <w:rFonts w:hint="eastAsia" w:ascii="宋体" w:hAnsi="宋体" w:cs="黑体"/>
          <w:kern w:val="2"/>
          <w:szCs w:val="22"/>
          <w:highlight w:val="none"/>
        </w:rPr>
        <w:t>你方有权提前终止或解除本保函。保函失效后请将本保函退回我方注销。</w:t>
      </w:r>
    </w:p>
    <w:p>
      <w:pPr>
        <w:widowControl w:val="0"/>
        <w:shd w:val="clear"/>
        <w:spacing w:before="0" w:after="0" w:afterAutospacing="0" w:line="240" w:lineRule="auto"/>
        <w:ind w:left="0" w:right="-57" w:firstLine="200"/>
        <w:rPr>
          <w:rFonts w:ascii="宋体" w:hAnsi="宋体" w:cs="黑体"/>
          <w:kern w:val="2"/>
          <w:szCs w:val="22"/>
          <w:highlight w:val="none"/>
        </w:rPr>
      </w:pPr>
      <w:r>
        <w:rPr>
          <w:rFonts w:hint="eastAsia" w:ascii="宋体" w:hAnsi="宋体" w:cs="黑体"/>
          <w:b/>
          <w:i/>
          <w:kern w:val="2"/>
          <w:szCs w:val="22"/>
          <w:highlight w:val="none"/>
        </w:rPr>
        <w:t>（开具保函时，以上二种方式，任选一种。）</w:t>
      </w:r>
    </w:p>
    <w:p>
      <w:pPr>
        <w:widowControl w:val="0"/>
        <w:shd w:val="clear"/>
        <w:spacing w:before="0" w:after="0" w:afterAutospacing="0" w:line="240" w:lineRule="auto"/>
        <w:ind w:left="0" w:right="-57" w:firstLine="0"/>
        <w:rPr>
          <w:rFonts w:ascii="宋体" w:hAnsi="宋体" w:cs="Arial"/>
          <w:kern w:val="2"/>
          <w:szCs w:val="22"/>
          <w:highlight w:val="none"/>
        </w:rPr>
      </w:pPr>
      <w:r>
        <w:rPr>
          <w:rFonts w:hint="eastAsia" w:ascii="宋体" w:hAnsi="宋体" w:cs="黑体"/>
          <w:kern w:val="2"/>
          <w:szCs w:val="22"/>
          <w:highlight w:val="none"/>
        </w:rPr>
        <w:t>银行地址：               担保银行：</w:t>
      </w:r>
      <w:r>
        <w:rPr>
          <w:rFonts w:hint="eastAsia" w:ascii="宋体" w:hAnsi="宋体" w:cs="黑体"/>
          <w:kern w:val="2"/>
          <w:szCs w:val="22"/>
          <w:highlight w:val="none"/>
          <w:u w:val="single"/>
        </w:rPr>
        <w:t xml:space="preserve">（全称）    </w:t>
      </w:r>
      <w:r>
        <w:rPr>
          <w:rFonts w:hint="eastAsia" w:ascii="宋体" w:hAnsi="宋体" w:cs="黑体"/>
          <w:kern w:val="2"/>
          <w:szCs w:val="22"/>
          <w:highlight w:val="none"/>
        </w:rPr>
        <w:t>(盖章)</w:t>
      </w:r>
    </w:p>
    <w:p>
      <w:pPr>
        <w:widowControl w:val="0"/>
        <w:shd w:val="clear"/>
        <w:spacing w:before="0" w:after="0" w:afterAutospacing="0" w:line="240" w:lineRule="auto"/>
        <w:ind w:left="0" w:right="-57" w:firstLine="0"/>
        <w:rPr>
          <w:rFonts w:ascii="宋体" w:hAnsi="宋体" w:cs="黑体"/>
          <w:kern w:val="2"/>
          <w:szCs w:val="22"/>
          <w:highlight w:val="none"/>
        </w:rPr>
      </w:pPr>
      <w:r>
        <w:rPr>
          <w:rFonts w:hint="eastAsia" w:ascii="宋体" w:hAnsi="宋体" w:cs="黑体"/>
          <w:kern w:val="2"/>
          <w:szCs w:val="22"/>
          <w:highlight w:val="none"/>
        </w:rPr>
        <w:t>邮编：                   法定代表人或（授权代理人）：(签字)</w:t>
      </w:r>
    </w:p>
    <w:p>
      <w:pPr>
        <w:widowControl w:val="0"/>
        <w:shd w:val="clear"/>
        <w:spacing w:before="0" w:after="0" w:afterAutospacing="0" w:line="240" w:lineRule="auto"/>
        <w:ind w:left="0" w:right="-57" w:firstLine="0"/>
        <w:rPr>
          <w:rFonts w:ascii="宋体" w:hAnsi="宋体" w:cs="黑体"/>
          <w:kern w:val="2"/>
          <w:szCs w:val="22"/>
          <w:highlight w:val="none"/>
          <w:u w:val="single"/>
        </w:rPr>
      </w:pPr>
      <w:r>
        <w:rPr>
          <w:rFonts w:hint="eastAsia" w:ascii="宋体" w:hAnsi="宋体" w:cs="黑体"/>
          <w:kern w:val="2"/>
          <w:szCs w:val="22"/>
          <w:highlight w:val="none"/>
        </w:rPr>
        <w:t xml:space="preserve">电话：                   </w:t>
      </w:r>
      <w:r>
        <w:rPr>
          <w:rFonts w:hint="eastAsia" w:ascii="宋体" w:hAnsi="宋体" w:cs="黑体"/>
          <w:kern w:val="2"/>
          <w:szCs w:val="22"/>
          <w:highlight w:val="none"/>
          <w:u w:val="single"/>
        </w:rPr>
        <w:t>（职务）   （姓名）  （签字）</w:t>
      </w:r>
    </w:p>
    <w:p>
      <w:pPr>
        <w:widowControl w:val="0"/>
        <w:shd w:val="clear"/>
        <w:spacing w:before="0" w:after="0" w:afterAutospacing="0" w:line="240" w:lineRule="auto"/>
        <w:ind w:left="0" w:right="-57" w:firstLine="0"/>
        <w:rPr>
          <w:rFonts w:ascii="宋体" w:hAnsi="宋体" w:cs="黑体"/>
          <w:kern w:val="2"/>
          <w:szCs w:val="22"/>
          <w:highlight w:val="none"/>
        </w:rPr>
      </w:pPr>
      <w:r>
        <w:rPr>
          <w:rFonts w:hint="eastAsia" w:ascii="宋体" w:hAnsi="宋体" w:cs="黑体"/>
          <w:kern w:val="2"/>
          <w:szCs w:val="22"/>
          <w:highlight w:val="none"/>
        </w:rPr>
        <w:t>传真：                   日期：   年   月   日</w:t>
      </w:r>
    </w:p>
    <w:p>
      <w:pPr>
        <w:pStyle w:val="3"/>
        <w:numPr>
          <w:ilvl w:val="3"/>
          <w:numId w:val="0"/>
        </w:numPr>
        <w:shd w:val="clear"/>
        <w:ind w:leftChars="0" w:right="-27" w:rightChars="0"/>
        <w:rPr>
          <w:rFonts w:hint="eastAsia"/>
          <w:highlight w:val="none"/>
        </w:rPr>
      </w:pPr>
    </w:p>
    <w:p>
      <w:pPr>
        <w:pStyle w:val="3"/>
        <w:numPr>
          <w:ilvl w:val="3"/>
          <w:numId w:val="0"/>
        </w:numPr>
        <w:shd w:val="clear"/>
        <w:ind w:leftChars="0" w:right="-27" w:rightChars="0"/>
        <w:rPr>
          <w:highlight w:val="none"/>
        </w:rPr>
      </w:pPr>
    </w:p>
    <w:p>
      <w:pPr>
        <w:pStyle w:val="2"/>
        <w:shd w:val="clear"/>
        <w:spacing w:line="360" w:lineRule="auto"/>
        <w:ind w:firstLine="400" w:firstLineChars="200"/>
        <w:rPr>
          <w:highlight w:val="none"/>
        </w:rPr>
      </w:pPr>
    </w:p>
    <w:p>
      <w:pPr>
        <w:shd w:val="clear"/>
        <w:ind w:right="-57"/>
        <w:jc w:val="center"/>
        <w:rPr>
          <w:rFonts w:hint="eastAsia" w:ascii="宋体" w:hAnsi="宋体"/>
          <w:b/>
          <w:sz w:val="24"/>
          <w:szCs w:val="24"/>
          <w:highlight w:val="none"/>
        </w:rPr>
      </w:pPr>
    </w:p>
    <w:p>
      <w:pPr>
        <w:shd w:val="clear"/>
        <w:ind w:right="-57"/>
        <w:jc w:val="center"/>
        <w:rPr>
          <w:rFonts w:hint="eastAsia" w:ascii="宋体" w:hAnsi="宋体"/>
          <w:b/>
          <w:sz w:val="24"/>
          <w:szCs w:val="24"/>
          <w:highlight w:val="none"/>
        </w:rPr>
      </w:pPr>
    </w:p>
    <w:p>
      <w:pPr>
        <w:shd w:val="clear"/>
        <w:ind w:right="-57"/>
        <w:jc w:val="center"/>
        <w:rPr>
          <w:rFonts w:hint="eastAsia" w:ascii="宋体" w:hAnsi="宋体"/>
          <w:b/>
          <w:sz w:val="24"/>
          <w:szCs w:val="24"/>
          <w:highlight w:val="none"/>
        </w:rPr>
      </w:pPr>
    </w:p>
    <w:p>
      <w:pPr>
        <w:shd w:val="clear"/>
        <w:ind w:right="-57"/>
        <w:jc w:val="center"/>
        <w:rPr>
          <w:rFonts w:hint="eastAsia" w:ascii="宋体" w:hAnsi="宋体"/>
          <w:b/>
          <w:sz w:val="24"/>
          <w:szCs w:val="24"/>
          <w:highlight w:val="none"/>
        </w:rPr>
      </w:pPr>
    </w:p>
    <w:p>
      <w:pPr>
        <w:shd w:val="clear"/>
        <w:ind w:right="-57"/>
        <w:jc w:val="center"/>
        <w:rPr>
          <w:rFonts w:hint="eastAsia" w:ascii="宋体" w:hAnsi="宋体"/>
          <w:b/>
          <w:sz w:val="24"/>
          <w:szCs w:val="24"/>
          <w:highlight w:val="none"/>
        </w:rPr>
      </w:pPr>
    </w:p>
    <w:p>
      <w:pPr>
        <w:shd w:val="clear"/>
        <w:ind w:right="-57"/>
        <w:jc w:val="center"/>
        <w:rPr>
          <w:rFonts w:hint="eastAsia" w:ascii="宋体" w:hAnsi="宋体"/>
          <w:b/>
          <w:sz w:val="24"/>
          <w:szCs w:val="24"/>
          <w:highlight w:val="none"/>
        </w:rPr>
      </w:pPr>
    </w:p>
    <w:p>
      <w:pPr>
        <w:pStyle w:val="2"/>
        <w:shd w:val="clear"/>
        <w:rPr>
          <w:rFonts w:hint="eastAsia"/>
          <w:highlight w:val="none"/>
        </w:rPr>
      </w:pPr>
    </w:p>
    <w:p>
      <w:pPr>
        <w:shd w:val="clear"/>
        <w:ind w:right="-57"/>
        <w:jc w:val="center"/>
        <w:rPr>
          <w:rFonts w:ascii="宋体" w:hAnsi="宋体"/>
          <w:b/>
          <w:sz w:val="24"/>
          <w:szCs w:val="24"/>
          <w:highlight w:val="none"/>
        </w:rPr>
      </w:pPr>
      <w:r>
        <w:rPr>
          <w:rFonts w:hint="eastAsia" w:ascii="宋体" w:hAnsi="宋体"/>
          <w:b/>
          <w:sz w:val="24"/>
          <w:szCs w:val="24"/>
          <w:highlight w:val="none"/>
        </w:rPr>
        <w:t>承诺函（中选后提供）</w:t>
      </w:r>
    </w:p>
    <w:p>
      <w:pPr>
        <w:shd w:val="clear"/>
        <w:ind w:right="-57"/>
        <w:rPr>
          <w:rFonts w:ascii="宋体" w:hAnsi="宋体"/>
          <w:highlight w:val="none"/>
        </w:rPr>
      </w:pPr>
    </w:p>
    <w:p>
      <w:pPr>
        <w:shd w:val="clear"/>
        <w:spacing w:line="480" w:lineRule="auto"/>
        <w:ind w:right="-57"/>
        <w:rPr>
          <w:rFonts w:ascii="宋体" w:hAnsi="宋体"/>
          <w:highlight w:val="none"/>
        </w:rPr>
      </w:pPr>
      <w:r>
        <w:rPr>
          <w:rFonts w:hint="eastAsia" w:ascii="宋体" w:hAnsi="宋体"/>
          <w:highlight w:val="none"/>
        </w:rPr>
        <w:t>南宁轨道交通运营有限公司：</w:t>
      </w:r>
    </w:p>
    <w:p>
      <w:pPr>
        <w:shd w:val="clear"/>
        <w:spacing w:line="480" w:lineRule="auto"/>
        <w:ind w:right="-57" w:firstLine="200"/>
        <w:rPr>
          <w:rFonts w:ascii="宋体" w:hAnsi="宋体"/>
          <w:highlight w:val="none"/>
        </w:rPr>
      </w:pPr>
      <w:r>
        <w:rPr>
          <w:rFonts w:hint="eastAsia" w:ascii="宋体" w:hAnsi="宋体"/>
          <w:highlight w:val="none"/>
        </w:rPr>
        <w:t>（以下称“本公司”）现已中选贵司比选的</w:t>
      </w:r>
      <w:r>
        <w:rPr>
          <w:rFonts w:hint="eastAsia" w:ascii="宋体" w:hAnsi="宋体"/>
          <w:highlight w:val="none"/>
          <w:u w:val="single"/>
        </w:rPr>
        <w:t xml:space="preserve">      （项目名称）</w:t>
      </w:r>
      <w:r>
        <w:rPr>
          <w:rFonts w:hint="eastAsia" w:ascii="宋体" w:hAnsi="宋体"/>
          <w:highlight w:val="none"/>
        </w:rPr>
        <w:t>，并拟签订正式合同，按合同规定需向贵司提供一份履约担保金额为人民币：</w:t>
      </w:r>
      <w:r>
        <w:rPr>
          <w:rFonts w:hint="eastAsia" w:ascii="宋体" w:hAnsi="宋体"/>
          <w:highlight w:val="none"/>
          <w:u w:val="single"/>
        </w:rPr>
        <w:t xml:space="preserve">         （￥   </w:t>
      </w:r>
      <w:r>
        <w:rPr>
          <w:rFonts w:hint="eastAsia" w:ascii="宋体" w:hAnsi="宋体"/>
          <w:highlight w:val="none"/>
        </w:rPr>
        <w:t>）的银行保函（保函编号：），有效期至X年X月X日。</w:t>
      </w:r>
    </w:p>
    <w:p>
      <w:pPr>
        <w:shd w:val="clear"/>
        <w:spacing w:line="480" w:lineRule="auto"/>
        <w:ind w:right="-57" w:firstLine="200"/>
        <w:rPr>
          <w:rFonts w:ascii="宋体" w:hAnsi="宋体"/>
          <w:highlight w:val="none"/>
        </w:rPr>
      </w:pPr>
      <w:r>
        <w:rPr>
          <w:rFonts w:hint="eastAsia" w:ascii="宋体" w:hAnsi="宋体"/>
          <w:highlight w:val="none"/>
        </w:rPr>
        <w:t>本公司现向贵司郑重承诺，如上述保函到期日仍未到合同约定的时间（</w:t>
      </w:r>
      <w:r>
        <w:rPr>
          <w:rFonts w:hint="eastAsia" w:ascii="宋体" w:hAnsi="宋体"/>
          <w:highlight w:val="none"/>
          <w:u w:val="single"/>
        </w:rPr>
        <w:t>完成结算之日后四十五（45）天</w:t>
      </w:r>
      <w:r>
        <w:rPr>
          <w:rFonts w:hint="eastAsia" w:ascii="宋体" w:hAnsi="宋体"/>
          <w:highlight w:val="none"/>
        </w:rPr>
        <w:t>），本公司将在保函到期前60天，无条件延长保函有效期。如未及时向贵司提供符合规定的银行保函，我司承担违约责任的一切后果。</w:t>
      </w:r>
    </w:p>
    <w:p>
      <w:pPr>
        <w:shd w:val="clear"/>
        <w:spacing w:line="480" w:lineRule="auto"/>
        <w:ind w:left="705" w:right="-57" w:hanging="285"/>
        <w:rPr>
          <w:rFonts w:ascii="宋体" w:hAnsi="宋体"/>
          <w:highlight w:val="none"/>
        </w:rPr>
      </w:pPr>
      <w:r>
        <w:rPr>
          <w:rFonts w:hint="eastAsia" w:ascii="宋体" w:hAnsi="宋体"/>
          <w:highlight w:val="none"/>
        </w:rPr>
        <w:t>特此承诺</w:t>
      </w:r>
    </w:p>
    <w:p>
      <w:pPr>
        <w:shd w:val="clear"/>
        <w:ind w:right="-57" w:firstLine="420"/>
        <w:rPr>
          <w:rFonts w:ascii="宋体" w:hAnsi="宋体"/>
          <w:highlight w:val="none"/>
        </w:rPr>
      </w:pPr>
    </w:p>
    <w:p>
      <w:pPr>
        <w:shd w:val="clear"/>
        <w:ind w:left="5040" w:right="-57" w:hanging="4935"/>
        <w:rPr>
          <w:rFonts w:ascii="宋体" w:hAnsi="宋体"/>
          <w:highlight w:val="none"/>
        </w:rPr>
      </w:pPr>
      <w:r>
        <w:rPr>
          <w:rFonts w:hint="eastAsia" w:ascii="宋体" w:hAnsi="宋体"/>
          <w:highlight w:val="none"/>
        </w:rPr>
        <w:t xml:space="preserve">                                                                    承诺人：</w:t>
      </w:r>
    </w:p>
    <w:p>
      <w:pPr>
        <w:shd w:val="clear"/>
        <w:ind w:left="4935" w:right="-57" w:hanging="4830"/>
        <w:rPr>
          <w:rFonts w:ascii="宋体" w:hAnsi="宋体"/>
          <w:highlight w:val="none"/>
        </w:rPr>
      </w:pPr>
      <w:r>
        <w:rPr>
          <w:rFonts w:hint="eastAsia" w:ascii="宋体" w:hAnsi="宋体"/>
          <w:highlight w:val="none"/>
        </w:rPr>
        <w:t xml:space="preserve">                                                                </w:t>
      </w:r>
      <w:r>
        <w:rPr>
          <w:rFonts w:hint="eastAsia" w:ascii="宋体" w:hAnsi="宋体"/>
          <w:highlight w:val="none"/>
          <w:lang w:val="en-US" w:eastAsia="zh-CN"/>
        </w:rPr>
        <w:t xml:space="preserve">  </w:t>
      </w:r>
      <w:r>
        <w:rPr>
          <w:rFonts w:hint="eastAsia" w:ascii="宋体" w:hAnsi="宋体"/>
          <w:highlight w:val="none"/>
        </w:rPr>
        <w:t>X年X月X日</w:t>
      </w:r>
    </w:p>
    <w:p>
      <w:pPr>
        <w:shd w:val="clear"/>
        <w:ind w:right="-57"/>
        <w:rPr>
          <w:rFonts w:ascii="宋体" w:hAnsi="宋体"/>
          <w:highlight w:val="none"/>
        </w:rPr>
      </w:pPr>
    </w:p>
    <w:p>
      <w:pPr>
        <w:shd w:val="clear"/>
        <w:ind w:right="-57" w:firstLine="200"/>
        <w:rPr>
          <w:rFonts w:ascii="宋体" w:hAnsi="宋体"/>
          <w:b/>
          <w:i/>
          <w:highlight w:val="none"/>
        </w:rPr>
      </w:pPr>
    </w:p>
    <w:p>
      <w:pPr>
        <w:shd w:val="clear"/>
        <w:ind w:right="-57" w:firstLine="200"/>
        <w:rPr>
          <w:rFonts w:hint="eastAsia" w:ascii="宋体" w:hAnsi="宋体"/>
          <w:b/>
          <w:i/>
          <w:highlight w:val="none"/>
        </w:rPr>
      </w:pPr>
      <w:r>
        <w:rPr>
          <w:rFonts w:hint="eastAsia" w:ascii="宋体" w:hAnsi="宋体"/>
          <w:b/>
          <w:i/>
          <w:highlight w:val="none"/>
        </w:rPr>
        <w:t>（当选择银行保函格式第2种方式时开具银行保函的，必须提供本承诺书。）</w:t>
      </w:r>
    </w:p>
    <w:p>
      <w:pPr>
        <w:pStyle w:val="3"/>
        <w:numPr>
          <w:ilvl w:val="3"/>
          <w:numId w:val="0"/>
        </w:numPr>
        <w:shd w:val="clear"/>
        <w:ind w:leftChars="0" w:right="-27" w:rightChars="0"/>
        <w:rPr>
          <w:rFonts w:hint="eastAsia"/>
          <w:highlight w:val="none"/>
        </w:rPr>
      </w:pPr>
    </w:p>
    <w:p>
      <w:pPr>
        <w:shd w:val="clear"/>
        <w:rPr>
          <w:rFonts w:hint="eastAsia"/>
          <w:highlight w:val="none"/>
        </w:rPr>
      </w:pPr>
    </w:p>
    <w:p>
      <w:pPr>
        <w:shd w:val="clear"/>
        <w:ind w:left="0" w:leftChars="0" w:firstLine="0" w:firstLineChars="0"/>
        <w:rPr>
          <w:rFonts w:hint="eastAsia"/>
          <w:highlight w:val="none"/>
        </w:rPr>
      </w:pPr>
    </w:p>
    <w:p>
      <w:pPr>
        <w:pStyle w:val="2"/>
        <w:shd w:val="clear"/>
        <w:spacing w:line="240" w:lineRule="auto"/>
        <w:ind w:left="0" w:leftChars="0" w:firstLine="0" w:firstLineChars="0"/>
        <w:outlineLvl w:val="2"/>
        <w:rPr>
          <w:rFonts w:hint="eastAsia" w:hAnsi="宋体"/>
          <w:b/>
          <w:sz w:val="24"/>
          <w:szCs w:val="24"/>
          <w:highlight w:val="none"/>
        </w:rPr>
      </w:pPr>
      <w:r>
        <w:rPr>
          <w:rFonts w:hint="eastAsia" w:hAnsi="宋体"/>
          <w:b/>
          <w:sz w:val="24"/>
          <w:szCs w:val="24"/>
          <w:highlight w:val="none"/>
        </w:rPr>
        <w:t>附件</w:t>
      </w:r>
      <w:r>
        <w:rPr>
          <w:rFonts w:hAnsi="宋体"/>
          <w:b/>
          <w:sz w:val="24"/>
          <w:szCs w:val="24"/>
          <w:highlight w:val="none"/>
        </w:rPr>
        <w:t>2</w:t>
      </w:r>
      <w:r>
        <w:rPr>
          <w:rFonts w:hint="eastAsia" w:hAnsi="宋体"/>
          <w:b/>
          <w:sz w:val="24"/>
          <w:szCs w:val="24"/>
          <w:highlight w:val="none"/>
        </w:rPr>
        <w:t>：合同违约处罚通知单</w:t>
      </w:r>
    </w:p>
    <w:p>
      <w:pPr>
        <w:shd w:val="clear"/>
        <w:spacing w:line="240" w:lineRule="auto"/>
        <w:rPr>
          <w:rFonts w:ascii="黑体" w:hAnsi="宋体" w:eastAsia="黑体" w:cs="Times New Roman"/>
          <w:sz w:val="36"/>
          <w:szCs w:val="36"/>
          <w:highlight w:val="none"/>
        </w:rPr>
      </w:pPr>
      <w:r>
        <w:rPr>
          <w:rFonts w:hint="eastAsia" w:asciiTheme="minorEastAsia" w:hAnsiTheme="minorEastAsia" w:eastAsiaTheme="minorEastAsia"/>
          <w:highlight w:val="none"/>
        </w:rPr>
        <w:t>NGYF/Q-GL-SC-11A8</w:t>
      </w:r>
    </w:p>
    <w:p>
      <w:pPr>
        <w:shd w:val="clear"/>
        <w:spacing w:line="240" w:lineRule="auto"/>
        <w:jc w:val="center"/>
        <w:rPr>
          <w:rFonts w:ascii="黑体" w:hAnsi="宋体" w:eastAsia="黑体"/>
          <w:sz w:val="36"/>
          <w:szCs w:val="36"/>
          <w:highlight w:val="none"/>
        </w:rPr>
      </w:pPr>
      <w:r>
        <w:rPr>
          <w:rFonts w:hint="eastAsia" w:ascii="黑体" w:hAnsi="宋体" w:eastAsia="黑体" w:cs="Times New Roman"/>
          <w:sz w:val="36"/>
          <w:szCs w:val="36"/>
          <w:highlight w:val="none"/>
        </w:rPr>
        <w:t>运营公司委外项目合同违约处理通知单</w:t>
      </w:r>
    </w:p>
    <w:p>
      <w:pPr>
        <w:shd w:val="clear"/>
        <w:spacing w:line="240" w:lineRule="auto"/>
        <w:rPr>
          <w:rFonts w:hint="eastAsia"/>
          <w:highlight w:val="none"/>
        </w:rPr>
      </w:pPr>
      <w:r>
        <w:rPr>
          <w:rFonts w:hint="eastAsia" w:hAnsi="宋体" w:cs="宋体"/>
          <w:b/>
          <w:sz w:val="32"/>
          <w:szCs w:val="32"/>
          <w:highlight w:val="none"/>
        </w:rPr>
        <w:t xml:space="preserve">                                    </w:t>
      </w:r>
      <w:r>
        <w:rPr>
          <w:rFonts w:hint="eastAsia" w:hAnsi="宋体" w:cs="Times New Roman"/>
          <w:b/>
          <w:highlight w:val="none"/>
        </w:rPr>
        <w:t>编号：</w:t>
      </w:r>
      <w:r>
        <w:rPr>
          <w:rFonts w:hint="eastAsia" w:hAnsi="宋体" w:cs="Times New Roman"/>
          <w:bCs/>
          <w:highlight w:val="none"/>
        </w:rPr>
        <w:t>合同编号-年月-两位数流水号</w:t>
      </w:r>
    </w:p>
    <w:tbl>
      <w:tblPr>
        <w:tblStyle w:val="28"/>
        <w:tblpPr w:leftFromText="180" w:rightFromText="180" w:vertAnchor="text" w:horzAnchor="page" w:tblpXSpec="center" w:tblpY="212"/>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
        <w:gridCol w:w="1594"/>
        <w:gridCol w:w="1757"/>
        <w:gridCol w:w="1283"/>
        <w:gridCol w:w="49"/>
        <w:gridCol w:w="1560"/>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122" w:type="dxa"/>
            <w:gridSpan w:val="2"/>
            <w:tcBorders>
              <w:top w:val="thinThickSmallGap" w:color="auto" w:sz="18" w:space="0"/>
              <w:left w:val="thinThickSmallGap" w:color="auto" w:sz="18" w:space="0"/>
              <w:bottom w:val="single" w:color="auto" w:sz="4" w:space="0"/>
              <w:right w:val="single" w:color="auto" w:sz="4" w:space="0"/>
            </w:tcBorders>
            <w:vAlign w:val="center"/>
          </w:tcPr>
          <w:p>
            <w:pPr>
              <w:shd w:val="clear"/>
              <w:spacing w:before="0" w:after="0" w:afterAutospacing="0"/>
              <w:jc w:val="center"/>
              <w:rPr>
                <w:rFonts w:ascii="宋体" w:hAnsi="宋体" w:eastAsia="宋体" w:cs="Times New Roman"/>
                <w:b/>
                <w:sz w:val="24"/>
                <w:highlight w:val="none"/>
              </w:rPr>
            </w:pPr>
            <w:r>
              <w:rPr>
                <w:rFonts w:hint="eastAsia" w:ascii="宋体" w:hAnsi="宋体" w:eastAsia="宋体" w:cs="Times New Roman"/>
                <w:b/>
                <w:highlight w:val="none"/>
              </w:rPr>
              <w:t>项目名称</w:t>
            </w:r>
          </w:p>
        </w:tc>
        <w:tc>
          <w:tcPr>
            <w:tcW w:w="3089" w:type="dxa"/>
            <w:gridSpan w:val="3"/>
            <w:tcBorders>
              <w:top w:val="thinThickSmallGap" w:color="auto" w:sz="18" w:space="0"/>
              <w:left w:val="single" w:color="auto" w:sz="4" w:space="0"/>
              <w:bottom w:val="single" w:color="auto" w:sz="4" w:space="0"/>
              <w:right w:val="single" w:color="auto" w:sz="4" w:space="0"/>
            </w:tcBorders>
            <w:vAlign w:val="center"/>
          </w:tcPr>
          <w:p>
            <w:pPr>
              <w:shd w:val="clear"/>
              <w:spacing w:before="0" w:after="0" w:afterAutospacing="0"/>
              <w:jc w:val="center"/>
              <w:rPr>
                <w:rFonts w:ascii="宋体" w:hAnsi="宋体" w:eastAsia="宋体" w:cs="Times New Roman"/>
                <w:b/>
                <w:highlight w:val="none"/>
              </w:rPr>
            </w:pPr>
          </w:p>
        </w:tc>
        <w:tc>
          <w:tcPr>
            <w:tcW w:w="1560" w:type="dxa"/>
            <w:tcBorders>
              <w:top w:val="thinThickSmallGap" w:color="auto" w:sz="18" w:space="0"/>
              <w:left w:val="single" w:color="auto" w:sz="4" w:space="0"/>
              <w:bottom w:val="single" w:color="auto" w:sz="4" w:space="0"/>
              <w:right w:val="single" w:color="auto" w:sz="4" w:space="0"/>
            </w:tcBorders>
            <w:vAlign w:val="center"/>
          </w:tcPr>
          <w:p>
            <w:pPr>
              <w:shd w:val="clear"/>
              <w:spacing w:before="0" w:after="0" w:afterAutospacing="0"/>
              <w:jc w:val="center"/>
              <w:rPr>
                <w:rFonts w:ascii="宋体" w:hAnsi="宋体" w:eastAsia="宋体" w:cs="Times New Roman"/>
                <w:b/>
                <w:sz w:val="24"/>
                <w:highlight w:val="none"/>
              </w:rPr>
            </w:pPr>
            <w:r>
              <w:rPr>
                <w:rFonts w:hint="eastAsia" w:ascii="宋体" w:hAnsi="宋体" w:eastAsia="宋体" w:cs="Times New Roman"/>
                <w:b/>
                <w:highlight w:val="none"/>
              </w:rPr>
              <w:t>合同编号</w:t>
            </w:r>
          </w:p>
        </w:tc>
        <w:tc>
          <w:tcPr>
            <w:tcW w:w="2693" w:type="dxa"/>
            <w:tcBorders>
              <w:top w:val="thinThickSmallGap" w:color="auto" w:sz="18" w:space="0"/>
              <w:left w:val="single" w:color="auto" w:sz="4" w:space="0"/>
              <w:bottom w:val="single" w:color="auto" w:sz="4" w:space="0"/>
              <w:right w:val="thinThickSmallGap" w:color="auto" w:sz="18" w:space="0"/>
            </w:tcBorders>
            <w:vAlign w:val="center"/>
          </w:tcPr>
          <w:p>
            <w:pPr>
              <w:shd w:val="clear"/>
              <w:spacing w:before="0" w:after="0" w:afterAutospacing="0"/>
              <w:jc w:val="center"/>
              <w:rPr>
                <w:rFonts w:ascii="宋体" w:hAnsi="宋体" w:eastAsia="宋体"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2122" w:type="dxa"/>
            <w:gridSpan w:val="2"/>
            <w:tcBorders>
              <w:top w:val="single" w:color="auto" w:sz="4" w:space="0"/>
              <w:left w:val="thinThickSmallGap" w:color="auto" w:sz="18" w:space="0"/>
              <w:bottom w:val="single" w:color="auto" w:sz="4" w:space="0"/>
              <w:right w:val="single" w:color="auto" w:sz="4" w:space="0"/>
            </w:tcBorders>
            <w:vAlign w:val="center"/>
          </w:tcPr>
          <w:p>
            <w:pPr>
              <w:shd w:val="clear"/>
              <w:spacing w:before="0" w:after="0" w:afterAutospacing="0"/>
              <w:jc w:val="center"/>
              <w:rPr>
                <w:rFonts w:ascii="宋体" w:hAnsi="宋体" w:eastAsia="宋体" w:cs="Times New Roman"/>
                <w:b/>
                <w:sz w:val="24"/>
                <w:highlight w:val="none"/>
              </w:rPr>
            </w:pPr>
            <w:r>
              <w:rPr>
                <w:rFonts w:hint="eastAsia" w:ascii="宋体" w:hAnsi="宋体" w:eastAsia="宋体" w:cs="Times New Roman"/>
                <w:b/>
                <w:highlight w:val="none"/>
              </w:rPr>
              <w:t>承包商</w:t>
            </w:r>
          </w:p>
        </w:tc>
        <w:tc>
          <w:tcPr>
            <w:tcW w:w="3089" w:type="dxa"/>
            <w:gridSpan w:val="3"/>
            <w:tcBorders>
              <w:top w:val="single" w:color="auto" w:sz="4" w:space="0"/>
              <w:left w:val="single" w:color="auto" w:sz="4" w:space="0"/>
              <w:bottom w:val="single" w:color="auto" w:sz="4" w:space="0"/>
              <w:right w:val="single" w:color="auto" w:sz="4" w:space="0"/>
            </w:tcBorders>
            <w:vAlign w:val="center"/>
          </w:tcPr>
          <w:p>
            <w:pPr>
              <w:shd w:val="clear"/>
              <w:spacing w:before="0" w:after="0" w:afterAutospacing="0"/>
              <w:jc w:val="center"/>
              <w:rPr>
                <w:rFonts w:ascii="宋体" w:hAnsi="宋体" w:eastAsia="宋体" w:cs="Times New Roman"/>
                <w:highlight w:val="none"/>
              </w:rPr>
            </w:pPr>
          </w:p>
        </w:tc>
        <w:tc>
          <w:tcPr>
            <w:tcW w:w="1560" w:type="dxa"/>
            <w:tcBorders>
              <w:top w:val="single" w:color="auto" w:sz="4" w:space="0"/>
              <w:left w:val="single" w:color="auto" w:sz="4" w:space="0"/>
              <w:bottom w:val="single" w:color="auto" w:sz="4" w:space="0"/>
              <w:right w:val="single" w:color="auto" w:sz="4" w:space="0"/>
            </w:tcBorders>
            <w:vAlign w:val="center"/>
          </w:tcPr>
          <w:p>
            <w:pPr>
              <w:shd w:val="clear"/>
              <w:spacing w:before="0" w:after="0" w:afterAutospacing="0" w:line="0" w:lineRule="atLeast"/>
              <w:ind w:right="-28"/>
              <w:jc w:val="center"/>
              <w:rPr>
                <w:rFonts w:ascii="宋体" w:hAnsi="宋体" w:eastAsia="宋体" w:cs="Times New Roman"/>
                <w:b/>
                <w:highlight w:val="none"/>
              </w:rPr>
            </w:pPr>
            <w:r>
              <w:rPr>
                <w:rFonts w:hint="eastAsia" w:ascii="宋体" w:hAnsi="宋体" w:eastAsia="宋体" w:cs="Times New Roman"/>
                <w:b/>
                <w:highlight w:val="none"/>
              </w:rPr>
              <w:t>运营公司</w:t>
            </w:r>
          </w:p>
          <w:p>
            <w:pPr>
              <w:shd w:val="clear"/>
              <w:spacing w:before="0" w:after="0" w:afterAutospacing="0" w:line="0" w:lineRule="atLeast"/>
              <w:ind w:right="-28"/>
              <w:jc w:val="center"/>
              <w:rPr>
                <w:rFonts w:ascii="宋体" w:hAnsi="宋体" w:eastAsia="宋体" w:cs="Times New Roman"/>
                <w:b/>
                <w:sz w:val="24"/>
                <w:highlight w:val="none"/>
              </w:rPr>
            </w:pPr>
            <w:r>
              <w:rPr>
                <w:rFonts w:hint="eastAsia" w:ascii="宋体" w:hAnsi="宋体" w:eastAsia="宋体" w:cs="Times New Roman"/>
                <w:b/>
                <w:highlight w:val="none"/>
              </w:rPr>
              <w:t>主办部门</w:t>
            </w:r>
          </w:p>
        </w:tc>
        <w:tc>
          <w:tcPr>
            <w:tcW w:w="2693" w:type="dxa"/>
            <w:tcBorders>
              <w:top w:val="single" w:color="auto" w:sz="4" w:space="0"/>
              <w:left w:val="single" w:color="auto" w:sz="4" w:space="0"/>
              <w:bottom w:val="single" w:color="auto" w:sz="4" w:space="0"/>
              <w:right w:val="thinThickSmallGap" w:color="auto" w:sz="18" w:space="0"/>
            </w:tcBorders>
            <w:vAlign w:val="center"/>
          </w:tcPr>
          <w:p>
            <w:pPr>
              <w:shd w:val="clear"/>
              <w:spacing w:before="0" w:after="0" w:afterAutospacing="0"/>
              <w:jc w:val="center"/>
              <w:rPr>
                <w:rFonts w:ascii="宋体" w:hAnsi="宋体" w:eastAsia="宋体"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72" w:hRule="atLeast"/>
        </w:trPr>
        <w:tc>
          <w:tcPr>
            <w:tcW w:w="2122" w:type="dxa"/>
            <w:gridSpan w:val="2"/>
            <w:tcBorders>
              <w:top w:val="single" w:color="auto" w:sz="4" w:space="0"/>
              <w:left w:val="thinThickSmallGap" w:color="auto" w:sz="18" w:space="0"/>
              <w:bottom w:val="single" w:color="auto" w:sz="4" w:space="0"/>
              <w:right w:val="single" w:color="auto" w:sz="4" w:space="0"/>
            </w:tcBorders>
            <w:vAlign w:val="center"/>
          </w:tcPr>
          <w:p>
            <w:pPr>
              <w:shd w:val="clear"/>
              <w:spacing w:before="0" w:after="0" w:afterAutospacing="0"/>
              <w:jc w:val="center"/>
              <w:rPr>
                <w:rFonts w:ascii="宋体" w:hAnsi="宋体" w:eastAsia="宋体" w:cs="Times New Roman"/>
                <w:b/>
                <w:highlight w:val="none"/>
              </w:rPr>
            </w:pPr>
            <w:r>
              <w:rPr>
                <w:rFonts w:hint="eastAsia" w:ascii="宋体" w:hAnsi="宋体" w:eastAsia="宋体" w:cs="Times New Roman"/>
                <w:b/>
                <w:highlight w:val="none"/>
              </w:rPr>
              <w:t>合同违约情况</w:t>
            </w:r>
          </w:p>
        </w:tc>
        <w:tc>
          <w:tcPr>
            <w:tcW w:w="7342" w:type="dxa"/>
            <w:gridSpan w:val="5"/>
            <w:tcBorders>
              <w:top w:val="single" w:color="auto" w:sz="4" w:space="0"/>
              <w:left w:val="single" w:color="auto" w:sz="4" w:space="0"/>
              <w:bottom w:val="single" w:color="auto" w:sz="4" w:space="0"/>
              <w:right w:val="thinThickSmallGap" w:color="auto" w:sz="18" w:space="0"/>
            </w:tcBorders>
          </w:tcPr>
          <w:p>
            <w:pPr>
              <w:widowControl/>
              <w:shd w:val="clear"/>
              <w:snapToGrid w:val="0"/>
              <w:spacing w:before="0" w:after="0" w:afterAutospacing="0" w:line="240" w:lineRule="auto"/>
              <w:ind w:left="0" w:right="0" w:firstLine="0"/>
              <w:rPr>
                <w:rFonts w:hint="eastAsia" w:ascii="宋体" w:hAnsi="宋体" w:eastAsia="宋体" w:cs="黑体"/>
                <w:bCs/>
                <w:kern w:val="2"/>
                <w:sz w:val="18"/>
                <w:szCs w:val="18"/>
                <w:highlight w:val="none"/>
              </w:rPr>
            </w:pPr>
            <w:r>
              <w:rPr>
                <w:rFonts w:hint="eastAsia" w:ascii="宋体" w:hAnsi="宋体" w:eastAsia="宋体" w:cs="黑体"/>
                <w:bCs/>
                <w:kern w:val="2"/>
                <w:sz w:val="18"/>
                <w:szCs w:val="18"/>
                <w:highlight w:val="none"/>
              </w:rPr>
              <w:t>违约情况：我部技术人员于X年X月X日跟岗作业中（作业令：1A2-01-01）发现XX-XX区间部分XX设备存在锈蚀、松脱现象，且个别情况较为严重，而承包商在X年X月XX设备月检中未能及时发现和处理，检修台账中也未记录，存在漏检现象。（举例）</w:t>
            </w:r>
          </w:p>
          <w:p>
            <w:pPr>
              <w:widowControl/>
              <w:shd w:val="clear"/>
              <w:snapToGrid w:val="0"/>
              <w:spacing w:before="0" w:after="0" w:afterAutospacing="0" w:line="240" w:lineRule="auto"/>
              <w:ind w:left="0" w:right="0" w:firstLine="0"/>
              <w:rPr>
                <w:rFonts w:hint="eastAsia" w:ascii="宋体" w:hAnsi="宋体" w:eastAsia="宋体" w:cs="黑体"/>
                <w:bCs/>
                <w:kern w:val="2"/>
                <w:sz w:val="18"/>
                <w:szCs w:val="18"/>
                <w:highlight w:val="none"/>
              </w:rPr>
            </w:pPr>
          </w:p>
          <w:p>
            <w:pPr>
              <w:widowControl/>
              <w:shd w:val="clear"/>
              <w:snapToGrid w:val="0"/>
              <w:spacing w:before="0" w:after="0" w:afterAutospacing="0" w:line="240" w:lineRule="auto"/>
              <w:ind w:left="0" w:right="0" w:firstLine="0"/>
              <w:rPr>
                <w:rFonts w:ascii="宋体" w:hAnsi="宋体" w:eastAsia="宋体" w:cs="Times New Roman"/>
                <w:sz w:val="18"/>
                <w:szCs w:val="18"/>
                <w:highlight w:val="none"/>
              </w:rPr>
            </w:pPr>
            <w:r>
              <w:rPr>
                <w:rFonts w:hint="eastAsia" w:ascii="宋体" w:hAnsi="宋体" w:eastAsia="宋体" w:cs="黑体"/>
                <w:bCs/>
                <w:kern w:val="2"/>
                <w:sz w:val="18"/>
                <w:szCs w:val="18"/>
                <w:highlight w:val="none"/>
              </w:rPr>
              <w:t>合同违约条款：《XXX项目合同》十二条之附表第26条款：“乙方未按照《XXX维修规程》规定的周期执行，发生漏检、漏修月检内容或记录不完善，每次每项乙方向甲方支付500元违约金，考核0.5分”。（举例）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9" w:hRule="atLeast"/>
        </w:trPr>
        <w:tc>
          <w:tcPr>
            <w:tcW w:w="2122" w:type="dxa"/>
            <w:gridSpan w:val="2"/>
            <w:tcBorders>
              <w:top w:val="single" w:color="auto" w:sz="4" w:space="0"/>
              <w:left w:val="thinThickSmallGap" w:color="auto" w:sz="18" w:space="0"/>
              <w:bottom w:val="single" w:color="auto" w:sz="4" w:space="0"/>
              <w:right w:val="single" w:color="auto" w:sz="4" w:space="0"/>
            </w:tcBorders>
            <w:vAlign w:val="center"/>
          </w:tcPr>
          <w:p>
            <w:pPr>
              <w:shd w:val="clear"/>
              <w:spacing w:before="0" w:after="0" w:afterAutospacing="0"/>
              <w:jc w:val="center"/>
              <w:rPr>
                <w:rFonts w:ascii="宋体" w:hAnsi="宋体" w:eastAsia="宋体" w:cs="Times New Roman"/>
                <w:b/>
                <w:highlight w:val="none"/>
              </w:rPr>
            </w:pPr>
            <w:r>
              <w:rPr>
                <w:rFonts w:hint="eastAsia" w:ascii="宋体" w:hAnsi="宋体" w:eastAsia="宋体" w:cs="Times New Roman"/>
                <w:b/>
                <w:highlight w:val="none"/>
              </w:rPr>
              <w:t>违约处理意向</w:t>
            </w:r>
          </w:p>
        </w:tc>
        <w:tc>
          <w:tcPr>
            <w:tcW w:w="7342" w:type="dxa"/>
            <w:gridSpan w:val="5"/>
            <w:tcBorders>
              <w:top w:val="single" w:color="auto" w:sz="4" w:space="0"/>
              <w:left w:val="single" w:color="auto" w:sz="4" w:space="0"/>
              <w:bottom w:val="single" w:color="auto" w:sz="4" w:space="0"/>
              <w:right w:val="thinThickSmallGap" w:color="auto" w:sz="18" w:space="0"/>
            </w:tcBorders>
            <w:vAlign w:val="center"/>
          </w:tcPr>
          <w:p>
            <w:pPr>
              <w:widowControl w:val="0"/>
              <w:shd w:val="clear"/>
              <w:spacing w:before="0" w:after="0" w:afterAutospacing="0" w:line="300" w:lineRule="exact"/>
              <w:ind w:left="0" w:right="0" w:firstLine="0"/>
              <w:rPr>
                <w:rFonts w:hint="eastAsia" w:ascii="宋体" w:hAnsi="宋体" w:eastAsia="宋体" w:cs="黑体"/>
                <w:kern w:val="2"/>
                <w:sz w:val="18"/>
                <w:szCs w:val="18"/>
                <w:highlight w:val="none"/>
              </w:rPr>
            </w:pPr>
            <w:r>
              <w:rPr>
                <w:rFonts w:hint="eastAsia" w:ascii="宋体" w:hAnsi="宋体" w:eastAsia="宋体" w:cs="黑体"/>
                <w:kern w:val="2"/>
                <w:sz w:val="18"/>
                <w:szCs w:val="18"/>
                <w:highlight w:val="none"/>
              </w:rPr>
              <w:t>根据《XXX项目合同》中第XX条，决定对你司处以：1.处罚违约金500元人民币整；2.在月度评价表中扣0.5分；3.所罚扣款项从季度进度款中扣取。（举例）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trPr>
        <w:tc>
          <w:tcPr>
            <w:tcW w:w="528" w:type="dxa"/>
            <w:vMerge w:val="restart"/>
            <w:tcBorders>
              <w:top w:val="single" w:color="auto" w:sz="4" w:space="0"/>
              <w:left w:val="thinThickSmallGap" w:color="auto" w:sz="18" w:space="0"/>
              <w:right w:val="single" w:color="auto" w:sz="4" w:space="0"/>
            </w:tcBorders>
            <w:vAlign w:val="center"/>
          </w:tcPr>
          <w:p>
            <w:pPr>
              <w:shd w:val="clear"/>
              <w:spacing w:before="0" w:after="0" w:afterAutospacing="0"/>
              <w:ind w:left="0" w:leftChars="0" w:firstLine="0" w:firstLineChars="0"/>
              <w:jc w:val="center"/>
              <w:rPr>
                <w:rFonts w:ascii="宋体" w:hAnsi="宋体" w:eastAsia="宋体" w:cs="Times New Roman"/>
                <w:b/>
                <w:highlight w:val="none"/>
              </w:rPr>
            </w:pPr>
            <w:r>
              <w:rPr>
                <w:rFonts w:hint="eastAsia" w:ascii="宋体" w:hAnsi="宋体"/>
                <w:b/>
                <w:highlight w:val="none"/>
              </w:rPr>
              <w:t>运营公司审批意见</w:t>
            </w:r>
          </w:p>
        </w:tc>
        <w:tc>
          <w:tcPr>
            <w:tcW w:w="1594" w:type="dxa"/>
            <w:tcBorders>
              <w:top w:val="single" w:color="auto" w:sz="4" w:space="0"/>
              <w:left w:val="single" w:color="auto" w:sz="4" w:space="0"/>
              <w:bottom w:val="single" w:color="auto" w:sz="4" w:space="0"/>
              <w:right w:val="single" w:color="auto" w:sz="4" w:space="0"/>
            </w:tcBorders>
            <w:vAlign w:val="center"/>
          </w:tcPr>
          <w:p>
            <w:pPr>
              <w:widowControl w:val="0"/>
              <w:shd w:val="clear"/>
              <w:spacing w:before="0" w:after="0" w:afterAutospacing="0" w:line="240" w:lineRule="auto"/>
              <w:ind w:left="0" w:right="0" w:firstLine="0"/>
              <w:jc w:val="center"/>
              <w:rPr>
                <w:rFonts w:hint="eastAsia" w:ascii="宋体" w:hAnsi="宋体" w:eastAsia="宋体" w:cs="黑体"/>
                <w:b/>
                <w:kern w:val="2"/>
                <w:szCs w:val="22"/>
                <w:highlight w:val="none"/>
              </w:rPr>
            </w:pPr>
            <w:r>
              <w:rPr>
                <w:rFonts w:hint="eastAsia" w:ascii="宋体" w:hAnsi="宋体" w:eastAsia="宋体" w:cs="黑体"/>
                <w:b/>
                <w:kern w:val="2"/>
                <w:szCs w:val="22"/>
                <w:highlight w:val="none"/>
              </w:rPr>
              <w:t>主办部门</w:t>
            </w:r>
          </w:p>
        </w:tc>
        <w:tc>
          <w:tcPr>
            <w:tcW w:w="7342" w:type="dxa"/>
            <w:gridSpan w:val="5"/>
            <w:tcBorders>
              <w:top w:val="single" w:color="auto" w:sz="4" w:space="0"/>
              <w:left w:val="single" w:color="auto" w:sz="4" w:space="0"/>
              <w:bottom w:val="single" w:color="auto" w:sz="4" w:space="0"/>
              <w:right w:val="thinThickSmallGap" w:color="auto" w:sz="18" w:space="0"/>
            </w:tcBorders>
          </w:tcPr>
          <w:p>
            <w:pPr>
              <w:widowControl w:val="0"/>
              <w:shd w:val="clear"/>
              <w:spacing w:before="0" w:after="0" w:afterAutospacing="0" w:line="300" w:lineRule="exact"/>
              <w:ind w:left="0" w:right="0" w:firstLine="0"/>
              <w:rPr>
                <w:rFonts w:hint="eastAsia" w:ascii="宋体" w:hAnsi="宋体" w:eastAsia="宋体" w:cs="黑体"/>
                <w:kern w:val="2"/>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7" w:hRule="atLeast"/>
        </w:trPr>
        <w:tc>
          <w:tcPr>
            <w:tcW w:w="528" w:type="dxa"/>
            <w:vMerge w:val="continue"/>
            <w:tcBorders>
              <w:left w:val="thinThickSmallGap" w:color="auto" w:sz="18" w:space="0"/>
              <w:right w:val="single" w:color="auto" w:sz="4" w:space="0"/>
            </w:tcBorders>
            <w:vAlign w:val="center"/>
          </w:tcPr>
          <w:p>
            <w:pPr>
              <w:shd w:val="clear"/>
              <w:spacing w:before="0" w:after="0" w:afterAutospacing="0"/>
              <w:jc w:val="center"/>
              <w:rPr>
                <w:rFonts w:ascii="宋体" w:hAnsi="宋体" w:eastAsia="宋体" w:cs="Times New Roman"/>
                <w:b/>
                <w:highlight w:val="none"/>
              </w:rPr>
            </w:pPr>
          </w:p>
        </w:tc>
        <w:tc>
          <w:tcPr>
            <w:tcW w:w="1594" w:type="dxa"/>
            <w:tcBorders>
              <w:top w:val="single" w:color="auto" w:sz="4" w:space="0"/>
              <w:left w:val="single" w:color="auto" w:sz="4" w:space="0"/>
              <w:bottom w:val="single" w:color="auto" w:sz="4" w:space="0"/>
              <w:right w:val="single" w:color="auto" w:sz="4" w:space="0"/>
            </w:tcBorders>
            <w:vAlign w:val="center"/>
          </w:tcPr>
          <w:p>
            <w:pPr>
              <w:widowControl w:val="0"/>
              <w:shd w:val="clear"/>
              <w:spacing w:before="0" w:after="0" w:afterAutospacing="0" w:line="240" w:lineRule="auto"/>
              <w:ind w:left="0" w:right="0" w:firstLine="0"/>
              <w:jc w:val="center"/>
              <w:rPr>
                <w:rFonts w:hint="eastAsia" w:ascii="宋体" w:hAnsi="宋体" w:eastAsia="宋体" w:cs="黑体"/>
                <w:b/>
                <w:kern w:val="2"/>
                <w:szCs w:val="22"/>
                <w:highlight w:val="none"/>
              </w:rPr>
            </w:pPr>
            <w:r>
              <w:rPr>
                <w:rFonts w:hint="eastAsia" w:ascii="宋体" w:hAnsi="宋体" w:eastAsia="宋体" w:cs="黑体"/>
                <w:b/>
                <w:kern w:val="2"/>
                <w:szCs w:val="22"/>
                <w:highlight w:val="none"/>
              </w:rPr>
              <w:t>总工程师办公室</w:t>
            </w:r>
          </w:p>
        </w:tc>
        <w:tc>
          <w:tcPr>
            <w:tcW w:w="7342" w:type="dxa"/>
            <w:gridSpan w:val="5"/>
            <w:tcBorders>
              <w:top w:val="single" w:color="auto" w:sz="4" w:space="0"/>
              <w:left w:val="single" w:color="auto" w:sz="4" w:space="0"/>
              <w:bottom w:val="single" w:color="auto" w:sz="4" w:space="0"/>
              <w:right w:val="thinThickSmallGap" w:color="auto" w:sz="18" w:space="0"/>
            </w:tcBorders>
          </w:tcPr>
          <w:p>
            <w:pPr>
              <w:shd w:val="clear"/>
              <w:spacing w:before="0" w:after="0" w:afterAutospacing="0" w:line="360" w:lineRule="auto"/>
              <w:ind w:right="-27"/>
              <w:jc w:val="both"/>
              <w:rPr>
                <w:rFonts w:ascii="宋体" w:hAnsi="Courier New" w:eastAsia="宋体" w:cs="宋体"/>
                <w:sz w:val="20"/>
                <w:szCs w:val="20"/>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528" w:type="dxa"/>
            <w:vMerge w:val="continue"/>
            <w:tcBorders>
              <w:left w:val="thinThickSmallGap" w:color="auto" w:sz="18" w:space="0"/>
              <w:right w:val="single" w:color="auto" w:sz="4" w:space="0"/>
            </w:tcBorders>
            <w:vAlign w:val="center"/>
          </w:tcPr>
          <w:p>
            <w:pPr>
              <w:shd w:val="clear"/>
              <w:spacing w:before="0" w:after="0" w:afterAutospacing="0"/>
              <w:jc w:val="center"/>
              <w:rPr>
                <w:rFonts w:ascii="宋体" w:hAnsi="宋体" w:eastAsia="宋体" w:cs="Times New Roman"/>
                <w:b/>
                <w:highlight w:val="none"/>
              </w:rPr>
            </w:pPr>
          </w:p>
        </w:tc>
        <w:tc>
          <w:tcPr>
            <w:tcW w:w="1594" w:type="dxa"/>
            <w:tcBorders>
              <w:top w:val="single" w:color="auto" w:sz="4" w:space="0"/>
              <w:left w:val="single" w:color="auto" w:sz="4" w:space="0"/>
              <w:bottom w:val="single" w:color="auto" w:sz="4" w:space="0"/>
              <w:right w:val="single" w:color="auto" w:sz="4" w:space="0"/>
            </w:tcBorders>
            <w:vAlign w:val="center"/>
          </w:tcPr>
          <w:p>
            <w:pPr>
              <w:widowControl w:val="0"/>
              <w:shd w:val="clear"/>
              <w:spacing w:before="0" w:after="0" w:afterAutospacing="0" w:line="240" w:lineRule="auto"/>
              <w:ind w:left="0" w:right="0" w:firstLine="0"/>
              <w:jc w:val="center"/>
              <w:rPr>
                <w:rFonts w:hint="eastAsia" w:ascii="宋体" w:hAnsi="宋体" w:eastAsia="宋体" w:cs="黑体"/>
                <w:b/>
                <w:kern w:val="2"/>
                <w:szCs w:val="22"/>
                <w:highlight w:val="none"/>
              </w:rPr>
            </w:pPr>
            <w:r>
              <w:rPr>
                <w:rFonts w:hint="eastAsia" w:ascii="宋体" w:hAnsi="宋体" w:eastAsia="宋体" w:cs="黑体"/>
                <w:b/>
                <w:kern w:val="2"/>
                <w:szCs w:val="22"/>
                <w:highlight w:val="none"/>
              </w:rPr>
              <w:t>合约法规部</w:t>
            </w:r>
          </w:p>
        </w:tc>
        <w:tc>
          <w:tcPr>
            <w:tcW w:w="7342" w:type="dxa"/>
            <w:gridSpan w:val="5"/>
            <w:tcBorders>
              <w:top w:val="single" w:color="auto" w:sz="4" w:space="0"/>
              <w:left w:val="single" w:color="auto" w:sz="4" w:space="0"/>
              <w:bottom w:val="single" w:color="auto" w:sz="4" w:space="0"/>
              <w:right w:val="thinThickSmallGap" w:color="auto" w:sz="18" w:space="0"/>
            </w:tcBorders>
          </w:tcPr>
          <w:p>
            <w:pPr>
              <w:shd w:val="clear"/>
              <w:spacing w:before="0" w:after="0" w:afterAutospacing="0"/>
              <w:ind w:left="0" w:right="113" w:firstLine="0"/>
              <w:rPr>
                <w:rFonts w:ascii="宋体" w:hAnsi="宋体" w:eastAsia="宋体" w:cs="宋体"/>
                <w:highlight w:val="none"/>
              </w:rPr>
            </w:pPr>
          </w:p>
          <w:p>
            <w:pPr>
              <w:shd w:val="clear"/>
              <w:spacing w:before="0" w:after="0" w:afterAutospacing="0" w:line="360" w:lineRule="auto"/>
              <w:ind w:left="709" w:right="-27" w:hanging="709"/>
              <w:jc w:val="both"/>
              <w:rPr>
                <w:rFonts w:ascii="宋体" w:hAnsi="Courier New" w:eastAsia="宋体" w:cs="宋体"/>
                <w:sz w:val="20"/>
                <w:szCs w:val="20"/>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9" w:hRule="atLeast"/>
        </w:trPr>
        <w:tc>
          <w:tcPr>
            <w:tcW w:w="528" w:type="dxa"/>
            <w:vMerge w:val="continue"/>
            <w:tcBorders>
              <w:left w:val="thinThickSmallGap" w:color="auto" w:sz="18" w:space="0"/>
              <w:right w:val="single" w:color="auto" w:sz="4" w:space="0"/>
            </w:tcBorders>
            <w:vAlign w:val="center"/>
          </w:tcPr>
          <w:p>
            <w:pPr>
              <w:shd w:val="clear"/>
              <w:spacing w:before="0" w:after="0" w:afterAutospacing="0"/>
              <w:jc w:val="center"/>
              <w:rPr>
                <w:rFonts w:ascii="宋体" w:hAnsi="宋体" w:eastAsia="宋体" w:cs="Times New Roman"/>
                <w:b/>
                <w:highlight w:val="none"/>
              </w:rPr>
            </w:pPr>
          </w:p>
        </w:tc>
        <w:tc>
          <w:tcPr>
            <w:tcW w:w="1594" w:type="dxa"/>
            <w:tcBorders>
              <w:top w:val="single" w:color="auto" w:sz="4" w:space="0"/>
              <w:left w:val="single" w:color="auto" w:sz="4" w:space="0"/>
              <w:bottom w:val="single" w:color="auto" w:sz="4" w:space="0"/>
              <w:right w:val="single" w:color="auto" w:sz="4" w:space="0"/>
            </w:tcBorders>
            <w:vAlign w:val="center"/>
          </w:tcPr>
          <w:p>
            <w:pPr>
              <w:widowControl w:val="0"/>
              <w:shd w:val="clear"/>
              <w:spacing w:before="0" w:after="0" w:afterAutospacing="0" w:line="240" w:lineRule="auto"/>
              <w:ind w:left="0" w:right="0" w:firstLine="0"/>
              <w:jc w:val="center"/>
              <w:rPr>
                <w:rFonts w:hint="eastAsia" w:ascii="宋体" w:hAnsi="宋体" w:eastAsia="宋体" w:cs="黑体"/>
                <w:b/>
                <w:kern w:val="2"/>
                <w:szCs w:val="22"/>
                <w:highlight w:val="none"/>
              </w:rPr>
            </w:pPr>
            <w:r>
              <w:rPr>
                <w:rFonts w:hint="eastAsia" w:ascii="宋体" w:hAnsi="宋体" w:eastAsia="宋体" w:cs="黑体"/>
                <w:b/>
                <w:kern w:val="2"/>
                <w:szCs w:val="22"/>
                <w:highlight w:val="none"/>
              </w:rPr>
              <w:t>主办部门</w:t>
            </w:r>
          </w:p>
          <w:p>
            <w:pPr>
              <w:widowControl w:val="0"/>
              <w:shd w:val="clear"/>
              <w:spacing w:before="0" w:after="0" w:afterAutospacing="0" w:line="240" w:lineRule="auto"/>
              <w:ind w:left="0" w:right="0" w:firstLine="0"/>
              <w:jc w:val="center"/>
              <w:rPr>
                <w:rFonts w:hint="eastAsia" w:ascii="宋体" w:hAnsi="宋体" w:eastAsia="宋体" w:cs="黑体"/>
                <w:b/>
                <w:kern w:val="2"/>
                <w:szCs w:val="22"/>
                <w:highlight w:val="none"/>
              </w:rPr>
            </w:pPr>
            <w:r>
              <w:rPr>
                <w:rFonts w:hint="eastAsia" w:ascii="宋体" w:hAnsi="宋体" w:eastAsia="宋体" w:cs="黑体"/>
                <w:b/>
                <w:kern w:val="2"/>
                <w:szCs w:val="22"/>
                <w:highlight w:val="none"/>
              </w:rPr>
              <w:t>分管副总经理</w:t>
            </w:r>
          </w:p>
        </w:tc>
        <w:tc>
          <w:tcPr>
            <w:tcW w:w="7342" w:type="dxa"/>
            <w:gridSpan w:val="5"/>
            <w:tcBorders>
              <w:top w:val="single" w:color="auto" w:sz="4" w:space="0"/>
              <w:left w:val="single" w:color="auto" w:sz="4" w:space="0"/>
              <w:bottom w:val="single" w:color="auto" w:sz="4" w:space="0"/>
              <w:right w:val="thinThickSmallGap" w:color="auto" w:sz="18" w:space="0"/>
            </w:tcBorders>
          </w:tcPr>
          <w:p>
            <w:pPr>
              <w:shd w:val="clear"/>
              <w:spacing w:before="0" w:after="0" w:afterAutospacing="0"/>
              <w:ind w:right="113" w:firstLine="840" w:firstLineChars="400"/>
              <w:rPr>
                <w:rFonts w:ascii="Times New Roman" w:hAnsi="Times New Roman" w:eastAsia="宋体" w:cs="Times New Roman"/>
                <w:highlight w:val="none"/>
              </w:rPr>
            </w:pPr>
            <w:r>
              <w:rPr>
                <w:rFonts w:hint="eastAsia" w:ascii="Times New Roman" w:hAnsi="Times New Roman" w:eastAsia="宋体" w:cs="Times New Roman"/>
                <w:highlight w:val="none"/>
              </w:rPr>
              <w:t xml:space="preserve">                                              </w:t>
            </w:r>
          </w:p>
          <w:p>
            <w:pPr>
              <w:shd w:val="clear"/>
              <w:spacing w:before="0" w:after="0" w:afterAutospacing="0" w:line="360" w:lineRule="auto"/>
              <w:ind w:left="709" w:right="-27" w:hanging="709"/>
              <w:jc w:val="both"/>
              <w:rPr>
                <w:rFonts w:ascii="宋体" w:hAnsi="Courier New" w:eastAsia="宋体" w:cs="宋体"/>
                <w:sz w:val="20"/>
                <w:szCs w:val="20"/>
                <w:highlight w:val="none"/>
                <w:lang w:val="en-US" w:eastAsia="zh-CN" w:bidi="ar-SA"/>
              </w:rPr>
            </w:pPr>
            <w:r>
              <w:rPr>
                <w:rFonts w:hint="eastAsia" w:ascii="宋体" w:hAnsi="宋体" w:eastAsia="宋体" w:cs="宋体"/>
                <w:sz w:val="20"/>
                <w:szCs w:val="20"/>
                <w:highlight w:val="none"/>
                <w:lang w:val="en-US" w:eastAsia="zh-CN" w:bidi="ar-S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2" w:hRule="atLeast"/>
        </w:trPr>
        <w:tc>
          <w:tcPr>
            <w:tcW w:w="528" w:type="dxa"/>
            <w:vMerge w:val="continue"/>
            <w:tcBorders>
              <w:left w:val="thinThickSmallGap" w:color="auto" w:sz="18" w:space="0"/>
              <w:right w:val="single" w:color="auto" w:sz="4" w:space="0"/>
            </w:tcBorders>
            <w:vAlign w:val="center"/>
          </w:tcPr>
          <w:p>
            <w:pPr>
              <w:shd w:val="clear"/>
              <w:spacing w:before="0" w:after="0" w:afterAutospacing="0"/>
              <w:jc w:val="center"/>
              <w:rPr>
                <w:rFonts w:ascii="宋体" w:hAnsi="宋体" w:eastAsia="宋体" w:cs="Times New Roman"/>
                <w:b/>
                <w:highlight w:val="none"/>
              </w:rPr>
            </w:pPr>
          </w:p>
        </w:tc>
        <w:tc>
          <w:tcPr>
            <w:tcW w:w="1594" w:type="dxa"/>
            <w:tcBorders>
              <w:top w:val="single" w:color="auto" w:sz="4" w:space="0"/>
              <w:left w:val="single" w:color="auto" w:sz="4" w:space="0"/>
              <w:bottom w:val="single" w:color="auto" w:sz="4" w:space="0"/>
              <w:right w:val="single" w:color="auto" w:sz="4" w:space="0"/>
            </w:tcBorders>
            <w:vAlign w:val="center"/>
          </w:tcPr>
          <w:p>
            <w:pPr>
              <w:widowControl w:val="0"/>
              <w:shd w:val="clear"/>
              <w:spacing w:before="0" w:after="0" w:afterAutospacing="0" w:line="240" w:lineRule="auto"/>
              <w:ind w:left="0" w:right="0" w:firstLine="0"/>
              <w:jc w:val="center"/>
              <w:rPr>
                <w:rFonts w:hint="eastAsia" w:ascii="宋体" w:hAnsi="宋体" w:eastAsia="宋体" w:cs="黑体"/>
                <w:b/>
                <w:kern w:val="2"/>
                <w:szCs w:val="22"/>
                <w:highlight w:val="none"/>
              </w:rPr>
            </w:pPr>
            <w:r>
              <w:rPr>
                <w:rFonts w:hint="eastAsia" w:ascii="宋体" w:hAnsi="宋体" w:eastAsia="宋体" w:cs="黑体"/>
                <w:b/>
                <w:kern w:val="2"/>
                <w:szCs w:val="22"/>
                <w:highlight w:val="none"/>
              </w:rPr>
              <w:t>总经理</w:t>
            </w:r>
          </w:p>
        </w:tc>
        <w:tc>
          <w:tcPr>
            <w:tcW w:w="7342" w:type="dxa"/>
            <w:gridSpan w:val="5"/>
            <w:tcBorders>
              <w:top w:val="single" w:color="auto" w:sz="4" w:space="0"/>
              <w:left w:val="single" w:color="auto" w:sz="4" w:space="0"/>
              <w:bottom w:val="single" w:color="auto" w:sz="4" w:space="0"/>
              <w:right w:val="thinThickSmallGap" w:color="auto" w:sz="18" w:space="0"/>
            </w:tcBorders>
          </w:tcPr>
          <w:p>
            <w:pPr>
              <w:shd w:val="clear"/>
              <w:spacing w:before="0" w:after="0" w:afterAutospacing="0"/>
              <w:rPr>
                <w:rFonts w:ascii="宋体" w:hAnsi="宋体" w:eastAsia="宋体" w:cs="宋体"/>
                <w:highlight w:val="none"/>
              </w:rPr>
            </w:pPr>
          </w:p>
          <w:p>
            <w:pPr>
              <w:shd w:val="clear"/>
              <w:spacing w:before="0" w:after="0" w:afterAutospacing="0"/>
              <w:ind w:right="113"/>
              <w:rPr>
                <w:rFonts w:ascii="宋体" w:hAnsi="宋体" w:eastAsia="宋体"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8" w:hRule="atLeast"/>
        </w:trPr>
        <w:tc>
          <w:tcPr>
            <w:tcW w:w="528" w:type="dxa"/>
            <w:vMerge w:val="continue"/>
            <w:tcBorders>
              <w:left w:val="thinThickSmallGap" w:color="auto" w:sz="18" w:space="0"/>
              <w:bottom w:val="single" w:color="auto" w:sz="4" w:space="0"/>
              <w:right w:val="single" w:color="auto" w:sz="4" w:space="0"/>
            </w:tcBorders>
            <w:vAlign w:val="center"/>
          </w:tcPr>
          <w:p>
            <w:pPr>
              <w:shd w:val="clear"/>
              <w:spacing w:before="0" w:after="0" w:afterAutospacing="0"/>
              <w:jc w:val="center"/>
              <w:rPr>
                <w:rFonts w:ascii="宋体" w:hAnsi="宋体" w:eastAsia="宋体" w:cs="Times New Roman"/>
                <w:b/>
                <w:highlight w:val="none"/>
              </w:rPr>
            </w:pPr>
          </w:p>
        </w:tc>
        <w:tc>
          <w:tcPr>
            <w:tcW w:w="1594" w:type="dxa"/>
            <w:tcBorders>
              <w:top w:val="single" w:color="auto" w:sz="4" w:space="0"/>
              <w:left w:val="single" w:color="auto" w:sz="4" w:space="0"/>
              <w:bottom w:val="single" w:color="auto" w:sz="4" w:space="0"/>
              <w:right w:val="single" w:color="auto" w:sz="4" w:space="0"/>
            </w:tcBorders>
            <w:vAlign w:val="center"/>
          </w:tcPr>
          <w:p>
            <w:pPr>
              <w:widowControl w:val="0"/>
              <w:shd w:val="clear"/>
              <w:spacing w:before="0" w:after="0" w:afterAutospacing="0" w:line="240" w:lineRule="auto"/>
              <w:ind w:left="0" w:right="0" w:firstLine="0"/>
              <w:jc w:val="center"/>
              <w:rPr>
                <w:rFonts w:hint="eastAsia" w:ascii="宋体" w:hAnsi="宋体" w:eastAsia="宋体" w:cs="黑体"/>
                <w:b/>
                <w:kern w:val="2"/>
                <w:szCs w:val="22"/>
                <w:highlight w:val="none"/>
              </w:rPr>
            </w:pPr>
            <w:r>
              <w:rPr>
                <w:rFonts w:hint="eastAsia" w:ascii="宋体" w:hAnsi="宋体" w:eastAsia="宋体" w:cs="黑体"/>
                <w:b/>
                <w:kern w:val="2"/>
                <w:szCs w:val="22"/>
                <w:highlight w:val="none"/>
              </w:rPr>
              <w:t>董事长</w:t>
            </w:r>
          </w:p>
          <w:p>
            <w:pPr>
              <w:widowControl w:val="0"/>
              <w:shd w:val="clear"/>
              <w:spacing w:before="0" w:after="0" w:afterAutospacing="0" w:line="240" w:lineRule="auto"/>
              <w:ind w:left="0" w:right="0" w:firstLine="0"/>
              <w:jc w:val="center"/>
              <w:rPr>
                <w:rFonts w:hint="eastAsia" w:ascii="宋体" w:hAnsi="宋体" w:eastAsia="宋体" w:cs="黑体"/>
                <w:b/>
                <w:kern w:val="2"/>
                <w:szCs w:val="22"/>
                <w:highlight w:val="none"/>
              </w:rPr>
            </w:pPr>
            <w:r>
              <w:rPr>
                <w:rFonts w:hint="eastAsia" w:ascii="宋体" w:hAnsi="宋体" w:eastAsia="宋体" w:cs="黑体"/>
                <w:b/>
                <w:kern w:val="2"/>
                <w:szCs w:val="22"/>
                <w:highlight w:val="none"/>
              </w:rPr>
              <w:t>（执行董事）</w:t>
            </w:r>
          </w:p>
        </w:tc>
        <w:tc>
          <w:tcPr>
            <w:tcW w:w="7342" w:type="dxa"/>
            <w:gridSpan w:val="5"/>
            <w:tcBorders>
              <w:top w:val="single" w:color="auto" w:sz="4" w:space="0"/>
              <w:left w:val="single" w:color="auto" w:sz="4" w:space="0"/>
              <w:bottom w:val="single" w:color="auto" w:sz="4" w:space="0"/>
              <w:right w:val="thinThickSmallGap" w:color="auto" w:sz="18" w:space="0"/>
            </w:tcBorders>
          </w:tcPr>
          <w:p>
            <w:pPr>
              <w:shd w:val="clear"/>
              <w:spacing w:before="0" w:after="0" w:afterAutospacing="0"/>
              <w:rPr>
                <w:rFonts w:ascii="宋体" w:hAnsi="宋体" w:eastAsia="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6" w:hRule="atLeast"/>
        </w:trPr>
        <w:tc>
          <w:tcPr>
            <w:tcW w:w="2122" w:type="dxa"/>
            <w:gridSpan w:val="2"/>
            <w:tcBorders>
              <w:top w:val="single" w:color="auto" w:sz="4" w:space="0"/>
              <w:left w:val="thinThickSmallGap" w:color="auto" w:sz="18" w:space="0"/>
              <w:bottom w:val="thinThickSmallGap" w:color="auto" w:sz="18" w:space="0"/>
              <w:right w:val="single" w:color="auto" w:sz="4" w:space="0"/>
            </w:tcBorders>
            <w:vAlign w:val="center"/>
          </w:tcPr>
          <w:p>
            <w:pPr>
              <w:shd w:val="clear"/>
              <w:spacing w:before="0" w:after="0" w:afterAutospacing="0" w:line="240" w:lineRule="auto"/>
              <w:jc w:val="center"/>
              <w:rPr>
                <w:rFonts w:ascii="宋体" w:hAnsi="宋体" w:eastAsia="宋体" w:cs="Times New Roman"/>
                <w:b/>
                <w:highlight w:val="none"/>
              </w:rPr>
            </w:pPr>
            <w:r>
              <w:rPr>
                <w:rFonts w:hint="eastAsia" w:ascii="宋体" w:hAnsi="宋体" w:eastAsia="宋体" w:cs="Times New Roman"/>
                <w:b/>
                <w:highlight w:val="none"/>
              </w:rPr>
              <w:t>送达日期</w:t>
            </w:r>
          </w:p>
        </w:tc>
        <w:tc>
          <w:tcPr>
            <w:tcW w:w="1757" w:type="dxa"/>
            <w:tcBorders>
              <w:top w:val="single" w:color="auto" w:sz="4" w:space="0"/>
              <w:left w:val="single" w:color="auto" w:sz="4" w:space="0"/>
              <w:bottom w:val="thinThickSmallGap" w:color="auto" w:sz="18" w:space="0"/>
              <w:right w:val="single" w:color="auto" w:sz="4" w:space="0"/>
            </w:tcBorders>
          </w:tcPr>
          <w:p>
            <w:pPr>
              <w:shd w:val="clear"/>
              <w:spacing w:before="0" w:after="0" w:afterAutospacing="0" w:line="240" w:lineRule="auto"/>
              <w:rPr>
                <w:rFonts w:ascii="宋体" w:hAnsi="宋体" w:eastAsia="宋体" w:cs="Times New Roman"/>
                <w:b/>
                <w:highlight w:val="none"/>
              </w:rPr>
            </w:pPr>
            <w:r>
              <w:rPr>
                <w:rFonts w:hint="eastAsia" w:ascii="宋体" w:hAnsi="宋体" w:eastAsia="宋体" w:cs="Times New Roman"/>
                <w:bCs/>
                <w:highlight w:val="none"/>
              </w:rPr>
              <w:t xml:space="preserve">            </w:t>
            </w:r>
          </w:p>
        </w:tc>
        <w:tc>
          <w:tcPr>
            <w:tcW w:w="1283" w:type="dxa"/>
            <w:tcBorders>
              <w:top w:val="single" w:color="auto" w:sz="4" w:space="0"/>
              <w:left w:val="single" w:color="auto" w:sz="4" w:space="0"/>
              <w:bottom w:val="thinThickSmallGap" w:color="auto" w:sz="18" w:space="0"/>
              <w:right w:val="single" w:color="auto" w:sz="4" w:space="0"/>
            </w:tcBorders>
            <w:vAlign w:val="center"/>
          </w:tcPr>
          <w:p>
            <w:pPr>
              <w:shd w:val="clear"/>
              <w:spacing w:before="0" w:after="0" w:afterAutospacing="0" w:line="240" w:lineRule="auto"/>
              <w:jc w:val="center"/>
              <w:rPr>
                <w:rFonts w:ascii="宋体" w:hAnsi="宋体" w:eastAsia="宋体" w:cs="Times New Roman"/>
                <w:bCs/>
                <w:highlight w:val="none"/>
              </w:rPr>
            </w:pPr>
            <w:r>
              <w:rPr>
                <w:rFonts w:hint="eastAsia" w:ascii="宋体" w:hAnsi="宋体" w:eastAsia="宋体" w:cs="Times New Roman"/>
                <w:b/>
                <w:highlight w:val="none"/>
              </w:rPr>
              <w:t>送达方式</w:t>
            </w:r>
          </w:p>
        </w:tc>
        <w:tc>
          <w:tcPr>
            <w:tcW w:w="4302" w:type="dxa"/>
            <w:gridSpan w:val="3"/>
            <w:tcBorders>
              <w:top w:val="single" w:color="auto" w:sz="4" w:space="0"/>
              <w:left w:val="single" w:color="auto" w:sz="4" w:space="0"/>
              <w:bottom w:val="thinThickSmallGap" w:color="auto" w:sz="18" w:space="0"/>
              <w:right w:val="thinThickSmallGap" w:color="auto" w:sz="18" w:space="0"/>
            </w:tcBorders>
          </w:tcPr>
          <w:p>
            <w:pPr>
              <w:shd w:val="clear"/>
              <w:spacing w:before="0" w:after="0" w:afterAutospacing="0" w:line="240" w:lineRule="auto"/>
              <w:ind w:left="674" w:hanging="674" w:hangingChars="337"/>
              <w:rPr>
                <w:rFonts w:ascii="Times New Roman" w:hAnsi="Times New Roman" w:eastAsia="宋体" w:cs="Times New Roman"/>
                <w:sz w:val="20"/>
                <w:szCs w:val="20"/>
                <w:highlight w:val="none"/>
              </w:rPr>
            </w:pPr>
            <w:r>
              <w:rPr>
                <w:rFonts w:hint="eastAsia" w:ascii="Times New Roman" w:hAnsi="Times New Roman" w:eastAsia="宋体" w:cs="Times New Roman"/>
                <w:sz w:val="20"/>
                <w:szCs w:val="20"/>
                <w:highlight w:val="none"/>
              </w:rPr>
              <w:t>直接送达</w:t>
            </w:r>
            <w:r>
              <w:rPr>
                <w:rFonts w:hint="eastAsia" w:ascii="Times New Roman" w:hAnsi="Times New Roman" w:eastAsia="宋体" w:cs="Times New Roman"/>
                <w:sz w:val="20"/>
                <w:szCs w:val="20"/>
                <w:highlight w:val="none"/>
              </w:rPr>
              <w:sym w:font="Wingdings 2" w:char="00A3"/>
            </w:r>
            <w:r>
              <w:rPr>
                <w:rFonts w:hint="eastAsia" w:ascii="Times New Roman" w:hAnsi="Times New Roman" w:eastAsia="宋体" w:cs="Times New Roman"/>
                <w:sz w:val="20"/>
                <w:szCs w:val="20"/>
                <w:highlight w:val="none"/>
              </w:rPr>
              <w:t xml:space="preserve">  签收人：</w:t>
            </w:r>
          </w:p>
          <w:p>
            <w:pPr>
              <w:shd w:val="clear"/>
              <w:spacing w:before="0" w:after="0" w:afterAutospacing="0" w:line="240" w:lineRule="auto"/>
              <w:ind w:left="709" w:right="-27" w:hanging="709"/>
              <w:jc w:val="both"/>
              <w:rPr>
                <w:rFonts w:ascii="宋体" w:hAnsi="Courier New" w:eastAsia="宋体" w:cs="宋体"/>
                <w:sz w:val="20"/>
                <w:szCs w:val="20"/>
                <w:highlight w:val="none"/>
                <w:lang w:val="en-US" w:eastAsia="zh-CN" w:bidi="ar-SA"/>
              </w:rPr>
            </w:pPr>
            <w:r>
              <w:rPr>
                <w:rFonts w:hint="eastAsia" w:ascii="宋体" w:hAnsi="Courier New" w:eastAsia="宋体" w:cs="宋体"/>
                <w:sz w:val="20"/>
                <w:szCs w:val="20"/>
                <w:highlight w:val="none"/>
                <w:lang w:val="en-US" w:eastAsia="zh-CN" w:bidi="ar-SA"/>
              </w:rPr>
              <w:t>留置送达</w:t>
            </w:r>
            <w:r>
              <w:rPr>
                <w:rFonts w:hint="eastAsia" w:ascii="宋体" w:hAnsi="Courier New" w:eastAsia="宋体" w:cs="宋体"/>
                <w:sz w:val="20"/>
                <w:szCs w:val="20"/>
                <w:highlight w:val="none"/>
                <w:lang w:val="en-US" w:eastAsia="zh-CN" w:bidi="ar-SA"/>
              </w:rPr>
              <w:sym w:font="Wingdings 2" w:char="00A3"/>
            </w:r>
            <w:r>
              <w:rPr>
                <w:rFonts w:hint="eastAsia" w:ascii="宋体" w:hAnsi="Courier New" w:eastAsia="宋体" w:cs="宋体"/>
                <w:sz w:val="20"/>
                <w:szCs w:val="20"/>
                <w:highlight w:val="none"/>
                <w:lang w:val="en-US" w:eastAsia="zh-CN" w:bidi="ar-SA"/>
              </w:rPr>
              <w:t xml:space="preserve">  送达地址：                    </w:t>
            </w:r>
          </w:p>
          <w:p>
            <w:pPr>
              <w:shd w:val="clear"/>
              <w:spacing w:before="0" w:after="0" w:afterAutospacing="0" w:line="240" w:lineRule="auto"/>
              <w:ind w:left="709" w:right="-27" w:hanging="709"/>
              <w:jc w:val="both"/>
              <w:rPr>
                <w:rFonts w:ascii="宋体" w:hAnsi="Courier New" w:eastAsia="宋体" w:cs="宋体"/>
                <w:sz w:val="20"/>
                <w:szCs w:val="20"/>
                <w:highlight w:val="none"/>
                <w:lang w:val="en-US" w:eastAsia="zh-CN" w:bidi="ar-SA"/>
              </w:rPr>
            </w:pPr>
            <w:r>
              <w:rPr>
                <w:rFonts w:hint="eastAsia" w:ascii="宋体" w:hAnsi="Courier New" w:eastAsia="宋体" w:cs="宋体"/>
                <w:sz w:val="20"/>
                <w:szCs w:val="20"/>
                <w:highlight w:val="none"/>
                <w:lang w:val="en-US" w:eastAsia="zh-CN" w:bidi="ar-SA"/>
              </w:rPr>
              <w:t>电子送达</w:t>
            </w:r>
            <w:r>
              <w:rPr>
                <w:rFonts w:hint="eastAsia" w:ascii="宋体" w:hAnsi="Courier New" w:eastAsia="宋体" w:cs="宋体"/>
                <w:sz w:val="20"/>
                <w:szCs w:val="20"/>
                <w:highlight w:val="none"/>
                <w:lang w:val="en-US" w:eastAsia="zh-CN" w:bidi="ar-SA"/>
              </w:rPr>
              <w:sym w:font="Wingdings 2" w:char="00A3"/>
            </w:r>
            <w:r>
              <w:rPr>
                <w:rFonts w:hint="eastAsia" w:ascii="宋体" w:hAnsi="Courier New" w:eastAsia="宋体" w:cs="宋体"/>
                <w:sz w:val="20"/>
                <w:szCs w:val="20"/>
                <w:highlight w:val="none"/>
                <w:lang w:val="en-US" w:eastAsia="zh-CN" w:bidi="ar-SA"/>
              </w:rPr>
              <w:t xml:space="preserve">  收件人邮箱地址：</w:t>
            </w:r>
          </w:p>
        </w:tc>
      </w:tr>
    </w:tbl>
    <w:p>
      <w:pPr>
        <w:shd w:val="clear"/>
        <w:spacing w:before="0" w:after="0" w:afterAutospacing="0" w:line="240" w:lineRule="auto"/>
        <w:jc w:val="left"/>
        <w:rPr>
          <w:rFonts w:hint="eastAsia" w:ascii="宋体" w:hAnsi="宋体"/>
          <w:sz w:val="18"/>
          <w:szCs w:val="18"/>
          <w:highlight w:val="none"/>
        </w:rPr>
      </w:pPr>
    </w:p>
    <w:p>
      <w:pPr>
        <w:shd w:val="clear"/>
        <w:spacing w:before="0" w:after="0" w:afterAutospacing="0" w:line="240" w:lineRule="auto"/>
        <w:jc w:val="left"/>
        <w:rPr>
          <w:rFonts w:ascii="宋体" w:hAnsi="宋体"/>
          <w:sz w:val="18"/>
          <w:szCs w:val="18"/>
          <w:highlight w:val="none"/>
        </w:rPr>
      </w:pPr>
      <w:r>
        <w:rPr>
          <w:rFonts w:hint="eastAsia" w:ascii="宋体" w:hAnsi="宋体"/>
          <w:sz w:val="18"/>
          <w:szCs w:val="18"/>
          <w:highlight w:val="none"/>
        </w:rPr>
        <w:t>说明：</w:t>
      </w:r>
    </w:p>
    <w:p>
      <w:pPr>
        <w:shd w:val="clear"/>
        <w:spacing w:before="0" w:after="0" w:afterAutospacing="0" w:line="240" w:lineRule="auto"/>
        <w:jc w:val="left"/>
        <w:rPr>
          <w:rFonts w:ascii="宋体" w:hAnsi="宋体"/>
          <w:sz w:val="18"/>
          <w:szCs w:val="18"/>
          <w:highlight w:val="none"/>
        </w:rPr>
      </w:pPr>
      <w:r>
        <w:rPr>
          <w:rFonts w:ascii="宋体" w:hAnsi="宋体"/>
          <w:sz w:val="18"/>
          <w:szCs w:val="18"/>
          <w:highlight w:val="none"/>
        </w:rPr>
        <w:t>1</w:t>
      </w:r>
      <w:r>
        <w:rPr>
          <w:rFonts w:hint="eastAsia" w:ascii="宋体" w:hAnsi="宋体"/>
          <w:sz w:val="18"/>
          <w:szCs w:val="18"/>
          <w:highlight w:val="none"/>
        </w:rPr>
        <w:t>.本表单一式三份，承包商执一份，运营公司执两份，由运营公司主办部门在合同执行过程中发现问题时填写；</w:t>
      </w:r>
    </w:p>
    <w:p>
      <w:pPr>
        <w:shd w:val="clear"/>
        <w:spacing w:before="0" w:after="0" w:afterAutospacing="0" w:line="240" w:lineRule="auto"/>
        <w:ind w:left="0" w:right="139" w:firstLine="0"/>
        <w:jc w:val="left"/>
        <w:rPr>
          <w:rFonts w:ascii="宋体" w:hAnsi="宋体"/>
          <w:sz w:val="18"/>
          <w:szCs w:val="18"/>
          <w:highlight w:val="none"/>
        </w:rPr>
      </w:pPr>
      <w:r>
        <w:rPr>
          <w:rFonts w:hint="eastAsia" w:ascii="宋体" w:hAnsi="宋体"/>
          <w:sz w:val="18"/>
          <w:szCs w:val="18"/>
          <w:highlight w:val="none"/>
        </w:rPr>
        <w:t>2.承包商若对本次违约处理有意见，须在本表单送达后2个工作日内向运营公司主办部门提交正式申诉材料提出申诉，否则视为接受违约处理意见，主办部门在收到申诉材料后须在5个工作日给予回复；</w:t>
      </w:r>
    </w:p>
    <w:p>
      <w:pPr>
        <w:shd w:val="clear"/>
        <w:spacing w:before="0" w:after="0" w:afterAutospacing="0" w:line="240" w:lineRule="auto"/>
        <w:ind w:left="0" w:right="139" w:rightChars="66" w:firstLine="0"/>
        <w:jc w:val="left"/>
        <w:rPr>
          <w:rFonts w:ascii="宋体" w:hAnsi="宋体"/>
          <w:sz w:val="18"/>
          <w:szCs w:val="18"/>
          <w:highlight w:val="none"/>
        </w:rPr>
      </w:pPr>
      <w:r>
        <w:rPr>
          <w:rFonts w:hint="eastAsia" w:ascii="宋体" w:hAnsi="宋体"/>
          <w:sz w:val="18"/>
          <w:szCs w:val="18"/>
          <w:highlight w:val="none"/>
        </w:rPr>
        <w:t>3.本表单按照违约处理决定的金额和授权方案逐级签批或用印，5000元（含）以下由主办部门签批，5000元（不含）-10000元（含）签批至分管主办部门的副总经理并用运营公司印，10000元（不含）-20000元（含）签批至总经理同时报董事长（执行董事）知悉并用运营公司印；20000元（不含）以上签批至董事长（执行董事）执行并用运营公司印；</w:t>
      </w:r>
    </w:p>
    <w:p>
      <w:pPr>
        <w:shd w:val="clear"/>
        <w:spacing w:before="0" w:after="0" w:afterAutospacing="0" w:line="240" w:lineRule="auto"/>
        <w:ind w:left="0" w:right="139" w:rightChars="66" w:firstLine="0"/>
        <w:jc w:val="left"/>
        <w:rPr>
          <w:rFonts w:ascii="宋体" w:hAnsi="宋体"/>
          <w:sz w:val="18"/>
          <w:szCs w:val="18"/>
          <w:highlight w:val="none"/>
        </w:rPr>
      </w:pPr>
      <w:r>
        <w:rPr>
          <w:rFonts w:hint="eastAsia" w:ascii="宋体" w:hAnsi="宋体"/>
          <w:sz w:val="18"/>
          <w:szCs w:val="18"/>
          <w:highlight w:val="none"/>
        </w:rPr>
        <w:t>4.本表单自送达之日起生效。送达时间基准为：（1）直接送达以签收人签收时间为准；（2）留置送达以本表单送达指定地点时间为准，如出现拒签的情况以本表单送达指定地点时派送人现场照片或物流信息显示送达时间为准；（3）电子送达以发送人发出电子邮件时间为准。</w:t>
      </w:r>
    </w:p>
    <w:p>
      <w:pPr>
        <w:shd w:val="clear"/>
        <w:spacing w:before="0" w:after="0" w:afterAutospacing="0" w:line="415" w:lineRule="auto"/>
        <w:ind w:left="0" w:leftChars="0" w:right="-27" w:firstLine="0" w:firstLineChars="0"/>
        <w:jc w:val="both"/>
        <w:outlineLvl w:val="1"/>
        <w:rPr>
          <w:rFonts w:hint="eastAsia" w:cs="Times New Roman" w:asciiTheme="minorEastAsia" w:hAnsiTheme="minorEastAsia" w:eastAsiaTheme="minorEastAsia"/>
          <w:b/>
          <w:bCs/>
          <w:sz w:val="21"/>
          <w:szCs w:val="21"/>
          <w:highlight w:val="none"/>
          <w:lang w:val="en-US" w:eastAsia="zh-CN" w:bidi="ar-SA"/>
        </w:rPr>
      </w:pPr>
    </w:p>
    <w:p>
      <w:pPr>
        <w:shd w:val="clear"/>
        <w:spacing w:before="0" w:after="0" w:afterAutospacing="0" w:line="415" w:lineRule="auto"/>
        <w:ind w:left="0" w:leftChars="0" w:right="-27" w:firstLine="0" w:firstLineChars="0"/>
        <w:jc w:val="both"/>
        <w:outlineLvl w:val="1"/>
        <w:rPr>
          <w:rFonts w:cs="Times New Roman" w:asciiTheme="minorEastAsia" w:hAnsiTheme="minorEastAsia" w:eastAsiaTheme="minorEastAsia"/>
          <w:b/>
          <w:bCs/>
          <w:sz w:val="21"/>
          <w:szCs w:val="21"/>
          <w:highlight w:val="none"/>
          <w:lang w:val="en-US" w:eastAsia="zh-CN" w:bidi="ar-SA"/>
        </w:rPr>
      </w:pPr>
      <w:r>
        <w:rPr>
          <w:rFonts w:hint="eastAsia" w:cs="Times New Roman" w:asciiTheme="minorEastAsia" w:hAnsiTheme="minorEastAsia" w:eastAsiaTheme="minorEastAsia"/>
          <w:b/>
          <w:bCs/>
          <w:sz w:val="21"/>
          <w:szCs w:val="21"/>
          <w:highlight w:val="none"/>
          <w:lang w:val="en-US" w:eastAsia="zh-CN" w:bidi="ar-SA"/>
        </w:rPr>
        <w:t>附件3：项目设施安装质量检查表</w:t>
      </w:r>
    </w:p>
    <w:tbl>
      <w:tblPr>
        <w:tblStyle w:val="28"/>
        <w:tblW w:w="9796" w:type="dxa"/>
        <w:tblInd w:w="93" w:type="dxa"/>
        <w:tblLayout w:type="autofit"/>
        <w:tblCellMar>
          <w:top w:w="0" w:type="dxa"/>
          <w:left w:w="108" w:type="dxa"/>
          <w:bottom w:w="0" w:type="dxa"/>
          <w:right w:w="108" w:type="dxa"/>
        </w:tblCellMar>
      </w:tblPr>
      <w:tblGrid>
        <w:gridCol w:w="760"/>
        <w:gridCol w:w="1200"/>
        <w:gridCol w:w="4960"/>
        <w:gridCol w:w="2876"/>
      </w:tblGrid>
      <w:tr>
        <w:tblPrEx>
          <w:tblCellMar>
            <w:top w:w="0" w:type="dxa"/>
            <w:left w:w="108" w:type="dxa"/>
            <w:bottom w:w="0" w:type="dxa"/>
            <w:right w:w="108" w:type="dxa"/>
          </w:tblCellMar>
        </w:tblPrEx>
        <w:trPr>
          <w:trHeight w:val="660" w:hRule="atLeast"/>
        </w:trPr>
        <w:tc>
          <w:tcPr>
            <w:tcW w:w="9796" w:type="dxa"/>
            <w:gridSpan w:val="4"/>
            <w:tcBorders>
              <w:top w:val="nil"/>
              <w:left w:val="nil"/>
              <w:bottom w:val="nil"/>
              <w:right w:val="nil"/>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b/>
                <w:bCs/>
                <w:color w:val="000000"/>
                <w:sz w:val="28"/>
                <w:szCs w:val="28"/>
                <w:highlight w:val="none"/>
              </w:rPr>
            </w:pPr>
            <w:r>
              <w:rPr>
                <w:rFonts w:hint="eastAsia" w:ascii="宋体" w:hAnsi="宋体" w:eastAsia="宋体" w:cs="宋体"/>
                <w:b/>
                <w:bCs/>
                <w:color w:val="000000"/>
                <w:sz w:val="28"/>
                <w:szCs w:val="28"/>
                <w:highlight w:val="none"/>
              </w:rPr>
              <w:t>项目施工质量检查表</w:t>
            </w:r>
          </w:p>
        </w:tc>
      </w:tr>
      <w:tr>
        <w:tblPrEx>
          <w:tblCellMar>
            <w:top w:w="0" w:type="dxa"/>
            <w:left w:w="108" w:type="dxa"/>
            <w:bottom w:w="0" w:type="dxa"/>
            <w:right w:w="108" w:type="dxa"/>
          </w:tblCellMar>
        </w:tblPrEx>
        <w:trPr>
          <w:trHeight w:val="960" w:hRule="atLeast"/>
        </w:trPr>
        <w:tc>
          <w:tcPr>
            <w:tcW w:w="19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项目名称、编号及合同编号</w:t>
            </w:r>
          </w:p>
        </w:tc>
        <w:tc>
          <w:tcPr>
            <w:tcW w:w="7836"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项目名称:</w:t>
            </w:r>
            <w:r>
              <w:rPr>
                <w:rFonts w:hint="eastAsia" w:ascii="宋体" w:hAnsi="宋体" w:eastAsia="宋体" w:cs="宋体"/>
                <w:color w:val="000000"/>
                <w:sz w:val="22"/>
                <w:szCs w:val="22"/>
                <w:highlight w:val="none"/>
              </w:rPr>
              <w:br w:type="textWrapping"/>
            </w:r>
            <w:r>
              <w:rPr>
                <w:rFonts w:hint="eastAsia" w:ascii="宋体" w:hAnsi="宋体" w:eastAsia="宋体" w:cs="宋体"/>
                <w:color w:val="000000"/>
                <w:sz w:val="22"/>
                <w:szCs w:val="22"/>
                <w:highlight w:val="none"/>
              </w:rPr>
              <w:t>项目编号：</w:t>
            </w:r>
            <w:r>
              <w:rPr>
                <w:rFonts w:hint="eastAsia" w:ascii="宋体" w:hAnsi="宋体" w:eastAsia="宋体" w:cs="宋体"/>
                <w:color w:val="000000"/>
                <w:sz w:val="22"/>
                <w:szCs w:val="22"/>
                <w:highlight w:val="none"/>
              </w:rPr>
              <w:br w:type="textWrapping"/>
            </w:r>
            <w:r>
              <w:rPr>
                <w:rFonts w:hint="eastAsia" w:ascii="宋体" w:hAnsi="宋体" w:eastAsia="宋体" w:cs="宋体"/>
                <w:color w:val="000000"/>
                <w:sz w:val="22"/>
                <w:szCs w:val="22"/>
                <w:highlight w:val="none"/>
              </w:rPr>
              <w:t>合同编号：</w:t>
            </w:r>
          </w:p>
        </w:tc>
      </w:tr>
      <w:tr>
        <w:tblPrEx>
          <w:tblCellMar>
            <w:top w:w="0" w:type="dxa"/>
            <w:left w:w="108" w:type="dxa"/>
            <w:bottom w:w="0" w:type="dxa"/>
            <w:right w:w="108" w:type="dxa"/>
          </w:tblCellMar>
        </w:tblPrEx>
        <w:trPr>
          <w:trHeight w:val="357" w:hRule="atLeast"/>
        </w:trPr>
        <w:tc>
          <w:tcPr>
            <w:tcW w:w="196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项目地点</w:t>
            </w:r>
          </w:p>
        </w:tc>
        <w:tc>
          <w:tcPr>
            <w:tcW w:w="7836" w:type="dxa"/>
            <w:gridSpan w:val="2"/>
            <w:tcBorders>
              <w:top w:val="single" w:color="auto" w:sz="4" w:space="0"/>
              <w:left w:val="nil"/>
              <w:bottom w:val="single" w:color="auto" w:sz="4" w:space="0"/>
              <w:right w:val="single" w:color="000000"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w:t>
            </w:r>
          </w:p>
        </w:tc>
      </w:tr>
      <w:tr>
        <w:tblPrEx>
          <w:tblCellMar>
            <w:top w:w="0" w:type="dxa"/>
            <w:left w:w="108" w:type="dxa"/>
            <w:bottom w:w="0" w:type="dxa"/>
            <w:right w:w="108" w:type="dxa"/>
          </w:tblCellMar>
        </w:tblPrEx>
        <w:trPr>
          <w:trHeight w:val="404" w:hRule="atLeast"/>
        </w:trPr>
        <w:tc>
          <w:tcPr>
            <w:tcW w:w="196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施工单位</w:t>
            </w:r>
          </w:p>
        </w:tc>
        <w:tc>
          <w:tcPr>
            <w:tcW w:w="7836"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w:t>
            </w:r>
          </w:p>
        </w:tc>
      </w:tr>
      <w:tr>
        <w:tblPrEx>
          <w:tblCellMar>
            <w:top w:w="0" w:type="dxa"/>
            <w:left w:w="108" w:type="dxa"/>
            <w:bottom w:w="0" w:type="dxa"/>
            <w:right w:w="108" w:type="dxa"/>
          </w:tblCellMar>
        </w:tblPrEx>
        <w:trPr>
          <w:trHeight w:val="282" w:hRule="atLeast"/>
        </w:trPr>
        <w:tc>
          <w:tcPr>
            <w:tcW w:w="196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检查单位</w:t>
            </w:r>
          </w:p>
        </w:tc>
        <w:tc>
          <w:tcPr>
            <w:tcW w:w="7836"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w:t>
            </w:r>
          </w:p>
        </w:tc>
      </w:tr>
      <w:tr>
        <w:tblPrEx>
          <w:tblCellMar>
            <w:top w:w="0" w:type="dxa"/>
            <w:left w:w="108" w:type="dxa"/>
            <w:bottom w:w="0" w:type="dxa"/>
            <w:right w:w="108" w:type="dxa"/>
          </w:tblCellMar>
        </w:tblPrEx>
        <w:trPr>
          <w:trHeight w:val="303" w:hRule="atLeast"/>
        </w:trPr>
        <w:tc>
          <w:tcPr>
            <w:tcW w:w="19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质量控制资料</w:t>
            </w:r>
          </w:p>
        </w:tc>
        <w:tc>
          <w:tcPr>
            <w:tcW w:w="4960" w:type="dxa"/>
            <w:tcBorders>
              <w:top w:val="nil"/>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项目设施进场前质量检查表</w:t>
            </w:r>
          </w:p>
        </w:tc>
        <w:tc>
          <w:tcPr>
            <w:tcW w:w="2876"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是否完成   是</w:t>
            </w:r>
            <w:r>
              <w:rPr>
                <w:rFonts w:ascii="Wingdings 2" w:hAnsi="Wingdings 2" w:eastAsia="宋体" w:cs="宋体"/>
                <w:color w:val="000000"/>
                <w:sz w:val="22"/>
                <w:szCs w:val="22"/>
                <w:highlight w:val="none"/>
              </w:rPr>
              <w:t></w:t>
            </w:r>
            <w:r>
              <w:rPr>
                <w:rFonts w:hint="eastAsia" w:ascii="宋体" w:hAnsi="宋体" w:eastAsia="宋体" w:cs="宋体"/>
                <w:color w:val="000000"/>
                <w:sz w:val="22"/>
                <w:szCs w:val="22"/>
                <w:highlight w:val="none"/>
              </w:rPr>
              <w:t xml:space="preserve">   否</w:t>
            </w:r>
            <w:r>
              <w:rPr>
                <w:rFonts w:ascii="Wingdings 2" w:hAnsi="Wingdings 2" w:eastAsia="宋体" w:cs="宋体"/>
                <w:color w:val="000000"/>
                <w:sz w:val="22"/>
                <w:szCs w:val="22"/>
                <w:highlight w:val="none"/>
              </w:rPr>
              <w:t></w:t>
            </w:r>
          </w:p>
        </w:tc>
      </w:tr>
      <w:tr>
        <w:tblPrEx>
          <w:tblCellMar>
            <w:top w:w="0" w:type="dxa"/>
            <w:left w:w="108" w:type="dxa"/>
            <w:bottom w:w="0" w:type="dxa"/>
            <w:right w:w="108" w:type="dxa"/>
          </w:tblCellMar>
        </w:tblPrEx>
        <w:trPr>
          <w:trHeight w:val="41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序号</w:t>
            </w:r>
          </w:p>
        </w:tc>
        <w:tc>
          <w:tcPr>
            <w:tcW w:w="6160"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检查内容</w:t>
            </w:r>
          </w:p>
        </w:tc>
        <w:tc>
          <w:tcPr>
            <w:tcW w:w="2876" w:type="dxa"/>
            <w:tcBorders>
              <w:top w:val="nil"/>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检查结果</w:t>
            </w:r>
          </w:p>
        </w:tc>
      </w:tr>
      <w:tr>
        <w:tblPrEx>
          <w:tblCellMar>
            <w:top w:w="0" w:type="dxa"/>
            <w:left w:w="108" w:type="dxa"/>
            <w:bottom w:w="0" w:type="dxa"/>
            <w:right w:w="108" w:type="dxa"/>
          </w:tblCellMar>
        </w:tblPrEx>
        <w:trPr>
          <w:trHeight w:val="600" w:hRule="atLeast"/>
        </w:trPr>
        <w:tc>
          <w:tcPr>
            <w:tcW w:w="76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1</w:t>
            </w:r>
          </w:p>
        </w:tc>
        <w:tc>
          <w:tcPr>
            <w:tcW w:w="6160"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管道连接后不得减小过水横断面面积。热镀锌钢管、涂覆钢管安装采用螺纹、沟槽式连接或法兰连接。</w:t>
            </w:r>
          </w:p>
        </w:tc>
        <w:tc>
          <w:tcPr>
            <w:tcW w:w="2876" w:type="dxa"/>
            <w:vMerge w:val="restart"/>
            <w:tcBorders>
              <w:top w:val="nil"/>
              <w:left w:val="single" w:color="auto" w:sz="4" w:space="0"/>
              <w:bottom w:val="single" w:color="000000"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w:t>
            </w:r>
          </w:p>
        </w:tc>
      </w:tr>
      <w:tr>
        <w:tblPrEx>
          <w:tblCellMar>
            <w:top w:w="0" w:type="dxa"/>
            <w:left w:w="108" w:type="dxa"/>
            <w:bottom w:w="0" w:type="dxa"/>
            <w:right w:w="108" w:type="dxa"/>
          </w:tblCellMar>
        </w:tblPrEx>
        <w:trPr>
          <w:trHeight w:val="1200" w:hRule="atLeast"/>
        </w:trPr>
        <w:tc>
          <w:tcPr>
            <w:tcW w:w="76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2</w:t>
            </w:r>
          </w:p>
        </w:tc>
        <w:tc>
          <w:tcPr>
            <w:tcW w:w="6160"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沟槽式管件连接时，其管道连接沟槽和开孔用专用滚槽机和开孔机加工，并做防腐处理；加工质量应符合技术要求；沟槽、孔洞处不得有毛刺、破损性裂纹和脏物。</w:t>
            </w:r>
            <w:r>
              <w:rPr>
                <w:rFonts w:hint="eastAsia" w:ascii="宋体" w:hAnsi="宋体" w:eastAsia="宋体" w:cs="宋体"/>
                <w:color w:val="000000"/>
                <w:sz w:val="22"/>
                <w:szCs w:val="22"/>
                <w:highlight w:val="none"/>
              </w:rPr>
              <w:br w:type="textWrapping"/>
            </w:r>
            <w:r>
              <w:rPr>
                <w:rFonts w:hint="eastAsia" w:ascii="宋体" w:hAnsi="宋体" w:eastAsia="宋体" w:cs="宋体"/>
                <w:color w:val="000000"/>
                <w:sz w:val="22"/>
                <w:szCs w:val="22"/>
                <w:highlight w:val="none"/>
              </w:rPr>
              <w:t>检查数量：抽查20%，且不得少于5处。</w:t>
            </w:r>
          </w:p>
        </w:tc>
        <w:tc>
          <w:tcPr>
            <w:tcW w:w="2876" w:type="dxa"/>
            <w:vMerge w:val="continue"/>
            <w:tcBorders>
              <w:top w:val="nil"/>
              <w:left w:val="single" w:color="auto" w:sz="4" w:space="0"/>
              <w:bottom w:val="single" w:color="000000" w:sz="4" w:space="0"/>
              <w:right w:val="single" w:color="auto" w:sz="4" w:space="0"/>
            </w:tcBorders>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p>
        </w:tc>
      </w:tr>
      <w:tr>
        <w:tblPrEx>
          <w:tblCellMar>
            <w:top w:w="0" w:type="dxa"/>
            <w:left w:w="108" w:type="dxa"/>
            <w:bottom w:w="0" w:type="dxa"/>
            <w:right w:w="108" w:type="dxa"/>
          </w:tblCellMar>
        </w:tblPrEx>
        <w:trPr>
          <w:trHeight w:val="600" w:hRule="atLeast"/>
        </w:trPr>
        <w:tc>
          <w:tcPr>
            <w:tcW w:w="76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3</w:t>
            </w:r>
          </w:p>
        </w:tc>
        <w:tc>
          <w:tcPr>
            <w:tcW w:w="6160" w:type="dxa"/>
            <w:gridSpan w:val="2"/>
            <w:tcBorders>
              <w:top w:val="single" w:color="auto" w:sz="4" w:space="0"/>
              <w:left w:val="nil"/>
              <w:bottom w:val="single" w:color="auto" w:sz="4" w:space="0"/>
              <w:right w:val="single" w:color="000000"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橡胶密封圈无破损和变形。</w:t>
            </w:r>
            <w:r>
              <w:rPr>
                <w:rFonts w:hint="eastAsia" w:ascii="宋体" w:hAnsi="宋体" w:eastAsia="宋体" w:cs="宋体"/>
                <w:color w:val="000000"/>
                <w:sz w:val="22"/>
                <w:szCs w:val="22"/>
                <w:highlight w:val="none"/>
              </w:rPr>
              <w:br w:type="textWrapping"/>
            </w:r>
            <w:r>
              <w:rPr>
                <w:rFonts w:hint="eastAsia" w:ascii="宋体" w:hAnsi="宋体" w:eastAsia="宋体" w:cs="宋体"/>
                <w:color w:val="000000"/>
                <w:sz w:val="22"/>
                <w:szCs w:val="22"/>
                <w:highlight w:val="none"/>
              </w:rPr>
              <w:t>检查数量：抽查20%，且不得少于5处。</w:t>
            </w:r>
          </w:p>
        </w:tc>
        <w:tc>
          <w:tcPr>
            <w:tcW w:w="2876" w:type="dxa"/>
            <w:vMerge w:val="continue"/>
            <w:tcBorders>
              <w:top w:val="nil"/>
              <w:left w:val="single" w:color="auto" w:sz="4" w:space="0"/>
              <w:bottom w:val="single" w:color="000000" w:sz="4" w:space="0"/>
              <w:right w:val="single" w:color="auto" w:sz="4" w:space="0"/>
            </w:tcBorders>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p>
        </w:tc>
      </w:tr>
      <w:tr>
        <w:tblPrEx>
          <w:tblCellMar>
            <w:top w:w="0" w:type="dxa"/>
            <w:left w:w="108" w:type="dxa"/>
            <w:bottom w:w="0" w:type="dxa"/>
            <w:right w:w="108" w:type="dxa"/>
          </w:tblCellMar>
        </w:tblPrEx>
        <w:trPr>
          <w:trHeight w:val="600" w:hRule="atLeast"/>
        </w:trPr>
        <w:tc>
          <w:tcPr>
            <w:tcW w:w="76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4</w:t>
            </w:r>
          </w:p>
        </w:tc>
        <w:tc>
          <w:tcPr>
            <w:tcW w:w="6160" w:type="dxa"/>
            <w:gridSpan w:val="2"/>
            <w:tcBorders>
              <w:top w:val="single" w:color="auto" w:sz="4" w:space="0"/>
              <w:left w:val="nil"/>
              <w:bottom w:val="single" w:color="auto" w:sz="4" w:space="0"/>
              <w:right w:val="single" w:color="000000"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沟槽式管件的凸边卡进沟槽且安装紧固，橡胶圈无起皱。检查数量：抽查20%，且不得少于5处。</w:t>
            </w:r>
          </w:p>
        </w:tc>
        <w:tc>
          <w:tcPr>
            <w:tcW w:w="2876" w:type="dxa"/>
            <w:vMerge w:val="continue"/>
            <w:tcBorders>
              <w:top w:val="nil"/>
              <w:left w:val="single" w:color="auto" w:sz="4" w:space="0"/>
              <w:bottom w:val="single" w:color="000000" w:sz="4" w:space="0"/>
              <w:right w:val="single" w:color="auto" w:sz="4" w:space="0"/>
            </w:tcBorders>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p>
        </w:tc>
      </w:tr>
      <w:tr>
        <w:tblPrEx>
          <w:tblCellMar>
            <w:top w:w="0" w:type="dxa"/>
            <w:left w:w="108" w:type="dxa"/>
            <w:bottom w:w="0" w:type="dxa"/>
            <w:right w:w="108" w:type="dxa"/>
          </w:tblCellMar>
        </w:tblPrEx>
        <w:trPr>
          <w:trHeight w:val="600" w:hRule="atLeast"/>
        </w:trPr>
        <w:tc>
          <w:tcPr>
            <w:tcW w:w="76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5</w:t>
            </w:r>
          </w:p>
        </w:tc>
        <w:tc>
          <w:tcPr>
            <w:tcW w:w="6160" w:type="dxa"/>
            <w:gridSpan w:val="2"/>
            <w:tcBorders>
              <w:top w:val="single" w:color="auto" w:sz="4" w:space="0"/>
              <w:left w:val="nil"/>
              <w:bottom w:val="single" w:color="auto" w:sz="4" w:space="0"/>
              <w:right w:val="single" w:color="000000"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采用支管接头（机械三通、机械四通）时，支管的最大允许管径（mm）符合验收要求。</w:t>
            </w:r>
          </w:p>
        </w:tc>
        <w:tc>
          <w:tcPr>
            <w:tcW w:w="2876" w:type="dxa"/>
            <w:vMerge w:val="continue"/>
            <w:tcBorders>
              <w:top w:val="nil"/>
              <w:left w:val="single" w:color="auto" w:sz="4" w:space="0"/>
              <w:bottom w:val="single" w:color="000000" w:sz="4" w:space="0"/>
              <w:right w:val="single" w:color="auto" w:sz="4" w:space="0"/>
            </w:tcBorders>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p>
        </w:tc>
      </w:tr>
      <w:tr>
        <w:tblPrEx>
          <w:tblCellMar>
            <w:top w:w="0" w:type="dxa"/>
            <w:left w:w="108" w:type="dxa"/>
            <w:bottom w:w="0" w:type="dxa"/>
            <w:right w:w="108" w:type="dxa"/>
          </w:tblCellMar>
        </w:tblPrEx>
        <w:trPr>
          <w:trHeight w:val="900" w:hRule="atLeast"/>
        </w:trPr>
        <w:tc>
          <w:tcPr>
            <w:tcW w:w="76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6</w:t>
            </w:r>
          </w:p>
        </w:tc>
        <w:tc>
          <w:tcPr>
            <w:tcW w:w="6160" w:type="dxa"/>
            <w:gridSpan w:val="2"/>
            <w:tcBorders>
              <w:top w:val="single" w:color="auto" w:sz="4" w:space="0"/>
              <w:left w:val="nil"/>
              <w:bottom w:val="single" w:color="auto" w:sz="4" w:space="0"/>
              <w:right w:val="single" w:color="000000"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配水干管（立管）与配水管（水平管）连接，应采用沟槽式管件，不应采用机械三通。</w:t>
            </w:r>
            <w:r>
              <w:rPr>
                <w:rFonts w:hint="eastAsia" w:ascii="宋体" w:hAnsi="宋体" w:eastAsia="宋体" w:cs="宋体"/>
                <w:color w:val="000000"/>
                <w:sz w:val="22"/>
                <w:szCs w:val="22"/>
                <w:highlight w:val="none"/>
              </w:rPr>
              <w:br w:type="textWrapping"/>
            </w:r>
            <w:r>
              <w:rPr>
                <w:rFonts w:hint="eastAsia" w:ascii="宋体" w:hAnsi="宋体" w:eastAsia="宋体" w:cs="宋体"/>
                <w:color w:val="000000"/>
                <w:sz w:val="22"/>
                <w:szCs w:val="22"/>
                <w:highlight w:val="none"/>
              </w:rPr>
              <w:t>检查数量：抽查20%，且不得少于5处。</w:t>
            </w:r>
          </w:p>
        </w:tc>
        <w:tc>
          <w:tcPr>
            <w:tcW w:w="2876" w:type="dxa"/>
            <w:vMerge w:val="continue"/>
            <w:tcBorders>
              <w:top w:val="nil"/>
              <w:left w:val="single" w:color="auto" w:sz="4" w:space="0"/>
              <w:bottom w:val="single" w:color="000000" w:sz="4" w:space="0"/>
              <w:right w:val="single" w:color="auto" w:sz="4" w:space="0"/>
            </w:tcBorders>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p>
        </w:tc>
      </w:tr>
      <w:tr>
        <w:tblPrEx>
          <w:tblCellMar>
            <w:top w:w="0" w:type="dxa"/>
            <w:left w:w="108" w:type="dxa"/>
            <w:bottom w:w="0" w:type="dxa"/>
            <w:right w:w="108" w:type="dxa"/>
          </w:tblCellMar>
        </w:tblPrEx>
        <w:trPr>
          <w:trHeight w:val="396" w:hRule="atLeast"/>
        </w:trPr>
        <w:tc>
          <w:tcPr>
            <w:tcW w:w="76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7</w:t>
            </w:r>
          </w:p>
        </w:tc>
        <w:tc>
          <w:tcPr>
            <w:tcW w:w="6160" w:type="dxa"/>
            <w:gridSpan w:val="2"/>
            <w:tcBorders>
              <w:top w:val="single" w:color="auto" w:sz="4" w:space="0"/>
              <w:left w:val="nil"/>
              <w:bottom w:val="single" w:color="auto" w:sz="4" w:space="0"/>
              <w:right w:val="single" w:color="000000"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螺纹连接管道宜采用机械切割，切割面不得有飞边、毛刺。</w:t>
            </w:r>
          </w:p>
        </w:tc>
        <w:tc>
          <w:tcPr>
            <w:tcW w:w="2876" w:type="dxa"/>
            <w:vMerge w:val="continue"/>
            <w:tcBorders>
              <w:top w:val="nil"/>
              <w:left w:val="single" w:color="auto" w:sz="4" w:space="0"/>
              <w:bottom w:val="single" w:color="000000" w:sz="4" w:space="0"/>
              <w:right w:val="single" w:color="auto" w:sz="4" w:space="0"/>
            </w:tcBorders>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p>
        </w:tc>
      </w:tr>
      <w:tr>
        <w:tblPrEx>
          <w:tblCellMar>
            <w:top w:w="0" w:type="dxa"/>
            <w:left w:w="108" w:type="dxa"/>
            <w:bottom w:w="0" w:type="dxa"/>
            <w:right w:w="108" w:type="dxa"/>
          </w:tblCellMar>
        </w:tblPrEx>
        <w:trPr>
          <w:trHeight w:val="900" w:hRule="atLeast"/>
        </w:trPr>
        <w:tc>
          <w:tcPr>
            <w:tcW w:w="76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8</w:t>
            </w:r>
          </w:p>
        </w:tc>
        <w:tc>
          <w:tcPr>
            <w:tcW w:w="6160" w:type="dxa"/>
            <w:gridSpan w:val="2"/>
            <w:tcBorders>
              <w:top w:val="single" w:color="auto" w:sz="4" w:space="0"/>
              <w:left w:val="nil"/>
              <w:bottom w:val="single" w:color="auto" w:sz="4" w:space="0"/>
              <w:right w:val="single" w:color="000000"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螺纹连接管道变径时，采用异径接头；在管道弯头处不得采用补芯，当需要采用补芯时，三通上可用1个，四通上不应超过2个；公称直径大于50mm的管道不得采用活接头。</w:t>
            </w:r>
          </w:p>
        </w:tc>
        <w:tc>
          <w:tcPr>
            <w:tcW w:w="2876" w:type="dxa"/>
            <w:vMerge w:val="continue"/>
            <w:tcBorders>
              <w:top w:val="nil"/>
              <w:left w:val="single" w:color="auto" w:sz="4" w:space="0"/>
              <w:bottom w:val="single" w:color="000000" w:sz="4" w:space="0"/>
              <w:right w:val="single" w:color="auto" w:sz="4" w:space="0"/>
            </w:tcBorders>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p>
        </w:tc>
      </w:tr>
      <w:tr>
        <w:tblPrEx>
          <w:tblCellMar>
            <w:top w:w="0" w:type="dxa"/>
            <w:left w:w="108" w:type="dxa"/>
            <w:bottom w:w="0" w:type="dxa"/>
            <w:right w:w="108" w:type="dxa"/>
          </w:tblCellMar>
        </w:tblPrEx>
        <w:trPr>
          <w:trHeight w:val="600" w:hRule="atLeast"/>
        </w:trPr>
        <w:tc>
          <w:tcPr>
            <w:tcW w:w="76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9</w:t>
            </w:r>
          </w:p>
        </w:tc>
        <w:tc>
          <w:tcPr>
            <w:tcW w:w="6160" w:type="dxa"/>
            <w:gridSpan w:val="2"/>
            <w:tcBorders>
              <w:top w:val="single" w:color="auto" w:sz="4" w:space="0"/>
              <w:left w:val="nil"/>
              <w:bottom w:val="single" w:color="auto" w:sz="4" w:space="0"/>
              <w:right w:val="single" w:color="000000"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末端试水装置和试水阀的安装位置便于检查、试验，且有相应排水能力的排水设施。</w:t>
            </w:r>
          </w:p>
        </w:tc>
        <w:tc>
          <w:tcPr>
            <w:tcW w:w="2876" w:type="dxa"/>
            <w:vMerge w:val="continue"/>
            <w:tcBorders>
              <w:top w:val="nil"/>
              <w:left w:val="single" w:color="auto" w:sz="4" w:space="0"/>
              <w:bottom w:val="single" w:color="000000" w:sz="4" w:space="0"/>
              <w:right w:val="single" w:color="auto" w:sz="4" w:space="0"/>
            </w:tcBorders>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p>
        </w:tc>
      </w:tr>
      <w:tr>
        <w:tblPrEx>
          <w:tblCellMar>
            <w:top w:w="0" w:type="dxa"/>
            <w:left w:w="108" w:type="dxa"/>
            <w:bottom w:w="0" w:type="dxa"/>
            <w:right w:w="108" w:type="dxa"/>
          </w:tblCellMar>
        </w:tblPrEx>
        <w:trPr>
          <w:trHeight w:val="398" w:hRule="atLeast"/>
        </w:trPr>
        <w:tc>
          <w:tcPr>
            <w:tcW w:w="76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10</w:t>
            </w:r>
          </w:p>
        </w:tc>
        <w:tc>
          <w:tcPr>
            <w:tcW w:w="6160" w:type="dxa"/>
            <w:gridSpan w:val="2"/>
            <w:tcBorders>
              <w:top w:val="single" w:color="auto" w:sz="4" w:space="0"/>
              <w:left w:val="nil"/>
              <w:bottom w:val="single" w:color="auto" w:sz="4" w:space="0"/>
              <w:right w:val="single" w:color="000000"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路面拆除及沟槽开挖符合合同要求。</w:t>
            </w:r>
          </w:p>
        </w:tc>
        <w:tc>
          <w:tcPr>
            <w:tcW w:w="2876" w:type="dxa"/>
            <w:vMerge w:val="continue"/>
            <w:tcBorders>
              <w:top w:val="nil"/>
              <w:left w:val="single" w:color="auto" w:sz="4" w:space="0"/>
              <w:bottom w:val="single" w:color="000000" w:sz="4" w:space="0"/>
              <w:right w:val="single" w:color="auto" w:sz="4" w:space="0"/>
            </w:tcBorders>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p>
        </w:tc>
      </w:tr>
      <w:tr>
        <w:tblPrEx>
          <w:tblCellMar>
            <w:top w:w="0" w:type="dxa"/>
            <w:left w:w="108" w:type="dxa"/>
            <w:bottom w:w="0" w:type="dxa"/>
            <w:right w:w="108" w:type="dxa"/>
          </w:tblCellMar>
        </w:tblPrEx>
        <w:trPr>
          <w:trHeight w:val="600" w:hRule="atLeast"/>
        </w:trPr>
        <w:tc>
          <w:tcPr>
            <w:tcW w:w="76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11</w:t>
            </w:r>
          </w:p>
        </w:tc>
        <w:tc>
          <w:tcPr>
            <w:tcW w:w="6160" w:type="dxa"/>
            <w:gridSpan w:val="2"/>
            <w:tcBorders>
              <w:top w:val="single" w:color="auto" w:sz="4" w:space="0"/>
              <w:left w:val="nil"/>
              <w:bottom w:val="single" w:color="auto" w:sz="4" w:space="0"/>
              <w:right w:val="single" w:color="000000"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预埋管道各接点采用焊接连接，焊缝及其周围无沙眼、气孔、堆焊、裂缝、缺焊等情况。</w:t>
            </w:r>
          </w:p>
        </w:tc>
        <w:tc>
          <w:tcPr>
            <w:tcW w:w="2876" w:type="dxa"/>
            <w:vMerge w:val="continue"/>
            <w:tcBorders>
              <w:top w:val="nil"/>
              <w:left w:val="single" w:color="auto" w:sz="4" w:space="0"/>
              <w:bottom w:val="single" w:color="000000" w:sz="4" w:space="0"/>
              <w:right w:val="single" w:color="auto" w:sz="4" w:space="0"/>
            </w:tcBorders>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p>
        </w:tc>
      </w:tr>
      <w:tr>
        <w:tblPrEx>
          <w:tblCellMar>
            <w:top w:w="0" w:type="dxa"/>
            <w:left w:w="108" w:type="dxa"/>
            <w:bottom w:w="0" w:type="dxa"/>
            <w:right w:w="108" w:type="dxa"/>
          </w:tblCellMar>
        </w:tblPrEx>
        <w:trPr>
          <w:trHeight w:val="369" w:hRule="atLeast"/>
        </w:trPr>
        <w:tc>
          <w:tcPr>
            <w:tcW w:w="76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12</w:t>
            </w:r>
          </w:p>
        </w:tc>
        <w:tc>
          <w:tcPr>
            <w:tcW w:w="6160" w:type="dxa"/>
            <w:gridSpan w:val="2"/>
            <w:tcBorders>
              <w:top w:val="single" w:color="auto" w:sz="4" w:space="0"/>
              <w:left w:val="nil"/>
              <w:bottom w:val="single" w:color="auto" w:sz="4" w:space="0"/>
              <w:right w:val="single" w:color="000000"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整体安装美观。</w:t>
            </w:r>
          </w:p>
        </w:tc>
        <w:tc>
          <w:tcPr>
            <w:tcW w:w="2876" w:type="dxa"/>
            <w:vMerge w:val="continue"/>
            <w:tcBorders>
              <w:top w:val="nil"/>
              <w:left w:val="single" w:color="auto" w:sz="4" w:space="0"/>
              <w:bottom w:val="single" w:color="000000" w:sz="4" w:space="0"/>
              <w:right w:val="single" w:color="auto" w:sz="4" w:space="0"/>
            </w:tcBorders>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p>
        </w:tc>
      </w:tr>
      <w:tr>
        <w:tblPrEx>
          <w:tblCellMar>
            <w:top w:w="0" w:type="dxa"/>
            <w:left w:w="108" w:type="dxa"/>
            <w:bottom w:w="0" w:type="dxa"/>
            <w:right w:w="108" w:type="dxa"/>
          </w:tblCellMar>
        </w:tblPrEx>
        <w:trPr>
          <w:trHeight w:val="440" w:hRule="atLeast"/>
        </w:trPr>
        <w:tc>
          <w:tcPr>
            <w:tcW w:w="1960" w:type="dxa"/>
            <w:gridSpan w:val="2"/>
            <w:vMerge w:val="restart"/>
            <w:tcBorders>
              <w:top w:val="single" w:color="auto" w:sz="4" w:space="0"/>
              <w:left w:val="single" w:color="auto" w:sz="4" w:space="0"/>
              <w:bottom w:val="single" w:color="000000" w:sz="4" w:space="0"/>
              <w:right w:val="single" w:color="000000"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b/>
                <w:bCs/>
                <w:color w:val="000000"/>
                <w:sz w:val="22"/>
                <w:szCs w:val="22"/>
                <w:highlight w:val="none"/>
              </w:rPr>
            </w:pPr>
            <w:r>
              <w:rPr>
                <w:rFonts w:hint="eastAsia" w:ascii="宋体" w:hAnsi="宋体" w:eastAsia="宋体" w:cs="宋体"/>
                <w:b/>
                <w:bCs/>
                <w:color w:val="000000"/>
                <w:sz w:val="22"/>
                <w:szCs w:val="22"/>
                <w:highlight w:val="none"/>
              </w:rPr>
              <w:t>施工单位</w:t>
            </w:r>
          </w:p>
        </w:tc>
        <w:tc>
          <w:tcPr>
            <w:tcW w:w="496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施工人员：</w:t>
            </w:r>
          </w:p>
        </w:tc>
        <w:tc>
          <w:tcPr>
            <w:tcW w:w="2876"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 </w:t>
            </w:r>
          </w:p>
        </w:tc>
      </w:tr>
      <w:tr>
        <w:tblPrEx>
          <w:tblCellMar>
            <w:top w:w="0" w:type="dxa"/>
            <w:left w:w="108" w:type="dxa"/>
            <w:bottom w:w="0" w:type="dxa"/>
            <w:right w:w="108" w:type="dxa"/>
          </w:tblCellMar>
        </w:tblPrEx>
        <w:trPr>
          <w:trHeight w:val="405" w:hRule="atLeast"/>
        </w:trPr>
        <w:tc>
          <w:tcPr>
            <w:tcW w:w="1960" w:type="dxa"/>
            <w:gridSpan w:val="2"/>
            <w:vMerge w:val="continue"/>
            <w:tcBorders>
              <w:top w:val="single" w:color="auto" w:sz="4" w:space="0"/>
              <w:left w:val="single" w:color="auto" w:sz="4" w:space="0"/>
              <w:bottom w:val="single" w:color="000000" w:sz="4" w:space="0"/>
              <w:right w:val="single" w:color="000000" w:sz="4" w:space="0"/>
            </w:tcBorders>
            <w:vAlign w:val="center"/>
          </w:tcPr>
          <w:p>
            <w:pPr>
              <w:shd w:val="clear"/>
              <w:spacing w:before="0" w:after="0" w:afterAutospacing="0" w:line="240" w:lineRule="auto"/>
              <w:ind w:left="0" w:right="0" w:firstLine="0"/>
              <w:jc w:val="left"/>
              <w:rPr>
                <w:rFonts w:ascii="宋体" w:hAnsi="宋体" w:eastAsia="宋体" w:cs="宋体"/>
                <w:b/>
                <w:bCs/>
                <w:color w:val="000000"/>
                <w:sz w:val="22"/>
                <w:szCs w:val="22"/>
                <w:highlight w:val="none"/>
              </w:rPr>
            </w:pPr>
          </w:p>
        </w:tc>
        <w:tc>
          <w:tcPr>
            <w:tcW w:w="496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项目负责人：</w:t>
            </w:r>
          </w:p>
        </w:tc>
        <w:tc>
          <w:tcPr>
            <w:tcW w:w="2876"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 </w:t>
            </w:r>
          </w:p>
        </w:tc>
      </w:tr>
      <w:tr>
        <w:tblPrEx>
          <w:tblCellMar>
            <w:top w:w="0" w:type="dxa"/>
            <w:left w:w="108" w:type="dxa"/>
            <w:bottom w:w="0" w:type="dxa"/>
            <w:right w:w="108" w:type="dxa"/>
          </w:tblCellMar>
        </w:tblPrEx>
        <w:trPr>
          <w:trHeight w:val="358" w:hRule="atLeast"/>
        </w:trPr>
        <w:tc>
          <w:tcPr>
            <w:tcW w:w="1960" w:type="dxa"/>
            <w:gridSpan w:val="2"/>
            <w:vMerge w:val="restart"/>
            <w:tcBorders>
              <w:top w:val="single" w:color="auto" w:sz="4" w:space="0"/>
              <w:left w:val="single" w:color="auto" w:sz="4" w:space="0"/>
              <w:bottom w:val="single" w:color="000000" w:sz="4" w:space="0"/>
              <w:right w:val="single" w:color="000000"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b/>
                <w:bCs/>
                <w:color w:val="000000"/>
                <w:sz w:val="22"/>
                <w:szCs w:val="22"/>
                <w:highlight w:val="none"/>
              </w:rPr>
            </w:pPr>
            <w:r>
              <w:rPr>
                <w:rFonts w:hint="eastAsia" w:ascii="宋体" w:hAnsi="宋体" w:eastAsia="宋体" w:cs="宋体"/>
                <w:b/>
                <w:bCs/>
                <w:color w:val="000000"/>
                <w:sz w:val="22"/>
                <w:szCs w:val="22"/>
                <w:highlight w:val="none"/>
              </w:rPr>
              <w:t>检查单位</w:t>
            </w:r>
          </w:p>
        </w:tc>
        <w:tc>
          <w:tcPr>
            <w:tcW w:w="496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检查人员：</w:t>
            </w:r>
          </w:p>
        </w:tc>
        <w:tc>
          <w:tcPr>
            <w:tcW w:w="2876"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 </w:t>
            </w:r>
          </w:p>
        </w:tc>
      </w:tr>
      <w:tr>
        <w:tblPrEx>
          <w:tblCellMar>
            <w:top w:w="0" w:type="dxa"/>
            <w:left w:w="108" w:type="dxa"/>
            <w:bottom w:w="0" w:type="dxa"/>
            <w:right w:w="108" w:type="dxa"/>
          </w:tblCellMar>
        </w:tblPrEx>
        <w:trPr>
          <w:trHeight w:val="408" w:hRule="atLeast"/>
        </w:trPr>
        <w:tc>
          <w:tcPr>
            <w:tcW w:w="1960" w:type="dxa"/>
            <w:gridSpan w:val="2"/>
            <w:vMerge w:val="continue"/>
            <w:tcBorders>
              <w:top w:val="single" w:color="auto" w:sz="4" w:space="0"/>
              <w:left w:val="single" w:color="auto" w:sz="4" w:space="0"/>
              <w:bottom w:val="single" w:color="000000" w:sz="4" w:space="0"/>
              <w:right w:val="single" w:color="000000" w:sz="4" w:space="0"/>
            </w:tcBorders>
            <w:vAlign w:val="center"/>
          </w:tcPr>
          <w:p>
            <w:pPr>
              <w:shd w:val="clear"/>
              <w:spacing w:before="0" w:after="0" w:afterAutospacing="0" w:line="240" w:lineRule="auto"/>
              <w:ind w:left="0" w:right="0" w:firstLine="0"/>
              <w:jc w:val="left"/>
              <w:rPr>
                <w:rFonts w:ascii="宋体" w:hAnsi="宋体" w:eastAsia="宋体" w:cs="宋体"/>
                <w:b/>
                <w:bCs/>
                <w:color w:val="000000"/>
                <w:sz w:val="22"/>
                <w:szCs w:val="22"/>
                <w:highlight w:val="none"/>
              </w:rPr>
            </w:pPr>
          </w:p>
        </w:tc>
        <w:tc>
          <w:tcPr>
            <w:tcW w:w="496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工班长：</w:t>
            </w:r>
          </w:p>
        </w:tc>
        <w:tc>
          <w:tcPr>
            <w:tcW w:w="2876"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 </w:t>
            </w:r>
          </w:p>
        </w:tc>
      </w:tr>
      <w:tr>
        <w:tblPrEx>
          <w:tblCellMar>
            <w:top w:w="0" w:type="dxa"/>
            <w:left w:w="108" w:type="dxa"/>
            <w:bottom w:w="0" w:type="dxa"/>
            <w:right w:w="108" w:type="dxa"/>
          </w:tblCellMar>
        </w:tblPrEx>
        <w:trPr>
          <w:trHeight w:val="416" w:hRule="atLeast"/>
        </w:trPr>
        <w:tc>
          <w:tcPr>
            <w:tcW w:w="1960" w:type="dxa"/>
            <w:gridSpan w:val="2"/>
            <w:vMerge w:val="continue"/>
            <w:tcBorders>
              <w:top w:val="single" w:color="auto" w:sz="4" w:space="0"/>
              <w:left w:val="single" w:color="auto" w:sz="4" w:space="0"/>
              <w:bottom w:val="single" w:color="000000" w:sz="4" w:space="0"/>
              <w:right w:val="single" w:color="000000" w:sz="4" w:space="0"/>
            </w:tcBorders>
            <w:vAlign w:val="center"/>
          </w:tcPr>
          <w:p>
            <w:pPr>
              <w:shd w:val="clear"/>
              <w:spacing w:before="0" w:after="0" w:afterAutospacing="0" w:line="240" w:lineRule="auto"/>
              <w:ind w:left="0" w:right="0" w:firstLine="0"/>
              <w:jc w:val="left"/>
              <w:rPr>
                <w:rFonts w:ascii="宋体" w:hAnsi="宋体" w:eastAsia="宋体" w:cs="宋体"/>
                <w:b/>
                <w:bCs/>
                <w:color w:val="000000"/>
                <w:sz w:val="22"/>
                <w:szCs w:val="22"/>
                <w:highlight w:val="none"/>
              </w:rPr>
            </w:pPr>
          </w:p>
        </w:tc>
        <w:tc>
          <w:tcPr>
            <w:tcW w:w="496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技术主办：</w:t>
            </w:r>
          </w:p>
        </w:tc>
        <w:tc>
          <w:tcPr>
            <w:tcW w:w="2876"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 </w:t>
            </w:r>
          </w:p>
        </w:tc>
      </w:tr>
    </w:tbl>
    <w:p>
      <w:pPr>
        <w:shd w:val="clear"/>
        <w:spacing w:after="0" w:afterAutospacing="0"/>
        <w:ind w:left="0" w:firstLine="0"/>
        <w:rPr>
          <w:rFonts w:asciiTheme="minorEastAsia" w:hAnsiTheme="minorEastAsia" w:eastAsiaTheme="minorEastAsia"/>
          <w:b w:val="0"/>
          <w:sz w:val="21"/>
          <w:szCs w:val="21"/>
          <w:highlight w:val="none"/>
        </w:rPr>
        <w:sectPr>
          <w:pgSz w:w="11905" w:h="16838"/>
          <w:pgMar w:top="567" w:right="1134" w:bottom="567" w:left="1134" w:header="340" w:footer="567" w:gutter="0"/>
          <w:pgNumType w:fmt="decimal"/>
          <w:cols w:space="720" w:num="1"/>
          <w:titlePg/>
          <w:docGrid w:linePitch="319" w:charSpace="0"/>
        </w:sectPr>
      </w:pPr>
      <w:bookmarkStart w:id="1541" w:name="_Toc137824316"/>
    </w:p>
    <w:p>
      <w:pPr>
        <w:shd w:val="clear"/>
        <w:spacing w:before="0" w:after="0" w:afterAutospacing="0" w:line="415" w:lineRule="auto"/>
        <w:ind w:left="0" w:right="-27" w:firstLine="0"/>
        <w:jc w:val="both"/>
        <w:outlineLvl w:val="1"/>
        <w:rPr>
          <w:rFonts w:cs="Times New Roman" w:asciiTheme="minorEastAsia" w:hAnsiTheme="minorEastAsia" w:eastAsiaTheme="minorEastAsia"/>
          <w:b/>
          <w:bCs/>
          <w:sz w:val="21"/>
          <w:szCs w:val="21"/>
          <w:highlight w:val="none"/>
          <w:lang w:val="en-US" w:eastAsia="zh-CN" w:bidi="ar-SA"/>
        </w:rPr>
      </w:pPr>
      <w:r>
        <w:rPr>
          <w:rFonts w:hint="eastAsia" w:cs="Times New Roman" w:asciiTheme="minorEastAsia" w:hAnsiTheme="minorEastAsia" w:eastAsiaTheme="minorEastAsia"/>
          <w:b/>
          <w:bCs/>
          <w:sz w:val="21"/>
          <w:szCs w:val="21"/>
          <w:highlight w:val="none"/>
          <w:lang w:val="en-US" w:eastAsia="zh-CN" w:bidi="ar-SA"/>
        </w:rPr>
        <w:t>附件4：喷淋管道试压记录报告</w:t>
      </w:r>
      <w:bookmarkEnd w:id="1541"/>
    </w:p>
    <w:p>
      <w:pPr>
        <w:pStyle w:val="56"/>
        <w:keepNext/>
        <w:keepLines/>
        <w:shd w:val="clear"/>
        <w:outlineLvl w:val="9"/>
        <w:rPr>
          <w:highlight w:val="none"/>
        </w:rPr>
      </w:pPr>
      <w:bookmarkStart w:id="1542" w:name="bookmark4"/>
      <w:bookmarkStart w:id="1543" w:name="bookmark5"/>
      <w:bookmarkStart w:id="1544" w:name="bookmark3"/>
      <w:r>
        <w:rPr>
          <w:color w:val="000000"/>
          <w:highlight w:val="none"/>
        </w:rPr>
        <w:t>自动喷水灭火系统</w:t>
      </w:r>
      <w:r>
        <w:rPr>
          <w:rFonts w:hint="eastAsia"/>
          <w:color w:val="000000"/>
          <w:highlight w:val="none"/>
          <w:lang w:eastAsia="zh-CN"/>
        </w:rPr>
        <w:t>管道</w:t>
      </w:r>
      <w:r>
        <w:rPr>
          <w:color w:val="000000"/>
          <w:highlight w:val="none"/>
        </w:rPr>
        <w:t>试压、</w:t>
      </w:r>
      <w:r>
        <w:rPr>
          <w:rFonts w:hint="eastAsia"/>
          <w:color w:val="000000"/>
          <w:highlight w:val="none"/>
          <w:lang w:val="en-US" w:eastAsia="zh-CN"/>
        </w:rPr>
        <w:t>严密性</w:t>
      </w:r>
      <w:r>
        <w:rPr>
          <w:color w:val="000000"/>
          <w:highlight w:val="none"/>
        </w:rPr>
        <w:t>试验记录</w:t>
      </w:r>
      <w:bookmarkEnd w:id="1542"/>
      <w:bookmarkEnd w:id="1543"/>
      <w:bookmarkEnd w:id="1544"/>
    </w:p>
    <w:p>
      <w:pPr>
        <w:pStyle w:val="57"/>
        <w:shd w:val="clear"/>
        <w:rPr>
          <w:highlight w:val="none"/>
        </w:rPr>
      </w:pPr>
      <w:r>
        <w:rPr>
          <w:rFonts w:ascii="宋体" w:hAnsi="宋体" w:cs="宋体"/>
          <w:color w:val="000000"/>
          <w:highlight w:val="none"/>
          <w:lang w:val="zh-TW" w:eastAsia="zh-TW" w:bidi="zh-TW"/>
        </w:rPr>
        <w:t>编号：</w:t>
      </w:r>
      <w:r>
        <w:rPr>
          <w:rFonts w:hint="eastAsia"/>
          <w:color w:val="000000"/>
          <w:highlight w:val="none"/>
          <w:lang w:bidi="en-US"/>
        </w:rPr>
        <w:t>03-16-001</w:t>
      </w:r>
    </w:p>
    <w:tbl>
      <w:tblPr>
        <w:tblStyle w:val="28"/>
        <w:tblW w:w="0" w:type="auto"/>
        <w:jc w:val="center"/>
        <w:tblLayout w:type="fixed"/>
        <w:tblCellMar>
          <w:top w:w="0" w:type="dxa"/>
          <w:left w:w="10" w:type="dxa"/>
          <w:bottom w:w="0" w:type="dxa"/>
          <w:right w:w="10" w:type="dxa"/>
        </w:tblCellMar>
      </w:tblPr>
      <w:tblGrid>
        <w:gridCol w:w="636"/>
        <w:gridCol w:w="1008"/>
        <w:gridCol w:w="3120"/>
        <w:gridCol w:w="420"/>
        <w:gridCol w:w="1620"/>
        <w:gridCol w:w="2892"/>
      </w:tblGrid>
      <w:tr>
        <w:tblPrEx>
          <w:tblCellMar>
            <w:top w:w="0" w:type="dxa"/>
            <w:left w:w="10" w:type="dxa"/>
            <w:bottom w:w="0" w:type="dxa"/>
            <w:right w:w="10" w:type="dxa"/>
          </w:tblCellMar>
        </w:tblPrEx>
        <w:trPr>
          <w:trHeight w:val="576" w:hRule="exact"/>
          <w:jc w:val="center"/>
        </w:trPr>
        <w:tc>
          <w:tcPr>
            <w:tcW w:w="1644" w:type="dxa"/>
            <w:gridSpan w:val="2"/>
            <w:tcBorders>
              <w:top w:val="single" w:color="auto" w:sz="4" w:space="0"/>
              <w:left w:val="single" w:color="auto" w:sz="4" w:space="0"/>
            </w:tcBorders>
            <w:shd w:val="clear" w:color="auto" w:fill="FFFFFF"/>
            <w:vAlign w:val="center"/>
          </w:tcPr>
          <w:p>
            <w:pPr>
              <w:pStyle w:val="58"/>
              <w:shd w:val="clear"/>
              <w:ind w:firstLine="180"/>
              <w:jc w:val="left"/>
              <w:rPr>
                <w:highlight w:val="none"/>
              </w:rPr>
            </w:pPr>
            <w:r>
              <w:rPr>
                <w:color w:val="000000"/>
                <w:highlight w:val="none"/>
              </w:rPr>
              <w:t>单位工程名称</w:t>
            </w:r>
          </w:p>
        </w:tc>
        <w:tc>
          <w:tcPr>
            <w:tcW w:w="3540" w:type="dxa"/>
            <w:gridSpan w:val="2"/>
            <w:tcBorders>
              <w:top w:val="single" w:color="auto" w:sz="4" w:space="0"/>
              <w:left w:val="single" w:color="auto" w:sz="4" w:space="0"/>
            </w:tcBorders>
            <w:shd w:val="clear" w:color="auto" w:fill="FFFFFF"/>
            <w:vAlign w:val="center"/>
          </w:tcPr>
          <w:p>
            <w:pPr>
              <w:pStyle w:val="58"/>
              <w:shd w:val="clear"/>
              <w:rPr>
                <w:highlight w:val="none"/>
              </w:rPr>
            </w:pPr>
          </w:p>
        </w:tc>
        <w:tc>
          <w:tcPr>
            <w:tcW w:w="1620" w:type="dxa"/>
            <w:tcBorders>
              <w:top w:val="single" w:color="auto" w:sz="4" w:space="0"/>
              <w:left w:val="single" w:color="auto" w:sz="4" w:space="0"/>
            </w:tcBorders>
            <w:shd w:val="clear" w:color="auto" w:fill="FFFFFF"/>
            <w:vAlign w:val="center"/>
          </w:tcPr>
          <w:p>
            <w:pPr>
              <w:pStyle w:val="58"/>
              <w:shd w:val="clear"/>
              <w:spacing w:line="276" w:lineRule="exact"/>
              <w:rPr>
                <w:highlight w:val="none"/>
              </w:rPr>
            </w:pPr>
            <w:r>
              <w:rPr>
                <w:color w:val="000000"/>
                <w:highlight w:val="none"/>
              </w:rPr>
              <w:t>分部（子分部） 工程名称</w:t>
            </w:r>
          </w:p>
        </w:tc>
        <w:tc>
          <w:tcPr>
            <w:tcW w:w="2892" w:type="dxa"/>
            <w:tcBorders>
              <w:top w:val="single" w:color="auto" w:sz="4" w:space="0"/>
              <w:left w:val="single" w:color="auto" w:sz="4" w:space="0"/>
              <w:right w:val="single" w:color="auto" w:sz="4" w:space="0"/>
            </w:tcBorders>
            <w:shd w:val="clear" w:color="auto" w:fill="FFFFFF"/>
            <w:vAlign w:val="center"/>
          </w:tcPr>
          <w:p>
            <w:pPr>
              <w:pStyle w:val="58"/>
              <w:shd w:val="clear"/>
              <w:spacing w:line="264" w:lineRule="exact"/>
              <w:rPr>
                <w:highlight w:val="none"/>
                <w:lang w:eastAsia="zh-CN"/>
              </w:rPr>
            </w:pPr>
          </w:p>
        </w:tc>
      </w:tr>
      <w:tr>
        <w:tblPrEx>
          <w:tblCellMar>
            <w:top w:w="0" w:type="dxa"/>
            <w:left w:w="10" w:type="dxa"/>
            <w:bottom w:w="0" w:type="dxa"/>
            <w:right w:w="10" w:type="dxa"/>
          </w:tblCellMar>
        </w:tblPrEx>
        <w:trPr>
          <w:trHeight w:val="468" w:hRule="exact"/>
          <w:jc w:val="center"/>
        </w:trPr>
        <w:tc>
          <w:tcPr>
            <w:tcW w:w="1644" w:type="dxa"/>
            <w:gridSpan w:val="2"/>
            <w:tcBorders>
              <w:top w:val="single" w:color="auto" w:sz="4" w:space="0"/>
              <w:left w:val="single" w:color="auto" w:sz="4" w:space="0"/>
            </w:tcBorders>
            <w:shd w:val="clear" w:color="auto" w:fill="FFFFFF"/>
            <w:vAlign w:val="center"/>
          </w:tcPr>
          <w:p>
            <w:pPr>
              <w:pStyle w:val="58"/>
              <w:shd w:val="clear"/>
              <w:ind w:firstLine="180"/>
              <w:jc w:val="left"/>
              <w:rPr>
                <w:highlight w:val="none"/>
              </w:rPr>
            </w:pPr>
            <w:r>
              <w:rPr>
                <w:color w:val="000000"/>
                <w:highlight w:val="none"/>
              </w:rPr>
              <w:t>分项工程名称</w:t>
            </w:r>
          </w:p>
        </w:tc>
        <w:tc>
          <w:tcPr>
            <w:tcW w:w="3540" w:type="dxa"/>
            <w:gridSpan w:val="2"/>
            <w:tcBorders>
              <w:top w:val="single" w:color="auto" w:sz="4" w:space="0"/>
              <w:left w:val="single" w:color="auto" w:sz="4" w:space="0"/>
            </w:tcBorders>
            <w:shd w:val="clear" w:color="auto" w:fill="FFFFFF"/>
            <w:vAlign w:val="center"/>
          </w:tcPr>
          <w:p>
            <w:pPr>
              <w:pStyle w:val="58"/>
              <w:shd w:val="clear"/>
              <w:rPr>
                <w:highlight w:val="none"/>
                <w:lang w:eastAsia="zh-CN"/>
              </w:rPr>
            </w:pPr>
          </w:p>
        </w:tc>
        <w:tc>
          <w:tcPr>
            <w:tcW w:w="1620" w:type="dxa"/>
            <w:tcBorders>
              <w:top w:val="single" w:color="auto" w:sz="4" w:space="0"/>
              <w:left w:val="single" w:color="auto" w:sz="4" w:space="0"/>
            </w:tcBorders>
            <w:shd w:val="clear" w:color="auto" w:fill="FFFFFF"/>
            <w:vAlign w:val="center"/>
          </w:tcPr>
          <w:p>
            <w:pPr>
              <w:pStyle w:val="58"/>
              <w:shd w:val="clear"/>
              <w:rPr>
                <w:highlight w:val="none"/>
              </w:rPr>
            </w:pPr>
            <w:r>
              <w:rPr>
                <w:color w:val="000000"/>
                <w:highlight w:val="none"/>
              </w:rPr>
              <w:t>项目经理</w:t>
            </w:r>
          </w:p>
        </w:tc>
        <w:tc>
          <w:tcPr>
            <w:tcW w:w="2892" w:type="dxa"/>
            <w:tcBorders>
              <w:top w:val="single" w:color="auto" w:sz="4" w:space="0"/>
              <w:left w:val="single" w:color="auto" w:sz="4" w:space="0"/>
              <w:right w:val="single" w:color="auto" w:sz="4" w:space="0"/>
            </w:tcBorders>
            <w:shd w:val="clear" w:color="auto" w:fill="FFFFFF"/>
            <w:vAlign w:val="center"/>
          </w:tcPr>
          <w:p>
            <w:pPr>
              <w:pStyle w:val="58"/>
              <w:shd w:val="clear"/>
              <w:rPr>
                <w:highlight w:val="none"/>
              </w:rPr>
            </w:pPr>
          </w:p>
        </w:tc>
      </w:tr>
      <w:tr>
        <w:tblPrEx>
          <w:tblCellMar>
            <w:top w:w="0" w:type="dxa"/>
            <w:left w:w="10" w:type="dxa"/>
            <w:bottom w:w="0" w:type="dxa"/>
            <w:right w:w="10" w:type="dxa"/>
          </w:tblCellMar>
        </w:tblPrEx>
        <w:trPr>
          <w:trHeight w:val="568" w:hRule="exact"/>
          <w:jc w:val="center"/>
        </w:trPr>
        <w:tc>
          <w:tcPr>
            <w:tcW w:w="1644" w:type="dxa"/>
            <w:gridSpan w:val="2"/>
            <w:tcBorders>
              <w:top w:val="single" w:color="auto" w:sz="4" w:space="0"/>
              <w:left w:val="single" w:color="auto" w:sz="4" w:space="0"/>
            </w:tcBorders>
            <w:shd w:val="clear" w:color="auto" w:fill="FFFFFF"/>
            <w:vAlign w:val="center"/>
          </w:tcPr>
          <w:p>
            <w:pPr>
              <w:pStyle w:val="58"/>
              <w:shd w:val="clear"/>
              <w:spacing w:line="216" w:lineRule="exact"/>
              <w:rPr>
                <w:highlight w:val="none"/>
              </w:rPr>
            </w:pPr>
            <w:r>
              <w:rPr>
                <w:color w:val="000000"/>
                <w:highlight w:val="none"/>
              </w:rPr>
              <w:t>施工执行标准 名称及编号</w:t>
            </w:r>
          </w:p>
        </w:tc>
        <w:tc>
          <w:tcPr>
            <w:tcW w:w="8052" w:type="dxa"/>
            <w:gridSpan w:val="4"/>
            <w:tcBorders>
              <w:top w:val="single" w:color="auto" w:sz="4" w:space="0"/>
              <w:left w:val="single" w:color="auto" w:sz="4" w:space="0"/>
              <w:right w:val="single" w:color="auto" w:sz="4" w:space="0"/>
            </w:tcBorders>
            <w:shd w:val="clear" w:color="auto" w:fill="FFFFFF"/>
            <w:vAlign w:val="center"/>
          </w:tcPr>
          <w:p>
            <w:pPr>
              <w:pStyle w:val="58"/>
              <w:shd w:val="clear"/>
              <w:spacing w:before="80"/>
              <w:rPr>
                <w:highlight w:val="none"/>
              </w:rPr>
            </w:pPr>
          </w:p>
        </w:tc>
      </w:tr>
      <w:tr>
        <w:tblPrEx>
          <w:tblCellMar>
            <w:top w:w="0" w:type="dxa"/>
            <w:left w:w="10" w:type="dxa"/>
            <w:bottom w:w="0" w:type="dxa"/>
            <w:right w:w="10" w:type="dxa"/>
          </w:tblCellMar>
        </w:tblPrEx>
        <w:trPr>
          <w:trHeight w:val="552" w:hRule="exact"/>
          <w:jc w:val="center"/>
        </w:trPr>
        <w:tc>
          <w:tcPr>
            <w:tcW w:w="1644" w:type="dxa"/>
            <w:gridSpan w:val="2"/>
            <w:tcBorders>
              <w:top w:val="single" w:color="auto" w:sz="4" w:space="0"/>
              <w:left w:val="single" w:color="auto" w:sz="4" w:space="0"/>
            </w:tcBorders>
            <w:shd w:val="clear" w:color="auto" w:fill="FFFFFF"/>
            <w:vAlign w:val="center"/>
          </w:tcPr>
          <w:p>
            <w:pPr>
              <w:pStyle w:val="58"/>
              <w:shd w:val="clear"/>
              <w:spacing w:line="276" w:lineRule="exact"/>
              <w:rPr>
                <w:highlight w:val="none"/>
              </w:rPr>
            </w:pPr>
            <w:r>
              <w:rPr>
                <w:color w:val="000000"/>
                <w:highlight w:val="none"/>
              </w:rPr>
              <w:t>管道（设备） 名 称</w:t>
            </w:r>
          </w:p>
        </w:tc>
        <w:tc>
          <w:tcPr>
            <w:tcW w:w="8052" w:type="dxa"/>
            <w:gridSpan w:val="4"/>
            <w:tcBorders>
              <w:top w:val="single" w:color="auto" w:sz="4" w:space="0"/>
              <w:left w:val="single" w:color="auto" w:sz="4" w:space="0"/>
              <w:right w:val="single" w:color="auto" w:sz="4" w:space="0"/>
            </w:tcBorders>
            <w:shd w:val="clear" w:color="auto" w:fill="FFFFFF"/>
            <w:vAlign w:val="center"/>
          </w:tcPr>
          <w:p>
            <w:pPr>
              <w:pStyle w:val="58"/>
              <w:shd w:val="clear"/>
              <w:rPr>
                <w:highlight w:val="none"/>
              </w:rPr>
            </w:pPr>
          </w:p>
        </w:tc>
      </w:tr>
      <w:tr>
        <w:tblPrEx>
          <w:tblCellMar>
            <w:top w:w="0" w:type="dxa"/>
            <w:left w:w="10" w:type="dxa"/>
            <w:bottom w:w="0" w:type="dxa"/>
            <w:right w:w="10" w:type="dxa"/>
          </w:tblCellMar>
        </w:tblPrEx>
        <w:trPr>
          <w:trHeight w:val="468" w:hRule="exact"/>
          <w:jc w:val="center"/>
        </w:trPr>
        <w:tc>
          <w:tcPr>
            <w:tcW w:w="1644" w:type="dxa"/>
            <w:gridSpan w:val="2"/>
            <w:tcBorders>
              <w:top w:val="single" w:color="auto" w:sz="4" w:space="0"/>
              <w:left w:val="single" w:color="auto" w:sz="4" w:space="0"/>
            </w:tcBorders>
            <w:shd w:val="clear" w:color="auto" w:fill="FFFFFF"/>
            <w:vAlign w:val="center"/>
          </w:tcPr>
          <w:p>
            <w:pPr>
              <w:pStyle w:val="58"/>
              <w:shd w:val="clear"/>
              <w:jc w:val="left"/>
              <w:rPr>
                <w:highlight w:val="none"/>
              </w:rPr>
            </w:pPr>
            <w:r>
              <w:rPr>
                <w:color w:val="000000"/>
                <w:highlight w:val="none"/>
              </w:rPr>
              <w:t>管道（设备）材质</w:t>
            </w:r>
          </w:p>
        </w:tc>
        <w:tc>
          <w:tcPr>
            <w:tcW w:w="3540" w:type="dxa"/>
            <w:gridSpan w:val="2"/>
            <w:tcBorders>
              <w:top w:val="single" w:color="auto" w:sz="4" w:space="0"/>
              <w:left w:val="single" w:color="auto" w:sz="4" w:space="0"/>
            </w:tcBorders>
            <w:shd w:val="clear" w:color="auto" w:fill="FFFFFF"/>
            <w:vAlign w:val="center"/>
          </w:tcPr>
          <w:p>
            <w:pPr>
              <w:pStyle w:val="58"/>
              <w:shd w:val="clear"/>
              <w:rPr>
                <w:highlight w:val="none"/>
              </w:rPr>
            </w:pPr>
          </w:p>
        </w:tc>
        <w:tc>
          <w:tcPr>
            <w:tcW w:w="1620" w:type="dxa"/>
            <w:tcBorders>
              <w:top w:val="single" w:color="auto" w:sz="4" w:space="0"/>
              <w:left w:val="single" w:color="auto" w:sz="4" w:space="0"/>
            </w:tcBorders>
            <w:shd w:val="clear" w:color="auto" w:fill="FFFFFF"/>
            <w:vAlign w:val="center"/>
          </w:tcPr>
          <w:p>
            <w:pPr>
              <w:pStyle w:val="58"/>
              <w:shd w:val="clear"/>
              <w:rPr>
                <w:highlight w:val="none"/>
              </w:rPr>
            </w:pPr>
            <w:r>
              <w:rPr>
                <w:color w:val="000000"/>
                <w:highlight w:val="none"/>
              </w:rPr>
              <w:t>环境温度</w:t>
            </w:r>
          </w:p>
        </w:tc>
        <w:tc>
          <w:tcPr>
            <w:tcW w:w="2892" w:type="dxa"/>
            <w:tcBorders>
              <w:top w:val="single" w:color="auto" w:sz="4" w:space="0"/>
              <w:left w:val="single" w:color="auto" w:sz="4" w:space="0"/>
              <w:right w:val="single" w:color="auto" w:sz="4" w:space="0"/>
            </w:tcBorders>
            <w:shd w:val="clear" w:color="auto" w:fill="FFFFFF"/>
            <w:vAlign w:val="center"/>
          </w:tcPr>
          <w:p>
            <w:pPr>
              <w:pStyle w:val="58"/>
              <w:shd w:val="clear"/>
              <w:rPr>
                <w:highlight w:val="none"/>
              </w:rPr>
            </w:pPr>
          </w:p>
        </w:tc>
      </w:tr>
      <w:tr>
        <w:tblPrEx>
          <w:tblCellMar>
            <w:top w:w="0" w:type="dxa"/>
            <w:left w:w="10" w:type="dxa"/>
            <w:bottom w:w="0" w:type="dxa"/>
            <w:right w:w="10" w:type="dxa"/>
          </w:tblCellMar>
        </w:tblPrEx>
        <w:trPr>
          <w:trHeight w:val="468" w:hRule="exact"/>
          <w:jc w:val="center"/>
        </w:trPr>
        <w:tc>
          <w:tcPr>
            <w:tcW w:w="1644" w:type="dxa"/>
            <w:gridSpan w:val="2"/>
            <w:tcBorders>
              <w:top w:val="single" w:color="auto" w:sz="4" w:space="0"/>
              <w:left w:val="single" w:color="auto" w:sz="4" w:space="0"/>
            </w:tcBorders>
            <w:shd w:val="clear" w:color="auto" w:fill="FFFFFF"/>
            <w:vAlign w:val="center"/>
          </w:tcPr>
          <w:p>
            <w:pPr>
              <w:pStyle w:val="58"/>
              <w:shd w:val="clear"/>
              <w:ind w:firstLine="380"/>
              <w:jc w:val="left"/>
              <w:rPr>
                <w:highlight w:val="none"/>
              </w:rPr>
            </w:pPr>
            <w:r>
              <w:rPr>
                <w:color w:val="000000"/>
                <w:highlight w:val="none"/>
              </w:rPr>
              <w:t>试验介质</w:t>
            </w:r>
          </w:p>
        </w:tc>
        <w:tc>
          <w:tcPr>
            <w:tcW w:w="3540" w:type="dxa"/>
            <w:gridSpan w:val="2"/>
            <w:tcBorders>
              <w:top w:val="single" w:color="auto" w:sz="4" w:space="0"/>
              <w:left w:val="single" w:color="auto" w:sz="4" w:space="0"/>
            </w:tcBorders>
            <w:shd w:val="clear" w:color="auto" w:fill="FFFFFF"/>
            <w:vAlign w:val="center"/>
          </w:tcPr>
          <w:p>
            <w:pPr>
              <w:pStyle w:val="58"/>
              <w:shd w:val="clear"/>
              <w:rPr>
                <w:highlight w:val="none"/>
              </w:rPr>
            </w:pPr>
          </w:p>
        </w:tc>
        <w:tc>
          <w:tcPr>
            <w:tcW w:w="1620" w:type="dxa"/>
            <w:tcBorders>
              <w:top w:val="single" w:color="auto" w:sz="4" w:space="0"/>
              <w:left w:val="single" w:color="auto" w:sz="4" w:space="0"/>
            </w:tcBorders>
            <w:shd w:val="clear" w:color="auto" w:fill="FFFFFF"/>
            <w:vAlign w:val="center"/>
          </w:tcPr>
          <w:p>
            <w:pPr>
              <w:pStyle w:val="58"/>
              <w:shd w:val="clear"/>
              <w:rPr>
                <w:highlight w:val="none"/>
              </w:rPr>
            </w:pPr>
            <w:r>
              <w:rPr>
                <w:color w:val="000000"/>
                <w:highlight w:val="none"/>
              </w:rPr>
              <w:t>施工图号</w:t>
            </w:r>
          </w:p>
        </w:tc>
        <w:tc>
          <w:tcPr>
            <w:tcW w:w="2892" w:type="dxa"/>
            <w:tcBorders>
              <w:top w:val="single" w:color="auto" w:sz="4" w:space="0"/>
              <w:left w:val="single" w:color="auto" w:sz="4" w:space="0"/>
              <w:right w:val="single" w:color="auto" w:sz="4" w:space="0"/>
            </w:tcBorders>
            <w:shd w:val="clear" w:color="auto" w:fill="FFFFFF"/>
            <w:vAlign w:val="center"/>
          </w:tcPr>
          <w:p>
            <w:pPr>
              <w:pStyle w:val="58"/>
              <w:shd w:val="clear"/>
              <w:rPr>
                <w:highlight w:val="none"/>
                <w:lang w:val="en-US" w:eastAsia="zh-CN"/>
              </w:rPr>
            </w:pPr>
          </w:p>
        </w:tc>
      </w:tr>
      <w:tr>
        <w:tblPrEx>
          <w:tblCellMar>
            <w:top w:w="0" w:type="dxa"/>
            <w:left w:w="10" w:type="dxa"/>
            <w:bottom w:w="0" w:type="dxa"/>
            <w:right w:w="10" w:type="dxa"/>
          </w:tblCellMar>
        </w:tblPrEx>
        <w:trPr>
          <w:trHeight w:val="578" w:hRule="exact"/>
          <w:jc w:val="center"/>
        </w:trPr>
        <w:tc>
          <w:tcPr>
            <w:tcW w:w="1644" w:type="dxa"/>
            <w:gridSpan w:val="2"/>
            <w:tcBorders>
              <w:top w:val="single" w:color="auto" w:sz="4" w:space="0"/>
              <w:left w:val="single" w:color="auto" w:sz="4" w:space="0"/>
            </w:tcBorders>
            <w:shd w:val="clear" w:color="auto" w:fill="FFFFFF"/>
            <w:vAlign w:val="center"/>
          </w:tcPr>
          <w:p>
            <w:pPr>
              <w:pStyle w:val="58"/>
              <w:shd w:val="clear"/>
              <w:ind w:firstLine="380"/>
              <w:jc w:val="left"/>
              <w:rPr>
                <w:highlight w:val="none"/>
              </w:rPr>
            </w:pPr>
            <w:r>
              <w:rPr>
                <w:color w:val="000000"/>
                <w:highlight w:val="none"/>
              </w:rPr>
              <w:t>试验日期</w:t>
            </w:r>
          </w:p>
        </w:tc>
        <w:tc>
          <w:tcPr>
            <w:tcW w:w="3540" w:type="dxa"/>
            <w:gridSpan w:val="2"/>
            <w:tcBorders>
              <w:top w:val="single" w:color="auto" w:sz="4" w:space="0"/>
              <w:left w:val="single" w:color="auto" w:sz="4" w:space="0"/>
            </w:tcBorders>
            <w:shd w:val="clear" w:color="auto" w:fill="FFFFFF"/>
            <w:vAlign w:val="center"/>
          </w:tcPr>
          <w:p>
            <w:pPr>
              <w:pStyle w:val="58"/>
              <w:shd w:val="clear"/>
              <w:rPr>
                <w:highlight w:val="none"/>
              </w:rPr>
            </w:pPr>
            <w:r>
              <w:rPr>
                <w:color w:val="000000"/>
                <w:highlight w:val="none"/>
              </w:rPr>
              <w:t>年</w:t>
            </w:r>
            <w:r>
              <w:rPr>
                <w:rFonts w:hint="eastAsia"/>
                <w:highlight w:val="none"/>
                <w:lang w:val="en-US" w:eastAsia="zh-CN"/>
              </w:rPr>
              <w:t xml:space="preserve">  </w:t>
            </w:r>
            <w:r>
              <w:rPr>
                <w:color w:val="000000"/>
                <w:highlight w:val="none"/>
              </w:rPr>
              <w:t>月</w:t>
            </w:r>
            <w:r>
              <w:rPr>
                <w:rFonts w:hint="eastAsia"/>
                <w:highlight w:val="none"/>
                <w:lang w:val="en-US" w:eastAsia="zh-CN"/>
              </w:rPr>
              <w:t xml:space="preserve">  </w:t>
            </w:r>
            <w:r>
              <w:rPr>
                <w:color w:val="000000"/>
                <w:highlight w:val="none"/>
              </w:rPr>
              <w:t>日</w:t>
            </w:r>
          </w:p>
        </w:tc>
        <w:tc>
          <w:tcPr>
            <w:tcW w:w="1620" w:type="dxa"/>
            <w:tcBorders>
              <w:top w:val="single" w:color="auto" w:sz="4" w:space="0"/>
              <w:left w:val="single" w:color="auto" w:sz="4" w:space="0"/>
            </w:tcBorders>
            <w:shd w:val="clear" w:color="auto" w:fill="FFFFFF"/>
            <w:vAlign w:val="center"/>
          </w:tcPr>
          <w:p>
            <w:pPr>
              <w:pStyle w:val="58"/>
              <w:shd w:val="clear"/>
              <w:spacing w:line="288" w:lineRule="exact"/>
              <w:rPr>
                <w:highlight w:val="none"/>
              </w:rPr>
            </w:pPr>
            <w:r>
              <w:rPr>
                <w:rFonts w:hint="eastAsia"/>
                <w:color w:val="000000"/>
                <w:highlight w:val="none"/>
                <w:lang w:val="en-US" w:eastAsia="zh-CN"/>
              </w:rPr>
              <w:t xml:space="preserve"> </w:t>
            </w:r>
            <w:r>
              <w:rPr>
                <w:color w:val="000000"/>
                <w:highlight w:val="none"/>
              </w:rPr>
              <w:t>试验仪器型号、精度</w:t>
            </w:r>
          </w:p>
        </w:tc>
        <w:tc>
          <w:tcPr>
            <w:tcW w:w="2892" w:type="dxa"/>
            <w:tcBorders>
              <w:top w:val="single" w:color="auto" w:sz="4" w:space="0"/>
              <w:left w:val="single" w:color="auto" w:sz="4" w:space="0"/>
              <w:right w:val="single" w:color="auto" w:sz="4" w:space="0"/>
            </w:tcBorders>
            <w:shd w:val="clear" w:color="auto" w:fill="FFFFFF"/>
            <w:vAlign w:val="center"/>
          </w:tcPr>
          <w:p>
            <w:pPr>
              <w:pStyle w:val="58"/>
              <w:shd w:val="clear"/>
              <w:rPr>
                <w:highlight w:val="none"/>
              </w:rPr>
            </w:pPr>
          </w:p>
        </w:tc>
      </w:tr>
      <w:tr>
        <w:tblPrEx>
          <w:tblCellMar>
            <w:top w:w="0" w:type="dxa"/>
            <w:left w:w="10" w:type="dxa"/>
            <w:bottom w:w="0" w:type="dxa"/>
            <w:right w:w="10" w:type="dxa"/>
          </w:tblCellMar>
        </w:tblPrEx>
        <w:trPr>
          <w:trHeight w:val="552" w:hRule="exact"/>
          <w:jc w:val="center"/>
        </w:trPr>
        <w:tc>
          <w:tcPr>
            <w:tcW w:w="9696" w:type="dxa"/>
            <w:gridSpan w:val="6"/>
            <w:tcBorders>
              <w:top w:val="single" w:color="auto" w:sz="4" w:space="0"/>
              <w:left w:val="single" w:color="auto" w:sz="4" w:space="0"/>
              <w:right w:val="single" w:color="auto" w:sz="4" w:space="0"/>
            </w:tcBorders>
            <w:shd w:val="clear" w:color="auto" w:fill="FFFFFF"/>
            <w:vAlign w:val="center"/>
          </w:tcPr>
          <w:p>
            <w:pPr>
              <w:pStyle w:val="58"/>
              <w:shd w:val="clear"/>
              <w:rPr>
                <w:highlight w:val="none"/>
                <w:lang w:eastAsia="zh-CN"/>
              </w:rPr>
            </w:pPr>
            <w:r>
              <w:rPr>
                <w:color w:val="000000"/>
                <w:highlight w:val="none"/>
              </w:rPr>
              <w:t>自动喷水灭火系统</w:t>
            </w:r>
            <w:r>
              <w:rPr>
                <w:rFonts w:hint="eastAsia"/>
                <w:color w:val="000000"/>
                <w:highlight w:val="none"/>
                <w:lang w:eastAsia="zh-CN"/>
              </w:rPr>
              <w:t>管道</w:t>
            </w:r>
            <w:r>
              <w:rPr>
                <w:color w:val="000000"/>
                <w:highlight w:val="none"/>
              </w:rPr>
              <w:t>试压</w:t>
            </w:r>
          </w:p>
        </w:tc>
      </w:tr>
      <w:tr>
        <w:tblPrEx>
          <w:tblCellMar>
            <w:top w:w="0" w:type="dxa"/>
            <w:left w:w="10" w:type="dxa"/>
            <w:bottom w:w="0" w:type="dxa"/>
            <w:right w:w="10" w:type="dxa"/>
          </w:tblCellMar>
        </w:tblPrEx>
        <w:trPr>
          <w:trHeight w:val="468" w:hRule="exact"/>
          <w:jc w:val="center"/>
        </w:trPr>
        <w:tc>
          <w:tcPr>
            <w:tcW w:w="1644" w:type="dxa"/>
            <w:gridSpan w:val="2"/>
            <w:tcBorders>
              <w:top w:val="single" w:color="auto" w:sz="4" w:space="0"/>
              <w:left w:val="single" w:color="auto" w:sz="4" w:space="0"/>
            </w:tcBorders>
            <w:shd w:val="clear" w:color="auto" w:fill="FFFFFF"/>
            <w:vAlign w:val="center"/>
          </w:tcPr>
          <w:p>
            <w:pPr>
              <w:pStyle w:val="58"/>
              <w:shd w:val="clear"/>
              <w:ind w:firstLine="380"/>
              <w:jc w:val="left"/>
              <w:rPr>
                <w:highlight w:val="none"/>
              </w:rPr>
            </w:pPr>
            <w:r>
              <w:rPr>
                <w:color w:val="000000"/>
                <w:highlight w:val="none"/>
              </w:rPr>
              <w:t>试验压力</w:t>
            </w:r>
          </w:p>
        </w:tc>
        <w:tc>
          <w:tcPr>
            <w:tcW w:w="3540" w:type="dxa"/>
            <w:gridSpan w:val="2"/>
            <w:tcBorders>
              <w:top w:val="single" w:color="auto" w:sz="4" w:space="0"/>
              <w:left w:val="single" w:color="auto" w:sz="4" w:space="0"/>
            </w:tcBorders>
            <w:shd w:val="clear" w:color="auto" w:fill="FFFFFF"/>
            <w:vAlign w:val="center"/>
          </w:tcPr>
          <w:p>
            <w:pPr>
              <w:pStyle w:val="58"/>
              <w:shd w:val="clear"/>
              <w:rPr>
                <w:highlight w:val="none"/>
              </w:rPr>
            </w:pPr>
            <w:r>
              <w:rPr>
                <w:rFonts w:ascii="Times New Roman" w:hAnsi="Times New Roman" w:eastAsia="Times New Roman" w:cs="Times New Roman"/>
                <w:color w:val="000000"/>
                <w:highlight w:val="none"/>
                <w:lang w:val="en-US" w:eastAsia="en-US" w:bidi="en-US"/>
              </w:rPr>
              <w:t>1.</w:t>
            </w:r>
            <w:r>
              <w:rPr>
                <w:rFonts w:hint="eastAsia" w:ascii="Times New Roman" w:hAnsi="Times New Roman" w:cs="Times New Roman"/>
                <w:color w:val="000000"/>
                <w:highlight w:val="none"/>
                <w:lang w:val="en-US" w:eastAsia="zh-CN" w:bidi="en-US"/>
              </w:rPr>
              <w:t>6</w:t>
            </w:r>
            <w:r>
              <w:rPr>
                <w:rFonts w:ascii="Times New Roman" w:hAnsi="Times New Roman" w:eastAsia="Times New Roman" w:cs="Times New Roman"/>
                <w:color w:val="000000"/>
                <w:highlight w:val="none"/>
                <w:lang w:val="en-US" w:eastAsia="en-US" w:bidi="en-US"/>
              </w:rPr>
              <w:t>MPa</w:t>
            </w:r>
          </w:p>
        </w:tc>
        <w:tc>
          <w:tcPr>
            <w:tcW w:w="1620" w:type="dxa"/>
            <w:tcBorders>
              <w:top w:val="single" w:color="auto" w:sz="4" w:space="0"/>
              <w:left w:val="single" w:color="auto" w:sz="4" w:space="0"/>
            </w:tcBorders>
            <w:shd w:val="clear" w:color="auto" w:fill="FFFFFF"/>
            <w:vAlign w:val="center"/>
          </w:tcPr>
          <w:p>
            <w:pPr>
              <w:pStyle w:val="58"/>
              <w:shd w:val="clear"/>
              <w:rPr>
                <w:highlight w:val="none"/>
              </w:rPr>
            </w:pPr>
            <w:r>
              <w:rPr>
                <w:color w:val="000000"/>
                <w:highlight w:val="none"/>
              </w:rPr>
              <w:t>试验工作压力</w:t>
            </w:r>
          </w:p>
        </w:tc>
        <w:tc>
          <w:tcPr>
            <w:tcW w:w="2892" w:type="dxa"/>
            <w:tcBorders>
              <w:top w:val="single" w:color="auto" w:sz="4" w:space="0"/>
              <w:left w:val="single" w:color="auto" w:sz="4" w:space="0"/>
              <w:right w:val="single" w:color="auto" w:sz="4" w:space="0"/>
            </w:tcBorders>
            <w:shd w:val="clear" w:color="auto" w:fill="FFFFFF"/>
            <w:vAlign w:val="center"/>
          </w:tcPr>
          <w:p>
            <w:pPr>
              <w:pStyle w:val="58"/>
              <w:shd w:val="clear"/>
              <w:rPr>
                <w:highlight w:val="none"/>
              </w:rPr>
            </w:pPr>
            <w:r>
              <w:rPr>
                <w:rFonts w:hint="eastAsia" w:ascii="Times New Roman" w:hAnsi="Times New Roman" w:eastAsia="Times New Roman" w:cs="Times New Roman"/>
                <w:color w:val="000000"/>
                <w:highlight w:val="none"/>
                <w:lang w:val="en-US" w:eastAsia="zh-CN" w:bidi="en-US"/>
              </w:rPr>
              <w:t>0.8</w:t>
            </w:r>
            <w:r>
              <w:rPr>
                <w:rFonts w:ascii="Times New Roman" w:hAnsi="Times New Roman" w:eastAsia="Times New Roman" w:cs="Times New Roman"/>
                <w:color w:val="000000"/>
                <w:highlight w:val="none"/>
                <w:lang w:val="en-US" w:eastAsia="en-US" w:bidi="en-US"/>
              </w:rPr>
              <w:t>MPa</w:t>
            </w:r>
          </w:p>
        </w:tc>
      </w:tr>
      <w:tr>
        <w:tblPrEx>
          <w:tblCellMar>
            <w:top w:w="0" w:type="dxa"/>
            <w:left w:w="10" w:type="dxa"/>
            <w:bottom w:w="0" w:type="dxa"/>
            <w:right w:w="10" w:type="dxa"/>
          </w:tblCellMar>
        </w:tblPrEx>
        <w:trPr>
          <w:trHeight w:val="456" w:hRule="exact"/>
          <w:jc w:val="center"/>
        </w:trPr>
        <w:tc>
          <w:tcPr>
            <w:tcW w:w="1644" w:type="dxa"/>
            <w:gridSpan w:val="2"/>
            <w:tcBorders>
              <w:top w:val="single" w:color="auto" w:sz="4" w:space="0"/>
              <w:left w:val="single" w:color="auto" w:sz="4" w:space="0"/>
            </w:tcBorders>
            <w:shd w:val="clear" w:color="auto" w:fill="FFFFFF"/>
            <w:vAlign w:val="center"/>
          </w:tcPr>
          <w:p>
            <w:pPr>
              <w:pStyle w:val="58"/>
              <w:shd w:val="clear"/>
              <w:ind w:firstLine="380"/>
              <w:jc w:val="left"/>
              <w:rPr>
                <w:highlight w:val="none"/>
              </w:rPr>
            </w:pPr>
            <w:r>
              <w:rPr>
                <w:color w:val="000000"/>
                <w:highlight w:val="none"/>
              </w:rPr>
              <w:t>持续时间</w:t>
            </w:r>
          </w:p>
        </w:tc>
        <w:tc>
          <w:tcPr>
            <w:tcW w:w="3540" w:type="dxa"/>
            <w:gridSpan w:val="2"/>
            <w:tcBorders>
              <w:top w:val="single" w:color="auto" w:sz="4" w:space="0"/>
              <w:left w:val="single" w:color="auto" w:sz="4" w:space="0"/>
            </w:tcBorders>
            <w:shd w:val="clear" w:color="auto" w:fill="FFFFFF"/>
            <w:vAlign w:val="center"/>
          </w:tcPr>
          <w:p>
            <w:pPr>
              <w:pStyle w:val="58"/>
              <w:shd w:val="clear"/>
              <w:rPr>
                <w:highlight w:val="none"/>
              </w:rPr>
            </w:pPr>
            <w:r>
              <w:rPr>
                <w:rFonts w:hint="eastAsia" w:ascii="Times New Roman" w:hAnsi="Times New Roman" w:cs="Times New Roman"/>
                <w:color w:val="000000"/>
                <w:highlight w:val="none"/>
                <w:lang w:val="en-US" w:eastAsia="zh-CN" w:bidi="en-US"/>
              </w:rPr>
              <w:t>30</w:t>
            </w:r>
            <w:r>
              <w:rPr>
                <w:rFonts w:ascii="Times New Roman" w:hAnsi="Times New Roman" w:eastAsia="Times New Roman" w:cs="Times New Roman"/>
                <w:color w:val="000000"/>
                <w:highlight w:val="none"/>
                <w:lang w:val="en-US" w:eastAsia="en-US" w:bidi="en-US"/>
              </w:rPr>
              <w:t>min</w:t>
            </w:r>
          </w:p>
        </w:tc>
        <w:tc>
          <w:tcPr>
            <w:tcW w:w="1620" w:type="dxa"/>
            <w:tcBorders>
              <w:top w:val="single" w:color="auto" w:sz="4" w:space="0"/>
              <w:left w:val="single" w:color="auto" w:sz="4" w:space="0"/>
            </w:tcBorders>
            <w:shd w:val="clear" w:color="auto" w:fill="FFFFFF"/>
            <w:vAlign w:val="center"/>
          </w:tcPr>
          <w:p>
            <w:pPr>
              <w:pStyle w:val="58"/>
              <w:shd w:val="clear"/>
              <w:rPr>
                <w:highlight w:val="none"/>
              </w:rPr>
            </w:pPr>
            <w:r>
              <w:rPr>
                <w:color w:val="000000"/>
                <w:highlight w:val="none"/>
              </w:rPr>
              <w:t>允许压力降</w:t>
            </w:r>
          </w:p>
        </w:tc>
        <w:tc>
          <w:tcPr>
            <w:tcW w:w="2892" w:type="dxa"/>
            <w:tcBorders>
              <w:top w:val="single" w:color="auto" w:sz="4" w:space="0"/>
              <w:left w:val="single" w:color="auto" w:sz="4" w:space="0"/>
              <w:right w:val="single" w:color="auto" w:sz="4" w:space="0"/>
            </w:tcBorders>
            <w:shd w:val="clear" w:color="auto" w:fill="FFFFFF"/>
            <w:vAlign w:val="center"/>
          </w:tcPr>
          <w:p>
            <w:pPr>
              <w:pStyle w:val="58"/>
              <w:shd w:val="clear"/>
              <w:rPr>
                <w:highlight w:val="none"/>
              </w:rPr>
            </w:pPr>
            <w:r>
              <w:rPr>
                <w:rFonts w:ascii="Times New Roman" w:hAnsi="Times New Roman" w:eastAsia="Times New Roman" w:cs="Times New Roman"/>
                <w:color w:val="000000"/>
                <w:highlight w:val="none"/>
                <w:lang w:val="en-US" w:eastAsia="en-US" w:bidi="en-US"/>
              </w:rPr>
              <w:t>0</w:t>
            </w:r>
            <w:r>
              <w:rPr>
                <w:rFonts w:hint="eastAsia" w:ascii="Times New Roman" w:hAnsi="Times New Roman" w:cs="Times New Roman"/>
                <w:color w:val="000000"/>
                <w:highlight w:val="none"/>
                <w:lang w:val="en-US" w:eastAsia="zh-CN" w:bidi="en-US"/>
              </w:rPr>
              <w:t>.05</w:t>
            </w:r>
            <w:r>
              <w:rPr>
                <w:rFonts w:ascii="Times New Roman" w:hAnsi="Times New Roman" w:eastAsia="Times New Roman" w:cs="Times New Roman"/>
                <w:color w:val="000000"/>
                <w:highlight w:val="none"/>
                <w:lang w:val="en-US" w:eastAsia="en-US" w:bidi="en-US"/>
              </w:rPr>
              <w:t>MPa</w:t>
            </w:r>
          </w:p>
        </w:tc>
      </w:tr>
      <w:tr>
        <w:tblPrEx>
          <w:tblCellMar>
            <w:top w:w="0" w:type="dxa"/>
            <w:left w:w="10" w:type="dxa"/>
            <w:bottom w:w="0" w:type="dxa"/>
            <w:right w:w="10" w:type="dxa"/>
          </w:tblCellMar>
        </w:tblPrEx>
        <w:trPr>
          <w:trHeight w:val="456" w:hRule="exact"/>
          <w:jc w:val="center"/>
        </w:trPr>
        <w:tc>
          <w:tcPr>
            <w:tcW w:w="9696" w:type="dxa"/>
            <w:gridSpan w:val="6"/>
            <w:tcBorders>
              <w:top w:val="single" w:color="auto" w:sz="4" w:space="0"/>
              <w:left w:val="single" w:color="auto" w:sz="4" w:space="0"/>
              <w:right w:val="single" w:color="auto" w:sz="4" w:space="0"/>
            </w:tcBorders>
            <w:shd w:val="clear" w:color="auto" w:fill="FFFFFF"/>
            <w:vAlign w:val="center"/>
          </w:tcPr>
          <w:p>
            <w:pPr>
              <w:pStyle w:val="58"/>
              <w:shd w:val="clear"/>
              <w:rPr>
                <w:rFonts w:ascii="Times New Roman" w:hAnsi="Times New Roman" w:eastAsia="Times New Roman" w:cs="Times New Roman"/>
                <w:highlight w:val="none"/>
                <w:lang w:val="en-US" w:eastAsia="zh-CN" w:bidi="en-US"/>
              </w:rPr>
            </w:pPr>
            <w:r>
              <w:rPr>
                <w:color w:val="000000"/>
                <w:highlight w:val="none"/>
              </w:rPr>
              <w:t>自动喷水灭火系统</w:t>
            </w:r>
            <w:r>
              <w:rPr>
                <w:rFonts w:hint="eastAsia"/>
                <w:color w:val="000000"/>
                <w:highlight w:val="none"/>
                <w:lang w:eastAsia="zh-CN"/>
              </w:rPr>
              <w:t>管道严密性试验</w:t>
            </w:r>
          </w:p>
        </w:tc>
      </w:tr>
      <w:tr>
        <w:tblPrEx>
          <w:tblCellMar>
            <w:top w:w="0" w:type="dxa"/>
            <w:left w:w="10" w:type="dxa"/>
            <w:bottom w:w="0" w:type="dxa"/>
            <w:right w:w="10" w:type="dxa"/>
          </w:tblCellMar>
        </w:tblPrEx>
        <w:trPr>
          <w:trHeight w:val="456" w:hRule="exact"/>
          <w:jc w:val="center"/>
        </w:trPr>
        <w:tc>
          <w:tcPr>
            <w:tcW w:w="1644" w:type="dxa"/>
            <w:gridSpan w:val="2"/>
            <w:tcBorders>
              <w:top w:val="single" w:color="auto" w:sz="4" w:space="0"/>
              <w:left w:val="single" w:color="auto" w:sz="4" w:space="0"/>
            </w:tcBorders>
            <w:shd w:val="clear" w:color="auto" w:fill="FFFFFF"/>
            <w:vAlign w:val="center"/>
          </w:tcPr>
          <w:p>
            <w:pPr>
              <w:pStyle w:val="58"/>
              <w:shd w:val="clear"/>
              <w:ind w:firstLine="380"/>
              <w:jc w:val="left"/>
              <w:rPr>
                <w:highlight w:val="none"/>
              </w:rPr>
            </w:pPr>
            <w:r>
              <w:rPr>
                <w:color w:val="000000"/>
                <w:highlight w:val="none"/>
              </w:rPr>
              <w:t>试验压力</w:t>
            </w:r>
          </w:p>
        </w:tc>
        <w:tc>
          <w:tcPr>
            <w:tcW w:w="3540" w:type="dxa"/>
            <w:gridSpan w:val="2"/>
            <w:tcBorders>
              <w:top w:val="single" w:color="auto" w:sz="4" w:space="0"/>
              <w:left w:val="single" w:color="auto" w:sz="4" w:space="0"/>
            </w:tcBorders>
            <w:shd w:val="clear" w:color="auto" w:fill="FFFFFF"/>
            <w:vAlign w:val="center"/>
          </w:tcPr>
          <w:p>
            <w:pPr>
              <w:pStyle w:val="58"/>
              <w:shd w:val="clear"/>
              <w:rPr>
                <w:rFonts w:ascii="Times New Roman" w:hAnsi="Times New Roman" w:cs="Times New Roman"/>
                <w:highlight w:val="none"/>
                <w:lang w:val="en-US" w:eastAsia="zh-CN" w:bidi="en-US"/>
              </w:rPr>
            </w:pPr>
            <w:r>
              <w:rPr>
                <w:rFonts w:hint="eastAsia" w:ascii="Times New Roman" w:hAnsi="Times New Roman" w:cs="Times New Roman"/>
                <w:color w:val="000000"/>
                <w:highlight w:val="none"/>
                <w:lang w:val="en-US" w:eastAsia="zh-CN" w:bidi="en-US"/>
              </w:rPr>
              <w:t>0.4MPa</w:t>
            </w:r>
          </w:p>
        </w:tc>
        <w:tc>
          <w:tcPr>
            <w:tcW w:w="1620" w:type="dxa"/>
            <w:tcBorders>
              <w:top w:val="single" w:color="auto" w:sz="4" w:space="0"/>
              <w:left w:val="single" w:color="auto" w:sz="4" w:space="0"/>
            </w:tcBorders>
            <w:shd w:val="clear" w:color="auto" w:fill="FFFFFF"/>
            <w:vAlign w:val="center"/>
          </w:tcPr>
          <w:p>
            <w:pPr>
              <w:pStyle w:val="58"/>
              <w:shd w:val="clear"/>
              <w:rPr>
                <w:highlight w:val="none"/>
              </w:rPr>
            </w:pPr>
            <w:r>
              <w:rPr>
                <w:color w:val="000000"/>
                <w:highlight w:val="none"/>
              </w:rPr>
              <w:t>允许压力降</w:t>
            </w:r>
          </w:p>
        </w:tc>
        <w:tc>
          <w:tcPr>
            <w:tcW w:w="2892" w:type="dxa"/>
            <w:tcBorders>
              <w:top w:val="single" w:color="auto" w:sz="4" w:space="0"/>
              <w:left w:val="single" w:color="auto" w:sz="4" w:space="0"/>
              <w:right w:val="single" w:color="auto" w:sz="4" w:space="0"/>
            </w:tcBorders>
            <w:shd w:val="clear" w:color="auto" w:fill="FFFFFF"/>
            <w:vAlign w:val="center"/>
          </w:tcPr>
          <w:p>
            <w:pPr>
              <w:pStyle w:val="58"/>
              <w:shd w:val="clear"/>
              <w:rPr>
                <w:rFonts w:ascii="Times New Roman" w:hAnsi="Times New Roman" w:eastAsia="Times New Roman" w:cs="Times New Roman"/>
                <w:highlight w:val="none"/>
                <w:lang w:val="en-US" w:eastAsia="en-US" w:bidi="en-US"/>
              </w:rPr>
            </w:pPr>
            <w:r>
              <w:rPr>
                <w:rFonts w:ascii="Times New Roman" w:hAnsi="Times New Roman" w:eastAsia="Times New Roman" w:cs="Times New Roman"/>
                <w:color w:val="000000"/>
                <w:highlight w:val="none"/>
                <w:lang w:val="en-US" w:eastAsia="en-US" w:bidi="en-US"/>
              </w:rPr>
              <w:t>0MPa</w:t>
            </w:r>
          </w:p>
        </w:tc>
      </w:tr>
      <w:tr>
        <w:tblPrEx>
          <w:tblCellMar>
            <w:top w:w="0" w:type="dxa"/>
            <w:left w:w="10" w:type="dxa"/>
            <w:bottom w:w="0" w:type="dxa"/>
            <w:right w:w="10" w:type="dxa"/>
          </w:tblCellMar>
        </w:tblPrEx>
        <w:trPr>
          <w:trHeight w:val="456" w:hRule="exact"/>
          <w:jc w:val="center"/>
        </w:trPr>
        <w:tc>
          <w:tcPr>
            <w:tcW w:w="1644" w:type="dxa"/>
            <w:gridSpan w:val="2"/>
            <w:tcBorders>
              <w:top w:val="single" w:color="auto" w:sz="4" w:space="0"/>
              <w:left w:val="single" w:color="auto" w:sz="4" w:space="0"/>
            </w:tcBorders>
            <w:shd w:val="clear" w:color="auto" w:fill="FFFFFF"/>
            <w:vAlign w:val="center"/>
          </w:tcPr>
          <w:p>
            <w:pPr>
              <w:pStyle w:val="58"/>
              <w:shd w:val="clear"/>
              <w:ind w:firstLine="380"/>
              <w:jc w:val="left"/>
              <w:rPr>
                <w:highlight w:val="none"/>
              </w:rPr>
            </w:pPr>
            <w:r>
              <w:rPr>
                <w:color w:val="000000"/>
                <w:highlight w:val="none"/>
              </w:rPr>
              <w:t>持续时间</w:t>
            </w:r>
          </w:p>
        </w:tc>
        <w:tc>
          <w:tcPr>
            <w:tcW w:w="3540" w:type="dxa"/>
            <w:gridSpan w:val="2"/>
            <w:tcBorders>
              <w:top w:val="single" w:color="auto" w:sz="4" w:space="0"/>
              <w:left w:val="single" w:color="auto" w:sz="4" w:space="0"/>
            </w:tcBorders>
            <w:shd w:val="clear" w:color="auto" w:fill="FFFFFF"/>
            <w:vAlign w:val="center"/>
          </w:tcPr>
          <w:p>
            <w:pPr>
              <w:pStyle w:val="58"/>
              <w:shd w:val="clear"/>
              <w:rPr>
                <w:rFonts w:ascii="Times New Roman" w:hAnsi="Times New Roman" w:cs="Times New Roman"/>
                <w:highlight w:val="none"/>
                <w:lang w:val="en-US" w:eastAsia="zh-CN" w:bidi="en-US"/>
              </w:rPr>
            </w:pPr>
            <w:r>
              <w:rPr>
                <w:rFonts w:hint="eastAsia" w:ascii="Times New Roman" w:hAnsi="Times New Roman" w:cs="Times New Roman"/>
                <w:color w:val="000000"/>
                <w:highlight w:val="none"/>
                <w:lang w:val="en-US" w:eastAsia="zh-CN" w:bidi="en-US"/>
              </w:rPr>
              <w:t>24h</w:t>
            </w:r>
          </w:p>
        </w:tc>
        <w:tc>
          <w:tcPr>
            <w:tcW w:w="1620" w:type="dxa"/>
            <w:tcBorders>
              <w:top w:val="single" w:color="auto" w:sz="4" w:space="0"/>
              <w:left w:val="single" w:color="auto" w:sz="4" w:space="0"/>
            </w:tcBorders>
            <w:shd w:val="clear" w:color="auto" w:fill="FFFFFF"/>
            <w:vAlign w:val="center"/>
          </w:tcPr>
          <w:p>
            <w:pPr>
              <w:pStyle w:val="58"/>
              <w:shd w:val="clear"/>
              <w:rPr>
                <w:highlight w:val="none"/>
                <w:lang w:val="en-US" w:eastAsia="zh-CN"/>
              </w:rPr>
            </w:pPr>
            <w:r>
              <w:rPr>
                <w:rFonts w:hint="eastAsia"/>
                <w:color w:val="000000"/>
                <w:highlight w:val="none"/>
                <w:lang w:val="en-US" w:eastAsia="zh-CN"/>
              </w:rPr>
              <w:t>/</w:t>
            </w:r>
          </w:p>
        </w:tc>
        <w:tc>
          <w:tcPr>
            <w:tcW w:w="2892" w:type="dxa"/>
            <w:tcBorders>
              <w:top w:val="single" w:color="auto" w:sz="4" w:space="0"/>
              <w:left w:val="single" w:color="auto" w:sz="4" w:space="0"/>
              <w:right w:val="single" w:color="auto" w:sz="4" w:space="0"/>
            </w:tcBorders>
            <w:shd w:val="clear" w:color="auto" w:fill="FFFFFF"/>
            <w:vAlign w:val="center"/>
          </w:tcPr>
          <w:p>
            <w:pPr>
              <w:pStyle w:val="58"/>
              <w:shd w:val="clear"/>
              <w:rPr>
                <w:rFonts w:ascii="Times New Roman" w:hAnsi="Times New Roman" w:cs="Times New Roman"/>
                <w:highlight w:val="none"/>
                <w:lang w:val="en-US" w:eastAsia="zh-CN" w:bidi="en-US"/>
              </w:rPr>
            </w:pPr>
            <w:r>
              <w:rPr>
                <w:rFonts w:hint="eastAsia" w:ascii="Times New Roman" w:hAnsi="Times New Roman" w:cs="Times New Roman"/>
                <w:color w:val="000000"/>
                <w:highlight w:val="none"/>
                <w:lang w:val="en-US" w:eastAsia="zh-CN" w:bidi="en-US"/>
              </w:rPr>
              <w:t>/</w:t>
            </w:r>
          </w:p>
        </w:tc>
      </w:tr>
      <w:tr>
        <w:tblPrEx>
          <w:tblCellMar>
            <w:top w:w="0" w:type="dxa"/>
            <w:left w:w="10" w:type="dxa"/>
            <w:bottom w:w="0" w:type="dxa"/>
            <w:right w:w="10" w:type="dxa"/>
          </w:tblCellMar>
        </w:tblPrEx>
        <w:trPr>
          <w:trHeight w:val="1539" w:hRule="exact"/>
          <w:jc w:val="center"/>
        </w:trPr>
        <w:tc>
          <w:tcPr>
            <w:tcW w:w="636" w:type="dxa"/>
            <w:tcBorders>
              <w:top w:val="single" w:color="auto" w:sz="4" w:space="0"/>
              <w:left w:val="single" w:color="auto" w:sz="4" w:space="0"/>
            </w:tcBorders>
            <w:shd w:val="clear" w:color="auto" w:fill="FFFFFF"/>
            <w:vAlign w:val="center"/>
          </w:tcPr>
          <w:p>
            <w:pPr>
              <w:pStyle w:val="58"/>
              <w:shd w:val="clear"/>
              <w:spacing w:after="320"/>
              <w:ind w:left="200"/>
              <w:jc w:val="both"/>
              <w:rPr>
                <w:sz w:val="16"/>
                <w:szCs w:val="16"/>
                <w:highlight w:val="none"/>
                <w:lang w:val="en-US" w:eastAsia="zh-CN"/>
              </w:rPr>
            </w:pPr>
            <w:r>
              <w:rPr>
                <w:color w:val="000000"/>
                <w:highlight w:val="none"/>
              </w:rPr>
              <w:t xml:space="preserve">试 验 </w:t>
            </w:r>
            <w:r>
              <w:rPr>
                <w:rFonts w:hint="eastAsia"/>
                <w:color w:val="000000"/>
                <w:highlight w:val="none"/>
                <w:lang w:eastAsia="zh-CN"/>
              </w:rPr>
              <w:t>过</w:t>
            </w:r>
            <w:r>
              <w:rPr>
                <w:rFonts w:hint="eastAsia"/>
                <w:color w:val="000000"/>
                <w:highlight w:val="none"/>
                <w:lang w:val="en-US" w:eastAsia="zh-CN"/>
              </w:rPr>
              <w:t xml:space="preserve"> </w:t>
            </w:r>
            <w:r>
              <w:rPr>
                <w:rFonts w:hint="eastAsia"/>
                <w:color w:val="000000"/>
                <w:highlight w:val="none"/>
                <w:lang w:eastAsia="zh-CN"/>
              </w:rPr>
              <w:t>程</w:t>
            </w:r>
          </w:p>
        </w:tc>
        <w:tc>
          <w:tcPr>
            <w:tcW w:w="9060" w:type="dxa"/>
            <w:gridSpan w:val="5"/>
            <w:tcBorders>
              <w:top w:val="single" w:color="auto" w:sz="4" w:space="0"/>
              <w:left w:val="single" w:color="auto" w:sz="4" w:space="0"/>
              <w:right w:val="single" w:color="auto" w:sz="4" w:space="0"/>
            </w:tcBorders>
            <w:shd w:val="clear" w:color="auto" w:fill="FFFFFF"/>
            <w:vAlign w:val="center"/>
          </w:tcPr>
          <w:p>
            <w:pPr>
              <w:pStyle w:val="58"/>
              <w:shd w:val="clear"/>
              <w:spacing w:line="468" w:lineRule="exact"/>
              <w:ind w:left="200" w:firstLine="360"/>
              <w:jc w:val="both"/>
              <w:rPr>
                <w:highlight w:val="none"/>
              </w:rPr>
            </w:pPr>
          </w:p>
        </w:tc>
      </w:tr>
      <w:tr>
        <w:tblPrEx>
          <w:tblCellMar>
            <w:top w:w="0" w:type="dxa"/>
            <w:left w:w="10" w:type="dxa"/>
            <w:bottom w:w="0" w:type="dxa"/>
            <w:right w:w="10" w:type="dxa"/>
          </w:tblCellMar>
        </w:tblPrEx>
        <w:trPr>
          <w:trHeight w:val="1487" w:hRule="exact"/>
          <w:jc w:val="center"/>
        </w:trPr>
        <w:tc>
          <w:tcPr>
            <w:tcW w:w="636" w:type="dxa"/>
            <w:tcBorders>
              <w:top w:val="single" w:color="auto" w:sz="4" w:space="0"/>
              <w:left w:val="single" w:color="auto" w:sz="4" w:space="0"/>
            </w:tcBorders>
            <w:shd w:val="clear" w:color="auto" w:fill="FFFFFF"/>
            <w:vAlign w:val="center"/>
          </w:tcPr>
          <w:p>
            <w:pPr>
              <w:pStyle w:val="58"/>
              <w:shd w:val="clear"/>
              <w:spacing w:line="276" w:lineRule="exact"/>
              <w:ind w:left="200"/>
              <w:jc w:val="both"/>
              <w:rPr>
                <w:highlight w:val="none"/>
              </w:rPr>
            </w:pPr>
            <w:r>
              <w:rPr>
                <w:color w:val="000000"/>
                <w:highlight w:val="none"/>
              </w:rPr>
              <w:t>试 验 结 论</w:t>
            </w:r>
          </w:p>
        </w:tc>
        <w:tc>
          <w:tcPr>
            <w:tcW w:w="9060" w:type="dxa"/>
            <w:gridSpan w:val="5"/>
            <w:tcBorders>
              <w:top w:val="single" w:color="auto" w:sz="4" w:space="0"/>
              <w:left w:val="single" w:color="auto" w:sz="4" w:space="0"/>
              <w:right w:val="single" w:color="auto" w:sz="4" w:space="0"/>
            </w:tcBorders>
            <w:shd w:val="clear" w:color="auto" w:fill="FFFFFF"/>
            <w:vAlign w:val="center"/>
          </w:tcPr>
          <w:p>
            <w:pPr>
              <w:pStyle w:val="58"/>
              <w:shd w:val="clear"/>
              <w:rPr>
                <w:highlight w:val="none"/>
              </w:rPr>
            </w:pPr>
          </w:p>
        </w:tc>
      </w:tr>
      <w:tr>
        <w:tblPrEx>
          <w:tblCellMar>
            <w:top w:w="0" w:type="dxa"/>
            <w:left w:w="10" w:type="dxa"/>
            <w:bottom w:w="0" w:type="dxa"/>
            <w:right w:w="10" w:type="dxa"/>
          </w:tblCellMar>
        </w:tblPrEx>
        <w:trPr>
          <w:trHeight w:val="2508" w:hRule="exact"/>
          <w:jc w:val="center"/>
        </w:trPr>
        <w:tc>
          <w:tcPr>
            <w:tcW w:w="636" w:type="dxa"/>
            <w:tcBorders>
              <w:top w:val="single" w:color="auto" w:sz="4" w:space="0"/>
              <w:left w:val="single" w:color="auto" w:sz="4" w:space="0"/>
              <w:bottom w:val="single" w:color="auto" w:sz="4" w:space="0"/>
            </w:tcBorders>
            <w:shd w:val="clear" w:color="auto" w:fill="FFFFFF"/>
            <w:vAlign w:val="center"/>
          </w:tcPr>
          <w:p>
            <w:pPr>
              <w:pStyle w:val="58"/>
              <w:shd w:val="clear"/>
              <w:spacing w:after="300"/>
              <w:ind w:firstLine="200"/>
              <w:jc w:val="left"/>
              <w:rPr>
                <w:highlight w:val="none"/>
              </w:rPr>
            </w:pPr>
            <w:r>
              <w:rPr>
                <w:color w:val="000000"/>
                <w:highlight w:val="none"/>
              </w:rPr>
              <w:t>验</w:t>
            </w:r>
          </w:p>
          <w:p>
            <w:pPr>
              <w:pStyle w:val="58"/>
              <w:shd w:val="clear"/>
              <w:spacing w:after="300"/>
              <w:ind w:firstLine="200"/>
              <w:jc w:val="left"/>
              <w:rPr>
                <w:highlight w:val="none"/>
              </w:rPr>
            </w:pPr>
            <w:r>
              <w:rPr>
                <w:color w:val="000000"/>
                <w:highlight w:val="none"/>
              </w:rPr>
              <w:t>收</w:t>
            </w:r>
          </w:p>
          <w:p>
            <w:pPr>
              <w:pStyle w:val="58"/>
              <w:shd w:val="clear"/>
              <w:spacing w:after="300"/>
              <w:ind w:firstLine="200"/>
              <w:jc w:val="left"/>
              <w:rPr>
                <w:highlight w:val="none"/>
              </w:rPr>
            </w:pPr>
            <w:r>
              <w:rPr>
                <w:color w:val="000000"/>
                <w:highlight w:val="none"/>
              </w:rPr>
              <w:t>结</w:t>
            </w:r>
          </w:p>
          <w:p>
            <w:pPr>
              <w:pStyle w:val="58"/>
              <w:shd w:val="clear"/>
              <w:spacing w:after="300"/>
              <w:ind w:firstLine="200"/>
              <w:jc w:val="left"/>
              <w:rPr>
                <w:highlight w:val="none"/>
              </w:rPr>
            </w:pPr>
            <w:r>
              <w:rPr>
                <w:color w:val="000000"/>
                <w:highlight w:val="none"/>
              </w:rPr>
              <w:t>论</w:t>
            </w:r>
          </w:p>
        </w:tc>
        <w:tc>
          <w:tcPr>
            <w:tcW w:w="4128" w:type="dxa"/>
            <w:gridSpan w:val="2"/>
            <w:tcBorders>
              <w:top w:val="single" w:color="auto" w:sz="4" w:space="0"/>
              <w:left w:val="single" w:color="auto" w:sz="4" w:space="0"/>
              <w:bottom w:val="single" w:color="auto" w:sz="4" w:space="0"/>
            </w:tcBorders>
            <w:shd w:val="clear" w:color="auto" w:fill="FFFFFF"/>
            <w:vAlign w:val="bottom"/>
          </w:tcPr>
          <w:p>
            <w:pPr>
              <w:pStyle w:val="58"/>
              <w:shd w:val="clear"/>
              <w:spacing w:after="40"/>
              <w:jc w:val="left"/>
              <w:rPr>
                <w:highlight w:val="none"/>
                <w:lang w:eastAsia="zh-CN"/>
              </w:rPr>
            </w:pPr>
            <w:r>
              <w:rPr>
                <w:color w:val="000000"/>
                <w:highlight w:val="none"/>
              </w:rPr>
              <w:t>施工单位</w:t>
            </w:r>
            <w:r>
              <w:rPr>
                <w:rFonts w:hint="eastAsia"/>
                <w:color w:val="000000"/>
                <w:highlight w:val="none"/>
                <w:lang w:eastAsia="zh-CN"/>
              </w:rPr>
              <w:t>：</w:t>
            </w:r>
            <w:r>
              <w:rPr>
                <w:highlight w:val="none"/>
                <w:lang w:eastAsia="zh-CN"/>
              </w:rPr>
              <w:t xml:space="preserve"> </w:t>
            </w:r>
          </w:p>
          <w:p>
            <w:pPr>
              <w:pStyle w:val="58"/>
              <w:shd w:val="clear"/>
              <w:spacing w:after="40"/>
              <w:jc w:val="left"/>
              <w:rPr>
                <w:highlight w:val="none"/>
              </w:rPr>
            </w:pPr>
          </w:p>
          <w:p>
            <w:pPr>
              <w:pStyle w:val="58"/>
              <w:shd w:val="clear"/>
              <w:spacing w:after="260"/>
              <w:jc w:val="left"/>
              <w:rPr>
                <w:highlight w:val="none"/>
              </w:rPr>
            </w:pPr>
            <w:r>
              <w:rPr>
                <w:color w:val="000000"/>
                <w:highlight w:val="none"/>
              </w:rPr>
              <w:t>项目专业质量检査员（签章）：</w:t>
            </w:r>
          </w:p>
          <w:p>
            <w:pPr>
              <w:pStyle w:val="58"/>
              <w:shd w:val="clear"/>
              <w:spacing w:after="220"/>
              <w:jc w:val="left"/>
              <w:rPr>
                <w:highlight w:val="none"/>
              </w:rPr>
            </w:pPr>
            <w:r>
              <w:rPr>
                <w:color w:val="000000"/>
                <w:highlight w:val="none"/>
              </w:rPr>
              <w:t>项目专业技术负责人（签章）：</w:t>
            </w:r>
          </w:p>
          <w:p>
            <w:pPr>
              <w:pStyle w:val="58"/>
              <w:shd w:val="clear"/>
              <w:spacing w:after="220"/>
              <w:ind w:left="2520"/>
              <w:jc w:val="left"/>
              <w:rPr>
                <w:highlight w:val="none"/>
              </w:rPr>
            </w:pPr>
            <w:r>
              <w:rPr>
                <w:color w:val="000000"/>
                <w:highlight w:val="none"/>
              </w:rPr>
              <w:t>年</w:t>
            </w:r>
            <w:r>
              <w:rPr>
                <w:rFonts w:hint="eastAsia"/>
                <w:color w:val="000000"/>
                <w:highlight w:val="none"/>
                <w:lang w:val="en-US" w:eastAsia="zh-CN"/>
              </w:rPr>
              <w:t xml:space="preserve">  </w:t>
            </w:r>
            <w:r>
              <w:rPr>
                <w:color w:val="000000"/>
                <w:highlight w:val="none"/>
              </w:rPr>
              <w:t xml:space="preserve"> 月 </w:t>
            </w:r>
            <w:r>
              <w:rPr>
                <w:rFonts w:hint="eastAsia"/>
                <w:color w:val="000000"/>
                <w:highlight w:val="none"/>
                <w:lang w:val="en-US" w:eastAsia="zh-CN"/>
              </w:rPr>
              <w:t xml:space="preserve">  </w:t>
            </w:r>
            <w:r>
              <w:rPr>
                <w:color w:val="000000"/>
                <w:highlight w:val="none"/>
              </w:rPr>
              <w:t>日</w:t>
            </w:r>
          </w:p>
        </w:tc>
        <w:tc>
          <w:tcPr>
            <w:tcW w:w="4932" w:type="dxa"/>
            <w:gridSpan w:val="3"/>
            <w:tcBorders>
              <w:top w:val="single" w:color="auto" w:sz="4" w:space="0"/>
              <w:left w:val="single" w:color="auto" w:sz="4" w:space="0"/>
              <w:bottom w:val="single" w:color="auto" w:sz="4" w:space="0"/>
              <w:right w:val="single" w:color="auto" w:sz="4" w:space="0"/>
            </w:tcBorders>
            <w:shd w:val="clear" w:color="auto" w:fill="FFFFFF"/>
            <w:vAlign w:val="bottom"/>
          </w:tcPr>
          <w:p>
            <w:pPr>
              <w:pStyle w:val="58"/>
              <w:shd w:val="clear"/>
              <w:spacing w:after="60"/>
              <w:jc w:val="left"/>
              <w:rPr>
                <w:highlight w:val="none"/>
              </w:rPr>
            </w:pPr>
            <w:r>
              <w:rPr>
                <w:rFonts w:hint="eastAsia"/>
                <w:color w:val="000000"/>
                <w:highlight w:val="none"/>
                <w:lang w:val="en-US" w:eastAsia="zh-CN"/>
              </w:rPr>
              <w:t>建设单位项目专业技术负责人</w:t>
            </w:r>
            <w:r>
              <w:rPr>
                <w:color w:val="000000"/>
                <w:highlight w:val="none"/>
              </w:rPr>
              <w:t>：</w:t>
            </w:r>
          </w:p>
          <w:p>
            <w:pPr>
              <w:pStyle w:val="58"/>
              <w:shd w:val="clear"/>
              <w:spacing w:after="660"/>
              <w:jc w:val="left"/>
              <w:rPr>
                <w:highlight w:val="none"/>
              </w:rPr>
            </w:pPr>
          </w:p>
          <w:p>
            <w:pPr>
              <w:pStyle w:val="58"/>
              <w:shd w:val="clear"/>
              <w:spacing w:after="360"/>
              <w:ind w:right="140"/>
              <w:jc w:val="right"/>
              <w:rPr>
                <w:highlight w:val="none"/>
              </w:rPr>
            </w:pPr>
            <w:r>
              <w:rPr>
                <w:color w:val="000000"/>
                <w:highlight w:val="none"/>
              </w:rPr>
              <w:t>年</w:t>
            </w:r>
            <w:r>
              <w:rPr>
                <w:rFonts w:hint="eastAsia"/>
                <w:color w:val="000000"/>
                <w:highlight w:val="none"/>
                <w:lang w:val="en-US" w:eastAsia="zh-CN"/>
              </w:rPr>
              <w:t xml:space="preserve">  </w:t>
            </w:r>
            <w:r>
              <w:rPr>
                <w:color w:val="000000"/>
                <w:highlight w:val="none"/>
              </w:rPr>
              <w:t xml:space="preserve"> 月 </w:t>
            </w:r>
            <w:r>
              <w:rPr>
                <w:rFonts w:hint="eastAsia"/>
                <w:color w:val="000000"/>
                <w:highlight w:val="none"/>
                <w:lang w:val="en-US" w:eastAsia="zh-CN"/>
              </w:rPr>
              <w:t xml:space="preserve">  </w:t>
            </w:r>
            <w:r>
              <w:rPr>
                <w:color w:val="000000"/>
                <w:highlight w:val="none"/>
              </w:rPr>
              <w:t>日</w:t>
            </w:r>
          </w:p>
        </w:tc>
      </w:tr>
    </w:tbl>
    <w:p>
      <w:pPr>
        <w:shd w:val="clear"/>
        <w:spacing w:before="0" w:after="0" w:afterAutospacing="0"/>
        <w:ind w:left="0" w:firstLine="0"/>
        <w:outlineLvl w:val="1"/>
        <w:rPr>
          <w:rFonts w:cs="Times New Roman" w:asciiTheme="minorEastAsia" w:hAnsiTheme="minorEastAsia" w:eastAsiaTheme="minorEastAsia"/>
          <w:sz w:val="21"/>
          <w:szCs w:val="21"/>
          <w:highlight w:val="none"/>
        </w:rPr>
        <w:sectPr>
          <w:pgSz w:w="11905" w:h="16838"/>
          <w:pgMar w:top="567" w:right="1134" w:bottom="567" w:left="1134" w:header="340" w:footer="567" w:gutter="0"/>
          <w:pgNumType w:fmt="decimal"/>
          <w:cols w:space="720" w:num="1"/>
          <w:titlePg/>
          <w:docGrid w:linePitch="319" w:charSpace="0"/>
        </w:sectPr>
      </w:pPr>
      <w:bookmarkStart w:id="1545" w:name="_Toc137824317"/>
    </w:p>
    <w:p>
      <w:pPr>
        <w:shd w:val="clear"/>
        <w:spacing w:before="0" w:after="0" w:afterAutospacing="0" w:line="360" w:lineRule="auto"/>
        <w:ind w:left="0" w:right="-27" w:firstLine="0"/>
        <w:jc w:val="both"/>
        <w:outlineLvl w:val="1"/>
        <w:rPr>
          <w:rFonts w:cs="Times New Roman" w:asciiTheme="minorEastAsia" w:hAnsiTheme="minorEastAsia" w:eastAsiaTheme="minorEastAsia"/>
          <w:b/>
          <w:bCs/>
          <w:sz w:val="21"/>
          <w:szCs w:val="21"/>
          <w:highlight w:val="none"/>
          <w:lang w:val="en-US" w:eastAsia="zh-CN" w:bidi="ar-SA"/>
        </w:rPr>
      </w:pPr>
      <w:r>
        <w:rPr>
          <w:rFonts w:hint="eastAsia" w:cs="Times New Roman" w:asciiTheme="minorEastAsia" w:hAnsiTheme="minorEastAsia" w:eastAsiaTheme="minorEastAsia"/>
          <w:b/>
          <w:bCs/>
          <w:sz w:val="21"/>
          <w:szCs w:val="21"/>
          <w:highlight w:val="none"/>
          <w:lang w:val="en-US" w:eastAsia="zh-CN" w:bidi="ar-SA"/>
        </w:rPr>
        <w:t>附件5：项目冲洗记录表</w:t>
      </w:r>
      <w:bookmarkEnd w:id="1545"/>
    </w:p>
    <w:tbl>
      <w:tblPr>
        <w:tblStyle w:val="28"/>
        <w:tblW w:w="9560" w:type="dxa"/>
        <w:tblInd w:w="93" w:type="dxa"/>
        <w:tblLayout w:type="autofit"/>
        <w:tblCellMar>
          <w:top w:w="0" w:type="dxa"/>
          <w:left w:w="108" w:type="dxa"/>
          <w:bottom w:w="0" w:type="dxa"/>
          <w:right w:w="108" w:type="dxa"/>
        </w:tblCellMar>
      </w:tblPr>
      <w:tblGrid>
        <w:gridCol w:w="760"/>
        <w:gridCol w:w="1200"/>
        <w:gridCol w:w="4960"/>
        <w:gridCol w:w="2640"/>
      </w:tblGrid>
      <w:tr>
        <w:tblPrEx>
          <w:tblCellMar>
            <w:top w:w="0" w:type="dxa"/>
            <w:left w:w="108" w:type="dxa"/>
            <w:bottom w:w="0" w:type="dxa"/>
            <w:right w:w="108" w:type="dxa"/>
          </w:tblCellMar>
        </w:tblPrEx>
        <w:trPr>
          <w:trHeight w:val="660" w:hRule="atLeast"/>
        </w:trPr>
        <w:tc>
          <w:tcPr>
            <w:tcW w:w="9560" w:type="dxa"/>
            <w:gridSpan w:val="4"/>
            <w:tcBorders>
              <w:top w:val="nil"/>
              <w:left w:val="nil"/>
              <w:bottom w:val="nil"/>
              <w:right w:val="nil"/>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b/>
                <w:bCs/>
                <w:color w:val="000000"/>
                <w:sz w:val="28"/>
                <w:szCs w:val="28"/>
                <w:highlight w:val="none"/>
              </w:rPr>
            </w:pPr>
            <w:r>
              <w:rPr>
                <w:rFonts w:hint="eastAsia" w:ascii="宋体" w:hAnsi="宋体" w:eastAsia="宋体" w:cs="宋体"/>
                <w:b/>
                <w:bCs/>
                <w:color w:val="000000"/>
                <w:sz w:val="28"/>
                <w:szCs w:val="28"/>
                <w:highlight w:val="none"/>
              </w:rPr>
              <w:t>自动喷水灭火系统管网冲洗记录表</w:t>
            </w:r>
          </w:p>
        </w:tc>
      </w:tr>
      <w:tr>
        <w:tblPrEx>
          <w:tblCellMar>
            <w:top w:w="0" w:type="dxa"/>
            <w:left w:w="108" w:type="dxa"/>
            <w:bottom w:w="0" w:type="dxa"/>
            <w:right w:w="108" w:type="dxa"/>
          </w:tblCellMar>
        </w:tblPrEx>
        <w:trPr>
          <w:trHeight w:val="1155" w:hRule="atLeast"/>
        </w:trPr>
        <w:tc>
          <w:tcPr>
            <w:tcW w:w="19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项目名称、编号及合同编号</w:t>
            </w:r>
          </w:p>
        </w:tc>
        <w:tc>
          <w:tcPr>
            <w:tcW w:w="7600"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项目名称:</w:t>
            </w:r>
            <w:r>
              <w:rPr>
                <w:rFonts w:hint="eastAsia" w:ascii="宋体" w:hAnsi="宋体" w:eastAsia="宋体" w:cs="宋体"/>
                <w:color w:val="000000"/>
                <w:sz w:val="22"/>
                <w:szCs w:val="22"/>
                <w:highlight w:val="none"/>
              </w:rPr>
              <w:br w:type="textWrapping"/>
            </w:r>
            <w:r>
              <w:rPr>
                <w:rFonts w:hint="eastAsia" w:ascii="宋体" w:hAnsi="宋体" w:eastAsia="宋体" w:cs="宋体"/>
                <w:color w:val="000000"/>
                <w:sz w:val="22"/>
                <w:szCs w:val="22"/>
                <w:highlight w:val="none"/>
              </w:rPr>
              <w:t>项目编号：</w:t>
            </w:r>
            <w:r>
              <w:rPr>
                <w:rFonts w:hint="eastAsia" w:ascii="宋体" w:hAnsi="宋体" w:eastAsia="宋体" w:cs="宋体"/>
                <w:color w:val="000000"/>
                <w:sz w:val="22"/>
                <w:szCs w:val="22"/>
                <w:highlight w:val="none"/>
              </w:rPr>
              <w:br w:type="textWrapping"/>
            </w:r>
            <w:r>
              <w:rPr>
                <w:rFonts w:hint="eastAsia" w:ascii="宋体" w:hAnsi="宋体" w:eastAsia="宋体" w:cs="宋体"/>
                <w:color w:val="000000"/>
                <w:sz w:val="22"/>
                <w:szCs w:val="22"/>
                <w:highlight w:val="none"/>
              </w:rPr>
              <w:t>合同编号：</w:t>
            </w:r>
          </w:p>
        </w:tc>
      </w:tr>
      <w:tr>
        <w:tblPrEx>
          <w:tblCellMar>
            <w:top w:w="0" w:type="dxa"/>
            <w:left w:w="108" w:type="dxa"/>
            <w:bottom w:w="0" w:type="dxa"/>
            <w:right w:w="108" w:type="dxa"/>
          </w:tblCellMar>
        </w:tblPrEx>
        <w:trPr>
          <w:trHeight w:val="499" w:hRule="atLeast"/>
        </w:trPr>
        <w:tc>
          <w:tcPr>
            <w:tcW w:w="196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项目地点</w:t>
            </w:r>
          </w:p>
        </w:tc>
        <w:tc>
          <w:tcPr>
            <w:tcW w:w="7600" w:type="dxa"/>
            <w:gridSpan w:val="2"/>
            <w:tcBorders>
              <w:top w:val="single" w:color="auto" w:sz="4" w:space="0"/>
              <w:left w:val="nil"/>
              <w:bottom w:val="single" w:color="auto" w:sz="4" w:space="0"/>
              <w:right w:val="single" w:color="000000"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w:t>
            </w:r>
          </w:p>
        </w:tc>
      </w:tr>
      <w:tr>
        <w:tblPrEx>
          <w:tblCellMar>
            <w:top w:w="0" w:type="dxa"/>
            <w:left w:w="108" w:type="dxa"/>
            <w:bottom w:w="0" w:type="dxa"/>
            <w:right w:w="108" w:type="dxa"/>
          </w:tblCellMar>
        </w:tblPrEx>
        <w:trPr>
          <w:trHeight w:val="499" w:hRule="atLeast"/>
        </w:trPr>
        <w:tc>
          <w:tcPr>
            <w:tcW w:w="196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施工单位</w:t>
            </w:r>
          </w:p>
        </w:tc>
        <w:tc>
          <w:tcPr>
            <w:tcW w:w="7600"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w:t>
            </w:r>
          </w:p>
        </w:tc>
      </w:tr>
      <w:tr>
        <w:tblPrEx>
          <w:tblCellMar>
            <w:top w:w="0" w:type="dxa"/>
            <w:left w:w="108" w:type="dxa"/>
            <w:bottom w:w="0" w:type="dxa"/>
            <w:right w:w="108" w:type="dxa"/>
          </w:tblCellMar>
        </w:tblPrEx>
        <w:trPr>
          <w:trHeight w:val="499" w:hRule="atLeast"/>
        </w:trPr>
        <w:tc>
          <w:tcPr>
            <w:tcW w:w="196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检查单位</w:t>
            </w:r>
          </w:p>
        </w:tc>
        <w:tc>
          <w:tcPr>
            <w:tcW w:w="7600"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w:t>
            </w:r>
          </w:p>
        </w:tc>
      </w:tr>
      <w:tr>
        <w:tblPrEx>
          <w:tblCellMar>
            <w:top w:w="0" w:type="dxa"/>
            <w:left w:w="108" w:type="dxa"/>
            <w:bottom w:w="0" w:type="dxa"/>
            <w:right w:w="108" w:type="dxa"/>
          </w:tblCellMar>
        </w:tblPrEx>
        <w:trPr>
          <w:trHeight w:val="499"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序号</w:t>
            </w:r>
          </w:p>
        </w:tc>
        <w:tc>
          <w:tcPr>
            <w:tcW w:w="6160"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检查内容</w:t>
            </w:r>
          </w:p>
        </w:tc>
        <w:tc>
          <w:tcPr>
            <w:tcW w:w="2640" w:type="dxa"/>
            <w:tcBorders>
              <w:top w:val="nil"/>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检查结果</w:t>
            </w:r>
          </w:p>
        </w:tc>
      </w:tr>
      <w:tr>
        <w:tblPrEx>
          <w:tblCellMar>
            <w:top w:w="0" w:type="dxa"/>
            <w:left w:w="108" w:type="dxa"/>
            <w:bottom w:w="0" w:type="dxa"/>
            <w:right w:w="108" w:type="dxa"/>
          </w:tblCellMar>
        </w:tblPrEx>
        <w:trPr>
          <w:trHeight w:val="600" w:hRule="atLeast"/>
        </w:trPr>
        <w:tc>
          <w:tcPr>
            <w:tcW w:w="76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1</w:t>
            </w:r>
          </w:p>
        </w:tc>
        <w:tc>
          <w:tcPr>
            <w:tcW w:w="6160"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冲洗水是否带有铁屑杂质</w:t>
            </w:r>
          </w:p>
        </w:tc>
        <w:tc>
          <w:tcPr>
            <w:tcW w:w="2640" w:type="dxa"/>
            <w:tcBorders>
              <w:top w:val="nil"/>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是</w:t>
            </w:r>
            <w:r>
              <w:rPr>
                <w:rFonts w:ascii="Wingdings 2" w:hAnsi="Wingdings 2" w:eastAsia="宋体" w:cs="宋体"/>
                <w:color w:val="000000"/>
                <w:sz w:val="22"/>
                <w:szCs w:val="22"/>
                <w:highlight w:val="none"/>
              </w:rPr>
              <w:t></w:t>
            </w:r>
            <w:r>
              <w:rPr>
                <w:rFonts w:hint="eastAsia" w:ascii="宋体" w:hAnsi="宋体" w:eastAsia="宋体" w:cs="宋体"/>
                <w:color w:val="000000"/>
                <w:sz w:val="22"/>
                <w:szCs w:val="22"/>
                <w:highlight w:val="none"/>
              </w:rPr>
              <w:t xml:space="preserve"> 否</w:t>
            </w:r>
            <w:r>
              <w:rPr>
                <w:rFonts w:ascii="Wingdings 2" w:hAnsi="Wingdings 2" w:eastAsia="宋体" w:cs="宋体"/>
                <w:color w:val="000000"/>
                <w:sz w:val="22"/>
                <w:szCs w:val="22"/>
                <w:highlight w:val="none"/>
              </w:rPr>
              <w:t></w:t>
            </w:r>
          </w:p>
        </w:tc>
      </w:tr>
      <w:tr>
        <w:tblPrEx>
          <w:tblCellMar>
            <w:top w:w="0" w:type="dxa"/>
            <w:left w:w="108" w:type="dxa"/>
            <w:bottom w:w="0" w:type="dxa"/>
            <w:right w:w="108" w:type="dxa"/>
          </w:tblCellMar>
        </w:tblPrEx>
        <w:trPr>
          <w:trHeight w:val="642" w:hRule="atLeast"/>
        </w:trPr>
        <w:tc>
          <w:tcPr>
            <w:tcW w:w="76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2</w:t>
            </w:r>
          </w:p>
        </w:tc>
        <w:tc>
          <w:tcPr>
            <w:tcW w:w="6160"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出口处水的颜色是否清澈透明</w:t>
            </w:r>
          </w:p>
        </w:tc>
        <w:tc>
          <w:tcPr>
            <w:tcW w:w="2640" w:type="dxa"/>
            <w:tcBorders>
              <w:top w:val="nil"/>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是</w:t>
            </w:r>
            <w:r>
              <w:rPr>
                <w:rFonts w:ascii="Wingdings 2" w:hAnsi="Wingdings 2" w:eastAsia="宋体" w:cs="宋体"/>
                <w:color w:val="000000"/>
                <w:sz w:val="22"/>
                <w:szCs w:val="22"/>
                <w:highlight w:val="none"/>
              </w:rPr>
              <w:t></w:t>
            </w:r>
            <w:r>
              <w:rPr>
                <w:rFonts w:hint="eastAsia" w:ascii="宋体" w:hAnsi="宋体" w:eastAsia="宋体" w:cs="宋体"/>
                <w:color w:val="000000"/>
                <w:sz w:val="22"/>
                <w:szCs w:val="22"/>
                <w:highlight w:val="none"/>
              </w:rPr>
              <w:t xml:space="preserve"> 否</w:t>
            </w:r>
            <w:r>
              <w:rPr>
                <w:rFonts w:ascii="Wingdings 2" w:hAnsi="Wingdings 2" w:eastAsia="宋体" w:cs="宋体"/>
                <w:color w:val="000000"/>
                <w:sz w:val="22"/>
                <w:szCs w:val="22"/>
                <w:highlight w:val="none"/>
              </w:rPr>
              <w:t></w:t>
            </w:r>
          </w:p>
        </w:tc>
      </w:tr>
      <w:tr>
        <w:tblPrEx>
          <w:tblCellMar>
            <w:top w:w="0" w:type="dxa"/>
            <w:left w:w="108" w:type="dxa"/>
            <w:bottom w:w="0" w:type="dxa"/>
            <w:right w:w="108" w:type="dxa"/>
          </w:tblCellMar>
        </w:tblPrEx>
        <w:trPr>
          <w:trHeight w:val="600" w:hRule="atLeast"/>
        </w:trPr>
        <w:tc>
          <w:tcPr>
            <w:tcW w:w="76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3</w:t>
            </w:r>
          </w:p>
        </w:tc>
        <w:tc>
          <w:tcPr>
            <w:tcW w:w="6160"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冲洗水流速、流量是否正常</w:t>
            </w:r>
          </w:p>
        </w:tc>
        <w:tc>
          <w:tcPr>
            <w:tcW w:w="2640" w:type="dxa"/>
            <w:tcBorders>
              <w:top w:val="nil"/>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是</w:t>
            </w:r>
            <w:r>
              <w:rPr>
                <w:rFonts w:ascii="Wingdings 2" w:hAnsi="Wingdings 2" w:eastAsia="宋体" w:cs="宋体"/>
                <w:color w:val="000000"/>
                <w:sz w:val="22"/>
                <w:szCs w:val="22"/>
                <w:highlight w:val="none"/>
              </w:rPr>
              <w:t></w:t>
            </w:r>
            <w:r>
              <w:rPr>
                <w:rFonts w:hint="eastAsia" w:ascii="宋体" w:hAnsi="宋体" w:eastAsia="宋体" w:cs="宋体"/>
                <w:color w:val="000000"/>
                <w:sz w:val="22"/>
                <w:szCs w:val="22"/>
                <w:highlight w:val="none"/>
              </w:rPr>
              <w:t xml:space="preserve"> 否</w:t>
            </w:r>
            <w:r>
              <w:rPr>
                <w:rFonts w:ascii="Wingdings 2" w:hAnsi="Wingdings 2" w:eastAsia="宋体" w:cs="宋体"/>
                <w:color w:val="000000"/>
                <w:sz w:val="22"/>
                <w:szCs w:val="22"/>
                <w:highlight w:val="none"/>
              </w:rPr>
              <w:t></w:t>
            </w:r>
          </w:p>
        </w:tc>
      </w:tr>
      <w:tr>
        <w:tblPrEx>
          <w:tblCellMar>
            <w:top w:w="0" w:type="dxa"/>
            <w:left w:w="108" w:type="dxa"/>
            <w:bottom w:w="0" w:type="dxa"/>
            <w:right w:w="108" w:type="dxa"/>
          </w:tblCellMar>
        </w:tblPrEx>
        <w:trPr>
          <w:trHeight w:val="600" w:hRule="atLeast"/>
        </w:trPr>
        <w:tc>
          <w:tcPr>
            <w:tcW w:w="1960" w:type="dxa"/>
            <w:gridSpan w:val="2"/>
            <w:vMerge w:val="restart"/>
            <w:tcBorders>
              <w:top w:val="single" w:color="auto" w:sz="4" w:space="0"/>
              <w:left w:val="single" w:color="auto" w:sz="4" w:space="0"/>
              <w:bottom w:val="single" w:color="000000" w:sz="4" w:space="0"/>
              <w:right w:val="single" w:color="000000"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b/>
                <w:bCs/>
                <w:color w:val="000000"/>
                <w:sz w:val="22"/>
                <w:szCs w:val="22"/>
                <w:highlight w:val="none"/>
              </w:rPr>
            </w:pPr>
            <w:r>
              <w:rPr>
                <w:rFonts w:hint="eastAsia" w:ascii="宋体" w:hAnsi="宋体" w:eastAsia="宋体" w:cs="宋体"/>
                <w:b/>
                <w:bCs/>
                <w:color w:val="000000"/>
                <w:sz w:val="22"/>
                <w:szCs w:val="22"/>
                <w:highlight w:val="none"/>
              </w:rPr>
              <w:t>施工单位</w:t>
            </w:r>
          </w:p>
        </w:tc>
        <w:tc>
          <w:tcPr>
            <w:tcW w:w="496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施工人员：</w:t>
            </w:r>
          </w:p>
        </w:tc>
        <w:tc>
          <w:tcPr>
            <w:tcW w:w="264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righ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w:t>
            </w:r>
          </w:p>
        </w:tc>
      </w:tr>
      <w:tr>
        <w:tblPrEx>
          <w:tblCellMar>
            <w:top w:w="0" w:type="dxa"/>
            <w:left w:w="108" w:type="dxa"/>
            <w:bottom w:w="0" w:type="dxa"/>
            <w:right w:w="108" w:type="dxa"/>
          </w:tblCellMar>
        </w:tblPrEx>
        <w:trPr>
          <w:trHeight w:val="600" w:hRule="atLeast"/>
        </w:trPr>
        <w:tc>
          <w:tcPr>
            <w:tcW w:w="1960" w:type="dxa"/>
            <w:gridSpan w:val="2"/>
            <w:vMerge w:val="continue"/>
            <w:tcBorders>
              <w:top w:val="single" w:color="auto" w:sz="4" w:space="0"/>
              <w:left w:val="single" w:color="auto" w:sz="4" w:space="0"/>
              <w:bottom w:val="single" w:color="000000" w:sz="4" w:space="0"/>
              <w:right w:val="single" w:color="000000" w:sz="4" w:space="0"/>
            </w:tcBorders>
            <w:vAlign w:val="center"/>
          </w:tcPr>
          <w:p>
            <w:pPr>
              <w:shd w:val="clear"/>
              <w:spacing w:before="0" w:after="0" w:afterAutospacing="0" w:line="240" w:lineRule="auto"/>
              <w:ind w:left="0" w:right="0" w:firstLine="0"/>
              <w:jc w:val="left"/>
              <w:rPr>
                <w:rFonts w:ascii="宋体" w:hAnsi="宋体" w:eastAsia="宋体" w:cs="宋体"/>
                <w:b/>
                <w:bCs/>
                <w:color w:val="000000"/>
                <w:sz w:val="22"/>
                <w:szCs w:val="22"/>
                <w:highlight w:val="none"/>
              </w:rPr>
            </w:pPr>
          </w:p>
        </w:tc>
        <w:tc>
          <w:tcPr>
            <w:tcW w:w="496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项目负责人：</w:t>
            </w:r>
          </w:p>
        </w:tc>
        <w:tc>
          <w:tcPr>
            <w:tcW w:w="264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righ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w:t>
            </w:r>
          </w:p>
        </w:tc>
      </w:tr>
      <w:tr>
        <w:tblPrEx>
          <w:tblCellMar>
            <w:top w:w="0" w:type="dxa"/>
            <w:left w:w="108" w:type="dxa"/>
            <w:bottom w:w="0" w:type="dxa"/>
            <w:right w:w="108" w:type="dxa"/>
          </w:tblCellMar>
        </w:tblPrEx>
        <w:trPr>
          <w:trHeight w:val="600" w:hRule="atLeast"/>
        </w:trPr>
        <w:tc>
          <w:tcPr>
            <w:tcW w:w="1960" w:type="dxa"/>
            <w:gridSpan w:val="2"/>
            <w:vMerge w:val="restart"/>
            <w:tcBorders>
              <w:top w:val="single" w:color="auto" w:sz="4" w:space="0"/>
              <w:left w:val="single" w:color="auto" w:sz="4" w:space="0"/>
              <w:bottom w:val="single" w:color="000000" w:sz="4" w:space="0"/>
              <w:right w:val="single" w:color="000000"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b/>
                <w:bCs/>
                <w:color w:val="000000"/>
                <w:sz w:val="22"/>
                <w:szCs w:val="22"/>
                <w:highlight w:val="none"/>
              </w:rPr>
            </w:pPr>
            <w:r>
              <w:rPr>
                <w:rFonts w:hint="eastAsia" w:ascii="宋体" w:hAnsi="宋体" w:eastAsia="宋体" w:cs="宋体"/>
                <w:b/>
                <w:bCs/>
                <w:color w:val="000000"/>
                <w:sz w:val="22"/>
                <w:szCs w:val="22"/>
                <w:highlight w:val="none"/>
              </w:rPr>
              <w:t>检查单位</w:t>
            </w:r>
          </w:p>
        </w:tc>
        <w:tc>
          <w:tcPr>
            <w:tcW w:w="496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检查人员：</w:t>
            </w:r>
          </w:p>
        </w:tc>
        <w:tc>
          <w:tcPr>
            <w:tcW w:w="264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righ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w:t>
            </w:r>
          </w:p>
        </w:tc>
      </w:tr>
      <w:tr>
        <w:tblPrEx>
          <w:tblCellMar>
            <w:top w:w="0" w:type="dxa"/>
            <w:left w:w="108" w:type="dxa"/>
            <w:bottom w:w="0" w:type="dxa"/>
            <w:right w:w="108" w:type="dxa"/>
          </w:tblCellMar>
        </w:tblPrEx>
        <w:trPr>
          <w:trHeight w:val="600" w:hRule="atLeast"/>
        </w:trPr>
        <w:tc>
          <w:tcPr>
            <w:tcW w:w="1960" w:type="dxa"/>
            <w:gridSpan w:val="2"/>
            <w:vMerge w:val="continue"/>
            <w:tcBorders>
              <w:top w:val="single" w:color="auto" w:sz="4" w:space="0"/>
              <w:left w:val="single" w:color="auto" w:sz="4" w:space="0"/>
              <w:bottom w:val="single" w:color="000000" w:sz="4" w:space="0"/>
              <w:right w:val="single" w:color="000000" w:sz="4" w:space="0"/>
            </w:tcBorders>
            <w:vAlign w:val="center"/>
          </w:tcPr>
          <w:p>
            <w:pPr>
              <w:shd w:val="clear"/>
              <w:spacing w:before="0" w:after="0" w:afterAutospacing="0" w:line="240" w:lineRule="auto"/>
              <w:ind w:left="0" w:right="0" w:firstLine="0"/>
              <w:jc w:val="left"/>
              <w:rPr>
                <w:rFonts w:ascii="宋体" w:hAnsi="宋体" w:eastAsia="宋体" w:cs="宋体"/>
                <w:b/>
                <w:bCs/>
                <w:color w:val="000000"/>
                <w:sz w:val="22"/>
                <w:szCs w:val="22"/>
                <w:highlight w:val="none"/>
              </w:rPr>
            </w:pPr>
          </w:p>
        </w:tc>
        <w:tc>
          <w:tcPr>
            <w:tcW w:w="496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工班长：</w:t>
            </w:r>
          </w:p>
        </w:tc>
        <w:tc>
          <w:tcPr>
            <w:tcW w:w="264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righ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w:t>
            </w:r>
          </w:p>
        </w:tc>
      </w:tr>
      <w:tr>
        <w:tblPrEx>
          <w:tblCellMar>
            <w:top w:w="0" w:type="dxa"/>
            <w:left w:w="108" w:type="dxa"/>
            <w:bottom w:w="0" w:type="dxa"/>
            <w:right w:w="108" w:type="dxa"/>
          </w:tblCellMar>
        </w:tblPrEx>
        <w:trPr>
          <w:trHeight w:val="600" w:hRule="atLeast"/>
        </w:trPr>
        <w:tc>
          <w:tcPr>
            <w:tcW w:w="1960" w:type="dxa"/>
            <w:gridSpan w:val="2"/>
            <w:vMerge w:val="continue"/>
            <w:tcBorders>
              <w:top w:val="single" w:color="auto" w:sz="4" w:space="0"/>
              <w:left w:val="single" w:color="auto" w:sz="4" w:space="0"/>
              <w:bottom w:val="single" w:color="000000" w:sz="4" w:space="0"/>
              <w:right w:val="single" w:color="000000" w:sz="4" w:space="0"/>
            </w:tcBorders>
            <w:vAlign w:val="center"/>
          </w:tcPr>
          <w:p>
            <w:pPr>
              <w:shd w:val="clear"/>
              <w:spacing w:before="0" w:after="0" w:afterAutospacing="0" w:line="240" w:lineRule="auto"/>
              <w:ind w:left="0" w:right="0" w:firstLine="0"/>
              <w:jc w:val="left"/>
              <w:rPr>
                <w:rFonts w:ascii="宋体" w:hAnsi="宋体" w:eastAsia="宋体" w:cs="宋体"/>
                <w:b/>
                <w:bCs/>
                <w:color w:val="000000"/>
                <w:sz w:val="22"/>
                <w:szCs w:val="22"/>
                <w:highlight w:val="none"/>
              </w:rPr>
            </w:pPr>
          </w:p>
        </w:tc>
        <w:tc>
          <w:tcPr>
            <w:tcW w:w="496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技术主办：</w:t>
            </w:r>
          </w:p>
        </w:tc>
        <w:tc>
          <w:tcPr>
            <w:tcW w:w="264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righ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w:t>
            </w:r>
          </w:p>
        </w:tc>
      </w:tr>
    </w:tbl>
    <w:p>
      <w:pPr>
        <w:shd w:val="clear"/>
        <w:spacing w:before="120" w:after="100" w:afterAutospacing="1" w:line="360" w:lineRule="auto"/>
        <w:ind w:left="0" w:right="-27" w:firstLine="0"/>
        <w:jc w:val="both"/>
        <w:rPr>
          <w:rFonts w:cs="Times New Roman" w:asciiTheme="minorEastAsia" w:hAnsiTheme="minorEastAsia" w:eastAsiaTheme="minorEastAsia"/>
          <w:sz w:val="21"/>
          <w:szCs w:val="21"/>
          <w:highlight w:val="none"/>
          <w:lang w:val="en-US" w:eastAsia="zh-CN" w:bidi="ar-SA"/>
        </w:rPr>
      </w:pPr>
    </w:p>
    <w:p>
      <w:pPr>
        <w:shd w:val="clear"/>
        <w:spacing w:before="120" w:after="100" w:afterAutospacing="1" w:line="360" w:lineRule="auto"/>
        <w:ind w:left="709" w:right="-27" w:hanging="709"/>
        <w:jc w:val="both"/>
        <w:rPr>
          <w:rFonts w:ascii="宋体" w:hAnsi="Courier New" w:eastAsia="宋体" w:cs="宋体"/>
          <w:sz w:val="20"/>
          <w:szCs w:val="20"/>
          <w:highlight w:val="none"/>
          <w:lang w:val="en-US" w:eastAsia="zh-CN" w:bidi="ar-SA"/>
        </w:rPr>
      </w:pPr>
      <w:r>
        <w:rPr>
          <w:rFonts w:ascii="宋体" w:hAnsi="Courier New" w:eastAsia="宋体" w:cs="宋体"/>
          <w:sz w:val="20"/>
          <w:szCs w:val="20"/>
          <w:highlight w:val="none"/>
          <w:lang w:val="en-US" w:eastAsia="zh-CN" w:bidi="ar-SA"/>
        </w:rPr>
        <w:br w:type="page"/>
      </w:r>
    </w:p>
    <w:p>
      <w:pPr>
        <w:shd w:val="clear"/>
        <w:spacing w:before="0" w:after="0" w:afterAutospacing="0" w:line="360" w:lineRule="auto"/>
        <w:ind w:left="0" w:right="-27" w:firstLine="0"/>
        <w:jc w:val="both"/>
        <w:outlineLvl w:val="1"/>
        <w:rPr>
          <w:rFonts w:cs="Times New Roman" w:asciiTheme="minorEastAsia" w:hAnsiTheme="minorEastAsia" w:eastAsiaTheme="minorEastAsia"/>
          <w:b/>
          <w:bCs/>
          <w:sz w:val="21"/>
          <w:szCs w:val="21"/>
          <w:highlight w:val="none"/>
          <w:lang w:val="en-US" w:eastAsia="zh-CN" w:bidi="ar-SA"/>
        </w:rPr>
      </w:pPr>
      <w:bookmarkStart w:id="1546" w:name="_Toc137824318"/>
      <w:r>
        <w:rPr>
          <w:rFonts w:hint="eastAsia" w:cs="Times New Roman" w:asciiTheme="minorEastAsia" w:hAnsiTheme="minorEastAsia" w:eastAsiaTheme="minorEastAsia"/>
          <w:b/>
          <w:bCs/>
          <w:sz w:val="21"/>
          <w:szCs w:val="21"/>
          <w:highlight w:val="none"/>
          <w:lang w:val="en-US" w:eastAsia="zh-CN" w:bidi="ar-SA"/>
        </w:rPr>
        <w:t>附件6：项目管道防腐及隐蔽前工程检查表</w:t>
      </w:r>
      <w:bookmarkEnd w:id="1546"/>
    </w:p>
    <w:tbl>
      <w:tblPr>
        <w:tblStyle w:val="28"/>
        <w:tblW w:w="9660" w:type="dxa"/>
        <w:tblInd w:w="93" w:type="dxa"/>
        <w:tblLayout w:type="autofit"/>
        <w:tblCellMar>
          <w:top w:w="0" w:type="dxa"/>
          <w:left w:w="108" w:type="dxa"/>
          <w:bottom w:w="0" w:type="dxa"/>
          <w:right w:w="108" w:type="dxa"/>
        </w:tblCellMar>
      </w:tblPr>
      <w:tblGrid>
        <w:gridCol w:w="860"/>
        <w:gridCol w:w="700"/>
        <w:gridCol w:w="5420"/>
        <w:gridCol w:w="2680"/>
      </w:tblGrid>
      <w:tr>
        <w:tblPrEx>
          <w:tblCellMar>
            <w:top w:w="0" w:type="dxa"/>
            <w:left w:w="108" w:type="dxa"/>
            <w:bottom w:w="0" w:type="dxa"/>
            <w:right w:w="108" w:type="dxa"/>
          </w:tblCellMar>
        </w:tblPrEx>
        <w:trPr>
          <w:trHeight w:val="942" w:hRule="atLeast"/>
        </w:trPr>
        <w:tc>
          <w:tcPr>
            <w:tcW w:w="9660" w:type="dxa"/>
            <w:gridSpan w:val="4"/>
            <w:tcBorders>
              <w:top w:val="nil"/>
              <w:left w:val="nil"/>
              <w:bottom w:val="nil"/>
              <w:right w:val="nil"/>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b/>
                <w:bCs/>
                <w:color w:val="000000"/>
                <w:sz w:val="28"/>
                <w:szCs w:val="28"/>
                <w:highlight w:val="none"/>
              </w:rPr>
            </w:pPr>
            <w:r>
              <w:rPr>
                <w:rFonts w:hint="eastAsia" w:ascii="宋体" w:hAnsi="宋体" w:eastAsia="宋体" w:cs="宋体"/>
                <w:b/>
                <w:bCs/>
                <w:color w:val="000000"/>
                <w:sz w:val="28"/>
                <w:szCs w:val="28"/>
                <w:highlight w:val="none"/>
              </w:rPr>
              <w:t>项目管道防腐及隐蔽前工程检查表</w:t>
            </w:r>
          </w:p>
        </w:tc>
      </w:tr>
      <w:tr>
        <w:tblPrEx>
          <w:tblCellMar>
            <w:top w:w="0" w:type="dxa"/>
            <w:left w:w="108" w:type="dxa"/>
            <w:bottom w:w="0" w:type="dxa"/>
            <w:right w:w="108" w:type="dxa"/>
          </w:tblCellMar>
        </w:tblPrEx>
        <w:trPr>
          <w:trHeight w:val="1200" w:hRule="atLeast"/>
        </w:trPr>
        <w:tc>
          <w:tcPr>
            <w:tcW w:w="15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项目名称、编号及合同编号</w:t>
            </w:r>
          </w:p>
        </w:tc>
        <w:tc>
          <w:tcPr>
            <w:tcW w:w="8100"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项目名称:</w:t>
            </w:r>
            <w:r>
              <w:rPr>
                <w:rFonts w:hint="eastAsia" w:ascii="宋体" w:hAnsi="宋体" w:eastAsia="宋体" w:cs="宋体"/>
                <w:color w:val="000000"/>
                <w:sz w:val="22"/>
                <w:szCs w:val="22"/>
                <w:highlight w:val="none"/>
              </w:rPr>
              <w:br w:type="textWrapping"/>
            </w:r>
            <w:r>
              <w:rPr>
                <w:rFonts w:hint="eastAsia" w:ascii="宋体" w:hAnsi="宋体" w:eastAsia="宋体" w:cs="宋体"/>
                <w:color w:val="000000"/>
                <w:sz w:val="22"/>
                <w:szCs w:val="22"/>
                <w:highlight w:val="none"/>
              </w:rPr>
              <w:t>项目编号：</w:t>
            </w:r>
            <w:r>
              <w:rPr>
                <w:rFonts w:hint="eastAsia" w:ascii="宋体" w:hAnsi="宋体" w:eastAsia="宋体" w:cs="宋体"/>
                <w:color w:val="000000"/>
                <w:sz w:val="22"/>
                <w:szCs w:val="22"/>
                <w:highlight w:val="none"/>
              </w:rPr>
              <w:br w:type="textWrapping"/>
            </w:r>
            <w:r>
              <w:rPr>
                <w:rFonts w:hint="eastAsia" w:ascii="宋体" w:hAnsi="宋体" w:eastAsia="宋体" w:cs="宋体"/>
                <w:color w:val="000000"/>
                <w:sz w:val="22"/>
                <w:szCs w:val="22"/>
                <w:highlight w:val="none"/>
              </w:rPr>
              <w:t>合同编号：</w:t>
            </w:r>
          </w:p>
        </w:tc>
      </w:tr>
      <w:tr>
        <w:tblPrEx>
          <w:tblCellMar>
            <w:top w:w="0" w:type="dxa"/>
            <w:left w:w="108" w:type="dxa"/>
            <w:bottom w:w="0" w:type="dxa"/>
            <w:right w:w="108" w:type="dxa"/>
          </w:tblCellMar>
        </w:tblPrEx>
        <w:trPr>
          <w:trHeight w:val="799" w:hRule="atLeast"/>
        </w:trPr>
        <w:tc>
          <w:tcPr>
            <w:tcW w:w="156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项目地点</w:t>
            </w:r>
          </w:p>
        </w:tc>
        <w:tc>
          <w:tcPr>
            <w:tcW w:w="8100" w:type="dxa"/>
            <w:gridSpan w:val="2"/>
            <w:tcBorders>
              <w:top w:val="single" w:color="auto" w:sz="4" w:space="0"/>
              <w:left w:val="nil"/>
              <w:bottom w:val="single" w:color="auto" w:sz="4" w:space="0"/>
              <w:right w:val="single" w:color="000000"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w:t>
            </w:r>
          </w:p>
        </w:tc>
      </w:tr>
      <w:tr>
        <w:tblPrEx>
          <w:tblCellMar>
            <w:top w:w="0" w:type="dxa"/>
            <w:left w:w="108" w:type="dxa"/>
            <w:bottom w:w="0" w:type="dxa"/>
            <w:right w:w="108" w:type="dxa"/>
          </w:tblCellMar>
        </w:tblPrEx>
        <w:trPr>
          <w:trHeight w:val="799" w:hRule="atLeast"/>
        </w:trPr>
        <w:tc>
          <w:tcPr>
            <w:tcW w:w="156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施工单位</w:t>
            </w:r>
          </w:p>
        </w:tc>
        <w:tc>
          <w:tcPr>
            <w:tcW w:w="8100"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w:t>
            </w:r>
          </w:p>
        </w:tc>
      </w:tr>
      <w:tr>
        <w:tblPrEx>
          <w:tblCellMar>
            <w:top w:w="0" w:type="dxa"/>
            <w:left w:w="108" w:type="dxa"/>
            <w:bottom w:w="0" w:type="dxa"/>
            <w:right w:w="108" w:type="dxa"/>
          </w:tblCellMar>
        </w:tblPrEx>
        <w:trPr>
          <w:trHeight w:val="799" w:hRule="atLeast"/>
        </w:trPr>
        <w:tc>
          <w:tcPr>
            <w:tcW w:w="156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检查单位</w:t>
            </w:r>
          </w:p>
        </w:tc>
        <w:tc>
          <w:tcPr>
            <w:tcW w:w="8100"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w:t>
            </w:r>
          </w:p>
        </w:tc>
      </w:tr>
      <w:tr>
        <w:tblPrEx>
          <w:tblCellMar>
            <w:top w:w="0" w:type="dxa"/>
            <w:left w:w="108" w:type="dxa"/>
            <w:bottom w:w="0" w:type="dxa"/>
            <w:right w:w="108" w:type="dxa"/>
          </w:tblCellMar>
        </w:tblPrEx>
        <w:trPr>
          <w:trHeight w:val="799" w:hRule="atLeast"/>
        </w:trPr>
        <w:tc>
          <w:tcPr>
            <w:tcW w:w="15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质量控制资料</w:t>
            </w:r>
          </w:p>
        </w:tc>
        <w:tc>
          <w:tcPr>
            <w:tcW w:w="5420" w:type="dxa"/>
            <w:tcBorders>
              <w:top w:val="nil"/>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项目设施安装质量检查表、喷淋管道试压记录报告、项目冲洗记录表</w:t>
            </w:r>
          </w:p>
        </w:tc>
        <w:tc>
          <w:tcPr>
            <w:tcW w:w="268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是否完成   是</w:t>
            </w:r>
            <w:r>
              <w:rPr>
                <w:rFonts w:ascii="Wingdings 2" w:hAnsi="Wingdings 2" w:eastAsia="宋体" w:cs="宋体"/>
                <w:color w:val="000000"/>
                <w:sz w:val="22"/>
                <w:szCs w:val="22"/>
                <w:highlight w:val="none"/>
              </w:rPr>
              <w:t></w:t>
            </w:r>
            <w:r>
              <w:rPr>
                <w:rFonts w:hint="eastAsia" w:ascii="宋体" w:hAnsi="宋体" w:eastAsia="宋体" w:cs="宋体"/>
                <w:color w:val="000000"/>
                <w:sz w:val="22"/>
                <w:szCs w:val="22"/>
                <w:highlight w:val="none"/>
              </w:rPr>
              <w:t xml:space="preserve">   否</w:t>
            </w:r>
            <w:r>
              <w:rPr>
                <w:rFonts w:ascii="Wingdings 2" w:hAnsi="Wingdings 2" w:eastAsia="宋体" w:cs="宋体"/>
                <w:color w:val="000000"/>
                <w:sz w:val="22"/>
                <w:szCs w:val="22"/>
                <w:highlight w:val="none"/>
              </w:rPr>
              <w:t></w:t>
            </w:r>
          </w:p>
        </w:tc>
      </w:tr>
      <w:tr>
        <w:tblPrEx>
          <w:tblCellMar>
            <w:top w:w="0" w:type="dxa"/>
            <w:left w:w="108" w:type="dxa"/>
            <w:bottom w:w="0" w:type="dxa"/>
            <w:right w:w="108" w:type="dxa"/>
          </w:tblCellMar>
        </w:tblPrEx>
        <w:trPr>
          <w:trHeight w:val="799" w:hRule="atLeast"/>
        </w:trPr>
        <w:tc>
          <w:tcPr>
            <w:tcW w:w="860" w:type="dxa"/>
            <w:tcBorders>
              <w:top w:val="nil"/>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序号</w:t>
            </w:r>
          </w:p>
        </w:tc>
        <w:tc>
          <w:tcPr>
            <w:tcW w:w="6120"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检查内容</w:t>
            </w:r>
          </w:p>
        </w:tc>
        <w:tc>
          <w:tcPr>
            <w:tcW w:w="2680" w:type="dxa"/>
            <w:tcBorders>
              <w:top w:val="nil"/>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检查结果</w:t>
            </w:r>
          </w:p>
        </w:tc>
      </w:tr>
      <w:tr>
        <w:tblPrEx>
          <w:tblCellMar>
            <w:top w:w="0" w:type="dxa"/>
            <w:left w:w="108" w:type="dxa"/>
            <w:bottom w:w="0" w:type="dxa"/>
            <w:right w:w="108" w:type="dxa"/>
          </w:tblCellMar>
        </w:tblPrEx>
        <w:trPr>
          <w:trHeight w:val="799"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1</w:t>
            </w:r>
          </w:p>
        </w:tc>
        <w:tc>
          <w:tcPr>
            <w:tcW w:w="6120" w:type="dxa"/>
            <w:gridSpan w:val="2"/>
            <w:tcBorders>
              <w:top w:val="single" w:color="auto" w:sz="4" w:space="0"/>
              <w:left w:val="nil"/>
              <w:bottom w:val="single" w:color="auto" w:sz="4" w:space="0"/>
              <w:right w:val="single" w:color="000000"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埋地管道表面采用“三油两布”工艺（沥青—玻璃布-沥青—油漆—聚氯乙烯工业薄膜）做好防腐工作。</w:t>
            </w:r>
          </w:p>
        </w:tc>
        <w:tc>
          <w:tcPr>
            <w:tcW w:w="268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是</w:t>
            </w:r>
            <w:r>
              <w:rPr>
                <w:rFonts w:ascii="Wingdings 2" w:hAnsi="Wingdings 2" w:eastAsia="宋体" w:cs="宋体"/>
                <w:color w:val="000000"/>
                <w:sz w:val="22"/>
                <w:szCs w:val="22"/>
                <w:highlight w:val="none"/>
              </w:rPr>
              <w:t></w:t>
            </w:r>
            <w:r>
              <w:rPr>
                <w:rFonts w:hint="eastAsia" w:ascii="宋体" w:hAnsi="宋体" w:eastAsia="宋体" w:cs="宋体"/>
                <w:color w:val="000000"/>
                <w:sz w:val="22"/>
                <w:szCs w:val="22"/>
                <w:highlight w:val="none"/>
              </w:rPr>
              <w:t xml:space="preserve"> 否</w:t>
            </w:r>
            <w:r>
              <w:rPr>
                <w:rFonts w:ascii="Wingdings 2" w:hAnsi="Wingdings 2" w:eastAsia="宋体" w:cs="宋体"/>
                <w:color w:val="000000"/>
                <w:sz w:val="22"/>
                <w:szCs w:val="22"/>
                <w:highlight w:val="none"/>
              </w:rPr>
              <w:t></w:t>
            </w:r>
          </w:p>
        </w:tc>
      </w:tr>
      <w:tr>
        <w:tblPrEx>
          <w:tblCellMar>
            <w:top w:w="0" w:type="dxa"/>
            <w:left w:w="108" w:type="dxa"/>
            <w:bottom w:w="0" w:type="dxa"/>
            <w:right w:w="108" w:type="dxa"/>
          </w:tblCellMar>
        </w:tblPrEx>
        <w:trPr>
          <w:trHeight w:val="799"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2</w:t>
            </w:r>
          </w:p>
        </w:tc>
        <w:tc>
          <w:tcPr>
            <w:tcW w:w="6120" w:type="dxa"/>
            <w:gridSpan w:val="2"/>
            <w:tcBorders>
              <w:top w:val="single" w:color="auto" w:sz="4" w:space="0"/>
              <w:left w:val="nil"/>
              <w:bottom w:val="single" w:color="auto" w:sz="4" w:space="0"/>
              <w:right w:val="single" w:color="000000"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外管道及支架表面涂刷2道红丹防锈漆</w:t>
            </w:r>
          </w:p>
        </w:tc>
        <w:tc>
          <w:tcPr>
            <w:tcW w:w="268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是</w:t>
            </w:r>
            <w:r>
              <w:rPr>
                <w:rFonts w:ascii="Wingdings 2" w:hAnsi="Wingdings 2" w:eastAsia="宋体" w:cs="宋体"/>
                <w:color w:val="000000"/>
                <w:sz w:val="22"/>
                <w:szCs w:val="22"/>
                <w:highlight w:val="none"/>
              </w:rPr>
              <w:t></w:t>
            </w:r>
            <w:r>
              <w:rPr>
                <w:rFonts w:hint="eastAsia" w:ascii="宋体" w:hAnsi="宋体" w:eastAsia="宋体" w:cs="宋体"/>
                <w:color w:val="000000"/>
                <w:sz w:val="22"/>
                <w:szCs w:val="22"/>
                <w:highlight w:val="none"/>
              </w:rPr>
              <w:t xml:space="preserve"> 否</w:t>
            </w:r>
            <w:r>
              <w:rPr>
                <w:rFonts w:ascii="Wingdings 2" w:hAnsi="Wingdings 2" w:eastAsia="宋体" w:cs="宋体"/>
                <w:color w:val="000000"/>
                <w:sz w:val="22"/>
                <w:szCs w:val="22"/>
                <w:highlight w:val="none"/>
              </w:rPr>
              <w:t></w:t>
            </w:r>
          </w:p>
        </w:tc>
      </w:tr>
      <w:tr>
        <w:tblPrEx>
          <w:tblCellMar>
            <w:top w:w="0" w:type="dxa"/>
            <w:left w:w="108" w:type="dxa"/>
            <w:bottom w:w="0" w:type="dxa"/>
            <w:right w:w="108" w:type="dxa"/>
          </w:tblCellMar>
        </w:tblPrEx>
        <w:trPr>
          <w:trHeight w:val="799" w:hRule="atLeast"/>
        </w:trPr>
        <w:tc>
          <w:tcPr>
            <w:tcW w:w="1560" w:type="dxa"/>
            <w:gridSpan w:val="2"/>
            <w:vMerge w:val="restart"/>
            <w:tcBorders>
              <w:top w:val="single" w:color="auto" w:sz="4" w:space="0"/>
              <w:left w:val="single" w:color="auto" w:sz="4" w:space="0"/>
              <w:bottom w:val="single" w:color="000000" w:sz="4" w:space="0"/>
              <w:right w:val="single" w:color="000000"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b/>
                <w:bCs/>
                <w:color w:val="000000"/>
                <w:sz w:val="22"/>
                <w:szCs w:val="22"/>
                <w:highlight w:val="none"/>
              </w:rPr>
            </w:pPr>
            <w:r>
              <w:rPr>
                <w:rFonts w:hint="eastAsia" w:ascii="宋体" w:hAnsi="宋体" w:eastAsia="宋体" w:cs="宋体"/>
                <w:b/>
                <w:bCs/>
                <w:color w:val="000000"/>
                <w:sz w:val="22"/>
                <w:szCs w:val="22"/>
                <w:highlight w:val="none"/>
              </w:rPr>
              <w:t>施工单位</w:t>
            </w:r>
          </w:p>
        </w:tc>
        <w:tc>
          <w:tcPr>
            <w:tcW w:w="542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施工人员：</w:t>
            </w:r>
          </w:p>
        </w:tc>
        <w:tc>
          <w:tcPr>
            <w:tcW w:w="268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 </w:t>
            </w:r>
          </w:p>
        </w:tc>
      </w:tr>
      <w:tr>
        <w:tblPrEx>
          <w:tblCellMar>
            <w:top w:w="0" w:type="dxa"/>
            <w:left w:w="108" w:type="dxa"/>
            <w:bottom w:w="0" w:type="dxa"/>
            <w:right w:w="108" w:type="dxa"/>
          </w:tblCellMar>
        </w:tblPrEx>
        <w:trPr>
          <w:trHeight w:val="799" w:hRule="atLeast"/>
        </w:trPr>
        <w:tc>
          <w:tcPr>
            <w:tcW w:w="1560" w:type="dxa"/>
            <w:gridSpan w:val="2"/>
            <w:vMerge w:val="continue"/>
            <w:tcBorders>
              <w:top w:val="single" w:color="auto" w:sz="4" w:space="0"/>
              <w:left w:val="single" w:color="auto" w:sz="4" w:space="0"/>
              <w:bottom w:val="single" w:color="000000" w:sz="4" w:space="0"/>
              <w:right w:val="single" w:color="000000" w:sz="4" w:space="0"/>
            </w:tcBorders>
            <w:vAlign w:val="center"/>
          </w:tcPr>
          <w:p>
            <w:pPr>
              <w:shd w:val="clear"/>
              <w:spacing w:before="0" w:after="0" w:afterAutospacing="0" w:line="240" w:lineRule="auto"/>
              <w:ind w:left="0" w:right="0" w:firstLine="0"/>
              <w:jc w:val="left"/>
              <w:rPr>
                <w:rFonts w:ascii="宋体" w:hAnsi="宋体" w:eastAsia="宋体" w:cs="宋体"/>
                <w:b/>
                <w:bCs/>
                <w:color w:val="000000"/>
                <w:sz w:val="22"/>
                <w:szCs w:val="22"/>
                <w:highlight w:val="none"/>
              </w:rPr>
            </w:pPr>
          </w:p>
        </w:tc>
        <w:tc>
          <w:tcPr>
            <w:tcW w:w="542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项目负责人：</w:t>
            </w:r>
          </w:p>
        </w:tc>
        <w:tc>
          <w:tcPr>
            <w:tcW w:w="268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 </w:t>
            </w:r>
          </w:p>
        </w:tc>
      </w:tr>
      <w:tr>
        <w:tblPrEx>
          <w:tblCellMar>
            <w:top w:w="0" w:type="dxa"/>
            <w:left w:w="108" w:type="dxa"/>
            <w:bottom w:w="0" w:type="dxa"/>
            <w:right w:w="108" w:type="dxa"/>
          </w:tblCellMar>
        </w:tblPrEx>
        <w:trPr>
          <w:trHeight w:val="799" w:hRule="atLeast"/>
        </w:trPr>
        <w:tc>
          <w:tcPr>
            <w:tcW w:w="1560" w:type="dxa"/>
            <w:gridSpan w:val="2"/>
            <w:vMerge w:val="restart"/>
            <w:tcBorders>
              <w:top w:val="single" w:color="auto" w:sz="4" w:space="0"/>
              <w:left w:val="single" w:color="auto" w:sz="4" w:space="0"/>
              <w:bottom w:val="single" w:color="000000" w:sz="4" w:space="0"/>
              <w:right w:val="single" w:color="000000"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b/>
                <w:bCs/>
                <w:color w:val="000000"/>
                <w:sz w:val="22"/>
                <w:szCs w:val="22"/>
                <w:highlight w:val="none"/>
              </w:rPr>
            </w:pPr>
            <w:r>
              <w:rPr>
                <w:rFonts w:hint="eastAsia" w:ascii="宋体" w:hAnsi="宋体" w:eastAsia="宋体" w:cs="宋体"/>
                <w:b/>
                <w:bCs/>
                <w:color w:val="000000"/>
                <w:sz w:val="22"/>
                <w:szCs w:val="22"/>
                <w:highlight w:val="none"/>
              </w:rPr>
              <w:t>检查单位</w:t>
            </w:r>
          </w:p>
        </w:tc>
        <w:tc>
          <w:tcPr>
            <w:tcW w:w="542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检查人员：</w:t>
            </w:r>
          </w:p>
        </w:tc>
        <w:tc>
          <w:tcPr>
            <w:tcW w:w="268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 </w:t>
            </w:r>
          </w:p>
        </w:tc>
      </w:tr>
      <w:tr>
        <w:tblPrEx>
          <w:tblCellMar>
            <w:top w:w="0" w:type="dxa"/>
            <w:left w:w="108" w:type="dxa"/>
            <w:bottom w:w="0" w:type="dxa"/>
            <w:right w:w="108" w:type="dxa"/>
          </w:tblCellMar>
        </w:tblPrEx>
        <w:trPr>
          <w:trHeight w:val="799" w:hRule="atLeast"/>
        </w:trPr>
        <w:tc>
          <w:tcPr>
            <w:tcW w:w="1560" w:type="dxa"/>
            <w:gridSpan w:val="2"/>
            <w:vMerge w:val="continue"/>
            <w:tcBorders>
              <w:top w:val="single" w:color="auto" w:sz="4" w:space="0"/>
              <w:left w:val="single" w:color="auto" w:sz="4" w:space="0"/>
              <w:bottom w:val="single" w:color="000000" w:sz="4" w:space="0"/>
              <w:right w:val="single" w:color="000000" w:sz="4" w:space="0"/>
            </w:tcBorders>
            <w:vAlign w:val="center"/>
          </w:tcPr>
          <w:p>
            <w:pPr>
              <w:shd w:val="clear"/>
              <w:spacing w:before="0" w:after="0" w:afterAutospacing="0" w:line="240" w:lineRule="auto"/>
              <w:ind w:left="0" w:right="0" w:firstLine="0"/>
              <w:jc w:val="left"/>
              <w:rPr>
                <w:rFonts w:ascii="宋体" w:hAnsi="宋体" w:eastAsia="宋体" w:cs="宋体"/>
                <w:b/>
                <w:bCs/>
                <w:color w:val="000000"/>
                <w:sz w:val="22"/>
                <w:szCs w:val="22"/>
                <w:highlight w:val="none"/>
              </w:rPr>
            </w:pPr>
          </w:p>
        </w:tc>
        <w:tc>
          <w:tcPr>
            <w:tcW w:w="542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工班长：</w:t>
            </w:r>
          </w:p>
        </w:tc>
        <w:tc>
          <w:tcPr>
            <w:tcW w:w="268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 </w:t>
            </w:r>
          </w:p>
        </w:tc>
      </w:tr>
      <w:tr>
        <w:tblPrEx>
          <w:tblCellMar>
            <w:top w:w="0" w:type="dxa"/>
            <w:left w:w="108" w:type="dxa"/>
            <w:bottom w:w="0" w:type="dxa"/>
            <w:right w:w="108" w:type="dxa"/>
          </w:tblCellMar>
        </w:tblPrEx>
        <w:trPr>
          <w:trHeight w:val="799" w:hRule="atLeast"/>
        </w:trPr>
        <w:tc>
          <w:tcPr>
            <w:tcW w:w="1560" w:type="dxa"/>
            <w:gridSpan w:val="2"/>
            <w:vMerge w:val="continue"/>
            <w:tcBorders>
              <w:top w:val="single" w:color="auto" w:sz="4" w:space="0"/>
              <w:left w:val="single" w:color="auto" w:sz="4" w:space="0"/>
              <w:bottom w:val="single" w:color="000000" w:sz="4" w:space="0"/>
              <w:right w:val="single" w:color="000000" w:sz="4" w:space="0"/>
            </w:tcBorders>
            <w:vAlign w:val="center"/>
          </w:tcPr>
          <w:p>
            <w:pPr>
              <w:shd w:val="clear"/>
              <w:spacing w:before="0" w:after="0" w:afterAutospacing="0" w:line="240" w:lineRule="auto"/>
              <w:ind w:left="0" w:right="0" w:firstLine="0"/>
              <w:jc w:val="left"/>
              <w:rPr>
                <w:rFonts w:ascii="宋体" w:hAnsi="宋体" w:eastAsia="宋体" w:cs="宋体"/>
                <w:b/>
                <w:bCs/>
                <w:color w:val="000000"/>
                <w:sz w:val="22"/>
                <w:szCs w:val="22"/>
                <w:highlight w:val="none"/>
              </w:rPr>
            </w:pPr>
          </w:p>
        </w:tc>
        <w:tc>
          <w:tcPr>
            <w:tcW w:w="542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技术主办：</w:t>
            </w:r>
          </w:p>
        </w:tc>
        <w:tc>
          <w:tcPr>
            <w:tcW w:w="268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 </w:t>
            </w:r>
          </w:p>
        </w:tc>
      </w:tr>
    </w:tbl>
    <w:p>
      <w:pPr>
        <w:shd w:val="clear"/>
        <w:spacing w:before="120" w:after="100" w:afterAutospacing="1" w:line="360" w:lineRule="auto"/>
        <w:ind w:left="0" w:right="-27" w:firstLine="0"/>
        <w:jc w:val="both"/>
        <w:rPr>
          <w:rFonts w:cs="Times New Roman" w:asciiTheme="minorEastAsia" w:hAnsiTheme="minorEastAsia" w:eastAsiaTheme="minorEastAsia"/>
          <w:sz w:val="21"/>
          <w:szCs w:val="21"/>
          <w:highlight w:val="none"/>
          <w:lang w:val="en-US" w:eastAsia="zh-CN" w:bidi="ar-SA"/>
        </w:rPr>
      </w:pPr>
    </w:p>
    <w:p>
      <w:pPr>
        <w:shd w:val="clear"/>
        <w:spacing w:before="120" w:after="100" w:afterAutospacing="1" w:line="360" w:lineRule="auto"/>
        <w:ind w:left="709" w:right="-27" w:hanging="709"/>
        <w:jc w:val="both"/>
        <w:rPr>
          <w:rFonts w:ascii="宋体" w:hAnsi="Courier New" w:eastAsia="宋体" w:cs="宋体"/>
          <w:sz w:val="20"/>
          <w:szCs w:val="20"/>
          <w:highlight w:val="none"/>
          <w:lang w:val="en-US" w:eastAsia="zh-CN" w:bidi="ar-SA"/>
        </w:rPr>
      </w:pPr>
      <w:r>
        <w:rPr>
          <w:rFonts w:ascii="宋体" w:hAnsi="Courier New" w:eastAsia="宋体" w:cs="宋体"/>
          <w:sz w:val="20"/>
          <w:szCs w:val="20"/>
          <w:highlight w:val="none"/>
          <w:lang w:val="en-US" w:eastAsia="zh-CN" w:bidi="ar-SA"/>
        </w:rPr>
        <w:br w:type="page"/>
      </w:r>
    </w:p>
    <w:p>
      <w:pPr>
        <w:shd w:val="clear"/>
        <w:spacing w:before="0" w:after="0" w:afterAutospacing="0" w:line="415" w:lineRule="auto"/>
        <w:ind w:left="709" w:right="-27" w:hanging="709"/>
        <w:jc w:val="both"/>
        <w:outlineLvl w:val="1"/>
        <w:rPr>
          <w:rFonts w:cs="Times New Roman" w:asciiTheme="minorEastAsia" w:hAnsiTheme="minorEastAsia" w:eastAsiaTheme="minorEastAsia"/>
          <w:b/>
          <w:bCs/>
          <w:sz w:val="32"/>
          <w:szCs w:val="32"/>
          <w:highlight w:val="none"/>
          <w:lang w:val="en-US" w:eastAsia="zh-CN" w:bidi="ar-SA"/>
        </w:rPr>
      </w:pPr>
      <w:bookmarkStart w:id="1547" w:name="_Toc137824319"/>
      <w:r>
        <w:rPr>
          <w:rFonts w:hint="eastAsia" w:cs="Times New Roman" w:asciiTheme="minorEastAsia" w:hAnsiTheme="minorEastAsia" w:eastAsiaTheme="minorEastAsia"/>
          <w:b/>
          <w:bCs/>
          <w:sz w:val="21"/>
          <w:szCs w:val="21"/>
          <w:highlight w:val="none"/>
          <w:lang w:val="en-US" w:eastAsia="zh-CN" w:bidi="ar-SA"/>
        </w:rPr>
        <w:t>附件7：项目隐蔽工程检查表</w:t>
      </w:r>
      <w:bookmarkEnd w:id="1547"/>
    </w:p>
    <w:tbl>
      <w:tblPr>
        <w:tblStyle w:val="28"/>
        <w:tblW w:w="9654" w:type="dxa"/>
        <w:tblInd w:w="93" w:type="dxa"/>
        <w:tblLayout w:type="autofit"/>
        <w:tblCellMar>
          <w:top w:w="0" w:type="dxa"/>
          <w:left w:w="108" w:type="dxa"/>
          <w:bottom w:w="0" w:type="dxa"/>
          <w:right w:w="108" w:type="dxa"/>
        </w:tblCellMar>
      </w:tblPr>
      <w:tblGrid>
        <w:gridCol w:w="860"/>
        <w:gridCol w:w="700"/>
        <w:gridCol w:w="5420"/>
        <w:gridCol w:w="2674"/>
      </w:tblGrid>
      <w:tr>
        <w:tblPrEx>
          <w:tblCellMar>
            <w:top w:w="0" w:type="dxa"/>
            <w:left w:w="108" w:type="dxa"/>
            <w:bottom w:w="0" w:type="dxa"/>
            <w:right w:w="108" w:type="dxa"/>
          </w:tblCellMar>
        </w:tblPrEx>
        <w:trPr>
          <w:trHeight w:val="807" w:hRule="atLeast"/>
        </w:trPr>
        <w:tc>
          <w:tcPr>
            <w:tcW w:w="9654" w:type="dxa"/>
            <w:gridSpan w:val="4"/>
            <w:tcBorders>
              <w:top w:val="nil"/>
              <w:left w:val="nil"/>
              <w:bottom w:val="nil"/>
              <w:right w:val="nil"/>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b/>
                <w:bCs/>
                <w:color w:val="000000"/>
                <w:sz w:val="28"/>
                <w:szCs w:val="28"/>
                <w:highlight w:val="none"/>
              </w:rPr>
            </w:pPr>
            <w:r>
              <w:rPr>
                <w:rFonts w:hint="eastAsia" w:ascii="宋体" w:hAnsi="宋体" w:eastAsia="宋体" w:cs="宋体"/>
                <w:b/>
                <w:bCs/>
                <w:color w:val="000000"/>
                <w:sz w:val="28"/>
                <w:szCs w:val="28"/>
                <w:highlight w:val="none"/>
              </w:rPr>
              <w:t>项目隐蔽工程检查表</w:t>
            </w:r>
          </w:p>
        </w:tc>
      </w:tr>
      <w:tr>
        <w:tblPrEx>
          <w:tblCellMar>
            <w:top w:w="0" w:type="dxa"/>
            <w:left w:w="108" w:type="dxa"/>
            <w:bottom w:w="0" w:type="dxa"/>
            <w:right w:w="108" w:type="dxa"/>
          </w:tblCellMar>
        </w:tblPrEx>
        <w:trPr>
          <w:trHeight w:val="899" w:hRule="atLeast"/>
        </w:trPr>
        <w:tc>
          <w:tcPr>
            <w:tcW w:w="15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项目名称、编号及合同编号</w:t>
            </w:r>
          </w:p>
        </w:tc>
        <w:tc>
          <w:tcPr>
            <w:tcW w:w="8094"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项目名称:</w:t>
            </w:r>
            <w:r>
              <w:rPr>
                <w:rFonts w:hint="eastAsia" w:ascii="宋体" w:hAnsi="宋体" w:eastAsia="宋体" w:cs="宋体"/>
                <w:color w:val="000000"/>
                <w:sz w:val="22"/>
                <w:szCs w:val="22"/>
                <w:highlight w:val="none"/>
              </w:rPr>
              <w:br w:type="textWrapping"/>
            </w:r>
            <w:r>
              <w:rPr>
                <w:rFonts w:hint="eastAsia" w:ascii="宋体" w:hAnsi="宋体" w:eastAsia="宋体" w:cs="宋体"/>
                <w:color w:val="000000"/>
                <w:sz w:val="22"/>
                <w:szCs w:val="22"/>
                <w:highlight w:val="none"/>
              </w:rPr>
              <w:t>项目编号：</w:t>
            </w:r>
            <w:r>
              <w:rPr>
                <w:rFonts w:hint="eastAsia" w:ascii="宋体" w:hAnsi="宋体" w:eastAsia="宋体" w:cs="宋体"/>
                <w:color w:val="000000"/>
                <w:sz w:val="22"/>
                <w:szCs w:val="22"/>
                <w:highlight w:val="none"/>
              </w:rPr>
              <w:br w:type="textWrapping"/>
            </w:r>
            <w:r>
              <w:rPr>
                <w:rFonts w:hint="eastAsia" w:ascii="宋体" w:hAnsi="宋体" w:eastAsia="宋体" w:cs="宋体"/>
                <w:color w:val="000000"/>
                <w:sz w:val="22"/>
                <w:szCs w:val="22"/>
                <w:highlight w:val="none"/>
              </w:rPr>
              <w:t>合同编号：</w:t>
            </w:r>
          </w:p>
        </w:tc>
      </w:tr>
      <w:tr>
        <w:tblPrEx>
          <w:tblCellMar>
            <w:top w:w="0" w:type="dxa"/>
            <w:left w:w="108" w:type="dxa"/>
            <w:bottom w:w="0" w:type="dxa"/>
            <w:right w:w="108" w:type="dxa"/>
          </w:tblCellMar>
        </w:tblPrEx>
        <w:trPr>
          <w:trHeight w:val="558" w:hRule="atLeast"/>
        </w:trPr>
        <w:tc>
          <w:tcPr>
            <w:tcW w:w="156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项目地点</w:t>
            </w:r>
          </w:p>
        </w:tc>
        <w:tc>
          <w:tcPr>
            <w:tcW w:w="8094" w:type="dxa"/>
            <w:gridSpan w:val="2"/>
            <w:tcBorders>
              <w:top w:val="single" w:color="auto" w:sz="4" w:space="0"/>
              <w:left w:val="nil"/>
              <w:bottom w:val="single" w:color="auto" w:sz="4" w:space="0"/>
              <w:right w:val="single" w:color="000000"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w:t>
            </w:r>
          </w:p>
        </w:tc>
      </w:tr>
      <w:tr>
        <w:tblPrEx>
          <w:tblCellMar>
            <w:top w:w="0" w:type="dxa"/>
            <w:left w:w="108" w:type="dxa"/>
            <w:bottom w:w="0" w:type="dxa"/>
            <w:right w:w="108" w:type="dxa"/>
          </w:tblCellMar>
        </w:tblPrEx>
        <w:trPr>
          <w:trHeight w:val="552" w:hRule="atLeast"/>
        </w:trPr>
        <w:tc>
          <w:tcPr>
            <w:tcW w:w="156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施工单位</w:t>
            </w:r>
          </w:p>
        </w:tc>
        <w:tc>
          <w:tcPr>
            <w:tcW w:w="8094"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w:t>
            </w:r>
          </w:p>
        </w:tc>
      </w:tr>
      <w:tr>
        <w:tblPrEx>
          <w:tblCellMar>
            <w:top w:w="0" w:type="dxa"/>
            <w:left w:w="108" w:type="dxa"/>
            <w:bottom w:w="0" w:type="dxa"/>
            <w:right w:w="108" w:type="dxa"/>
          </w:tblCellMar>
        </w:tblPrEx>
        <w:trPr>
          <w:trHeight w:val="560" w:hRule="atLeast"/>
        </w:trPr>
        <w:tc>
          <w:tcPr>
            <w:tcW w:w="156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检查单位</w:t>
            </w:r>
          </w:p>
        </w:tc>
        <w:tc>
          <w:tcPr>
            <w:tcW w:w="8094"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w:t>
            </w:r>
          </w:p>
        </w:tc>
      </w:tr>
      <w:tr>
        <w:tblPrEx>
          <w:tblCellMar>
            <w:top w:w="0" w:type="dxa"/>
            <w:left w:w="108" w:type="dxa"/>
            <w:bottom w:w="0" w:type="dxa"/>
            <w:right w:w="108" w:type="dxa"/>
          </w:tblCellMar>
        </w:tblPrEx>
        <w:trPr>
          <w:trHeight w:val="799" w:hRule="atLeast"/>
        </w:trPr>
        <w:tc>
          <w:tcPr>
            <w:tcW w:w="15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质量控制资料</w:t>
            </w:r>
          </w:p>
        </w:tc>
        <w:tc>
          <w:tcPr>
            <w:tcW w:w="5420" w:type="dxa"/>
            <w:tcBorders>
              <w:top w:val="nil"/>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项目设施安装质量检查表、喷淋管道试压记录报告、项目冲洗记录表、项目管道防腐及隐蔽前工程检查表</w:t>
            </w:r>
          </w:p>
        </w:tc>
        <w:tc>
          <w:tcPr>
            <w:tcW w:w="2674"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是否完成   是</w:t>
            </w:r>
            <w:r>
              <w:rPr>
                <w:rFonts w:ascii="Wingdings 2" w:hAnsi="Wingdings 2" w:eastAsia="宋体" w:cs="宋体"/>
                <w:color w:val="000000"/>
                <w:sz w:val="22"/>
                <w:szCs w:val="22"/>
                <w:highlight w:val="none"/>
              </w:rPr>
              <w:t></w:t>
            </w:r>
            <w:r>
              <w:rPr>
                <w:rFonts w:hint="eastAsia" w:ascii="宋体" w:hAnsi="宋体" w:eastAsia="宋体" w:cs="宋体"/>
                <w:color w:val="000000"/>
                <w:sz w:val="22"/>
                <w:szCs w:val="22"/>
                <w:highlight w:val="none"/>
              </w:rPr>
              <w:t xml:space="preserve">   否</w:t>
            </w:r>
            <w:r>
              <w:rPr>
                <w:rFonts w:ascii="Wingdings 2" w:hAnsi="Wingdings 2" w:eastAsia="宋体" w:cs="宋体"/>
                <w:color w:val="000000"/>
                <w:sz w:val="22"/>
                <w:szCs w:val="22"/>
                <w:highlight w:val="none"/>
              </w:rPr>
              <w:t></w:t>
            </w:r>
          </w:p>
        </w:tc>
      </w:tr>
      <w:tr>
        <w:tblPrEx>
          <w:tblCellMar>
            <w:top w:w="0" w:type="dxa"/>
            <w:left w:w="108" w:type="dxa"/>
            <w:bottom w:w="0" w:type="dxa"/>
            <w:right w:w="108" w:type="dxa"/>
          </w:tblCellMar>
        </w:tblPrEx>
        <w:trPr>
          <w:trHeight w:val="664" w:hRule="atLeast"/>
        </w:trPr>
        <w:tc>
          <w:tcPr>
            <w:tcW w:w="860" w:type="dxa"/>
            <w:tcBorders>
              <w:top w:val="nil"/>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序号</w:t>
            </w:r>
          </w:p>
        </w:tc>
        <w:tc>
          <w:tcPr>
            <w:tcW w:w="6120"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检查内容</w:t>
            </w:r>
          </w:p>
        </w:tc>
        <w:tc>
          <w:tcPr>
            <w:tcW w:w="2674" w:type="dxa"/>
            <w:tcBorders>
              <w:top w:val="nil"/>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检查结果</w:t>
            </w:r>
          </w:p>
        </w:tc>
      </w:tr>
      <w:tr>
        <w:tblPrEx>
          <w:tblCellMar>
            <w:top w:w="0" w:type="dxa"/>
            <w:left w:w="108" w:type="dxa"/>
            <w:bottom w:w="0" w:type="dxa"/>
            <w:right w:w="108" w:type="dxa"/>
          </w:tblCellMar>
        </w:tblPrEx>
        <w:trPr>
          <w:trHeight w:val="799"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1</w:t>
            </w:r>
          </w:p>
        </w:tc>
        <w:tc>
          <w:tcPr>
            <w:tcW w:w="6120" w:type="dxa"/>
            <w:gridSpan w:val="2"/>
            <w:tcBorders>
              <w:top w:val="single" w:color="auto" w:sz="4" w:space="0"/>
              <w:left w:val="nil"/>
              <w:bottom w:val="single" w:color="auto" w:sz="4" w:space="0"/>
              <w:right w:val="single" w:color="000000"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回填水泥稳定砂砾基层符合合同要求。</w:t>
            </w:r>
          </w:p>
        </w:tc>
        <w:tc>
          <w:tcPr>
            <w:tcW w:w="2674"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是</w:t>
            </w:r>
            <w:r>
              <w:rPr>
                <w:rFonts w:ascii="Wingdings 2" w:hAnsi="Wingdings 2" w:eastAsia="宋体" w:cs="宋体"/>
                <w:color w:val="000000"/>
                <w:sz w:val="22"/>
                <w:szCs w:val="22"/>
                <w:highlight w:val="none"/>
              </w:rPr>
              <w:t></w:t>
            </w:r>
            <w:r>
              <w:rPr>
                <w:rFonts w:hint="eastAsia" w:ascii="宋体" w:hAnsi="宋体" w:eastAsia="宋体" w:cs="宋体"/>
                <w:color w:val="000000"/>
                <w:sz w:val="22"/>
                <w:szCs w:val="22"/>
                <w:highlight w:val="none"/>
              </w:rPr>
              <w:t xml:space="preserve"> 否</w:t>
            </w:r>
            <w:r>
              <w:rPr>
                <w:rFonts w:ascii="Wingdings 2" w:hAnsi="Wingdings 2" w:eastAsia="宋体" w:cs="宋体"/>
                <w:color w:val="000000"/>
                <w:sz w:val="22"/>
                <w:szCs w:val="22"/>
                <w:highlight w:val="none"/>
              </w:rPr>
              <w:t></w:t>
            </w:r>
          </w:p>
        </w:tc>
      </w:tr>
      <w:tr>
        <w:tblPrEx>
          <w:tblCellMar>
            <w:top w:w="0" w:type="dxa"/>
            <w:left w:w="108" w:type="dxa"/>
            <w:bottom w:w="0" w:type="dxa"/>
            <w:right w:w="108" w:type="dxa"/>
          </w:tblCellMar>
        </w:tblPrEx>
        <w:trPr>
          <w:trHeight w:val="799"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2</w:t>
            </w:r>
          </w:p>
        </w:tc>
        <w:tc>
          <w:tcPr>
            <w:tcW w:w="6120" w:type="dxa"/>
            <w:gridSpan w:val="2"/>
            <w:tcBorders>
              <w:top w:val="single" w:color="auto" w:sz="4" w:space="0"/>
              <w:left w:val="nil"/>
              <w:bottom w:val="single" w:color="auto" w:sz="4" w:space="0"/>
              <w:right w:val="single" w:color="000000"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回填混凝土保护层符合合同要求。</w:t>
            </w:r>
          </w:p>
        </w:tc>
        <w:tc>
          <w:tcPr>
            <w:tcW w:w="2674"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是</w:t>
            </w:r>
            <w:r>
              <w:rPr>
                <w:rFonts w:ascii="Wingdings 2" w:hAnsi="Wingdings 2" w:eastAsia="宋体" w:cs="宋体"/>
                <w:color w:val="000000"/>
                <w:sz w:val="22"/>
                <w:szCs w:val="22"/>
                <w:highlight w:val="none"/>
              </w:rPr>
              <w:t></w:t>
            </w:r>
            <w:r>
              <w:rPr>
                <w:rFonts w:hint="eastAsia" w:ascii="宋体" w:hAnsi="宋体" w:eastAsia="宋体" w:cs="宋体"/>
                <w:color w:val="000000"/>
                <w:sz w:val="22"/>
                <w:szCs w:val="22"/>
                <w:highlight w:val="none"/>
              </w:rPr>
              <w:t xml:space="preserve"> 否</w:t>
            </w:r>
            <w:r>
              <w:rPr>
                <w:rFonts w:ascii="Wingdings 2" w:hAnsi="Wingdings 2" w:eastAsia="宋体" w:cs="宋体"/>
                <w:color w:val="000000"/>
                <w:sz w:val="22"/>
                <w:szCs w:val="22"/>
                <w:highlight w:val="none"/>
              </w:rPr>
              <w:t></w:t>
            </w:r>
          </w:p>
        </w:tc>
      </w:tr>
      <w:tr>
        <w:tblPrEx>
          <w:tblCellMar>
            <w:top w:w="0" w:type="dxa"/>
            <w:left w:w="108" w:type="dxa"/>
            <w:bottom w:w="0" w:type="dxa"/>
            <w:right w:w="108" w:type="dxa"/>
          </w:tblCellMar>
        </w:tblPrEx>
        <w:trPr>
          <w:trHeight w:val="799"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3</w:t>
            </w:r>
          </w:p>
        </w:tc>
        <w:tc>
          <w:tcPr>
            <w:tcW w:w="6120" w:type="dxa"/>
            <w:gridSpan w:val="2"/>
            <w:tcBorders>
              <w:top w:val="single" w:color="auto" w:sz="4" w:space="0"/>
              <w:left w:val="nil"/>
              <w:bottom w:val="single" w:color="auto" w:sz="4" w:space="0"/>
              <w:right w:val="single" w:color="000000"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路面硬化层符合合同要求。</w:t>
            </w:r>
          </w:p>
        </w:tc>
        <w:tc>
          <w:tcPr>
            <w:tcW w:w="2674"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是</w:t>
            </w:r>
            <w:r>
              <w:rPr>
                <w:rFonts w:ascii="Wingdings 2" w:hAnsi="Wingdings 2" w:eastAsia="宋体" w:cs="宋体"/>
                <w:color w:val="000000"/>
                <w:sz w:val="22"/>
                <w:szCs w:val="22"/>
                <w:highlight w:val="none"/>
              </w:rPr>
              <w:t></w:t>
            </w:r>
            <w:r>
              <w:rPr>
                <w:rFonts w:hint="eastAsia" w:ascii="宋体" w:hAnsi="宋体" w:eastAsia="宋体" w:cs="宋体"/>
                <w:color w:val="000000"/>
                <w:sz w:val="22"/>
                <w:szCs w:val="22"/>
                <w:highlight w:val="none"/>
              </w:rPr>
              <w:t xml:space="preserve"> 否</w:t>
            </w:r>
            <w:r>
              <w:rPr>
                <w:rFonts w:ascii="Wingdings 2" w:hAnsi="Wingdings 2" w:eastAsia="宋体" w:cs="宋体"/>
                <w:color w:val="000000"/>
                <w:sz w:val="22"/>
                <w:szCs w:val="22"/>
                <w:highlight w:val="none"/>
              </w:rPr>
              <w:t></w:t>
            </w:r>
          </w:p>
        </w:tc>
      </w:tr>
      <w:tr>
        <w:tblPrEx>
          <w:tblCellMar>
            <w:top w:w="0" w:type="dxa"/>
            <w:left w:w="108" w:type="dxa"/>
            <w:bottom w:w="0" w:type="dxa"/>
            <w:right w:w="108" w:type="dxa"/>
          </w:tblCellMar>
        </w:tblPrEx>
        <w:trPr>
          <w:trHeight w:val="799"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4</w:t>
            </w:r>
          </w:p>
        </w:tc>
        <w:tc>
          <w:tcPr>
            <w:tcW w:w="6120" w:type="dxa"/>
            <w:gridSpan w:val="2"/>
            <w:tcBorders>
              <w:top w:val="single" w:color="auto" w:sz="4" w:space="0"/>
              <w:left w:val="nil"/>
              <w:bottom w:val="single" w:color="auto" w:sz="4" w:space="0"/>
              <w:right w:val="single" w:color="000000"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中粒式沥青混凝土路面符合合同要求。</w:t>
            </w:r>
          </w:p>
        </w:tc>
        <w:tc>
          <w:tcPr>
            <w:tcW w:w="2674"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是</w:t>
            </w:r>
            <w:r>
              <w:rPr>
                <w:rFonts w:ascii="Wingdings 2" w:hAnsi="Wingdings 2" w:eastAsia="宋体" w:cs="宋体"/>
                <w:color w:val="000000"/>
                <w:sz w:val="22"/>
                <w:szCs w:val="22"/>
                <w:highlight w:val="none"/>
              </w:rPr>
              <w:t></w:t>
            </w:r>
            <w:r>
              <w:rPr>
                <w:rFonts w:hint="eastAsia" w:ascii="宋体" w:hAnsi="宋体" w:eastAsia="宋体" w:cs="宋体"/>
                <w:color w:val="000000"/>
                <w:sz w:val="22"/>
                <w:szCs w:val="22"/>
                <w:highlight w:val="none"/>
              </w:rPr>
              <w:t xml:space="preserve"> 否</w:t>
            </w:r>
            <w:r>
              <w:rPr>
                <w:rFonts w:ascii="Wingdings 2" w:hAnsi="Wingdings 2" w:eastAsia="宋体" w:cs="宋体"/>
                <w:color w:val="000000"/>
                <w:sz w:val="22"/>
                <w:szCs w:val="22"/>
                <w:highlight w:val="none"/>
              </w:rPr>
              <w:t></w:t>
            </w:r>
          </w:p>
        </w:tc>
      </w:tr>
      <w:tr>
        <w:tblPrEx>
          <w:tblCellMar>
            <w:top w:w="0" w:type="dxa"/>
            <w:left w:w="108" w:type="dxa"/>
            <w:bottom w:w="0" w:type="dxa"/>
            <w:right w:w="108" w:type="dxa"/>
          </w:tblCellMar>
        </w:tblPrEx>
        <w:trPr>
          <w:trHeight w:val="799"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5</w:t>
            </w:r>
          </w:p>
        </w:tc>
        <w:tc>
          <w:tcPr>
            <w:tcW w:w="6120" w:type="dxa"/>
            <w:gridSpan w:val="2"/>
            <w:tcBorders>
              <w:top w:val="single" w:color="auto" w:sz="4" w:space="0"/>
              <w:left w:val="nil"/>
              <w:bottom w:val="single" w:color="auto" w:sz="4" w:space="0"/>
              <w:right w:val="single" w:color="000000"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草坪及透水砖恢复符合合同要求。</w:t>
            </w:r>
          </w:p>
        </w:tc>
        <w:tc>
          <w:tcPr>
            <w:tcW w:w="2674"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是</w:t>
            </w:r>
            <w:r>
              <w:rPr>
                <w:rFonts w:ascii="Wingdings 2" w:hAnsi="Wingdings 2" w:eastAsia="宋体" w:cs="宋体"/>
                <w:color w:val="000000"/>
                <w:sz w:val="22"/>
                <w:szCs w:val="22"/>
                <w:highlight w:val="none"/>
              </w:rPr>
              <w:t></w:t>
            </w:r>
            <w:r>
              <w:rPr>
                <w:rFonts w:hint="eastAsia" w:ascii="宋体" w:hAnsi="宋体" w:eastAsia="宋体" w:cs="宋体"/>
                <w:color w:val="000000"/>
                <w:sz w:val="22"/>
                <w:szCs w:val="22"/>
                <w:highlight w:val="none"/>
              </w:rPr>
              <w:t xml:space="preserve"> 否</w:t>
            </w:r>
            <w:r>
              <w:rPr>
                <w:rFonts w:ascii="Wingdings 2" w:hAnsi="Wingdings 2" w:eastAsia="宋体" w:cs="宋体"/>
                <w:color w:val="000000"/>
                <w:sz w:val="22"/>
                <w:szCs w:val="22"/>
                <w:highlight w:val="none"/>
              </w:rPr>
              <w:t></w:t>
            </w:r>
          </w:p>
        </w:tc>
      </w:tr>
      <w:tr>
        <w:tblPrEx>
          <w:tblCellMar>
            <w:top w:w="0" w:type="dxa"/>
            <w:left w:w="108" w:type="dxa"/>
            <w:bottom w:w="0" w:type="dxa"/>
            <w:right w:w="108" w:type="dxa"/>
          </w:tblCellMar>
        </w:tblPrEx>
        <w:trPr>
          <w:trHeight w:val="799"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6</w:t>
            </w:r>
          </w:p>
        </w:tc>
        <w:tc>
          <w:tcPr>
            <w:tcW w:w="6120" w:type="dxa"/>
            <w:gridSpan w:val="2"/>
            <w:tcBorders>
              <w:top w:val="single" w:color="auto" w:sz="4" w:space="0"/>
              <w:left w:val="nil"/>
              <w:bottom w:val="single" w:color="auto" w:sz="4" w:space="0"/>
              <w:right w:val="single" w:color="000000"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整体恢复美观。</w:t>
            </w:r>
          </w:p>
        </w:tc>
        <w:tc>
          <w:tcPr>
            <w:tcW w:w="2674"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是</w:t>
            </w:r>
            <w:r>
              <w:rPr>
                <w:rFonts w:ascii="Wingdings 2" w:hAnsi="Wingdings 2" w:eastAsia="宋体" w:cs="宋体"/>
                <w:color w:val="000000"/>
                <w:sz w:val="22"/>
                <w:szCs w:val="22"/>
                <w:highlight w:val="none"/>
              </w:rPr>
              <w:t></w:t>
            </w:r>
            <w:r>
              <w:rPr>
                <w:rFonts w:hint="eastAsia" w:ascii="宋体" w:hAnsi="宋体" w:eastAsia="宋体" w:cs="宋体"/>
                <w:color w:val="000000"/>
                <w:sz w:val="22"/>
                <w:szCs w:val="22"/>
                <w:highlight w:val="none"/>
              </w:rPr>
              <w:t xml:space="preserve"> 否</w:t>
            </w:r>
            <w:r>
              <w:rPr>
                <w:rFonts w:ascii="Wingdings 2" w:hAnsi="Wingdings 2" w:eastAsia="宋体" w:cs="宋体"/>
                <w:color w:val="000000"/>
                <w:sz w:val="22"/>
                <w:szCs w:val="22"/>
                <w:highlight w:val="none"/>
              </w:rPr>
              <w:t></w:t>
            </w:r>
          </w:p>
        </w:tc>
      </w:tr>
      <w:tr>
        <w:tblPrEx>
          <w:tblCellMar>
            <w:top w:w="0" w:type="dxa"/>
            <w:left w:w="108" w:type="dxa"/>
            <w:bottom w:w="0" w:type="dxa"/>
            <w:right w:w="108" w:type="dxa"/>
          </w:tblCellMar>
        </w:tblPrEx>
        <w:trPr>
          <w:trHeight w:val="603" w:hRule="atLeast"/>
        </w:trPr>
        <w:tc>
          <w:tcPr>
            <w:tcW w:w="1560" w:type="dxa"/>
            <w:gridSpan w:val="2"/>
            <w:vMerge w:val="restart"/>
            <w:tcBorders>
              <w:top w:val="single" w:color="auto" w:sz="4" w:space="0"/>
              <w:left w:val="single" w:color="auto" w:sz="4" w:space="0"/>
              <w:bottom w:val="single" w:color="000000" w:sz="4" w:space="0"/>
              <w:right w:val="single" w:color="000000"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b/>
                <w:bCs/>
                <w:color w:val="000000"/>
                <w:sz w:val="22"/>
                <w:szCs w:val="22"/>
                <w:highlight w:val="none"/>
              </w:rPr>
            </w:pPr>
            <w:r>
              <w:rPr>
                <w:rFonts w:hint="eastAsia" w:ascii="宋体" w:hAnsi="宋体" w:eastAsia="宋体" w:cs="宋体"/>
                <w:b/>
                <w:bCs/>
                <w:color w:val="000000"/>
                <w:sz w:val="22"/>
                <w:szCs w:val="22"/>
                <w:highlight w:val="none"/>
              </w:rPr>
              <w:t>施工单位</w:t>
            </w:r>
          </w:p>
        </w:tc>
        <w:tc>
          <w:tcPr>
            <w:tcW w:w="542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施工人员：</w:t>
            </w:r>
          </w:p>
        </w:tc>
        <w:tc>
          <w:tcPr>
            <w:tcW w:w="2674"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 </w:t>
            </w:r>
          </w:p>
        </w:tc>
      </w:tr>
      <w:tr>
        <w:tblPrEx>
          <w:tblCellMar>
            <w:top w:w="0" w:type="dxa"/>
            <w:left w:w="108" w:type="dxa"/>
            <w:bottom w:w="0" w:type="dxa"/>
            <w:right w:w="108" w:type="dxa"/>
          </w:tblCellMar>
        </w:tblPrEx>
        <w:trPr>
          <w:trHeight w:val="644" w:hRule="atLeast"/>
        </w:trPr>
        <w:tc>
          <w:tcPr>
            <w:tcW w:w="1560" w:type="dxa"/>
            <w:gridSpan w:val="2"/>
            <w:vMerge w:val="continue"/>
            <w:tcBorders>
              <w:top w:val="single" w:color="auto" w:sz="4" w:space="0"/>
              <w:left w:val="single" w:color="auto" w:sz="4" w:space="0"/>
              <w:bottom w:val="single" w:color="000000" w:sz="4" w:space="0"/>
              <w:right w:val="single" w:color="000000" w:sz="4" w:space="0"/>
            </w:tcBorders>
            <w:vAlign w:val="center"/>
          </w:tcPr>
          <w:p>
            <w:pPr>
              <w:shd w:val="clear"/>
              <w:spacing w:before="0" w:after="0" w:afterAutospacing="0" w:line="240" w:lineRule="auto"/>
              <w:ind w:left="0" w:right="0" w:firstLine="0"/>
              <w:jc w:val="left"/>
              <w:rPr>
                <w:rFonts w:ascii="宋体" w:hAnsi="宋体" w:eastAsia="宋体" w:cs="宋体"/>
                <w:b/>
                <w:bCs/>
                <w:color w:val="000000"/>
                <w:sz w:val="22"/>
                <w:szCs w:val="22"/>
                <w:highlight w:val="none"/>
              </w:rPr>
            </w:pPr>
          </w:p>
        </w:tc>
        <w:tc>
          <w:tcPr>
            <w:tcW w:w="542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项目负责人：</w:t>
            </w:r>
          </w:p>
        </w:tc>
        <w:tc>
          <w:tcPr>
            <w:tcW w:w="2674"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 </w:t>
            </w:r>
          </w:p>
        </w:tc>
      </w:tr>
      <w:tr>
        <w:tblPrEx>
          <w:tblCellMar>
            <w:top w:w="0" w:type="dxa"/>
            <w:left w:w="108" w:type="dxa"/>
            <w:bottom w:w="0" w:type="dxa"/>
            <w:right w:w="108" w:type="dxa"/>
          </w:tblCellMar>
        </w:tblPrEx>
        <w:trPr>
          <w:trHeight w:val="683" w:hRule="atLeast"/>
        </w:trPr>
        <w:tc>
          <w:tcPr>
            <w:tcW w:w="1560" w:type="dxa"/>
            <w:gridSpan w:val="2"/>
            <w:vMerge w:val="restart"/>
            <w:tcBorders>
              <w:top w:val="single" w:color="auto" w:sz="4" w:space="0"/>
              <w:left w:val="single" w:color="auto" w:sz="4" w:space="0"/>
              <w:bottom w:val="single" w:color="000000" w:sz="4" w:space="0"/>
              <w:right w:val="single" w:color="000000"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b/>
                <w:bCs/>
                <w:color w:val="000000"/>
                <w:sz w:val="22"/>
                <w:szCs w:val="22"/>
                <w:highlight w:val="none"/>
              </w:rPr>
            </w:pPr>
            <w:r>
              <w:rPr>
                <w:rFonts w:hint="eastAsia" w:ascii="宋体" w:hAnsi="宋体" w:eastAsia="宋体" w:cs="宋体"/>
                <w:b/>
                <w:bCs/>
                <w:color w:val="000000"/>
                <w:sz w:val="22"/>
                <w:szCs w:val="22"/>
                <w:highlight w:val="none"/>
              </w:rPr>
              <w:t>检查单位</w:t>
            </w:r>
          </w:p>
        </w:tc>
        <w:tc>
          <w:tcPr>
            <w:tcW w:w="542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检查人员：</w:t>
            </w:r>
          </w:p>
        </w:tc>
        <w:tc>
          <w:tcPr>
            <w:tcW w:w="2674"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 </w:t>
            </w:r>
          </w:p>
        </w:tc>
      </w:tr>
      <w:tr>
        <w:tblPrEx>
          <w:tblCellMar>
            <w:top w:w="0" w:type="dxa"/>
            <w:left w:w="108" w:type="dxa"/>
            <w:bottom w:w="0" w:type="dxa"/>
            <w:right w:w="108" w:type="dxa"/>
          </w:tblCellMar>
        </w:tblPrEx>
        <w:trPr>
          <w:trHeight w:val="632" w:hRule="atLeast"/>
        </w:trPr>
        <w:tc>
          <w:tcPr>
            <w:tcW w:w="1560" w:type="dxa"/>
            <w:gridSpan w:val="2"/>
            <w:vMerge w:val="continue"/>
            <w:tcBorders>
              <w:top w:val="single" w:color="auto" w:sz="4" w:space="0"/>
              <w:left w:val="single" w:color="auto" w:sz="4" w:space="0"/>
              <w:bottom w:val="single" w:color="000000" w:sz="4" w:space="0"/>
              <w:right w:val="single" w:color="000000" w:sz="4" w:space="0"/>
            </w:tcBorders>
            <w:vAlign w:val="center"/>
          </w:tcPr>
          <w:p>
            <w:pPr>
              <w:shd w:val="clear"/>
              <w:spacing w:before="0" w:after="0" w:afterAutospacing="0" w:line="240" w:lineRule="auto"/>
              <w:ind w:left="0" w:right="0" w:firstLine="0"/>
              <w:jc w:val="left"/>
              <w:rPr>
                <w:rFonts w:ascii="宋体" w:hAnsi="宋体" w:eastAsia="宋体" w:cs="宋体"/>
                <w:b/>
                <w:bCs/>
                <w:color w:val="000000"/>
                <w:sz w:val="22"/>
                <w:szCs w:val="22"/>
                <w:highlight w:val="none"/>
              </w:rPr>
            </w:pPr>
          </w:p>
        </w:tc>
        <w:tc>
          <w:tcPr>
            <w:tcW w:w="542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工班长：</w:t>
            </w:r>
          </w:p>
        </w:tc>
        <w:tc>
          <w:tcPr>
            <w:tcW w:w="2674"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 </w:t>
            </w:r>
          </w:p>
        </w:tc>
      </w:tr>
      <w:tr>
        <w:tblPrEx>
          <w:tblCellMar>
            <w:top w:w="0" w:type="dxa"/>
            <w:left w:w="108" w:type="dxa"/>
            <w:bottom w:w="0" w:type="dxa"/>
            <w:right w:w="108" w:type="dxa"/>
          </w:tblCellMar>
        </w:tblPrEx>
        <w:trPr>
          <w:trHeight w:val="692" w:hRule="atLeast"/>
        </w:trPr>
        <w:tc>
          <w:tcPr>
            <w:tcW w:w="1560" w:type="dxa"/>
            <w:gridSpan w:val="2"/>
            <w:vMerge w:val="continue"/>
            <w:tcBorders>
              <w:top w:val="single" w:color="auto" w:sz="4" w:space="0"/>
              <w:left w:val="single" w:color="auto" w:sz="4" w:space="0"/>
              <w:bottom w:val="single" w:color="000000" w:sz="4" w:space="0"/>
              <w:right w:val="single" w:color="000000" w:sz="4" w:space="0"/>
            </w:tcBorders>
            <w:vAlign w:val="center"/>
          </w:tcPr>
          <w:p>
            <w:pPr>
              <w:shd w:val="clear"/>
              <w:spacing w:before="0" w:after="0" w:afterAutospacing="0" w:line="240" w:lineRule="auto"/>
              <w:ind w:left="0" w:right="0" w:firstLine="0"/>
              <w:jc w:val="left"/>
              <w:rPr>
                <w:rFonts w:ascii="宋体" w:hAnsi="宋体" w:eastAsia="宋体" w:cs="宋体"/>
                <w:b/>
                <w:bCs/>
                <w:color w:val="000000"/>
                <w:sz w:val="22"/>
                <w:szCs w:val="22"/>
                <w:highlight w:val="none"/>
              </w:rPr>
            </w:pPr>
          </w:p>
        </w:tc>
        <w:tc>
          <w:tcPr>
            <w:tcW w:w="542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技术主办：</w:t>
            </w:r>
          </w:p>
        </w:tc>
        <w:tc>
          <w:tcPr>
            <w:tcW w:w="2674"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 </w:t>
            </w:r>
          </w:p>
        </w:tc>
      </w:tr>
    </w:tbl>
    <w:p>
      <w:pPr>
        <w:shd w:val="clear"/>
        <w:spacing w:before="0" w:after="0" w:afterAutospacing="0" w:line="415" w:lineRule="auto"/>
        <w:ind w:left="0" w:right="-27" w:firstLine="0"/>
        <w:jc w:val="both"/>
        <w:outlineLvl w:val="1"/>
        <w:rPr>
          <w:rFonts w:cs="Times New Roman" w:asciiTheme="minorEastAsia" w:hAnsiTheme="minorEastAsia" w:eastAsiaTheme="minorEastAsia"/>
          <w:b/>
          <w:bCs/>
          <w:sz w:val="32"/>
          <w:szCs w:val="32"/>
          <w:highlight w:val="none"/>
          <w:lang w:val="en-US" w:eastAsia="zh-CN" w:bidi="ar-SA"/>
        </w:rPr>
      </w:pPr>
      <w:bookmarkStart w:id="1548" w:name="_Toc137824320"/>
      <w:r>
        <w:rPr>
          <w:rFonts w:hint="eastAsia" w:cs="Times New Roman" w:asciiTheme="minorEastAsia" w:hAnsiTheme="minorEastAsia" w:eastAsiaTheme="minorEastAsia"/>
          <w:b/>
          <w:bCs/>
          <w:sz w:val="21"/>
          <w:szCs w:val="21"/>
          <w:highlight w:val="none"/>
          <w:lang w:val="en-US" w:eastAsia="zh-CN" w:bidi="ar-SA"/>
        </w:rPr>
        <w:t>附件8：项目使用功能测试记录表</w:t>
      </w:r>
      <w:bookmarkEnd w:id="1548"/>
    </w:p>
    <w:tbl>
      <w:tblPr>
        <w:tblStyle w:val="28"/>
        <w:tblW w:w="9720" w:type="dxa"/>
        <w:tblInd w:w="93" w:type="dxa"/>
        <w:tblLayout w:type="autofit"/>
        <w:tblCellMar>
          <w:top w:w="0" w:type="dxa"/>
          <w:left w:w="108" w:type="dxa"/>
          <w:bottom w:w="0" w:type="dxa"/>
          <w:right w:w="108" w:type="dxa"/>
        </w:tblCellMar>
      </w:tblPr>
      <w:tblGrid>
        <w:gridCol w:w="1740"/>
        <w:gridCol w:w="3000"/>
        <w:gridCol w:w="2320"/>
        <w:gridCol w:w="2660"/>
      </w:tblGrid>
      <w:tr>
        <w:tblPrEx>
          <w:tblCellMar>
            <w:top w:w="0" w:type="dxa"/>
            <w:left w:w="108" w:type="dxa"/>
            <w:bottom w:w="0" w:type="dxa"/>
            <w:right w:w="108" w:type="dxa"/>
          </w:tblCellMar>
        </w:tblPrEx>
        <w:trPr>
          <w:trHeight w:val="739" w:hRule="atLeast"/>
        </w:trPr>
        <w:tc>
          <w:tcPr>
            <w:tcW w:w="9720" w:type="dxa"/>
            <w:gridSpan w:val="4"/>
            <w:tcBorders>
              <w:top w:val="nil"/>
              <w:left w:val="nil"/>
              <w:bottom w:val="nil"/>
              <w:right w:val="nil"/>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b/>
                <w:bCs/>
                <w:color w:val="000000"/>
                <w:sz w:val="28"/>
                <w:szCs w:val="28"/>
                <w:highlight w:val="none"/>
              </w:rPr>
            </w:pPr>
            <w:r>
              <w:rPr>
                <w:rFonts w:hint="eastAsia" w:ascii="宋体" w:hAnsi="宋体" w:eastAsia="宋体" w:cs="宋体"/>
                <w:b/>
                <w:bCs/>
                <w:color w:val="000000"/>
                <w:sz w:val="28"/>
                <w:szCs w:val="28"/>
                <w:highlight w:val="none"/>
              </w:rPr>
              <w:t>项目使用功能测试记录表</w:t>
            </w:r>
          </w:p>
        </w:tc>
      </w:tr>
      <w:tr>
        <w:tblPrEx>
          <w:tblCellMar>
            <w:top w:w="0" w:type="dxa"/>
            <w:left w:w="108" w:type="dxa"/>
            <w:bottom w:w="0" w:type="dxa"/>
            <w:right w:w="108" w:type="dxa"/>
          </w:tblCellMar>
        </w:tblPrEx>
        <w:trPr>
          <w:trHeight w:val="1140" w:hRule="atLeast"/>
        </w:trPr>
        <w:tc>
          <w:tcPr>
            <w:tcW w:w="1740"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项目名称、编号及合同编号</w:t>
            </w:r>
          </w:p>
        </w:tc>
        <w:tc>
          <w:tcPr>
            <w:tcW w:w="7980" w:type="dxa"/>
            <w:gridSpan w:val="3"/>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项目名称:</w:t>
            </w:r>
            <w:r>
              <w:rPr>
                <w:rFonts w:hint="eastAsia" w:ascii="宋体" w:hAnsi="宋体" w:eastAsia="宋体" w:cs="宋体"/>
                <w:color w:val="000000"/>
                <w:sz w:val="22"/>
                <w:szCs w:val="22"/>
                <w:highlight w:val="none"/>
              </w:rPr>
              <w:br w:type="textWrapping"/>
            </w:r>
            <w:r>
              <w:rPr>
                <w:rFonts w:hint="eastAsia" w:ascii="宋体" w:hAnsi="宋体" w:eastAsia="宋体" w:cs="宋体"/>
                <w:color w:val="000000"/>
                <w:sz w:val="22"/>
                <w:szCs w:val="22"/>
                <w:highlight w:val="none"/>
              </w:rPr>
              <w:t>项目编号：</w:t>
            </w:r>
            <w:r>
              <w:rPr>
                <w:rFonts w:hint="eastAsia" w:ascii="宋体" w:hAnsi="宋体" w:eastAsia="宋体" w:cs="宋体"/>
                <w:color w:val="000000"/>
                <w:sz w:val="22"/>
                <w:szCs w:val="22"/>
                <w:highlight w:val="none"/>
              </w:rPr>
              <w:br w:type="textWrapping"/>
            </w:r>
            <w:r>
              <w:rPr>
                <w:rFonts w:hint="eastAsia" w:ascii="宋体" w:hAnsi="宋体" w:eastAsia="宋体" w:cs="宋体"/>
                <w:color w:val="000000"/>
                <w:sz w:val="22"/>
                <w:szCs w:val="22"/>
                <w:highlight w:val="none"/>
              </w:rPr>
              <w:t>合同编号：</w:t>
            </w:r>
          </w:p>
        </w:tc>
      </w:tr>
      <w:tr>
        <w:tblPrEx>
          <w:tblCellMar>
            <w:top w:w="0" w:type="dxa"/>
            <w:left w:w="108" w:type="dxa"/>
            <w:bottom w:w="0" w:type="dxa"/>
            <w:right w:w="108" w:type="dxa"/>
          </w:tblCellMar>
        </w:tblPrEx>
        <w:trPr>
          <w:trHeight w:val="499" w:hRule="atLeast"/>
        </w:trPr>
        <w:tc>
          <w:tcPr>
            <w:tcW w:w="1740" w:type="dxa"/>
            <w:tcBorders>
              <w:top w:val="nil"/>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项目地点</w:t>
            </w:r>
          </w:p>
        </w:tc>
        <w:tc>
          <w:tcPr>
            <w:tcW w:w="7980" w:type="dxa"/>
            <w:gridSpan w:val="3"/>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w:t>
            </w:r>
          </w:p>
        </w:tc>
      </w:tr>
      <w:tr>
        <w:tblPrEx>
          <w:tblCellMar>
            <w:top w:w="0" w:type="dxa"/>
            <w:left w:w="108" w:type="dxa"/>
            <w:bottom w:w="0" w:type="dxa"/>
            <w:right w:w="108" w:type="dxa"/>
          </w:tblCellMar>
        </w:tblPrEx>
        <w:trPr>
          <w:trHeight w:val="499" w:hRule="atLeast"/>
        </w:trPr>
        <w:tc>
          <w:tcPr>
            <w:tcW w:w="1740" w:type="dxa"/>
            <w:tcBorders>
              <w:top w:val="nil"/>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施工单位</w:t>
            </w:r>
          </w:p>
        </w:tc>
        <w:tc>
          <w:tcPr>
            <w:tcW w:w="7980" w:type="dxa"/>
            <w:gridSpan w:val="3"/>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w:t>
            </w:r>
          </w:p>
        </w:tc>
      </w:tr>
      <w:tr>
        <w:tblPrEx>
          <w:tblCellMar>
            <w:top w:w="0" w:type="dxa"/>
            <w:left w:w="108" w:type="dxa"/>
            <w:bottom w:w="0" w:type="dxa"/>
            <w:right w:w="108" w:type="dxa"/>
          </w:tblCellMar>
        </w:tblPrEx>
        <w:trPr>
          <w:trHeight w:val="499" w:hRule="atLeast"/>
        </w:trPr>
        <w:tc>
          <w:tcPr>
            <w:tcW w:w="1740" w:type="dxa"/>
            <w:tcBorders>
              <w:top w:val="nil"/>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检查单位</w:t>
            </w:r>
          </w:p>
        </w:tc>
        <w:tc>
          <w:tcPr>
            <w:tcW w:w="7980" w:type="dxa"/>
            <w:gridSpan w:val="3"/>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w:t>
            </w:r>
          </w:p>
        </w:tc>
      </w:tr>
      <w:tr>
        <w:tblPrEx>
          <w:tblCellMar>
            <w:top w:w="0" w:type="dxa"/>
            <w:left w:w="108" w:type="dxa"/>
            <w:bottom w:w="0" w:type="dxa"/>
            <w:right w:w="108" w:type="dxa"/>
          </w:tblCellMar>
        </w:tblPrEx>
        <w:trPr>
          <w:trHeight w:val="1140" w:hRule="atLeast"/>
        </w:trPr>
        <w:tc>
          <w:tcPr>
            <w:tcW w:w="174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质量控制资料</w:t>
            </w:r>
          </w:p>
        </w:tc>
        <w:tc>
          <w:tcPr>
            <w:tcW w:w="5320"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项目设施安装质量检查表、喷淋管道试压记录报告、项目冲洗记录表、项目管道防腐及隐蔽前工程检查表、项目隐蔽工程检查表</w:t>
            </w:r>
          </w:p>
        </w:tc>
        <w:tc>
          <w:tcPr>
            <w:tcW w:w="266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是否完成   是</w:t>
            </w:r>
            <w:r>
              <w:rPr>
                <w:rFonts w:ascii="Wingdings 2" w:hAnsi="Wingdings 2" w:eastAsia="宋体" w:cs="宋体"/>
                <w:color w:val="000000"/>
                <w:sz w:val="22"/>
                <w:szCs w:val="22"/>
                <w:highlight w:val="none"/>
              </w:rPr>
              <w:t></w:t>
            </w:r>
            <w:r>
              <w:rPr>
                <w:rFonts w:hint="eastAsia" w:ascii="宋体" w:hAnsi="宋体" w:eastAsia="宋体" w:cs="宋体"/>
                <w:color w:val="000000"/>
                <w:sz w:val="22"/>
                <w:szCs w:val="22"/>
                <w:highlight w:val="none"/>
              </w:rPr>
              <w:t xml:space="preserve">   否</w:t>
            </w:r>
            <w:r>
              <w:rPr>
                <w:rFonts w:ascii="Wingdings 2" w:hAnsi="Wingdings 2" w:eastAsia="宋体" w:cs="宋体"/>
                <w:color w:val="000000"/>
                <w:sz w:val="22"/>
                <w:szCs w:val="22"/>
                <w:highlight w:val="none"/>
              </w:rPr>
              <w:t></w:t>
            </w:r>
          </w:p>
        </w:tc>
      </w:tr>
      <w:tr>
        <w:tblPrEx>
          <w:tblCellMar>
            <w:top w:w="0" w:type="dxa"/>
            <w:left w:w="108" w:type="dxa"/>
            <w:bottom w:w="0" w:type="dxa"/>
            <w:right w:w="108" w:type="dxa"/>
          </w:tblCellMar>
        </w:tblPrEx>
        <w:trPr>
          <w:trHeight w:val="499" w:hRule="atLeast"/>
        </w:trPr>
        <w:tc>
          <w:tcPr>
            <w:tcW w:w="1740" w:type="dxa"/>
            <w:tcBorders>
              <w:top w:val="nil"/>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序号</w:t>
            </w:r>
          </w:p>
        </w:tc>
        <w:tc>
          <w:tcPr>
            <w:tcW w:w="3000" w:type="dxa"/>
            <w:tcBorders>
              <w:top w:val="nil"/>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测试内容</w:t>
            </w:r>
          </w:p>
        </w:tc>
        <w:tc>
          <w:tcPr>
            <w:tcW w:w="4980"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测试结果</w:t>
            </w:r>
          </w:p>
        </w:tc>
      </w:tr>
      <w:tr>
        <w:tblPrEx>
          <w:tblCellMar>
            <w:top w:w="0" w:type="dxa"/>
            <w:left w:w="108" w:type="dxa"/>
            <w:bottom w:w="0" w:type="dxa"/>
            <w:right w:w="108" w:type="dxa"/>
          </w:tblCellMar>
        </w:tblPrEx>
        <w:trPr>
          <w:trHeight w:val="1279" w:hRule="atLeast"/>
        </w:trPr>
        <w:tc>
          <w:tcPr>
            <w:tcW w:w="174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1</w:t>
            </w:r>
          </w:p>
        </w:tc>
        <w:tc>
          <w:tcPr>
            <w:tcW w:w="3000" w:type="dxa"/>
            <w:tcBorders>
              <w:top w:val="nil"/>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使喷淋头受热，观察玻璃柱受热后是否破裂喷水。</w:t>
            </w:r>
          </w:p>
        </w:tc>
        <w:tc>
          <w:tcPr>
            <w:tcW w:w="4980"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w:t>
            </w:r>
          </w:p>
        </w:tc>
      </w:tr>
      <w:tr>
        <w:tblPrEx>
          <w:tblCellMar>
            <w:top w:w="0" w:type="dxa"/>
            <w:left w:w="108" w:type="dxa"/>
            <w:bottom w:w="0" w:type="dxa"/>
            <w:right w:w="108" w:type="dxa"/>
          </w:tblCellMar>
        </w:tblPrEx>
        <w:trPr>
          <w:trHeight w:val="1279" w:hRule="atLeast"/>
        </w:trPr>
        <w:tc>
          <w:tcPr>
            <w:tcW w:w="174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2</w:t>
            </w:r>
          </w:p>
        </w:tc>
        <w:tc>
          <w:tcPr>
            <w:tcW w:w="3000" w:type="dxa"/>
            <w:tcBorders>
              <w:top w:val="nil"/>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ascii="Times New Roman" w:hAnsi="Times New Roman" w:eastAsia="宋体" w:cs="Times New Roman"/>
                <w:highlight w:val="none"/>
              </w:rPr>
              <w:t>远程手动启动车位喷淋头，喷淋头玻璃柱是否破裂喷水。</w:t>
            </w:r>
          </w:p>
        </w:tc>
        <w:tc>
          <w:tcPr>
            <w:tcW w:w="4980"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p>
        </w:tc>
      </w:tr>
      <w:tr>
        <w:tblPrEx>
          <w:tblCellMar>
            <w:top w:w="0" w:type="dxa"/>
            <w:left w:w="108" w:type="dxa"/>
            <w:bottom w:w="0" w:type="dxa"/>
            <w:right w:w="108" w:type="dxa"/>
          </w:tblCellMar>
        </w:tblPrEx>
        <w:trPr>
          <w:trHeight w:val="600" w:hRule="atLeast"/>
        </w:trPr>
        <w:tc>
          <w:tcPr>
            <w:tcW w:w="1740" w:type="dxa"/>
            <w:vMerge w:val="restart"/>
            <w:tcBorders>
              <w:top w:val="nil"/>
              <w:left w:val="single" w:color="auto" w:sz="4" w:space="0"/>
              <w:bottom w:val="single" w:color="000000" w:sz="4" w:space="0"/>
              <w:right w:val="nil"/>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b/>
                <w:bCs/>
                <w:color w:val="000000"/>
                <w:sz w:val="22"/>
                <w:szCs w:val="22"/>
                <w:highlight w:val="none"/>
              </w:rPr>
            </w:pPr>
            <w:r>
              <w:rPr>
                <w:rFonts w:hint="eastAsia" w:ascii="宋体" w:hAnsi="宋体" w:eastAsia="宋体" w:cs="宋体"/>
                <w:b/>
                <w:bCs/>
                <w:color w:val="000000"/>
                <w:sz w:val="22"/>
                <w:szCs w:val="22"/>
                <w:highlight w:val="none"/>
              </w:rPr>
              <w:t>施工单位</w:t>
            </w:r>
          </w:p>
        </w:tc>
        <w:tc>
          <w:tcPr>
            <w:tcW w:w="3000" w:type="dxa"/>
            <w:tcBorders>
              <w:top w:val="nil"/>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施工人员：</w:t>
            </w:r>
          </w:p>
        </w:tc>
        <w:tc>
          <w:tcPr>
            <w:tcW w:w="4980" w:type="dxa"/>
            <w:gridSpan w:val="2"/>
            <w:tcBorders>
              <w:top w:val="single" w:color="auto" w:sz="4" w:space="0"/>
              <w:left w:val="nil"/>
              <w:bottom w:val="single" w:color="auto" w:sz="4" w:space="0"/>
              <w:right w:val="single" w:color="000000"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 </w:t>
            </w:r>
          </w:p>
        </w:tc>
      </w:tr>
      <w:tr>
        <w:tblPrEx>
          <w:tblCellMar>
            <w:top w:w="0" w:type="dxa"/>
            <w:left w:w="108" w:type="dxa"/>
            <w:bottom w:w="0" w:type="dxa"/>
            <w:right w:w="108" w:type="dxa"/>
          </w:tblCellMar>
        </w:tblPrEx>
        <w:trPr>
          <w:trHeight w:val="600" w:hRule="atLeast"/>
        </w:trPr>
        <w:tc>
          <w:tcPr>
            <w:tcW w:w="1740" w:type="dxa"/>
            <w:vMerge w:val="continue"/>
            <w:tcBorders>
              <w:top w:val="nil"/>
              <w:left w:val="single" w:color="auto" w:sz="4" w:space="0"/>
              <w:bottom w:val="single" w:color="000000" w:sz="4" w:space="0"/>
              <w:right w:val="nil"/>
            </w:tcBorders>
            <w:vAlign w:val="center"/>
          </w:tcPr>
          <w:p>
            <w:pPr>
              <w:shd w:val="clear"/>
              <w:spacing w:before="0" w:after="0" w:afterAutospacing="0" w:line="240" w:lineRule="auto"/>
              <w:ind w:left="0" w:right="0" w:firstLine="0"/>
              <w:jc w:val="left"/>
              <w:rPr>
                <w:rFonts w:ascii="宋体" w:hAnsi="宋体" w:eastAsia="宋体" w:cs="宋体"/>
                <w:b/>
                <w:bCs/>
                <w:color w:val="000000"/>
                <w:sz w:val="22"/>
                <w:szCs w:val="22"/>
                <w:highlight w:val="none"/>
              </w:rPr>
            </w:pPr>
          </w:p>
        </w:tc>
        <w:tc>
          <w:tcPr>
            <w:tcW w:w="3000" w:type="dxa"/>
            <w:tcBorders>
              <w:top w:val="nil"/>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项目负责人：</w:t>
            </w:r>
          </w:p>
        </w:tc>
        <w:tc>
          <w:tcPr>
            <w:tcW w:w="4980" w:type="dxa"/>
            <w:gridSpan w:val="2"/>
            <w:tcBorders>
              <w:top w:val="single" w:color="auto" w:sz="4" w:space="0"/>
              <w:left w:val="nil"/>
              <w:bottom w:val="single" w:color="auto" w:sz="4" w:space="0"/>
              <w:right w:val="single" w:color="000000"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 </w:t>
            </w:r>
          </w:p>
        </w:tc>
      </w:tr>
      <w:tr>
        <w:tblPrEx>
          <w:tblCellMar>
            <w:top w:w="0" w:type="dxa"/>
            <w:left w:w="108" w:type="dxa"/>
            <w:bottom w:w="0" w:type="dxa"/>
            <w:right w:w="108" w:type="dxa"/>
          </w:tblCellMar>
        </w:tblPrEx>
        <w:trPr>
          <w:trHeight w:val="600" w:hRule="atLeast"/>
        </w:trPr>
        <w:tc>
          <w:tcPr>
            <w:tcW w:w="1740" w:type="dxa"/>
            <w:vMerge w:val="restart"/>
            <w:tcBorders>
              <w:top w:val="nil"/>
              <w:left w:val="single" w:color="auto" w:sz="4" w:space="0"/>
              <w:bottom w:val="single" w:color="000000" w:sz="4" w:space="0"/>
              <w:right w:val="nil"/>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b/>
                <w:bCs/>
                <w:color w:val="000000"/>
                <w:sz w:val="22"/>
                <w:szCs w:val="22"/>
                <w:highlight w:val="none"/>
              </w:rPr>
            </w:pPr>
            <w:r>
              <w:rPr>
                <w:rFonts w:hint="eastAsia" w:ascii="宋体" w:hAnsi="宋体" w:eastAsia="宋体" w:cs="宋体"/>
                <w:b/>
                <w:bCs/>
                <w:color w:val="000000"/>
                <w:sz w:val="22"/>
                <w:szCs w:val="22"/>
                <w:highlight w:val="none"/>
              </w:rPr>
              <w:t>检查单位</w:t>
            </w:r>
          </w:p>
        </w:tc>
        <w:tc>
          <w:tcPr>
            <w:tcW w:w="3000" w:type="dxa"/>
            <w:tcBorders>
              <w:top w:val="nil"/>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检查人员：</w:t>
            </w:r>
          </w:p>
        </w:tc>
        <w:tc>
          <w:tcPr>
            <w:tcW w:w="4980" w:type="dxa"/>
            <w:gridSpan w:val="2"/>
            <w:tcBorders>
              <w:top w:val="single" w:color="auto" w:sz="4" w:space="0"/>
              <w:left w:val="nil"/>
              <w:bottom w:val="single" w:color="auto" w:sz="4" w:space="0"/>
              <w:right w:val="single" w:color="000000"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 </w:t>
            </w:r>
          </w:p>
        </w:tc>
      </w:tr>
      <w:tr>
        <w:tblPrEx>
          <w:tblCellMar>
            <w:top w:w="0" w:type="dxa"/>
            <w:left w:w="108" w:type="dxa"/>
            <w:bottom w:w="0" w:type="dxa"/>
            <w:right w:w="108" w:type="dxa"/>
          </w:tblCellMar>
        </w:tblPrEx>
        <w:trPr>
          <w:trHeight w:val="600" w:hRule="atLeast"/>
        </w:trPr>
        <w:tc>
          <w:tcPr>
            <w:tcW w:w="1740" w:type="dxa"/>
            <w:vMerge w:val="continue"/>
            <w:tcBorders>
              <w:top w:val="nil"/>
              <w:left w:val="single" w:color="auto" w:sz="4" w:space="0"/>
              <w:bottom w:val="single" w:color="000000" w:sz="4" w:space="0"/>
              <w:right w:val="nil"/>
            </w:tcBorders>
            <w:vAlign w:val="center"/>
          </w:tcPr>
          <w:p>
            <w:pPr>
              <w:shd w:val="clear"/>
              <w:spacing w:before="0" w:after="0" w:afterAutospacing="0" w:line="240" w:lineRule="auto"/>
              <w:ind w:left="0" w:right="0" w:firstLine="0"/>
              <w:jc w:val="left"/>
              <w:rPr>
                <w:rFonts w:ascii="宋体" w:hAnsi="宋体" w:eastAsia="宋体" w:cs="宋体"/>
                <w:b/>
                <w:bCs/>
                <w:color w:val="000000"/>
                <w:sz w:val="22"/>
                <w:szCs w:val="22"/>
                <w:highlight w:val="none"/>
              </w:rPr>
            </w:pPr>
          </w:p>
        </w:tc>
        <w:tc>
          <w:tcPr>
            <w:tcW w:w="3000" w:type="dxa"/>
            <w:tcBorders>
              <w:top w:val="nil"/>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工班长：</w:t>
            </w:r>
          </w:p>
        </w:tc>
        <w:tc>
          <w:tcPr>
            <w:tcW w:w="4980" w:type="dxa"/>
            <w:gridSpan w:val="2"/>
            <w:tcBorders>
              <w:top w:val="single" w:color="auto" w:sz="4" w:space="0"/>
              <w:left w:val="nil"/>
              <w:bottom w:val="single" w:color="auto" w:sz="4" w:space="0"/>
              <w:right w:val="single" w:color="000000"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 </w:t>
            </w:r>
          </w:p>
        </w:tc>
      </w:tr>
      <w:tr>
        <w:tblPrEx>
          <w:tblCellMar>
            <w:top w:w="0" w:type="dxa"/>
            <w:left w:w="108" w:type="dxa"/>
            <w:bottom w:w="0" w:type="dxa"/>
            <w:right w:w="108" w:type="dxa"/>
          </w:tblCellMar>
        </w:tblPrEx>
        <w:trPr>
          <w:trHeight w:val="600" w:hRule="atLeast"/>
        </w:trPr>
        <w:tc>
          <w:tcPr>
            <w:tcW w:w="1740" w:type="dxa"/>
            <w:vMerge w:val="continue"/>
            <w:tcBorders>
              <w:top w:val="nil"/>
              <w:left w:val="single" w:color="auto" w:sz="4" w:space="0"/>
              <w:bottom w:val="single" w:color="000000" w:sz="4" w:space="0"/>
              <w:right w:val="nil"/>
            </w:tcBorders>
            <w:vAlign w:val="center"/>
          </w:tcPr>
          <w:p>
            <w:pPr>
              <w:shd w:val="clear"/>
              <w:spacing w:before="0" w:after="0" w:afterAutospacing="0" w:line="240" w:lineRule="auto"/>
              <w:ind w:left="0" w:right="0" w:firstLine="0"/>
              <w:jc w:val="left"/>
              <w:rPr>
                <w:rFonts w:ascii="宋体" w:hAnsi="宋体" w:eastAsia="宋体" w:cs="宋体"/>
                <w:b/>
                <w:bCs/>
                <w:color w:val="000000"/>
                <w:sz w:val="22"/>
                <w:szCs w:val="22"/>
                <w:highlight w:val="none"/>
              </w:rPr>
            </w:pPr>
          </w:p>
        </w:tc>
        <w:tc>
          <w:tcPr>
            <w:tcW w:w="3000" w:type="dxa"/>
            <w:tcBorders>
              <w:top w:val="nil"/>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技术主办：</w:t>
            </w:r>
          </w:p>
        </w:tc>
        <w:tc>
          <w:tcPr>
            <w:tcW w:w="4980" w:type="dxa"/>
            <w:gridSpan w:val="2"/>
            <w:tcBorders>
              <w:top w:val="single" w:color="auto" w:sz="4" w:space="0"/>
              <w:left w:val="nil"/>
              <w:bottom w:val="single" w:color="auto" w:sz="4" w:space="0"/>
              <w:right w:val="single" w:color="000000"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 </w:t>
            </w:r>
          </w:p>
        </w:tc>
      </w:tr>
    </w:tbl>
    <w:p>
      <w:pPr>
        <w:shd w:val="clear"/>
        <w:spacing w:before="120" w:after="100" w:afterAutospacing="1" w:line="360" w:lineRule="auto"/>
        <w:ind w:left="709" w:right="-27" w:hanging="709"/>
        <w:jc w:val="both"/>
        <w:rPr>
          <w:rFonts w:ascii="宋体" w:hAnsi="Courier New" w:eastAsia="宋体" w:cs="宋体"/>
          <w:sz w:val="20"/>
          <w:szCs w:val="20"/>
          <w:highlight w:val="none"/>
          <w:lang w:val="en-US" w:eastAsia="zh-CN" w:bidi="ar-SA"/>
        </w:rPr>
      </w:pPr>
    </w:p>
    <w:p>
      <w:pPr>
        <w:shd w:val="clear"/>
        <w:spacing w:before="120" w:after="100" w:afterAutospacing="1" w:line="360" w:lineRule="auto"/>
        <w:ind w:left="709" w:right="-27" w:hanging="709"/>
        <w:jc w:val="both"/>
        <w:rPr>
          <w:rFonts w:ascii="宋体" w:hAnsi="Courier New" w:eastAsia="宋体" w:cs="宋体"/>
          <w:sz w:val="20"/>
          <w:szCs w:val="20"/>
          <w:highlight w:val="none"/>
          <w:lang w:val="en-US" w:eastAsia="zh-CN" w:bidi="ar-SA"/>
        </w:rPr>
      </w:pPr>
      <w:r>
        <w:rPr>
          <w:rFonts w:ascii="宋体" w:hAnsi="Courier New" w:eastAsia="宋体" w:cs="宋体"/>
          <w:sz w:val="20"/>
          <w:szCs w:val="20"/>
          <w:highlight w:val="none"/>
          <w:lang w:val="en-US" w:eastAsia="zh-CN" w:bidi="ar-SA"/>
        </w:rPr>
        <w:br w:type="page"/>
      </w:r>
      <w:r>
        <w:rPr>
          <w:rFonts w:hint="eastAsia" w:cs="Times New Roman" w:asciiTheme="minorEastAsia" w:hAnsiTheme="minorEastAsia" w:eastAsiaTheme="minorEastAsia"/>
          <w:b/>
          <w:bCs/>
          <w:sz w:val="21"/>
          <w:szCs w:val="21"/>
          <w:highlight w:val="none"/>
          <w:lang w:val="en-US" w:eastAsia="zh-CN" w:bidi="ar-SA"/>
        </w:rPr>
        <w:t>附件9：委外项目实体工程作业质、量、进度现场验收表</w:t>
      </w:r>
    </w:p>
    <w:p>
      <w:pPr>
        <w:shd w:val="clear"/>
        <w:spacing w:line="500" w:lineRule="exact"/>
        <w:jc w:val="center"/>
        <w:rPr>
          <w:rFonts w:ascii="宋体" w:hAnsi="宋体" w:eastAsia="宋体" w:cs="Times New Roman"/>
          <w:b/>
          <w:bCs/>
          <w:sz w:val="32"/>
          <w:szCs w:val="32"/>
          <w:highlight w:val="none"/>
        </w:rPr>
      </w:pPr>
      <w:r>
        <w:rPr>
          <w:rFonts w:hint="eastAsia" w:ascii="宋体" w:hAnsi="宋体" w:eastAsia="宋体" w:cs="Times New Roman"/>
          <w:b/>
          <w:bCs/>
          <w:sz w:val="32"/>
          <w:szCs w:val="32"/>
          <w:highlight w:val="none"/>
        </w:rPr>
        <w:t>委外项目实体工程作业质、量、进度现场验收表</w:t>
      </w:r>
    </w:p>
    <w:p>
      <w:pPr>
        <w:shd w:val="clear"/>
        <w:spacing w:line="500" w:lineRule="exact"/>
        <w:jc w:val="left"/>
        <w:rPr>
          <w:rFonts w:ascii="宋体" w:hAnsi="宋体" w:eastAsia="宋体" w:cs="Times New Roman"/>
          <w:b/>
          <w:bCs/>
          <w:sz w:val="24"/>
          <w:highlight w:val="none"/>
        </w:rPr>
      </w:pPr>
      <w:r>
        <w:rPr>
          <w:rFonts w:hint="eastAsia" w:ascii="宋体" w:hAnsi="宋体" w:eastAsia="宋体" w:cs="Times New Roman"/>
          <w:b/>
          <w:bCs/>
          <w:sz w:val="24"/>
          <w:highlight w:val="none"/>
        </w:rPr>
        <w:t>计价类型：                                       编号：</w:t>
      </w:r>
      <w:r>
        <w:rPr>
          <w:rFonts w:hint="eastAsia" w:ascii="宋体" w:hAnsi="宋体" w:eastAsia="宋体" w:cs="Times New Roman"/>
          <w:color w:val="000000"/>
          <w:sz w:val="28"/>
          <w:szCs w:val="30"/>
          <w:highlight w:val="none"/>
        </w:rPr>
        <w:t xml:space="preserve"> </w:t>
      </w:r>
    </w:p>
    <w:tbl>
      <w:tblPr>
        <w:tblStyle w:val="28"/>
        <w:tblW w:w="9781" w:type="dxa"/>
        <w:tblInd w:w="-3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35"/>
        <w:gridCol w:w="1842"/>
        <w:gridCol w:w="2268"/>
        <w:gridCol w:w="2127"/>
        <w:gridCol w:w="24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2" w:hRule="atLeast"/>
        </w:trPr>
        <w:tc>
          <w:tcPr>
            <w:tcW w:w="2977" w:type="dxa"/>
            <w:gridSpan w:val="2"/>
            <w:tcBorders>
              <w:top w:val="single" w:color="auto" w:sz="12" w:space="0"/>
              <w:left w:val="single" w:color="auto" w:sz="12" w:space="0"/>
              <w:bottom w:val="single" w:color="auto" w:sz="6" w:space="0"/>
              <w:right w:val="single" w:color="auto" w:sz="6" w:space="0"/>
            </w:tcBorders>
            <w:vAlign w:val="center"/>
          </w:tcPr>
          <w:p>
            <w:pPr>
              <w:shd w:val="clear"/>
              <w:spacing w:line="500" w:lineRule="exact"/>
              <w:jc w:val="center"/>
              <w:rPr>
                <w:rFonts w:ascii="宋体" w:hAnsi="宋体" w:eastAsia="宋体" w:cs="Times New Roman"/>
                <w:b/>
                <w:highlight w:val="none"/>
              </w:rPr>
            </w:pPr>
            <w:r>
              <w:rPr>
                <w:rFonts w:hint="eastAsia" w:ascii="宋体" w:hAnsi="宋体" w:eastAsia="宋体" w:cs="Times New Roman"/>
                <w:b/>
                <w:highlight w:val="none"/>
              </w:rPr>
              <w:t>合同名称</w:t>
            </w:r>
          </w:p>
        </w:tc>
        <w:tc>
          <w:tcPr>
            <w:tcW w:w="2268" w:type="dxa"/>
            <w:tcBorders>
              <w:top w:val="single" w:color="auto" w:sz="12" w:space="0"/>
              <w:left w:val="single" w:color="auto" w:sz="6" w:space="0"/>
              <w:bottom w:val="single" w:color="auto" w:sz="6" w:space="0"/>
              <w:right w:val="single" w:color="auto" w:sz="6" w:space="0"/>
            </w:tcBorders>
            <w:vAlign w:val="center"/>
          </w:tcPr>
          <w:p>
            <w:pPr>
              <w:widowControl w:val="0"/>
              <w:shd w:val="clear"/>
              <w:spacing w:line="240" w:lineRule="atLeast"/>
              <w:jc w:val="left"/>
              <w:rPr>
                <w:rFonts w:ascii="宋体" w:hAnsi="宋体" w:eastAsia="宋体" w:cs="Times New Roman"/>
                <w:highlight w:val="none"/>
              </w:rPr>
            </w:pPr>
          </w:p>
        </w:tc>
        <w:tc>
          <w:tcPr>
            <w:tcW w:w="2127" w:type="dxa"/>
            <w:tcBorders>
              <w:top w:val="single" w:color="auto" w:sz="12" w:space="0"/>
              <w:left w:val="single" w:color="auto" w:sz="6" w:space="0"/>
              <w:bottom w:val="single" w:color="auto" w:sz="6" w:space="0"/>
              <w:right w:val="single" w:color="auto" w:sz="6" w:space="0"/>
            </w:tcBorders>
            <w:vAlign w:val="center"/>
          </w:tcPr>
          <w:p>
            <w:pPr>
              <w:shd w:val="clear"/>
              <w:spacing w:line="500" w:lineRule="exact"/>
              <w:jc w:val="center"/>
              <w:rPr>
                <w:rFonts w:ascii="宋体" w:hAnsi="宋体" w:eastAsia="宋体" w:cs="Times New Roman"/>
                <w:b/>
                <w:highlight w:val="none"/>
              </w:rPr>
            </w:pPr>
            <w:r>
              <w:rPr>
                <w:rFonts w:hint="eastAsia" w:ascii="宋体" w:hAnsi="宋体" w:eastAsia="宋体" w:cs="Times New Roman"/>
                <w:b/>
                <w:highlight w:val="none"/>
              </w:rPr>
              <w:t>合同编号</w:t>
            </w:r>
          </w:p>
        </w:tc>
        <w:tc>
          <w:tcPr>
            <w:tcW w:w="2409" w:type="dxa"/>
            <w:tcBorders>
              <w:top w:val="single" w:color="auto" w:sz="12" w:space="0"/>
              <w:left w:val="single" w:color="auto" w:sz="6" w:space="0"/>
              <w:bottom w:val="single" w:color="auto" w:sz="6" w:space="0"/>
              <w:right w:val="single" w:color="auto" w:sz="12" w:space="0"/>
            </w:tcBorders>
            <w:vAlign w:val="center"/>
          </w:tcPr>
          <w:p>
            <w:pPr>
              <w:shd w:val="clear"/>
              <w:spacing w:line="240" w:lineRule="auto"/>
              <w:jc w:val="center"/>
              <w:rPr>
                <w:rFonts w:ascii="宋体" w:hAnsi="宋体" w:eastAsia="宋体" w:cs="Times New Roman"/>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4" w:hRule="atLeast"/>
        </w:trPr>
        <w:tc>
          <w:tcPr>
            <w:tcW w:w="2977" w:type="dxa"/>
            <w:gridSpan w:val="2"/>
            <w:tcBorders>
              <w:top w:val="single" w:color="auto" w:sz="6" w:space="0"/>
              <w:left w:val="single" w:color="auto" w:sz="12" w:space="0"/>
              <w:bottom w:val="single" w:color="auto" w:sz="6" w:space="0"/>
              <w:right w:val="single" w:color="auto" w:sz="6" w:space="0"/>
            </w:tcBorders>
            <w:vAlign w:val="center"/>
          </w:tcPr>
          <w:p>
            <w:pPr>
              <w:shd w:val="clear"/>
              <w:spacing w:line="500" w:lineRule="exact"/>
              <w:jc w:val="center"/>
              <w:rPr>
                <w:rFonts w:ascii="宋体" w:hAnsi="宋体" w:eastAsia="宋体" w:cs="Times New Roman"/>
                <w:b/>
                <w:highlight w:val="none"/>
              </w:rPr>
            </w:pPr>
            <w:r>
              <w:rPr>
                <w:rFonts w:hint="eastAsia" w:ascii="宋体" w:hAnsi="宋体" w:eastAsia="宋体" w:cs="Times New Roman"/>
                <w:b/>
                <w:highlight w:val="none"/>
              </w:rPr>
              <w:t>承包商</w:t>
            </w:r>
          </w:p>
        </w:tc>
        <w:tc>
          <w:tcPr>
            <w:tcW w:w="2268" w:type="dxa"/>
            <w:tcBorders>
              <w:top w:val="single" w:color="auto" w:sz="6" w:space="0"/>
              <w:left w:val="single" w:color="auto" w:sz="6" w:space="0"/>
              <w:bottom w:val="single" w:color="auto" w:sz="6" w:space="0"/>
              <w:right w:val="single" w:color="auto" w:sz="6" w:space="0"/>
            </w:tcBorders>
            <w:vAlign w:val="center"/>
          </w:tcPr>
          <w:p>
            <w:pPr>
              <w:widowControl w:val="0"/>
              <w:shd w:val="clear"/>
              <w:spacing w:line="240" w:lineRule="atLeast"/>
              <w:jc w:val="center"/>
              <w:rPr>
                <w:rFonts w:ascii="宋体" w:hAnsi="宋体" w:eastAsia="宋体" w:cs="Times New Roman"/>
                <w:highlight w:val="none"/>
              </w:rPr>
            </w:pPr>
          </w:p>
        </w:tc>
        <w:tc>
          <w:tcPr>
            <w:tcW w:w="2127" w:type="dxa"/>
            <w:tcBorders>
              <w:top w:val="single" w:color="auto" w:sz="6" w:space="0"/>
              <w:left w:val="single" w:color="auto" w:sz="6" w:space="0"/>
              <w:bottom w:val="single" w:color="auto" w:sz="6" w:space="0"/>
              <w:right w:val="single" w:color="auto" w:sz="6" w:space="0"/>
            </w:tcBorders>
            <w:vAlign w:val="center"/>
          </w:tcPr>
          <w:p>
            <w:pPr>
              <w:shd w:val="clear"/>
              <w:jc w:val="center"/>
              <w:rPr>
                <w:rFonts w:ascii="宋体" w:hAnsi="宋体" w:eastAsia="宋体" w:cs="Times New Roman"/>
                <w:b/>
                <w:highlight w:val="none"/>
              </w:rPr>
            </w:pPr>
            <w:r>
              <w:rPr>
                <w:rFonts w:hint="eastAsia" w:ascii="宋体" w:hAnsi="宋体" w:eastAsia="宋体" w:cs="Times New Roman"/>
                <w:b/>
                <w:highlight w:val="none"/>
              </w:rPr>
              <w:t>完成作业时间</w:t>
            </w:r>
          </w:p>
        </w:tc>
        <w:tc>
          <w:tcPr>
            <w:tcW w:w="2409" w:type="dxa"/>
            <w:tcBorders>
              <w:top w:val="single" w:color="auto" w:sz="6" w:space="0"/>
              <w:left w:val="single" w:color="auto" w:sz="6" w:space="0"/>
              <w:bottom w:val="single" w:color="auto" w:sz="6" w:space="0"/>
              <w:right w:val="single" w:color="auto" w:sz="12" w:space="0"/>
            </w:tcBorders>
            <w:vAlign w:val="center"/>
          </w:tcPr>
          <w:p>
            <w:pPr>
              <w:shd w:val="clear"/>
              <w:spacing w:line="240" w:lineRule="atLeast"/>
              <w:jc w:val="center"/>
              <w:rPr>
                <w:rFonts w:ascii="宋体" w:hAnsi="宋体" w:eastAsia="宋体" w:cs="Times New Roman"/>
                <w:highlight w:val="none"/>
              </w:rPr>
            </w:pPr>
            <w:r>
              <w:rPr>
                <w:rFonts w:hint="eastAsia" w:ascii="宋体" w:hAnsi="宋体" w:eastAsia="宋体" w:cs="Times New Roman"/>
                <w:highlight w:val="none"/>
              </w:rPr>
              <w:t xml:space="preserve">    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135" w:type="dxa"/>
            <w:vMerge w:val="restart"/>
            <w:tcBorders>
              <w:top w:val="single" w:color="auto" w:sz="4" w:space="0"/>
              <w:left w:val="single" w:color="auto" w:sz="12" w:space="0"/>
              <w:right w:val="single" w:color="auto" w:sz="6" w:space="0"/>
            </w:tcBorders>
            <w:textDirection w:val="tbRlV"/>
            <w:vAlign w:val="center"/>
          </w:tcPr>
          <w:p>
            <w:pPr>
              <w:shd w:val="clear"/>
              <w:spacing w:line="500" w:lineRule="exact"/>
              <w:ind w:left="822"/>
              <w:jc w:val="center"/>
              <w:rPr>
                <w:rFonts w:ascii="宋体" w:hAnsi="宋体" w:eastAsia="宋体" w:cs="Times New Roman"/>
                <w:b/>
                <w:highlight w:val="none"/>
              </w:rPr>
            </w:pPr>
            <w:r>
              <w:rPr>
                <w:rFonts w:hint="eastAsia" w:ascii="宋体" w:hAnsi="宋体" w:eastAsia="宋体" w:cs="Times New Roman"/>
                <w:b/>
                <w:highlight w:val="none"/>
              </w:rPr>
              <w:t>项  目  执  行  情  况</w:t>
            </w:r>
          </w:p>
        </w:tc>
        <w:tc>
          <w:tcPr>
            <w:tcW w:w="1842" w:type="dxa"/>
            <w:tcBorders>
              <w:top w:val="single" w:color="auto" w:sz="6" w:space="0"/>
              <w:left w:val="single" w:color="auto" w:sz="6" w:space="0"/>
              <w:bottom w:val="single" w:color="auto" w:sz="4" w:space="0"/>
              <w:right w:val="single" w:color="auto" w:sz="6" w:space="0"/>
            </w:tcBorders>
            <w:vAlign w:val="center"/>
          </w:tcPr>
          <w:p>
            <w:pPr>
              <w:shd w:val="clear"/>
              <w:jc w:val="center"/>
              <w:rPr>
                <w:rFonts w:ascii="宋体" w:hAnsi="宋体" w:eastAsia="宋体" w:cs="Times New Roman"/>
                <w:b/>
                <w:highlight w:val="none"/>
              </w:rPr>
            </w:pPr>
            <w:r>
              <w:rPr>
                <w:rFonts w:hint="eastAsia" w:ascii="宋体" w:hAnsi="宋体" w:eastAsia="宋体" w:cs="Times New Roman"/>
                <w:b/>
                <w:highlight w:val="none"/>
              </w:rPr>
              <w:t>作业量情况</w:t>
            </w:r>
          </w:p>
        </w:tc>
        <w:tc>
          <w:tcPr>
            <w:tcW w:w="6804" w:type="dxa"/>
            <w:gridSpan w:val="3"/>
            <w:tcBorders>
              <w:top w:val="single" w:color="auto" w:sz="6" w:space="0"/>
              <w:left w:val="single" w:color="auto" w:sz="6" w:space="0"/>
              <w:bottom w:val="single" w:color="auto" w:sz="4" w:space="0"/>
              <w:right w:val="single" w:color="auto" w:sz="12" w:space="0"/>
            </w:tcBorders>
          </w:tcPr>
          <w:p>
            <w:pPr>
              <w:widowControl w:val="0"/>
              <w:shd w:val="clear"/>
              <w:spacing w:line="240" w:lineRule="atLeast"/>
              <w:ind w:firstLine="420" w:firstLineChars="200"/>
              <w:jc w:val="left"/>
              <w:rPr>
                <w:rFonts w:ascii="宋体" w:hAnsi="宋体" w:eastAsia="宋体" w:cs="Times New Roman"/>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56" w:hRule="atLeast"/>
        </w:trPr>
        <w:tc>
          <w:tcPr>
            <w:tcW w:w="1135" w:type="dxa"/>
            <w:vMerge w:val="continue"/>
            <w:tcBorders>
              <w:left w:val="single" w:color="auto" w:sz="12" w:space="0"/>
              <w:right w:val="single" w:color="auto" w:sz="6" w:space="0"/>
            </w:tcBorders>
            <w:vAlign w:val="center"/>
          </w:tcPr>
          <w:p>
            <w:pPr>
              <w:shd w:val="clear"/>
              <w:spacing w:line="500" w:lineRule="exact"/>
              <w:jc w:val="left"/>
              <w:rPr>
                <w:rFonts w:ascii="宋体" w:hAnsi="宋体" w:eastAsia="宋体" w:cs="Times New Roman"/>
                <w:b/>
                <w:highlight w:val="none"/>
              </w:rPr>
            </w:pPr>
          </w:p>
        </w:tc>
        <w:tc>
          <w:tcPr>
            <w:tcW w:w="1842" w:type="dxa"/>
            <w:tcBorders>
              <w:top w:val="single" w:color="auto" w:sz="6" w:space="0"/>
              <w:left w:val="single" w:color="auto" w:sz="6" w:space="0"/>
              <w:bottom w:val="single" w:color="auto" w:sz="4" w:space="0"/>
              <w:right w:val="single" w:color="auto" w:sz="6" w:space="0"/>
            </w:tcBorders>
            <w:vAlign w:val="center"/>
          </w:tcPr>
          <w:p>
            <w:pPr>
              <w:shd w:val="clear"/>
              <w:spacing w:line="500" w:lineRule="exact"/>
              <w:jc w:val="center"/>
              <w:rPr>
                <w:rFonts w:ascii="宋体" w:hAnsi="宋体" w:eastAsia="宋体" w:cs="Times New Roman"/>
                <w:b/>
                <w:highlight w:val="none"/>
              </w:rPr>
            </w:pPr>
            <w:r>
              <w:rPr>
                <w:rFonts w:hint="eastAsia" w:ascii="宋体" w:hAnsi="宋体" w:eastAsia="宋体" w:cs="Times New Roman"/>
                <w:b/>
                <w:highlight w:val="none"/>
              </w:rPr>
              <w:t>作业完成情况</w:t>
            </w:r>
          </w:p>
        </w:tc>
        <w:tc>
          <w:tcPr>
            <w:tcW w:w="6804" w:type="dxa"/>
            <w:gridSpan w:val="3"/>
            <w:tcBorders>
              <w:top w:val="single" w:color="auto" w:sz="6" w:space="0"/>
              <w:left w:val="single" w:color="auto" w:sz="6" w:space="0"/>
              <w:bottom w:val="single" w:color="auto" w:sz="4" w:space="0"/>
              <w:right w:val="single" w:color="auto" w:sz="12" w:space="0"/>
            </w:tcBorders>
          </w:tcPr>
          <w:p>
            <w:pPr>
              <w:widowControl w:val="0"/>
              <w:shd w:val="clear"/>
              <w:spacing w:line="240" w:lineRule="atLeast"/>
              <w:ind w:firstLine="420" w:firstLineChars="200"/>
              <w:jc w:val="left"/>
              <w:rPr>
                <w:rFonts w:ascii="宋体" w:hAnsi="宋体" w:eastAsia="宋体" w:cs="Times New Roman"/>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3" w:hRule="atLeast"/>
        </w:trPr>
        <w:tc>
          <w:tcPr>
            <w:tcW w:w="1135" w:type="dxa"/>
            <w:vMerge w:val="continue"/>
            <w:tcBorders>
              <w:left w:val="single" w:color="auto" w:sz="12" w:space="0"/>
              <w:right w:val="single" w:color="auto" w:sz="6" w:space="0"/>
            </w:tcBorders>
            <w:vAlign w:val="center"/>
          </w:tcPr>
          <w:p>
            <w:pPr>
              <w:shd w:val="clear"/>
              <w:spacing w:line="500" w:lineRule="exact"/>
              <w:jc w:val="left"/>
              <w:rPr>
                <w:rFonts w:ascii="宋体" w:hAnsi="宋体" w:eastAsia="宋体" w:cs="Times New Roman"/>
                <w:b/>
                <w:highlight w:val="none"/>
              </w:rPr>
            </w:pPr>
          </w:p>
        </w:tc>
        <w:tc>
          <w:tcPr>
            <w:tcW w:w="1842" w:type="dxa"/>
            <w:tcBorders>
              <w:top w:val="single" w:color="auto" w:sz="6" w:space="0"/>
              <w:left w:val="single" w:color="auto" w:sz="6" w:space="0"/>
              <w:bottom w:val="single" w:color="auto" w:sz="4" w:space="0"/>
              <w:right w:val="single" w:color="auto" w:sz="6" w:space="0"/>
            </w:tcBorders>
            <w:vAlign w:val="center"/>
          </w:tcPr>
          <w:p>
            <w:pPr>
              <w:shd w:val="clear"/>
              <w:spacing w:line="500" w:lineRule="exact"/>
              <w:jc w:val="center"/>
              <w:rPr>
                <w:rFonts w:ascii="宋体" w:hAnsi="宋体" w:eastAsia="宋体" w:cs="Times New Roman"/>
                <w:b/>
                <w:highlight w:val="none"/>
              </w:rPr>
            </w:pPr>
            <w:r>
              <w:rPr>
                <w:rFonts w:hint="eastAsia" w:ascii="宋体" w:hAnsi="宋体" w:eastAsia="宋体" w:cs="Times New Roman"/>
                <w:b/>
                <w:highlight w:val="none"/>
              </w:rPr>
              <w:t>项目评价情况</w:t>
            </w:r>
          </w:p>
        </w:tc>
        <w:tc>
          <w:tcPr>
            <w:tcW w:w="6804" w:type="dxa"/>
            <w:gridSpan w:val="3"/>
            <w:tcBorders>
              <w:top w:val="single" w:color="auto" w:sz="6" w:space="0"/>
              <w:left w:val="single" w:color="auto" w:sz="6" w:space="0"/>
              <w:bottom w:val="single" w:color="auto" w:sz="4" w:space="0"/>
              <w:right w:val="single" w:color="auto" w:sz="12" w:space="0"/>
            </w:tcBorders>
            <w:vAlign w:val="center"/>
          </w:tcPr>
          <w:p>
            <w:pPr>
              <w:shd w:val="clear"/>
              <w:ind w:firstLine="422" w:firstLineChars="200"/>
              <w:rPr>
                <w:rFonts w:ascii="宋体" w:hAnsi="宋体" w:eastAsia="宋体" w:cs="Times New Roman"/>
                <w:b/>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3" w:hRule="atLeast"/>
        </w:trPr>
        <w:tc>
          <w:tcPr>
            <w:tcW w:w="1135" w:type="dxa"/>
            <w:vMerge w:val="continue"/>
            <w:tcBorders>
              <w:left w:val="single" w:color="auto" w:sz="12" w:space="0"/>
              <w:right w:val="single" w:color="auto" w:sz="6" w:space="0"/>
            </w:tcBorders>
            <w:vAlign w:val="center"/>
          </w:tcPr>
          <w:p>
            <w:pPr>
              <w:shd w:val="clear"/>
              <w:spacing w:line="500" w:lineRule="exact"/>
              <w:jc w:val="left"/>
              <w:rPr>
                <w:rFonts w:ascii="宋体" w:hAnsi="宋体" w:eastAsia="宋体" w:cs="Times New Roman"/>
                <w:b/>
                <w:highlight w:val="none"/>
              </w:rPr>
            </w:pPr>
          </w:p>
        </w:tc>
        <w:tc>
          <w:tcPr>
            <w:tcW w:w="1842" w:type="dxa"/>
            <w:tcBorders>
              <w:top w:val="single" w:color="auto" w:sz="6" w:space="0"/>
              <w:left w:val="single" w:color="auto" w:sz="6" w:space="0"/>
              <w:bottom w:val="single" w:color="auto" w:sz="4" w:space="0"/>
              <w:right w:val="single" w:color="auto" w:sz="6" w:space="0"/>
            </w:tcBorders>
            <w:vAlign w:val="center"/>
          </w:tcPr>
          <w:p>
            <w:pPr>
              <w:shd w:val="clear"/>
              <w:spacing w:line="500" w:lineRule="exact"/>
              <w:jc w:val="center"/>
              <w:rPr>
                <w:rFonts w:ascii="宋体" w:hAnsi="宋体" w:eastAsia="宋体" w:cs="Times New Roman"/>
                <w:b/>
                <w:highlight w:val="none"/>
              </w:rPr>
            </w:pPr>
            <w:r>
              <w:rPr>
                <w:rFonts w:hint="eastAsia" w:ascii="宋体" w:hAnsi="宋体" w:eastAsia="宋体" w:cs="Times New Roman"/>
                <w:b/>
                <w:highlight w:val="none"/>
              </w:rPr>
              <w:t>作业安全质量</w:t>
            </w:r>
          </w:p>
        </w:tc>
        <w:tc>
          <w:tcPr>
            <w:tcW w:w="6804" w:type="dxa"/>
            <w:gridSpan w:val="3"/>
            <w:tcBorders>
              <w:top w:val="single" w:color="auto" w:sz="6" w:space="0"/>
              <w:left w:val="single" w:color="auto" w:sz="6" w:space="0"/>
              <w:bottom w:val="single" w:color="auto" w:sz="4" w:space="0"/>
              <w:right w:val="single" w:color="auto" w:sz="12" w:space="0"/>
            </w:tcBorders>
          </w:tcPr>
          <w:p>
            <w:pPr>
              <w:pStyle w:val="59"/>
              <w:shd w:val="clear"/>
              <w:spacing w:line="500" w:lineRule="exact"/>
              <w:ind w:firstLine="420" w:firstLineChars="200"/>
              <w:rPr>
                <w:rFonts w:ascii="宋体" w:hAnsi="宋体"/>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3" w:hRule="atLeast"/>
        </w:trPr>
        <w:tc>
          <w:tcPr>
            <w:tcW w:w="1135" w:type="dxa"/>
            <w:vMerge w:val="continue"/>
            <w:tcBorders>
              <w:left w:val="single" w:color="auto" w:sz="12" w:space="0"/>
              <w:right w:val="single" w:color="auto" w:sz="6" w:space="0"/>
            </w:tcBorders>
            <w:vAlign w:val="center"/>
          </w:tcPr>
          <w:p>
            <w:pPr>
              <w:shd w:val="clear"/>
              <w:spacing w:line="500" w:lineRule="exact"/>
              <w:jc w:val="left"/>
              <w:rPr>
                <w:rFonts w:ascii="宋体" w:hAnsi="宋体" w:eastAsia="宋体" w:cs="Times New Roman"/>
                <w:b/>
                <w:highlight w:val="none"/>
              </w:rPr>
            </w:pPr>
          </w:p>
        </w:tc>
        <w:tc>
          <w:tcPr>
            <w:tcW w:w="1842" w:type="dxa"/>
            <w:tcBorders>
              <w:top w:val="single" w:color="auto" w:sz="4" w:space="0"/>
              <w:left w:val="single" w:color="auto" w:sz="6" w:space="0"/>
              <w:bottom w:val="single" w:color="auto" w:sz="6" w:space="0"/>
              <w:right w:val="single" w:color="auto" w:sz="6" w:space="0"/>
            </w:tcBorders>
            <w:vAlign w:val="center"/>
          </w:tcPr>
          <w:p>
            <w:pPr>
              <w:shd w:val="clear"/>
              <w:spacing w:line="500" w:lineRule="exact"/>
              <w:jc w:val="center"/>
              <w:rPr>
                <w:rFonts w:ascii="宋体" w:hAnsi="宋体" w:eastAsia="宋体" w:cs="Times New Roman"/>
                <w:b/>
                <w:highlight w:val="none"/>
              </w:rPr>
            </w:pPr>
            <w:r>
              <w:rPr>
                <w:rFonts w:hint="eastAsia" w:ascii="宋体" w:hAnsi="宋体" w:eastAsia="宋体" w:cs="Times New Roman"/>
                <w:b/>
                <w:highlight w:val="none"/>
              </w:rPr>
              <w:t>违约处罚情况</w:t>
            </w:r>
          </w:p>
        </w:tc>
        <w:tc>
          <w:tcPr>
            <w:tcW w:w="6804" w:type="dxa"/>
            <w:gridSpan w:val="3"/>
            <w:tcBorders>
              <w:top w:val="single" w:color="auto" w:sz="4" w:space="0"/>
              <w:left w:val="single" w:color="auto" w:sz="6" w:space="0"/>
              <w:bottom w:val="single" w:color="auto" w:sz="6" w:space="0"/>
              <w:right w:val="single" w:color="auto" w:sz="12" w:space="0"/>
            </w:tcBorders>
          </w:tcPr>
          <w:p>
            <w:pPr>
              <w:pStyle w:val="59"/>
              <w:shd w:val="clear"/>
              <w:spacing w:line="500" w:lineRule="exact"/>
              <w:ind w:firstLine="420" w:firstLineChars="200"/>
              <w:rPr>
                <w:rFonts w:ascii="宋体" w:hAnsi="宋体"/>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3" w:hRule="atLeast"/>
        </w:trPr>
        <w:tc>
          <w:tcPr>
            <w:tcW w:w="1135" w:type="dxa"/>
            <w:vMerge w:val="continue"/>
            <w:tcBorders>
              <w:left w:val="single" w:color="auto" w:sz="12" w:space="0"/>
              <w:right w:val="single" w:color="auto" w:sz="6" w:space="0"/>
            </w:tcBorders>
            <w:vAlign w:val="center"/>
          </w:tcPr>
          <w:p>
            <w:pPr>
              <w:shd w:val="clear"/>
              <w:spacing w:line="500" w:lineRule="exact"/>
              <w:jc w:val="left"/>
              <w:rPr>
                <w:rFonts w:ascii="宋体" w:hAnsi="宋体" w:eastAsia="宋体" w:cs="Times New Roman"/>
                <w:b/>
                <w:highlight w:val="none"/>
              </w:rPr>
            </w:pPr>
          </w:p>
        </w:tc>
        <w:tc>
          <w:tcPr>
            <w:tcW w:w="1842" w:type="dxa"/>
            <w:tcBorders>
              <w:top w:val="single" w:color="auto" w:sz="4" w:space="0"/>
              <w:left w:val="single" w:color="auto" w:sz="6" w:space="0"/>
              <w:bottom w:val="single" w:color="auto" w:sz="4" w:space="0"/>
              <w:right w:val="single" w:color="auto" w:sz="6" w:space="0"/>
            </w:tcBorders>
            <w:vAlign w:val="center"/>
          </w:tcPr>
          <w:p>
            <w:pPr>
              <w:shd w:val="clear"/>
              <w:spacing w:line="500" w:lineRule="exact"/>
              <w:jc w:val="center"/>
              <w:rPr>
                <w:rFonts w:ascii="宋体" w:hAnsi="宋体" w:eastAsia="宋体" w:cs="Times New Roman"/>
                <w:b/>
                <w:highlight w:val="none"/>
              </w:rPr>
            </w:pPr>
            <w:r>
              <w:rPr>
                <w:rFonts w:hint="eastAsia" w:ascii="宋体" w:hAnsi="宋体" w:eastAsia="宋体" w:cs="Times New Roman"/>
                <w:b/>
                <w:highlight w:val="none"/>
              </w:rPr>
              <w:t>承包商总结</w:t>
            </w:r>
          </w:p>
        </w:tc>
        <w:tc>
          <w:tcPr>
            <w:tcW w:w="6804" w:type="dxa"/>
            <w:gridSpan w:val="3"/>
            <w:tcBorders>
              <w:top w:val="single" w:color="auto" w:sz="4" w:space="0"/>
              <w:left w:val="single" w:color="auto" w:sz="6" w:space="0"/>
              <w:bottom w:val="single" w:color="auto" w:sz="4" w:space="0"/>
              <w:right w:val="single" w:color="auto" w:sz="12" w:space="0"/>
            </w:tcBorders>
          </w:tcPr>
          <w:p>
            <w:pPr>
              <w:widowControl w:val="0"/>
              <w:shd w:val="clear"/>
              <w:spacing w:line="240" w:lineRule="atLeast"/>
              <w:ind w:firstLine="420" w:firstLineChars="200"/>
              <w:jc w:val="left"/>
              <w:rPr>
                <w:rFonts w:ascii="宋体" w:hAnsi="宋体" w:eastAsia="宋体" w:cs="宋体"/>
                <w:bCs/>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977" w:type="dxa"/>
            <w:gridSpan w:val="2"/>
            <w:tcBorders>
              <w:left w:val="single" w:color="auto" w:sz="12" w:space="0"/>
              <w:right w:val="single" w:color="auto" w:sz="6" w:space="0"/>
            </w:tcBorders>
            <w:vAlign w:val="center"/>
          </w:tcPr>
          <w:p>
            <w:pPr>
              <w:shd w:val="clear"/>
              <w:spacing w:line="276" w:lineRule="auto"/>
              <w:jc w:val="center"/>
              <w:rPr>
                <w:rFonts w:ascii="宋体" w:hAnsi="宋体" w:eastAsia="宋体" w:cs="Times New Roman"/>
                <w:b/>
                <w:highlight w:val="none"/>
              </w:rPr>
            </w:pPr>
            <w:r>
              <w:rPr>
                <w:rFonts w:hint="eastAsia" w:ascii="宋体" w:hAnsi="宋体" w:eastAsia="宋体" w:cs="Times New Roman"/>
                <w:b/>
                <w:color w:val="000000"/>
                <w:highlight w:val="none"/>
              </w:rPr>
              <w:t>工班长</w:t>
            </w:r>
          </w:p>
        </w:tc>
        <w:tc>
          <w:tcPr>
            <w:tcW w:w="6804" w:type="dxa"/>
            <w:gridSpan w:val="3"/>
            <w:tcBorders>
              <w:top w:val="single" w:color="auto" w:sz="4" w:space="0"/>
              <w:left w:val="single" w:color="auto" w:sz="6" w:space="0"/>
              <w:bottom w:val="single" w:color="auto" w:sz="4" w:space="0"/>
              <w:right w:val="single" w:color="auto" w:sz="12" w:space="0"/>
            </w:tcBorders>
            <w:vAlign w:val="bottom"/>
          </w:tcPr>
          <w:p>
            <w:pPr>
              <w:shd w:val="clear"/>
              <w:wordWrap w:val="0"/>
              <w:spacing w:line="276" w:lineRule="auto"/>
              <w:jc w:val="right"/>
              <w:rPr>
                <w:rFonts w:ascii="宋体" w:hAnsi="宋体" w:eastAsia="宋体" w:cs="Times New Roman"/>
                <w:kern w:val="2"/>
                <w:highlight w:val="none"/>
              </w:rPr>
            </w:pPr>
            <w:r>
              <w:rPr>
                <w:rFonts w:hint="eastAsia" w:ascii="宋体" w:hAnsi="宋体" w:eastAsia="宋体" w:cs="Times New Roman"/>
                <w:color w:val="000000"/>
                <w:highlight w:val="none"/>
              </w:rPr>
              <w:t xml:space="preserve">年    月    日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977" w:type="dxa"/>
            <w:gridSpan w:val="2"/>
            <w:tcBorders>
              <w:left w:val="single" w:color="auto" w:sz="12" w:space="0"/>
              <w:right w:val="single" w:color="auto" w:sz="6" w:space="0"/>
            </w:tcBorders>
            <w:vAlign w:val="center"/>
          </w:tcPr>
          <w:p>
            <w:pPr>
              <w:shd w:val="clear"/>
              <w:spacing w:line="276" w:lineRule="auto"/>
              <w:jc w:val="center"/>
              <w:rPr>
                <w:rFonts w:ascii="宋体" w:hAnsi="宋体" w:eastAsia="宋体" w:cs="Times New Roman"/>
                <w:b/>
                <w:highlight w:val="none"/>
              </w:rPr>
            </w:pPr>
            <w:r>
              <w:rPr>
                <w:rFonts w:hint="eastAsia" w:ascii="宋体" w:hAnsi="宋体" w:eastAsia="宋体" w:cs="Times New Roman"/>
                <w:b/>
                <w:color w:val="000000"/>
                <w:highlight w:val="none"/>
              </w:rPr>
              <w:t>技术主办</w:t>
            </w:r>
          </w:p>
        </w:tc>
        <w:tc>
          <w:tcPr>
            <w:tcW w:w="6804" w:type="dxa"/>
            <w:gridSpan w:val="3"/>
            <w:tcBorders>
              <w:top w:val="single" w:color="auto" w:sz="4" w:space="0"/>
              <w:left w:val="single" w:color="auto" w:sz="6" w:space="0"/>
              <w:bottom w:val="single" w:color="auto" w:sz="4" w:space="0"/>
              <w:right w:val="single" w:color="auto" w:sz="12" w:space="0"/>
            </w:tcBorders>
            <w:vAlign w:val="bottom"/>
          </w:tcPr>
          <w:p>
            <w:pPr>
              <w:shd w:val="clear"/>
              <w:wordWrap w:val="0"/>
              <w:spacing w:line="276" w:lineRule="auto"/>
              <w:jc w:val="right"/>
              <w:rPr>
                <w:rFonts w:ascii="宋体" w:hAnsi="宋体" w:eastAsia="宋体" w:cs="Times New Roman"/>
                <w:kern w:val="2"/>
                <w:highlight w:val="none"/>
              </w:rPr>
            </w:pPr>
            <w:r>
              <w:rPr>
                <w:rFonts w:hint="eastAsia" w:ascii="宋体" w:hAnsi="宋体" w:eastAsia="宋体" w:cs="Times New Roman"/>
                <w:color w:val="000000"/>
                <w:highlight w:val="none"/>
              </w:rPr>
              <w:t xml:space="preserve">年    月    日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977" w:type="dxa"/>
            <w:gridSpan w:val="2"/>
            <w:tcBorders>
              <w:left w:val="single" w:color="auto" w:sz="12" w:space="0"/>
              <w:right w:val="single" w:color="auto" w:sz="6" w:space="0"/>
            </w:tcBorders>
            <w:vAlign w:val="center"/>
          </w:tcPr>
          <w:p>
            <w:pPr>
              <w:shd w:val="clear"/>
              <w:spacing w:line="276" w:lineRule="auto"/>
              <w:jc w:val="center"/>
              <w:rPr>
                <w:rFonts w:ascii="宋体" w:hAnsi="宋体" w:eastAsia="宋体" w:cs="Times New Roman"/>
                <w:b/>
                <w:highlight w:val="none"/>
              </w:rPr>
            </w:pPr>
            <w:r>
              <w:rPr>
                <w:rFonts w:hint="eastAsia" w:ascii="宋体" w:hAnsi="宋体" w:eastAsia="宋体" w:cs="Times New Roman"/>
                <w:b/>
                <w:color w:val="000000"/>
                <w:highlight w:val="none"/>
              </w:rPr>
              <w:t>部门主管</w:t>
            </w:r>
          </w:p>
        </w:tc>
        <w:tc>
          <w:tcPr>
            <w:tcW w:w="6804" w:type="dxa"/>
            <w:gridSpan w:val="3"/>
            <w:tcBorders>
              <w:top w:val="single" w:color="auto" w:sz="4" w:space="0"/>
              <w:left w:val="single" w:color="auto" w:sz="6" w:space="0"/>
              <w:bottom w:val="single" w:color="auto" w:sz="4" w:space="0"/>
              <w:right w:val="single" w:color="auto" w:sz="12" w:space="0"/>
            </w:tcBorders>
            <w:vAlign w:val="bottom"/>
          </w:tcPr>
          <w:p>
            <w:pPr>
              <w:shd w:val="clear"/>
              <w:wordWrap w:val="0"/>
              <w:spacing w:line="276" w:lineRule="auto"/>
              <w:jc w:val="right"/>
              <w:rPr>
                <w:rFonts w:ascii="宋体" w:hAnsi="宋体" w:eastAsia="宋体" w:cs="Times New Roman"/>
                <w:kern w:val="2"/>
                <w:highlight w:val="none"/>
              </w:rPr>
            </w:pPr>
            <w:r>
              <w:rPr>
                <w:rFonts w:hint="eastAsia" w:ascii="宋体" w:hAnsi="宋体" w:eastAsia="宋体" w:cs="Times New Roman"/>
                <w:color w:val="000000"/>
                <w:highlight w:val="none"/>
              </w:rPr>
              <w:t xml:space="preserve">年    月    日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977" w:type="dxa"/>
            <w:gridSpan w:val="2"/>
            <w:tcBorders>
              <w:left w:val="single" w:color="auto" w:sz="12" w:space="0"/>
              <w:bottom w:val="single" w:color="auto" w:sz="4" w:space="0"/>
              <w:right w:val="single" w:color="auto" w:sz="6" w:space="0"/>
            </w:tcBorders>
            <w:vAlign w:val="center"/>
          </w:tcPr>
          <w:p>
            <w:pPr>
              <w:shd w:val="clear"/>
              <w:spacing w:line="276" w:lineRule="auto"/>
              <w:jc w:val="center"/>
              <w:rPr>
                <w:rFonts w:ascii="宋体" w:hAnsi="宋体" w:eastAsia="宋体" w:cs="Times New Roman"/>
                <w:b/>
                <w:highlight w:val="none"/>
              </w:rPr>
            </w:pPr>
            <w:r>
              <w:rPr>
                <w:rFonts w:hint="eastAsia" w:ascii="宋体" w:hAnsi="宋体" w:eastAsia="宋体" w:cs="Times New Roman"/>
                <w:b/>
                <w:color w:val="000000"/>
                <w:highlight w:val="none"/>
              </w:rPr>
              <w:t>部门负责人</w:t>
            </w:r>
          </w:p>
        </w:tc>
        <w:tc>
          <w:tcPr>
            <w:tcW w:w="6804" w:type="dxa"/>
            <w:gridSpan w:val="3"/>
            <w:tcBorders>
              <w:top w:val="single" w:color="auto" w:sz="4" w:space="0"/>
              <w:left w:val="single" w:color="auto" w:sz="6" w:space="0"/>
              <w:bottom w:val="single" w:color="auto" w:sz="6" w:space="0"/>
              <w:right w:val="single" w:color="auto" w:sz="12" w:space="0"/>
            </w:tcBorders>
            <w:vAlign w:val="bottom"/>
          </w:tcPr>
          <w:p>
            <w:pPr>
              <w:shd w:val="clear"/>
              <w:wordWrap w:val="0"/>
              <w:spacing w:line="276" w:lineRule="auto"/>
              <w:jc w:val="right"/>
              <w:rPr>
                <w:rFonts w:ascii="宋体" w:hAnsi="宋体" w:eastAsia="宋体" w:cs="Times New Roman"/>
                <w:kern w:val="2"/>
                <w:highlight w:val="none"/>
              </w:rPr>
            </w:pPr>
            <w:r>
              <w:rPr>
                <w:rFonts w:hint="eastAsia" w:ascii="宋体" w:hAnsi="宋体" w:eastAsia="宋体" w:cs="Times New Roman"/>
                <w:color w:val="000000"/>
                <w:highlight w:val="none"/>
              </w:rPr>
              <w:t xml:space="preserve">年    月    日   </w:t>
            </w:r>
          </w:p>
        </w:tc>
      </w:tr>
    </w:tbl>
    <w:p>
      <w:pPr>
        <w:pStyle w:val="2"/>
        <w:shd w:val="clear"/>
        <w:spacing w:line="360" w:lineRule="auto"/>
        <w:rPr>
          <w:rFonts w:hint="eastAsia" w:hAnsi="宋体"/>
          <w:b/>
          <w:sz w:val="32"/>
          <w:szCs w:val="32"/>
          <w:highlight w:val="none"/>
        </w:rPr>
      </w:pPr>
    </w:p>
    <w:p>
      <w:pPr>
        <w:pStyle w:val="2"/>
        <w:shd w:val="clear"/>
        <w:spacing w:line="360" w:lineRule="auto"/>
        <w:rPr>
          <w:rFonts w:hint="eastAsia" w:hAnsi="宋体"/>
          <w:b/>
          <w:sz w:val="32"/>
          <w:szCs w:val="32"/>
          <w:highlight w:val="none"/>
        </w:rPr>
      </w:pPr>
    </w:p>
    <w:p>
      <w:pPr>
        <w:pStyle w:val="2"/>
        <w:numPr>
          <w:ilvl w:val="0"/>
          <w:numId w:val="15"/>
        </w:numPr>
        <w:shd w:val="clear"/>
        <w:spacing w:line="360" w:lineRule="auto"/>
        <w:ind w:left="0" w:leftChars="0" w:firstLine="0" w:firstLineChars="0"/>
        <w:rPr>
          <w:rFonts w:hint="eastAsia" w:hAnsi="宋体"/>
          <w:b/>
          <w:sz w:val="32"/>
          <w:szCs w:val="32"/>
          <w:highlight w:val="none"/>
        </w:rPr>
      </w:pPr>
      <w:r>
        <w:rPr>
          <w:rFonts w:hint="eastAsia" w:hAnsi="宋体"/>
          <w:b/>
          <w:sz w:val="32"/>
          <w:szCs w:val="32"/>
          <w:highlight w:val="none"/>
        </w:rPr>
        <w:t>比选文件（另册）</w:t>
      </w:r>
    </w:p>
    <w:p>
      <w:pPr>
        <w:pStyle w:val="3"/>
        <w:keepNext/>
        <w:keepLines/>
        <w:numPr>
          <w:ilvl w:val="3"/>
          <w:numId w:val="0"/>
        </w:numPr>
        <w:shd w:val="clear"/>
        <w:spacing w:before="280" w:after="290" w:afterAutospacing="1" w:line="376" w:lineRule="auto"/>
        <w:ind w:right="-27" w:rightChars="0"/>
        <w:jc w:val="both"/>
        <w:outlineLvl w:val="3"/>
        <w:rPr>
          <w:highlight w:val="none"/>
        </w:rPr>
      </w:pPr>
    </w:p>
    <w:p>
      <w:pPr>
        <w:pStyle w:val="2"/>
        <w:shd w:val="clear"/>
        <w:spacing w:line="360" w:lineRule="auto"/>
        <w:rPr>
          <w:rFonts w:hint="eastAsia" w:hAnsi="宋体"/>
          <w:b/>
          <w:sz w:val="32"/>
          <w:szCs w:val="32"/>
          <w:highlight w:val="none"/>
        </w:rPr>
      </w:pPr>
    </w:p>
    <w:p>
      <w:pPr>
        <w:pStyle w:val="2"/>
        <w:shd w:val="clear"/>
        <w:spacing w:line="360" w:lineRule="auto"/>
        <w:rPr>
          <w:rFonts w:hint="eastAsia" w:hAnsi="宋体"/>
          <w:b/>
          <w:sz w:val="32"/>
          <w:szCs w:val="32"/>
          <w:highlight w:val="none"/>
        </w:rPr>
      </w:pPr>
    </w:p>
    <w:p>
      <w:pPr>
        <w:pStyle w:val="2"/>
        <w:shd w:val="clear"/>
        <w:spacing w:line="360" w:lineRule="auto"/>
        <w:rPr>
          <w:rFonts w:hint="eastAsia" w:hAnsi="宋体"/>
          <w:b/>
          <w:sz w:val="32"/>
          <w:szCs w:val="32"/>
          <w:highlight w:val="none"/>
        </w:rPr>
      </w:pPr>
    </w:p>
    <w:p>
      <w:pPr>
        <w:pStyle w:val="2"/>
        <w:shd w:val="clear"/>
        <w:spacing w:line="360" w:lineRule="auto"/>
        <w:rPr>
          <w:rFonts w:hint="eastAsia" w:hAnsi="宋体"/>
          <w:b/>
          <w:sz w:val="32"/>
          <w:szCs w:val="32"/>
          <w:highlight w:val="none"/>
        </w:rPr>
      </w:pPr>
    </w:p>
    <w:p>
      <w:pPr>
        <w:pStyle w:val="2"/>
        <w:shd w:val="clear"/>
        <w:spacing w:line="360" w:lineRule="auto"/>
        <w:rPr>
          <w:rFonts w:hint="eastAsia" w:hAnsi="宋体"/>
          <w:b/>
          <w:sz w:val="32"/>
          <w:szCs w:val="32"/>
          <w:highlight w:val="none"/>
        </w:rPr>
      </w:pPr>
    </w:p>
    <w:p>
      <w:pPr>
        <w:pStyle w:val="2"/>
        <w:shd w:val="clear"/>
        <w:spacing w:line="360" w:lineRule="auto"/>
        <w:rPr>
          <w:rFonts w:hint="eastAsia" w:hAnsi="宋体"/>
          <w:b/>
          <w:sz w:val="32"/>
          <w:szCs w:val="32"/>
          <w:highlight w:val="none"/>
        </w:rPr>
      </w:pPr>
    </w:p>
    <w:p>
      <w:pPr>
        <w:pStyle w:val="2"/>
        <w:shd w:val="clear"/>
        <w:spacing w:line="360" w:lineRule="auto"/>
        <w:rPr>
          <w:rFonts w:hint="eastAsia" w:hAnsi="宋体"/>
          <w:b/>
          <w:sz w:val="32"/>
          <w:szCs w:val="32"/>
          <w:highlight w:val="none"/>
        </w:rPr>
      </w:pPr>
    </w:p>
    <w:p>
      <w:pPr>
        <w:pStyle w:val="2"/>
        <w:shd w:val="clear"/>
        <w:spacing w:line="360" w:lineRule="auto"/>
        <w:rPr>
          <w:rFonts w:hint="eastAsia" w:hAnsi="宋体"/>
          <w:b/>
          <w:sz w:val="32"/>
          <w:szCs w:val="32"/>
          <w:highlight w:val="none"/>
        </w:rPr>
      </w:pPr>
    </w:p>
    <w:p>
      <w:pPr>
        <w:pStyle w:val="2"/>
        <w:shd w:val="clear"/>
        <w:spacing w:line="360" w:lineRule="auto"/>
        <w:rPr>
          <w:rFonts w:hint="eastAsia" w:hAnsi="宋体"/>
          <w:b/>
          <w:sz w:val="32"/>
          <w:szCs w:val="32"/>
          <w:highlight w:val="none"/>
        </w:rPr>
      </w:pPr>
    </w:p>
    <w:p>
      <w:pPr>
        <w:pStyle w:val="2"/>
        <w:shd w:val="clear"/>
        <w:spacing w:line="360" w:lineRule="auto"/>
        <w:rPr>
          <w:rFonts w:hint="eastAsia" w:hAnsi="宋体"/>
          <w:b/>
          <w:sz w:val="32"/>
          <w:szCs w:val="32"/>
          <w:highlight w:val="none"/>
        </w:rPr>
      </w:pPr>
    </w:p>
    <w:p>
      <w:pPr>
        <w:pStyle w:val="2"/>
        <w:shd w:val="clear"/>
        <w:spacing w:line="360" w:lineRule="auto"/>
        <w:rPr>
          <w:rFonts w:hint="eastAsia" w:hAnsi="宋体"/>
          <w:b/>
          <w:sz w:val="32"/>
          <w:szCs w:val="32"/>
          <w:highlight w:val="none"/>
        </w:rPr>
      </w:pPr>
    </w:p>
    <w:p>
      <w:pPr>
        <w:pStyle w:val="2"/>
        <w:shd w:val="clear"/>
        <w:spacing w:line="360" w:lineRule="auto"/>
        <w:rPr>
          <w:rFonts w:hint="eastAsia" w:hAnsi="宋体"/>
          <w:b/>
          <w:sz w:val="32"/>
          <w:szCs w:val="32"/>
          <w:highlight w:val="none"/>
        </w:rPr>
      </w:pPr>
    </w:p>
    <w:p>
      <w:pPr>
        <w:pStyle w:val="2"/>
        <w:shd w:val="clear"/>
        <w:spacing w:line="360" w:lineRule="auto"/>
        <w:rPr>
          <w:rFonts w:hint="eastAsia" w:hAnsi="宋体"/>
          <w:b/>
          <w:sz w:val="32"/>
          <w:szCs w:val="32"/>
          <w:highlight w:val="none"/>
        </w:rPr>
      </w:pPr>
    </w:p>
    <w:p>
      <w:pPr>
        <w:pStyle w:val="2"/>
        <w:shd w:val="clear"/>
        <w:spacing w:line="360" w:lineRule="auto"/>
        <w:rPr>
          <w:rFonts w:hAnsi="宋体"/>
          <w:b/>
          <w:sz w:val="32"/>
          <w:szCs w:val="32"/>
          <w:highlight w:val="none"/>
        </w:rPr>
      </w:pPr>
      <w:r>
        <w:rPr>
          <w:rFonts w:hint="eastAsia" w:hAnsi="宋体"/>
          <w:b/>
          <w:sz w:val="32"/>
          <w:szCs w:val="32"/>
          <w:highlight w:val="none"/>
        </w:rPr>
        <w:t>八、比选申请文件（另册）</w:t>
      </w:r>
    </w:p>
    <w:p>
      <w:pPr>
        <w:pStyle w:val="2"/>
        <w:pageBreakBefore/>
        <w:shd w:val="clear"/>
        <w:ind w:right="-57" w:firstLine="0"/>
        <w:jc w:val="center"/>
        <w:outlineLvl w:val="0"/>
        <w:rPr>
          <w:rStyle w:val="42"/>
          <w:rFonts w:ascii="宋体" w:hAnsi="宋体" w:eastAsia="宋体"/>
          <w:highlight w:val="none"/>
        </w:rPr>
      </w:pPr>
      <w:r>
        <w:rPr>
          <w:rStyle w:val="42"/>
          <w:rFonts w:hint="eastAsia" w:ascii="宋体" w:hAnsi="宋体" w:eastAsia="宋体"/>
          <w:highlight w:val="none"/>
        </w:rPr>
        <w:t>第四章比选申请文件格式</w:t>
      </w:r>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p>
    <w:p>
      <w:pPr>
        <w:pStyle w:val="4"/>
        <w:shd w:val="clear"/>
        <w:spacing w:after="100"/>
        <w:ind w:right="-57" w:firstLine="0"/>
        <w:jc w:val="center"/>
        <w:rPr>
          <w:sz w:val="24"/>
          <w:szCs w:val="24"/>
          <w:highlight w:val="none"/>
        </w:rPr>
      </w:pPr>
      <w:bookmarkStart w:id="1549" w:name="_Toc25750674"/>
      <w:bookmarkStart w:id="1550" w:name="_Toc361"/>
      <w:bookmarkStart w:id="1551" w:name="_Toc492478802"/>
      <w:bookmarkStart w:id="1552" w:name="_Toc30705"/>
      <w:bookmarkStart w:id="1553" w:name="_Toc31624"/>
      <w:bookmarkStart w:id="1554" w:name="_Toc12983549"/>
      <w:bookmarkStart w:id="1555" w:name="_Toc24824"/>
      <w:bookmarkStart w:id="1556" w:name="_Toc12984805"/>
      <w:bookmarkStart w:id="1557" w:name="_Toc3396"/>
      <w:bookmarkStart w:id="1558" w:name="_Toc4873"/>
      <w:bookmarkStart w:id="1559" w:name="_Toc25325"/>
      <w:bookmarkStart w:id="1560" w:name="_Toc19412"/>
      <w:bookmarkStart w:id="1561" w:name="_Toc16671"/>
      <w:bookmarkStart w:id="1562" w:name="_Toc21274"/>
      <w:bookmarkStart w:id="1563" w:name="_Toc4027"/>
      <w:bookmarkStart w:id="1564" w:name="_Toc32185"/>
      <w:bookmarkStart w:id="1565" w:name="_Toc23261"/>
      <w:bookmarkStart w:id="1566" w:name="_Toc6941"/>
      <w:bookmarkStart w:id="1567" w:name="_Toc22709"/>
      <w:bookmarkStart w:id="1568" w:name="_Toc24453"/>
      <w:bookmarkStart w:id="1569" w:name="_Toc414290520"/>
      <w:bookmarkStart w:id="1570" w:name="_Toc31535"/>
      <w:r>
        <w:rPr>
          <w:sz w:val="24"/>
          <w:szCs w:val="24"/>
          <w:highlight w:val="none"/>
        </w:rPr>
        <w:t>A  资格审查</w:t>
      </w:r>
      <w:r>
        <w:rPr>
          <w:rFonts w:hint="eastAsia"/>
          <w:sz w:val="24"/>
          <w:szCs w:val="24"/>
          <w:highlight w:val="none"/>
        </w:rPr>
        <w:t>文件</w:t>
      </w:r>
      <w:bookmarkEnd w:id="1549"/>
    </w:p>
    <w:p>
      <w:pPr>
        <w:shd w:val="clear"/>
        <w:spacing w:before="0" w:after="0" w:afterAutospacing="0"/>
        <w:ind w:left="0" w:right="0" w:firstLine="422" w:firstLineChars="200"/>
        <w:jc w:val="left"/>
        <w:rPr>
          <w:rFonts w:ascii="宋体" w:hAnsi="宋体"/>
          <w:b/>
          <w:highlight w:val="none"/>
        </w:rPr>
      </w:pPr>
      <w:r>
        <w:rPr>
          <w:rFonts w:ascii="宋体" w:hAnsi="宋体"/>
          <w:b/>
          <w:highlight w:val="none"/>
        </w:rPr>
        <w:t>资格审查文件格式</w:t>
      </w:r>
    </w:p>
    <w:p>
      <w:pPr>
        <w:shd w:val="clear"/>
        <w:tabs>
          <w:tab w:val="left" w:pos="1134"/>
        </w:tabs>
        <w:spacing w:before="0" w:after="0" w:afterAutospacing="0"/>
        <w:ind w:left="0" w:right="0" w:firstLine="420" w:firstLineChars="200"/>
        <w:rPr>
          <w:highlight w:val="none"/>
        </w:rPr>
      </w:pPr>
      <w:r>
        <w:rPr>
          <w:rFonts w:hint="eastAsia" w:hAnsi="宋体"/>
          <w:highlight w:val="none"/>
        </w:rPr>
        <w:t>（1）法定代表人授权书（格式见A1）及法定代表人资格证明书（如无授权时，只需提供法定代表人资格证明书，格式见A2），法定代表人及被授权人身份证复印件；</w:t>
      </w:r>
    </w:p>
    <w:p>
      <w:pPr>
        <w:shd w:val="clear"/>
        <w:tabs>
          <w:tab w:val="left" w:pos="1134"/>
        </w:tabs>
        <w:spacing w:before="0" w:after="0" w:afterAutospacing="0"/>
        <w:ind w:left="0" w:right="0" w:firstLine="420" w:firstLineChars="200"/>
        <w:rPr>
          <w:highlight w:val="none"/>
        </w:rPr>
      </w:pPr>
      <w:r>
        <w:rPr>
          <w:rFonts w:hint="eastAsia" w:hAnsi="宋体"/>
          <w:highlight w:val="none"/>
        </w:rPr>
        <w:t>（2）比选申请人有效的营业执照副本复印件；</w:t>
      </w:r>
    </w:p>
    <w:p>
      <w:pPr>
        <w:shd w:val="clear"/>
        <w:spacing w:before="0" w:after="0" w:afterAutospacing="0"/>
        <w:ind w:left="0" w:right="0" w:firstLine="420" w:firstLineChars="200"/>
        <w:rPr>
          <w:rFonts w:hAnsi="宋体"/>
          <w:highlight w:val="none"/>
        </w:rPr>
      </w:pPr>
      <w:r>
        <w:rPr>
          <w:rFonts w:hint="eastAsia" w:hAnsi="宋体"/>
          <w:highlight w:val="none"/>
        </w:rPr>
        <w:t>（3）</w:t>
      </w:r>
      <w:r>
        <w:rPr>
          <w:rFonts w:hAnsi="宋体"/>
          <w:highlight w:val="none"/>
        </w:rPr>
        <w:t>承诺书（格式见</w:t>
      </w:r>
      <w:r>
        <w:rPr>
          <w:highlight w:val="none"/>
        </w:rPr>
        <w:t>A</w:t>
      </w:r>
      <w:r>
        <w:rPr>
          <w:rFonts w:hint="eastAsia"/>
          <w:highlight w:val="none"/>
        </w:rPr>
        <w:t>3</w:t>
      </w:r>
      <w:r>
        <w:rPr>
          <w:rFonts w:hAnsi="宋体"/>
          <w:highlight w:val="none"/>
        </w:rPr>
        <w:t>）；</w:t>
      </w:r>
    </w:p>
    <w:p>
      <w:pPr>
        <w:shd w:val="clear"/>
        <w:spacing w:before="0" w:after="0" w:afterAutospacing="0"/>
        <w:ind w:left="0" w:right="0" w:firstLine="420" w:firstLineChars="200"/>
        <w:rPr>
          <w:highlight w:val="none"/>
        </w:rPr>
      </w:pPr>
      <w:r>
        <w:rPr>
          <w:rFonts w:hint="eastAsia" w:hAnsi="宋体"/>
          <w:highlight w:val="none"/>
        </w:rPr>
        <w:t>（4）类似项目业绩表（A4）；</w:t>
      </w:r>
    </w:p>
    <w:p>
      <w:pPr>
        <w:shd w:val="clear"/>
        <w:spacing w:before="0" w:after="0" w:afterAutospacing="0"/>
        <w:ind w:left="0" w:right="0" w:firstLine="420" w:firstLineChars="200"/>
        <w:rPr>
          <w:highlight w:val="none"/>
        </w:rPr>
      </w:pPr>
      <w:r>
        <w:rPr>
          <w:rFonts w:hint="eastAsia" w:hAnsi="宋体"/>
          <w:highlight w:val="none"/>
        </w:rPr>
        <w:t>（5）比选申请人认为应提交的其他比选申请资料。</w:t>
      </w:r>
    </w:p>
    <w:p>
      <w:pPr>
        <w:shd w:val="clear"/>
        <w:spacing w:before="0" w:after="0" w:afterAutospacing="0"/>
        <w:ind w:left="0" w:right="0" w:firstLine="420" w:firstLineChars="200"/>
        <w:rPr>
          <w:rFonts w:hAnsi="宋体"/>
          <w:highlight w:val="none"/>
        </w:rPr>
      </w:pPr>
      <w:r>
        <w:rPr>
          <w:rFonts w:hint="eastAsia" w:hAnsi="宋体"/>
          <w:highlight w:val="none"/>
        </w:rPr>
        <w:t>注：</w:t>
      </w:r>
      <w:r>
        <w:rPr>
          <w:rFonts w:hAnsi="宋体"/>
          <w:highlight w:val="none"/>
        </w:rPr>
        <w:t>以上提供的复印件必须加盖比选申请人公章。</w:t>
      </w:r>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p>
    <w:p>
      <w:pPr>
        <w:shd w:val="clear"/>
        <w:spacing w:before="0" w:after="0" w:afterAutospacing="0"/>
        <w:ind w:left="0" w:right="0" w:firstLine="420" w:firstLineChars="200"/>
        <w:rPr>
          <w:rFonts w:hAnsi="宋体"/>
          <w:highlight w:val="none"/>
        </w:rPr>
        <w:sectPr>
          <w:footerReference r:id="rId10" w:type="default"/>
          <w:pgSz w:w="11905" w:h="16838"/>
          <w:pgMar w:top="1417" w:right="1417" w:bottom="1417" w:left="1417" w:header="454" w:footer="567" w:gutter="0"/>
          <w:pgNumType w:fmt="decimal"/>
          <w:cols w:space="720" w:num="1"/>
          <w:docGrid w:linePitch="312" w:charSpace="0"/>
        </w:sectPr>
      </w:pPr>
    </w:p>
    <w:p>
      <w:pPr>
        <w:numPr>
          <w:ilvl w:val="1"/>
          <w:numId w:val="16"/>
        </w:numPr>
        <w:shd w:val="clear"/>
        <w:snapToGrid w:val="0"/>
        <w:spacing w:before="0" w:line="240" w:lineRule="auto"/>
        <w:ind w:right="0" w:firstLine="0"/>
        <w:jc w:val="left"/>
        <w:outlineLvl w:val="0"/>
        <w:rPr>
          <w:rFonts w:ascii="宋体" w:hAnsi="宋体"/>
          <w:b/>
          <w:highlight w:val="none"/>
        </w:rPr>
      </w:pPr>
      <w:bookmarkStart w:id="1571" w:name="_Toc492478804"/>
      <w:bookmarkStart w:id="1572" w:name="_Toc24436"/>
      <w:bookmarkStart w:id="1573" w:name="_Toc12984807"/>
      <w:bookmarkStart w:id="1574" w:name="_Toc10789"/>
      <w:bookmarkStart w:id="1575" w:name="_Toc20671"/>
      <w:bookmarkStart w:id="1576" w:name="_Toc15696"/>
      <w:bookmarkStart w:id="1577" w:name="_Toc13389"/>
      <w:bookmarkStart w:id="1578" w:name="_Toc16089"/>
      <w:bookmarkStart w:id="1579" w:name="_Toc10238"/>
      <w:bookmarkStart w:id="1580" w:name="_Toc10433"/>
      <w:bookmarkStart w:id="1581" w:name="_Toc4125"/>
      <w:bookmarkStart w:id="1582" w:name="_Toc20029"/>
      <w:bookmarkStart w:id="1583" w:name="_Toc20283"/>
      <w:bookmarkStart w:id="1584" w:name="_Toc956"/>
      <w:bookmarkStart w:id="1585" w:name="_Toc9658"/>
      <w:bookmarkStart w:id="1586" w:name="_Toc7057"/>
      <w:bookmarkStart w:id="1587" w:name="_Toc25750675"/>
      <w:bookmarkStart w:id="1588" w:name="_Toc8868"/>
      <w:bookmarkStart w:id="1589" w:name="_Toc32455"/>
      <w:bookmarkStart w:id="1590" w:name="_Toc3499"/>
      <w:bookmarkStart w:id="1591" w:name="_Toc22533"/>
      <w:bookmarkStart w:id="1592" w:name="_Toc414290522"/>
      <w:bookmarkStart w:id="1593" w:name="_Toc375564351"/>
      <w:r>
        <w:rPr>
          <w:rFonts w:ascii="宋体" w:hAnsi="宋体"/>
          <w:b/>
          <w:highlight w:val="none"/>
        </w:rPr>
        <w:t>法定代表人授权书格式</w:t>
      </w:r>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p>
    <w:p>
      <w:pPr>
        <w:shd w:val="clear"/>
        <w:spacing w:before="240" w:after="240"/>
        <w:ind w:right="0" w:firstLine="0"/>
        <w:jc w:val="center"/>
        <w:rPr>
          <w:rFonts w:ascii="宋体" w:hAnsi="宋体"/>
          <w:b/>
          <w:sz w:val="32"/>
          <w:szCs w:val="32"/>
          <w:highlight w:val="none"/>
        </w:rPr>
      </w:pPr>
    </w:p>
    <w:p>
      <w:pPr>
        <w:shd w:val="clear"/>
        <w:spacing w:before="240" w:after="240"/>
        <w:ind w:right="0" w:firstLine="0"/>
        <w:jc w:val="center"/>
        <w:rPr>
          <w:rFonts w:ascii="宋体" w:hAnsi="宋体"/>
          <w:b/>
          <w:sz w:val="32"/>
          <w:szCs w:val="32"/>
          <w:highlight w:val="none"/>
        </w:rPr>
      </w:pPr>
      <w:r>
        <w:rPr>
          <w:rFonts w:ascii="宋体" w:hAnsi="宋体"/>
          <w:b/>
          <w:sz w:val="32"/>
          <w:szCs w:val="32"/>
          <w:highlight w:val="none"/>
        </w:rPr>
        <w:t>法定代表人授权书</w:t>
      </w:r>
    </w:p>
    <w:p>
      <w:pPr>
        <w:shd w:val="clear"/>
        <w:tabs>
          <w:tab w:val="left" w:pos="8364"/>
        </w:tabs>
        <w:snapToGrid w:val="0"/>
        <w:ind w:left="500" w:right="0" w:hanging="499"/>
        <w:rPr>
          <w:rFonts w:ascii="宋体" w:hAnsi="宋体"/>
          <w:highlight w:val="none"/>
        </w:rPr>
      </w:pPr>
      <w:r>
        <w:rPr>
          <w:rFonts w:ascii="宋体" w:hAnsi="宋体"/>
          <w:highlight w:val="none"/>
        </w:rPr>
        <w:t>致：</w:t>
      </w:r>
      <w:r>
        <w:rPr>
          <w:rFonts w:hint="eastAsia" w:ascii="宋体" w:hAnsi="宋体"/>
          <w:highlight w:val="none"/>
        </w:rPr>
        <w:t>南宁轨道交通运营有限公司</w:t>
      </w:r>
    </w:p>
    <w:p>
      <w:pPr>
        <w:widowControl w:val="0"/>
        <w:shd w:val="clear"/>
        <w:tabs>
          <w:tab w:val="left" w:pos="8364"/>
        </w:tabs>
        <w:snapToGrid w:val="0"/>
        <w:spacing w:before="0" w:after="0" w:afterAutospacing="0" w:line="360" w:lineRule="auto"/>
        <w:ind w:left="0" w:right="0" w:firstLine="420" w:firstLineChars="200"/>
        <w:rPr>
          <w:rFonts w:ascii="宋体" w:hAnsi="宋体" w:cs="黑体"/>
          <w:kern w:val="2"/>
          <w:szCs w:val="22"/>
          <w:highlight w:val="none"/>
        </w:rPr>
      </w:pPr>
      <w:r>
        <w:rPr>
          <w:rFonts w:ascii="宋体" w:hAnsi="宋体" w:cs="黑体"/>
          <w:kern w:val="2"/>
          <w:szCs w:val="22"/>
          <w:highlight w:val="none"/>
        </w:rPr>
        <w:t>本授权书声明：注册于(国家或地区)的（比选申请人名称）在下面签字</w:t>
      </w:r>
      <w:r>
        <w:rPr>
          <w:rFonts w:hint="eastAsia" w:ascii="宋体" w:hAnsi="宋体" w:cs="黑体"/>
          <w:kern w:val="2"/>
          <w:szCs w:val="22"/>
          <w:highlight w:val="none"/>
        </w:rPr>
        <w:t>或盖章</w:t>
      </w:r>
      <w:r>
        <w:rPr>
          <w:rFonts w:ascii="宋体" w:hAnsi="宋体" w:cs="黑体"/>
          <w:kern w:val="2"/>
          <w:szCs w:val="22"/>
          <w:highlight w:val="none"/>
        </w:rPr>
        <w:t>的（法定代表人姓名、职务）代表本公司授权在下面签字</w:t>
      </w:r>
      <w:r>
        <w:rPr>
          <w:rFonts w:hint="eastAsia" w:ascii="宋体" w:hAnsi="宋体" w:cs="黑体"/>
          <w:kern w:val="2"/>
          <w:szCs w:val="22"/>
          <w:highlight w:val="none"/>
        </w:rPr>
        <w:t>或盖章</w:t>
      </w:r>
      <w:r>
        <w:rPr>
          <w:rFonts w:ascii="宋体" w:hAnsi="宋体" w:cs="黑体"/>
          <w:kern w:val="2"/>
          <w:szCs w:val="22"/>
          <w:highlight w:val="none"/>
        </w:rPr>
        <w:t>的（被授权人的姓名、职务）为本公司的合法代理人，就项目编号为</w:t>
      </w:r>
      <w:r>
        <w:rPr>
          <w:rFonts w:hint="eastAsia" w:ascii="宋体" w:hAnsi="宋体" w:cs="黑体"/>
          <w:kern w:val="2"/>
          <w:szCs w:val="22"/>
          <w:highlight w:val="none"/>
          <w:lang w:val="en-US" w:eastAsia="zh-CN"/>
        </w:rPr>
        <w:t xml:space="preserve">          </w:t>
      </w:r>
      <w:r>
        <w:rPr>
          <w:rFonts w:ascii="宋体" w:hAnsi="宋体" w:cs="黑体"/>
          <w:kern w:val="2"/>
          <w:szCs w:val="22"/>
          <w:highlight w:val="none"/>
        </w:rPr>
        <w:t>的</w:t>
      </w:r>
      <w:r>
        <w:rPr>
          <w:rFonts w:hint="eastAsia" w:ascii="宋体" w:hAnsi="宋体" w:cs="黑体"/>
          <w:kern w:val="2"/>
          <w:szCs w:val="22"/>
          <w:highlight w:val="none"/>
          <w:lang w:val="en-US" w:eastAsia="zh-CN"/>
        </w:rPr>
        <w:t xml:space="preserve">                     </w:t>
      </w:r>
      <w:r>
        <w:rPr>
          <w:rFonts w:ascii="宋体" w:hAnsi="宋体" w:cs="黑体"/>
          <w:kern w:val="2"/>
          <w:szCs w:val="22"/>
          <w:highlight w:val="none"/>
        </w:rPr>
        <w:t>的比选申请和合同执行，作为比选申请人代表以本公司的名义处理一切与之有关的事宜。</w:t>
      </w:r>
    </w:p>
    <w:p>
      <w:pPr>
        <w:widowControl w:val="0"/>
        <w:shd w:val="clear"/>
        <w:tabs>
          <w:tab w:val="left" w:pos="8364"/>
        </w:tabs>
        <w:snapToGrid w:val="0"/>
        <w:spacing w:before="0" w:after="0" w:afterAutospacing="0" w:line="360" w:lineRule="auto"/>
        <w:ind w:left="0" w:right="0" w:firstLine="420" w:firstLineChars="200"/>
        <w:rPr>
          <w:rFonts w:ascii="宋体" w:hAnsi="宋体" w:cs="黑体"/>
          <w:kern w:val="2"/>
          <w:szCs w:val="22"/>
          <w:highlight w:val="none"/>
        </w:rPr>
      </w:pPr>
      <w:r>
        <w:rPr>
          <w:rFonts w:ascii="宋体" w:hAnsi="宋体" w:cs="黑体"/>
          <w:kern w:val="2"/>
          <w:szCs w:val="22"/>
          <w:highlight w:val="none"/>
        </w:rPr>
        <w:t>本授权书于</w:t>
      </w:r>
      <w:r>
        <w:rPr>
          <w:rFonts w:hint="eastAsia" w:ascii="宋体" w:hAnsi="宋体" w:cs="黑体"/>
          <w:kern w:val="2"/>
          <w:szCs w:val="22"/>
          <w:highlight w:val="none"/>
        </w:rPr>
        <w:t xml:space="preserve">       </w:t>
      </w:r>
      <w:r>
        <w:rPr>
          <w:rFonts w:ascii="宋体" w:hAnsi="宋体" w:cs="黑体"/>
          <w:kern w:val="2"/>
          <w:szCs w:val="22"/>
          <w:highlight w:val="none"/>
        </w:rPr>
        <w:t>年</w:t>
      </w:r>
      <w:r>
        <w:rPr>
          <w:rFonts w:hint="eastAsia" w:ascii="宋体" w:hAnsi="宋体" w:cs="黑体"/>
          <w:kern w:val="2"/>
          <w:szCs w:val="22"/>
          <w:highlight w:val="none"/>
        </w:rPr>
        <w:t xml:space="preserve">      </w:t>
      </w:r>
      <w:r>
        <w:rPr>
          <w:rFonts w:ascii="宋体" w:hAnsi="宋体" w:cs="黑体"/>
          <w:kern w:val="2"/>
          <w:szCs w:val="22"/>
          <w:highlight w:val="none"/>
        </w:rPr>
        <w:t>月</w:t>
      </w:r>
      <w:r>
        <w:rPr>
          <w:rFonts w:hint="eastAsia" w:ascii="宋体" w:hAnsi="宋体" w:cs="黑体"/>
          <w:kern w:val="2"/>
          <w:szCs w:val="22"/>
          <w:highlight w:val="none"/>
        </w:rPr>
        <w:t xml:space="preserve">      </w:t>
      </w:r>
      <w:r>
        <w:rPr>
          <w:rFonts w:ascii="宋体" w:hAnsi="宋体" w:cs="黑体"/>
          <w:kern w:val="2"/>
          <w:szCs w:val="22"/>
          <w:highlight w:val="none"/>
        </w:rPr>
        <w:t>日签字生效，特此声明。</w:t>
      </w:r>
    </w:p>
    <w:p>
      <w:pPr>
        <w:shd w:val="clear"/>
        <w:tabs>
          <w:tab w:val="left" w:pos="8364"/>
        </w:tabs>
        <w:snapToGrid w:val="0"/>
        <w:ind w:right="0" w:firstLine="200"/>
        <w:rPr>
          <w:rFonts w:ascii="宋体" w:hAnsi="宋体"/>
          <w:highlight w:val="none"/>
        </w:rPr>
      </w:pPr>
    </w:p>
    <w:p>
      <w:pPr>
        <w:widowControl w:val="0"/>
        <w:shd w:val="clear"/>
        <w:tabs>
          <w:tab w:val="left" w:pos="8364"/>
        </w:tabs>
        <w:snapToGrid w:val="0"/>
        <w:spacing w:before="0" w:after="0" w:afterAutospacing="0" w:line="360" w:lineRule="auto"/>
        <w:ind w:left="0" w:right="0" w:firstLine="420" w:firstLineChars="200"/>
        <w:rPr>
          <w:rFonts w:ascii="宋体" w:hAnsi="宋体" w:cs="黑体"/>
          <w:kern w:val="2"/>
          <w:szCs w:val="22"/>
          <w:highlight w:val="none"/>
        </w:rPr>
      </w:pPr>
      <w:r>
        <w:rPr>
          <w:rFonts w:ascii="宋体" w:hAnsi="宋体" w:cs="黑体"/>
          <w:kern w:val="2"/>
          <w:szCs w:val="22"/>
          <w:highlight w:val="none"/>
        </w:rPr>
        <w:t>法定代表人签字或盖章：</w:t>
      </w:r>
    </w:p>
    <w:p>
      <w:pPr>
        <w:widowControl w:val="0"/>
        <w:shd w:val="clear"/>
        <w:tabs>
          <w:tab w:val="left" w:pos="8364"/>
        </w:tabs>
        <w:snapToGrid w:val="0"/>
        <w:spacing w:before="0" w:after="0" w:afterAutospacing="0" w:line="360" w:lineRule="auto"/>
        <w:ind w:left="0" w:right="0" w:firstLine="420" w:firstLineChars="200"/>
        <w:rPr>
          <w:rFonts w:ascii="宋体" w:hAnsi="宋体" w:cs="黑体"/>
          <w:kern w:val="2"/>
          <w:szCs w:val="22"/>
          <w:highlight w:val="none"/>
        </w:rPr>
      </w:pPr>
      <w:r>
        <w:rPr>
          <w:rFonts w:ascii="宋体" w:hAnsi="宋体" w:cs="黑体"/>
          <w:kern w:val="2"/>
          <w:szCs w:val="22"/>
          <w:highlight w:val="none"/>
        </w:rPr>
        <w:t>职务：</w:t>
      </w:r>
    </w:p>
    <w:p>
      <w:pPr>
        <w:widowControl w:val="0"/>
        <w:shd w:val="clear"/>
        <w:tabs>
          <w:tab w:val="left" w:pos="8364"/>
        </w:tabs>
        <w:snapToGrid w:val="0"/>
        <w:spacing w:before="0" w:after="0" w:afterAutospacing="0" w:line="360" w:lineRule="auto"/>
        <w:ind w:left="0" w:right="0" w:firstLine="420" w:firstLineChars="200"/>
        <w:rPr>
          <w:rFonts w:ascii="宋体" w:hAnsi="宋体" w:cs="黑体"/>
          <w:kern w:val="2"/>
          <w:szCs w:val="22"/>
          <w:highlight w:val="none"/>
        </w:rPr>
      </w:pPr>
      <w:r>
        <w:rPr>
          <w:rFonts w:ascii="宋体" w:hAnsi="宋体" w:cs="黑体"/>
          <w:kern w:val="2"/>
          <w:szCs w:val="22"/>
          <w:highlight w:val="none"/>
        </w:rPr>
        <w:t>单位名称：（公章）</w:t>
      </w:r>
    </w:p>
    <w:p>
      <w:pPr>
        <w:widowControl w:val="0"/>
        <w:shd w:val="clear"/>
        <w:tabs>
          <w:tab w:val="left" w:pos="8364"/>
        </w:tabs>
        <w:snapToGrid w:val="0"/>
        <w:spacing w:before="0" w:after="0" w:afterAutospacing="0" w:line="360" w:lineRule="auto"/>
        <w:ind w:left="0" w:right="0" w:firstLine="420" w:firstLineChars="200"/>
        <w:rPr>
          <w:rFonts w:ascii="宋体" w:hAnsi="宋体" w:cs="黑体"/>
          <w:kern w:val="2"/>
          <w:szCs w:val="22"/>
          <w:highlight w:val="none"/>
        </w:rPr>
      </w:pPr>
      <w:r>
        <w:rPr>
          <w:rFonts w:ascii="宋体" w:hAnsi="宋体" w:cs="黑体"/>
          <w:kern w:val="2"/>
          <w:szCs w:val="22"/>
          <w:highlight w:val="none"/>
        </w:rPr>
        <w:t>地址：</w:t>
      </w:r>
    </w:p>
    <w:p>
      <w:pPr>
        <w:widowControl w:val="0"/>
        <w:shd w:val="clear"/>
        <w:tabs>
          <w:tab w:val="left" w:pos="8364"/>
        </w:tabs>
        <w:snapToGrid w:val="0"/>
        <w:spacing w:before="0" w:after="0" w:afterAutospacing="0" w:line="360" w:lineRule="auto"/>
        <w:ind w:left="0" w:right="0" w:firstLine="420" w:firstLineChars="200"/>
        <w:rPr>
          <w:rFonts w:ascii="宋体" w:hAnsi="宋体" w:cs="黑体"/>
          <w:kern w:val="2"/>
          <w:szCs w:val="22"/>
          <w:highlight w:val="none"/>
        </w:rPr>
      </w:pPr>
    </w:p>
    <w:p>
      <w:pPr>
        <w:widowControl w:val="0"/>
        <w:shd w:val="clear"/>
        <w:tabs>
          <w:tab w:val="left" w:pos="8364"/>
        </w:tabs>
        <w:snapToGrid w:val="0"/>
        <w:spacing w:before="0" w:after="0" w:afterAutospacing="0" w:line="360" w:lineRule="auto"/>
        <w:ind w:left="0" w:right="0" w:firstLine="420" w:firstLineChars="200"/>
        <w:rPr>
          <w:rFonts w:ascii="宋体" w:hAnsi="宋体" w:cs="黑体"/>
          <w:kern w:val="2"/>
          <w:szCs w:val="22"/>
          <w:highlight w:val="none"/>
        </w:rPr>
      </w:pPr>
      <w:r>
        <w:rPr>
          <w:rFonts w:ascii="宋体" w:hAnsi="宋体" w:cs="黑体"/>
          <w:kern w:val="2"/>
          <w:szCs w:val="22"/>
          <w:highlight w:val="none"/>
        </w:rPr>
        <w:t>比选申请人代表（被授权人）签字或盖章：</w:t>
      </w:r>
    </w:p>
    <w:p>
      <w:pPr>
        <w:widowControl w:val="0"/>
        <w:shd w:val="clear"/>
        <w:tabs>
          <w:tab w:val="left" w:pos="8364"/>
        </w:tabs>
        <w:snapToGrid w:val="0"/>
        <w:spacing w:before="0" w:after="0" w:afterAutospacing="0" w:line="360" w:lineRule="auto"/>
        <w:ind w:left="0" w:right="0" w:firstLine="420" w:firstLineChars="200"/>
        <w:rPr>
          <w:rFonts w:ascii="宋体" w:hAnsi="宋体" w:cs="黑体"/>
          <w:kern w:val="2"/>
          <w:szCs w:val="22"/>
          <w:highlight w:val="none"/>
        </w:rPr>
      </w:pPr>
      <w:r>
        <w:rPr>
          <w:rFonts w:ascii="宋体" w:hAnsi="宋体" w:cs="黑体"/>
          <w:kern w:val="2"/>
          <w:szCs w:val="22"/>
          <w:highlight w:val="none"/>
        </w:rPr>
        <w:t>职务：</w:t>
      </w:r>
    </w:p>
    <w:p>
      <w:pPr>
        <w:widowControl w:val="0"/>
        <w:shd w:val="clear"/>
        <w:tabs>
          <w:tab w:val="left" w:pos="8364"/>
        </w:tabs>
        <w:snapToGrid w:val="0"/>
        <w:spacing w:before="0" w:after="0" w:afterAutospacing="0" w:line="360" w:lineRule="auto"/>
        <w:ind w:left="0" w:right="0" w:firstLine="420" w:firstLineChars="200"/>
        <w:rPr>
          <w:rFonts w:ascii="宋体" w:hAnsi="宋体" w:cs="黑体"/>
          <w:kern w:val="2"/>
          <w:szCs w:val="22"/>
          <w:highlight w:val="none"/>
        </w:rPr>
      </w:pPr>
      <w:r>
        <w:rPr>
          <w:rFonts w:ascii="宋体" w:hAnsi="宋体" w:cs="黑体"/>
          <w:kern w:val="2"/>
          <w:szCs w:val="22"/>
          <w:highlight w:val="none"/>
        </w:rPr>
        <w:t>单位名称：（公章）</w:t>
      </w:r>
    </w:p>
    <w:p>
      <w:pPr>
        <w:widowControl w:val="0"/>
        <w:shd w:val="clear"/>
        <w:tabs>
          <w:tab w:val="left" w:pos="8364"/>
        </w:tabs>
        <w:snapToGrid w:val="0"/>
        <w:spacing w:before="0" w:after="0" w:afterAutospacing="0" w:line="360" w:lineRule="auto"/>
        <w:ind w:left="0" w:right="0" w:firstLine="420" w:firstLineChars="200"/>
        <w:rPr>
          <w:rFonts w:ascii="宋体" w:hAnsi="宋体" w:cs="黑体"/>
          <w:kern w:val="2"/>
          <w:szCs w:val="22"/>
          <w:highlight w:val="none"/>
        </w:rPr>
      </w:pPr>
      <w:r>
        <w:rPr>
          <w:rFonts w:ascii="宋体" w:hAnsi="宋体" w:cs="黑体"/>
          <w:kern w:val="2"/>
          <w:szCs w:val="22"/>
          <w:highlight w:val="none"/>
        </w:rPr>
        <w:t>地址：</w:t>
      </w:r>
    </w:p>
    <w:p>
      <w:pPr>
        <w:pStyle w:val="2"/>
        <w:shd w:val="clear"/>
        <w:rPr>
          <w:highlight w:val="none"/>
        </w:rPr>
      </w:pPr>
    </w:p>
    <w:p>
      <w:pPr>
        <w:widowControl w:val="0"/>
        <w:shd w:val="clear"/>
        <w:tabs>
          <w:tab w:val="left" w:pos="8364"/>
        </w:tabs>
        <w:snapToGrid w:val="0"/>
        <w:spacing w:before="0" w:after="0" w:afterAutospacing="0" w:line="360" w:lineRule="auto"/>
        <w:ind w:left="0" w:right="0" w:firstLine="422" w:firstLineChars="200"/>
        <w:rPr>
          <w:rFonts w:ascii="宋体" w:hAnsi="宋体" w:cs="黑体"/>
          <w:b/>
          <w:bCs/>
          <w:kern w:val="2"/>
          <w:szCs w:val="22"/>
          <w:highlight w:val="none"/>
        </w:rPr>
      </w:pPr>
      <w:r>
        <w:rPr>
          <w:rFonts w:hint="eastAsia" w:ascii="宋体" w:hAnsi="宋体" w:cs="黑体"/>
          <w:b/>
          <w:bCs/>
          <w:kern w:val="2"/>
          <w:szCs w:val="22"/>
          <w:highlight w:val="none"/>
        </w:rPr>
        <w:t>附：授权代理人身份证复印件</w:t>
      </w:r>
    </w:p>
    <w:p>
      <w:pPr>
        <w:shd w:val="clear"/>
        <w:tabs>
          <w:tab w:val="left" w:pos="8364"/>
        </w:tabs>
        <w:snapToGrid w:val="0"/>
        <w:ind w:left="0" w:right="0" w:firstLine="0"/>
        <w:rPr>
          <w:rFonts w:hint="eastAsia" w:ascii="宋体" w:hAnsi="宋体"/>
          <w:highlight w:val="none"/>
          <w:u w:val="single"/>
        </w:rPr>
      </w:pPr>
    </w:p>
    <w:p>
      <w:pPr>
        <w:pStyle w:val="2"/>
        <w:shd w:val="clear"/>
        <w:rPr>
          <w:rFonts w:hint="eastAsia" w:ascii="宋体" w:hAnsi="宋体"/>
          <w:highlight w:val="none"/>
          <w:u w:val="single"/>
        </w:rPr>
      </w:pPr>
    </w:p>
    <w:p>
      <w:pPr>
        <w:pStyle w:val="3"/>
        <w:numPr>
          <w:ilvl w:val="3"/>
          <w:numId w:val="0"/>
        </w:numPr>
        <w:shd w:val="clear"/>
        <w:ind w:leftChars="0" w:right="-27" w:rightChars="0"/>
        <w:rPr>
          <w:rFonts w:hint="eastAsia"/>
          <w:highlight w:val="none"/>
        </w:rPr>
      </w:pPr>
    </w:p>
    <w:p>
      <w:pPr>
        <w:shd w:val="clear"/>
        <w:rPr>
          <w:rFonts w:hint="eastAsia"/>
          <w:highlight w:val="none"/>
        </w:rPr>
      </w:pPr>
    </w:p>
    <w:p>
      <w:pPr>
        <w:numPr>
          <w:ilvl w:val="1"/>
          <w:numId w:val="16"/>
        </w:numPr>
        <w:shd w:val="clear"/>
        <w:snapToGrid w:val="0"/>
        <w:spacing w:before="0" w:line="240" w:lineRule="auto"/>
        <w:ind w:right="0" w:firstLine="0"/>
        <w:jc w:val="left"/>
        <w:outlineLvl w:val="0"/>
        <w:rPr>
          <w:rFonts w:ascii="宋体" w:hAnsi="宋体"/>
          <w:b/>
          <w:highlight w:val="none"/>
        </w:rPr>
      </w:pPr>
      <w:bookmarkStart w:id="1594" w:name="_Toc25750676"/>
      <w:bookmarkStart w:id="1595" w:name="_Toc13606"/>
      <w:bookmarkStart w:id="1596" w:name="_Toc17964"/>
      <w:bookmarkStart w:id="1597" w:name="_Toc12984808"/>
      <w:bookmarkStart w:id="1598" w:name="_Toc414290523"/>
      <w:bookmarkStart w:id="1599" w:name="_Toc13798"/>
      <w:bookmarkStart w:id="1600" w:name="_Toc31808"/>
      <w:bookmarkStart w:id="1601" w:name="_Toc13634"/>
      <w:bookmarkStart w:id="1602" w:name="_Toc7753"/>
      <w:bookmarkStart w:id="1603" w:name="_Toc20436"/>
      <w:bookmarkStart w:id="1604" w:name="_Toc9757"/>
      <w:bookmarkStart w:id="1605" w:name="_Toc7273"/>
      <w:bookmarkStart w:id="1606" w:name="_Toc24322"/>
      <w:bookmarkStart w:id="1607" w:name="_Toc27722"/>
      <w:bookmarkStart w:id="1608" w:name="_Toc15572"/>
      <w:bookmarkStart w:id="1609" w:name="_Toc375564352"/>
      <w:bookmarkStart w:id="1610" w:name="_Toc27657"/>
      <w:bookmarkStart w:id="1611" w:name="_Toc26713"/>
      <w:bookmarkStart w:id="1612" w:name="_Toc8654"/>
      <w:bookmarkStart w:id="1613" w:name="_Toc15980"/>
      <w:bookmarkStart w:id="1614" w:name="_Toc19744"/>
      <w:bookmarkStart w:id="1615" w:name="_Toc9583"/>
      <w:bookmarkStart w:id="1616" w:name="_Toc492478805"/>
      <w:r>
        <w:rPr>
          <w:rFonts w:ascii="宋体" w:hAnsi="宋体"/>
          <w:b/>
          <w:highlight w:val="none"/>
        </w:rPr>
        <w:t>法定代表人资格证明书格式</w:t>
      </w:r>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p>
    <w:p>
      <w:pPr>
        <w:shd w:val="clear"/>
        <w:ind w:right="0" w:firstLine="200"/>
        <w:rPr>
          <w:rFonts w:ascii="宋体" w:hAnsi="宋体"/>
          <w:highlight w:val="none"/>
        </w:rPr>
      </w:pPr>
    </w:p>
    <w:p>
      <w:pPr>
        <w:shd w:val="clear"/>
        <w:spacing w:before="240" w:after="240"/>
        <w:ind w:right="0" w:firstLine="0"/>
        <w:jc w:val="center"/>
        <w:rPr>
          <w:rFonts w:ascii="宋体" w:hAnsi="宋体"/>
          <w:b/>
          <w:sz w:val="32"/>
          <w:szCs w:val="32"/>
          <w:highlight w:val="none"/>
        </w:rPr>
      </w:pPr>
      <w:r>
        <w:rPr>
          <w:rFonts w:ascii="宋体" w:hAnsi="宋体"/>
          <w:b/>
          <w:sz w:val="32"/>
          <w:szCs w:val="32"/>
          <w:highlight w:val="none"/>
        </w:rPr>
        <w:t>法定代表人资格证明书</w:t>
      </w:r>
    </w:p>
    <w:p>
      <w:pPr>
        <w:shd w:val="clear"/>
        <w:spacing w:line="360" w:lineRule="auto"/>
        <w:ind w:firstLine="200"/>
        <w:rPr>
          <w:rFonts w:ascii="宋体" w:hAnsi="宋体"/>
          <w:highlight w:val="none"/>
          <w:u w:val="single"/>
        </w:rPr>
      </w:pPr>
      <w:r>
        <w:rPr>
          <w:rFonts w:ascii="宋体" w:hAnsi="宋体"/>
          <w:highlight w:val="none"/>
        </w:rPr>
        <w:t>单位名称：</w:t>
      </w:r>
    </w:p>
    <w:p>
      <w:pPr>
        <w:shd w:val="clear"/>
        <w:spacing w:line="360" w:lineRule="auto"/>
        <w:ind w:firstLine="200"/>
        <w:rPr>
          <w:rFonts w:ascii="宋体" w:hAnsi="宋体"/>
          <w:highlight w:val="none"/>
          <w:u w:val="single"/>
        </w:rPr>
      </w:pPr>
      <w:r>
        <w:rPr>
          <w:rFonts w:ascii="宋体" w:hAnsi="宋体"/>
          <w:highlight w:val="none"/>
        </w:rPr>
        <w:t>地址：</w:t>
      </w:r>
    </w:p>
    <w:p>
      <w:pPr>
        <w:shd w:val="clear"/>
        <w:spacing w:line="360" w:lineRule="auto"/>
        <w:ind w:firstLine="200"/>
        <w:rPr>
          <w:rFonts w:ascii="宋体" w:hAnsi="宋体"/>
          <w:highlight w:val="none"/>
          <w:u w:val="single"/>
        </w:rPr>
      </w:pPr>
      <w:r>
        <w:rPr>
          <w:rFonts w:ascii="宋体" w:hAnsi="宋体"/>
          <w:highlight w:val="none"/>
        </w:rPr>
        <w:t>姓名：性别：年龄：职务：</w:t>
      </w:r>
    </w:p>
    <w:p>
      <w:pPr>
        <w:shd w:val="clear"/>
        <w:spacing w:line="360" w:lineRule="auto"/>
        <w:ind w:firstLine="200"/>
        <w:rPr>
          <w:rFonts w:ascii="宋体" w:hAnsi="宋体"/>
          <w:highlight w:val="none"/>
        </w:rPr>
      </w:pPr>
      <w:r>
        <w:rPr>
          <w:rFonts w:ascii="宋体" w:hAnsi="宋体"/>
          <w:highlight w:val="none"/>
        </w:rPr>
        <w:t>系</w:t>
      </w:r>
      <w:r>
        <w:rPr>
          <w:rFonts w:hint="eastAsia" w:ascii="宋体" w:hAnsi="宋体"/>
          <w:highlight w:val="none"/>
        </w:rPr>
        <w:t>（公司名称）</w:t>
      </w:r>
      <w:r>
        <w:rPr>
          <w:rFonts w:ascii="宋体" w:hAnsi="宋体"/>
          <w:highlight w:val="none"/>
        </w:rPr>
        <w:t>的法定代表人。</w:t>
      </w:r>
    </w:p>
    <w:p>
      <w:pPr>
        <w:shd w:val="clear"/>
        <w:spacing w:line="360" w:lineRule="auto"/>
        <w:ind w:firstLine="200"/>
        <w:rPr>
          <w:rFonts w:ascii="宋体" w:hAnsi="宋体"/>
          <w:highlight w:val="none"/>
        </w:rPr>
      </w:pPr>
      <w:r>
        <w:rPr>
          <w:rFonts w:ascii="宋体" w:hAnsi="宋体"/>
          <w:highlight w:val="none"/>
        </w:rPr>
        <w:t>特此证明。</w:t>
      </w:r>
    </w:p>
    <w:p>
      <w:pPr>
        <w:shd w:val="clear"/>
        <w:spacing w:line="360" w:lineRule="auto"/>
        <w:ind w:firstLine="200"/>
        <w:rPr>
          <w:rFonts w:ascii="宋体" w:hAnsi="宋体"/>
          <w:highlight w:val="none"/>
        </w:rPr>
      </w:pPr>
    </w:p>
    <w:p>
      <w:pPr>
        <w:shd w:val="clear"/>
        <w:spacing w:line="360" w:lineRule="auto"/>
        <w:ind w:firstLine="200"/>
        <w:rPr>
          <w:rFonts w:ascii="宋体" w:hAnsi="宋体"/>
          <w:highlight w:val="none"/>
          <w:u w:val="single"/>
        </w:rPr>
      </w:pPr>
      <w:r>
        <w:rPr>
          <w:rFonts w:ascii="宋体" w:hAnsi="宋体"/>
          <w:highlight w:val="none"/>
        </w:rPr>
        <w:t>比选申请人：（盖章）</w:t>
      </w:r>
    </w:p>
    <w:p>
      <w:pPr>
        <w:shd w:val="clear"/>
        <w:spacing w:line="360" w:lineRule="auto"/>
        <w:ind w:firstLine="200"/>
        <w:rPr>
          <w:rFonts w:ascii="宋体" w:hAnsi="宋体"/>
          <w:b/>
          <w:highlight w:val="none"/>
        </w:rPr>
      </w:pPr>
      <w:r>
        <w:rPr>
          <w:rFonts w:ascii="宋体" w:hAnsi="宋体"/>
          <w:highlight w:val="none"/>
        </w:rPr>
        <w:t>日期：年月日</w:t>
      </w:r>
    </w:p>
    <w:p>
      <w:pPr>
        <w:shd w:val="clear"/>
        <w:spacing w:line="360" w:lineRule="auto"/>
        <w:ind w:firstLine="211" w:firstLineChars="100"/>
        <w:rPr>
          <w:rFonts w:ascii="宋体" w:hAnsi="宋体"/>
          <w:b/>
          <w:highlight w:val="none"/>
        </w:rPr>
      </w:pPr>
      <w:r>
        <w:rPr>
          <w:rFonts w:hint="eastAsia" w:ascii="宋体" w:hAnsi="宋体"/>
          <w:b/>
          <w:highlight w:val="none"/>
        </w:rPr>
        <w:t>附</w:t>
      </w:r>
      <w:r>
        <w:rPr>
          <w:rFonts w:ascii="宋体" w:hAnsi="宋体"/>
          <w:b/>
          <w:highlight w:val="none"/>
        </w:rPr>
        <w:t xml:space="preserve">: </w:t>
      </w:r>
      <w:r>
        <w:rPr>
          <w:rFonts w:hint="eastAsia" w:ascii="宋体" w:hAnsi="宋体"/>
          <w:b/>
          <w:highlight w:val="none"/>
        </w:rPr>
        <w:t>法人身份证复印件</w:t>
      </w:r>
    </w:p>
    <w:p>
      <w:pPr>
        <w:pStyle w:val="2"/>
        <w:shd w:val="clear"/>
        <w:rPr>
          <w:highlight w:val="none"/>
        </w:rPr>
      </w:pPr>
    </w:p>
    <w:p>
      <w:pPr>
        <w:pageBreakBefore/>
        <w:shd w:val="clear"/>
        <w:snapToGrid w:val="0"/>
        <w:ind w:right="0" w:firstLine="0"/>
        <w:jc w:val="left"/>
        <w:outlineLvl w:val="0"/>
        <w:rPr>
          <w:rFonts w:ascii="宋体" w:hAnsi="宋体"/>
          <w:b/>
          <w:highlight w:val="none"/>
        </w:rPr>
      </w:pPr>
      <w:bookmarkStart w:id="1617" w:name="_Toc414290524"/>
      <w:bookmarkStart w:id="1618" w:name="_Toc19721"/>
      <w:bookmarkStart w:id="1619" w:name="_Toc24848"/>
      <w:bookmarkStart w:id="1620" w:name="_Toc3426"/>
      <w:bookmarkStart w:id="1621" w:name="_Toc25750677"/>
      <w:bookmarkStart w:id="1622" w:name="_Toc15609"/>
      <w:bookmarkStart w:id="1623" w:name="_Toc26907"/>
      <w:bookmarkStart w:id="1624" w:name="_Toc1932"/>
      <w:bookmarkStart w:id="1625" w:name="_Toc11425"/>
      <w:bookmarkStart w:id="1626" w:name="_Toc12984809"/>
      <w:bookmarkStart w:id="1627" w:name="_Toc6033"/>
      <w:bookmarkStart w:id="1628" w:name="_Toc4894"/>
      <w:bookmarkStart w:id="1629" w:name="_Toc7712"/>
      <w:bookmarkStart w:id="1630" w:name="_Toc15394"/>
      <w:bookmarkStart w:id="1631" w:name="_Toc31448"/>
      <w:bookmarkStart w:id="1632" w:name="_Toc16467"/>
      <w:bookmarkStart w:id="1633" w:name="_Toc32062"/>
      <w:bookmarkStart w:id="1634" w:name="_Toc375564353"/>
      <w:bookmarkStart w:id="1635" w:name="_Toc21307"/>
      <w:bookmarkStart w:id="1636" w:name="_Toc26097"/>
      <w:bookmarkStart w:id="1637" w:name="_Toc492478806"/>
      <w:bookmarkStart w:id="1638" w:name="_Toc29246"/>
      <w:bookmarkStart w:id="1639" w:name="_Toc17745"/>
      <w:r>
        <w:rPr>
          <w:rFonts w:hint="eastAsia" w:ascii="宋体" w:hAnsi="宋体"/>
          <w:b/>
          <w:highlight w:val="none"/>
        </w:rPr>
        <w:t xml:space="preserve">A3 </w:t>
      </w:r>
      <w:r>
        <w:rPr>
          <w:rFonts w:ascii="宋体" w:hAnsi="宋体"/>
          <w:b/>
          <w:highlight w:val="none"/>
        </w:rPr>
        <w:t>承诺书格式</w:t>
      </w:r>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p>
    <w:p>
      <w:pPr>
        <w:shd w:val="clear"/>
        <w:spacing w:before="240" w:after="240" w:line="360" w:lineRule="exact"/>
        <w:ind w:right="0" w:firstLine="0"/>
        <w:jc w:val="center"/>
        <w:rPr>
          <w:rFonts w:ascii="宋体" w:hAnsi="宋体"/>
          <w:b/>
          <w:sz w:val="32"/>
          <w:szCs w:val="32"/>
          <w:highlight w:val="none"/>
        </w:rPr>
      </w:pPr>
      <w:r>
        <w:rPr>
          <w:rFonts w:ascii="宋体" w:hAnsi="宋体"/>
          <w:b/>
          <w:sz w:val="32"/>
          <w:szCs w:val="32"/>
          <w:highlight w:val="none"/>
        </w:rPr>
        <w:t>承诺书</w:t>
      </w:r>
    </w:p>
    <w:p>
      <w:pPr>
        <w:shd w:val="clear"/>
        <w:spacing w:before="0" w:after="0" w:afterAutospacing="0"/>
        <w:ind w:left="0" w:right="0" w:firstLine="420" w:firstLineChars="200"/>
        <w:jc w:val="left"/>
        <w:rPr>
          <w:rFonts w:ascii="宋体" w:hAnsi="宋体"/>
          <w:color w:val="000000"/>
          <w:highlight w:val="none"/>
        </w:rPr>
      </w:pPr>
      <w:r>
        <w:rPr>
          <w:rFonts w:ascii="宋体" w:hAnsi="宋体"/>
          <w:color w:val="000000"/>
          <w:highlight w:val="none"/>
        </w:rPr>
        <w:t>致：</w:t>
      </w:r>
      <w:r>
        <w:rPr>
          <w:rFonts w:hint="eastAsia" w:ascii="宋体" w:hAnsi="宋体"/>
          <w:color w:val="000000"/>
          <w:highlight w:val="none"/>
          <w:u w:val="single"/>
        </w:rPr>
        <w:t>南宁轨道交通运营有限公司</w:t>
      </w:r>
    </w:p>
    <w:p>
      <w:pPr>
        <w:widowControl w:val="0"/>
        <w:shd w:val="clear"/>
        <w:spacing w:before="0" w:after="0" w:afterAutospacing="0" w:line="360" w:lineRule="auto"/>
        <w:ind w:left="0" w:right="0" w:firstLine="420" w:firstLineChars="200"/>
        <w:jc w:val="left"/>
        <w:rPr>
          <w:rFonts w:ascii="宋体" w:hAnsi="宋体" w:cs="黑体"/>
          <w:kern w:val="2"/>
          <w:szCs w:val="22"/>
          <w:highlight w:val="none"/>
        </w:rPr>
      </w:pPr>
      <w:r>
        <w:rPr>
          <w:rFonts w:ascii="宋体" w:hAnsi="宋体" w:cs="黑体"/>
          <w:kern w:val="2"/>
          <w:szCs w:val="22"/>
          <w:highlight w:val="none"/>
        </w:rPr>
        <w:t>1、在认真研读南宁轨道交通</w:t>
      </w:r>
      <w:r>
        <w:rPr>
          <w:rFonts w:hint="eastAsia" w:ascii="宋体" w:hAnsi="宋体" w:cs="黑体"/>
          <w:kern w:val="2"/>
          <w:szCs w:val="22"/>
          <w:highlight w:val="none"/>
        </w:rPr>
        <w:t>运营</w:t>
      </w:r>
      <w:r>
        <w:rPr>
          <w:rFonts w:ascii="宋体" w:hAnsi="宋体" w:cs="黑体"/>
          <w:kern w:val="2"/>
          <w:szCs w:val="22"/>
          <w:highlight w:val="none"/>
        </w:rPr>
        <w:t>有限公司</w:t>
      </w:r>
      <w:r>
        <w:rPr>
          <w:rFonts w:hint="eastAsia" w:ascii="宋体" w:hAnsi="宋体" w:cs="黑体"/>
          <w:kern w:val="2"/>
          <w:szCs w:val="22"/>
          <w:highlight w:val="none"/>
        </w:rPr>
        <w:t>的</w:t>
      </w:r>
      <w:r>
        <w:rPr>
          <w:rFonts w:hint="eastAsia" w:ascii="宋体" w:hAnsi="宋体" w:cs="黑体"/>
          <w:kern w:val="2"/>
          <w:szCs w:val="22"/>
          <w:highlight w:val="none"/>
          <w:u w:val="single"/>
        </w:rPr>
        <w:t xml:space="preserve">     </w:t>
      </w:r>
      <w:r>
        <w:rPr>
          <w:rFonts w:hint="eastAsia" w:ascii="宋体" w:hAnsi="宋体" w:cs="黑体"/>
          <w:kern w:val="2"/>
          <w:szCs w:val="22"/>
          <w:highlight w:val="none"/>
        </w:rPr>
        <w:t>比选文件</w:t>
      </w:r>
      <w:r>
        <w:rPr>
          <w:rFonts w:ascii="宋体" w:hAnsi="宋体" w:cs="黑体"/>
          <w:kern w:val="2"/>
          <w:szCs w:val="22"/>
          <w:highlight w:val="none"/>
        </w:rPr>
        <w:t>后，我方经慎重考虑，郑重承诺参加</w:t>
      </w:r>
      <w:r>
        <w:rPr>
          <w:rFonts w:hint="eastAsia" w:ascii="宋体" w:hAnsi="宋体" w:cs="黑体"/>
          <w:kern w:val="2"/>
          <w:szCs w:val="22"/>
          <w:highlight w:val="none"/>
          <w:u w:val="single"/>
        </w:rPr>
        <w:t xml:space="preserve">         </w:t>
      </w:r>
      <w:r>
        <w:rPr>
          <w:rFonts w:hint="eastAsia" w:ascii="宋体" w:hAnsi="宋体" w:cs="黑体"/>
          <w:kern w:val="2"/>
          <w:szCs w:val="22"/>
          <w:highlight w:val="none"/>
        </w:rPr>
        <w:t>项目的招比选申请</w:t>
      </w:r>
      <w:r>
        <w:rPr>
          <w:rFonts w:ascii="宋体" w:hAnsi="宋体" w:cs="黑体"/>
          <w:kern w:val="2"/>
          <w:szCs w:val="22"/>
          <w:highlight w:val="none"/>
        </w:rPr>
        <w:t>活动。</w:t>
      </w:r>
    </w:p>
    <w:p>
      <w:pPr>
        <w:widowControl w:val="0"/>
        <w:shd w:val="clear"/>
        <w:spacing w:before="0" w:after="0" w:afterAutospacing="0" w:line="360" w:lineRule="auto"/>
        <w:ind w:left="0" w:right="0" w:firstLine="420" w:firstLineChars="200"/>
        <w:jc w:val="left"/>
        <w:rPr>
          <w:rFonts w:ascii="宋体" w:hAnsi="宋体" w:cs="黑体"/>
          <w:kern w:val="2"/>
          <w:szCs w:val="22"/>
          <w:highlight w:val="none"/>
        </w:rPr>
      </w:pPr>
      <w:r>
        <w:rPr>
          <w:rFonts w:ascii="宋体" w:hAnsi="宋体" w:cs="黑体"/>
          <w:kern w:val="2"/>
          <w:szCs w:val="22"/>
          <w:highlight w:val="none"/>
        </w:rPr>
        <w:t>2、我方按照贵方</w:t>
      </w:r>
      <w:r>
        <w:rPr>
          <w:rFonts w:hint="eastAsia" w:ascii="宋体" w:hAnsi="宋体" w:cs="黑体"/>
          <w:kern w:val="2"/>
          <w:szCs w:val="22"/>
          <w:highlight w:val="none"/>
        </w:rPr>
        <w:t>比选文件</w:t>
      </w:r>
      <w:r>
        <w:rPr>
          <w:rFonts w:ascii="宋体" w:hAnsi="宋体" w:cs="黑体"/>
          <w:kern w:val="2"/>
          <w:szCs w:val="22"/>
          <w:highlight w:val="none"/>
        </w:rPr>
        <w:t>要求的内容与格式，已编制完成</w:t>
      </w:r>
      <w:r>
        <w:rPr>
          <w:rFonts w:hint="eastAsia" w:ascii="宋体" w:hAnsi="宋体" w:cs="黑体"/>
          <w:kern w:val="2"/>
          <w:szCs w:val="22"/>
          <w:highlight w:val="none"/>
        </w:rPr>
        <w:t>比选申请文件</w:t>
      </w:r>
      <w:r>
        <w:rPr>
          <w:rFonts w:ascii="宋体" w:hAnsi="宋体" w:cs="黑体"/>
          <w:kern w:val="2"/>
          <w:szCs w:val="22"/>
          <w:highlight w:val="none"/>
        </w:rPr>
        <w:t>，现报上。</w:t>
      </w:r>
    </w:p>
    <w:p>
      <w:pPr>
        <w:widowControl w:val="0"/>
        <w:shd w:val="clear"/>
        <w:spacing w:before="0" w:after="0" w:afterAutospacing="0" w:line="360" w:lineRule="auto"/>
        <w:ind w:left="0" w:right="0" w:firstLine="420" w:firstLineChars="200"/>
        <w:jc w:val="left"/>
        <w:rPr>
          <w:rFonts w:ascii="宋体" w:hAnsi="宋体" w:cs="黑体"/>
          <w:kern w:val="2"/>
          <w:szCs w:val="22"/>
          <w:highlight w:val="none"/>
        </w:rPr>
      </w:pPr>
      <w:r>
        <w:rPr>
          <w:rFonts w:hint="eastAsia" w:ascii="宋体" w:hAnsi="宋体" w:cs="黑体"/>
          <w:kern w:val="2"/>
          <w:szCs w:val="22"/>
          <w:highlight w:val="none"/>
        </w:rPr>
        <w:t>3</w:t>
      </w:r>
      <w:r>
        <w:rPr>
          <w:rFonts w:ascii="宋体" w:hAnsi="宋体" w:cs="黑体"/>
          <w:kern w:val="2"/>
          <w:szCs w:val="22"/>
          <w:highlight w:val="none"/>
        </w:rPr>
        <w:t>、</w:t>
      </w:r>
      <w:r>
        <w:rPr>
          <w:rFonts w:hint="eastAsia" w:ascii="宋体" w:hAnsi="宋体" w:cs="黑体"/>
          <w:kern w:val="2"/>
          <w:szCs w:val="22"/>
          <w:highlight w:val="none"/>
        </w:rPr>
        <w:t>我方</w:t>
      </w:r>
      <w:r>
        <w:rPr>
          <w:rFonts w:ascii="宋体" w:hAnsi="宋体" w:cs="黑体"/>
          <w:kern w:val="2"/>
          <w:szCs w:val="22"/>
          <w:highlight w:val="none"/>
        </w:rPr>
        <w:t>承诺：在</w:t>
      </w:r>
      <w:r>
        <w:rPr>
          <w:rFonts w:hint="eastAsia" w:ascii="宋体" w:hAnsi="宋体" w:cs="黑体"/>
          <w:kern w:val="2"/>
          <w:szCs w:val="22"/>
          <w:highlight w:val="none"/>
        </w:rPr>
        <w:t>评审</w:t>
      </w:r>
      <w:r>
        <w:rPr>
          <w:rFonts w:ascii="宋体" w:hAnsi="宋体" w:cs="黑体"/>
          <w:kern w:val="2"/>
          <w:szCs w:val="22"/>
          <w:highlight w:val="none"/>
        </w:rPr>
        <w:t>过程中，贵方可调查、审核我方提交的与本</w:t>
      </w:r>
      <w:r>
        <w:rPr>
          <w:rFonts w:hint="eastAsia" w:ascii="宋体" w:hAnsi="宋体" w:cs="黑体"/>
          <w:kern w:val="2"/>
          <w:szCs w:val="22"/>
          <w:highlight w:val="none"/>
        </w:rPr>
        <w:t>比选申请文件</w:t>
      </w:r>
      <w:r>
        <w:rPr>
          <w:rFonts w:ascii="宋体" w:hAnsi="宋体" w:cs="黑体"/>
          <w:kern w:val="2"/>
          <w:szCs w:val="22"/>
          <w:highlight w:val="none"/>
        </w:rPr>
        <w:t>相关的声明、文件和资料，我方准备随时解答贵方提出的疑问。为此，我们授权任何相关的个人和公司向贵方提供要求的和必要的真实情况和资料以证实我们所填报的各项内容。</w:t>
      </w:r>
    </w:p>
    <w:p>
      <w:pPr>
        <w:shd w:val="clear"/>
        <w:spacing w:before="0" w:after="0" w:afterAutospacing="0"/>
        <w:ind w:left="0" w:right="0" w:firstLine="420" w:firstLineChars="200"/>
        <w:jc w:val="left"/>
        <w:rPr>
          <w:rFonts w:ascii="宋体" w:hAnsi="宋体"/>
          <w:b/>
          <w:color w:val="000000"/>
          <w:highlight w:val="none"/>
        </w:rPr>
      </w:pPr>
      <w:r>
        <w:rPr>
          <w:rFonts w:hint="eastAsia" w:ascii="宋体" w:hAnsi="宋体"/>
          <w:color w:val="000000"/>
          <w:highlight w:val="none"/>
        </w:rPr>
        <w:t>4</w:t>
      </w:r>
      <w:r>
        <w:rPr>
          <w:rFonts w:ascii="宋体" w:hAnsi="宋体"/>
          <w:color w:val="000000"/>
          <w:highlight w:val="none"/>
        </w:rPr>
        <w:t>、</w:t>
      </w:r>
      <w:r>
        <w:rPr>
          <w:rFonts w:hint="eastAsia" w:ascii="宋体" w:hAnsi="宋体"/>
          <w:color w:val="000000"/>
          <w:highlight w:val="none"/>
        </w:rPr>
        <w:t>我方</w:t>
      </w:r>
      <w:r>
        <w:rPr>
          <w:rFonts w:ascii="宋体" w:hAnsi="宋体"/>
          <w:color w:val="000000"/>
          <w:highlight w:val="none"/>
        </w:rPr>
        <w:t>郑重承诺：</w:t>
      </w:r>
      <w:r>
        <w:rPr>
          <w:rFonts w:ascii="宋体" w:hAnsi="宋体"/>
          <w:b/>
          <w:color w:val="000000"/>
          <w:highlight w:val="none"/>
        </w:rPr>
        <w:t>我方保证</w:t>
      </w:r>
      <w:r>
        <w:rPr>
          <w:rFonts w:hint="eastAsia" w:ascii="宋体" w:hAnsi="宋体"/>
          <w:b/>
          <w:color w:val="000000"/>
          <w:highlight w:val="none"/>
        </w:rPr>
        <w:t>没有处于被行政主管部门或业主取消投标资格的处罚期内，且没有处于被责令停业，财产被接管、破产状态；自2018年1月1日至开标时间内没有骗取中标、严重违约或重大质量安全责任事故的情况。</w:t>
      </w:r>
    </w:p>
    <w:p>
      <w:pPr>
        <w:widowControl w:val="0"/>
        <w:shd w:val="clear"/>
        <w:spacing w:before="0" w:after="0" w:afterAutospacing="0" w:line="360" w:lineRule="auto"/>
        <w:ind w:left="0" w:right="0" w:firstLine="422" w:firstLineChars="200"/>
        <w:jc w:val="left"/>
        <w:rPr>
          <w:rFonts w:ascii="宋体" w:hAnsi="宋体" w:cs="黑体"/>
          <w:kern w:val="2"/>
          <w:szCs w:val="22"/>
          <w:highlight w:val="none"/>
        </w:rPr>
      </w:pPr>
      <w:r>
        <w:rPr>
          <w:rFonts w:hint="eastAsia" w:ascii="宋体" w:hAnsi="宋体" w:cs="黑体"/>
          <w:b/>
          <w:kern w:val="2"/>
          <w:szCs w:val="22"/>
          <w:highlight w:val="none"/>
        </w:rPr>
        <w:t>5、</w:t>
      </w:r>
      <w:r>
        <w:rPr>
          <w:rFonts w:ascii="宋体" w:hAnsi="宋体" w:cs="黑体"/>
          <w:kern w:val="2"/>
          <w:szCs w:val="22"/>
          <w:highlight w:val="none"/>
        </w:rPr>
        <w:t>如果</w:t>
      </w:r>
      <w:r>
        <w:rPr>
          <w:rFonts w:hint="eastAsia" w:ascii="宋体" w:hAnsi="宋体" w:cs="黑体"/>
          <w:kern w:val="2"/>
          <w:szCs w:val="22"/>
          <w:highlight w:val="none"/>
        </w:rPr>
        <w:t>我公司</w:t>
      </w:r>
      <w:r>
        <w:rPr>
          <w:rFonts w:ascii="宋体" w:hAnsi="宋体" w:cs="黑体"/>
          <w:kern w:val="2"/>
          <w:szCs w:val="22"/>
          <w:highlight w:val="none"/>
        </w:rPr>
        <w:t>在该项目</w:t>
      </w:r>
      <w:r>
        <w:rPr>
          <w:rFonts w:hint="eastAsia" w:ascii="宋体" w:hAnsi="宋体" w:cs="黑体"/>
          <w:kern w:val="2"/>
          <w:szCs w:val="22"/>
          <w:highlight w:val="none"/>
        </w:rPr>
        <w:t>报名、</w:t>
      </w:r>
      <w:r>
        <w:rPr>
          <w:rFonts w:ascii="宋体" w:hAnsi="宋体" w:cs="黑体"/>
          <w:kern w:val="2"/>
          <w:szCs w:val="22"/>
          <w:highlight w:val="none"/>
        </w:rPr>
        <w:t>比选申请过程中或者在中选后，比选人或者有管辖权的行政监管机构发现并查实我公司在所填报的该项目</w:t>
      </w:r>
      <w:r>
        <w:rPr>
          <w:rFonts w:hint="eastAsia" w:ascii="宋体" w:hAnsi="宋体" w:cs="黑体"/>
          <w:kern w:val="2"/>
          <w:szCs w:val="22"/>
          <w:highlight w:val="none"/>
        </w:rPr>
        <w:t>比选申请文件</w:t>
      </w:r>
      <w:r>
        <w:rPr>
          <w:rFonts w:ascii="宋体" w:hAnsi="宋体" w:cs="黑体"/>
          <w:kern w:val="2"/>
          <w:szCs w:val="22"/>
          <w:highlight w:val="none"/>
        </w:rPr>
        <w:t>中存在提供虚假或不真实的信息或者伪造数据、资料或证书等情况，</w:t>
      </w:r>
      <w:r>
        <w:rPr>
          <w:rFonts w:hint="eastAsia" w:ascii="宋体" w:hAnsi="宋体" w:cs="黑体"/>
          <w:kern w:val="2"/>
          <w:szCs w:val="22"/>
          <w:highlight w:val="none"/>
        </w:rPr>
        <w:t>视为我公司违约，我公司愿意接受</w:t>
      </w:r>
      <w:r>
        <w:rPr>
          <w:rFonts w:ascii="宋体" w:hAnsi="宋体" w:cs="黑体"/>
          <w:kern w:val="2"/>
          <w:szCs w:val="22"/>
          <w:highlight w:val="none"/>
        </w:rPr>
        <w:t>比选人或有管辖权的监管机构的处罚；如果我公司已</w:t>
      </w:r>
      <w:r>
        <w:rPr>
          <w:rFonts w:hint="eastAsia" w:ascii="宋体" w:hAnsi="宋体" w:cs="黑体"/>
          <w:kern w:val="2"/>
          <w:szCs w:val="22"/>
          <w:highlight w:val="none"/>
        </w:rPr>
        <w:t>与比选人签订合同，则视为我公司违约</w:t>
      </w:r>
      <w:r>
        <w:rPr>
          <w:rFonts w:ascii="宋体" w:hAnsi="宋体" w:cs="黑体"/>
          <w:kern w:val="2"/>
          <w:szCs w:val="22"/>
          <w:highlight w:val="none"/>
        </w:rPr>
        <w:t>；由此造成的任何后果和损失均由我公司承担。本段承诺既是我公司</w:t>
      </w:r>
      <w:r>
        <w:rPr>
          <w:rFonts w:hint="eastAsia" w:ascii="宋体" w:hAnsi="宋体" w:cs="黑体"/>
          <w:kern w:val="2"/>
          <w:szCs w:val="22"/>
          <w:highlight w:val="none"/>
        </w:rPr>
        <w:t>比选申请文件</w:t>
      </w:r>
      <w:r>
        <w:rPr>
          <w:rFonts w:ascii="宋体" w:hAnsi="宋体" w:cs="黑体"/>
          <w:kern w:val="2"/>
          <w:szCs w:val="22"/>
          <w:highlight w:val="none"/>
        </w:rPr>
        <w:t>的有效组成内容，也是我公司真实意思的表示，对我公司在与该项目有关的任何行为中始终具有优先的法律约束力。</w:t>
      </w:r>
    </w:p>
    <w:p>
      <w:pPr>
        <w:widowControl w:val="0"/>
        <w:shd w:val="clear"/>
        <w:spacing w:before="0" w:after="0" w:afterAutospacing="0" w:line="360" w:lineRule="auto"/>
        <w:ind w:left="0" w:right="0" w:firstLine="420" w:firstLineChars="200"/>
        <w:rPr>
          <w:rFonts w:ascii="宋体" w:hAnsi="宋体" w:cs="黑体"/>
          <w:kern w:val="2"/>
          <w:szCs w:val="22"/>
          <w:highlight w:val="none"/>
        </w:rPr>
      </w:pPr>
      <w:r>
        <w:rPr>
          <w:rFonts w:hint="eastAsia" w:ascii="宋体" w:hAnsi="宋体" w:cs="黑体"/>
          <w:kern w:val="2"/>
          <w:szCs w:val="22"/>
          <w:highlight w:val="none"/>
        </w:rPr>
        <w:t>6</w:t>
      </w:r>
      <w:r>
        <w:rPr>
          <w:rFonts w:ascii="宋体" w:hAnsi="宋体" w:cs="黑体"/>
          <w:kern w:val="2"/>
          <w:szCs w:val="22"/>
          <w:highlight w:val="none"/>
        </w:rPr>
        <w:t>、我方了解：无论</w:t>
      </w:r>
      <w:r>
        <w:rPr>
          <w:rFonts w:hint="eastAsia" w:ascii="宋体" w:hAnsi="宋体" w:cs="黑体"/>
          <w:kern w:val="2"/>
          <w:szCs w:val="22"/>
          <w:highlight w:val="none"/>
        </w:rPr>
        <w:t>是否中选</w:t>
      </w:r>
      <w:r>
        <w:rPr>
          <w:rFonts w:ascii="宋体" w:hAnsi="宋体" w:cs="黑体"/>
          <w:kern w:val="2"/>
          <w:szCs w:val="22"/>
          <w:highlight w:val="none"/>
        </w:rPr>
        <w:t>，我方将自行承担与</w:t>
      </w:r>
      <w:r>
        <w:rPr>
          <w:rFonts w:hint="eastAsia" w:ascii="宋体" w:hAnsi="宋体" w:cs="黑体"/>
          <w:kern w:val="2"/>
          <w:szCs w:val="22"/>
          <w:highlight w:val="none"/>
        </w:rPr>
        <w:t>比选申请</w:t>
      </w:r>
      <w:r>
        <w:rPr>
          <w:rFonts w:ascii="宋体" w:hAnsi="宋体" w:cs="黑体"/>
          <w:kern w:val="2"/>
          <w:szCs w:val="22"/>
          <w:highlight w:val="none"/>
        </w:rPr>
        <w:t>活动所需的一切费用。</w:t>
      </w:r>
    </w:p>
    <w:p>
      <w:pPr>
        <w:widowControl w:val="0"/>
        <w:shd w:val="clear"/>
        <w:spacing w:before="0" w:after="0" w:afterAutospacing="0" w:line="360" w:lineRule="auto"/>
        <w:ind w:left="0" w:right="0" w:firstLine="420" w:firstLineChars="200"/>
        <w:jc w:val="left"/>
        <w:rPr>
          <w:rFonts w:ascii="宋体" w:hAnsi="宋体" w:cs="黑体"/>
          <w:kern w:val="2"/>
          <w:szCs w:val="22"/>
          <w:highlight w:val="none"/>
        </w:rPr>
      </w:pPr>
      <w:r>
        <w:rPr>
          <w:rFonts w:ascii="宋体" w:hAnsi="宋体" w:cs="黑体"/>
          <w:kern w:val="2"/>
          <w:szCs w:val="22"/>
          <w:highlight w:val="none"/>
        </w:rPr>
        <w:t>我</w:t>
      </w:r>
      <w:r>
        <w:rPr>
          <w:rFonts w:hint="eastAsia" w:ascii="宋体" w:hAnsi="宋体" w:cs="黑体"/>
          <w:kern w:val="2"/>
          <w:szCs w:val="22"/>
          <w:highlight w:val="none"/>
        </w:rPr>
        <w:t>方</w:t>
      </w:r>
      <w:r>
        <w:rPr>
          <w:rFonts w:ascii="宋体" w:hAnsi="宋体" w:cs="黑体"/>
          <w:kern w:val="2"/>
          <w:szCs w:val="22"/>
          <w:highlight w:val="none"/>
        </w:rPr>
        <w:t>声明，我们所填报的资料是完全真实和准确的，并愿为此承担任何相关的法律责任。</w:t>
      </w:r>
    </w:p>
    <w:p>
      <w:pPr>
        <w:shd w:val="clear"/>
        <w:spacing w:before="0" w:after="0" w:afterAutospacing="0"/>
        <w:ind w:left="0" w:leftChars="0" w:right="0" w:firstLine="0" w:firstLineChars="0"/>
        <w:rPr>
          <w:rFonts w:ascii="宋体" w:hAnsi="宋体"/>
          <w:color w:val="000000"/>
          <w:highlight w:val="none"/>
        </w:rPr>
      </w:pPr>
    </w:p>
    <w:p>
      <w:pPr>
        <w:widowControl w:val="0"/>
        <w:shd w:val="clear"/>
        <w:spacing w:before="0" w:after="0" w:afterAutospacing="0" w:line="360" w:lineRule="auto"/>
        <w:ind w:left="0" w:right="0" w:firstLine="200"/>
        <w:rPr>
          <w:rFonts w:ascii="宋体" w:hAnsi="宋体" w:cs="黑体"/>
          <w:kern w:val="2"/>
          <w:szCs w:val="22"/>
          <w:highlight w:val="none"/>
          <w:u w:val="single"/>
        </w:rPr>
      </w:pPr>
      <w:r>
        <w:rPr>
          <w:rFonts w:hint="eastAsia" w:ascii="宋体" w:hAnsi="宋体" w:cs="黑体"/>
          <w:kern w:val="2"/>
          <w:szCs w:val="22"/>
          <w:highlight w:val="none"/>
        </w:rPr>
        <w:t>比选申请人</w:t>
      </w:r>
      <w:r>
        <w:rPr>
          <w:rFonts w:ascii="宋体" w:hAnsi="宋体" w:cs="黑体"/>
          <w:kern w:val="2"/>
          <w:szCs w:val="22"/>
          <w:highlight w:val="none"/>
        </w:rPr>
        <w:t>地址：</w:t>
      </w:r>
      <w:r>
        <w:rPr>
          <w:rFonts w:hint="eastAsia" w:ascii="宋体" w:hAnsi="宋体" w:cs="黑体"/>
          <w:kern w:val="2"/>
          <w:szCs w:val="22"/>
          <w:highlight w:val="none"/>
        </w:rPr>
        <w:t xml:space="preserve"> </w:t>
      </w:r>
      <w:r>
        <w:rPr>
          <w:rFonts w:ascii="宋体" w:hAnsi="宋体" w:cs="黑体"/>
          <w:kern w:val="2"/>
          <w:szCs w:val="22"/>
          <w:highlight w:val="none"/>
        </w:rPr>
        <w:t xml:space="preserve">                                </w:t>
      </w:r>
      <w:r>
        <w:rPr>
          <w:rFonts w:hint="eastAsia" w:ascii="宋体" w:hAnsi="宋体" w:cs="黑体"/>
          <w:kern w:val="2"/>
          <w:szCs w:val="22"/>
          <w:highlight w:val="none"/>
        </w:rPr>
        <w:t>比选申请人</w:t>
      </w:r>
      <w:r>
        <w:rPr>
          <w:rFonts w:ascii="宋体" w:hAnsi="宋体" w:cs="黑体"/>
          <w:kern w:val="2"/>
          <w:szCs w:val="22"/>
          <w:highlight w:val="none"/>
          <w:u w:val="single"/>
        </w:rPr>
        <w:t xml:space="preserve">    (</w:t>
      </w:r>
      <w:r>
        <w:rPr>
          <w:rFonts w:hint="eastAsia" w:ascii="宋体" w:hAnsi="宋体" w:cs="黑体"/>
          <w:kern w:val="2"/>
          <w:szCs w:val="22"/>
          <w:highlight w:val="none"/>
          <w:u w:val="single"/>
        </w:rPr>
        <w:t>盖单位公章</w:t>
      </w:r>
      <w:r>
        <w:rPr>
          <w:rFonts w:ascii="宋体" w:hAnsi="宋体" w:cs="黑体"/>
          <w:kern w:val="2"/>
          <w:szCs w:val="22"/>
          <w:highlight w:val="none"/>
          <w:u w:val="single"/>
        </w:rPr>
        <w:t>)</w:t>
      </w:r>
    </w:p>
    <w:p>
      <w:pPr>
        <w:widowControl w:val="0"/>
        <w:shd w:val="clear"/>
        <w:spacing w:before="0" w:after="0" w:afterAutospacing="0" w:line="360" w:lineRule="auto"/>
        <w:ind w:left="0" w:right="0" w:firstLine="200"/>
        <w:rPr>
          <w:rFonts w:ascii="宋体" w:hAnsi="宋体" w:cs="黑体"/>
          <w:kern w:val="2"/>
          <w:szCs w:val="22"/>
          <w:highlight w:val="none"/>
        </w:rPr>
      </w:pPr>
    </w:p>
    <w:p>
      <w:pPr>
        <w:widowControl w:val="0"/>
        <w:shd w:val="clear"/>
        <w:spacing w:before="0" w:after="0" w:afterAutospacing="0" w:line="360" w:lineRule="auto"/>
        <w:ind w:left="0" w:right="0" w:firstLine="200"/>
        <w:rPr>
          <w:rFonts w:ascii="宋体" w:hAnsi="宋体" w:cs="黑体"/>
          <w:kern w:val="2"/>
          <w:szCs w:val="22"/>
          <w:highlight w:val="none"/>
        </w:rPr>
      </w:pPr>
      <w:r>
        <w:rPr>
          <w:rFonts w:ascii="宋体" w:hAnsi="宋体" w:cs="黑体"/>
          <w:kern w:val="2"/>
          <w:szCs w:val="22"/>
          <w:highlight w:val="none"/>
        </w:rPr>
        <w:t>邮政编码：</w:t>
      </w:r>
      <w:r>
        <w:rPr>
          <w:rFonts w:hint="eastAsia" w:ascii="宋体" w:hAnsi="宋体" w:cs="黑体"/>
          <w:kern w:val="2"/>
          <w:szCs w:val="22"/>
          <w:highlight w:val="none"/>
        </w:rPr>
        <w:t xml:space="preserve"> </w:t>
      </w:r>
      <w:r>
        <w:rPr>
          <w:rFonts w:ascii="宋体" w:hAnsi="宋体" w:cs="黑体"/>
          <w:kern w:val="2"/>
          <w:szCs w:val="22"/>
          <w:highlight w:val="none"/>
        </w:rPr>
        <w:t xml:space="preserve">                        </w:t>
      </w:r>
      <w:r>
        <w:rPr>
          <w:rFonts w:hint="eastAsia" w:ascii="宋体" w:hAnsi="宋体" w:cs="黑体"/>
          <w:kern w:val="2"/>
          <w:szCs w:val="22"/>
          <w:highlight w:val="none"/>
        </w:rPr>
        <w:t>法定代表人（或委托代理人）：</w:t>
      </w:r>
      <w:r>
        <w:rPr>
          <w:rFonts w:ascii="宋体" w:hAnsi="宋体" w:cs="黑体"/>
          <w:kern w:val="2"/>
          <w:szCs w:val="22"/>
          <w:highlight w:val="none"/>
          <w:u w:val="single"/>
        </w:rPr>
        <w:t>(签字</w:t>
      </w:r>
      <w:r>
        <w:rPr>
          <w:rFonts w:hint="eastAsia" w:ascii="宋体" w:hAnsi="宋体" w:cs="黑体"/>
          <w:kern w:val="2"/>
          <w:szCs w:val="22"/>
          <w:highlight w:val="none"/>
          <w:u w:val="single"/>
        </w:rPr>
        <w:t>或盖章</w:t>
      </w:r>
      <w:r>
        <w:rPr>
          <w:rFonts w:ascii="宋体" w:hAnsi="宋体" w:cs="黑体"/>
          <w:kern w:val="2"/>
          <w:szCs w:val="22"/>
          <w:highlight w:val="none"/>
          <w:u w:val="single"/>
        </w:rPr>
        <w:t>)</w:t>
      </w:r>
    </w:p>
    <w:p>
      <w:pPr>
        <w:widowControl w:val="0"/>
        <w:shd w:val="clear"/>
        <w:spacing w:before="0" w:after="0" w:afterAutospacing="0" w:line="360" w:lineRule="auto"/>
        <w:ind w:left="0" w:right="0" w:firstLine="200"/>
        <w:rPr>
          <w:rFonts w:ascii="宋体" w:hAnsi="宋体" w:cs="黑体"/>
          <w:kern w:val="2"/>
          <w:szCs w:val="22"/>
          <w:highlight w:val="none"/>
          <w:u w:val="single"/>
        </w:rPr>
      </w:pPr>
      <w:r>
        <w:rPr>
          <w:rFonts w:ascii="宋体" w:hAnsi="宋体" w:cs="黑体"/>
          <w:kern w:val="2"/>
          <w:szCs w:val="22"/>
          <w:highlight w:val="none"/>
        </w:rPr>
        <w:t>电话：　　</w:t>
      </w:r>
    </w:p>
    <w:p>
      <w:pPr>
        <w:widowControl w:val="0"/>
        <w:numPr>
          <w:ilvl w:val="-1"/>
          <w:numId w:val="0"/>
        </w:numPr>
        <w:shd w:val="clear"/>
        <w:spacing w:before="0" w:after="0" w:afterAutospacing="0" w:line="360" w:lineRule="auto"/>
        <w:ind w:left="0" w:right="0" w:firstLine="200"/>
        <w:rPr>
          <w:rFonts w:hint="eastAsia" w:ascii="Calibri" w:hAnsi="Calibri" w:cs="黑体"/>
          <w:kern w:val="2"/>
          <w:szCs w:val="22"/>
          <w:highlight w:val="none"/>
        </w:rPr>
      </w:pPr>
      <w:r>
        <w:rPr>
          <w:rFonts w:ascii="宋体" w:hAnsi="宋体" w:cs="黑体"/>
          <w:kern w:val="2"/>
          <w:szCs w:val="22"/>
          <w:highlight w:val="none"/>
        </w:rPr>
        <w:t>传真：</w:t>
      </w:r>
      <w:r>
        <w:rPr>
          <w:rFonts w:hint="eastAsia" w:ascii="宋体" w:hAnsi="宋体" w:cs="黑体"/>
          <w:kern w:val="2"/>
          <w:szCs w:val="22"/>
          <w:highlight w:val="none"/>
        </w:rPr>
        <w:t xml:space="preserve"> </w:t>
      </w:r>
      <w:r>
        <w:rPr>
          <w:rFonts w:ascii="宋体" w:hAnsi="宋体" w:cs="黑体"/>
          <w:kern w:val="2"/>
          <w:szCs w:val="22"/>
          <w:highlight w:val="none"/>
        </w:rPr>
        <w:t xml:space="preserve">                                          日期：</w:t>
      </w:r>
      <w:r>
        <w:rPr>
          <w:rFonts w:hint="eastAsia" w:ascii="宋体" w:hAnsi="宋体" w:cs="黑体"/>
          <w:kern w:val="2"/>
          <w:szCs w:val="22"/>
          <w:highlight w:val="none"/>
          <w:u w:val="single"/>
        </w:rPr>
        <w:t xml:space="preserve">      </w:t>
      </w:r>
      <w:r>
        <w:rPr>
          <w:rFonts w:ascii="宋体" w:hAnsi="宋体" w:cs="黑体"/>
          <w:kern w:val="2"/>
          <w:szCs w:val="22"/>
          <w:highlight w:val="none"/>
        </w:rPr>
        <w:t>年</w:t>
      </w:r>
      <w:r>
        <w:rPr>
          <w:rFonts w:hint="eastAsia" w:ascii="宋体" w:hAnsi="宋体" w:cs="黑体"/>
          <w:kern w:val="2"/>
          <w:szCs w:val="22"/>
          <w:highlight w:val="none"/>
          <w:u w:val="single"/>
        </w:rPr>
        <w:t xml:space="preserve">    </w:t>
      </w:r>
      <w:r>
        <w:rPr>
          <w:rFonts w:ascii="宋体" w:hAnsi="宋体" w:cs="黑体"/>
          <w:kern w:val="2"/>
          <w:szCs w:val="22"/>
          <w:highlight w:val="none"/>
        </w:rPr>
        <w:t>月</w:t>
      </w:r>
      <w:r>
        <w:rPr>
          <w:rFonts w:hint="eastAsia" w:ascii="宋体" w:hAnsi="宋体" w:cs="黑体"/>
          <w:kern w:val="2"/>
          <w:szCs w:val="22"/>
          <w:highlight w:val="none"/>
          <w:u w:val="single"/>
        </w:rPr>
        <w:t xml:space="preserve">   </w:t>
      </w:r>
      <w:r>
        <w:rPr>
          <w:rFonts w:ascii="宋体" w:hAnsi="宋体" w:cs="黑体"/>
          <w:kern w:val="2"/>
          <w:szCs w:val="22"/>
          <w:highlight w:val="none"/>
        </w:rPr>
        <w:t>日</w:t>
      </w:r>
    </w:p>
    <w:p>
      <w:pPr>
        <w:pStyle w:val="2"/>
        <w:shd w:val="clear"/>
        <w:rPr>
          <w:highlight w:val="none"/>
        </w:rPr>
      </w:pPr>
    </w:p>
    <w:p>
      <w:pPr>
        <w:pageBreakBefore/>
        <w:shd w:val="clear"/>
        <w:snapToGrid w:val="0"/>
        <w:ind w:right="0" w:firstLine="0"/>
        <w:jc w:val="left"/>
        <w:outlineLvl w:val="0"/>
        <w:rPr>
          <w:rFonts w:ascii="宋体" w:hAnsi="宋体"/>
          <w:b/>
          <w:highlight w:val="none"/>
        </w:rPr>
      </w:pPr>
      <w:bookmarkStart w:id="1640" w:name="_Toc25750678"/>
      <w:r>
        <w:rPr>
          <w:rFonts w:ascii="宋体" w:hAnsi="宋体"/>
          <w:b/>
          <w:highlight w:val="none"/>
        </w:rPr>
        <w:t>A</w:t>
      </w:r>
      <w:r>
        <w:rPr>
          <w:rFonts w:hint="eastAsia" w:ascii="宋体" w:hAnsi="宋体"/>
          <w:b/>
          <w:highlight w:val="none"/>
        </w:rPr>
        <w:t>4  类似项目</w:t>
      </w:r>
      <w:r>
        <w:rPr>
          <w:rFonts w:ascii="宋体" w:hAnsi="宋体"/>
          <w:b/>
          <w:highlight w:val="none"/>
        </w:rPr>
        <w:t>业绩表格式</w:t>
      </w:r>
      <w:bookmarkEnd w:id="1640"/>
    </w:p>
    <w:p>
      <w:pPr>
        <w:shd w:val="clear"/>
        <w:spacing w:before="0"/>
        <w:ind w:right="-57" w:firstLine="0"/>
        <w:jc w:val="center"/>
        <w:rPr>
          <w:rFonts w:ascii="宋体" w:hAnsi="宋体"/>
          <w:b/>
          <w:spacing w:val="20"/>
          <w:highlight w:val="none"/>
        </w:rPr>
      </w:pPr>
      <w:r>
        <w:rPr>
          <w:rFonts w:hint="eastAsia" w:ascii="宋体" w:hAnsi="宋体"/>
          <w:b/>
          <w:spacing w:val="20"/>
          <w:highlight w:val="none"/>
        </w:rPr>
        <w:t>类似项目</w:t>
      </w:r>
      <w:r>
        <w:rPr>
          <w:rFonts w:ascii="宋体" w:hAnsi="宋体"/>
          <w:b/>
          <w:spacing w:val="20"/>
          <w:highlight w:val="none"/>
        </w:rPr>
        <w:t>业绩表</w:t>
      </w:r>
    </w:p>
    <w:tbl>
      <w:tblPr>
        <w:tblStyle w:val="28"/>
        <w:tblW w:w="8940" w:type="dxa"/>
        <w:jc w:val="center"/>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599"/>
        <w:gridCol w:w="1092"/>
        <w:gridCol w:w="1789"/>
        <w:gridCol w:w="992"/>
        <w:gridCol w:w="993"/>
        <w:gridCol w:w="1388"/>
        <w:gridCol w:w="1044"/>
        <w:gridCol w:w="1043"/>
      </w:tblGrid>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440" w:hRule="atLeast"/>
          <w:jc w:val="center"/>
        </w:trPr>
        <w:tc>
          <w:tcPr>
            <w:tcW w:w="599" w:type="dxa"/>
            <w:tcBorders>
              <w:top w:val="double" w:color="auto" w:sz="4" w:space="0"/>
            </w:tcBorders>
            <w:vAlign w:val="center"/>
          </w:tcPr>
          <w:p>
            <w:pPr>
              <w:shd w:val="clear"/>
              <w:ind w:left="0" w:firstLine="0"/>
              <w:rPr>
                <w:rFonts w:ascii="宋体" w:hAnsi="宋体"/>
                <w:highlight w:val="none"/>
              </w:rPr>
            </w:pPr>
            <w:r>
              <w:rPr>
                <w:rFonts w:hint="eastAsia" w:ascii="宋体" w:hAnsi="宋体"/>
                <w:highlight w:val="none"/>
              </w:rPr>
              <w:t>序号</w:t>
            </w:r>
          </w:p>
        </w:tc>
        <w:tc>
          <w:tcPr>
            <w:tcW w:w="1092" w:type="dxa"/>
            <w:tcBorders>
              <w:top w:val="double" w:color="auto" w:sz="4" w:space="0"/>
            </w:tcBorders>
            <w:vAlign w:val="center"/>
          </w:tcPr>
          <w:p>
            <w:pPr>
              <w:shd w:val="clear"/>
              <w:ind w:left="0" w:firstLine="0"/>
              <w:rPr>
                <w:rFonts w:ascii="宋体" w:hAnsi="宋体"/>
                <w:highlight w:val="none"/>
              </w:rPr>
            </w:pPr>
            <w:r>
              <w:rPr>
                <w:rFonts w:hint="eastAsia" w:ascii="宋体" w:hAnsi="宋体"/>
                <w:highlight w:val="none"/>
              </w:rPr>
              <w:t>项目名称</w:t>
            </w:r>
          </w:p>
        </w:tc>
        <w:tc>
          <w:tcPr>
            <w:tcW w:w="1789" w:type="dxa"/>
            <w:tcBorders>
              <w:top w:val="double" w:color="auto" w:sz="4" w:space="0"/>
            </w:tcBorders>
            <w:vAlign w:val="center"/>
          </w:tcPr>
          <w:p>
            <w:pPr>
              <w:shd w:val="clear"/>
              <w:ind w:left="0" w:firstLine="0"/>
              <w:rPr>
                <w:rFonts w:ascii="宋体" w:hAnsi="宋体"/>
                <w:highlight w:val="none"/>
              </w:rPr>
            </w:pPr>
            <w:r>
              <w:rPr>
                <w:rFonts w:hint="eastAsia" w:ascii="宋体" w:hAnsi="宋体"/>
                <w:highlight w:val="none"/>
              </w:rPr>
              <w:t>合同内容（简述）</w:t>
            </w:r>
          </w:p>
        </w:tc>
        <w:tc>
          <w:tcPr>
            <w:tcW w:w="992" w:type="dxa"/>
            <w:tcBorders>
              <w:top w:val="double" w:color="auto" w:sz="4" w:space="0"/>
            </w:tcBorders>
            <w:vAlign w:val="center"/>
          </w:tcPr>
          <w:p>
            <w:pPr>
              <w:shd w:val="clear"/>
              <w:ind w:left="0" w:firstLine="0"/>
              <w:jc w:val="center"/>
              <w:rPr>
                <w:rFonts w:ascii="宋体" w:hAnsi="宋体"/>
                <w:highlight w:val="none"/>
              </w:rPr>
            </w:pPr>
            <w:r>
              <w:rPr>
                <w:rFonts w:hint="eastAsia" w:ascii="宋体" w:hAnsi="宋体"/>
                <w:highlight w:val="none"/>
              </w:rPr>
              <w:t>合同</w:t>
            </w:r>
            <w:r>
              <w:rPr>
                <w:rFonts w:ascii="宋体" w:hAnsi="宋体"/>
                <w:highlight w:val="none"/>
              </w:rPr>
              <w:br w:type="textWrapping"/>
            </w:r>
            <w:r>
              <w:rPr>
                <w:rFonts w:hint="eastAsia" w:ascii="宋体" w:hAnsi="宋体"/>
                <w:highlight w:val="none"/>
              </w:rPr>
              <w:t>金额</w:t>
            </w:r>
          </w:p>
        </w:tc>
        <w:tc>
          <w:tcPr>
            <w:tcW w:w="993" w:type="dxa"/>
            <w:tcBorders>
              <w:top w:val="double" w:color="auto" w:sz="4" w:space="0"/>
            </w:tcBorders>
            <w:vAlign w:val="center"/>
          </w:tcPr>
          <w:p>
            <w:pPr>
              <w:shd w:val="clear"/>
              <w:ind w:left="0" w:firstLine="0"/>
              <w:jc w:val="center"/>
              <w:rPr>
                <w:rFonts w:ascii="宋体" w:hAnsi="宋体"/>
                <w:highlight w:val="none"/>
              </w:rPr>
            </w:pPr>
            <w:r>
              <w:rPr>
                <w:rFonts w:hint="eastAsia" w:ascii="宋体" w:hAnsi="宋体"/>
                <w:highlight w:val="none"/>
              </w:rPr>
              <w:t>签订</w:t>
            </w:r>
            <w:r>
              <w:rPr>
                <w:rFonts w:ascii="宋体" w:hAnsi="宋体"/>
                <w:highlight w:val="none"/>
              </w:rPr>
              <w:br w:type="textWrapping"/>
            </w:r>
            <w:r>
              <w:rPr>
                <w:rFonts w:hint="eastAsia" w:ascii="宋体" w:hAnsi="宋体"/>
                <w:highlight w:val="none"/>
              </w:rPr>
              <w:t>时间</w:t>
            </w:r>
          </w:p>
        </w:tc>
        <w:tc>
          <w:tcPr>
            <w:tcW w:w="1388" w:type="dxa"/>
            <w:tcBorders>
              <w:top w:val="double" w:color="auto" w:sz="4" w:space="0"/>
            </w:tcBorders>
            <w:vAlign w:val="center"/>
          </w:tcPr>
          <w:p>
            <w:pPr>
              <w:shd w:val="clear"/>
              <w:ind w:left="0" w:firstLine="0"/>
              <w:jc w:val="center"/>
              <w:rPr>
                <w:rFonts w:ascii="宋体" w:hAnsi="宋体"/>
                <w:highlight w:val="none"/>
              </w:rPr>
            </w:pPr>
            <w:r>
              <w:rPr>
                <w:rFonts w:hint="eastAsia" w:ascii="宋体" w:hAnsi="宋体"/>
                <w:highlight w:val="none"/>
              </w:rPr>
              <w:t>供货、</w:t>
            </w:r>
            <w:r>
              <w:rPr>
                <w:rFonts w:hint="eastAsia"/>
                <w:highlight w:val="none"/>
              </w:rPr>
              <w:t>工期或服务</w:t>
            </w:r>
            <w:r>
              <w:rPr>
                <w:rFonts w:hint="eastAsia" w:ascii="宋体" w:hAnsi="宋体"/>
                <w:highlight w:val="none"/>
              </w:rPr>
              <w:t>时间</w:t>
            </w:r>
          </w:p>
        </w:tc>
        <w:tc>
          <w:tcPr>
            <w:tcW w:w="1044" w:type="dxa"/>
            <w:tcBorders>
              <w:top w:val="double" w:color="auto" w:sz="4" w:space="0"/>
            </w:tcBorders>
            <w:vAlign w:val="center"/>
          </w:tcPr>
          <w:p>
            <w:pPr>
              <w:shd w:val="clear"/>
              <w:ind w:left="0" w:firstLine="0"/>
              <w:rPr>
                <w:rFonts w:ascii="宋体" w:hAnsi="宋体"/>
                <w:highlight w:val="none"/>
              </w:rPr>
            </w:pPr>
            <w:r>
              <w:rPr>
                <w:rFonts w:hint="eastAsia" w:ascii="宋体" w:hAnsi="宋体"/>
                <w:highlight w:val="none"/>
              </w:rPr>
              <w:t>业主单位</w:t>
            </w:r>
          </w:p>
        </w:tc>
        <w:tc>
          <w:tcPr>
            <w:tcW w:w="1043" w:type="dxa"/>
            <w:tcBorders>
              <w:top w:val="double" w:color="auto" w:sz="4" w:space="0"/>
            </w:tcBorders>
            <w:vAlign w:val="center"/>
          </w:tcPr>
          <w:p>
            <w:pPr>
              <w:shd w:val="clear"/>
              <w:ind w:left="0" w:firstLine="0"/>
              <w:rPr>
                <w:rFonts w:ascii="宋体" w:hAnsi="宋体"/>
                <w:highlight w:val="none"/>
              </w:rPr>
            </w:pPr>
            <w:r>
              <w:rPr>
                <w:rFonts w:hint="eastAsia" w:ascii="宋体" w:hAnsi="宋体"/>
                <w:highlight w:val="none"/>
              </w:rPr>
              <w:t>联系电话</w:t>
            </w: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43" w:hRule="atLeast"/>
          <w:jc w:val="center"/>
        </w:trPr>
        <w:tc>
          <w:tcPr>
            <w:tcW w:w="599" w:type="dxa"/>
          </w:tcPr>
          <w:p>
            <w:pPr>
              <w:shd w:val="clear"/>
              <w:ind w:left="0" w:firstLine="0"/>
              <w:rPr>
                <w:rFonts w:ascii="宋体" w:hAnsi="宋体"/>
                <w:highlight w:val="none"/>
              </w:rPr>
            </w:pPr>
          </w:p>
        </w:tc>
        <w:tc>
          <w:tcPr>
            <w:tcW w:w="1092" w:type="dxa"/>
          </w:tcPr>
          <w:p>
            <w:pPr>
              <w:shd w:val="clear"/>
              <w:ind w:left="0" w:firstLine="0"/>
              <w:rPr>
                <w:rFonts w:ascii="宋体" w:hAnsi="宋体"/>
                <w:highlight w:val="none"/>
              </w:rPr>
            </w:pPr>
          </w:p>
        </w:tc>
        <w:tc>
          <w:tcPr>
            <w:tcW w:w="1789" w:type="dxa"/>
          </w:tcPr>
          <w:p>
            <w:pPr>
              <w:shd w:val="clear"/>
              <w:ind w:left="0" w:firstLine="0"/>
              <w:rPr>
                <w:rFonts w:ascii="宋体" w:hAnsi="宋体"/>
                <w:highlight w:val="none"/>
              </w:rPr>
            </w:pPr>
          </w:p>
        </w:tc>
        <w:tc>
          <w:tcPr>
            <w:tcW w:w="992" w:type="dxa"/>
          </w:tcPr>
          <w:p>
            <w:pPr>
              <w:shd w:val="clear"/>
              <w:ind w:left="0" w:firstLine="0"/>
              <w:rPr>
                <w:rFonts w:ascii="宋体" w:hAnsi="宋体"/>
                <w:highlight w:val="none"/>
              </w:rPr>
            </w:pPr>
          </w:p>
        </w:tc>
        <w:tc>
          <w:tcPr>
            <w:tcW w:w="993" w:type="dxa"/>
          </w:tcPr>
          <w:p>
            <w:pPr>
              <w:shd w:val="clear"/>
              <w:ind w:left="0" w:firstLine="0"/>
              <w:rPr>
                <w:rFonts w:ascii="宋体" w:hAnsi="宋体"/>
                <w:highlight w:val="none"/>
              </w:rPr>
            </w:pPr>
          </w:p>
        </w:tc>
        <w:tc>
          <w:tcPr>
            <w:tcW w:w="1388" w:type="dxa"/>
          </w:tcPr>
          <w:p>
            <w:pPr>
              <w:shd w:val="clear"/>
              <w:ind w:left="0" w:firstLine="0"/>
              <w:rPr>
                <w:rFonts w:ascii="宋体" w:hAnsi="宋体"/>
                <w:highlight w:val="none"/>
              </w:rPr>
            </w:pPr>
          </w:p>
        </w:tc>
        <w:tc>
          <w:tcPr>
            <w:tcW w:w="1044" w:type="dxa"/>
          </w:tcPr>
          <w:p>
            <w:pPr>
              <w:shd w:val="clear"/>
              <w:ind w:left="0" w:firstLine="0"/>
              <w:rPr>
                <w:rFonts w:ascii="宋体" w:hAnsi="宋体"/>
                <w:highlight w:val="none"/>
              </w:rPr>
            </w:pPr>
          </w:p>
        </w:tc>
        <w:tc>
          <w:tcPr>
            <w:tcW w:w="1043" w:type="dxa"/>
          </w:tcPr>
          <w:p>
            <w:pPr>
              <w:shd w:val="clear"/>
              <w:ind w:left="0" w:firstLine="0"/>
              <w:rPr>
                <w:rFonts w:ascii="宋体" w:hAnsi="宋体"/>
                <w:highlight w:val="none"/>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599" w:type="dxa"/>
            <w:vAlign w:val="center"/>
          </w:tcPr>
          <w:p>
            <w:pPr>
              <w:shd w:val="clear"/>
              <w:ind w:left="0" w:firstLine="0"/>
              <w:rPr>
                <w:rFonts w:ascii="宋体" w:hAnsi="宋体"/>
                <w:highlight w:val="none"/>
              </w:rPr>
            </w:pPr>
          </w:p>
        </w:tc>
        <w:tc>
          <w:tcPr>
            <w:tcW w:w="1092" w:type="dxa"/>
            <w:vAlign w:val="center"/>
          </w:tcPr>
          <w:p>
            <w:pPr>
              <w:shd w:val="clear"/>
              <w:ind w:left="0" w:firstLine="0"/>
              <w:rPr>
                <w:rFonts w:ascii="宋体" w:hAnsi="宋体"/>
                <w:highlight w:val="none"/>
              </w:rPr>
            </w:pPr>
          </w:p>
        </w:tc>
        <w:tc>
          <w:tcPr>
            <w:tcW w:w="1789" w:type="dxa"/>
            <w:vAlign w:val="center"/>
          </w:tcPr>
          <w:p>
            <w:pPr>
              <w:shd w:val="clear"/>
              <w:ind w:left="0" w:firstLine="0"/>
              <w:rPr>
                <w:rFonts w:ascii="宋体" w:hAnsi="宋体"/>
                <w:highlight w:val="none"/>
              </w:rPr>
            </w:pPr>
          </w:p>
        </w:tc>
        <w:tc>
          <w:tcPr>
            <w:tcW w:w="992" w:type="dxa"/>
            <w:vAlign w:val="center"/>
          </w:tcPr>
          <w:p>
            <w:pPr>
              <w:shd w:val="clear"/>
              <w:ind w:left="0" w:firstLine="0"/>
              <w:rPr>
                <w:rFonts w:ascii="宋体" w:hAnsi="宋体"/>
                <w:highlight w:val="none"/>
              </w:rPr>
            </w:pPr>
          </w:p>
        </w:tc>
        <w:tc>
          <w:tcPr>
            <w:tcW w:w="993" w:type="dxa"/>
            <w:vAlign w:val="center"/>
          </w:tcPr>
          <w:p>
            <w:pPr>
              <w:shd w:val="clear"/>
              <w:ind w:left="0" w:firstLine="0"/>
              <w:rPr>
                <w:rFonts w:ascii="宋体" w:hAnsi="宋体"/>
                <w:highlight w:val="none"/>
              </w:rPr>
            </w:pPr>
          </w:p>
        </w:tc>
        <w:tc>
          <w:tcPr>
            <w:tcW w:w="1388" w:type="dxa"/>
          </w:tcPr>
          <w:p>
            <w:pPr>
              <w:shd w:val="clear"/>
              <w:ind w:left="0" w:firstLine="0"/>
              <w:rPr>
                <w:rFonts w:ascii="宋体" w:hAnsi="宋体"/>
                <w:highlight w:val="none"/>
              </w:rPr>
            </w:pPr>
          </w:p>
        </w:tc>
        <w:tc>
          <w:tcPr>
            <w:tcW w:w="1044" w:type="dxa"/>
            <w:vAlign w:val="center"/>
          </w:tcPr>
          <w:p>
            <w:pPr>
              <w:shd w:val="clear"/>
              <w:ind w:left="0" w:firstLine="0"/>
              <w:rPr>
                <w:rFonts w:ascii="宋体" w:hAnsi="宋体"/>
                <w:highlight w:val="none"/>
              </w:rPr>
            </w:pPr>
          </w:p>
        </w:tc>
        <w:tc>
          <w:tcPr>
            <w:tcW w:w="1043" w:type="dxa"/>
            <w:vAlign w:val="center"/>
          </w:tcPr>
          <w:p>
            <w:pPr>
              <w:shd w:val="clear"/>
              <w:ind w:left="0" w:firstLine="0"/>
              <w:rPr>
                <w:rFonts w:ascii="宋体" w:hAnsi="宋体"/>
                <w:highlight w:val="none"/>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599" w:type="dxa"/>
            <w:vAlign w:val="center"/>
          </w:tcPr>
          <w:p>
            <w:pPr>
              <w:shd w:val="clear"/>
              <w:ind w:left="0" w:firstLine="0"/>
              <w:rPr>
                <w:rFonts w:ascii="宋体" w:hAnsi="宋体"/>
                <w:highlight w:val="none"/>
              </w:rPr>
            </w:pPr>
          </w:p>
        </w:tc>
        <w:tc>
          <w:tcPr>
            <w:tcW w:w="1092" w:type="dxa"/>
            <w:vAlign w:val="center"/>
          </w:tcPr>
          <w:p>
            <w:pPr>
              <w:shd w:val="clear"/>
              <w:ind w:left="0" w:firstLine="0"/>
              <w:rPr>
                <w:rFonts w:ascii="宋体" w:hAnsi="宋体"/>
                <w:highlight w:val="none"/>
              </w:rPr>
            </w:pPr>
          </w:p>
        </w:tc>
        <w:tc>
          <w:tcPr>
            <w:tcW w:w="1789" w:type="dxa"/>
            <w:vAlign w:val="center"/>
          </w:tcPr>
          <w:p>
            <w:pPr>
              <w:shd w:val="clear"/>
              <w:ind w:left="0" w:firstLine="0"/>
              <w:rPr>
                <w:rFonts w:ascii="宋体" w:hAnsi="宋体"/>
                <w:highlight w:val="none"/>
              </w:rPr>
            </w:pPr>
          </w:p>
        </w:tc>
        <w:tc>
          <w:tcPr>
            <w:tcW w:w="992" w:type="dxa"/>
            <w:vAlign w:val="center"/>
          </w:tcPr>
          <w:p>
            <w:pPr>
              <w:shd w:val="clear"/>
              <w:ind w:left="0" w:firstLine="0"/>
              <w:rPr>
                <w:rFonts w:ascii="宋体" w:hAnsi="宋体"/>
                <w:highlight w:val="none"/>
              </w:rPr>
            </w:pPr>
          </w:p>
        </w:tc>
        <w:tc>
          <w:tcPr>
            <w:tcW w:w="993" w:type="dxa"/>
            <w:vAlign w:val="center"/>
          </w:tcPr>
          <w:p>
            <w:pPr>
              <w:shd w:val="clear"/>
              <w:ind w:left="0" w:firstLine="0"/>
              <w:rPr>
                <w:rFonts w:ascii="宋体" w:hAnsi="宋体"/>
                <w:highlight w:val="none"/>
              </w:rPr>
            </w:pPr>
          </w:p>
        </w:tc>
        <w:tc>
          <w:tcPr>
            <w:tcW w:w="1388" w:type="dxa"/>
          </w:tcPr>
          <w:p>
            <w:pPr>
              <w:shd w:val="clear"/>
              <w:ind w:left="0" w:firstLine="0"/>
              <w:rPr>
                <w:rFonts w:ascii="宋体" w:hAnsi="宋体"/>
                <w:highlight w:val="none"/>
              </w:rPr>
            </w:pPr>
          </w:p>
        </w:tc>
        <w:tc>
          <w:tcPr>
            <w:tcW w:w="1044" w:type="dxa"/>
            <w:vAlign w:val="center"/>
          </w:tcPr>
          <w:p>
            <w:pPr>
              <w:shd w:val="clear"/>
              <w:ind w:left="0" w:firstLine="0"/>
              <w:rPr>
                <w:rFonts w:ascii="宋体" w:hAnsi="宋体"/>
                <w:highlight w:val="none"/>
              </w:rPr>
            </w:pPr>
          </w:p>
        </w:tc>
        <w:tc>
          <w:tcPr>
            <w:tcW w:w="1043" w:type="dxa"/>
            <w:vAlign w:val="center"/>
          </w:tcPr>
          <w:p>
            <w:pPr>
              <w:shd w:val="clear"/>
              <w:ind w:left="0" w:firstLine="0"/>
              <w:rPr>
                <w:rFonts w:ascii="宋体" w:hAnsi="宋体"/>
                <w:highlight w:val="none"/>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599" w:type="dxa"/>
            <w:vAlign w:val="center"/>
          </w:tcPr>
          <w:p>
            <w:pPr>
              <w:shd w:val="clear"/>
              <w:ind w:left="0" w:firstLine="0"/>
              <w:rPr>
                <w:rFonts w:ascii="宋体" w:hAnsi="宋体"/>
                <w:highlight w:val="none"/>
              </w:rPr>
            </w:pPr>
          </w:p>
        </w:tc>
        <w:tc>
          <w:tcPr>
            <w:tcW w:w="1092" w:type="dxa"/>
            <w:vAlign w:val="center"/>
          </w:tcPr>
          <w:p>
            <w:pPr>
              <w:shd w:val="clear"/>
              <w:ind w:left="0" w:firstLine="0"/>
              <w:rPr>
                <w:rFonts w:ascii="宋体" w:hAnsi="宋体"/>
                <w:highlight w:val="none"/>
              </w:rPr>
            </w:pPr>
          </w:p>
        </w:tc>
        <w:tc>
          <w:tcPr>
            <w:tcW w:w="1789" w:type="dxa"/>
            <w:vAlign w:val="center"/>
          </w:tcPr>
          <w:p>
            <w:pPr>
              <w:shd w:val="clear"/>
              <w:ind w:left="0" w:firstLine="0"/>
              <w:rPr>
                <w:rFonts w:ascii="宋体" w:hAnsi="宋体"/>
                <w:highlight w:val="none"/>
              </w:rPr>
            </w:pPr>
          </w:p>
        </w:tc>
        <w:tc>
          <w:tcPr>
            <w:tcW w:w="992" w:type="dxa"/>
            <w:vAlign w:val="center"/>
          </w:tcPr>
          <w:p>
            <w:pPr>
              <w:shd w:val="clear"/>
              <w:ind w:left="0" w:firstLine="0"/>
              <w:rPr>
                <w:rFonts w:ascii="宋体" w:hAnsi="宋体"/>
                <w:highlight w:val="none"/>
              </w:rPr>
            </w:pPr>
          </w:p>
        </w:tc>
        <w:tc>
          <w:tcPr>
            <w:tcW w:w="993" w:type="dxa"/>
            <w:vAlign w:val="center"/>
          </w:tcPr>
          <w:p>
            <w:pPr>
              <w:shd w:val="clear"/>
              <w:ind w:left="0" w:firstLine="0"/>
              <w:rPr>
                <w:rFonts w:ascii="宋体" w:hAnsi="宋体"/>
                <w:highlight w:val="none"/>
              </w:rPr>
            </w:pPr>
          </w:p>
        </w:tc>
        <w:tc>
          <w:tcPr>
            <w:tcW w:w="1388" w:type="dxa"/>
          </w:tcPr>
          <w:p>
            <w:pPr>
              <w:shd w:val="clear"/>
              <w:ind w:left="0" w:firstLine="0"/>
              <w:rPr>
                <w:rFonts w:ascii="宋体" w:hAnsi="宋体"/>
                <w:highlight w:val="none"/>
              </w:rPr>
            </w:pPr>
          </w:p>
        </w:tc>
        <w:tc>
          <w:tcPr>
            <w:tcW w:w="1044" w:type="dxa"/>
            <w:vAlign w:val="center"/>
          </w:tcPr>
          <w:p>
            <w:pPr>
              <w:shd w:val="clear"/>
              <w:ind w:left="0" w:firstLine="0"/>
              <w:rPr>
                <w:rFonts w:ascii="宋体" w:hAnsi="宋体"/>
                <w:highlight w:val="none"/>
              </w:rPr>
            </w:pPr>
          </w:p>
        </w:tc>
        <w:tc>
          <w:tcPr>
            <w:tcW w:w="1043" w:type="dxa"/>
            <w:vAlign w:val="center"/>
          </w:tcPr>
          <w:p>
            <w:pPr>
              <w:shd w:val="clear"/>
              <w:ind w:left="0" w:firstLine="0"/>
              <w:rPr>
                <w:rFonts w:ascii="宋体" w:hAnsi="宋体"/>
                <w:highlight w:val="none"/>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599" w:type="dxa"/>
            <w:vAlign w:val="center"/>
          </w:tcPr>
          <w:p>
            <w:pPr>
              <w:shd w:val="clear"/>
              <w:ind w:left="0" w:firstLine="0"/>
              <w:rPr>
                <w:rFonts w:ascii="宋体" w:hAnsi="宋体"/>
                <w:highlight w:val="none"/>
              </w:rPr>
            </w:pPr>
          </w:p>
        </w:tc>
        <w:tc>
          <w:tcPr>
            <w:tcW w:w="1092" w:type="dxa"/>
            <w:vAlign w:val="center"/>
          </w:tcPr>
          <w:p>
            <w:pPr>
              <w:shd w:val="clear"/>
              <w:ind w:left="0" w:firstLine="0"/>
              <w:rPr>
                <w:rFonts w:ascii="宋体" w:hAnsi="宋体"/>
                <w:highlight w:val="none"/>
              </w:rPr>
            </w:pPr>
          </w:p>
        </w:tc>
        <w:tc>
          <w:tcPr>
            <w:tcW w:w="1789" w:type="dxa"/>
            <w:vAlign w:val="center"/>
          </w:tcPr>
          <w:p>
            <w:pPr>
              <w:shd w:val="clear"/>
              <w:ind w:left="0" w:firstLine="0"/>
              <w:rPr>
                <w:rFonts w:ascii="宋体" w:hAnsi="宋体"/>
                <w:highlight w:val="none"/>
              </w:rPr>
            </w:pPr>
          </w:p>
        </w:tc>
        <w:tc>
          <w:tcPr>
            <w:tcW w:w="992" w:type="dxa"/>
            <w:vAlign w:val="center"/>
          </w:tcPr>
          <w:p>
            <w:pPr>
              <w:shd w:val="clear"/>
              <w:ind w:left="0" w:firstLine="0"/>
              <w:rPr>
                <w:rFonts w:ascii="宋体" w:hAnsi="宋体"/>
                <w:highlight w:val="none"/>
              </w:rPr>
            </w:pPr>
          </w:p>
        </w:tc>
        <w:tc>
          <w:tcPr>
            <w:tcW w:w="993" w:type="dxa"/>
            <w:vAlign w:val="center"/>
          </w:tcPr>
          <w:p>
            <w:pPr>
              <w:shd w:val="clear"/>
              <w:ind w:left="0" w:firstLine="0"/>
              <w:rPr>
                <w:rFonts w:ascii="宋体" w:hAnsi="宋体"/>
                <w:highlight w:val="none"/>
              </w:rPr>
            </w:pPr>
          </w:p>
        </w:tc>
        <w:tc>
          <w:tcPr>
            <w:tcW w:w="1388" w:type="dxa"/>
          </w:tcPr>
          <w:p>
            <w:pPr>
              <w:shd w:val="clear"/>
              <w:ind w:left="0" w:firstLine="0"/>
              <w:rPr>
                <w:rFonts w:ascii="宋体" w:hAnsi="宋体"/>
                <w:highlight w:val="none"/>
              </w:rPr>
            </w:pPr>
          </w:p>
        </w:tc>
        <w:tc>
          <w:tcPr>
            <w:tcW w:w="1044" w:type="dxa"/>
            <w:vAlign w:val="center"/>
          </w:tcPr>
          <w:p>
            <w:pPr>
              <w:shd w:val="clear"/>
              <w:ind w:left="0" w:firstLine="0"/>
              <w:rPr>
                <w:rFonts w:ascii="宋体" w:hAnsi="宋体"/>
                <w:highlight w:val="none"/>
              </w:rPr>
            </w:pPr>
          </w:p>
        </w:tc>
        <w:tc>
          <w:tcPr>
            <w:tcW w:w="1043" w:type="dxa"/>
            <w:vAlign w:val="center"/>
          </w:tcPr>
          <w:p>
            <w:pPr>
              <w:shd w:val="clear"/>
              <w:ind w:left="0" w:firstLine="0"/>
              <w:rPr>
                <w:rFonts w:ascii="宋体" w:hAnsi="宋体"/>
                <w:highlight w:val="none"/>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599" w:type="dxa"/>
            <w:vAlign w:val="center"/>
          </w:tcPr>
          <w:p>
            <w:pPr>
              <w:shd w:val="clear"/>
              <w:ind w:left="0" w:firstLine="0"/>
              <w:rPr>
                <w:rFonts w:ascii="宋体" w:hAnsi="宋体"/>
                <w:highlight w:val="none"/>
              </w:rPr>
            </w:pPr>
          </w:p>
        </w:tc>
        <w:tc>
          <w:tcPr>
            <w:tcW w:w="1092" w:type="dxa"/>
            <w:vAlign w:val="center"/>
          </w:tcPr>
          <w:p>
            <w:pPr>
              <w:shd w:val="clear"/>
              <w:ind w:left="0" w:firstLine="0"/>
              <w:rPr>
                <w:rFonts w:ascii="宋体" w:hAnsi="宋体"/>
                <w:highlight w:val="none"/>
              </w:rPr>
            </w:pPr>
          </w:p>
        </w:tc>
        <w:tc>
          <w:tcPr>
            <w:tcW w:w="1789" w:type="dxa"/>
            <w:vAlign w:val="center"/>
          </w:tcPr>
          <w:p>
            <w:pPr>
              <w:shd w:val="clear"/>
              <w:ind w:left="0" w:firstLine="0"/>
              <w:rPr>
                <w:rFonts w:ascii="宋体" w:hAnsi="宋体"/>
                <w:highlight w:val="none"/>
              </w:rPr>
            </w:pPr>
          </w:p>
        </w:tc>
        <w:tc>
          <w:tcPr>
            <w:tcW w:w="992" w:type="dxa"/>
            <w:vAlign w:val="center"/>
          </w:tcPr>
          <w:p>
            <w:pPr>
              <w:shd w:val="clear"/>
              <w:ind w:left="0" w:firstLine="0"/>
              <w:rPr>
                <w:rFonts w:ascii="宋体" w:hAnsi="宋体"/>
                <w:highlight w:val="none"/>
              </w:rPr>
            </w:pPr>
          </w:p>
        </w:tc>
        <w:tc>
          <w:tcPr>
            <w:tcW w:w="993" w:type="dxa"/>
            <w:vAlign w:val="center"/>
          </w:tcPr>
          <w:p>
            <w:pPr>
              <w:shd w:val="clear"/>
              <w:ind w:left="0" w:firstLine="0"/>
              <w:rPr>
                <w:rFonts w:ascii="宋体" w:hAnsi="宋体"/>
                <w:highlight w:val="none"/>
              </w:rPr>
            </w:pPr>
          </w:p>
        </w:tc>
        <w:tc>
          <w:tcPr>
            <w:tcW w:w="1388" w:type="dxa"/>
          </w:tcPr>
          <w:p>
            <w:pPr>
              <w:shd w:val="clear"/>
              <w:ind w:left="0" w:firstLine="0"/>
              <w:rPr>
                <w:rFonts w:ascii="宋体" w:hAnsi="宋体"/>
                <w:highlight w:val="none"/>
              </w:rPr>
            </w:pPr>
          </w:p>
        </w:tc>
        <w:tc>
          <w:tcPr>
            <w:tcW w:w="1044" w:type="dxa"/>
            <w:vAlign w:val="center"/>
          </w:tcPr>
          <w:p>
            <w:pPr>
              <w:shd w:val="clear"/>
              <w:ind w:left="0" w:firstLine="0"/>
              <w:rPr>
                <w:rFonts w:ascii="宋体" w:hAnsi="宋体"/>
                <w:highlight w:val="none"/>
              </w:rPr>
            </w:pPr>
          </w:p>
        </w:tc>
        <w:tc>
          <w:tcPr>
            <w:tcW w:w="1043" w:type="dxa"/>
            <w:vAlign w:val="center"/>
          </w:tcPr>
          <w:p>
            <w:pPr>
              <w:shd w:val="clear"/>
              <w:ind w:left="0" w:firstLine="0"/>
              <w:rPr>
                <w:rFonts w:ascii="宋体" w:hAnsi="宋体"/>
                <w:highlight w:val="none"/>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599" w:type="dxa"/>
            <w:vAlign w:val="center"/>
          </w:tcPr>
          <w:p>
            <w:pPr>
              <w:shd w:val="clear"/>
              <w:ind w:left="0" w:firstLine="0"/>
              <w:rPr>
                <w:rFonts w:ascii="宋体" w:hAnsi="宋体"/>
                <w:highlight w:val="none"/>
              </w:rPr>
            </w:pPr>
          </w:p>
        </w:tc>
        <w:tc>
          <w:tcPr>
            <w:tcW w:w="1092" w:type="dxa"/>
            <w:vAlign w:val="center"/>
          </w:tcPr>
          <w:p>
            <w:pPr>
              <w:shd w:val="clear"/>
              <w:ind w:left="0" w:firstLine="0"/>
              <w:rPr>
                <w:rFonts w:ascii="宋体" w:hAnsi="宋体"/>
                <w:highlight w:val="none"/>
              </w:rPr>
            </w:pPr>
          </w:p>
        </w:tc>
        <w:tc>
          <w:tcPr>
            <w:tcW w:w="1789" w:type="dxa"/>
            <w:vAlign w:val="center"/>
          </w:tcPr>
          <w:p>
            <w:pPr>
              <w:shd w:val="clear"/>
              <w:ind w:left="0" w:firstLine="0"/>
              <w:rPr>
                <w:rFonts w:ascii="宋体" w:hAnsi="宋体"/>
                <w:highlight w:val="none"/>
              </w:rPr>
            </w:pPr>
          </w:p>
        </w:tc>
        <w:tc>
          <w:tcPr>
            <w:tcW w:w="992" w:type="dxa"/>
            <w:vAlign w:val="center"/>
          </w:tcPr>
          <w:p>
            <w:pPr>
              <w:shd w:val="clear"/>
              <w:ind w:left="0" w:firstLine="0"/>
              <w:rPr>
                <w:rFonts w:ascii="宋体" w:hAnsi="宋体"/>
                <w:highlight w:val="none"/>
              </w:rPr>
            </w:pPr>
          </w:p>
        </w:tc>
        <w:tc>
          <w:tcPr>
            <w:tcW w:w="993" w:type="dxa"/>
            <w:vAlign w:val="center"/>
          </w:tcPr>
          <w:p>
            <w:pPr>
              <w:shd w:val="clear"/>
              <w:ind w:left="0" w:firstLine="0"/>
              <w:rPr>
                <w:rFonts w:ascii="宋体" w:hAnsi="宋体"/>
                <w:highlight w:val="none"/>
              </w:rPr>
            </w:pPr>
          </w:p>
        </w:tc>
        <w:tc>
          <w:tcPr>
            <w:tcW w:w="1388" w:type="dxa"/>
          </w:tcPr>
          <w:p>
            <w:pPr>
              <w:shd w:val="clear"/>
              <w:ind w:left="0" w:firstLine="0"/>
              <w:rPr>
                <w:rFonts w:ascii="宋体" w:hAnsi="宋体"/>
                <w:highlight w:val="none"/>
              </w:rPr>
            </w:pPr>
          </w:p>
        </w:tc>
        <w:tc>
          <w:tcPr>
            <w:tcW w:w="1044" w:type="dxa"/>
            <w:vAlign w:val="center"/>
          </w:tcPr>
          <w:p>
            <w:pPr>
              <w:shd w:val="clear"/>
              <w:ind w:left="0" w:firstLine="0"/>
              <w:rPr>
                <w:rFonts w:ascii="宋体" w:hAnsi="宋体"/>
                <w:highlight w:val="none"/>
              </w:rPr>
            </w:pPr>
          </w:p>
        </w:tc>
        <w:tc>
          <w:tcPr>
            <w:tcW w:w="1043" w:type="dxa"/>
            <w:vAlign w:val="center"/>
          </w:tcPr>
          <w:p>
            <w:pPr>
              <w:shd w:val="clear"/>
              <w:ind w:left="0" w:firstLine="0"/>
              <w:rPr>
                <w:rFonts w:ascii="宋体" w:hAnsi="宋体"/>
                <w:highlight w:val="none"/>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599" w:type="dxa"/>
            <w:vAlign w:val="center"/>
          </w:tcPr>
          <w:p>
            <w:pPr>
              <w:shd w:val="clear"/>
              <w:ind w:left="0" w:firstLine="0"/>
              <w:rPr>
                <w:rFonts w:ascii="宋体" w:hAnsi="宋体"/>
                <w:highlight w:val="none"/>
              </w:rPr>
            </w:pPr>
          </w:p>
        </w:tc>
        <w:tc>
          <w:tcPr>
            <w:tcW w:w="1092" w:type="dxa"/>
            <w:vAlign w:val="center"/>
          </w:tcPr>
          <w:p>
            <w:pPr>
              <w:shd w:val="clear"/>
              <w:ind w:left="0" w:firstLine="0"/>
              <w:rPr>
                <w:rFonts w:ascii="宋体" w:hAnsi="宋体"/>
                <w:highlight w:val="none"/>
              </w:rPr>
            </w:pPr>
          </w:p>
        </w:tc>
        <w:tc>
          <w:tcPr>
            <w:tcW w:w="1789" w:type="dxa"/>
            <w:vAlign w:val="center"/>
          </w:tcPr>
          <w:p>
            <w:pPr>
              <w:shd w:val="clear"/>
              <w:ind w:left="0" w:firstLine="0"/>
              <w:rPr>
                <w:rFonts w:ascii="宋体" w:hAnsi="宋体"/>
                <w:highlight w:val="none"/>
              </w:rPr>
            </w:pPr>
          </w:p>
        </w:tc>
        <w:tc>
          <w:tcPr>
            <w:tcW w:w="992" w:type="dxa"/>
            <w:vAlign w:val="center"/>
          </w:tcPr>
          <w:p>
            <w:pPr>
              <w:shd w:val="clear"/>
              <w:ind w:left="0" w:firstLine="0"/>
              <w:rPr>
                <w:rFonts w:ascii="宋体" w:hAnsi="宋体"/>
                <w:highlight w:val="none"/>
              </w:rPr>
            </w:pPr>
          </w:p>
        </w:tc>
        <w:tc>
          <w:tcPr>
            <w:tcW w:w="993" w:type="dxa"/>
            <w:vAlign w:val="center"/>
          </w:tcPr>
          <w:p>
            <w:pPr>
              <w:shd w:val="clear"/>
              <w:ind w:left="0" w:firstLine="0"/>
              <w:rPr>
                <w:rFonts w:ascii="宋体" w:hAnsi="宋体"/>
                <w:highlight w:val="none"/>
              </w:rPr>
            </w:pPr>
          </w:p>
        </w:tc>
        <w:tc>
          <w:tcPr>
            <w:tcW w:w="1388" w:type="dxa"/>
          </w:tcPr>
          <w:p>
            <w:pPr>
              <w:shd w:val="clear"/>
              <w:ind w:left="0" w:firstLine="0"/>
              <w:rPr>
                <w:rFonts w:ascii="宋体" w:hAnsi="宋体"/>
                <w:highlight w:val="none"/>
              </w:rPr>
            </w:pPr>
          </w:p>
        </w:tc>
        <w:tc>
          <w:tcPr>
            <w:tcW w:w="1044" w:type="dxa"/>
            <w:vAlign w:val="center"/>
          </w:tcPr>
          <w:p>
            <w:pPr>
              <w:shd w:val="clear"/>
              <w:ind w:left="0" w:firstLine="0"/>
              <w:rPr>
                <w:rFonts w:ascii="宋体" w:hAnsi="宋体"/>
                <w:highlight w:val="none"/>
              </w:rPr>
            </w:pPr>
          </w:p>
        </w:tc>
        <w:tc>
          <w:tcPr>
            <w:tcW w:w="1043" w:type="dxa"/>
            <w:vAlign w:val="center"/>
          </w:tcPr>
          <w:p>
            <w:pPr>
              <w:shd w:val="clear"/>
              <w:ind w:left="0" w:firstLine="0"/>
              <w:rPr>
                <w:rFonts w:ascii="宋体" w:hAnsi="宋体"/>
                <w:highlight w:val="none"/>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82" w:hRule="atLeast"/>
          <w:jc w:val="center"/>
        </w:trPr>
        <w:tc>
          <w:tcPr>
            <w:tcW w:w="599" w:type="dxa"/>
            <w:vAlign w:val="center"/>
          </w:tcPr>
          <w:p>
            <w:pPr>
              <w:shd w:val="clear"/>
              <w:ind w:left="0" w:firstLine="0"/>
              <w:rPr>
                <w:rFonts w:ascii="宋体" w:hAnsi="宋体"/>
                <w:highlight w:val="none"/>
              </w:rPr>
            </w:pPr>
          </w:p>
        </w:tc>
        <w:tc>
          <w:tcPr>
            <w:tcW w:w="1092" w:type="dxa"/>
            <w:vAlign w:val="center"/>
          </w:tcPr>
          <w:p>
            <w:pPr>
              <w:shd w:val="clear"/>
              <w:ind w:left="0" w:firstLine="0"/>
              <w:rPr>
                <w:rFonts w:ascii="宋体" w:hAnsi="宋体"/>
                <w:highlight w:val="none"/>
              </w:rPr>
            </w:pPr>
          </w:p>
        </w:tc>
        <w:tc>
          <w:tcPr>
            <w:tcW w:w="1789" w:type="dxa"/>
            <w:vAlign w:val="center"/>
          </w:tcPr>
          <w:p>
            <w:pPr>
              <w:shd w:val="clear"/>
              <w:ind w:left="0" w:firstLine="0"/>
              <w:rPr>
                <w:rFonts w:ascii="宋体" w:hAnsi="宋体"/>
                <w:highlight w:val="none"/>
              </w:rPr>
            </w:pPr>
          </w:p>
        </w:tc>
        <w:tc>
          <w:tcPr>
            <w:tcW w:w="992" w:type="dxa"/>
            <w:vAlign w:val="center"/>
          </w:tcPr>
          <w:p>
            <w:pPr>
              <w:shd w:val="clear"/>
              <w:ind w:left="0" w:firstLine="0"/>
              <w:rPr>
                <w:rFonts w:ascii="宋体" w:hAnsi="宋体"/>
                <w:highlight w:val="none"/>
              </w:rPr>
            </w:pPr>
          </w:p>
        </w:tc>
        <w:tc>
          <w:tcPr>
            <w:tcW w:w="993" w:type="dxa"/>
            <w:vAlign w:val="center"/>
          </w:tcPr>
          <w:p>
            <w:pPr>
              <w:shd w:val="clear"/>
              <w:ind w:left="0" w:firstLine="0"/>
              <w:rPr>
                <w:rFonts w:ascii="宋体" w:hAnsi="宋体"/>
                <w:highlight w:val="none"/>
              </w:rPr>
            </w:pPr>
          </w:p>
        </w:tc>
        <w:tc>
          <w:tcPr>
            <w:tcW w:w="1388" w:type="dxa"/>
          </w:tcPr>
          <w:p>
            <w:pPr>
              <w:shd w:val="clear"/>
              <w:ind w:left="0" w:firstLine="0"/>
              <w:rPr>
                <w:rFonts w:ascii="宋体" w:hAnsi="宋体"/>
                <w:highlight w:val="none"/>
              </w:rPr>
            </w:pPr>
          </w:p>
        </w:tc>
        <w:tc>
          <w:tcPr>
            <w:tcW w:w="1044" w:type="dxa"/>
            <w:vAlign w:val="center"/>
          </w:tcPr>
          <w:p>
            <w:pPr>
              <w:shd w:val="clear"/>
              <w:ind w:left="0" w:firstLine="0"/>
              <w:rPr>
                <w:rFonts w:ascii="宋体" w:hAnsi="宋体"/>
                <w:highlight w:val="none"/>
              </w:rPr>
            </w:pPr>
          </w:p>
        </w:tc>
        <w:tc>
          <w:tcPr>
            <w:tcW w:w="1043" w:type="dxa"/>
            <w:vAlign w:val="center"/>
          </w:tcPr>
          <w:p>
            <w:pPr>
              <w:shd w:val="clear"/>
              <w:ind w:left="0" w:firstLine="0"/>
              <w:rPr>
                <w:rFonts w:ascii="宋体" w:hAnsi="宋体"/>
                <w:highlight w:val="none"/>
              </w:rPr>
            </w:pPr>
          </w:p>
        </w:tc>
      </w:tr>
    </w:tbl>
    <w:p>
      <w:pPr>
        <w:shd w:val="clear"/>
        <w:spacing w:before="0"/>
        <w:ind w:left="567" w:right="-57" w:hanging="567"/>
        <w:jc w:val="left"/>
        <w:rPr>
          <w:rFonts w:ascii="宋体" w:hAnsi="宋体"/>
          <w:highlight w:val="none"/>
        </w:rPr>
      </w:pPr>
    </w:p>
    <w:p>
      <w:pPr>
        <w:shd w:val="clear"/>
        <w:spacing w:before="0" w:after="0" w:afterAutospacing="0"/>
        <w:ind w:left="0" w:right="0" w:firstLine="0"/>
        <w:rPr>
          <w:rFonts w:ascii="宋体" w:hAnsi="宋体"/>
          <w:highlight w:val="none"/>
        </w:rPr>
      </w:pPr>
      <w:r>
        <w:rPr>
          <w:rFonts w:ascii="宋体" w:hAnsi="宋体"/>
          <w:highlight w:val="none"/>
        </w:rPr>
        <w:t>注：1.</w:t>
      </w:r>
      <w:r>
        <w:rPr>
          <w:rFonts w:hint="eastAsia" w:ascii="宋体" w:hAnsi="宋体"/>
          <w:highlight w:val="none"/>
        </w:rPr>
        <w:t>类似项目业绩：比选申请人自2018年1月1日（备注：近5年）至投标截止时间前至少承接过1项合同金额不少于10万元的消防设施安装项目。</w:t>
      </w:r>
    </w:p>
    <w:p>
      <w:pPr>
        <w:shd w:val="clear"/>
        <w:spacing w:before="0" w:after="0" w:afterAutospacing="0"/>
        <w:ind w:left="0" w:right="0" w:firstLine="0"/>
        <w:rPr>
          <w:rFonts w:ascii="宋体" w:hAnsi="宋体"/>
          <w:highlight w:val="none"/>
        </w:rPr>
      </w:pPr>
      <w:r>
        <w:rPr>
          <w:rFonts w:ascii="宋体" w:hAnsi="宋体"/>
          <w:highlight w:val="none"/>
        </w:rPr>
        <w:t>2.</w:t>
      </w:r>
      <w:r>
        <w:rPr>
          <w:rFonts w:hint="eastAsia" w:ascii="宋体" w:hAnsi="宋体"/>
          <w:highlight w:val="none"/>
        </w:rPr>
        <w:t>项目按照时间顺序排列，时间以合同签订时间为准。</w:t>
      </w:r>
    </w:p>
    <w:p>
      <w:pPr>
        <w:shd w:val="clear"/>
        <w:spacing w:before="0" w:after="0" w:afterAutospacing="0"/>
        <w:ind w:left="0" w:right="0" w:firstLine="0"/>
        <w:rPr>
          <w:rFonts w:ascii="宋体" w:hAnsi="宋体"/>
          <w:highlight w:val="none"/>
        </w:rPr>
      </w:pPr>
      <w:r>
        <w:rPr>
          <w:rFonts w:ascii="宋体" w:hAnsi="宋体"/>
          <w:highlight w:val="none"/>
        </w:rPr>
        <w:t>3.</w:t>
      </w:r>
      <w:r>
        <w:rPr>
          <w:rFonts w:hint="eastAsia" w:ascii="宋体" w:hAnsi="宋体"/>
          <w:highlight w:val="none"/>
        </w:rPr>
        <w:t>比选申请人须提供相应的业绩证明材料：</w:t>
      </w:r>
      <w:r>
        <w:rPr>
          <w:rFonts w:hint="eastAsia" w:ascii="宋体" w:hAnsi="宋体"/>
          <w:color w:val="auto"/>
          <w:szCs w:val="21"/>
          <w:highlight w:val="none"/>
        </w:rPr>
        <w:t>项目合同文件</w:t>
      </w:r>
      <w:r>
        <w:rPr>
          <w:rFonts w:hint="default" w:ascii="宋体" w:hAnsi="宋体"/>
          <w:color w:val="auto"/>
          <w:szCs w:val="21"/>
          <w:highlight w:val="none"/>
        </w:rPr>
        <w:t>（</w:t>
      </w:r>
      <w:r>
        <w:rPr>
          <w:rFonts w:hint="eastAsia" w:ascii="宋体" w:hAnsi="宋体"/>
          <w:color w:val="auto"/>
          <w:szCs w:val="21"/>
          <w:highlight w:val="none"/>
        </w:rPr>
        <w:t>复印件加盖</w:t>
      </w:r>
      <w:r>
        <w:rPr>
          <w:rFonts w:hint="eastAsia" w:ascii="宋体" w:hAnsi="宋体"/>
          <w:color w:val="auto"/>
          <w:szCs w:val="21"/>
          <w:highlight w:val="none"/>
          <w:lang w:val="en-US" w:eastAsia="zh-CN"/>
        </w:rPr>
        <w:t>比选申请</w:t>
      </w:r>
      <w:r>
        <w:rPr>
          <w:rFonts w:hint="eastAsia" w:ascii="宋体" w:hAnsi="宋体"/>
          <w:color w:val="auto"/>
          <w:szCs w:val="21"/>
          <w:highlight w:val="none"/>
        </w:rPr>
        <w:t>人公章</w:t>
      </w:r>
      <w:r>
        <w:rPr>
          <w:rFonts w:hint="default" w:ascii="宋体" w:hAnsi="宋体"/>
          <w:color w:val="auto"/>
          <w:szCs w:val="21"/>
          <w:highlight w:val="none"/>
        </w:rPr>
        <w:t>）</w:t>
      </w:r>
      <w:r>
        <w:rPr>
          <w:rFonts w:hint="eastAsia" w:ascii="宋体" w:hAnsi="宋体"/>
          <w:color w:val="auto"/>
          <w:szCs w:val="21"/>
          <w:highlight w:val="none"/>
        </w:rPr>
        <w:t>，证明文件中须体现出合同双方、合同签订时间、合同金额（单价或合价，能统计出相应合同总价的均认可。）、反映业绩特征的内容等，否则视为无效证明文件</w:t>
      </w:r>
      <w:r>
        <w:rPr>
          <w:rFonts w:hint="eastAsia" w:ascii="宋体" w:hAnsi="宋体"/>
          <w:highlight w:val="none"/>
        </w:rPr>
        <w:t>。</w:t>
      </w:r>
    </w:p>
    <w:p>
      <w:pPr>
        <w:shd w:val="clear"/>
        <w:spacing w:before="0"/>
        <w:ind w:left="479" w:right="-57" w:hanging="17"/>
        <w:rPr>
          <w:rFonts w:ascii="宋体" w:hAnsi="宋体"/>
          <w:highlight w:val="none"/>
        </w:rPr>
      </w:pPr>
    </w:p>
    <w:p>
      <w:pPr>
        <w:shd w:val="clear"/>
        <w:spacing w:before="0"/>
        <w:ind w:left="479" w:right="-57" w:hanging="17"/>
        <w:rPr>
          <w:rFonts w:ascii="宋体" w:hAnsi="宋体"/>
          <w:highlight w:val="none"/>
        </w:rPr>
      </w:pPr>
    </w:p>
    <w:p>
      <w:pPr>
        <w:shd w:val="clear"/>
        <w:snapToGrid w:val="0"/>
        <w:spacing w:after="50" w:line="280" w:lineRule="exact"/>
        <w:ind w:left="955" w:right="-817" w:firstLine="2520" w:firstLineChars="1200"/>
        <w:rPr>
          <w:rFonts w:ascii="宋体" w:hAnsi="宋体"/>
          <w:highlight w:val="none"/>
          <w:u w:val="single"/>
        </w:rPr>
      </w:pPr>
      <w:r>
        <w:rPr>
          <w:rFonts w:hint="eastAsia" w:ascii="宋体" w:hAnsi="宋体"/>
          <w:highlight w:val="none"/>
        </w:rPr>
        <w:t>比选申请人名称（盖章）：</w:t>
      </w:r>
    </w:p>
    <w:p>
      <w:pPr>
        <w:shd w:val="clear"/>
        <w:snapToGrid w:val="0"/>
        <w:spacing w:after="50" w:line="280" w:lineRule="exact"/>
        <w:ind w:right="-817" w:firstLine="2625" w:firstLineChars="1250"/>
        <w:rPr>
          <w:rFonts w:ascii="宋体" w:hAnsi="宋体"/>
          <w:highlight w:val="none"/>
          <w:u w:val="single"/>
        </w:rPr>
      </w:pPr>
      <w:r>
        <w:rPr>
          <w:rFonts w:hint="eastAsia" w:ascii="宋体" w:hAnsi="宋体"/>
          <w:highlight w:val="none"/>
        </w:rPr>
        <w:t xml:space="preserve"> 法定代表人或被授权人（签字）：</w:t>
      </w:r>
    </w:p>
    <w:p>
      <w:pPr>
        <w:shd w:val="clear"/>
        <w:ind w:left="710" w:leftChars="338" w:right="-57" w:firstLine="3234" w:firstLineChars="1540"/>
        <w:jc w:val="left"/>
        <w:rPr>
          <w:rFonts w:ascii="宋体" w:hAnsi="宋体"/>
          <w:highlight w:val="none"/>
        </w:rPr>
      </w:pPr>
      <w:r>
        <w:rPr>
          <w:rFonts w:hint="eastAsia" w:ascii="宋体" w:hAnsi="宋体"/>
          <w:highlight w:val="none"/>
        </w:rPr>
        <w:t>日  期：</w:t>
      </w:r>
      <w:r>
        <w:rPr>
          <w:rFonts w:hint="eastAsia" w:ascii="宋体" w:hAnsi="宋体"/>
          <w:highlight w:val="none"/>
          <w:u w:val="single"/>
        </w:rPr>
        <w:t xml:space="preserve">     </w:t>
      </w:r>
      <w:r>
        <w:rPr>
          <w:rFonts w:hint="eastAsia" w:ascii="宋体" w:hAnsi="宋体"/>
          <w:highlight w:val="none"/>
        </w:rPr>
        <w:t>年</w:t>
      </w:r>
      <w:r>
        <w:rPr>
          <w:rFonts w:hint="eastAsia" w:ascii="宋体" w:hAnsi="宋体"/>
          <w:highlight w:val="none"/>
          <w:u w:val="single"/>
        </w:rPr>
        <w:t xml:space="preserve">   </w:t>
      </w:r>
      <w:r>
        <w:rPr>
          <w:rFonts w:hint="eastAsia" w:ascii="宋体" w:hAnsi="宋体"/>
          <w:highlight w:val="none"/>
        </w:rPr>
        <w:t>月</w:t>
      </w:r>
      <w:r>
        <w:rPr>
          <w:rFonts w:hint="eastAsia" w:ascii="宋体" w:hAnsi="宋体"/>
          <w:highlight w:val="none"/>
          <w:u w:val="single"/>
        </w:rPr>
        <w:t xml:space="preserve">   </w:t>
      </w:r>
      <w:r>
        <w:rPr>
          <w:rFonts w:hint="eastAsia" w:ascii="宋体" w:hAnsi="宋体"/>
          <w:highlight w:val="none"/>
        </w:rPr>
        <w:t>日</w:t>
      </w:r>
    </w:p>
    <w:p>
      <w:pPr>
        <w:pStyle w:val="4"/>
        <w:pageBreakBefore/>
        <w:shd w:val="clear"/>
        <w:spacing w:after="100"/>
        <w:ind w:left="0" w:right="-57" w:firstLine="0"/>
        <w:jc w:val="center"/>
        <w:rPr>
          <w:rFonts w:ascii="宋体" w:hAnsi="宋体"/>
          <w:sz w:val="24"/>
          <w:szCs w:val="24"/>
          <w:highlight w:val="none"/>
        </w:rPr>
      </w:pPr>
      <w:bookmarkStart w:id="1641" w:name="_Toc12677"/>
      <w:bookmarkStart w:id="1642" w:name="_Toc18876"/>
      <w:bookmarkStart w:id="1643" w:name="_Toc8914"/>
      <w:bookmarkStart w:id="1644" w:name="_Toc10812"/>
      <w:bookmarkStart w:id="1645" w:name="_Toc8451"/>
      <w:bookmarkStart w:id="1646" w:name="_Toc17687"/>
      <w:bookmarkStart w:id="1647" w:name="_Toc29358"/>
      <w:bookmarkStart w:id="1648" w:name="_Toc28662"/>
      <w:bookmarkStart w:id="1649" w:name="_Toc13328"/>
      <w:bookmarkStart w:id="1650" w:name="_Toc14586"/>
      <w:bookmarkStart w:id="1651" w:name="_Toc23770"/>
      <w:bookmarkStart w:id="1652" w:name="_Toc414290525"/>
      <w:bookmarkStart w:id="1653" w:name="_Toc27820"/>
      <w:bookmarkStart w:id="1654" w:name="_Toc12983551"/>
      <w:bookmarkStart w:id="1655" w:name="_Toc492478807"/>
      <w:bookmarkStart w:id="1656" w:name="_Toc12984811"/>
      <w:bookmarkStart w:id="1657" w:name="_Toc8874"/>
      <w:bookmarkStart w:id="1658" w:name="_Toc16676"/>
      <w:bookmarkStart w:id="1659" w:name="_Toc11582"/>
      <w:bookmarkStart w:id="1660" w:name="_Toc24971"/>
      <w:bookmarkStart w:id="1661" w:name="_Toc14988"/>
      <w:bookmarkStart w:id="1662" w:name="_Toc25750679"/>
      <w:r>
        <w:rPr>
          <w:rFonts w:ascii="宋体" w:hAnsi="宋体"/>
          <w:sz w:val="24"/>
          <w:szCs w:val="24"/>
          <w:highlight w:val="none"/>
        </w:rPr>
        <w:t xml:space="preserve">B </w:t>
      </w:r>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r>
        <w:rPr>
          <w:rFonts w:hint="eastAsia" w:ascii="宋体" w:hAnsi="宋体"/>
          <w:sz w:val="24"/>
          <w:szCs w:val="24"/>
          <w:highlight w:val="none"/>
        </w:rPr>
        <w:t>价格文件</w:t>
      </w:r>
      <w:bookmarkEnd w:id="1662"/>
    </w:p>
    <w:p>
      <w:pPr>
        <w:shd w:val="clear"/>
        <w:spacing w:before="0" w:after="0" w:afterAutospacing="0"/>
        <w:ind w:left="0" w:right="0" w:firstLine="422" w:firstLineChars="200"/>
        <w:jc w:val="left"/>
        <w:rPr>
          <w:rFonts w:ascii="宋体" w:hAnsi="宋体"/>
          <w:b/>
          <w:highlight w:val="none"/>
        </w:rPr>
      </w:pPr>
      <w:r>
        <w:rPr>
          <w:rFonts w:hint="eastAsia" w:ascii="宋体" w:hAnsi="宋体"/>
          <w:b/>
          <w:highlight w:val="none"/>
        </w:rPr>
        <w:t>价格文件格式</w:t>
      </w:r>
    </w:p>
    <w:p>
      <w:pPr>
        <w:shd w:val="clear"/>
        <w:spacing w:before="0" w:after="0" w:afterAutospacing="0" w:line="276" w:lineRule="auto"/>
        <w:ind w:left="0" w:right="0" w:firstLine="420" w:firstLineChars="200"/>
        <w:rPr>
          <w:highlight w:val="none"/>
        </w:rPr>
      </w:pPr>
      <w:r>
        <w:rPr>
          <w:rFonts w:hint="eastAsia"/>
          <w:highlight w:val="none"/>
        </w:rPr>
        <w:t>（</w:t>
      </w:r>
      <w:r>
        <w:rPr>
          <w:highlight w:val="none"/>
        </w:rPr>
        <w:t>1</w:t>
      </w:r>
      <w:r>
        <w:rPr>
          <w:rFonts w:hint="eastAsia"/>
          <w:highlight w:val="none"/>
        </w:rPr>
        <w:t>）比选申请报价一览表（格式见B1）；</w:t>
      </w:r>
    </w:p>
    <w:p>
      <w:pPr>
        <w:shd w:val="clear"/>
        <w:spacing w:before="0" w:after="0" w:afterAutospacing="0" w:line="276" w:lineRule="auto"/>
        <w:ind w:left="0" w:right="0" w:firstLine="420" w:firstLineChars="200"/>
        <w:rPr>
          <w:highlight w:val="none"/>
        </w:rPr>
      </w:pPr>
      <w:r>
        <w:rPr>
          <w:rFonts w:hint="eastAsia"/>
          <w:highlight w:val="none"/>
        </w:rPr>
        <w:t>（</w:t>
      </w:r>
      <w:r>
        <w:rPr>
          <w:highlight w:val="none"/>
        </w:rPr>
        <w:t>2</w:t>
      </w:r>
      <w:r>
        <w:rPr>
          <w:rFonts w:hint="eastAsia"/>
          <w:highlight w:val="none"/>
        </w:rPr>
        <w:t>）比选申请函（格式见B2）；</w:t>
      </w:r>
    </w:p>
    <w:p>
      <w:pPr>
        <w:shd w:val="clear"/>
        <w:spacing w:before="0" w:after="0" w:afterAutospacing="0" w:line="276" w:lineRule="auto"/>
        <w:ind w:left="0" w:right="0" w:firstLine="420" w:firstLineChars="200"/>
        <w:rPr>
          <w:highlight w:val="none"/>
        </w:rPr>
      </w:pPr>
      <w:r>
        <w:rPr>
          <w:rFonts w:hint="eastAsia"/>
          <w:highlight w:val="none"/>
        </w:rPr>
        <w:t>（</w:t>
      </w:r>
      <w:r>
        <w:rPr>
          <w:highlight w:val="none"/>
        </w:rPr>
        <w:t>3</w:t>
      </w:r>
      <w:r>
        <w:rPr>
          <w:rFonts w:hint="eastAsia"/>
          <w:highlight w:val="none"/>
        </w:rPr>
        <w:t>）比选申请报价表（格式见B3）；</w:t>
      </w:r>
    </w:p>
    <w:p>
      <w:pPr>
        <w:shd w:val="clear"/>
        <w:spacing w:before="0" w:after="0" w:afterAutospacing="0"/>
        <w:ind w:left="0" w:right="0" w:firstLine="420" w:firstLineChars="200"/>
        <w:rPr>
          <w:rFonts w:ascii="宋体" w:hAnsi="宋体" w:cs="Arial"/>
          <w:highlight w:val="none"/>
        </w:rPr>
      </w:pPr>
      <w:r>
        <w:rPr>
          <w:rFonts w:hint="eastAsia"/>
          <w:highlight w:val="none"/>
        </w:rPr>
        <w:t>（4）比选申请人认为应提交的其他比选申请资料。</w:t>
      </w:r>
    </w:p>
    <w:p>
      <w:pPr>
        <w:pStyle w:val="5"/>
        <w:shd w:val="clear"/>
        <w:tabs>
          <w:tab w:val="left" w:pos="567"/>
          <w:tab w:val="left" w:pos="720"/>
        </w:tabs>
        <w:snapToGrid w:val="0"/>
        <w:spacing w:after="0" w:line="360" w:lineRule="auto"/>
        <w:ind w:right="-57" w:firstLine="0"/>
        <w:jc w:val="left"/>
        <w:rPr>
          <w:rFonts w:ascii="宋体" w:hAnsi="宋体" w:eastAsia="宋体"/>
          <w:sz w:val="21"/>
          <w:szCs w:val="21"/>
          <w:highlight w:val="none"/>
        </w:rPr>
      </w:pPr>
      <w:r>
        <w:rPr>
          <w:rFonts w:ascii="宋体" w:hAnsi="宋体" w:eastAsia="宋体"/>
          <w:highlight w:val="none"/>
        </w:rPr>
        <w:br w:type="page"/>
      </w:r>
      <w:bookmarkStart w:id="1663" w:name="_Toc29688"/>
      <w:bookmarkStart w:id="1664" w:name="_Toc12983552"/>
      <w:bookmarkStart w:id="1665" w:name="_Toc25419"/>
      <w:bookmarkStart w:id="1666" w:name="_Toc492478808"/>
      <w:bookmarkStart w:id="1667" w:name="_Toc7004"/>
      <w:bookmarkStart w:id="1668" w:name="_Toc25750680"/>
      <w:bookmarkStart w:id="1669" w:name="_Toc24326"/>
      <w:bookmarkStart w:id="1670" w:name="_Toc18516"/>
      <w:bookmarkStart w:id="1671" w:name="_Toc18340"/>
      <w:bookmarkStart w:id="1672" w:name="_Toc375564355"/>
      <w:bookmarkStart w:id="1673" w:name="_Toc6992"/>
      <w:bookmarkStart w:id="1674" w:name="_Toc24487"/>
      <w:bookmarkStart w:id="1675" w:name="_Toc13980"/>
      <w:bookmarkStart w:id="1676" w:name="_Toc12951"/>
      <w:bookmarkStart w:id="1677" w:name="_Toc16489"/>
      <w:bookmarkStart w:id="1678" w:name="_Toc414290526"/>
      <w:bookmarkStart w:id="1679" w:name="_Toc9560"/>
      <w:bookmarkStart w:id="1680" w:name="_Toc23615"/>
      <w:bookmarkStart w:id="1681" w:name="_Toc10991"/>
      <w:bookmarkStart w:id="1682" w:name="_Toc12984812"/>
      <w:bookmarkStart w:id="1683" w:name="_Toc1158"/>
      <w:bookmarkStart w:id="1684" w:name="_Toc9861"/>
      <w:bookmarkStart w:id="1685" w:name="_Toc27610"/>
      <w:bookmarkStart w:id="1686" w:name="_Toc29231"/>
      <w:r>
        <w:rPr>
          <w:rFonts w:ascii="宋体" w:hAnsi="宋体" w:eastAsia="宋体"/>
          <w:sz w:val="21"/>
          <w:szCs w:val="21"/>
          <w:highlight w:val="none"/>
        </w:rPr>
        <w:t>B1比选申请报价一览表</w:t>
      </w:r>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p>
    <w:p>
      <w:pPr>
        <w:shd w:val="clear"/>
        <w:snapToGrid w:val="0"/>
        <w:spacing w:after="50"/>
        <w:ind w:right="-57" w:firstLine="0"/>
        <w:jc w:val="center"/>
        <w:rPr>
          <w:rFonts w:ascii="宋体" w:hAnsi="宋体"/>
          <w:b/>
          <w:sz w:val="24"/>
          <w:szCs w:val="24"/>
          <w:highlight w:val="none"/>
        </w:rPr>
      </w:pPr>
      <w:r>
        <w:rPr>
          <w:rFonts w:hint="eastAsia" w:ascii="宋体" w:hAnsi="宋体"/>
          <w:b/>
          <w:sz w:val="24"/>
          <w:szCs w:val="24"/>
          <w:highlight w:val="none"/>
        </w:rPr>
        <w:t>比选申请报价一览表</w:t>
      </w:r>
    </w:p>
    <w:p>
      <w:pPr>
        <w:widowControl w:val="0"/>
        <w:shd w:val="clear"/>
        <w:snapToGrid w:val="0"/>
        <w:spacing w:before="0" w:after="0" w:afterAutospacing="0"/>
        <w:ind w:left="0" w:right="-57" w:rightChars="-27" w:firstLine="0"/>
        <w:rPr>
          <w:rFonts w:ascii="宋体" w:hAnsi="宋体"/>
          <w:kern w:val="2"/>
          <w:highlight w:val="none"/>
          <w:u w:val="single"/>
        </w:rPr>
      </w:pPr>
      <w:r>
        <w:rPr>
          <w:rFonts w:hint="eastAsia" w:ascii="宋体" w:hAnsi="宋体"/>
          <w:kern w:val="2"/>
          <w:highlight w:val="none"/>
        </w:rPr>
        <w:t>项目名称：控制中心电动汽车充电桩喷淋系统采购项目</w:t>
      </w:r>
    </w:p>
    <w:p>
      <w:pPr>
        <w:widowControl w:val="0"/>
        <w:shd w:val="clear"/>
        <w:snapToGrid w:val="0"/>
        <w:spacing w:before="0" w:after="0" w:afterAutospacing="0"/>
        <w:ind w:left="0" w:right="-57" w:rightChars="-27" w:firstLine="0"/>
        <w:rPr>
          <w:rFonts w:ascii="宋体" w:hAnsi="宋体"/>
          <w:kern w:val="2"/>
          <w:highlight w:val="none"/>
        </w:rPr>
      </w:pPr>
      <w:r>
        <w:rPr>
          <w:rFonts w:hint="eastAsia" w:ascii="宋体" w:hAnsi="宋体"/>
          <w:kern w:val="2"/>
          <w:highlight w:val="none"/>
        </w:rPr>
        <w:t>项目编号：202306250002</w:t>
      </w:r>
    </w:p>
    <w:p>
      <w:pPr>
        <w:widowControl w:val="0"/>
        <w:shd w:val="clear"/>
        <w:snapToGrid w:val="0"/>
        <w:spacing w:before="0" w:after="0" w:afterAutospacing="0"/>
        <w:ind w:right="-57" w:rightChars="-27"/>
        <w:rPr>
          <w:rFonts w:ascii="宋体" w:hAnsi="宋体"/>
          <w:kern w:val="2"/>
          <w:highlight w:val="none"/>
        </w:rPr>
      </w:pPr>
      <w:r>
        <w:rPr>
          <w:rFonts w:hint="eastAsia" w:ascii="宋体" w:hAnsi="宋体"/>
          <w:kern w:val="2"/>
          <w:highlight w:val="none"/>
        </w:rPr>
        <w:t>比选申请人名称：                   单位：元</w:t>
      </w:r>
    </w:p>
    <w:tbl>
      <w:tblPr>
        <w:tblStyle w:val="29"/>
        <w:tblW w:w="98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0"/>
        <w:gridCol w:w="3990"/>
        <w:gridCol w:w="1104"/>
        <w:gridCol w:w="2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0" w:type="dxa"/>
            <w:vMerge w:val="restart"/>
          </w:tcPr>
          <w:p>
            <w:pPr>
              <w:widowControl w:val="0"/>
              <w:shd w:val="clear"/>
              <w:spacing w:before="0" w:after="0" w:afterAutospacing="0" w:line="240" w:lineRule="auto"/>
              <w:ind w:left="0" w:right="0" w:firstLine="0"/>
              <w:jc w:val="both"/>
              <w:rPr>
                <w:rFonts w:ascii="Calibri" w:hAnsi="Calibri" w:cs="黑体"/>
                <w:b/>
                <w:bCs/>
                <w:kern w:val="2"/>
                <w:szCs w:val="22"/>
                <w:highlight w:val="none"/>
              </w:rPr>
            </w:pPr>
          </w:p>
          <w:p>
            <w:pPr>
              <w:widowControl w:val="0"/>
              <w:shd w:val="clear"/>
              <w:spacing w:before="0" w:after="0" w:afterAutospacing="0" w:line="240" w:lineRule="auto"/>
              <w:ind w:left="0" w:right="0" w:firstLine="0"/>
              <w:jc w:val="center"/>
              <w:rPr>
                <w:rFonts w:ascii="Calibri" w:hAnsi="Calibri" w:cs="黑体"/>
                <w:b/>
                <w:bCs/>
                <w:kern w:val="2"/>
                <w:szCs w:val="22"/>
                <w:highlight w:val="none"/>
              </w:rPr>
            </w:pPr>
          </w:p>
          <w:p>
            <w:pPr>
              <w:widowControl w:val="0"/>
              <w:shd w:val="clear"/>
              <w:spacing w:before="0" w:after="0" w:afterAutospacing="0" w:line="240" w:lineRule="auto"/>
              <w:ind w:left="0" w:right="0" w:firstLine="0"/>
              <w:jc w:val="center"/>
              <w:rPr>
                <w:rFonts w:ascii="Calibri" w:hAnsi="Calibri" w:cs="黑体"/>
                <w:b/>
                <w:bCs/>
                <w:kern w:val="2"/>
                <w:szCs w:val="22"/>
                <w:highlight w:val="none"/>
              </w:rPr>
            </w:pPr>
          </w:p>
          <w:p>
            <w:pPr>
              <w:widowControl w:val="0"/>
              <w:shd w:val="clear"/>
              <w:spacing w:before="0" w:after="0" w:afterAutospacing="0" w:line="240" w:lineRule="auto"/>
              <w:ind w:left="0" w:right="0" w:firstLine="0"/>
              <w:jc w:val="center"/>
              <w:rPr>
                <w:rFonts w:ascii="Calibri" w:hAnsi="Calibri" w:cs="黑体"/>
                <w:b/>
                <w:bCs/>
                <w:kern w:val="2"/>
                <w:szCs w:val="22"/>
                <w:highlight w:val="none"/>
              </w:rPr>
            </w:pPr>
            <w:r>
              <w:rPr>
                <w:rFonts w:hint="eastAsia" w:ascii="Calibri" w:hAnsi="Calibri" w:cs="黑体"/>
                <w:b/>
                <w:bCs/>
                <w:kern w:val="2"/>
                <w:szCs w:val="21"/>
                <w:highlight w:val="none"/>
              </w:rPr>
              <w:t>比选报价汇总合计</w:t>
            </w:r>
          </w:p>
        </w:tc>
        <w:tc>
          <w:tcPr>
            <w:tcW w:w="3990" w:type="dxa"/>
          </w:tcPr>
          <w:p>
            <w:pPr>
              <w:widowControl w:val="0"/>
              <w:shd w:val="clear"/>
              <w:spacing w:before="0" w:after="0" w:afterAutospacing="0" w:line="240" w:lineRule="auto"/>
              <w:ind w:left="0" w:right="0" w:firstLine="0"/>
              <w:jc w:val="center"/>
              <w:rPr>
                <w:rFonts w:ascii="Calibri" w:hAnsi="Calibri" w:cs="黑体"/>
                <w:b/>
                <w:bCs/>
                <w:kern w:val="2"/>
                <w:szCs w:val="22"/>
                <w:highlight w:val="none"/>
              </w:rPr>
            </w:pPr>
            <w:r>
              <w:rPr>
                <w:rFonts w:hint="eastAsia" w:ascii="Calibri" w:hAnsi="Calibri" w:cs="黑体"/>
                <w:b/>
                <w:bCs/>
                <w:kern w:val="2"/>
                <w:szCs w:val="22"/>
                <w:highlight w:val="none"/>
              </w:rPr>
              <w:t>不含</w:t>
            </w:r>
            <w:r>
              <w:rPr>
                <w:rFonts w:hint="eastAsia" w:ascii="Calibri" w:hAnsi="Calibri" w:cs="黑体"/>
                <w:b/>
                <w:bCs/>
                <w:kern w:val="2"/>
                <w:szCs w:val="22"/>
                <w:highlight w:val="none"/>
                <w:lang w:val="en-US" w:eastAsia="zh-CN"/>
              </w:rPr>
              <w:t>增值</w:t>
            </w:r>
            <w:r>
              <w:rPr>
                <w:rFonts w:hint="eastAsia" w:ascii="Calibri" w:hAnsi="Calibri" w:cs="黑体"/>
                <w:b/>
                <w:bCs/>
                <w:kern w:val="2"/>
                <w:szCs w:val="22"/>
                <w:highlight w:val="none"/>
              </w:rPr>
              <w:t>税</w:t>
            </w:r>
            <w:r>
              <w:rPr>
                <w:rFonts w:hint="eastAsia" w:ascii="Calibri" w:hAnsi="Calibri" w:cs="黑体"/>
                <w:b/>
                <w:bCs/>
                <w:kern w:val="2"/>
                <w:szCs w:val="22"/>
                <w:highlight w:val="none"/>
                <w:lang w:val="en-US" w:eastAsia="zh-CN"/>
              </w:rPr>
              <w:t>总</w:t>
            </w:r>
            <w:r>
              <w:rPr>
                <w:rFonts w:hint="eastAsia" w:ascii="Calibri" w:hAnsi="Calibri" w:cs="黑体"/>
                <w:b/>
                <w:bCs/>
                <w:kern w:val="2"/>
                <w:szCs w:val="22"/>
                <w:highlight w:val="none"/>
              </w:rPr>
              <w:t>价（元）</w:t>
            </w:r>
          </w:p>
        </w:tc>
        <w:tc>
          <w:tcPr>
            <w:tcW w:w="1104" w:type="dxa"/>
          </w:tcPr>
          <w:p>
            <w:pPr>
              <w:widowControl w:val="0"/>
              <w:shd w:val="clear"/>
              <w:spacing w:before="0" w:after="0" w:afterAutospacing="0" w:line="240" w:lineRule="auto"/>
              <w:ind w:left="0" w:right="0" w:firstLine="0"/>
              <w:jc w:val="center"/>
              <w:rPr>
                <w:rFonts w:ascii="Calibri" w:hAnsi="Calibri" w:cs="黑体"/>
                <w:b/>
                <w:bCs/>
                <w:kern w:val="2"/>
                <w:szCs w:val="22"/>
                <w:highlight w:val="none"/>
              </w:rPr>
            </w:pPr>
            <w:r>
              <w:rPr>
                <w:rFonts w:hint="eastAsia" w:ascii="Calibri" w:hAnsi="Calibri" w:cs="黑体"/>
                <w:b/>
                <w:bCs/>
                <w:kern w:val="2"/>
                <w:szCs w:val="22"/>
                <w:highlight w:val="none"/>
              </w:rPr>
              <w:t>税率</w:t>
            </w:r>
          </w:p>
        </w:tc>
        <w:tc>
          <w:tcPr>
            <w:tcW w:w="2360" w:type="dxa"/>
          </w:tcPr>
          <w:p>
            <w:pPr>
              <w:widowControl w:val="0"/>
              <w:shd w:val="clear"/>
              <w:spacing w:before="0" w:after="0" w:afterAutospacing="0" w:line="240" w:lineRule="auto"/>
              <w:ind w:left="0" w:right="0" w:firstLine="0"/>
              <w:jc w:val="center"/>
              <w:rPr>
                <w:rFonts w:ascii="Calibri" w:hAnsi="Calibri" w:cs="黑体"/>
                <w:b/>
                <w:bCs/>
                <w:kern w:val="2"/>
                <w:szCs w:val="22"/>
                <w:highlight w:val="none"/>
              </w:rPr>
            </w:pPr>
            <w:r>
              <w:rPr>
                <w:rFonts w:hint="eastAsia" w:ascii="Calibri" w:hAnsi="Calibri" w:cs="黑体"/>
                <w:b/>
                <w:bCs/>
                <w:kern w:val="2"/>
                <w:szCs w:val="22"/>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jc w:val="center"/>
        </w:trPr>
        <w:tc>
          <w:tcPr>
            <w:tcW w:w="2360" w:type="dxa"/>
            <w:vMerge w:val="continue"/>
          </w:tcPr>
          <w:p>
            <w:pPr>
              <w:widowControl w:val="0"/>
              <w:shd w:val="clear"/>
              <w:spacing w:before="0" w:after="0" w:afterAutospacing="0" w:line="240" w:lineRule="auto"/>
              <w:ind w:left="0" w:right="0" w:firstLine="0"/>
              <w:jc w:val="center"/>
              <w:rPr>
                <w:rFonts w:ascii="Calibri" w:hAnsi="Calibri" w:cs="黑体"/>
                <w:b/>
                <w:bCs/>
                <w:kern w:val="2"/>
                <w:szCs w:val="22"/>
                <w:highlight w:val="none"/>
              </w:rPr>
            </w:pPr>
          </w:p>
        </w:tc>
        <w:tc>
          <w:tcPr>
            <w:tcW w:w="3990" w:type="dxa"/>
          </w:tcPr>
          <w:p>
            <w:pPr>
              <w:widowControl w:val="0"/>
              <w:shd w:val="clear"/>
              <w:spacing w:before="0" w:after="0" w:afterAutospacing="0" w:line="240" w:lineRule="auto"/>
              <w:ind w:left="0" w:right="0" w:firstLine="0"/>
              <w:rPr>
                <w:rFonts w:ascii="Calibri" w:hAnsi="Calibri" w:cs="黑体"/>
                <w:b/>
                <w:bCs/>
                <w:kern w:val="2"/>
                <w:szCs w:val="22"/>
                <w:highlight w:val="none"/>
              </w:rPr>
            </w:pPr>
          </w:p>
          <w:p>
            <w:pPr>
              <w:widowControl w:val="0"/>
              <w:shd w:val="clear"/>
              <w:spacing w:before="0" w:after="0" w:afterAutospacing="0" w:line="240" w:lineRule="auto"/>
              <w:ind w:left="0" w:right="0" w:firstLine="0"/>
              <w:rPr>
                <w:rFonts w:ascii="Calibri" w:hAnsi="Calibri" w:cs="黑体"/>
                <w:b/>
                <w:bCs/>
                <w:kern w:val="2"/>
                <w:szCs w:val="22"/>
                <w:highlight w:val="none"/>
              </w:rPr>
            </w:pPr>
            <w:r>
              <w:rPr>
                <w:rFonts w:hint="eastAsia" w:ascii="Calibri" w:hAnsi="Calibri" w:cs="黑体"/>
                <w:b/>
                <w:bCs/>
                <w:kern w:val="2"/>
                <w:szCs w:val="22"/>
                <w:highlight w:val="none"/>
              </w:rPr>
              <w:t>小写：</w:t>
            </w:r>
          </w:p>
          <w:p>
            <w:pPr>
              <w:widowControl w:val="0"/>
              <w:shd w:val="clear"/>
              <w:jc w:val="both"/>
              <w:rPr>
                <w:rFonts w:ascii="宋体" w:hAnsi="Courier New" w:eastAsia="宋体" w:cs="Courier New"/>
                <w:b/>
                <w:bCs/>
                <w:kern w:val="2"/>
                <w:sz w:val="21"/>
                <w:szCs w:val="21"/>
                <w:highlight w:val="none"/>
                <w:lang w:val="en-US" w:eastAsia="zh-CN" w:bidi="ar-SA"/>
              </w:rPr>
            </w:pPr>
          </w:p>
          <w:p>
            <w:pPr>
              <w:widowControl w:val="0"/>
              <w:shd w:val="clear"/>
              <w:spacing w:before="0" w:after="0" w:afterAutospacing="0" w:line="240" w:lineRule="auto"/>
              <w:ind w:left="0" w:right="0" w:firstLine="0"/>
              <w:rPr>
                <w:rFonts w:ascii="Calibri" w:hAnsi="Calibri" w:cs="黑体"/>
                <w:b/>
                <w:bCs/>
                <w:kern w:val="2"/>
                <w:szCs w:val="22"/>
                <w:highlight w:val="none"/>
              </w:rPr>
            </w:pPr>
            <w:r>
              <w:rPr>
                <w:rFonts w:hint="eastAsia" w:ascii="Calibri" w:hAnsi="Calibri" w:cs="黑体"/>
                <w:b/>
                <w:bCs/>
                <w:kern w:val="2"/>
                <w:szCs w:val="22"/>
                <w:highlight w:val="none"/>
              </w:rPr>
              <w:t>大写：</w:t>
            </w:r>
          </w:p>
        </w:tc>
        <w:tc>
          <w:tcPr>
            <w:tcW w:w="1104" w:type="dxa"/>
          </w:tcPr>
          <w:p>
            <w:pPr>
              <w:widowControl w:val="0"/>
              <w:shd w:val="clear"/>
              <w:spacing w:before="0" w:after="0" w:afterAutospacing="0" w:line="240" w:lineRule="auto"/>
              <w:ind w:left="0" w:right="0" w:firstLine="0"/>
              <w:jc w:val="center"/>
              <w:rPr>
                <w:rFonts w:ascii="Calibri" w:hAnsi="Calibri" w:cs="黑体"/>
                <w:b/>
                <w:bCs/>
                <w:kern w:val="2"/>
                <w:szCs w:val="22"/>
                <w:highlight w:val="none"/>
              </w:rPr>
            </w:pPr>
          </w:p>
        </w:tc>
        <w:tc>
          <w:tcPr>
            <w:tcW w:w="2360" w:type="dxa"/>
          </w:tcPr>
          <w:p>
            <w:pPr>
              <w:widowControl w:val="0"/>
              <w:shd w:val="clear"/>
              <w:spacing w:before="0" w:after="0" w:afterAutospacing="0" w:line="240" w:lineRule="auto"/>
              <w:ind w:left="0" w:right="0" w:firstLine="0"/>
              <w:jc w:val="center"/>
              <w:rPr>
                <w:rFonts w:ascii="Calibri" w:hAnsi="Calibri" w:cs="黑体"/>
                <w:b/>
                <w:bCs/>
                <w:kern w:val="2"/>
                <w:szCs w:val="22"/>
                <w:highlight w:val="none"/>
              </w:rPr>
            </w:pPr>
          </w:p>
        </w:tc>
      </w:tr>
    </w:tbl>
    <w:p>
      <w:pPr>
        <w:shd w:val="clear"/>
        <w:spacing w:before="0" w:after="0" w:afterAutospacing="0"/>
        <w:ind w:left="0" w:right="0" w:firstLine="0"/>
        <w:rPr>
          <w:rFonts w:hint="eastAsia" w:ascii="宋体" w:hAnsi="宋体"/>
          <w:highlight w:val="none"/>
        </w:rPr>
      </w:pPr>
    </w:p>
    <w:p>
      <w:pPr>
        <w:shd w:val="clear"/>
        <w:spacing w:before="0" w:after="0" w:afterAutospacing="0"/>
        <w:ind w:left="0" w:right="0" w:firstLine="0"/>
        <w:rPr>
          <w:rFonts w:hint="eastAsia" w:ascii="宋体" w:hAnsi="宋体" w:eastAsia="宋体" w:cs="宋体"/>
          <w:highlight w:val="none"/>
        </w:rPr>
      </w:pPr>
      <w:r>
        <w:rPr>
          <w:rFonts w:hint="eastAsia" w:ascii="宋体" w:hAnsi="宋体"/>
          <w:highlight w:val="none"/>
        </w:rPr>
        <w:t>注</w:t>
      </w:r>
      <w:r>
        <w:rPr>
          <w:rFonts w:ascii="宋体" w:hAnsi="宋体"/>
          <w:highlight w:val="none"/>
        </w:rPr>
        <w:t>:</w:t>
      </w:r>
      <w:r>
        <w:rPr>
          <w:rFonts w:hint="eastAsia" w:ascii="宋体" w:hAnsi="宋体" w:eastAsia="宋体" w:cs="宋体"/>
          <w:highlight w:val="none"/>
        </w:rPr>
        <w:t>比选申请报价</w:t>
      </w:r>
      <w:r>
        <w:rPr>
          <w:rFonts w:hint="eastAsia" w:ascii="宋体" w:hAnsi="宋体" w:cs="宋体"/>
          <w:highlight w:val="none"/>
          <w:lang w:eastAsia="zh-CN"/>
        </w:rPr>
        <w:t>：</w:t>
      </w:r>
      <w:r>
        <w:rPr>
          <w:rFonts w:hint="eastAsia" w:ascii="宋体" w:hAnsi="宋体" w:cs="宋体"/>
          <w:highlight w:val="none"/>
          <w:lang w:val="en-US" w:eastAsia="zh-CN"/>
        </w:rPr>
        <w:t>总价包干，</w:t>
      </w:r>
      <w:r>
        <w:rPr>
          <w:rFonts w:hint="eastAsia" w:ascii="宋体" w:hAnsi="宋体" w:eastAsia="宋体" w:cs="宋体"/>
          <w:highlight w:val="none"/>
        </w:rPr>
        <w:t>包括人工费、材料费、机械费、管理费、措施费、利润、风险、安全文明施工费等为完成本项目所发生的所有费用。</w:t>
      </w:r>
    </w:p>
    <w:p>
      <w:pPr>
        <w:shd w:val="clear"/>
        <w:snapToGrid w:val="0"/>
        <w:spacing w:after="50" w:line="280" w:lineRule="exact"/>
        <w:ind w:right="-817"/>
        <w:rPr>
          <w:rFonts w:hint="default" w:ascii="宋体" w:hAnsi="宋体" w:eastAsia="宋体"/>
          <w:highlight w:val="none"/>
          <w:lang w:val="en-US" w:eastAsia="zh-CN"/>
        </w:rPr>
      </w:pPr>
    </w:p>
    <w:p>
      <w:pPr>
        <w:shd w:val="clear"/>
        <w:snapToGrid w:val="0"/>
        <w:spacing w:after="50" w:line="280" w:lineRule="exact"/>
        <w:ind w:left="955" w:right="-817" w:firstLine="2625" w:firstLineChars="1250"/>
        <w:rPr>
          <w:rFonts w:ascii="宋体" w:hAnsi="宋体"/>
          <w:highlight w:val="none"/>
          <w:u w:val="single"/>
        </w:rPr>
      </w:pPr>
      <w:r>
        <w:rPr>
          <w:rFonts w:hint="eastAsia" w:ascii="宋体" w:hAnsi="宋体"/>
          <w:highlight w:val="none"/>
        </w:rPr>
        <w:t>比选申请人名称（盖章）：</w:t>
      </w:r>
    </w:p>
    <w:p>
      <w:pPr>
        <w:shd w:val="clear"/>
        <w:snapToGrid w:val="0"/>
        <w:spacing w:after="50" w:line="280" w:lineRule="exact"/>
        <w:ind w:left="707" w:right="-817" w:firstLine="2835" w:firstLineChars="1350"/>
        <w:rPr>
          <w:rFonts w:ascii="宋体" w:hAnsi="宋体"/>
          <w:highlight w:val="none"/>
          <w:u w:val="single"/>
        </w:rPr>
      </w:pPr>
      <w:r>
        <w:rPr>
          <w:rFonts w:hint="eastAsia" w:ascii="宋体" w:hAnsi="宋体"/>
          <w:highlight w:val="none"/>
        </w:rPr>
        <w:t>法定代表人或被授权人（签字）：</w:t>
      </w:r>
    </w:p>
    <w:p>
      <w:pPr>
        <w:shd w:val="clear"/>
        <w:spacing w:before="0"/>
        <w:ind w:right="-57" w:firstLine="0"/>
        <w:jc w:val="center"/>
        <w:rPr>
          <w:rFonts w:ascii="宋体" w:hAnsi="宋体"/>
          <w:highlight w:val="none"/>
        </w:rPr>
      </w:pPr>
      <w:r>
        <w:rPr>
          <w:rFonts w:hint="eastAsia" w:ascii="宋体" w:hAnsi="宋体"/>
          <w:highlight w:val="none"/>
        </w:rPr>
        <w:t>日  期：     年  月  日</w:t>
      </w:r>
    </w:p>
    <w:p>
      <w:pPr>
        <w:pStyle w:val="5"/>
        <w:shd w:val="clear"/>
        <w:tabs>
          <w:tab w:val="left" w:pos="567"/>
          <w:tab w:val="left" w:pos="720"/>
        </w:tabs>
        <w:snapToGrid w:val="0"/>
        <w:spacing w:after="0" w:line="360" w:lineRule="auto"/>
        <w:ind w:right="0" w:firstLine="0"/>
        <w:jc w:val="left"/>
        <w:rPr>
          <w:rFonts w:ascii="宋体" w:hAnsi="宋体" w:eastAsia="宋体" w:cs="Arial"/>
          <w:highlight w:val="none"/>
        </w:rPr>
      </w:pPr>
      <w:r>
        <w:rPr>
          <w:rFonts w:ascii="宋体" w:hAnsi="宋体" w:eastAsia="宋体"/>
          <w:highlight w:val="none"/>
        </w:rPr>
        <w:br w:type="page"/>
      </w:r>
      <w:bookmarkStart w:id="1687" w:name="_Toc58124833"/>
      <w:bookmarkStart w:id="1688" w:name="_Toc110413986"/>
      <w:bookmarkStart w:id="1689" w:name="_Toc61680485"/>
      <w:bookmarkStart w:id="1690" w:name="_Toc68859063"/>
      <w:bookmarkStart w:id="1691" w:name="_Toc21109"/>
      <w:bookmarkStart w:id="1692" w:name="_Toc375564356"/>
      <w:bookmarkStart w:id="1693" w:name="_Toc8713"/>
      <w:bookmarkStart w:id="1694" w:name="_Toc25750681"/>
      <w:bookmarkStart w:id="1695" w:name="_Toc241920153"/>
      <w:bookmarkStart w:id="1696" w:name="_Toc2257"/>
      <w:bookmarkStart w:id="1697" w:name="_Toc25869"/>
      <w:bookmarkStart w:id="1698" w:name="_Toc11065"/>
      <w:bookmarkStart w:id="1699" w:name="_Toc12983553"/>
      <w:bookmarkStart w:id="1700" w:name="_Toc14859"/>
      <w:bookmarkStart w:id="1701" w:name="_Toc17112"/>
      <w:bookmarkStart w:id="1702" w:name="_Toc29702"/>
      <w:bookmarkStart w:id="1703" w:name="_Toc414290527"/>
      <w:bookmarkStart w:id="1704" w:name="_Toc14503"/>
      <w:bookmarkStart w:id="1705" w:name="_Toc2585"/>
      <w:bookmarkStart w:id="1706" w:name="_Toc12984813"/>
      <w:bookmarkStart w:id="1707" w:name="_Toc4976"/>
      <w:bookmarkStart w:id="1708" w:name="_Toc10260"/>
      <w:bookmarkStart w:id="1709" w:name="_Toc15419"/>
      <w:bookmarkStart w:id="1710" w:name="_Toc20737"/>
      <w:bookmarkStart w:id="1711" w:name="_Toc32224"/>
      <w:bookmarkStart w:id="1712" w:name="_Toc6270"/>
      <w:bookmarkStart w:id="1713" w:name="_Toc20864"/>
      <w:bookmarkStart w:id="1714" w:name="_Toc6833"/>
      <w:bookmarkStart w:id="1715" w:name="_Toc492478809"/>
      <w:r>
        <w:rPr>
          <w:rFonts w:ascii="宋体" w:hAnsi="宋体" w:eastAsia="宋体"/>
          <w:sz w:val="21"/>
          <w:szCs w:val="21"/>
          <w:highlight w:val="none"/>
        </w:rPr>
        <w:t>B2比选申请</w:t>
      </w:r>
      <w:bookmarkEnd w:id="1687"/>
      <w:bookmarkEnd w:id="1688"/>
      <w:bookmarkEnd w:id="1689"/>
      <w:bookmarkEnd w:id="1690"/>
      <w:r>
        <w:rPr>
          <w:rFonts w:ascii="宋体" w:hAnsi="宋体" w:eastAsia="宋体"/>
          <w:sz w:val="21"/>
          <w:szCs w:val="21"/>
          <w:highlight w:val="none"/>
        </w:rPr>
        <w:t>函格式</w:t>
      </w:r>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p>
    <w:p>
      <w:pPr>
        <w:shd w:val="clear"/>
        <w:spacing w:before="0" w:after="0" w:afterAutospacing="0"/>
        <w:ind w:right="0" w:firstLine="0"/>
        <w:jc w:val="center"/>
        <w:rPr>
          <w:rFonts w:ascii="宋体" w:hAnsi="宋体"/>
          <w:b/>
          <w:sz w:val="32"/>
          <w:szCs w:val="32"/>
          <w:highlight w:val="none"/>
        </w:rPr>
      </w:pPr>
      <w:r>
        <w:rPr>
          <w:rFonts w:ascii="宋体" w:hAnsi="宋体"/>
          <w:b/>
          <w:sz w:val="32"/>
          <w:szCs w:val="32"/>
          <w:highlight w:val="none"/>
        </w:rPr>
        <w:t>比选申请函</w:t>
      </w:r>
    </w:p>
    <w:p>
      <w:pPr>
        <w:shd w:val="clear"/>
        <w:spacing w:before="0" w:after="0" w:afterAutospacing="0"/>
        <w:ind w:left="0" w:right="0" w:firstLine="0"/>
        <w:rPr>
          <w:rFonts w:ascii="宋体" w:hAnsi="宋体"/>
          <w:highlight w:val="none"/>
        </w:rPr>
      </w:pPr>
      <w:r>
        <w:rPr>
          <w:rFonts w:ascii="宋体" w:hAnsi="宋体"/>
          <w:highlight w:val="none"/>
        </w:rPr>
        <w:t>致：</w:t>
      </w:r>
      <w:r>
        <w:rPr>
          <w:rFonts w:hint="eastAsia" w:ascii="宋体" w:hAnsi="宋体"/>
          <w:highlight w:val="none"/>
        </w:rPr>
        <w:t>南宁轨道交通运营有限公司</w:t>
      </w:r>
    </w:p>
    <w:p>
      <w:pPr>
        <w:shd w:val="clear"/>
        <w:spacing w:before="0" w:after="0" w:afterAutospacing="0"/>
        <w:ind w:left="0" w:right="0" w:firstLine="420" w:firstLineChars="200"/>
        <w:rPr>
          <w:rFonts w:ascii="宋体" w:hAnsi="宋体"/>
          <w:highlight w:val="none"/>
        </w:rPr>
      </w:pPr>
      <w:r>
        <w:rPr>
          <w:rFonts w:ascii="宋体" w:hAnsi="宋体"/>
          <w:highlight w:val="none"/>
        </w:rPr>
        <w:t>根据贵方为</w:t>
      </w:r>
      <w:r>
        <w:rPr>
          <w:rFonts w:hint="eastAsia" w:ascii="宋体" w:hAnsi="宋体"/>
          <w:highlight w:val="none"/>
        </w:rPr>
        <w:t>采购项目</w:t>
      </w:r>
      <w:r>
        <w:rPr>
          <w:rFonts w:hint="eastAsia" w:ascii="宋体" w:hAnsi="宋体"/>
          <w:highlight w:val="none"/>
          <w:u w:val="single"/>
        </w:rPr>
        <w:t>控制中心电动汽车充电桩喷淋系统采购项目</w:t>
      </w:r>
      <w:r>
        <w:rPr>
          <w:rFonts w:ascii="宋体" w:hAnsi="宋体"/>
          <w:highlight w:val="none"/>
        </w:rPr>
        <w:t>比选申请邀请(项目编号：</w:t>
      </w:r>
      <w:r>
        <w:rPr>
          <w:rFonts w:hint="eastAsia" w:ascii="宋体" w:hAnsi="宋体"/>
          <w:kern w:val="2"/>
          <w:highlight w:val="none"/>
          <w:u w:val="single"/>
        </w:rPr>
        <w:t>202306250002</w:t>
      </w:r>
      <w:r>
        <w:rPr>
          <w:rFonts w:ascii="宋体" w:hAnsi="宋体"/>
          <w:highlight w:val="none"/>
        </w:rPr>
        <w:t>)，签字人</w:t>
      </w:r>
      <w:r>
        <w:rPr>
          <w:rFonts w:ascii="宋体" w:hAnsi="宋体"/>
          <w:highlight w:val="none"/>
          <w:u w:val="single"/>
        </w:rPr>
        <w:t>(全名、职务)</w:t>
      </w:r>
      <w:r>
        <w:rPr>
          <w:rFonts w:ascii="宋体" w:hAnsi="宋体"/>
          <w:highlight w:val="none"/>
        </w:rPr>
        <w:t>经正式授权并代表比选申请人</w:t>
      </w:r>
      <w:r>
        <w:rPr>
          <w:rFonts w:ascii="宋体" w:hAnsi="宋体"/>
          <w:highlight w:val="none"/>
          <w:u w:val="single"/>
        </w:rPr>
        <w:t>（比选申请人名称、地址）</w:t>
      </w:r>
      <w:r>
        <w:rPr>
          <w:rFonts w:ascii="宋体" w:hAnsi="宋体"/>
          <w:highlight w:val="none"/>
        </w:rPr>
        <w:t>提交</w:t>
      </w:r>
      <w:r>
        <w:rPr>
          <w:rFonts w:hint="eastAsia" w:ascii="宋体" w:hAnsi="宋体"/>
          <w:highlight w:val="none"/>
        </w:rPr>
        <w:t>比选申请文件</w:t>
      </w:r>
      <w:r>
        <w:rPr>
          <w:rFonts w:ascii="宋体" w:hAnsi="宋体"/>
          <w:highlight w:val="none"/>
        </w:rPr>
        <w:t>正本</w:t>
      </w:r>
      <w:r>
        <w:rPr>
          <w:rFonts w:ascii="宋体" w:hAnsi="宋体"/>
          <w:highlight w:val="none"/>
          <w:u w:val="single"/>
        </w:rPr>
        <w:t>1</w:t>
      </w:r>
      <w:r>
        <w:rPr>
          <w:rFonts w:ascii="宋体" w:hAnsi="宋体"/>
          <w:highlight w:val="none"/>
        </w:rPr>
        <w:t>份、副本</w:t>
      </w:r>
      <w:r>
        <w:rPr>
          <w:rFonts w:ascii="宋体" w:hAnsi="宋体"/>
          <w:highlight w:val="none"/>
          <w:u w:val="single"/>
        </w:rPr>
        <w:t xml:space="preserve"> 4</w:t>
      </w:r>
      <w:r>
        <w:rPr>
          <w:rFonts w:ascii="宋体" w:hAnsi="宋体"/>
          <w:highlight w:val="none"/>
        </w:rPr>
        <w:t>份及电子文件</w:t>
      </w:r>
      <w:r>
        <w:rPr>
          <w:rFonts w:ascii="宋体" w:hAnsi="宋体"/>
          <w:highlight w:val="none"/>
          <w:u w:val="single"/>
        </w:rPr>
        <w:t xml:space="preserve"> </w:t>
      </w:r>
      <w:r>
        <w:rPr>
          <w:rFonts w:hint="eastAsia" w:ascii="宋体" w:hAnsi="宋体"/>
          <w:highlight w:val="none"/>
          <w:u w:val="single"/>
          <w:lang w:val="en-US" w:eastAsia="zh-CN"/>
        </w:rPr>
        <w:t>1</w:t>
      </w:r>
      <w:r>
        <w:rPr>
          <w:rFonts w:ascii="宋体" w:hAnsi="宋体"/>
          <w:highlight w:val="none"/>
          <w:u w:val="single"/>
        </w:rPr>
        <w:t xml:space="preserve"> </w:t>
      </w:r>
      <w:r>
        <w:rPr>
          <w:rFonts w:ascii="宋体" w:hAnsi="宋体"/>
          <w:highlight w:val="none"/>
        </w:rPr>
        <w:t>份（U盘）。</w:t>
      </w:r>
    </w:p>
    <w:p>
      <w:pPr>
        <w:shd w:val="clear"/>
        <w:spacing w:before="0" w:after="0" w:afterAutospacing="0"/>
        <w:ind w:left="0" w:right="0" w:firstLine="420" w:firstLineChars="200"/>
        <w:rPr>
          <w:rFonts w:ascii="宋体" w:hAnsi="宋体"/>
          <w:highlight w:val="none"/>
        </w:rPr>
      </w:pPr>
      <w:r>
        <w:rPr>
          <w:rFonts w:ascii="宋体" w:hAnsi="宋体"/>
          <w:highlight w:val="none"/>
        </w:rPr>
        <w:t>据此，签字人宣布同意如下：</w:t>
      </w:r>
    </w:p>
    <w:p>
      <w:pPr>
        <w:shd w:val="clear"/>
        <w:spacing w:before="0" w:after="0" w:afterAutospacing="0"/>
        <w:ind w:left="0" w:right="0" w:firstLine="420" w:firstLineChars="200"/>
        <w:rPr>
          <w:rFonts w:ascii="宋体" w:hAnsi="宋体"/>
          <w:highlight w:val="none"/>
        </w:rPr>
      </w:pPr>
      <w:bookmarkStart w:id="1716" w:name="_Toc375564357"/>
      <w:r>
        <w:rPr>
          <w:rFonts w:ascii="宋体" w:hAnsi="宋体"/>
          <w:highlight w:val="none"/>
        </w:rPr>
        <w:t>1. 按比选文件要求规定的应提交和交付的货物和服务并履行全部合同义务的比选申请总价如本比选申请文件</w:t>
      </w:r>
      <w:r>
        <w:rPr>
          <w:rFonts w:hint="eastAsia" w:ascii="宋体" w:hAnsi="宋体"/>
          <w:highlight w:val="none"/>
        </w:rPr>
        <w:t>价格文件</w:t>
      </w:r>
      <w:r>
        <w:rPr>
          <w:rFonts w:ascii="宋体" w:hAnsi="宋体"/>
          <w:highlight w:val="none"/>
        </w:rPr>
        <w:t>“比选申请报价一览表”中“比选申请报价”一栏所述。</w:t>
      </w:r>
      <w:bookmarkEnd w:id="1716"/>
    </w:p>
    <w:p>
      <w:pPr>
        <w:shd w:val="clear"/>
        <w:spacing w:before="0" w:after="0" w:afterAutospacing="0"/>
        <w:ind w:left="0" w:right="0" w:firstLine="420" w:firstLineChars="200"/>
        <w:rPr>
          <w:rFonts w:ascii="宋体" w:hAnsi="宋体"/>
          <w:highlight w:val="none"/>
        </w:rPr>
      </w:pPr>
      <w:r>
        <w:rPr>
          <w:rFonts w:hint="eastAsia" w:ascii="宋体" w:hAnsi="宋体"/>
          <w:highlight w:val="none"/>
        </w:rPr>
        <w:t>2</w:t>
      </w:r>
      <w:r>
        <w:rPr>
          <w:rFonts w:ascii="宋体" w:hAnsi="宋体"/>
          <w:highlight w:val="none"/>
        </w:rPr>
        <w:t>.按比选文件的规定履行合同责任和义务。</w:t>
      </w:r>
    </w:p>
    <w:p>
      <w:pPr>
        <w:shd w:val="clear"/>
        <w:spacing w:before="0" w:after="0" w:afterAutospacing="0"/>
        <w:ind w:left="0" w:right="0" w:firstLine="420" w:firstLineChars="200"/>
        <w:rPr>
          <w:rFonts w:ascii="宋体" w:hAnsi="宋体"/>
          <w:highlight w:val="none"/>
        </w:rPr>
      </w:pPr>
      <w:r>
        <w:rPr>
          <w:rFonts w:hint="eastAsia" w:ascii="宋体" w:hAnsi="宋体"/>
          <w:highlight w:val="none"/>
        </w:rPr>
        <w:t>3</w:t>
      </w:r>
      <w:r>
        <w:rPr>
          <w:rFonts w:ascii="宋体" w:hAnsi="宋体"/>
          <w:highlight w:val="none"/>
        </w:rPr>
        <w:t>.已详细审查全部比选文件，包括修改文件（如有的话）以及全部接口资料和有关附件。我们完全理解并同意放弃对这方面有不明及误解的权利。</w:t>
      </w:r>
    </w:p>
    <w:p>
      <w:pPr>
        <w:shd w:val="clear"/>
        <w:spacing w:before="0" w:after="0" w:afterAutospacing="0"/>
        <w:ind w:left="0" w:right="0" w:firstLine="420" w:firstLineChars="200"/>
        <w:rPr>
          <w:rFonts w:ascii="宋体" w:hAnsi="宋体"/>
          <w:highlight w:val="none"/>
        </w:rPr>
      </w:pPr>
      <w:r>
        <w:rPr>
          <w:rFonts w:hint="eastAsia" w:ascii="宋体" w:hAnsi="宋体"/>
          <w:highlight w:val="none"/>
        </w:rPr>
        <w:t>4</w:t>
      </w:r>
      <w:r>
        <w:rPr>
          <w:rFonts w:ascii="宋体" w:hAnsi="宋体"/>
          <w:highlight w:val="none"/>
        </w:rPr>
        <w:t>.本比选申请有效期为比选申请截止日起</w:t>
      </w:r>
      <w:r>
        <w:rPr>
          <w:rFonts w:ascii="宋体" w:hAnsi="宋体"/>
          <w:highlight w:val="none"/>
          <w:u w:val="single"/>
        </w:rPr>
        <w:t>90</w:t>
      </w:r>
      <w:r>
        <w:rPr>
          <w:rFonts w:ascii="宋体" w:hAnsi="宋体"/>
          <w:highlight w:val="none"/>
        </w:rPr>
        <w:t>日历天内。</w:t>
      </w:r>
    </w:p>
    <w:p>
      <w:pPr>
        <w:shd w:val="clear"/>
        <w:spacing w:before="0" w:after="0" w:afterAutospacing="0"/>
        <w:ind w:left="0" w:right="0" w:firstLine="420" w:firstLineChars="200"/>
        <w:rPr>
          <w:rFonts w:ascii="宋体" w:hAnsi="宋体"/>
          <w:highlight w:val="none"/>
        </w:rPr>
      </w:pPr>
      <w:r>
        <w:rPr>
          <w:rFonts w:hint="eastAsia" w:ascii="宋体" w:hAnsi="宋体"/>
          <w:highlight w:val="none"/>
        </w:rPr>
        <w:t>5</w:t>
      </w:r>
      <w:r>
        <w:rPr>
          <w:rFonts w:ascii="宋体" w:hAnsi="宋体"/>
          <w:highlight w:val="none"/>
        </w:rPr>
        <w:t>.如果在规定的</w:t>
      </w:r>
      <w:r>
        <w:rPr>
          <w:rFonts w:hint="eastAsia" w:ascii="宋体" w:hAnsi="宋体"/>
          <w:highlight w:val="none"/>
        </w:rPr>
        <w:t>比选文件递交</w:t>
      </w:r>
      <w:r>
        <w:rPr>
          <w:rFonts w:ascii="宋体" w:hAnsi="宋体"/>
          <w:highlight w:val="none"/>
        </w:rPr>
        <w:t>时间后，</w:t>
      </w:r>
      <w:r>
        <w:rPr>
          <w:rFonts w:hint="eastAsia" w:ascii="宋体" w:hAnsi="宋体"/>
          <w:highlight w:val="none"/>
        </w:rPr>
        <w:t>我公司</w:t>
      </w:r>
      <w:r>
        <w:rPr>
          <w:rFonts w:ascii="宋体" w:hAnsi="宋体"/>
          <w:highlight w:val="none"/>
        </w:rPr>
        <w:t>在比选申请有效期内撤销比选申请，</w:t>
      </w:r>
      <w:r>
        <w:rPr>
          <w:rFonts w:hint="eastAsia" w:ascii="宋体" w:hAnsi="宋体"/>
          <w:highlight w:val="none"/>
        </w:rPr>
        <w:t>所造成的损失我公司承担</w:t>
      </w:r>
      <w:r>
        <w:rPr>
          <w:rFonts w:ascii="宋体" w:hAnsi="宋体"/>
          <w:highlight w:val="none"/>
        </w:rPr>
        <w:t>。</w:t>
      </w:r>
    </w:p>
    <w:p>
      <w:pPr>
        <w:shd w:val="clear"/>
        <w:spacing w:before="0" w:after="0" w:afterAutospacing="0"/>
        <w:ind w:left="0" w:right="0" w:firstLine="420" w:firstLineChars="200"/>
        <w:rPr>
          <w:rFonts w:ascii="宋体" w:hAnsi="宋体"/>
          <w:highlight w:val="none"/>
        </w:rPr>
      </w:pPr>
      <w:r>
        <w:rPr>
          <w:rFonts w:hint="eastAsia" w:ascii="宋体" w:hAnsi="宋体"/>
          <w:highlight w:val="none"/>
        </w:rPr>
        <w:t>6</w:t>
      </w:r>
      <w:r>
        <w:rPr>
          <w:rFonts w:ascii="宋体" w:hAnsi="宋体"/>
          <w:highlight w:val="none"/>
        </w:rPr>
        <w:t>.同意按照贵方的要求提供与本比选申请有关的一切数据或资料，完全理解贵方不一定要接受最低价的比选申请或收到的任何比选申请。</w:t>
      </w:r>
    </w:p>
    <w:p>
      <w:pPr>
        <w:widowControl w:val="0"/>
        <w:shd w:val="clear"/>
        <w:spacing w:before="0" w:after="0" w:afterAutospacing="0" w:line="360" w:lineRule="auto"/>
        <w:ind w:left="0" w:right="0" w:firstLine="420" w:firstLineChars="200"/>
        <w:rPr>
          <w:rFonts w:ascii="宋体" w:hAnsi="宋体" w:cs="黑体"/>
          <w:kern w:val="2"/>
          <w:szCs w:val="22"/>
          <w:highlight w:val="none"/>
        </w:rPr>
      </w:pPr>
      <w:r>
        <w:rPr>
          <w:rFonts w:hint="eastAsia" w:ascii="宋体" w:hAnsi="宋体" w:cs="黑体"/>
          <w:kern w:val="2"/>
          <w:szCs w:val="22"/>
          <w:highlight w:val="none"/>
        </w:rPr>
        <w:t>7</w:t>
      </w:r>
      <w:r>
        <w:rPr>
          <w:rFonts w:ascii="宋体" w:hAnsi="宋体" w:cs="黑体"/>
          <w:kern w:val="2"/>
          <w:szCs w:val="22"/>
          <w:highlight w:val="none"/>
        </w:rPr>
        <w:t>. 本项目采用</w:t>
      </w:r>
      <w:r>
        <w:rPr>
          <w:rFonts w:hint="eastAsia" w:ascii="宋体" w:hAnsi="宋体" w:cs="黑体"/>
          <w:kern w:val="2"/>
          <w:szCs w:val="22"/>
          <w:highlight w:val="none"/>
        </w:rPr>
        <w:t>不</w:t>
      </w:r>
      <w:r>
        <w:rPr>
          <w:rFonts w:ascii="宋体" w:hAnsi="宋体" w:cs="黑体"/>
          <w:kern w:val="2"/>
          <w:szCs w:val="22"/>
          <w:highlight w:val="none"/>
        </w:rPr>
        <w:t>含税报价，</w:t>
      </w:r>
      <w:r>
        <w:rPr>
          <w:rFonts w:hint="eastAsia" w:ascii="宋体" w:hAnsi="宋体" w:cs="黑体"/>
          <w:kern w:val="2"/>
          <w:szCs w:val="22"/>
          <w:highlight w:val="none"/>
        </w:rPr>
        <w:t>合同的最终税金在结算阶段，按实际产生的税金进行核算，但合同不含税价格不因国家税率调整而调整。</w:t>
      </w:r>
    </w:p>
    <w:p>
      <w:pPr>
        <w:shd w:val="clear"/>
        <w:spacing w:before="0" w:after="0" w:afterAutospacing="0"/>
        <w:ind w:left="0" w:right="0" w:firstLine="420" w:firstLineChars="200"/>
        <w:rPr>
          <w:rFonts w:ascii="宋体" w:hAnsi="宋体"/>
          <w:highlight w:val="none"/>
        </w:rPr>
      </w:pPr>
      <w:r>
        <w:rPr>
          <w:rFonts w:hint="eastAsia" w:ascii="宋体" w:hAnsi="宋体"/>
          <w:highlight w:val="none"/>
        </w:rPr>
        <w:t>8</w:t>
      </w:r>
      <w:r>
        <w:rPr>
          <w:rFonts w:ascii="宋体" w:hAnsi="宋体"/>
          <w:highlight w:val="none"/>
        </w:rPr>
        <w:t>.与本比选申请有关的一切正式往来通讯请发往：</w:t>
      </w:r>
      <w:r>
        <w:rPr>
          <w:rFonts w:ascii="宋体" w:hAnsi="宋体"/>
          <w:highlight w:val="none"/>
        </w:rPr>
        <w:tab/>
      </w:r>
    </w:p>
    <w:p>
      <w:pPr>
        <w:shd w:val="clear"/>
        <w:spacing w:before="0" w:after="0" w:afterAutospacing="0"/>
        <w:ind w:left="0" w:right="0" w:firstLine="420" w:firstLineChars="200"/>
        <w:rPr>
          <w:rFonts w:ascii="宋体" w:hAnsi="宋体"/>
          <w:highlight w:val="none"/>
          <w:u w:val="single"/>
        </w:rPr>
      </w:pPr>
      <w:r>
        <w:rPr>
          <w:rFonts w:ascii="宋体" w:hAnsi="宋体"/>
          <w:highlight w:val="none"/>
        </w:rPr>
        <w:t>地址：</w:t>
      </w:r>
    </w:p>
    <w:p>
      <w:pPr>
        <w:shd w:val="clear"/>
        <w:spacing w:before="0" w:after="0" w:afterAutospacing="0"/>
        <w:ind w:left="0" w:right="0" w:firstLine="420" w:firstLineChars="200"/>
        <w:rPr>
          <w:rFonts w:ascii="宋体" w:hAnsi="宋体"/>
          <w:highlight w:val="none"/>
        </w:rPr>
      </w:pPr>
      <w:r>
        <w:rPr>
          <w:rFonts w:ascii="宋体" w:hAnsi="宋体"/>
          <w:highlight w:val="none"/>
        </w:rPr>
        <w:t>邮编：传真：</w:t>
      </w:r>
    </w:p>
    <w:p>
      <w:pPr>
        <w:shd w:val="clear"/>
        <w:spacing w:before="0" w:after="0" w:afterAutospacing="0"/>
        <w:ind w:left="0" w:right="0" w:firstLine="420" w:firstLineChars="200"/>
        <w:rPr>
          <w:rFonts w:ascii="宋体" w:hAnsi="宋体"/>
          <w:highlight w:val="none"/>
        </w:rPr>
      </w:pPr>
      <w:r>
        <w:rPr>
          <w:rFonts w:ascii="宋体" w:hAnsi="宋体"/>
          <w:highlight w:val="none"/>
        </w:rPr>
        <w:t>电话：电子邮件：</w:t>
      </w:r>
    </w:p>
    <w:p>
      <w:pPr>
        <w:shd w:val="clear"/>
        <w:spacing w:before="0" w:after="0" w:afterAutospacing="0"/>
        <w:ind w:left="0" w:right="0" w:firstLine="420" w:firstLineChars="200"/>
        <w:rPr>
          <w:rFonts w:ascii="宋体" w:hAnsi="宋体"/>
          <w:highlight w:val="none"/>
          <w:u w:val="single"/>
        </w:rPr>
      </w:pPr>
      <w:r>
        <w:rPr>
          <w:rFonts w:ascii="宋体" w:hAnsi="宋体"/>
          <w:highlight w:val="none"/>
        </w:rPr>
        <w:t>比选申请人名称：</w:t>
      </w:r>
      <w:r>
        <w:rPr>
          <w:rFonts w:hint="eastAsia" w:ascii="宋体" w:hAnsi="宋体"/>
          <w:highlight w:val="none"/>
        </w:rPr>
        <w:t xml:space="preserve"> </w:t>
      </w:r>
      <w:r>
        <w:rPr>
          <w:rFonts w:hint="eastAsia" w:ascii="宋体" w:hAnsi="宋体"/>
          <w:highlight w:val="none"/>
          <w:u w:val="single"/>
        </w:rPr>
        <w:t xml:space="preserve">           </w:t>
      </w:r>
      <w:r>
        <w:rPr>
          <w:rFonts w:ascii="宋体" w:hAnsi="宋体"/>
          <w:highlight w:val="none"/>
          <w:u w:val="single"/>
        </w:rPr>
        <w:t>（全称并加盖公章）</w:t>
      </w:r>
    </w:p>
    <w:p>
      <w:pPr>
        <w:shd w:val="clear"/>
        <w:spacing w:before="0" w:after="0" w:afterAutospacing="0"/>
        <w:ind w:left="0" w:right="0" w:firstLine="420" w:firstLineChars="200"/>
        <w:rPr>
          <w:rFonts w:ascii="宋体" w:hAnsi="宋体" w:cs="Arial"/>
          <w:highlight w:val="none"/>
        </w:rPr>
      </w:pPr>
      <w:r>
        <w:rPr>
          <w:rFonts w:ascii="宋体" w:hAnsi="宋体"/>
          <w:highlight w:val="none"/>
        </w:rPr>
        <w:t>比选申请人法定代表人（或其委托代理人）签字</w:t>
      </w:r>
      <w:r>
        <w:rPr>
          <w:rFonts w:hint="eastAsia" w:ascii="宋体" w:hAnsi="宋体"/>
          <w:highlight w:val="none"/>
        </w:rPr>
        <w:t>或盖章</w:t>
      </w:r>
      <w:r>
        <w:rPr>
          <w:rFonts w:hint="eastAsia" w:ascii="宋体" w:hAnsi="宋体" w:cs="Arial"/>
          <w:highlight w:val="none"/>
        </w:rPr>
        <w:t>：</w:t>
      </w:r>
    </w:p>
    <w:p>
      <w:pPr>
        <w:shd w:val="clear"/>
        <w:spacing w:before="0" w:after="0" w:afterAutospacing="0"/>
        <w:ind w:left="0" w:right="0" w:firstLine="420" w:firstLineChars="200"/>
        <w:rPr>
          <w:rFonts w:ascii="宋体" w:hAnsi="宋体"/>
          <w:highlight w:val="none"/>
        </w:rPr>
      </w:pPr>
      <w:r>
        <w:rPr>
          <w:rFonts w:hint="eastAsia" w:ascii="宋体" w:hAnsi="宋体" w:cs="Arial"/>
          <w:highlight w:val="none"/>
        </w:rPr>
        <w:t xml:space="preserve">日期：   </w:t>
      </w:r>
      <w:r>
        <w:rPr>
          <w:rFonts w:ascii="宋体" w:hAnsi="宋体"/>
          <w:highlight w:val="none"/>
        </w:rPr>
        <w:t>年</w:t>
      </w:r>
      <w:r>
        <w:rPr>
          <w:rFonts w:hint="eastAsia" w:ascii="宋体" w:hAnsi="宋体"/>
          <w:highlight w:val="none"/>
        </w:rPr>
        <w:t xml:space="preserve">   </w:t>
      </w:r>
      <w:r>
        <w:rPr>
          <w:rFonts w:ascii="宋体" w:hAnsi="宋体"/>
          <w:highlight w:val="none"/>
        </w:rPr>
        <w:t>月</w:t>
      </w:r>
      <w:r>
        <w:rPr>
          <w:rFonts w:hint="eastAsia" w:ascii="宋体" w:hAnsi="宋体"/>
          <w:highlight w:val="none"/>
        </w:rPr>
        <w:t xml:space="preserve">   </w:t>
      </w:r>
      <w:r>
        <w:rPr>
          <w:rFonts w:ascii="宋体" w:hAnsi="宋体"/>
          <w:highlight w:val="none"/>
        </w:rPr>
        <w:t>日</w:t>
      </w:r>
    </w:p>
    <w:p>
      <w:pPr>
        <w:shd w:val="clear"/>
        <w:rPr>
          <w:rFonts w:ascii="宋体" w:hAnsi="宋体"/>
          <w:highlight w:val="none"/>
        </w:rPr>
      </w:pPr>
    </w:p>
    <w:p>
      <w:pPr>
        <w:shd w:val="clear"/>
        <w:rPr>
          <w:rFonts w:ascii="宋体" w:hAnsi="宋体"/>
          <w:highlight w:val="none"/>
        </w:rPr>
        <w:sectPr>
          <w:headerReference r:id="rId12" w:type="first"/>
          <w:headerReference r:id="rId11" w:type="default"/>
          <w:pgSz w:w="11905" w:h="16838"/>
          <w:pgMar w:top="1418" w:right="1418" w:bottom="1304" w:left="1418" w:header="454" w:footer="567" w:gutter="0"/>
          <w:pgNumType w:fmt="decimal"/>
          <w:cols w:space="720" w:num="1"/>
          <w:docGrid w:linePitch="312" w:charSpace="0"/>
        </w:sectPr>
      </w:pPr>
    </w:p>
    <w:p>
      <w:pPr>
        <w:pStyle w:val="5"/>
        <w:shd w:val="clear"/>
        <w:tabs>
          <w:tab w:val="left" w:pos="567"/>
          <w:tab w:val="left" w:pos="720"/>
        </w:tabs>
        <w:snapToGrid w:val="0"/>
        <w:spacing w:after="100" w:line="360" w:lineRule="auto"/>
        <w:ind w:right="0" w:firstLine="0"/>
        <w:jc w:val="left"/>
        <w:rPr>
          <w:rFonts w:ascii="宋体" w:hAnsi="宋体" w:eastAsia="宋体"/>
          <w:sz w:val="21"/>
          <w:szCs w:val="21"/>
          <w:highlight w:val="none"/>
        </w:rPr>
      </w:pPr>
      <w:bookmarkStart w:id="1717" w:name="_Toc17092"/>
      <w:bookmarkStart w:id="1718" w:name="_Toc15469"/>
      <w:bookmarkStart w:id="1719" w:name="_Toc12984814"/>
      <w:bookmarkStart w:id="1720" w:name="_Toc26731"/>
      <w:bookmarkStart w:id="1721" w:name="_Toc14478"/>
      <w:bookmarkStart w:id="1722" w:name="_Toc15276"/>
      <w:bookmarkStart w:id="1723" w:name="_Toc4583"/>
      <w:bookmarkStart w:id="1724" w:name="_Toc3968"/>
      <w:bookmarkStart w:id="1725" w:name="_Toc24000"/>
      <w:bookmarkStart w:id="1726" w:name="_Toc14488"/>
      <w:bookmarkStart w:id="1727" w:name="_Toc13611"/>
      <w:bookmarkStart w:id="1728" w:name="_Toc8101"/>
      <w:bookmarkStart w:id="1729" w:name="_Toc30121"/>
      <w:bookmarkStart w:id="1730" w:name="_Toc20116"/>
      <w:bookmarkStart w:id="1731" w:name="_Toc27284"/>
      <w:bookmarkStart w:id="1732" w:name="_Toc23071"/>
      <w:bookmarkStart w:id="1733" w:name="_Toc492478810"/>
      <w:bookmarkStart w:id="1734" w:name="_Toc25750682"/>
      <w:bookmarkStart w:id="1735" w:name="_Toc414290528"/>
      <w:bookmarkStart w:id="1736" w:name="_Toc6910"/>
      <w:bookmarkStart w:id="1737" w:name="_Toc28944"/>
      <w:bookmarkStart w:id="1738" w:name="_Toc27821"/>
      <w:bookmarkStart w:id="1739" w:name="_Toc12983554"/>
      <w:r>
        <w:rPr>
          <w:rFonts w:ascii="宋体" w:hAnsi="宋体" w:eastAsia="宋体"/>
          <w:sz w:val="21"/>
          <w:szCs w:val="21"/>
          <w:highlight w:val="none"/>
        </w:rPr>
        <w:t>B3比选申请报价表格式</w:t>
      </w:r>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p>
    <w:p>
      <w:pPr>
        <w:shd w:val="clear"/>
        <w:snapToGrid w:val="0"/>
        <w:spacing w:before="0" w:after="0" w:afterAutospacing="0"/>
        <w:ind w:right="-57" w:firstLine="0"/>
        <w:jc w:val="center"/>
        <w:rPr>
          <w:rFonts w:ascii="宋体" w:hAnsi="宋体"/>
          <w:b/>
          <w:highlight w:val="none"/>
        </w:rPr>
      </w:pPr>
      <w:r>
        <w:rPr>
          <w:rFonts w:hint="eastAsia" w:ascii="宋体" w:hAnsi="宋体"/>
          <w:b/>
          <w:highlight w:val="none"/>
        </w:rPr>
        <w:t>比选申请报价表</w:t>
      </w:r>
    </w:p>
    <w:p>
      <w:pPr>
        <w:shd w:val="clear"/>
        <w:snapToGrid w:val="0"/>
        <w:spacing w:before="0" w:after="0" w:afterAutospacing="0"/>
        <w:ind w:right="-57" w:firstLine="0"/>
        <w:jc w:val="right"/>
        <w:rPr>
          <w:rFonts w:ascii="宋体" w:hAnsi="宋体"/>
          <w:highlight w:val="none"/>
        </w:rPr>
      </w:pPr>
      <w:r>
        <w:rPr>
          <w:rFonts w:ascii="宋体" w:hAnsi="宋体"/>
          <w:highlight w:val="none"/>
        </w:rPr>
        <w:t xml:space="preserve"> 单位：元</w:t>
      </w:r>
    </w:p>
    <w:tbl>
      <w:tblPr>
        <w:tblStyle w:val="29"/>
        <w:tblW w:w="15614"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1348"/>
        <w:gridCol w:w="5149"/>
        <w:gridCol w:w="1250"/>
        <w:gridCol w:w="1167"/>
        <w:gridCol w:w="1167"/>
        <w:gridCol w:w="1350"/>
        <w:gridCol w:w="1583"/>
        <w:gridCol w:w="1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5" w:hRule="atLeast"/>
        </w:trPr>
        <w:tc>
          <w:tcPr>
            <w:tcW w:w="652" w:type="dxa"/>
            <w:vAlign w:val="center"/>
          </w:tcPr>
          <w:p>
            <w:pPr>
              <w:shd w:val="clear"/>
              <w:spacing w:before="0" w:after="0" w:afterAutospacing="0" w:line="0" w:lineRule="atLeast"/>
              <w:ind w:left="0" w:right="0" w:firstLine="0"/>
              <w:jc w:val="center"/>
              <w:rPr>
                <w:rFonts w:ascii="宋体" w:hAnsi="宋体" w:eastAsia="宋体"/>
                <w:b/>
                <w:sz w:val="24"/>
                <w:szCs w:val="24"/>
                <w:highlight w:val="none"/>
              </w:rPr>
            </w:pPr>
            <w:r>
              <w:rPr>
                <w:rFonts w:hint="eastAsia" w:ascii="宋体" w:hAnsi="宋体" w:eastAsia="宋体"/>
                <w:b/>
                <w:sz w:val="24"/>
                <w:szCs w:val="24"/>
                <w:highlight w:val="none"/>
              </w:rPr>
              <w:t>序号</w:t>
            </w:r>
          </w:p>
        </w:tc>
        <w:tc>
          <w:tcPr>
            <w:tcW w:w="1348" w:type="dxa"/>
            <w:vAlign w:val="center"/>
          </w:tcPr>
          <w:p>
            <w:pPr>
              <w:shd w:val="clear"/>
              <w:spacing w:before="0" w:after="0" w:afterAutospacing="0" w:line="0" w:lineRule="atLeast"/>
              <w:ind w:left="0" w:right="0" w:firstLine="0"/>
              <w:jc w:val="center"/>
              <w:rPr>
                <w:rFonts w:ascii="宋体" w:hAnsi="宋体" w:eastAsia="宋体"/>
                <w:b/>
                <w:sz w:val="24"/>
                <w:szCs w:val="24"/>
                <w:highlight w:val="none"/>
              </w:rPr>
            </w:pPr>
            <w:r>
              <w:rPr>
                <w:rFonts w:hint="eastAsia" w:ascii="宋体" w:hAnsi="宋体" w:eastAsia="宋体"/>
                <w:b/>
                <w:sz w:val="24"/>
                <w:szCs w:val="24"/>
                <w:highlight w:val="none"/>
              </w:rPr>
              <w:t>工作内容</w:t>
            </w:r>
          </w:p>
        </w:tc>
        <w:tc>
          <w:tcPr>
            <w:tcW w:w="5149" w:type="dxa"/>
            <w:vAlign w:val="center"/>
          </w:tcPr>
          <w:p>
            <w:pPr>
              <w:shd w:val="clear"/>
              <w:spacing w:before="0" w:after="0" w:afterAutospacing="0" w:line="0" w:lineRule="atLeast"/>
              <w:ind w:left="0" w:right="0" w:firstLine="0"/>
              <w:jc w:val="center"/>
              <w:rPr>
                <w:rFonts w:ascii="宋体" w:hAnsi="宋体" w:eastAsia="宋体"/>
                <w:b/>
                <w:sz w:val="24"/>
                <w:szCs w:val="24"/>
                <w:highlight w:val="none"/>
              </w:rPr>
            </w:pPr>
            <w:r>
              <w:rPr>
                <w:rFonts w:hint="eastAsia" w:ascii="宋体" w:hAnsi="宋体" w:eastAsia="宋体"/>
                <w:b/>
                <w:sz w:val="24"/>
                <w:szCs w:val="24"/>
                <w:highlight w:val="none"/>
              </w:rPr>
              <w:t>参数/规格</w:t>
            </w:r>
          </w:p>
        </w:tc>
        <w:tc>
          <w:tcPr>
            <w:tcW w:w="1250" w:type="dxa"/>
            <w:vAlign w:val="center"/>
          </w:tcPr>
          <w:p>
            <w:pPr>
              <w:shd w:val="clear"/>
              <w:spacing w:before="0" w:after="0" w:afterAutospacing="0" w:line="0" w:lineRule="atLeast"/>
              <w:ind w:left="0" w:right="0" w:firstLine="0"/>
              <w:jc w:val="center"/>
              <w:rPr>
                <w:rFonts w:hint="eastAsia" w:ascii="宋体" w:hAnsi="宋体" w:eastAsia="宋体"/>
                <w:b/>
                <w:sz w:val="24"/>
                <w:szCs w:val="24"/>
                <w:highlight w:val="none"/>
                <w:lang w:val="en-US" w:eastAsia="zh-CN"/>
              </w:rPr>
            </w:pPr>
            <w:r>
              <w:rPr>
                <w:rFonts w:hint="eastAsia" w:ascii="宋体" w:hAnsi="宋体"/>
                <w:b/>
                <w:sz w:val="24"/>
                <w:szCs w:val="24"/>
                <w:highlight w:val="none"/>
                <w:lang w:val="en-US" w:eastAsia="zh-CN"/>
              </w:rPr>
              <w:t>参考品牌</w:t>
            </w:r>
          </w:p>
        </w:tc>
        <w:tc>
          <w:tcPr>
            <w:tcW w:w="1167" w:type="dxa"/>
            <w:vAlign w:val="center"/>
          </w:tcPr>
          <w:p>
            <w:pPr>
              <w:shd w:val="clear"/>
              <w:spacing w:before="0" w:after="0" w:afterAutospacing="0" w:line="0" w:lineRule="atLeast"/>
              <w:ind w:left="0" w:right="0" w:firstLine="0"/>
              <w:jc w:val="center"/>
              <w:rPr>
                <w:rFonts w:ascii="宋体" w:hAnsi="宋体" w:eastAsia="宋体"/>
                <w:b/>
                <w:sz w:val="24"/>
                <w:szCs w:val="24"/>
                <w:highlight w:val="none"/>
              </w:rPr>
            </w:pPr>
            <w:r>
              <w:rPr>
                <w:rFonts w:hint="eastAsia" w:ascii="宋体" w:hAnsi="宋体" w:eastAsia="宋体"/>
                <w:b/>
                <w:sz w:val="24"/>
                <w:szCs w:val="24"/>
                <w:highlight w:val="none"/>
              </w:rPr>
              <w:t>单位</w:t>
            </w:r>
          </w:p>
        </w:tc>
        <w:tc>
          <w:tcPr>
            <w:tcW w:w="1167" w:type="dxa"/>
            <w:vAlign w:val="center"/>
          </w:tcPr>
          <w:p>
            <w:pPr>
              <w:shd w:val="clear"/>
              <w:spacing w:before="0" w:after="0" w:afterAutospacing="0" w:line="0" w:lineRule="atLeast"/>
              <w:ind w:left="0" w:right="0" w:firstLine="0"/>
              <w:jc w:val="center"/>
              <w:rPr>
                <w:rFonts w:ascii="宋体" w:hAnsi="宋体" w:eastAsia="宋体"/>
                <w:b/>
                <w:sz w:val="24"/>
                <w:szCs w:val="24"/>
                <w:highlight w:val="none"/>
              </w:rPr>
            </w:pPr>
            <w:r>
              <w:rPr>
                <w:rFonts w:hint="eastAsia" w:ascii="宋体" w:hAnsi="宋体" w:eastAsia="宋体"/>
                <w:b/>
                <w:sz w:val="24"/>
                <w:szCs w:val="24"/>
                <w:highlight w:val="none"/>
              </w:rPr>
              <w:t>数量</w:t>
            </w:r>
            <w:r>
              <w:rPr>
                <w:rFonts w:hint="eastAsia" w:ascii="宋体" w:hAnsi="宋体" w:cs="宋体"/>
                <w:color w:val="000000"/>
                <w:highlight w:val="none"/>
                <w:lang w:bidi="ar"/>
              </w:rPr>
              <w:t>①</w:t>
            </w:r>
          </w:p>
        </w:tc>
        <w:tc>
          <w:tcPr>
            <w:tcW w:w="1350" w:type="dxa"/>
            <w:vAlign w:val="center"/>
          </w:tcPr>
          <w:p>
            <w:pPr>
              <w:shd w:val="clear"/>
              <w:spacing w:before="0" w:after="0" w:afterAutospacing="0" w:line="0" w:lineRule="atLeast"/>
              <w:ind w:left="0" w:right="0" w:firstLine="0"/>
              <w:jc w:val="center"/>
              <w:rPr>
                <w:rFonts w:hint="eastAsia" w:ascii="宋体" w:hAnsi="宋体" w:eastAsia="宋体"/>
                <w:b/>
                <w:bCs/>
                <w:sz w:val="24"/>
                <w:szCs w:val="24"/>
                <w:highlight w:val="none"/>
              </w:rPr>
            </w:pPr>
            <w:r>
              <w:rPr>
                <w:rFonts w:hint="eastAsia" w:ascii="宋体" w:hAnsi="宋体" w:cs="宋体"/>
                <w:b/>
                <w:bCs/>
                <w:color w:val="000000"/>
                <w:highlight w:val="none"/>
                <w:lang w:bidi="ar"/>
              </w:rPr>
              <w:t>不含税单价（元）②</w:t>
            </w:r>
          </w:p>
        </w:tc>
        <w:tc>
          <w:tcPr>
            <w:tcW w:w="1583" w:type="dxa"/>
            <w:vAlign w:val="center"/>
          </w:tcPr>
          <w:p>
            <w:pPr>
              <w:shd w:val="clear"/>
              <w:spacing w:before="0" w:after="0" w:afterAutospacing="0" w:line="0" w:lineRule="atLeast"/>
              <w:ind w:left="0" w:right="0" w:firstLine="0"/>
              <w:jc w:val="center"/>
              <w:rPr>
                <w:rFonts w:hint="eastAsia" w:ascii="宋体" w:hAnsi="宋体" w:eastAsia="宋体"/>
                <w:b/>
                <w:bCs/>
                <w:sz w:val="24"/>
                <w:szCs w:val="24"/>
                <w:highlight w:val="none"/>
              </w:rPr>
            </w:pPr>
            <w:r>
              <w:rPr>
                <w:rFonts w:hint="eastAsia" w:ascii="宋体" w:hAnsi="宋体" w:cs="宋体"/>
                <w:b/>
                <w:bCs/>
                <w:color w:val="000000"/>
                <w:highlight w:val="none"/>
                <w:lang w:bidi="ar"/>
              </w:rPr>
              <w:t>不含税合价（元）③=②×①</w:t>
            </w:r>
          </w:p>
        </w:tc>
        <w:tc>
          <w:tcPr>
            <w:tcW w:w="1948" w:type="dxa"/>
            <w:vAlign w:val="center"/>
          </w:tcPr>
          <w:p>
            <w:pPr>
              <w:shd w:val="clear"/>
              <w:spacing w:before="0" w:after="0" w:afterAutospacing="0" w:line="0" w:lineRule="atLeast"/>
              <w:ind w:left="0" w:right="0" w:firstLine="0"/>
              <w:jc w:val="center"/>
              <w:rPr>
                <w:rFonts w:ascii="宋体" w:hAnsi="宋体" w:eastAsia="宋体"/>
                <w:b/>
                <w:sz w:val="24"/>
                <w:szCs w:val="24"/>
                <w:highlight w:val="none"/>
              </w:rPr>
            </w:pPr>
            <w:r>
              <w:rPr>
                <w:rFonts w:hint="eastAsia" w:ascii="宋体" w:hAnsi="宋体" w:eastAsia="宋体"/>
                <w:b/>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652"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1</w:t>
            </w:r>
          </w:p>
        </w:tc>
        <w:tc>
          <w:tcPr>
            <w:tcW w:w="1348"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镀锌钢管</w:t>
            </w:r>
          </w:p>
        </w:tc>
        <w:tc>
          <w:tcPr>
            <w:tcW w:w="5149" w:type="dxa"/>
            <w:vAlign w:val="center"/>
          </w:tcPr>
          <w:p>
            <w:pPr>
              <w:shd w:val="clear"/>
              <w:spacing w:before="0" w:after="0" w:afterAutospacing="0" w:line="0" w:lineRule="atLeast"/>
              <w:ind w:left="0" w:right="0" w:firstLine="0"/>
              <w:rPr>
                <w:rFonts w:ascii="宋体" w:hAnsi="宋体" w:eastAsia="宋体"/>
                <w:sz w:val="24"/>
                <w:szCs w:val="24"/>
                <w:highlight w:val="none"/>
              </w:rPr>
            </w:pPr>
            <w:r>
              <w:rPr>
                <w:rFonts w:hint="eastAsia" w:ascii="宋体" w:hAnsi="宋体" w:eastAsia="宋体"/>
                <w:sz w:val="24"/>
                <w:szCs w:val="24"/>
                <w:highlight w:val="none"/>
              </w:rPr>
              <w:t>1、公称内径：DN100。</w:t>
            </w:r>
            <w:r>
              <w:rPr>
                <w:rFonts w:hint="eastAsia" w:ascii="宋体" w:hAnsi="宋体" w:eastAsia="宋体"/>
                <w:sz w:val="24"/>
                <w:szCs w:val="24"/>
                <w:highlight w:val="none"/>
              </w:rPr>
              <w:br w:type="textWrapping"/>
            </w:r>
            <w:r>
              <w:rPr>
                <w:rFonts w:hint="eastAsia" w:ascii="宋体" w:hAnsi="宋体" w:eastAsia="宋体"/>
                <w:sz w:val="24"/>
                <w:szCs w:val="24"/>
                <w:highlight w:val="none"/>
              </w:rPr>
              <w:t>2、外径：114.30㎜。</w:t>
            </w:r>
            <w:r>
              <w:rPr>
                <w:rFonts w:hint="eastAsia" w:ascii="宋体" w:hAnsi="宋体" w:eastAsia="宋体"/>
                <w:sz w:val="24"/>
                <w:szCs w:val="24"/>
                <w:highlight w:val="none"/>
              </w:rPr>
              <w:br w:type="textWrapping"/>
            </w:r>
            <w:r>
              <w:rPr>
                <w:rFonts w:hint="eastAsia" w:ascii="宋体" w:hAnsi="宋体" w:eastAsia="宋体"/>
                <w:sz w:val="24"/>
                <w:szCs w:val="24"/>
                <w:highlight w:val="none"/>
              </w:rPr>
              <w:t>3、壁厚：4.0㎜。</w:t>
            </w:r>
            <w:r>
              <w:rPr>
                <w:rFonts w:hint="eastAsia" w:ascii="宋体" w:hAnsi="宋体" w:eastAsia="宋体"/>
                <w:sz w:val="24"/>
                <w:szCs w:val="24"/>
                <w:highlight w:val="none"/>
              </w:rPr>
              <w:br w:type="textWrapping"/>
            </w:r>
            <w:r>
              <w:rPr>
                <w:rFonts w:hint="eastAsia" w:ascii="宋体" w:hAnsi="宋体" w:eastAsia="宋体"/>
                <w:sz w:val="24"/>
                <w:szCs w:val="24"/>
                <w:highlight w:val="none"/>
              </w:rPr>
              <w:t>4、米重：11.53kg。</w:t>
            </w:r>
            <w:r>
              <w:rPr>
                <w:rFonts w:hint="eastAsia" w:ascii="宋体" w:hAnsi="宋体" w:eastAsia="宋体"/>
                <w:sz w:val="24"/>
                <w:szCs w:val="24"/>
                <w:highlight w:val="none"/>
              </w:rPr>
              <w:br w:type="textWrapping"/>
            </w:r>
            <w:r>
              <w:rPr>
                <w:rFonts w:hint="eastAsia" w:ascii="宋体" w:hAnsi="宋体" w:eastAsia="宋体"/>
                <w:sz w:val="24"/>
                <w:szCs w:val="24"/>
                <w:highlight w:val="none"/>
              </w:rPr>
              <w:t>5、工艺：热扎。</w:t>
            </w:r>
          </w:p>
        </w:tc>
        <w:tc>
          <w:tcPr>
            <w:tcW w:w="1250" w:type="dxa"/>
            <w:vAlign w:val="center"/>
          </w:tcPr>
          <w:p>
            <w:pPr>
              <w:shd w:val="clear"/>
              <w:spacing w:before="0" w:after="0" w:afterAutospacing="0" w:line="0" w:lineRule="atLeast"/>
              <w:ind w:left="0" w:right="0" w:firstLine="0"/>
              <w:rPr>
                <w:rFonts w:hint="eastAsia" w:ascii="宋体" w:hAnsi="宋体" w:eastAsia="宋体"/>
                <w:sz w:val="24"/>
                <w:szCs w:val="24"/>
                <w:highlight w:val="none"/>
              </w:rPr>
            </w:pP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米</w:t>
            </w: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80</w:t>
            </w:r>
          </w:p>
        </w:tc>
        <w:tc>
          <w:tcPr>
            <w:tcW w:w="1350"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583"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948" w:type="dxa"/>
          </w:tcPr>
          <w:p>
            <w:pPr>
              <w:shd w:val="clear"/>
              <w:spacing w:before="0" w:after="0" w:afterAutospacing="0" w:line="0" w:lineRule="atLeast"/>
              <w:ind w:left="0" w:right="0" w:firstLine="0"/>
              <w:rPr>
                <w:rFonts w:ascii="宋体" w:hAnsi="宋体" w:eastAsia="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652"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2</w:t>
            </w:r>
          </w:p>
        </w:tc>
        <w:tc>
          <w:tcPr>
            <w:tcW w:w="1348"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镀锌钢管</w:t>
            </w:r>
          </w:p>
        </w:tc>
        <w:tc>
          <w:tcPr>
            <w:tcW w:w="5149" w:type="dxa"/>
            <w:vAlign w:val="center"/>
          </w:tcPr>
          <w:p>
            <w:pPr>
              <w:shd w:val="clear"/>
              <w:spacing w:before="0" w:after="0" w:afterAutospacing="0" w:line="0" w:lineRule="atLeast"/>
              <w:ind w:left="0" w:right="0" w:firstLine="0"/>
              <w:rPr>
                <w:rFonts w:ascii="宋体" w:hAnsi="宋体" w:eastAsia="宋体"/>
                <w:sz w:val="24"/>
                <w:szCs w:val="24"/>
                <w:highlight w:val="none"/>
              </w:rPr>
            </w:pPr>
            <w:r>
              <w:rPr>
                <w:rFonts w:hint="eastAsia" w:ascii="宋体" w:hAnsi="宋体" w:eastAsia="宋体"/>
                <w:sz w:val="24"/>
                <w:szCs w:val="24"/>
                <w:highlight w:val="none"/>
              </w:rPr>
              <w:t>1、公称内径：DN80。</w:t>
            </w:r>
            <w:r>
              <w:rPr>
                <w:rFonts w:hint="eastAsia" w:ascii="宋体" w:hAnsi="宋体" w:eastAsia="宋体"/>
                <w:sz w:val="24"/>
                <w:szCs w:val="24"/>
                <w:highlight w:val="none"/>
              </w:rPr>
              <w:br w:type="textWrapping"/>
            </w:r>
            <w:r>
              <w:rPr>
                <w:rFonts w:hint="eastAsia" w:ascii="宋体" w:hAnsi="宋体" w:eastAsia="宋体"/>
                <w:sz w:val="24"/>
                <w:szCs w:val="24"/>
                <w:highlight w:val="none"/>
              </w:rPr>
              <w:t>2、外径：88.90㎜。</w:t>
            </w:r>
            <w:r>
              <w:rPr>
                <w:rFonts w:hint="eastAsia" w:ascii="宋体" w:hAnsi="宋体" w:eastAsia="宋体"/>
                <w:sz w:val="24"/>
                <w:szCs w:val="24"/>
                <w:highlight w:val="none"/>
              </w:rPr>
              <w:br w:type="textWrapping"/>
            </w:r>
            <w:r>
              <w:rPr>
                <w:rFonts w:hint="eastAsia" w:ascii="宋体" w:hAnsi="宋体" w:eastAsia="宋体"/>
                <w:sz w:val="24"/>
                <w:szCs w:val="24"/>
                <w:highlight w:val="none"/>
              </w:rPr>
              <w:t>3、壁厚：4.0㎜。</w:t>
            </w:r>
            <w:r>
              <w:rPr>
                <w:rFonts w:hint="eastAsia" w:ascii="宋体" w:hAnsi="宋体" w:eastAsia="宋体"/>
                <w:sz w:val="24"/>
                <w:szCs w:val="24"/>
                <w:highlight w:val="none"/>
              </w:rPr>
              <w:br w:type="textWrapping"/>
            </w:r>
            <w:r>
              <w:rPr>
                <w:rFonts w:hint="eastAsia" w:ascii="宋体" w:hAnsi="宋体" w:eastAsia="宋体"/>
                <w:sz w:val="24"/>
                <w:szCs w:val="24"/>
                <w:highlight w:val="none"/>
              </w:rPr>
              <w:t>4、米重：8.88kg。</w:t>
            </w:r>
            <w:r>
              <w:rPr>
                <w:rFonts w:hint="eastAsia" w:ascii="宋体" w:hAnsi="宋体" w:eastAsia="宋体"/>
                <w:sz w:val="24"/>
                <w:szCs w:val="24"/>
                <w:highlight w:val="none"/>
              </w:rPr>
              <w:br w:type="textWrapping"/>
            </w:r>
            <w:r>
              <w:rPr>
                <w:rFonts w:hint="eastAsia" w:ascii="宋体" w:hAnsi="宋体" w:eastAsia="宋体"/>
                <w:sz w:val="24"/>
                <w:szCs w:val="24"/>
                <w:highlight w:val="none"/>
              </w:rPr>
              <w:t>5、工艺：热扎。</w:t>
            </w:r>
          </w:p>
        </w:tc>
        <w:tc>
          <w:tcPr>
            <w:tcW w:w="1250" w:type="dxa"/>
            <w:vAlign w:val="center"/>
          </w:tcPr>
          <w:p>
            <w:pPr>
              <w:shd w:val="clear"/>
              <w:spacing w:before="0" w:after="0" w:afterAutospacing="0" w:line="0" w:lineRule="atLeast"/>
              <w:ind w:left="0" w:right="0" w:firstLine="0"/>
              <w:rPr>
                <w:rFonts w:hint="eastAsia" w:ascii="宋体" w:hAnsi="宋体" w:eastAsia="宋体"/>
                <w:sz w:val="24"/>
                <w:szCs w:val="24"/>
                <w:highlight w:val="none"/>
              </w:rPr>
            </w:pP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米</w:t>
            </w: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105</w:t>
            </w:r>
          </w:p>
        </w:tc>
        <w:tc>
          <w:tcPr>
            <w:tcW w:w="1350"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583"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948" w:type="dxa"/>
          </w:tcPr>
          <w:p>
            <w:pPr>
              <w:shd w:val="clear"/>
              <w:spacing w:before="0" w:after="0" w:afterAutospacing="0" w:line="0" w:lineRule="atLeast"/>
              <w:ind w:left="0" w:right="0" w:firstLine="0"/>
              <w:rPr>
                <w:rFonts w:ascii="宋体" w:hAnsi="宋体" w:eastAsia="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652"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3</w:t>
            </w:r>
          </w:p>
        </w:tc>
        <w:tc>
          <w:tcPr>
            <w:tcW w:w="1348"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镀锌钢管</w:t>
            </w:r>
          </w:p>
        </w:tc>
        <w:tc>
          <w:tcPr>
            <w:tcW w:w="5149" w:type="dxa"/>
            <w:vAlign w:val="center"/>
          </w:tcPr>
          <w:p>
            <w:pPr>
              <w:shd w:val="clear"/>
              <w:spacing w:before="0" w:after="0" w:afterAutospacing="0" w:line="0" w:lineRule="atLeast"/>
              <w:ind w:left="0" w:right="0" w:firstLine="0"/>
              <w:rPr>
                <w:rFonts w:ascii="宋体" w:hAnsi="宋体" w:eastAsia="宋体"/>
                <w:sz w:val="24"/>
                <w:szCs w:val="24"/>
                <w:highlight w:val="none"/>
              </w:rPr>
            </w:pPr>
            <w:r>
              <w:rPr>
                <w:rFonts w:hint="eastAsia" w:ascii="宋体" w:hAnsi="宋体" w:eastAsia="宋体"/>
                <w:sz w:val="24"/>
                <w:szCs w:val="24"/>
                <w:highlight w:val="none"/>
              </w:rPr>
              <w:t>1、公称内径：D65。</w:t>
            </w:r>
            <w:r>
              <w:rPr>
                <w:rFonts w:hint="eastAsia" w:ascii="宋体" w:hAnsi="宋体" w:eastAsia="宋体"/>
                <w:sz w:val="24"/>
                <w:szCs w:val="24"/>
                <w:highlight w:val="none"/>
              </w:rPr>
              <w:br w:type="textWrapping"/>
            </w:r>
            <w:r>
              <w:rPr>
                <w:rFonts w:hint="eastAsia" w:ascii="宋体" w:hAnsi="宋体" w:eastAsia="宋体"/>
                <w:sz w:val="24"/>
                <w:szCs w:val="24"/>
                <w:highlight w:val="none"/>
              </w:rPr>
              <w:t>2、外径：76.10㎜。</w:t>
            </w:r>
            <w:r>
              <w:rPr>
                <w:rFonts w:hint="eastAsia" w:ascii="宋体" w:hAnsi="宋体" w:eastAsia="宋体"/>
                <w:sz w:val="24"/>
                <w:szCs w:val="24"/>
                <w:highlight w:val="none"/>
              </w:rPr>
              <w:br w:type="textWrapping"/>
            </w:r>
            <w:r>
              <w:rPr>
                <w:rFonts w:hint="eastAsia" w:ascii="宋体" w:hAnsi="宋体" w:eastAsia="宋体"/>
                <w:sz w:val="24"/>
                <w:szCs w:val="24"/>
                <w:highlight w:val="none"/>
              </w:rPr>
              <w:t>3、壁厚：4.0㎜。</w:t>
            </w:r>
            <w:r>
              <w:rPr>
                <w:rFonts w:hint="eastAsia" w:ascii="宋体" w:hAnsi="宋体" w:eastAsia="宋体"/>
                <w:sz w:val="24"/>
                <w:szCs w:val="24"/>
                <w:highlight w:val="none"/>
              </w:rPr>
              <w:br w:type="textWrapping"/>
            </w:r>
            <w:r>
              <w:rPr>
                <w:rFonts w:hint="eastAsia" w:ascii="宋体" w:hAnsi="宋体" w:eastAsia="宋体"/>
                <w:sz w:val="24"/>
                <w:szCs w:val="24"/>
                <w:highlight w:val="none"/>
              </w:rPr>
              <w:t>4、米重：7.53kg。</w:t>
            </w:r>
            <w:r>
              <w:rPr>
                <w:rFonts w:hint="eastAsia" w:ascii="宋体" w:hAnsi="宋体" w:eastAsia="宋体"/>
                <w:sz w:val="24"/>
                <w:szCs w:val="24"/>
                <w:highlight w:val="none"/>
              </w:rPr>
              <w:br w:type="textWrapping"/>
            </w:r>
            <w:r>
              <w:rPr>
                <w:rFonts w:hint="eastAsia" w:ascii="宋体" w:hAnsi="宋体" w:eastAsia="宋体"/>
                <w:sz w:val="24"/>
                <w:szCs w:val="24"/>
                <w:highlight w:val="none"/>
              </w:rPr>
              <w:t>5、工艺：热扎。</w:t>
            </w:r>
          </w:p>
        </w:tc>
        <w:tc>
          <w:tcPr>
            <w:tcW w:w="1250" w:type="dxa"/>
            <w:vAlign w:val="center"/>
          </w:tcPr>
          <w:p>
            <w:pPr>
              <w:shd w:val="clear"/>
              <w:spacing w:before="0" w:after="0" w:afterAutospacing="0" w:line="0" w:lineRule="atLeast"/>
              <w:ind w:left="0" w:right="0" w:firstLine="0"/>
              <w:rPr>
                <w:rFonts w:hint="eastAsia" w:ascii="宋体" w:hAnsi="宋体" w:eastAsia="宋体"/>
                <w:sz w:val="24"/>
                <w:szCs w:val="24"/>
                <w:highlight w:val="none"/>
              </w:rPr>
            </w:pP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米</w:t>
            </w: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125</w:t>
            </w:r>
          </w:p>
        </w:tc>
        <w:tc>
          <w:tcPr>
            <w:tcW w:w="1350"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583"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948" w:type="dxa"/>
          </w:tcPr>
          <w:p>
            <w:pPr>
              <w:shd w:val="clear"/>
              <w:spacing w:before="0" w:after="0" w:afterAutospacing="0" w:line="0" w:lineRule="atLeast"/>
              <w:ind w:left="0" w:right="0" w:firstLine="0"/>
              <w:rPr>
                <w:rFonts w:ascii="宋体" w:hAnsi="宋体" w:eastAsia="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652"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4</w:t>
            </w:r>
          </w:p>
        </w:tc>
        <w:tc>
          <w:tcPr>
            <w:tcW w:w="1348"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镀锌钢管</w:t>
            </w:r>
          </w:p>
        </w:tc>
        <w:tc>
          <w:tcPr>
            <w:tcW w:w="5149" w:type="dxa"/>
            <w:vAlign w:val="center"/>
          </w:tcPr>
          <w:p>
            <w:pPr>
              <w:shd w:val="clear"/>
              <w:spacing w:before="0" w:after="0" w:afterAutospacing="0" w:line="0" w:lineRule="atLeast"/>
              <w:ind w:left="0" w:right="0" w:firstLine="0"/>
              <w:rPr>
                <w:rFonts w:ascii="宋体" w:hAnsi="宋体" w:eastAsia="宋体"/>
                <w:sz w:val="24"/>
                <w:szCs w:val="24"/>
                <w:highlight w:val="none"/>
              </w:rPr>
            </w:pPr>
            <w:r>
              <w:rPr>
                <w:rFonts w:hint="eastAsia" w:ascii="宋体" w:hAnsi="宋体" w:eastAsia="宋体"/>
                <w:sz w:val="24"/>
                <w:szCs w:val="24"/>
                <w:highlight w:val="none"/>
              </w:rPr>
              <w:t>1、公称内径：DN50。</w:t>
            </w:r>
            <w:r>
              <w:rPr>
                <w:rFonts w:hint="eastAsia" w:ascii="宋体" w:hAnsi="宋体" w:eastAsia="宋体"/>
                <w:sz w:val="24"/>
                <w:szCs w:val="24"/>
                <w:highlight w:val="none"/>
              </w:rPr>
              <w:br w:type="textWrapping"/>
            </w:r>
            <w:r>
              <w:rPr>
                <w:rFonts w:hint="eastAsia" w:ascii="宋体" w:hAnsi="宋体" w:eastAsia="宋体"/>
                <w:sz w:val="24"/>
                <w:szCs w:val="24"/>
                <w:highlight w:val="none"/>
              </w:rPr>
              <w:t>2、外径：60.30㎜。</w:t>
            </w:r>
            <w:r>
              <w:rPr>
                <w:rFonts w:hint="eastAsia" w:ascii="宋体" w:hAnsi="宋体" w:eastAsia="宋体"/>
                <w:sz w:val="24"/>
                <w:szCs w:val="24"/>
                <w:highlight w:val="none"/>
              </w:rPr>
              <w:br w:type="textWrapping"/>
            </w:r>
            <w:r>
              <w:rPr>
                <w:rFonts w:hint="eastAsia" w:ascii="宋体" w:hAnsi="宋体" w:eastAsia="宋体"/>
                <w:sz w:val="24"/>
                <w:szCs w:val="24"/>
                <w:highlight w:val="none"/>
              </w:rPr>
              <w:t>3、壁厚：3.8㎜。</w:t>
            </w:r>
            <w:r>
              <w:rPr>
                <w:rFonts w:hint="eastAsia" w:ascii="宋体" w:hAnsi="宋体" w:eastAsia="宋体"/>
                <w:sz w:val="24"/>
                <w:szCs w:val="24"/>
                <w:highlight w:val="none"/>
              </w:rPr>
              <w:br w:type="textWrapping"/>
            </w:r>
            <w:r>
              <w:rPr>
                <w:rFonts w:hint="eastAsia" w:ascii="宋体" w:hAnsi="宋体" w:eastAsia="宋体"/>
                <w:sz w:val="24"/>
                <w:szCs w:val="24"/>
                <w:highlight w:val="none"/>
              </w:rPr>
              <w:t>4、米重：5.60kg。</w:t>
            </w:r>
            <w:r>
              <w:rPr>
                <w:rFonts w:hint="eastAsia" w:ascii="宋体" w:hAnsi="宋体" w:eastAsia="宋体"/>
                <w:sz w:val="24"/>
                <w:szCs w:val="24"/>
                <w:highlight w:val="none"/>
              </w:rPr>
              <w:br w:type="textWrapping"/>
            </w:r>
            <w:r>
              <w:rPr>
                <w:rFonts w:hint="eastAsia" w:ascii="宋体" w:hAnsi="宋体" w:eastAsia="宋体"/>
                <w:sz w:val="24"/>
                <w:szCs w:val="24"/>
                <w:highlight w:val="none"/>
              </w:rPr>
              <w:t>5、工艺：热扎。</w:t>
            </w:r>
          </w:p>
        </w:tc>
        <w:tc>
          <w:tcPr>
            <w:tcW w:w="1250" w:type="dxa"/>
            <w:vAlign w:val="center"/>
          </w:tcPr>
          <w:p>
            <w:pPr>
              <w:shd w:val="clear"/>
              <w:spacing w:before="0" w:after="0" w:afterAutospacing="0" w:line="0" w:lineRule="atLeast"/>
              <w:ind w:left="0" w:right="0" w:firstLine="0"/>
              <w:rPr>
                <w:rFonts w:hint="eastAsia" w:ascii="宋体" w:hAnsi="宋体" w:eastAsia="宋体"/>
                <w:sz w:val="24"/>
                <w:szCs w:val="24"/>
                <w:highlight w:val="none"/>
              </w:rPr>
            </w:pP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米</w:t>
            </w: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110</w:t>
            </w:r>
          </w:p>
        </w:tc>
        <w:tc>
          <w:tcPr>
            <w:tcW w:w="1350"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583"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948" w:type="dxa"/>
          </w:tcPr>
          <w:p>
            <w:pPr>
              <w:shd w:val="clear"/>
              <w:spacing w:before="0" w:after="0" w:afterAutospacing="0" w:line="0" w:lineRule="atLeast"/>
              <w:ind w:left="0" w:right="0" w:firstLine="0"/>
              <w:rPr>
                <w:rFonts w:ascii="宋体" w:hAnsi="宋体" w:eastAsia="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652"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5</w:t>
            </w:r>
          </w:p>
        </w:tc>
        <w:tc>
          <w:tcPr>
            <w:tcW w:w="1348"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镀锌钢管</w:t>
            </w:r>
          </w:p>
        </w:tc>
        <w:tc>
          <w:tcPr>
            <w:tcW w:w="5149" w:type="dxa"/>
            <w:vAlign w:val="center"/>
          </w:tcPr>
          <w:p>
            <w:pPr>
              <w:shd w:val="clear"/>
              <w:spacing w:before="0" w:after="0" w:afterAutospacing="0" w:line="0" w:lineRule="atLeast"/>
              <w:ind w:left="0" w:right="0" w:firstLine="0"/>
              <w:rPr>
                <w:rFonts w:ascii="宋体" w:hAnsi="宋体" w:eastAsia="宋体"/>
                <w:sz w:val="24"/>
                <w:szCs w:val="24"/>
                <w:highlight w:val="none"/>
              </w:rPr>
            </w:pPr>
            <w:r>
              <w:rPr>
                <w:rFonts w:hint="eastAsia" w:ascii="宋体" w:hAnsi="宋体" w:eastAsia="宋体"/>
                <w:sz w:val="24"/>
                <w:szCs w:val="24"/>
                <w:highlight w:val="none"/>
              </w:rPr>
              <w:t>1、公称内径：DN40。</w:t>
            </w:r>
            <w:r>
              <w:rPr>
                <w:rFonts w:hint="eastAsia" w:ascii="宋体" w:hAnsi="宋体" w:eastAsia="宋体"/>
                <w:sz w:val="24"/>
                <w:szCs w:val="24"/>
                <w:highlight w:val="none"/>
              </w:rPr>
              <w:br w:type="textWrapping"/>
            </w:r>
            <w:r>
              <w:rPr>
                <w:rFonts w:hint="eastAsia" w:ascii="宋体" w:hAnsi="宋体" w:eastAsia="宋体"/>
                <w:sz w:val="24"/>
                <w:szCs w:val="24"/>
                <w:highlight w:val="none"/>
              </w:rPr>
              <w:t>2、外径：48.30㎜。</w:t>
            </w:r>
            <w:r>
              <w:rPr>
                <w:rFonts w:hint="eastAsia" w:ascii="宋体" w:hAnsi="宋体" w:eastAsia="宋体"/>
                <w:sz w:val="24"/>
                <w:szCs w:val="24"/>
                <w:highlight w:val="none"/>
              </w:rPr>
              <w:br w:type="textWrapping"/>
            </w:r>
            <w:r>
              <w:rPr>
                <w:rFonts w:hint="eastAsia" w:ascii="宋体" w:hAnsi="宋体" w:eastAsia="宋体"/>
                <w:sz w:val="24"/>
                <w:szCs w:val="24"/>
                <w:highlight w:val="none"/>
              </w:rPr>
              <w:t>3、壁厚：3.5㎜。</w:t>
            </w:r>
            <w:r>
              <w:rPr>
                <w:rFonts w:hint="eastAsia" w:ascii="宋体" w:hAnsi="宋体" w:eastAsia="宋体"/>
                <w:sz w:val="24"/>
                <w:szCs w:val="24"/>
                <w:highlight w:val="none"/>
              </w:rPr>
              <w:br w:type="textWrapping"/>
            </w:r>
            <w:r>
              <w:rPr>
                <w:rFonts w:hint="eastAsia" w:ascii="宋体" w:hAnsi="宋体" w:eastAsia="宋体"/>
                <w:sz w:val="24"/>
                <w:szCs w:val="24"/>
                <w:highlight w:val="none"/>
              </w:rPr>
              <w:t>4、米重：4.10kg。</w:t>
            </w:r>
            <w:r>
              <w:rPr>
                <w:rFonts w:hint="eastAsia" w:ascii="宋体" w:hAnsi="宋体" w:eastAsia="宋体"/>
                <w:sz w:val="24"/>
                <w:szCs w:val="24"/>
                <w:highlight w:val="none"/>
              </w:rPr>
              <w:br w:type="textWrapping"/>
            </w:r>
            <w:r>
              <w:rPr>
                <w:rFonts w:hint="eastAsia" w:ascii="宋体" w:hAnsi="宋体" w:eastAsia="宋体"/>
                <w:sz w:val="24"/>
                <w:szCs w:val="24"/>
                <w:highlight w:val="none"/>
              </w:rPr>
              <w:t>5、工艺：热扎。</w:t>
            </w:r>
          </w:p>
        </w:tc>
        <w:tc>
          <w:tcPr>
            <w:tcW w:w="1250" w:type="dxa"/>
            <w:vAlign w:val="center"/>
          </w:tcPr>
          <w:p>
            <w:pPr>
              <w:shd w:val="clear"/>
              <w:spacing w:before="0" w:after="0" w:afterAutospacing="0" w:line="0" w:lineRule="atLeast"/>
              <w:ind w:left="0" w:right="0" w:firstLine="0"/>
              <w:rPr>
                <w:rFonts w:hint="eastAsia" w:ascii="宋体" w:hAnsi="宋体" w:eastAsia="宋体"/>
                <w:sz w:val="24"/>
                <w:szCs w:val="24"/>
                <w:highlight w:val="none"/>
              </w:rPr>
            </w:pP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米</w:t>
            </w: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48</w:t>
            </w:r>
          </w:p>
        </w:tc>
        <w:tc>
          <w:tcPr>
            <w:tcW w:w="1350"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583"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948" w:type="dxa"/>
          </w:tcPr>
          <w:p>
            <w:pPr>
              <w:shd w:val="clear"/>
              <w:spacing w:before="0" w:after="0" w:afterAutospacing="0" w:line="0" w:lineRule="atLeast"/>
              <w:ind w:left="0" w:right="0" w:firstLine="0"/>
              <w:rPr>
                <w:rFonts w:ascii="宋体" w:hAnsi="宋体" w:eastAsia="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652"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6</w:t>
            </w:r>
          </w:p>
        </w:tc>
        <w:tc>
          <w:tcPr>
            <w:tcW w:w="1348"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镀锌钢管</w:t>
            </w:r>
          </w:p>
        </w:tc>
        <w:tc>
          <w:tcPr>
            <w:tcW w:w="5149" w:type="dxa"/>
            <w:vAlign w:val="center"/>
          </w:tcPr>
          <w:p>
            <w:pPr>
              <w:shd w:val="clear"/>
              <w:spacing w:before="0" w:after="0" w:afterAutospacing="0" w:line="0" w:lineRule="atLeast"/>
              <w:ind w:left="0" w:right="0" w:firstLine="0"/>
              <w:rPr>
                <w:rFonts w:ascii="宋体" w:hAnsi="宋体" w:eastAsia="宋体"/>
                <w:sz w:val="24"/>
                <w:szCs w:val="24"/>
                <w:highlight w:val="none"/>
              </w:rPr>
            </w:pPr>
            <w:r>
              <w:rPr>
                <w:rFonts w:hint="eastAsia" w:ascii="宋体" w:hAnsi="宋体" w:eastAsia="宋体"/>
                <w:sz w:val="24"/>
                <w:szCs w:val="24"/>
                <w:highlight w:val="none"/>
              </w:rPr>
              <w:t>1、公称内径：DN32。</w:t>
            </w:r>
            <w:r>
              <w:rPr>
                <w:rFonts w:hint="eastAsia" w:ascii="宋体" w:hAnsi="宋体" w:eastAsia="宋体"/>
                <w:sz w:val="24"/>
                <w:szCs w:val="24"/>
                <w:highlight w:val="none"/>
              </w:rPr>
              <w:br w:type="textWrapping"/>
            </w:r>
            <w:r>
              <w:rPr>
                <w:rFonts w:hint="eastAsia" w:ascii="宋体" w:hAnsi="宋体" w:eastAsia="宋体"/>
                <w:sz w:val="24"/>
                <w:szCs w:val="24"/>
                <w:highlight w:val="none"/>
              </w:rPr>
              <w:t>2、外径：42.40㎜。</w:t>
            </w:r>
            <w:r>
              <w:rPr>
                <w:rFonts w:hint="eastAsia" w:ascii="宋体" w:hAnsi="宋体" w:eastAsia="宋体"/>
                <w:sz w:val="24"/>
                <w:szCs w:val="24"/>
                <w:highlight w:val="none"/>
              </w:rPr>
              <w:br w:type="textWrapping"/>
            </w:r>
            <w:r>
              <w:rPr>
                <w:rFonts w:hint="eastAsia" w:ascii="宋体" w:hAnsi="宋体" w:eastAsia="宋体"/>
                <w:sz w:val="24"/>
                <w:szCs w:val="24"/>
                <w:highlight w:val="none"/>
              </w:rPr>
              <w:t>3、壁厚：3.5㎜。</w:t>
            </w:r>
            <w:r>
              <w:rPr>
                <w:rFonts w:hint="eastAsia" w:ascii="宋体" w:hAnsi="宋体" w:eastAsia="宋体"/>
                <w:sz w:val="24"/>
                <w:szCs w:val="24"/>
                <w:highlight w:val="none"/>
              </w:rPr>
              <w:br w:type="textWrapping"/>
            </w:r>
            <w:r>
              <w:rPr>
                <w:rFonts w:hint="eastAsia" w:ascii="宋体" w:hAnsi="宋体" w:eastAsia="宋体"/>
                <w:sz w:val="24"/>
                <w:szCs w:val="24"/>
                <w:highlight w:val="none"/>
              </w:rPr>
              <w:t>4、米重：3.56kg。</w:t>
            </w:r>
            <w:r>
              <w:rPr>
                <w:rFonts w:hint="eastAsia" w:ascii="宋体" w:hAnsi="宋体" w:eastAsia="宋体"/>
                <w:sz w:val="24"/>
                <w:szCs w:val="24"/>
                <w:highlight w:val="none"/>
              </w:rPr>
              <w:br w:type="textWrapping"/>
            </w:r>
            <w:r>
              <w:rPr>
                <w:rFonts w:hint="eastAsia" w:ascii="宋体" w:hAnsi="宋体" w:eastAsia="宋体"/>
                <w:sz w:val="24"/>
                <w:szCs w:val="24"/>
                <w:highlight w:val="none"/>
              </w:rPr>
              <w:t>5、工艺：热扎。</w:t>
            </w:r>
          </w:p>
        </w:tc>
        <w:tc>
          <w:tcPr>
            <w:tcW w:w="1250" w:type="dxa"/>
            <w:vAlign w:val="center"/>
          </w:tcPr>
          <w:p>
            <w:pPr>
              <w:shd w:val="clear"/>
              <w:spacing w:before="0" w:after="0" w:afterAutospacing="0" w:line="0" w:lineRule="atLeast"/>
              <w:ind w:left="0" w:right="0" w:firstLine="0"/>
              <w:rPr>
                <w:rFonts w:hint="eastAsia" w:ascii="宋体" w:hAnsi="宋体" w:eastAsia="宋体"/>
                <w:sz w:val="24"/>
                <w:szCs w:val="24"/>
                <w:highlight w:val="none"/>
              </w:rPr>
            </w:pP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米</w:t>
            </w: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50</w:t>
            </w:r>
          </w:p>
        </w:tc>
        <w:tc>
          <w:tcPr>
            <w:tcW w:w="1350"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583"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948" w:type="dxa"/>
          </w:tcPr>
          <w:p>
            <w:pPr>
              <w:shd w:val="clear"/>
              <w:spacing w:before="0" w:after="0" w:afterAutospacing="0" w:line="0" w:lineRule="atLeast"/>
              <w:ind w:left="0" w:right="0" w:firstLine="0"/>
              <w:rPr>
                <w:rFonts w:ascii="宋体" w:hAnsi="宋体" w:eastAsia="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652"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7</w:t>
            </w:r>
          </w:p>
        </w:tc>
        <w:tc>
          <w:tcPr>
            <w:tcW w:w="1348"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镀锌钢管</w:t>
            </w:r>
          </w:p>
        </w:tc>
        <w:tc>
          <w:tcPr>
            <w:tcW w:w="5149" w:type="dxa"/>
            <w:vAlign w:val="center"/>
          </w:tcPr>
          <w:p>
            <w:pPr>
              <w:shd w:val="clear"/>
              <w:spacing w:before="0" w:after="0" w:afterAutospacing="0" w:line="0" w:lineRule="atLeast"/>
              <w:ind w:left="0" w:right="0" w:firstLine="0"/>
              <w:rPr>
                <w:rFonts w:ascii="宋体" w:hAnsi="宋体" w:eastAsia="宋体"/>
                <w:sz w:val="24"/>
                <w:szCs w:val="24"/>
                <w:highlight w:val="none"/>
              </w:rPr>
            </w:pPr>
            <w:r>
              <w:rPr>
                <w:rFonts w:hint="eastAsia" w:ascii="宋体" w:hAnsi="宋体" w:eastAsia="宋体"/>
                <w:sz w:val="24"/>
                <w:szCs w:val="24"/>
                <w:highlight w:val="none"/>
              </w:rPr>
              <w:t>1、公称内径：DN25。</w:t>
            </w:r>
            <w:r>
              <w:rPr>
                <w:rFonts w:hint="eastAsia" w:ascii="宋体" w:hAnsi="宋体" w:eastAsia="宋体"/>
                <w:sz w:val="24"/>
                <w:szCs w:val="24"/>
                <w:highlight w:val="none"/>
              </w:rPr>
              <w:br w:type="textWrapping"/>
            </w:r>
            <w:r>
              <w:rPr>
                <w:rFonts w:hint="eastAsia" w:ascii="宋体" w:hAnsi="宋体" w:eastAsia="宋体"/>
                <w:sz w:val="24"/>
                <w:szCs w:val="24"/>
                <w:highlight w:val="none"/>
              </w:rPr>
              <w:t>2、外径：33.70㎜。</w:t>
            </w:r>
            <w:r>
              <w:rPr>
                <w:rFonts w:hint="eastAsia" w:ascii="宋体" w:hAnsi="宋体" w:eastAsia="宋体"/>
                <w:sz w:val="24"/>
                <w:szCs w:val="24"/>
                <w:highlight w:val="none"/>
              </w:rPr>
              <w:br w:type="textWrapping"/>
            </w:r>
            <w:r>
              <w:rPr>
                <w:rFonts w:hint="eastAsia" w:ascii="宋体" w:hAnsi="宋体" w:eastAsia="宋体"/>
                <w:sz w:val="24"/>
                <w:szCs w:val="24"/>
                <w:highlight w:val="none"/>
              </w:rPr>
              <w:t>3、壁厚：3.2㎜。</w:t>
            </w:r>
            <w:r>
              <w:rPr>
                <w:rFonts w:hint="eastAsia" w:ascii="宋体" w:hAnsi="宋体" w:eastAsia="宋体"/>
                <w:sz w:val="24"/>
                <w:szCs w:val="24"/>
                <w:highlight w:val="none"/>
              </w:rPr>
              <w:br w:type="textWrapping"/>
            </w:r>
            <w:r>
              <w:rPr>
                <w:rFonts w:hint="eastAsia" w:ascii="宋体" w:hAnsi="宋体" w:eastAsia="宋体"/>
                <w:sz w:val="24"/>
                <w:szCs w:val="24"/>
                <w:highlight w:val="none"/>
              </w:rPr>
              <w:t>4、米重：2.554kg。</w:t>
            </w:r>
            <w:r>
              <w:rPr>
                <w:rFonts w:hint="eastAsia" w:ascii="宋体" w:hAnsi="宋体" w:eastAsia="宋体"/>
                <w:sz w:val="24"/>
                <w:szCs w:val="24"/>
                <w:highlight w:val="none"/>
              </w:rPr>
              <w:br w:type="textWrapping"/>
            </w:r>
            <w:r>
              <w:rPr>
                <w:rFonts w:hint="eastAsia" w:ascii="宋体" w:hAnsi="宋体" w:eastAsia="宋体"/>
                <w:sz w:val="24"/>
                <w:szCs w:val="24"/>
                <w:highlight w:val="none"/>
              </w:rPr>
              <w:t>5、工艺：热扎。</w:t>
            </w:r>
          </w:p>
        </w:tc>
        <w:tc>
          <w:tcPr>
            <w:tcW w:w="1250" w:type="dxa"/>
            <w:vAlign w:val="center"/>
          </w:tcPr>
          <w:p>
            <w:pPr>
              <w:shd w:val="clear"/>
              <w:spacing w:before="0" w:after="0" w:afterAutospacing="0" w:line="0" w:lineRule="atLeast"/>
              <w:ind w:left="0" w:right="0" w:firstLine="0"/>
              <w:rPr>
                <w:rFonts w:hint="eastAsia" w:ascii="宋体" w:hAnsi="宋体" w:eastAsia="宋体"/>
                <w:sz w:val="24"/>
                <w:szCs w:val="24"/>
                <w:highlight w:val="none"/>
              </w:rPr>
            </w:pP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米</w:t>
            </w: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55</w:t>
            </w:r>
          </w:p>
        </w:tc>
        <w:tc>
          <w:tcPr>
            <w:tcW w:w="1350"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583"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948" w:type="dxa"/>
          </w:tcPr>
          <w:p>
            <w:pPr>
              <w:shd w:val="clear"/>
              <w:spacing w:before="0" w:after="0" w:afterAutospacing="0" w:line="0" w:lineRule="atLeast"/>
              <w:ind w:left="0" w:right="0" w:firstLine="0"/>
              <w:rPr>
                <w:rFonts w:ascii="宋体" w:hAnsi="宋体" w:eastAsia="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652"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8</w:t>
            </w:r>
          </w:p>
        </w:tc>
        <w:tc>
          <w:tcPr>
            <w:tcW w:w="1348"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喷淋头</w:t>
            </w:r>
          </w:p>
        </w:tc>
        <w:tc>
          <w:tcPr>
            <w:tcW w:w="5149" w:type="dxa"/>
            <w:vAlign w:val="center"/>
          </w:tcPr>
          <w:p>
            <w:pPr>
              <w:shd w:val="clear"/>
              <w:spacing w:before="0" w:after="0" w:afterAutospacing="0" w:line="0" w:lineRule="atLeast"/>
              <w:ind w:left="0" w:right="0" w:firstLine="0"/>
              <w:rPr>
                <w:rFonts w:ascii="宋体" w:hAnsi="宋体" w:eastAsia="宋体"/>
                <w:sz w:val="24"/>
                <w:szCs w:val="24"/>
                <w:highlight w:val="none"/>
              </w:rPr>
            </w:pPr>
            <w:r>
              <w:rPr>
                <w:rFonts w:hint="eastAsia" w:ascii="宋体" w:hAnsi="宋体" w:eastAsia="宋体"/>
                <w:sz w:val="24"/>
                <w:szCs w:val="24"/>
                <w:highlight w:val="none"/>
              </w:rPr>
              <w:t>1、额定温度：68℃。</w:t>
            </w:r>
            <w:r>
              <w:rPr>
                <w:rFonts w:hint="eastAsia" w:ascii="宋体" w:hAnsi="宋体" w:eastAsia="宋体"/>
                <w:sz w:val="24"/>
                <w:szCs w:val="24"/>
                <w:highlight w:val="none"/>
              </w:rPr>
              <w:br w:type="textWrapping"/>
            </w:r>
            <w:r>
              <w:rPr>
                <w:rFonts w:hint="eastAsia" w:ascii="宋体" w:hAnsi="宋体" w:eastAsia="宋体"/>
                <w:sz w:val="24"/>
                <w:szCs w:val="24"/>
                <w:highlight w:val="none"/>
              </w:rPr>
              <w:t>2、温度介质颜色：红色。</w:t>
            </w:r>
            <w:r>
              <w:rPr>
                <w:rFonts w:hint="eastAsia" w:ascii="宋体" w:hAnsi="宋体" w:eastAsia="宋体"/>
                <w:sz w:val="24"/>
                <w:szCs w:val="24"/>
                <w:highlight w:val="none"/>
              </w:rPr>
              <w:br w:type="textWrapping"/>
            </w:r>
            <w:r>
              <w:rPr>
                <w:rFonts w:hint="eastAsia" w:ascii="宋体" w:hAnsi="宋体" w:eastAsia="宋体"/>
                <w:sz w:val="24"/>
                <w:szCs w:val="24"/>
                <w:highlight w:val="none"/>
              </w:rPr>
              <w:t>3、适用环境温度：38℃。</w:t>
            </w:r>
            <w:r>
              <w:rPr>
                <w:rFonts w:hint="eastAsia" w:ascii="宋体" w:hAnsi="宋体" w:eastAsia="宋体"/>
                <w:sz w:val="24"/>
                <w:szCs w:val="24"/>
                <w:highlight w:val="none"/>
              </w:rPr>
              <w:br w:type="textWrapping"/>
            </w:r>
            <w:r>
              <w:rPr>
                <w:rFonts w:hint="eastAsia" w:ascii="宋体" w:hAnsi="宋体" w:eastAsia="宋体"/>
                <w:sz w:val="24"/>
                <w:szCs w:val="24"/>
                <w:highlight w:val="none"/>
              </w:rPr>
              <w:t>4、单只喷淋头最大保护面积12.5㎡。</w:t>
            </w:r>
          </w:p>
        </w:tc>
        <w:tc>
          <w:tcPr>
            <w:tcW w:w="1250" w:type="dxa"/>
            <w:vAlign w:val="center"/>
          </w:tcPr>
          <w:p>
            <w:pPr>
              <w:shd w:val="clear"/>
              <w:spacing w:before="0" w:after="0" w:afterAutospacing="0" w:line="0" w:lineRule="atLeast"/>
              <w:ind w:left="0" w:right="0" w:firstLine="0"/>
              <w:rPr>
                <w:rFonts w:hint="eastAsia" w:ascii="宋体" w:hAnsi="宋体" w:eastAsia="宋体"/>
                <w:sz w:val="24"/>
                <w:szCs w:val="24"/>
                <w:highlight w:val="none"/>
              </w:rPr>
            </w:pP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个</w:t>
            </w: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140</w:t>
            </w:r>
          </w:p>
        </w:tc>
        <w:tc>
          <w:tcPr>
            <w:tcW w:w="1350"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583"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948" w:type="dxa"/>
          </w:tcPr>
          <w:p>
            <w:pPr>
              <w:shd w:val="clear"/>
              <w:spacing w:before="0" w:after="0" w:afterAutospacing="0" w:line="0" w:lineRule="atLeast"/>
              <w:ind w:left="0" w:right="0" w:firstLine="0"/>
              <w:rPr>
                <w:rFonts w:ascii="宋体" w:hAnsi="宋体" w:eastAsia="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52"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9</w:t>
            </w:r>
          </w:p>
        </w:tc>
        <w:tc>
          <w:tcPr>
            <w:tcW w:w="1348" w:type="dxa"/>
            <w:vAlign w:val="center"/>
          </w:tcPr>
          <w:p>
            <w:pPr>
              <w:shd w:val="clear"/>
              <w:spacing w:before="0" w:after="0" w:afterAutospacing="0" w:line="0" w:lineRule="atLeast"/>
              <w:ind w:left="0" w:right="0" w:firstLine="0"/>
              <w:jc w:val="center"/>
              <w:rPr>
                <w:rFonts w:ascii="宋体" w:hAnsi="宋体"/>
                <w:sz w:val="24"/>
                <w:szCs w:val="24"/>
                <w:highlight w:val="none"/>
              </w:rPr>
            </w:pPr>
            <w:r>
              <w:rPr>
                <w:rFonts w:hint="eastAsia" w:ascii="宋体" w:hAnsi="宋体" w:cs="宋体"/>
                <w:sz w:val="24"/>
                <w:highlight w:val="none"/>
              </w:rPr>
              <w:t>明杆闸阀</w:t>
            </w:r>
          </w:p>
        </w:tc>
        <w:tc>
          <w:tcPr>
            <w:tcW w:w="5149" w:type="dxa"/>
            <w:vAlign w:val="center"/>
          </w:tcPr>
          <w:p>
            <w:pPr>
              <w:shd w:val="clear"/>
              <w:spacing w:before="0" w:after="0" w:afterAutospacing="0" w:line="0" w:lineRule="atLeast"/>
              <w:ind w:left="0" w:right="0" w:firstLine="0"/>
              <w:rPr>
                <w:rFonts w:ascii="宋体" w:hAnsi="宋体"/>
                <w:sz w:val="24"/>
                <w:szCs w:val="24"/>
                <w:highlight w:val="none"/>
              </w:rPr>
            </w:pPr>
            <w:r>
              <w:rPr>
                <w:rFonts w:hint="eastAsia" w:ascii="宋体" w:hAnsi="宋体"/>
                <w:sz w:val="24"/>
                <w:szCs w:val="24"/>
                <w:highlight w:val="none"/>
              </w:rPr>
              <w:t>1、公称通径：DN100。</w:t>
            </w:r>
            <w:r>
              <w:rPr>
                <w:rFonts w:hint="eastAsia" w:ascii="宋体" w:hAnsi="宋体"/>
                <w:sz w:val="24"/>
                <w:szCs w:val="24"/>
                <w:highlight w:val="none"/>
              </w:rPr>
              <w:br w:type="textWrapping"/>
            </w:r>
            <w:r>
              <w:rPr>
                <w:rFonts w:hint="eastAsia" w:ascii="宋体" w:hAnsi="宋体"/>
                <w:sz w:val="24"/>
                <w:szCs w:val="24"/>
                <w:highlight w:val="none"/>
              </w:rPr>
              <w:t>2、公称压力：1.6MPa。</w:t>
            </w:r>
            <w:r>
              <w:rPr>
                <w:rFonts w:hint="eastAsia" w:ascii="宋体" w:hAnsi="宋体"/>
                <w:sz w:val="24"/>
                <w:szCs w:val="24"/>
                <w:highlight w:val="none"/>
              </w:rPr>
              <w:br w:type="textWrapping"/>
            </w:r>
            <w:r>
              <w:rPr>
                <w:rFonts w:hint="eastAsia" w:ascii="宋体" w:hAnsi="宋体"/>
                <w:sz w:val="24"/>
                <w:szCs w:val="24"/>
                <w:highlight w:val="none"/>
              </w:rPr>
              <w:t>3、工作温度：-10℃～80℃</w:t>
            </w:r>
            <w:r>
              <w:rPr>
                <w:rFonts w:hint="eastAsia" w:ascii="宋体" w:hAnsi="宋体"/>
                <w:sz w:val="24"/>
                <w:szCs w:val="24"/>
                <w:highlight w:val="none"/>
              </w:rPr>
              <w:br w:type="textWrapping"/>
            </w:r>
            <w:r>
              <w:rPr>
                <w:rFonts w:hint="eastAsia" w:ascii="宋体" w:hAnsi="宋体"/>
                <w:sz w:val="24"/>
                <w:szCs w:val="24"/>
                <w:highlight w:val="none"/>
              </w:rPr>
              <w:t>4、密封试验: 1.1倍公称压力。</w:t>
            </w:r>
            <w:r>
              <w:rPr>
                <w:rFonts w:hint="eastAsia" w:ascii="宋体" w:hAnsi="宋体"/>
                <w:sz w:val="24"/>
                <w:szCs w:val="24"/>
                <w:highlight w:val="none"/>
              </w:rPr>
              <w:br w:type="textWrapping"/>
            </w:r>
            <w:r>
              <w:rPr>
                <w:rFonts w:hint="eastAsia" w:ascii="宋体" w:hAnsi="宋体"/>
                <w:sz w:val="24"/>
                <w:szCs w:val="24"/>
                <w:highlight w:val="none"/>
              </w:rPr>
              <w:t>5、强度试验: 1.5倍公称压力。</w:t>
            </w:r>
            <w:r>
              <w:rPr>
                <w:rFonts w:hint="eastAsia" w:ascii="宋体" w:hAnsi="宋体"/>
                <w:sz w:val="24"/>
                <w:szCs w:val="24"/>
                <w:highlight w:val="none"/>
              </w:rPr>
              <w:br w:type="textWrapping"/>
            </w:r>
            <w:r>
              <w:rPr>
                <w:rFonts w:hint="eastAsia" w:ascii="宋体" w:hAnsi="宋体"/>
                <w:sz w:val="24"/>
                <w:szCs w:val="24"/>
                <w:highlight w:val="none"/>
              </w:rPr>
              <w:t>6、适用介质:水。</w:t>
            </w:r>
            <w:r>
              <w:rPr>
                <w:rFonts w:hint="eastAsia" w:ascii="宋体" w:hAnsi="宋体"/>
                <w:sz w:val="24"/>
                <w:szCs w:val="24"/>
                <w:highlight w:val="none"/>
              </w:rPr>
              <w:br w:type="textWrapping"/>
            </w:r>
            <w:r>
              <w:rPr>
                <w:rFonts w:hint="eastAsia" w:ascii="宋体" w:hAnsi="宋体"/>
                <w:sz w:val="24"/>
                <w:szCs w:val="24"/>
                <w:highlight w:val="none"/>
              </w:rPr>
              <w:t>7、阀体材质：球铁、铸钢。</w:t>
            </w:r>
          </w:p>
        </w:tc>
        <w:tc>
          <w:tcPr>
            <w:tcW w:w="1250" w:type="dxa"/>
            <w:vAlign w:val="center"/>
          </w:tcPr>
          <w:p>
            <w:pPr>
              <w:shd w:val="clear"/>
              <w:spacing w:before="0" w:after="0" w:afterAutospacing="0" w:line="0" w:lineRule="atLeast"/>
              <w:ind w:left="0" w:right="0" w:firstLine="0"/>
              <w:rPr>
                <w:rFonts w:hint="eastAsia" w:ascii="宋体" w:hAnsi="宋体"/>
                <w:sz w:val="24"/>
                <w:szCs w:val="24"/>
                <w:highlight w:val="none"/>
              </w:rPr>
            </w:pPr>
          </w:p>
        </w:tc>
        <w:tc>
          <w:tcPr>
            <w:tcW w:w="1167" w:type="dxa"/>
            <w:vAlign w:val="center"/>
          </w:tcPr>
          <w:p>
            <w:pPr>
              <w:shd w:val="clear"/>
              <w:spacing w:before="0" w:after="0" w:afterAutospacing="0" w:line="0" w:lineRule="atLeast"/>
              <w:ind w:left="0" w:right="0" w:firstLine="0"/>
              <w:jc w:val="center"/>
              <w:rPr>
                <w:rFonts w:ascii="宋体" w:hAnsi="宋体"/>
                <w:sz w:val="24"/>
                <w:szCs w:val="24"/>
                <w:highlight w:val="none"/>
              </w:rPr>
            </w:pPr>
            <w:r>
              <w:rPr>
                <w:rFonts w:hint="eastAsia" w:ascii="宋体" w:hAnsi="宋体"/>
                <w:sz w:val="24"/>
                <w:szCs w:val="24"/>
                <w:highlight w:val="none"/>
              </w:rPr>
              <w:t>个</w:t>
            </w:r>
          </w:p>
        </w:tc>
        <w:tc>
          <w:tcPr>
            <w:tcW w:w="1167" w:type="dxa"/>
            <w:vAlign w:val="center"/>
          </w:tcPr>
          <w:p>
            <w:pPr>
              <w:shd w:val="clear"/>
              <w:spacing w:before="0" w:after="0" w:afterAutospacing="0" w:line="0" w:lineRule="atLeast"/>
              <w:ind w:left="0" w:right="0" w:firstLine="0"/>
              <w:jc w:val="center"/>
              <w:rPr>
                <w:rFonts w:ascii="宋体" w:hAnsi="宋体"/>
                <w:sz w:val="24"/>
                <w:szCs w:val="24"/>
                <w:highlight w:val="none"/>
              </w:rPr>
            </w:pPr>
            <w:r>
              <w:rPr>
                <w:rFonts w:hint="eastAsia" w:ascii="宋体" w:hAnsi="宋体"/>
                <w:sz w:val="24"/>
                <w:szCs w:val="24"/>
                <w:highlight w:val="none"/>
              </w:rPr>
              <w:t>1</w:t>
            </w:r>
          </w:p>
        </w:tc>
        <w:tc>
          <w:tcPr>
            <w:tcW w:w="1350" w:type="dxa"/>
          </w:tcPr>
          <w:p>
            <w:pPr>
              <w:shd w:val="clear"/>
              <w:spacing w:before="0" w:after="0" w:afterAutospacing="0" w:line="0" w:lineRule="atLeast"/>
              <w:ind w:left="0" w:right="0" w:firstLine="0"/>
              <w:jc w:val="center"/>
              <w:rPr>
                <w:rFonts w:hint="eastAsia" w:ascii="宋体" w:hAnsi="宋体"/>
                <w:sz w:val="24"/>
                <w:szCs w:val="24"/>
                <w:highlight w:val="none"/>
              </w:rPr>
            </w:pPr>
          </w:p>
        </w:tc>
        <w:tc>
          <w:tcPr>
            <w:tcW w:w="1583" w:type="dxa"/>
          </w:tcPr>
          <w:p>
            <w:pPr>
              <w:shd w:val="clear"/>
              <w:spacing w:before="0" w:after="0" w:afterAutospacing="0" w:line="0" w:lineRule="atLeast"/>
              <w:ind w:left="0" w:right="0" w:firstLine="0"/>
              <w:jc w:val="center"/>
              <w:rPr>
                <w:rFonts w:hint="eastAsia" w:ascii="宋体" w:hAnsi="宋体"/>
                <w:sz w:val="24"/>
                <w:szCs w:val="24"/>
                <w:highlight w:val="none"/>
              </w:rPr>
            </w:pPr>
          </w:p>
        </w:tc>
        <w:tc>
          <w:tcPr>
            <w:tcW w:w="1948" w:type="dxa"/>
          </w:tcPr>
          <w:p>
            <w:pPr>
              <w:shd w:val="clear"/>
              <w:spacing w:before="0" w:after="0" w:afterAutospacing="0" w:line="0" w:lineRule="atLeast"/>
              <w:ind w:left="0" w:right="0" w:firstLine="0"/>
              <w:rPr>
                <w:rFonts w:ascii="宋体" w:hAnsi="宋体" w:eastAsia="宋体"/>
                <w:color w:val="FF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652"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10</w:t>
            </w:r>
          </w:p>
        </w:tc>
        <w:tc>
          <w:tcPr>
            <w:tcW w:w="1348" w:type="dxa"/>
            <w:vAlign w:val="center"/>
          </w:tcPr>
          <w:p>
            <w:pPr>
              <w:shd w:val="clear"/>
              <w:spacing w:before="0" w:after="0" w:afterAutospacing="0" w:line="0" w:lineRule="atLeast"/>
              <w:ind w:left="0" w:right="0" w:firstLine="0"/>
              <w:jc w:val="center"/>
              <w:rPr>
                <w:rFonts w:ascii="宋体" w:hAnsi="宋体"/>
                <w:sz w:val="24"/>
                <w:szCs w:val="24"/>
                <w:highlight w:val="none"/>
              </w:rPr>
            </w:pPr>
            <w:r>
              <w:rPr>
                <w:rFonts w:hint="eastAsia" w:ascii="宋体" w:hAnsi="宋体" w:cs="宋体"/>
                <w:sz w:val="24"/>
                <w:highlight w:val="none"/>
              </w:rPr>
              <w:t>明杆闸阀</w:t>
            </w:r>
          </w:p>
        </w:tc>
        <w:tc>
          <w:tcPr>
            <w:tcW w:w="5149" w:type="dxa"/>
            <w:vAlign w:val="center"/>
          </w:tcPr>
          <w:p>
            <w:pPr>
              <w:shd w:val="clear"/>
              <w:spacing w:before="0" w:after="0" w:afterAutospacing="0" w:line="0" w:lineRule="atLeast"/>
              <w:ind w:left="0" w:right="0" w:firstLine="0"/>
              <w:rPr>
                <w:rFonts w:ascii="宋体" w:hAnsi="宋体"/>
                <w:sz w:val="24"/>
                <w:szCs w:val="24"/>
                <w:highlight w:val="none"/>
              </w:rPr>
            </w:pPr>
            <w:r>
              <w:rPr>
                <w:rFonts w:hint="eastAsia" w:ascii="宋体" w:hAnsi="宋体"/>
                <w:sz w:val="24"/>
                <w:szCs w:val="24"/>
                <w:highlight w:val="none"/>
              </w:rPr>
              <w:t>1、公称通径：DN80。</w:t>
            </w:r>
            <w:r>
              <w:rPr>
                <w:rFonts w:hint="eastAsia" w:ascii="宋体" w:hAnsi="宋体"/>
                <w:sz w:val="24"/>
                <w:szCs w:val="24"/>
                <w:highlight w:val="none"/>
              </w:rPr>
              <w:br w:type="textWrapping"/>
            </w:r>
            <w:r>
              <w:rPr>
                <w:rFonts w:hint="eastAsia" w:ascii="宋体" w:hAnsi="宋体"/>
                <w:sz w:val="24"/>
                <w:szCs w:val="24"/>
                <w:highlight w:val="none"/>
              </w:rPr>
              <w:t>2、公称压力：1.6MPa。</w:t>
            </w:r>
            <w:r>
              <w:rPr>
                <w:rFonts w:hint="eastAsia" w:ascii="宋体" w:hAnsi="宋体"/>
                <w:sz w:val="24"/>
                <w:szCs w:val="24"/>
                <w:highlight w:val="none"/>
              </w:rPr>
              <w:br w:type="textWrapping"/>
            </w:r>
            <w:r>
              <w:rPr>
                <w:rFonts w:hint="eastAsia" w:ascii="宋体" w:hAnsi="宋体"/>
                <w:sz w:val="24"/>
                <w:szCs w:val="24"/>
                <w:highlight w:val="none"/>
              </w:rPr>
              <w:t>3、工作温度：-10℃～80℃</w:t>
            </w:r>
            <w:r>
              <w:rPr>
                <w:rFonts w:hint="eastAsia" w:ascii="宋体" w:hAnsi="宋体"/>
                <w:sz w:val="24"/>
                <w:szCs w:val="24"/>
                <w:highlight w:val="none"/>
              </w:rPr>
              <w:br w:type="textWrapping"/>
            </w:r>
            <w:r>
              <w:rPr>
                <w:rFonts w:hint="eastAsia" w:ascii="宋体" w:hAnsi="宋体"/>
                <w:sz w:val="24"/>
                <w:szCs w:val="24"/>
                <w:highlight w:val="none"/>
              </w:rPr>
              <w:t>4、密封试验: 1.1倍公称压力。</w:t>
            </w:r>
            <w:r>
              <w:rPr>
                <w:rFonts w:hint="eastAsia" w:ascii="宋体" w:hAnsi="宋体"/>
                <w:sz w:val="24"/>
                <w:szCs w:val="24"/>
                <w:highlight w:val="none"/>
              </w:rPr>
              <w:br w:type="textWrapping"/>
            </w:r>
            <w:r>
              <w:rPr>
                <w:rFonts w:hint="eastAsia" w:ascii="宋体" w:hAnsi="宋体"/>
                <w:sz w:val="24"/>
                <w:szCs w:val="24"/>
                <w:highlight w:val="none"/>
              </w:rPr>
              <w:t>5、强度试验: 1.5倍公称压力。</w:t>
            </w:r>
            <w:r>
              <w:rPr>
                <w:rFonts w:hint="eastAsia" w:ascii="宋体" w:hAnsi="宋体"/>
                <w:sz w:val="24"/>
                <w:szCs w:val="24"/>
                <w:highlight w:val="none"/>
              </w:rPr>
              <w:br w:type="textWrapping"/>
            </w:r>
            <w:r>
              <w:rPr>
                <w:rFonts w:hint="eastAsia" w:ascii="宋体" w:hAnsi="宋体"/>
                <w:sz w:val="24"/>
                <w:szCs w:val="24"/>
                <w:highlight w:val="none"/>
              </w:rPr>
              <w:t>6、适用介质:水。</w:t>
            </w:r>
            <w:r>
              <w:rPr>
                <w:rFonts w:hint="eastAsia" w:ascii="宋体" w:hAnsi="宋体"/>
                <w:sz w:val="24"/>
                <w:szCs w:val="24"/>
                <w:highlight w:val="none"/>
              </w:rPr>
              <w:br w:type="textWrapping"/>
            </w:r>
            <w:r>
              <w:rPr>
                <w:rFonts w:hint="eastAsia" w:ascii="宋体" w:hAnsi="宋体"/>
                <w:sz w:val="24"/>
                <w:szCs w:val="24"/>
                <w:highlight w:val="none"/>
              </w:rPr>
              <w:t>7、阀体材质：球铁、铸钢。</w:t>
            </w:r>
          </w:p>
        </w:tc>
        <w:tc>
          <w:tcPr>
            <w:tcW w:w="1250" w:type="dxa"/>
            <w:vAlign w:val="center"/>
          </w:tcPr>
          <w:p>
            <w:pPr>
              <w:shd w:val="clear"/>
              <w:spacing w:before="0" w:after="0" w:afterAutospacing="0" w:line="0" w:lineRule="atLeast"/>
              <w:ind w:left="0" w:right="0" w:firstLine="0"/>
              <w:rPr>
                <w:rFonts w:hint="eastAsia" w:ascii="宋体" w:hAnsi="宋体"/>
                <w:sz w:val="24"/>
                <w:szCs w:val="24"/>
                <w:highlight w:val="none"/>
              </w:rPr>
            </w:pPr>
          </w:p>
        </w:tc>
        <w:tc>
          <w:tcPr>
            <w:tcW w:w="1167" w:type="dxa"/>
            <w:vAlign w:val="center"/>
          </w:tcPr>
          <w:p>
            <w:pPr>
              <w:shd w:val="clear"/>
              <w:spacing w:before="0" w:after="0" w:afterAutospacing="0" w:line="0" w:lineRule="atLeast"/>
              <w:ind w:left="0" w:right="0" w:firstLine="0"/>
              <w:jc w:val="center"/>
              <w:rPr>
                <w:rFonts w:ascii="宋体" w:hAnsi="宋体"/>
                <w:sz w:val="24"/>
                <w:szCs w:val="24"/>
                <w:highlight w:val="none"/>
              </w:rPr>
            </w:pPr>
            <w:r>
              <w:rPr>
                <w:rFonts w:hint="eastAsia" w:ascii="宋体" w:hAnsi="宋体"/>
                <w:sz w:val="24"/>
                <w:szCs w:val="24"/>
                <w:highlight w:val="none"/>
              </w:rPr>
              <w:t>个</w:t>
            </w:r>
          </w:p>
        </w:tc>
        <w:tc>
          <w:tcPr>
            <w:tcW w:w="1167" w:type="dxa"/>
            <w:vAlign w:val="center"/>
          </w:tcPr>
          <w:p>
            <w:pPr>
              <w:shd w:val="clear"/>
              <w:spacing w:before="0" w:after="0" w:afterAutospacing="0" w:line="0" w:lineRule="atLeast"/>
              <w:ind w:left="0" w:right="0" w:firstLine="0"/>
              <w:jc w:val="center"/>
              <w:rPr>
                <w:rFonts w:ascii="宋体" w:hAnsi="宋体"/>
                <w:sz w:val="24"/>
                <w:szCs w:val="24"/>
                <w:highlight w:val="none"/>
              </w:rPr>
            </w:pPr>
            <w:r>
              <w:rPr>
                <w:rFonts w:hint="eastAsia" w:ascii="宋体" w:hAnsi="宋体"/>
                <w:sz w:val="24"/>
                <w:szCs w:val="24"/>
                <w:highlight w:val="none"/>
              </w:rPr>
              <w:t>1</w:t>
            </w:r>
          </w:p>
        </w:tc>
        <w:tc>
          <w:tcPr>
            <w:tcW w:w="1350" w:type="dxa"/>
          </w:tcPr>
          <w:p>
            <w:pPr>
              <w:shd w:val="clear"/>
              <w:spacing w:before="0" w:after="0" w:afterAutospacing="0" w:line="0" w:lineRule="atLeast"/>
              <w:ind w:left="0" w:right="0" w:firstLine="0"/>
              <w:jc w:val="center"/>
              <w:rPr>
                <w:rFonts w:hint="eastAsia" w:ascii="宋体" w:hAnsi="宋体"/>
                <w:sz w:val="24"/>
                <w:szCs w:val="24"/>
                <w:highlight w:val="none"/>
              </w:rPr>
            </w:pPr>
          </w:p>
        </w:tc>
        <w:tc>
          <w:tcPr>
            <w:tcW w:w="1583" w:type="dxa"/>
          </w:tcPr>
          <w:p>
            <w:pPr>
              <w:shd w:val="clear"/>
              <w:spacing w:before="0" w:after="0" w:afterAutospacing="0" w:line="0" w:lineRule="atLeast"/>
              <w:ind w:left="0" w:right="0" w:firstLine="0"/>
              <w:jc w:val="center"/>
              <w:rPr>
                <w:rFonts w:hint="eastAsia" w:ascii="宋体" w:hAnsi="宋体"/>
                <w:sz w:val="24"/>
                <w:szCs w:val="24"/>
                <w:highlight w:val="none"/>
              </w:rPr>
            </w:pPr>
          </w:p>
        </w:tc>
        <w:tc>
          <w:tcPr>
            <w:tcW w:w="1948" w:type="dxa"/>
          </w:tcPr>
          <w:p>
            <w:pPr>
              <w:shd w:val="clear"/>
              <w:spacing w:before="0" w:after="0" w:afterAutospacing="0" w:line="0" w:lineRule="atLeast"/>
              <w:ind w:left="0" w:right="0" w:firstLine="0"/>
              <w:rPr>
                <w:rFonts w:ascii="宋体" w:hAnsi="宋体" w:eastAsia="宋体"/>
                <w:color w:val="FF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52"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11</w:t>
            </w:r>
          </w:p>
        </w:tc>
        <w:tc>
          <w:tcPr>
            <w:tcW w:w="1348" w:type="dxa"/>
            <w:vAlign w:val="center"/>
          </w:tcPr>
          <w:p>
            <w:pPr>
              <w:shd w:val="clear"/>
              <w:spacing w:before="0" w:after="0" w:afterAutospacing="0" w:line="0" w:lineRule="atLeast"/>
              <w:ind w:left="0" w:right="0" w:firstLine="0"/>
              <w:jc w:val="center"/>
              <w:rPr>
                <w:rFonts w:ascii="宋体" w:hAnsi="宋体"/>
                <w:sz w:val="24"/>
                <w:szCs w:val="24"/>
                <w:highlight w:val="none"/>
              </w:rPr>
            </w:pPr>
            <w:r>
              <w:rPr>
                <w:rFonts w:hint="eastAsia" w:ascii="宋体" w:hAnsi="宋体" w:cs="宋体"/>
                <w:sz w:val="24"/>
                <w:highlight w:val="none"/>
              </w:rPr>
              <w:t>明杆闸阀</w:t>
            </w:r>
          </w:p>
        </w:tc>
        <w:tc>
          <w:tcPr>
            <w:tcW w:w="5149" w:type="dxa"/>
            <w:vAlign w:val="center"/>
          </w:tcPr>
          <w:p>
            <w:pPr>
              <w:shd w:val="clear"/>
              <w:spacing w:before="0" w:after="0" w:afterAutospacing="0" w:line="0" w:lineRule="atLeast"/>
              <w:ind w:left="0" w:right="0" w:firstLine="0"/>
              <w:rPr>
                <w:rFonts w:ascii="宋体" w:hAnsi="宋体"/>
                <w:sz w:val="24"/>
                <w:szCs w:val="24"/>
                <w:highlight w:val="none"/>
              </w:rPr>
            </w:pPr>
            <w:r>
              <w:rPr>
                <w:rFonts w:hint="eastAsia" w:ascii="宋体" w:hAnsi="宋体"/>
                <w:sz w:val="24"/>
                <w:szCs w:val="24"/>
                <w:highlight w:val="none"/>
              </w:rPr>
              <w:t>1、公称通径：DN65。</w:t>
            </w:r>
            <w:r>
              <w:rPr>
                <w:rFonts w:hint="eastAsia" w:ascii="宋体" w:hAnsi="宋体"/>
                <w:sz w:val="24"/>
                <w:szCs w:val="24"/>
                <w:highlight w:val="none"/>
              </w:rPr>
              <w:br w:type="textWrapping"/>
            </w:r>
            <w:r>
              <w:rPr>
                <w:rFonts w:hint="eastAsia" w:ascii="宋体" w:hAnsi="宋体"/>
                <w:sz w:val="24"/>
                <w:szCs w:val="24"/>
                <w:highlight w:val="none"/>
              </w:rPr>
              <w:t>2、公称压力：1.6MPa。</w:t>
            </w:r>
            <w:r>
              <w:rPr>
                <w:rFonts w:hint="eastAsia" w:ascii="宋体" w:hAnsi="宋体"/>
                <w:sz w:val="24"/>
                <w:szCs w:val="24"/>
                <w:highlight w:val="none"/>
              </w:rPr>
              <w:br w:type="textWrapping"/>
            </w:r>
            <w:r>
              <w:rPr>
                <w:rFonts w:hint="eastAsia" w:ascii="宋体" w:hAnsi="宋体"/>
                <w:sz w:val="24"/>
                <w:szCs w:val="24"/>
                <w:highlight w:val="none"/>
              </w:rPr>
              <w:t>3、工作温度：-10℃～80℃</w:t>
            </w:r>
            <w:r>
              <w:rPr>
                <w:rFonts w:hint="eastAsia" w:ascii="宋体" w:hAnsi="宋体"/>
                <w:sz w:val="24"/>
                <w:szCs w:val="24"/>
                <w:highlight w:val="none"/>
              </w:rPr>
              <w:br w:type="textWrapping"/>
            </w:r>
            <w:r>
              <w:rPr>
                <w:rFonts w:hint="eastAsia" w:ascii="宋体" w:hAnsi="宋体"/>
                <w:sz w:val="24"/>
                <w:szCs w:val="24"/>
                <w:highlight w:val="none"/>
              </w:rPr>
              <w:t>4、密封试验: 1.1倍公称压力。</w:t>
            </w:r>
            <w:r>
              <w:rPr>
                <w:rFonts w:hint="eastAsia" w:ascii="宋体" w:hAnsi="宋体"/>
                <w:sz w:val="24"/>
                <w:szCs w:val="24"/>
                <w:highlight w:val="none"/>
              </w:rPr>
              <w:br w:type="textWrapping"/>
            </w:r>
            <w:r>
              <w:rPr>
                <w:rFonts w:hint="eastAsia" w:ascii="宋体" w:hAnsi="宋体"/>
                <w:sz w:val="24"/>
                <w:szCs w:val="24"/>
                <w:highlight w:val="none"/>
              </w:rPr>
              <w:t>5、强度试验: 1.5倍公称压力。</w:t>
            </w:r>
            <w:r>
              <w:rPr>
                <w:rFonts w:hint="eastAsia" w:ascii="宋体" w:hAnsi="宋体"/>
                <w:sz w:val="24"/>
                <w:szCs w:val="24"/>
                <w:highlight w:val="none"/>
              </w:rPr>
              <w:br w:type="textWrapping"/>
            </w:r>
            <w:r>
              <w:rPr>
                <w:rFonts w:hint="eastAsia" w:ascii="宋体" w:hAnsi="宋体"/>
                <w:sz w:val="24"/>
                <w:szCs w:val="24"/>
                <w:highlight w:val="none"/>
              </w:rPr>
              <w:t>6、适用介质:水。</w:t>
            </w:r>
            <w:r>
              <w:rPr>
                <w:rFonts w:hint="eastAsia" w:ascii="宋体" w:hAnsi="宋体"/>
                <w:sz w:val="24"/>
                <w:szCs w:val="24"/>
                <w:highlight w:val="none"/>
              </w:rPr>
              <w:br w:type="textWrapping"/>
            </w:r>
            <w:r>
              <w:rPr>
                <w:rFonts w:hint="eastAsia" w:ascii="宋体" w:hAnsi="宋体"/>
                <w:sz w:val="24"/>
                <w:szCs w:val="24"/>
                <w:highlight w:val="none"/>
              </w:rPr>
              <w:t>7、阀体材质：球铁、铸钢。</w:t>
            </w:r>
          </w:p>
        </w:tc>
        <w:tc>
          <w:tcPr>
            <w:tcW w:w="1250" w:type="dxa"/>
            <w:vAlign w:val="center"/>
          </w:tcPr>
          <w:p>
            <w:pPr>
              <w:shd w:val="clear"/>
              <w:spacing w:before="0" w:after="0" w:afterAutospacing="0" w:line="0" w:lineRule="atLeast"/>
              <w:ind w:left="0" w:right="0" w:firstLine="0"/>
              <w:rPr>
                <w:rFonts w:hint="eastAsia" w:ascii="宋体" w:hAnsi="宋体"/>
                <w:sz w:val="24"/>
                <w:szCs w:val="24"/>
                <w:highlight w:val="none"/>
              </w:rPr>
            </w:pPr>
          </w:p>
        </w:tc>
        <w:tc>
          <w:tcPr>
            <w:tcW w:w="1167" w:type="dxa"/>
            <w:vAlign w:val="center"/>
          </w:tcPr>
          <w:p>
            <w:pPr>
              <w:shd w:val="clear"/>
              <w:spacing w:before="0" w:after="0" w:afterAutospacing="0" w:line="0" w:lineRule="atLeast"/>
              <w:ind w:left="0" w:right="0" w:firstLine="0"/>
              <w:jc w:val="center"/>
              <w:rPr>
                <w:rFonts w:ascii="宋体" w:hAnsi="宋体"/>
                <w:sz w:val="24"/>
                <w:szCs w:val="24"/>
                <w:highlight w:val="none"/>
              </w:rPr>
            </w:pPr>
            <w:r>
              <w:rPr>
                <w:rFonts w:hint="eastAsia" w:ascii="宋体" w:hAnsi="宋体"/>
                <w:sz w:val="24"/>
                <w:szCs w:val="24"/>
                <w:highlight w:val="none"/>
              </w:rPr>
              <w:t>个</w:t>
            </w:r>
          </w:p>
        </w:tc>
        <w:tc>
          <w:tcPr>
            <w:tcW w:w="1167" w:type="dxa"/>
            <w:vAlign w:val="center"/>
          </w:tcPr>
          <w:p>
            <w:pPr>
              <w:shd w:val="clear"/>
              <w:spacing w:before="0" w:after="0" w:afterAutospacing="0" w:line="0" w:lineRule="atLeast"/>
              <w:ind w:left="0" w:right="0" w:firstLine="0"/>
              <w:jc w:val="center"/>
              <w:rPr>
                <w:rFonts w:ascii="宋体" w:hAnsi="宋体"/>
                <w:sz w:val="24"/>
                <w:szCs w:val="24"/>
                <w:highlight w:val="none"/>
              </w:rPr>
            </w:pPr>
            <w:r>
              <w:rPr>
                <w:rFonts w:hint="eastAsia" w:ascii="宋体" w:hAnsi="宋体"/>
                <w:sz w:val="24"/>
                <w:szCs w:val="24"/>
                <w:highlight w:val="none"/>
              </w:rPr>
              <w:t>1</w:t>
            </w:r>
          </w:p>
        </w:tc>
        <w:tc>
          <w:tcPr>
            <w:tcW w:w="1350" w:type="dxa"/>
          </w:tcPr>
          <w:p>
            <w:pPr>
              <w:shd w:val="clear"/>
              <w:spacing w:before="0" w:after="0" w:afterAutospacing="0" w:line="0" w:lineRule="atLeast"/>
              <w:ind w:left="0" w:right="0" w:firstLine="0"/>
              <w:jc w:val="center"/>
              <w:rPr>
                <w:rFonts w:hint="eastAsia" w:ascii="宋体" w:hAnsi="宋体"/>
                <w:sz w:val="24"/>
                <w:szCs w:val="24"/>
                <w:highlight w:val="none"/>
              </w:rPr>
            </w:pPr>
          </w:p>
        </w:tc>
        <w:tc>
          <w:tcPr>
            <w:tcW w:w="1583" w:type="dxa"/>
          </w:tcPr>
          <w:p>
            <w:pPr>
              <w:shd w:val="clear"/>
              <w:spacing w:before="0" w:after="0" w:afterAutospacing="0" w:line="0" w:lineRule="atLeast"/>
              <w:ind w:left="0" w:right="0" w:firstLine="0"/>
              <w:jc w:val="center"/>
              <w:rPr>
                <w:rFonts w:hint="eastAsia" w:ascii="宋体" w:hAnsi="宋体"/>
                <w:sz w:val="24"/>
                <w:szCs w:val="24"/>
                <w:highlight w:val="none"/>
              </w:rPr>
            </w:pPr>
          </w:p>
        </w:tc>
        <w:tc>
          <w:tcPr>
            <w:tcW w:w="1948" w:type="dxa"/>
          </w:tcPr>
          <w:p>
            <w:pPr>
              <w:shd w:val="clear"/>
              <w:spacing w:before="0" w:after="0" w:afterAutospacing="0" w:line="0" w:lineRule="atLeast"/>
              <w:ind w:left="0" w:right="0" w:firstLine="0"/>
              <w:rPr>
                <w:rFonts w:ascii="宋体" w:hAnsi="宋体" w:eastAsia="宋体"/>
                <w:color w:val="FF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52"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12</w:t>
            </w:r>
          </w:p>
        </w:tc>
        <w:tc>
          <w:tcPr>
            <w:tcW w:w="1348"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喷淋头聚热罩</w:t>
            </w:r>
          </w:p>
        </w:tc>
        <w:tc>
          <w:tcPr>
            <w:tcW w:w="5149" w:type="dxa"/>
            <w:vAlign w:val="center"/>
          </w:tcPr>
          <w:p>
            <w:pPr>
              <w:shd w:val="clear"/>
              <w:spacing w:before="0" w:after="0" w:afterAutospacing="0" w:line="0" w:lineRule="atLeast"/>
              <w:ind w:left="0" w:right="0" w:firstLine="0"/>
              <w:rPr>
                <w:rFonts w:ascii="宋体" w:hAnsi="宋体" w:eastAsia="宋体"/>
                <w:sz w:val="24"/>
                <w:szCs w:val="24"/>
                <w:highlight w:val="none"/>
              </w:rPr>
            </w:pPr>
            <w:r>
              <w:rPr>
                <w:rFonts w:hint="eastAsia" w:ascii="宋体" w:hAnsi="宋体" w:eastAsia="宋体"/>
                <w:sz w:val="24"/>
                <w:szCs w:val="24"/>
                <w:highlight w:val="none"/>
              </w:rPr>
              <w:t>1、外圆直径：300㎜。</w:t>
            </w:r>
            <w:r>
              <w:rPr>
                <w:rFonts w:hint="eastAsia" w:ascii="宋体" w:hAnsi="宋体" w:eastAsia="宋体"/>
                <w:sz w:val="24"/>
                <w:szCs w:val="24"/>
                <w:highlight w:val="none"/>
              </w:rPr>
              <w:br w:type="textWrapping"/>
            </w:r>
            <w:r>
              <w:rPr>
                <w:rFonts w:hint="eastAsia" w:ascii="宋体" w:hAnsi="宋体" w:eastAsia="宋体"/>
                <w:sz w:val="24"/>
                <w:szCs w:val="24"/>
                <w:highlight w:val="none"/>
              </w:rPr>
              <w:t>2、产品材质：不锈钢。</w:t>
            </w:r>
          </w:p>
        </w:tc>
        <w:tc>
          <w:tcPr>
            <w:tcW w:w="1250" w:type="dxa"/>
            <w:vAlign w:val="center"/>
          </w:tcPr>
          <w:p>
            <w:pPr>
              <w:shd w:val="clear"/>
              <w:spacing w:before="0" w:after="0" w:afterAutospacing="0" w:line="0" w:lineRule="atLeast"/>
              <w:ind w:left="0" w:right="0" w:firstLine="0"/>
              <w:rPr>
                <w:rFonts w:hint="eastAsia" w:ascii="宋体" w:hAnsi="宋体" w:eastAsia="宋体"/>
                <w:sz w:val="24"/>
                <w:szCs w:val="24"/>
                <w:highlight w:val="none"/>
              </w:rPr>
            </w:pP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个</w:t>
            </w: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140</w:t>
            </w:r>
          </w:p>
        </w:tc>
        <w:tc>
          <w:tcPr>
            <w:tcW w:w="1350"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583"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948" w:type="dxa"/>
          </w:tcPr>
          <w:p>
            <w:pPr>
              <w:shd w:val="clear"/>
              <w:spacing w:before="0" w:after="0" w:afterAutospacing="0" w:line="0" w:lineRule="atLeast"/>
              <w:ind w:left="0" w:right="0" w:firstLine="0"/>
              <w:rPr>
                <w:rFonts w:ascii="宋体" w:hAnsi="宋体" w:eastAsia="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652"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13</w:t>
            </w:r>
          </w:p>
        </w:tc>
        <w:tc>
          <w:tcPr>
            <w:tcW w:w="1348"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铜阀</w:t>
            </w:r>
          </w:p>
        </w:tc>
        <w:tc>
          <w:tcPr>
            <w:tcW w:w="5149" w:type="dxa"/>
            <w:vAlign w:val="center"/>
          </w:tcPr>
          <w:p>
            <w:pPr>
              <w:shd w:val="clear"/>
              <w:spacing w:before="0" w:after="0" w:afterAutospacing="0" w:line="0" w:lineRule="atLeast"/>
              <w:ind w:left="0" w:right="0" w:firstLine="0"/>
              <w:rPr>
                <w:rFonts w:ascii="宋体" w:hAnsi="宋体" w:eastAsia="宋体"/>
                <w:sz w:val="24"/>
                <w:szCs w:val="24"/>
                <w:highlight w:val="none"/>
              </w:rPr>
            </w:pPr>
            <w:r>
              <w:rPr>
                <w:rFonts w:hint="eastAsia" w:ascii="宋体" w:hAnsi="宋体" w:eastAsia="宋体"/>
                <w:sz w:val="24"/>
                <w:szCs w:val="24"/>
                <w:highlight w:val="none"/>
              </w:rPr>
              <w:t>1、公称通径：DN25。</w:t>
            </w:r>
            <w:r>
              <w:rPr>
                <w:rFonts w:hint="eastAsia" w:ascii="宋体" w:hAnsi="宋体" w:eastAsia="宋体"/>
                <w:sz w:val="24"/>
                <w:szCs w:val="24"/>
                <w:highlight w:val="none"/>
              </w:rPr>
              <w:br w:type="textWrapping"/>
            </w:r>
            <w:r>
              <w:rPr>
                <w:rFonts w:hint="eastAsia" w:ascii="宋体" w:hAnsi="宋体" w:eastAsia="宋体"/>
                <w:sz w:val="24"/>
                <w:szCs w:val="24"/>
                <w:highlight w:val="none"/>
              </w:rPr>
              <w:t>2、公称压力：1.6MPa。</w:t>
            </w:r>
            <w:r>
              <w:rPr>
                <w:rFonts w:hint="eastAsia" w:ascii="宋体" w:hAnsi="宋体" w:eastAsia="宋体"/>
                <w:sz w:val="24"/>
                <w:szCs w:val="24"/>
                <w:highlight w:val="none"/>
              </w:rPr>
              <w:br w:type="textWrapping"/>
            </w:r>
            <w:r>
              <w:rPr>
                <w:rFonts w:hint="eastAsia" w:ascii="宋体" w:hAnsi="宋体" w:eastAsia="宋体"/>
                <w:sz w:val="24"/>
                <w:szCs w:val="24"/>
                <w:highlight w:val="none"/>
              </w:rPr>
              <w:t>3、工作温度：-10℃～80℃</w:t>
            </w:r>
            <w:r>
              <w:rPr>
                <w:rFonts w:hint="eastAsia" w:ascii="宋体" w:hAnsi="宋体" w:eastAsia="宋体"/>
                <w:sz w:val="24"/>
                <w:szCs w:val="24"/>
                <w:highlight w:val="none"/>
              </w:rPr>
              <w:br w:type="textWrapping"/>
            </w:r>
            <w:r>
              <w:rPr>
                <w:rFonts w:hint="eastAsia" w:ascii="宋体" w:hAnsi="宋体" w:eastAsia="宋体"/>
                <w:sz w:val="24"/>
                <w:szCs w:val="24"/>
                <w:highlight w:val="none"/>
              </w:rPr>
              <w:t>4、密封试验: 1.1倍公称压力。</w:t>
            </w:r>
            <w:r>
              <w:rPr>
                <w:rFonts w:ascii="宋体" w:hAnsi="宋体" w:eastAsia="宋体"/>
                <w:sz w:val="24"/>
                <w:szCs w:val="24"/>
                <w:highlight w:val="none"/>
              </w:rPr>
              <w:br w:type="textWrapping"/>
            </w:r>
            <w:r>
              <w:rPr>
                <w:rFonts w:hint="eastAsia" w:ascii="宋体" w:hAnsi="宋体" w:eastAsia="宋体"/>
                <w:sz w:val="24"/>
                <w:szCs w:val="24"/>
                <w:highlight w:val="none"/>
              </w:rPr>
              <w:t>5、强度试验: 1.5倍公称压力。</w:t>
            </w:r>
            <w:r>
              <w:rPr>
                <w:rFonts w:hint="eastAsia" w:ascii="宋体" w:hAnsi="宋体" w:eastAsia="宋体"/>
                <w:sz w:val="24"/>
                <w:szCs w:val="24"/>
                <w:highlight w:val="none"/>
              </w:rPr>
              <w:br w:type="textWrapping"/>
            </w:r>
            <w:r>
              <w:rPr>
                <w:rFonts w:hint="eastAsia" w:ascii="宋体" w:hAnsi="宋体" w:eastAsia="宋体"/>
                <w:sz w:val="24"/>
                <w:szCs w:val="24"/>
                <w:highlight w:val="none"/>
              </w:rPr>
              <w:t>6、适用介质:水。</w:t>
            </w:r>
            <w:r>
              <w:rPr>
                <w:rFonts w:hint="eastAsia" w:ascii="宋体" w:hAnsi="宋体" w:eastAsia="宋体"/>
                <w:sz w:val="24"/>
                <w:szCs w:val="24"/>
                <w:highlight w:val="none"/>
              </w:rPr>
              <w:br w:type="textWrapping"/>
            </w:r>
            <w:r>
              <w:rPr>
                <w:rFonts w:hint="eastAsia" w:ascii="宋体" w:hAnsi="宋体" w:eastAsia="宋体"/>
                <w:sz w:val="24"/>
                <w:szCs w:val="24"/>
                <w:highlight w:val="none"/>
              </w:rPr>
              <w:t>7、阀体材质：铸铜。</w:t>
            </w:r>
          </w:p>
        </w:tc>
        <w:tc>
          <w:tcPr>
            <w:tcW w:w="1250" w:type="dxa"/>
            <w:vAlign w:val="center"/>
          </w:tcPr>
          <w:p>
            <w:pPr>
              <w:shd w:val="clear"/>
              <w:spacing w:before="0" w:after="0" w:afterAutospacing="0" w:line="0" w:lineRule="atLeast"/>
              <w:ind w:left="0" w:right="0" w:firstLine="0"/>
              <w:rPr>
                <w:rFonts w:hint="eastAsia" w:ascii="宋体" w:hAnsi="宋体" w:eastAsia="宋体"/>
                <w:sz w:val="24"/>
                <w:szCs w:val="24"/>
                <w:highlight w:val="none"/>
              </w:rPr>
            </w:pP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个</w:t>
            </w: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3</w:t>
            </w:r>
          </w:p>
        </w:tc>
        <w:tc>
          <w:tcPr>
            <w:tcW w:w="1350"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583"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948" w:type="dxa"/>
          </w:tcPr>
          <w:p>
            <w:pPr>
              <w:shd w:val="clear"/>
              <w:spacing w:before="0" w:after="0" w:afterAutospacing="0" w:line="0" w:lineRule="atLeast"/>
              <w:ind w:left="0" w:right="0" w:firstLine="0"/>
              <w:rPr>
                <w:rFonts w:ascii="宋体" w:hAnsi="宋体" w:eastAsia="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trPr>
        <w:tc>
          <w:tcPr>
            <w:tcW w:w="652"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14</w:t>
            </w:r>
          </w:p>
        </w:tc>
        <w:tc>
          <w:tcPr>
            <w:tcW w:w="1348"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压力表</w:t>
            </w:r>
          </w:p>
        </w:tc>
        <w:tc>
          <w:tcPr>
            <w:tcW w:w="5149" w:type="dxa"/>
            <w:vAlign w:val="center"/>
          </w:tcPr>
          <w:p>
            <w:pPr>
              <w:shd w:val="clear"/>
              <w:spacing w:before="0" w:after="0" w:afterAutospacing="0" w:line="0" w:lineRule="atLeast"/>
              <w:ind w:left="0" w:right="0" w:firstLine="0"/>
              <w:rPr>
                <w:rFonts w:ascii="宋体" w:hAnsi="宋体" w:eastAsia="宋体"/>
                <w:sz w:val="24"/>
                <w:szCs w:val="24"/>
                <w:highlight w:val="none"/>
              </w:rPr>
            </w:pPr>
            <w:r>
              <w:rPr>
                <w:rFonts w:hint="eastAsia" w:ascii="宋体" w:hAnsi="宋体" w:eastAsia="宋体"/>
                <w:sz w:val="24"/>
                <w:szCs w:val="24"/>
                <w:highlight w:val="none"/>
              </w:rPr>
              <w:t>1、公称直径：100㎜。</w:t>
            </w:r>
            <w:r>
              <w:rPr>
                <w:rFonts w:hint="eastAsia" w:ascii="宋体" w:hAnsi="宋体" w:eastAsia="宋体"/>
                <w:sz w:val="24"/>
                <w:szCs w:val="24"/>
                <w:highlight w:val="none"/>
              </w:rPr>
              <w:br w:type="textWrapping"/>
            </w:r>
            <w:r>
              <w:rPr>
                <w:rFonts w:hint="eastAsia" w:ascii="宋体" w:hAnsi="宋体" w:eastAsia="宋体"/>
                <w:sz w:val="24"/>
                <w:szCs w:val="24"/>
                <w:highlight w:val="none"/>
              </w:rPr>
              <w:t>2、测量范围：1.6MPa。</w:t>
            </w:r>
            <w:r>
              <w:rPr>
                <w:rFonts w:hint="eastAsia" w:ascii="宋体" w:hAnsi="宋体" w:eastAsia="宋体"/>
                <w:sz w:val="24"/>
                <w:szCs w:val="24"/>
                <w:highlight w:val="none"/>
              </w:rPr>
              <w:br w:type="textWrapping"/>
            </w:r>
            <w:r>
              <w:rPr>
                <w:rFonts w:hint="eastAsia" w:ascii="宋体" w:hAnsi="宋体" w:eastAsia="宋体"/>
                <w:sz w:val="24"/>
                <w:szCs w:val="24"/>
                <w:highlight w:val="none"/>
              </w:rPr>
              <w:t>3、环境温度：-20℃～70℃</w:t>
            </w:r>
            <w:r>
              <w:rPr>
                <w:rFonts w:hint="eastAsia" w:ascii="宋体" w:hAnsi="宋体" w:eastAsia="宋体"/>
                <w:sz w:val="24"/>
                <w:szCs w:val="24"/>
                <w:highlight w:val="none"/>
              </w:rPr>
              <w:br w:type="textWrapping"/>
            </w:r>
            <w:r>
              <w:rPr>
                <w:rFonts w:hint="eastAsia" w:ascii="宋体" w:hAnsi="宋体" w:eastAsia="宋体"/>
                <w:sz w:val="24"/>
                <w:szCs w:val="24"/>
                <w:highlight w:val="none"/>
              </w:rPr>
              <w:t>4、产品精度:1.6级。</w:t>
            </w:r>
            <w:r>
              <w:rPr>
                <w:rFonts w:hint="eastAsia" w:ascii="宋体" w:hAnsi="宋体" w:eastAsia="宋体"/>
                <w:sz w:val="24"/>
                <w:szCs w:val="24"/>
                <w:highlight w:val="none"/>
              </w:rPr>
              <w:br w:type="textWrapping"/>
            </w:r>
            <w:r>
              <w:rPr>
                <w:rFonts w:hint="eastAsia" w:ascii="宋体" w:hAnsi="宋体" w:eastAsia="宋体"/>
                <w:sz w:val="24"/>
                <w:szCs w:val="24"/>
                <w:highlight w:val="none"/>
              </w:rPr>
              <w:t>5、产品材质：铁外壳、黄铜接头。</w:t>
            </w:r>
          </w:p>
        </w:tc>
        <w:tc>
          <w:tcPr>
            <w:tcW w:w="1250" w:type="dxa"/>
            <w:vAlign w:val="center"/>
          </w:tcPr>
          <w:p>
            <w:pPr>
              <w:shd w:val="clear"/>
              <w:spacing w:before="0" w:after="0" w:afterAutospacing="0" w:line="0" w:lineRule="atLeast"/>
              <w:ind w:left="0" w:right="0" w:firstLine="0"/>
              <w:rPr>
                <w:rFonts w:hint="eastAsia" w:ascii="宋体" w:hAnsi="宋体" w:eastAsia="宋体"/>
                <w:sz w:val="24"/>
                <w:szCs w:val="24"/>
                <w:highlight w:val="none"/>
              </w:rPr>
            </w:pP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个</w:t>
            </w: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3</w:t>
            </w:r>
          </w:p>
        </w:tc>
        <w:tc>
          <w:tcPr>
            <w:tcW w:w="1350"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583"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948" w:type="dxa"/>
          </w:tcPr>
          <w:p>
            <w:pPr>
              <w:shd w:val="clear"/>
              <w:spacing w:before="0" w:after="0" w:afterAutospacing="0" w:line="0" w:lineRule="atLeast"/>
              <w:ind w:left="0" w:right="0" w:firstLine="0"/>
              <w:rPr>
                <w:rFonts w:ascii="宋体" w:hAnsi="宋体" w:eastAsia="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8" w:hRule="atLeast"/>
        </w:trPr>
        <w:tc>
          <w:tcPr>
            <w:tcW w:w="652" w:type="dxa"/>
            <w:vAlign w:val="center"/>
          </w:tcPr>
          <w:p>
            <w:pPr>
              <w:shd w:val="clear"/>
              <w:spacing w:before="0" w:after="0" w:afterAutospacing="0" w:line="0" w:lineRule="atLeast"/>
              <w:ind w:left="0" w:right="0" w:firstLine="0"/>
              <w:jc w:val="cente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1</w:t>
            </w:r>
            <w:r>
              <w:rPr>
                <w:rFonts w:hint="eastAsia" w:ascii="宋体" w:hAnsi="宋体" w:eastAsia="宋体"/>
                <w:color w:val="auto"/>
                <w:sz w:val="24"/>
                <w:szCs w:val="24"/>
                <w:highlight w:val="none"/>
                <w:lang w:val="en-US" w:eastAsia="zh-CN"/>
              </w:rPr>
              <w:t>5</w:t>
            </w:r>
          </w:p>
        </w:tc>
        <w:tc>
          <w:tcPr>
            <w:tcW w:w="1348"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水流指示器</w:t>
            </w:r>
          </w:p>
        </w:tc>
        <w:tc>
          <w:tcPr>
            <w:tcW w:w="5149" w:type="dxa"/>
            <w:vAlign w:val="center"/>
          </w:tcPr>
          <w:p>
            <w:pPr>
              <w:shd w:val="clear"/>
              <w:spacing w:before="0" w:after="0" w:afterAutospacing="0" w:line="0" w:lineRule="atLeast"/>
              <w:ind w:left="0" w:right="0" w:firstLine="0"/>
              <w:rPr>
                <w:rFonts w:ascii="宋体" w:hAnsi="宋体" w:eastAsia="宋体"/>
                <w:sz w:val="24"/>
                <w:szCs w:val="24"/>
                <w:highlight w:val="none"/>
              </w:rPr>
            </w:pPr>
            <w:r>
              <w:rPr>
                <w:rFonts w:hint="eastAsia" w:ascii="宋体" w:hAnsi="宋体" w:eastAsia="宋体"/>
                <w:sz w:val="24"/>
                <w:szCs w:val="24"/>
                <w:highlight w:val="none"/>
              </w:rPr>
              <w:t>1、电压：DC24V。</w:t>
            </w:r>
            <w:r>
              <w:rPr>
                <w:rFonts w:hint="eastAsia" w:ascii="宋体" w:hAnsi="宋体" w:eastAsia="宋体"/>
                <w:sz w:val="24"/>
                <w:szCs w:val="24"/>
                <w:highlight w:val="none"/>
              </w:rPr>
              <w:br w:type="textWrapping"/>
            </w:r>
            <w:r>
              <w:rPr>
                <w:rFonts w:hint="eastAsia" w:ascii="宋体" w:hAnsi="宋体" w:eastAsia="宋体"/>
                <w:sz w:val="24"/>
                <w:szCs w:val="24"/>
                <w:highlight w:val="none"/>
              </w:rPr>
              <w:t>2、控制容量：10W。</w:t>
            </w:r>
            <w:r>
              <w:rPr>
                <w:rFonts w:hint="eastAsia" w:ascii="宋体" w:hAnsi="宋体" w:eastAsia="宋体"/>
                <w:sz w:val="24"/>
                <w:szCs w:val="24"/>
                <w:highlight w:val="none"/>
              </w:rPr>
              <w:br w:type="textWrapping"/>
            </w:r>
            <w:r>
              <w:rPr>
                <w:rFonts w:hint="eastAsia" w:ascii="宋体" w:hAnsi="宋体" w:eastAsia="宋体"/>
                <w:sz w:val="24"/>
                <w:szCs w:val="24"/>
                <w:highlight w:val="none"/>
              </w:rPr>
              <w:t>3、动作流量：15-37.5Lmin。</w:t>
            </w:r>
            <w:r>
              <w:rPr>
                <w:rFonts w:hint="eastAsia" w:ascii="宋体" w:hAnsi="宋体" w:eastAsia="宋体"/>
                <w:sz w:val="24"/>
                <w:szCs w:val="24"/>
                <w:highlight w:val="none"/>
              </w:rPr>
              <w:br w:type="textWrapping"/>
            </w:r>
            <w:r>
              <w:rPr>
                <w:rFonts w:hint="eastAsia" w:ascii="宋体" w:hAnsi="宋体" w:eastAsia="宋体"/>
                <w:sz w:val="24"/>
                <w:szCs w:val="24"/>
                <w:highlight w:val="none"/>
              </w:rPr>
              <w:t>4、额定工作压力：1.2Mpa。</w:t>
            </w:r>
            <w:r>
              <w:rPr>
                <w:rFonts w:hint="eastAsia" w:ascii="宋体" w:hAnsi="宋体" w:eastAsia="宋体"/>
                <w:sz w:val="24"/>
                <w:szCs w:val="24"/>
                <w:highlight w:val="none"/>
              </w:rPr>
              <w:br w:type="textWrapping"/>
            </w:r>
            <w:r>
              <w:rPr>
                <w:rFonts w:hint="eastAsia" w:ascii="宋体" w:hAnsi="宋体" w:eastAsia="宋体"/>
                <w:sz w:val="24"/>
                <w:szCs w:val="24"/>
                <w:highlight w:val="none"/>
              </w:rPr>
              <w:t>5、延迟时间：2-90s(可调)。　　</w:t>
            </w:r>
            <w:r>
              <w:rPr>
                <w:rFonts w:hint="eastAsia" w:ascii="宋体" w:hAnsi="宋体" w:eastAsia="宋体"/>
                <w:sz w:val="24"/>
                <w:szCs w:val="24"/>
                <w:highlight w:val="none"/>
              </w:rPr>
              <w:br w:type="textWrapping"/>
            </w:r>
            <w:r>
              <w:rPr>
                <w:rFonts w:hint="eastAsia" w:ascii="宋体" w:hAnsi="宋体" w:eastAsia="宋体"/>
                <w:sz w:val="24"/>
                <w:szCs w:val="24"/>
                <w:highlight w:val="none"/>
              </w:rPr>
              <w:t>6、耗电：＜200mA(报警时)。</w:t>
            </w:r>
          </w:p>
        </w:tc>
        <w:tc>
          <w:tcPr>
            <w:tcW w:w="1250" w:type="dxa"/>
            <w:vAlign w:val="center"/>
          </w:tcPr>
          <w:p>
            <w:pPr>
              <w:shd w:val="clear"/>
              <w:spacing w:before="0" w:after="0" w:afterAutospacing="0" w:line="0" w:lineRule="atLeast"/>
              <w:ind w:left="0" w:right="0" w:firstLine="0"/>
              <w:rPr>
                <w:rFonts w:hint="eastAsia" w:ascii="宋体" w:hAnsi="宋体" w:eastAsia="宋体"/>
                <w:sz w:val="24"/>
                <w:szCs w:val="24"/>
                <w:highlight w:val="none"/>
              </w:rPr>
            </w:pP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个</w:t>
            </w: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1</w:t>
            </w:r>
          </w:p>
        </w:tc>
        <w:tc>
          <w:tcPr>
            <w:tcW w:w="1350"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583"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948" w:type="dxa"/>
          </w:tcPr>
          <w:p>
            <w:pPr>
              <w:shd w:val="clear"/>
              <w:spacing w:before="0" w:after="0" w:afterAutospacing="0" w:line="0" w:lineRule="atLeast"/>
              <w:ind w:left="0" w:right="0" w:firstLine="0"/>
              <w:rPr>
                <w:rFonts w:ascii="宋体" w:hAnsi="宋体" w:eastAsia="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4" w:hRule="atLeast"/>
        </w:trPr>
        <w:tc>
          <w:tcPr>
            <w:tcW w:w="652" w:type="dxa"/>
            <w:vAlign w:val="center"/>
          </w:tcPr>
          <w:p>
            <w:pPr>
              <w:shd w:val="clear"/>
              <w:spacing w:before="0" w:after="0" w:afterAutospacing="0" w:line="0" w:lineRule="atLeast"/>
              <w:ind w:left="0" w:right="0" w:firstLine="0"/>
              <w:jc w:val="cente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1</w:t>
            </w:r>
            <w:r>
              <w:rPr>
                <w:rFonts w:hint="eastAsia" w:ascii="宋体" w:hAnsi="宋体" w:eastAsia="宋体"/>
                <w:color w:val="auto"/>
                <w:sz w:val="24"/>
                <w:szCs w:val="24"/>
                <w:highlight w:val="none"/>
                <w:lang w:val="en-US" w:eastAsia="zh-CN"/>
              </w:rPr>
              <w:t>6</w:t>
            </w:r>
          </w:p>
        </w:tc>
        <w:tc>
          <w:tcPr>
            <w:tcW w:w="1348"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点型感温火灾探测器</w:t>
            </w:r>
          </w:p>
        </w:tc>
        <w:tc>
          <w:tcPr>
            <w:tcW w:w="5149" w:type="dxa"/>
            <w:vAlign w:val="center"/>
          </w:tcPr>
          <w:p>
            <w:pPr>
              <w:shd w:val="clear"/>
              <w:spacing w:before="0" w:after="0" w:afterAutospacing="0" w:line="0" w:lineRule="atLeast"/>
              <w:ind w:left="0" w:right="0" w:firstLine="0"/>
              <w:rPr>
                <w:rFonts w:ascii="宋体" w:hAnsi="宋体" w:eastAsia="宋体"/>
                <w:sz w:val="24"/>
                <w:szCs w:val="24"/>
                <w:highlight w:val="none"/>
              </w:rPr>
            </w:pPr>
            <w:r>
              <w:rPr>
                <w:rFonts w:hint="eastAsia" w:ascii="宋体" w:hAnsi="宋体" w:eastAsia="宋体"/>
                <w:sz w:val="24"/>
                <w:szCs w:val="24"/>
                <w:highlight w:val="none"/>
              </w:rPr>
              <w:t>1、执行标准号:GB4716-2005。</w:t>
            </w:r>
            <w:r>
              <w:rPr>
                <w:rFonts w:hint="eastAsia" w:ascii="宋体" w:hAnsi="宋体" w:eastAsia="宋体"/>
                <w:sz w:val="24"/>
                <w:szCs w:val="24"/>
                <w:highlight w:val="none"/>
              </w:rPr>
              <w:br w:type="textWrapping"/>
            </w:r>
            <w:r>
              <w:rPr>
                <w:rFonts w:hint="eastAsia" w:ascii="宋体" w:hAnsi="宋体" w:eastAsia="宋体"/>
                <w:sz w:val="24"/>
                <w:szCs w:val="24"/>
                <w:highlight w:val="none"/>
              </w:rPr>
              <w:t>2、工作电压:DC24V。</w:t>
            </w:r>
            <w:r>
              <w:rPr>
                <w:rFonts w:hint="eastAsia" w:ascii="宋体" w:hAnsi="宋体" w:eastAsia="宋体"/>
                <w:sz w:val="24"/>
                <w:szCs w:val="24"/>
                <w:highlight w:val="none"/>
              </w:rPr>
              <w:br w:type="textWrapping"/>
            </w:r>
            <w:r>
              <w:rPr>
                <w:rFonts w:hint="eastAsia" w:ascii="宋体" w:hAnsi="宋体" w:eastAsia="宋体"/>
                <w:sz w:val="24"/>
                <w:szCs w:val="24"/>
                <w:highlight w:val="none"/>
              </w:rPr>
              <w:t>3、监视电流: &lt;0.3mA。</w:t>
            </w:r>
            <w:r>
              <w:rPr>
                <w:rFonts w:hint="eastAsia" w:ascii="宋体" w:hAnsi="宋体" w:eastAsia="宋体"/>
                <w:sz w:val="24"/>
                <w:szCs w:val="24"/>
                <w:highlight w:val="none"/>
              </w:rPr>
              <w:br w:type="textWrapping"/>
            </w:r>
            <w:r>
              <w:rPr>
                <w:rFonts w:hint="eastAsia" w:ascii="宋体" w:hAnsi="宋体" w:eastAsia="宋体"/>
                <w:sz w:val="24"/>
                <w:szCs w:val="24"/>
                <w:highlight w:val="none"/>
              </w:rPr>
              <w:t>4、环境温度:-10℃-55℃。</w:t>
            </w:r>
            <w:r>
              <w:rPr>
                <w:rFonts w:hint="eastAsia" w:ascii="宋体" w:hAnsi="宋体" w:eastAsia="宋体"/>
                <w:sz w:val="24"/>
                <w:szCs w:val="24"/>
                <w:highlight w:val="none"/>
              </w:rPr>
              <w:br w:type="textWrapping"/>
            </w:r>
            <w:r>
              <w:rPr>
                <w:rFonts w:hint="eastAsia" w:ascii="宋体" w:hAnsi="宋体" w:eastAsia="宋体"/>
                <w:sz w:val="24"/>
                <w:szCs w:val="24"/>
                <w:highlight w:val="none"/>
              </w:rPr>
              <w:t>5、相对湿度:≤93% (40±2℃)。</w:t>
            </w:r>
            <w:r>
              <w:rPr>
                <w:rFonts w:hint="eastAsia" w:ascii="宋体" w:hAnsi="宋体" w:eastAsia="宋体"/>
                <w:sz w:val="24"/>
                <w:szCs w:val="24"/>
                <w:highlight w:val="none"/>
              </w:rPr>
              <w:br w:type="textWrapping"/>
            </w:r>
            <w:r>
              <w:rPr>
                <w:rFonts w:hint="eastAsia" w:ascii="宋体" w:hAnsi="宋体" w:eastAsia="宋体"/>
                <w:sz w:val="24"/>
                <w:szCs w:val="24"/>
                <w:highlight w:val="none"/>
              </w:rPr>
              <w:t>6、采用高精度的热敏元件，具有热时间常数小，对监视范围内的温度变化响应速度快。</w:t>
            </w:r>
            <w:r>
              <w:rPr>
                <w:rFonts w:hint="eastAsia" w:ascii="宋体" w:hAnsi="宋体" w:eastAsia="宋体"/>
                <w:sz w:val="24"/>
                <w:szCs w:val="24"/>
                <w:highlight w:val="none"/>
              </w:rPr>
              <w:br w:type="textWrapping"/>
            </w:r>
            <w:r>
              <w:rPr>
                <w:rFonts w:hint="eastAsia" w:ascii="宋体" w:hAnsi="宋体" w:eastAsia="宋体"/>
                <w:sz w:val="24"/>
                <w:szCs w:val="24"/>
                <w:highlight w:val="none"/>
              </w:rPr>
              <w:t>7、采用无极性二总线及自主总线协议报警响应时间快速。</w:t>
            </w:r>
            <w:r>
              <w:rPr>
                <w:rFonts w:hint="eastAsia" w:ascii="宋体" w:hAnsi="宋体" w:eastAsia="宋体"/>
                <w:sz w:val="24"/>
                <w:szCs w:val="24"/>
                <w:highlight w:val="none"/>
              </w:rPr>
              <w:br w:type="textWrapping"/>
            </w:r>
            <w:r>
              <w:rPr>
                <w:rFonts w:hint="eastAsia" w:ascii="宋体" w:hAnsi="宋体" w:eastAsia="宋体"/>
                <w:sz w:val="24"/>
                <w:szCs w:val="24"/>
                <w:highlight w:val="none"/>
              </w:rPr>
              <w:t>8、安装螺钉防脱设计，避免现场脱落。</w:t>
            </w:r>
          </w:p>
        </w:tc>
        <w:tc>
          <w:tcPr>
            <w:tcW w:w="1250" w:type="dxa"/>
            <w:vAlign w:val="center"/>
          </w:tcPr>
          <w:p>
            <w:pPr>
              <w:shd w:val="clear"/>
              <w:spacing w:before="0" w:after="0" w:afterAutospacing="0" w:line="0" w:lineRule="atLeast"/>
              <w:ind w:left="0" w:right="0" w:firstLine="0"/>
              <w:rPr>
                <w:rFonts w:hint="eastAsia" w:ascii="宋体" w:hAnsi="宋体" w:eastAsia="宋体"/>
                <w:sz w:val="24"/>
                <w:szCs w:val="24"/>
                <w:highlight w:val="none"/>
              </w:rPr>
            </w:pP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只</w:t>
            </w: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70</w:t>
            </w:r>
          </w:p>
        </w:tc>
        <w:tc>
          <w:tcPr>
            <w:tcW w:w="1350"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583"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948" w:type="dxa"/>
          </w:tcPr>
          <w:p>
            <w:pPr>
              <w:shd w:val="clear"/>
              <w:spacing w:before="0" w:after="0" w:afterAutospacing="0" w:line="0" w:lineRule="atLeast"/>
              <w:ind w:left="0" w:right="0" w:firstLine="0"/>
              <w:rPr>
                <w:rFonts w:ascii="宋体" w:hAnsi="宋体" w:eastAsia="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4" w:hRule="atLeast"/>
        </w:trPr>
        <w:tc>
          <w:tcPr>
            <w:tcW w:w="652" w:type="dxa"/>
            <w:vAlign w:val="center"/>
          </w:tcPr>
          <w:p>
            <w:pPr>
              <w:shd w:val="clear"/>
              <w:spacing w:before="0" w:after="0" w:afterAutospacing="0" w:line="0" w:lineRule="atLeast"/>
              <w:ind w:left="0" w:right="0" w:firstLine="0"/>
              <w:jc w:val="center"/>
              <w:rPr>
                <w:rFonts w:hint="eastAsia" w:ascii="宋体" w:hAnsi="宋体" w:eastAsia="宋体"/>
                <w:sz w:val="24"/>
                <w:szCs w:val="24"/>
                <w:highlight w:val="none"/>
                <w:lang w:eastAsia="zh-CN"/>
              </w:rPr>
            </w:pPr>
            <w:r>
              <w:rPr>
                <w:rFonts w:hint="eastAsia" w:ascii="宋体" w:hAnsi="宋体" w:eastAsia="宋体"/>
                <w:sz w:val="24"/>
                <w:szCs w:val="24"/>
                <w:highlight w:val="none"/>
              </w:rPr>
              <w:t>1</w:t>
            </w:r>
            <w:r>
              <w:rPr>
                <w:rFonts w:hint="eastAsia" w:ascii="宋体" w:hAnsi="宋体" w:eastAsia="宋体"/>
                <w:sz w:val="24"/>
                <w:szCs w:val="24"/>
                <w:highlight w:val="none"/>
                <w:lang w:val="en-US" w:eastAsia="zh-CN"/>
              </w:rPr>
              <w:t>7</w:t>
            </w:r>
          </w:p>
        </w:tc>
        <w:tc>
          <w:tcPr>
            <w:tcW w:w="1348"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总线短路隔离器</w:t>
            </w:r>
          </w:p>
        </w:tc>
        <w:tc>
          <w:tcPr>
            <w:tcW w:w="5149" w:type="dxa"/>
            <w:vAlign w:val="center"/>
          </w:tcPr>
          <w:p>
            <w:pPr>
              <w:shd w:val="clear"/>
              <w:spacing w:before="0" w:after="0" w:afterAutospacing="0" w:line="0" w:lineRule="atLeast"/>
              <w:ind w:left="0" w:right="0" w:firstLine="0"/>
              <w:rPr>
                <w:rFonts w:ascii="宋体" w:hAnsi="宋体" w:eastAsia="宋体"/>
                <w:sz w:val="24"/>
                <w:szCs w:val="24"/>
                <w:highlight w:val="none"/>
              </w:rPr>
            </w:pPr>
            <w:r>
              <w:rPr>
                <w:rFonts w:hint="eastAsia" w:ascii="宋体" w:hAnsi="宋体" w:eastAsia="宋体"/>
                <w:sz w:val="24"/>
                <w:szCs w:val="24"/>
                <w:highlight w:val="none"/>
              </w:rPr>
              <w:t>1、工作电压：DC18V-30V。</w:t>
            </w:r>
            <w:r>
              <w:rPr>
                <w:rFonts w:hint="eastAsia" w:ascii="宋体" w:hAnsi="宋体" w:eastAsia="宋体"/>
                <w:sz w:val="24"/>
                <w:szCs w:val="24"/>
                <w:highlight w:val="none"/>
              </w:rPr>
              <w:br w:type="textWrapping"/>
            </w:r>
            <w:r>
              <w:rPr>
                <w:rFonts w:hint="eastAsia" w:ascii="宋体" w:hAnsi="宋体" w:eastAsia="宋体"/>
                <w:sz w:val="24"/>
                <w:szCs w:val="24"/>
                <w:highlight w:val="none"/>
              </w:rPr>
              <w:t>2、监视电流：&lt;3mA。</w:t>
            </w:r>
            <w:r>
              <w:rPr>
                <w:rFonts w:hint="eastAsia" w:ascii="宋体" w:hAnsi="宋体" w:eastAsia="宋体"/>
                <w:sz w:val="24"/>
                <w:szCs w:val="24"/>
                <w:highlight w:val="none"/>
              </w:rPr>
              <w:br w:type="textWrapping"/>
            </w:r>
            <w:r>
              <w:rPr>
                <w:rFonts w:hint="eastAsia" w:ascii="宋体" w:hAnsi="宋体" w:eastAsia="宋体"/>
                <w:sz w:val="24"/>
                <w:szCs w:val="24"/>
                <w:highlight w:val="none"/>
              </w:rPr>
              <w:t>3、动作电流：&lt;5mA。</w:t>
            </w:r>
            <w:r>
              <w:rPr>
                <w:rFonts w:hint="eastAsia" w:ascii="宋体" w:hAnsi="宋体" w:eastAsia="宋体"/>
                <w:sz w:val="24"/>
                <w:szCs w:val="24"/>
                <w:highlight w:val="none"/>
              </w:rPr>
              <w:br w:type="textWrapping"/>
            </w:r>
            <w:r>
              <w:rPr>
                <w:rFonts w:hint="eastAsia" w:ascii="宋体" w:hAnsi="宋体" w:eastAsia="宋体"/>
                <w:sz w:val="24"/>
                <w:szCs w:val="24"/>
                <w:highlight w:val="none"/>
              </w:rPr>
              <w:t>4、工作环境：环境温度 0℃~55℃，相对湿度≤93%（40±2℃）。</w:t>
            </w:r>
            <w:r>
              <w:rPr>
                <w:rFonts w:hint="eastAsia" w:ascii="宋体" w:hAnsi="宋体" w:eastAsia="宋体"/>
                <w:sz w:val="24"/>
                <w:szCs w:val="24"/>
                <w:highlight w:val="none"/>
              </w:rPr>
              <w:br w:type="textWrapping"/>
            </w:r>
            <w:r>
              <w:rPr>
                <w:rFonts w:hint="eastAsia" w:ascii="宋体" w:hAnsi="宋体" w:eastAsia="宋体"/>
                <w:sz w:val="24"/>
                <w:szCs w:val="24"/>
                <w:highlight w:val="none"/>
              </w:rPr>
              <w:t>5、线制：两总线，无极性。</w:t>
            </w:r>
          </w:p>
        </w:tc>
        <w:tc>
          <w:tcPr>
            <w:tcW w:w="1250" w:type="dxa"/>
            <w:vAlign w:val="center"/>
          </w:tcPr>
          <w:p>
            <w:pPr>
              <w:shd w:val="clear"/>
              <w:spacing w:before="0" w:after="0" w:afterAutospacing="0" w:line="0" w:lineRule="atLeast"/>
              <w:ind w:left="0" w:right="0" w:firstLine="0"/>
              <w:rPr>
                <w:rFonts w:hint="eastAsia" w:ascii="宋体" w:hAnsi="宋体" w:eastAsia="宋体"/>
                <w:sz w:val="24"/>
                <w:szCs w:val="24"/>
                <w:highlight w:val="none"/>
              </w:rPr>
            </w:pP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个</w:t>
            </w: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3</w:t>
            </w:r>
          </w:p>
        </w:tc>
        <w:tc>
          <w:tcPr>
            <w:tcW w:w="1350"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583"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948" w:type="dxa"/>
          </w:tcPr>
          <w:p>
            <w:pPr>
              <w:shd w:val="clear"/>
              <w:spacing w:before="0" w:after="0" w:afterAutospacing="0" w:line="0" w:lineRule="atLeast"/>
              <w:ind w:left="0" w:right="0" w:firstLine="0"/>
              <w:rPr>
                <w:rFonts w:ascii="宋体" w:hAnsi="宋体" w:eastAsia="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6" w:hRule="atLeast"/>
        </w:trPr>
        <w:tc>
          <w:tcPr>
            <w:tcW w:w="652" w:type="dxa"/>
            <w:vAlign w:val="center"/>
          </w:tcPr>
          <w:p>
            <w:pPr>
              <w:shd w:val="clear"/>
              <w:spacing w:before="0" w:after="0" w:afterAutospacing="0" w:line="0" w:lineRule="atLeast"/>
              <w:ind w:left="0" w:right="0" w:firstLine="0"/>
              <w:jc w:val="center"/>
              <w:rPr>
                <w:rFonts w:hint="eastAsia" w:ascii="宋体" w:hAnsi="宋体" w:eastAsia="宋体"/>
                <w:sz w:val="24"/>
                <w:szCs w:val="24"/>
                <w:highlight w:val="none"/>
                <w:lang w:eastAsia="zh-CN"/>
              </w:rPr>
            </w:pPr>
            <w:r>
              <w:rPr>
                <w:rFonts w:hint="eastAsia" w:ascii="宋体" w:hAnsi="宋体" w:eastAsia="宋体"/>
                <w:sz w:val="24"/>
                <w:szCs w:val="24"/>
                <w:highlight w:val="none"/>
              </w:rPr>
              <w:t>1</w:t>
            </w:r>
            <w:r>
              <w:rPr>
                <w:rFonts w:hint="eastAsia" w:ascii="宋体" w:hAnsi="宋体" w:eastAsia="宋体"/>
                <w:sz w:val="24"/>
                <w:szCs w:val="24"/>
                <w:highlight w:val="none"/>
                <w:lang w:val="en-US" w:eastAsia="zh-CN"/>
              </w:rPr>
              <w:t>8</w:t>
            </w:r>
          </w:p>
        </w:tc>
        <w:tc>
          <w:tcPr>
            <w:tcW w:w="1348"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输入模块</w:t>
            </w:r>
          </w:p>
        </w:tc>
        <w:tc>
          <w:tcPr>
            <w:tcW w:w="5149" w:type="dxa"/>
            <w:vAlign w:val="center"/>
          </w:tcPr>
          <w:p>
            <w:pPr>
              <w:shd w:val="clear"/>
              <w:spacing w:before="0" w:after="0" w:afterAutospacing="0" w:line="0" w:lineRule="atLeast"/>
              <w:ind w:left="0" w:right="0" w:firstLine="0"/>
              <w:rPr>
                <w:rFonts w:ascii="宋体" w:hAnsi="宋体" w:eastAsia="宋体"/>
                <w:sz w:val="24"/>
                <w:szCs w:val="24"/>
                <w:highlight w:val="none"/>
              </w:rPr>
            </w:pPr>
            <w:r>
              <w:rPr>
                <w:rFonts w:hint="eastAsia" w:ascii="宋体" w:hAnsi="宋体" w:eastAsia="宋体"/>
                <w:sz w:val="24"/>
                <w:szCs w:val="24"/>
                <w:highlight w:val="none"/>
              </w:rPr>
              <w:t>1、执行标准:GB16806-2006。</w:t>
            </w:r>
            <w:r>
              <w:rPr>
                <w:rFonts w:hint="eastAsia" w:ascii="宋体" w:hAnsi="宋体" w:eastAsia="宋体"/>
                <w:sz w:val="24"/>
                <w:szCs w:val="24"/>
                <w:highlight w:val="none"/>
              </w:rPr>
              <w:br w:type="textWrapping"/>
            </w:r>
            <w:r>
              <w:rPr>
                <w:rFonts w:hint="eastAsia" w:ascii="宋体" w:hAnsi="宋体" w:eastAsia="宋体"/>
                <w:sz w:val="24"/>
                <w:szCs w:val="24"/>
                <w:highlight w:val="none"/>
              </w:rPr>
              <w:t>2、工作电压:DC18V-30V。</w:t>
            </w:r>
            <w:r>
              <w:rPr>
                <w:rFonts w:hint="eastAsia" w:ascii="宋体" w:hAnsi="宋体" w:eastAsia="宋体"/>
                <w:sz w:val="24"/>
                <w:szCs w:val="24"/>
                <w:highlight w:val="none"/>
              </w:rPr>
              <w:br w:type="textWrapping"/>
            </w:r>
            <w:r>
              <w:rPr>
                <w:rFonts w:hint="eastAsia" w:ascii="宋体" w:hAnsi="宋体" w:eastAsia="宋体"/>
                <w:sz w:val="24"/>
                <w:szCs w:val="24"/>
                <w:highlight w:val="none"/>
              </w:rPr>
              <w:t>3、监视电流: &lt;0.3mA。</w:t>
            </w:r>
            <w:r>
              <w:rPr>
                <w:rFonts w:hint="eastAsia" w:ascii="宋体" w:hAnsi="宋体" w:eastAsia="宋体"/>
                <w:sz w:val="24"/>
                <w:szCs w:val="24"/>
                <w:highlight w:val="none"/>
              </w:rPr>
              <w:br w:type="textWrapping"/>
            </w:r>
            <w:r>
              <w:rPr>
                <w:rFonts w:hint="eastAsia" w:ascii="宋体" w:hAnsi="宋体" w:eastAsia="宋体"/>
                <w:sz w:val="24"/>
                <w:szCs w:val="24"/>
                <w:highlight w:val="none"/>
              </w:rPr>
              <w:t>4、动作电流: &lt;1.5mA。</w:t>
            </w:r>
            <w:r>
              <w:rPr>
                <w:rFonts w:hint="eastAsia" w:ascii="宋体" w:hAnsi="宋体" w:eastAsia="宋体"/>
                <w:sz w:val="24"/>
                <w:szCs w:val="24"/>
                <w:highlight w:val="none"/>
              </w:rPr>
              <w:br w:type="textWrapping"/>
            </w:r>
            <w:r>
              <w:rPr>
                <w:rFonts w:hint="eastAsia" w:ascii="宋体" w:hAnsi="宋体" w:eastAsia="宋体"/>
                <w:sz w:val="24"/>
                <w:szCs w:val="24"/>
                <w:highlight w:val="none"/>
              </w:rPr>
              <w:t>5、环境温度:-10℃-55℃。</w:t>
            </w:r>
            <w:r>
              <w:rPr>
                <w:rFonts w:hint="eastAsia" w:ascii="宋体" w:hAnsi="宋体" w:eastAsia="宋体"/>
                <w:sz w:val="24"/>
                <w:szCs w:val="24"/>
                <w:highlight w:val="none"/>
              </w:rPr>
              <w:br w:type="textWrapping"/>
            </w:r>
            <w:r>
              <w:rPr>
                <w:rFonts w:hint="eastAsia" w:ascii="宋体" w:hAnsi="宋体" w:eastAsia="宋体"/>
                <w:sz w:val="24"/>
                <w:szCs w:val="24"/>
                <w:highlight w:val="none"/>
              </w:rPr>
              <w:t>7、二线制，与控制器无极性二线制连接，占一个编码点。</w:t>
            </w:r>
            <w:r>
              <w:rPr>
                <w:rFonts w:hint="eastAsia" w:ascii="宋体" w:hAnsi="宋体" w:eastAsia="宋体"/>
                <w:sz w:val="24"/>
                <w:szCs w:val="24"/>
                <w:highlight w:val="none"/>
              </w:rPr>
              <w:br w:type="textWrapping"/>
            </w:r>
            <w:r>
              <w:rPr>
                <w:rFonts w:hint="eastAsia" w:ascii="宋体" w:hAnsi="宋体" w:eastAsia="宋体"/>
                <w:sz w:val="24"/>
                <w:szCs w:val="24"/>
                <w:highlight w:val="none"/>
              </w:rPr>
              <w:t>8、输入输出自带隔离保护电路，有效滤除外部干扰。</w:t>
            </w:r>
            <w:r>
              <w:rPr>
                <w:rFonts w:hint="eastAsia" w:ascii="宋体" w:hAnsi="宋体" w:eastAsia="宋体"/>
                <w:sz w:val="24"/>
                <w:szCs w:val="24"/>
                <w:highlight w:val="none"/>
              </w:rPr>
              <w:br w:type="textWrapping"/>
            </w:r>
            <w:r>
              <w:rPr>
                <w:rFonts w:hint="eastAsia" w:ascii="宋体" w:hAnsi="宋体" w:eastAsia="宋体"/>
                <w:sz w:val="24"/>
                <w:szCs w:val="24"/>
                <w:highlight w:val="none"/>
              </w:rPr>
              <w:t>9、插拔式结构，接触可靠，安装便利。</w:t>
            </w:r>
          </w:p>
        </w:tc>
        <w:tc>
          <w:tcPr>
            <w:tcW w:w="1250" w:type="dxa"/>
            <w:vAlign w:val="center"/>
          </w:tcPr>
          <w:p>
            <w:pPr>
              <w:shd w:val="clear"/>
              <w:spacing w:before="0" w:after="0" w:afterAutospacing="0" w:line="0" w:lineRule="atLeast"/>
              <w:ind w:left="0" w:right="0" w:firstLine="0"/>
              <w:rPr>
                <w:rFonts w:hint="eastAsia" w:ascii="宋体" w:hAnsi="宋体" w:eastAsia="宋体"/>
                <w:sz w:val="24"/>
                <w:szCs w:val="24"/>
                <w:highlight w:val="none"/>
              </w:rPr>
            </w:pP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个</w:t>
            </w: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1</w:t>
            </w:r>
          </w:p>
        </w:tc>
        <w:tc>
          <w:tcPr>
            <w:tcW w:w="1350"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583"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948" w:type="dxa"/>
          </w:tcPr>
          <w:p>
            <w:pPr>
              <w:shd w:val="clear"/>
              <w:spacing w:before="0" w:after="0" w:afterAutospacing="0" w:line="0" w:lineRule="atLeast"/>
              <w:ind w:left="0" w:right="0" w:firstLine="0"/>
              <w:rPr>
                <w:rFonts w:ascii="宋体" w:hAnsi="宋体" w:eastAsia="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5" w:hRule="atLeast"/>
        </w:trPr>
        <w:tc>
          <w:tcPr>
            <w:tcW w:w="652" w:type="dxa"/>
            <w:vAlign w:val="center"/>
          </w:tcPr>
          <w:p>
            <w:pPr>
              <w:shd w:val="clear"/>
              <w:spacing w:before="0" w:after="0" w:afterAutospacing="0" w:line="0" w:lineRule="atLeast"/>
              <w:ind w:left="0" w:right="0" w:firstLine="0"/>
              <w:jc w:val="center"/>
              <w:rPr>
                <w:rFonts w:hint="default" w:ascii="宋体" w:hAnsi="宋体" w:eastAsia="宋体"/>
                <w:sz w:val="24"/>
                <w:szCs w:val="24"/>
                <w:highlight w:val="none"/>
                <w:lang w:val="en-US" w:eastAsia="zh-CN"/>
              </w:rPr>
            </w:pPr>
            <w:r>
              <w:rPr>
                <w:rFonts w:hint="eastAsia" w:ascii="宋体" w:hAnsi="宋体" w:eastAsia="宋体"/>
                <w:sz w:val="24"/>
                <w:szCs w:val="24"/>
                <w:highlight w:val="none"/>
                <w:lang w:val="en-US" w:eastAsia="zh-CN"/>
              </w:rPr>
              <w:t>19</w:t>
            </w:r>
          </w:p>
        </w:tc>
        <w:tc>
          <w:tcPr>
            <w:tcW w:w="1348"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火灾报警控制器</w:t>
            </w:r>
          </w:p>
        </w:tc>
        <w:tc>
          <w:tcPr>
            <w:tcW w:w="5149" w:type="dxa"/>
            <w:vAlign w:val="center"/>
          </w:tcPr>
          <w:p>
            <w:pPr>
              <w:shd w:val="clear"/>
              <w:spacing w:before="0" w:after="0" w:afterAutospacing="0" w:line="0" w:lineRule="atLeast"/>
              <w:ind w:left="0" w:right="0" w:firstLine="0"/>
              <w:rPr>
                <w:rFonts w:ascii="宋体" w:hAnsi="宋体" w:eastAsia="宋体"/>
                <w:sz w:val="24"/>
                <w:szCs w:val="24"/>
                <w:highlight w:val="none"/>
              </w:rPr>
            </w:pPr>
            <w:r>
              <w:rPr>
                <w:rFonts w:hint="eastAsia" w:ascii="宋体" w:hAnsi="宋体" w:eastAsia="宋体"/>
                <w:sz w:val="24"/>
                <w:szCs w:val="24"/>
                <w:highlight w:val="none"/>
              </w:rPr>
              <w:t>1、执行标准号：GB 4717-2005。</w:t>
            </w:r>
            <w:r>
              <w:rPr>
                <w:rFonts w:hint="eastAsia" w:ascii="宋体" w:hAnsi="宋体" w:eastAsia="宋体"/>
                <w:sz w:val="24"/>
                <w:szCs w:val="24"/>
                <w:highlight w:val="none"/>
              </w:rPr>
              <w:br w:type="textWrapping"/>
            </w:r>
            <w:r>
              <w:rPr>
                <w:rFonts w:hint="eastAsia" w:ascii="宋体" w:hAnsi="宋体" w:eastAsia="宋体"/>
                <w:sz w:val="24"/>
                <w:szCs w:val="24"/>
                <w:highlight w:val="none"/>
              </w:rPr>
              <w:t>2、工作电压或供电电压：AC220V，50HZ。</w:t>
            </w:r>
            <w:r>
              <w:rPr>
                <w:rFonts w:hint="eastAsia" w:ascii="宋体" w:hAnsi="宋体" w:eastAsia="宋体"/>
                <w:sz w:val="24"/>
                <w:szCs w:val="24"/>
                <w:highlight w:val="none"/>
              </w:rPr>
              <w:br w:type="textWrapping"/>
            </w:r>
            <w:r>
              <w:rPr>
                <w:rFonts w:hint="eastAsia" w:ascii="宋体" w:hAnsi="宋体" w:eastAsia="宋体"/>
                <w:sz w:val="24"/>
                <w:szCs w:val="24"/>
                <w:highlight w:val="none"/>
              </w:rPr>
              <w:t>3、交流电源工作电流：AC≥1A。</w:t>
            </w:r>
            <w:r>
              <w:rPr>
                <w:rFonts w:hint="eastAsia" w:ascii="宋体" w:hAnsi="宋体" w:eastAsia="宋体"/>
                <w:sz w:val="24"/>
                <w:szCs w:val="24"/>
                <w:highlight w:val="none"/>
              </w:rPr>
              <w:br w:type="textWrapping"/>
            </w:r>
            <w:r>
              <w:rPr>
                <w:rFonts w:hint="eastAsia" w:ascii="宋体" w:hAnsi="宋体" w:eastAsia="宋体"/>
                <w:sz w:val="24"/>
                <w:szCs w:val="24"/>
                <w:highlight w:val="none"/>
              </w:rPr>
              <w:t xml:space="preserve">4、总线电压：DC 30V。 </w:t>
            </w:r>
            <w:r>
              <w:rPr>
                <w:rFonts w:hint="eastAsia" w:ascii="宋体" w:hAnsi="宋体" w:eastAsia="宋体"/>
                <w:sz w:val="24"/>
                <w:szCs w:val="24"/>
                <w:highlight w:val="none"/>
              </w:rPr>
              <w:br w:type="textWrapping"/>
            </w:r>
            <w:r>
              <w:rPr>
                <w:rFonts w:hint="eastAsia" w:ascii="宋体" w:hAnsi="宋体" w:eastAsia="宋体"/>
                <w:sz w:val="24"/>
                <w:szCs w:val="24"/>
                <w:highlight w:val="none"/>
              </w:rPr>
              <w:t>5、环境温度：0℃-50℃；湿度：≤95%（40℃±2）。</w:t>
            </w:r>
            <w:r>
              <w:rPr>
                <w:rFonts w:hint="eastAsia" w:ascii="宋体" w:hAnsi="宋体" w:eastAsia="宋体"/>
                <w:sz w:val="24"/>
                <w:szCs w:val="24"/>
                <w:highlight w:val="none"/>
              </w:rPr>
              <w:br w:type="textWrapping"/>
            </w:r>
            <w:r>
              <w:rPr>
                <w:rFonts w:hint="eastAsia" w:ascii="宋体" w:hAnsi="宋体" w:eastAsia="宋体"/>
                <w:sz w:val="24"/>
                <w:szCs w:val="24"/>
                <w:highlight w:val="none"/>
              </w:rPr>
              <w:t>6、电源输入与机壳间绝缘电阻：≥50MΩ。</w:t>
            </w:r>
            <w:r>
              <w:rPr>
                <w:rFonts w:hint="eastAsia" w:ascii="宋体" w:hAnsi="宋体" w:eastAsia="宋体"/>
                <w:sz w:val="24"/>
                <w:szCs w:val="24"/>
                <w:highlight w:val="none"/>
              </w:rPr>
              <w:br w:type="textWrapping"/>
            </w:r>
            <w:r>
              <w:rPr>
                <w:rFonts w:hint="eastAsia" w:ascii="宋体" w:hAnsi="宋体" w:eastAsia="宋体"/>
                <w:sz w:val="24"/>
                <w:szCs w:val="24"/>
                <w:highlight w:val="none"/>
              </w:rPr>
              <w:t>7、报警总线最大传输距离：1000米。</w:t>
            </w:r>
            <w:r>
              <w:rPr>
                <w:rFonts w:hint="eastAsia" w:ascii="宋体" w:hAnsi="宋体" w:eastAsia="宋体"/>
                <w:sz w:val="24"/>
                <w:szCs w:val="24"/>
                <w:highlight w:val="none"/>
              </w:rPr>
              <w:br w:type="textWrapping"/>
            </w:r>
            <w:r>
              <w:rPr>
                <w:rFonts w:hint="eastAsia" w:ascii="宋体" w:hAnsi="宋体" w:eastAsia="宋体"/>
                <w:sz w:val="24"/>
                <w:szCs w:val="24"/>
                <w:highlight w:val="none"/>
              </w:rPr>
              <w:t>8、多机最大容量：64台主机联网。</w:t>
            </w:r>
            <w:r>
              <w:rPr>
                <w:rFonts w:hint="eastAsia" w:ascii="宋体" w:hAnsi="宋体" w:eastAsia="宋体"/>
                <w:sz w:val="24"/>
                <w:szCs w:val="24"/>
                <w:highlight w:val="none"/>
              </w:rPr>
              <w:br w:type="textWrapping"/>
            </w:r>
            <w:r>
              <w:rPr>
                <w:rFonts w:hint="eastAsia" w:ascii="宋体" w:hAnsi="宋体" w:eastAsia="宋体"/>
                <w:sz w:val="24"/>
                <w:szCs w:val="24"/>
                <w:highlight w:val="none"/>
              </w:rPr>
              <w:t>9、通讯最远传输距离：1000米，串联接法。</w:t>
            </w:r>
            <w:r>
              <w:rPr>
                <w:rFonts w:hint="eastAsia" w:ascii="宋体" w:hAnsi="宋体" w:eastAsia="宋体"/>
                <w:sz w:val="24"/>
                <w:szCs w:val="24"/>
                <w:highlight w:val="none"/>
              </w:rPr>
              <w:br w:type="textWrapping"/>
            </w:r>
            <w:r>
              <w:rPr>
                <w:rFonts w:hint="eastAsia" w:ascii="宋体" w:hAnsi="宋体" w:eastAsia="宋体"/>
                <w:sz w:val="24"/>
                <w:szCs w:val="24"/>
                <w:highlight w:val="none"/>
              </w:rPr>
              <w:t>10、标准柜式或琴台式结构联动控制器，采用模块化设计，配置方便。</w:t>
            </w:r>
            <w:r>
              <w:rPr>
                <w:rFonts w:hint="eastAsia" w:ascii="宋体" w:hAnsi="宋体" w:eastAsia="宋体"/>
                <w:sz w:val="24"/>
                <w:szCs w:val="24"/>
                <w:highlight w:val="none"/>
              </w:rPr>
              <w:br w:type="textWrapping"/>
            </w:r>
            <w:r>
              <w:rPr>
                <w:rFonts w:hint="eastAsia" w:ascii="宋体" w:hAnsi="宋体" w:eastAsia="宋体"/>
                <w:sz w:val="24"/>
                <w:szCs w:val="24"/>
                <w:highlight w:val="none"/>
              </w:rPr>
              <w:t>11、采用标准柜式结构联动控制器配置，总线，全数字传输，事件响应方式，适合二线制外部设备工作。</w:t>
            </w:r>
            <w:r>
              <w:rPr>
                <w:rFonts w:hint="eastAsia" w:ascii="宋体" w:hAnsi="宋体" w:eastAsia="宋体"/>
                <w:sz w:val="24"/>
                <w:szCs w:val="24"/>
                <w:highlight w:val="none"/>
              </w:rPr>
              <w:br w:type="textWrapping"/>
            </w:r>
            <w:r>
              <w:rPr>
                <w:rFonts w:hint="eastAsia" w:ascii="宋体" w:hAnsi="宋体" w:eastAsia="宋体"/>
                <w:sz w:val="24"/>
                <w:szCs w:val="24"/>
                <w:highlight w:val="none"/>
              </w:rPr>
              <w:t>12、多CPU协同工作，采用PC总线、CAN总线、SPI总线、USB通讯、智能算法等先进技术，保证实时多任务系统同步运行，系统高速响应、稳定可靠。</w:t>
            </w:r>
            <w:r>
              <w:rPr>
                <w:rFonts w:hint="eastAsia" w:ascii="宋体" w:hAnsi="宋体" w:eastAsia="宋体"/>
                <w:sz w:val="24"/>
                <w:szCs w:val="24"/>
                <w:highlight w:val="none"/>
              </w:rPr>
              <w:br w:type="textWrapping"/>
            </w:r>
            <w:r>
              <w:rPr>
                <w:rFonts w:hint="eastAsia" w:ascii="宋体" w:hAnsi="宋体" w:eastAsia="宋体"/>
                <w:sz w:val="24"/>
                <w:szCs w:val="24"/>
                <w:highlight w:val="none"/>
              </w:rPr>
              <w:t>13、大屏幕7寸全彩中文液品，显示直观，智能提示。</w:t>
            </w:r>
            <w:r>
              <w:rPr>
                <w:rFonts w:hint="eastAsia" w:ascii="宋体" w:hAnsi="宋体" w:eastAsia="宋体"/>
                <w:sz w:val="24"/>
                <w:szCs w:val="24"/>
                <w:highlight w:val="none"/>
              </w:rPr>
              <w:br w:type="textWrapping"/>
            </w:r>
            <w:r>
              <w:rPr>
                <w:rFonts w:hint="eastAsia" w:ascii="宋体" w:hAnsi="宋体" w:eastAsia="宋体"/>
                <w:sz w:val="24"/>
                <w:szCs w:val="24"/>
                <w:highlight w:val="none"/>
              </w:rPr>
              <w:t>14、全功能键盘，可输入数字、汉字、英文。</w:t>
            </w:r>
            <w:r>
              <w:rPr>
                <w:rFonts w:hint="eastAsia" w:ascii="宋体" w:hAnsi="宋体" w:eastAsia="宋体"/>
                <w:sz w:val="24"/>
                <w:szCs w:val="24"/>
                <w:highlight w:val="none"/>
              </w:rPr>
              <w:br w:type="textWrapping"/>
            </w:r>
            <w:r>
              <w:rPr>
                <w:rFonts w:hint="eastAsia" w:ascii="宋体" w:hAnsi="宋体" w:eastAsia="宋体"/>
                <w:sz w:val="24"/>
                <w:szCs w:val="24"/>
                <w:highlight w:val="none"/>
              </w:rPr>
              <w:t>15、配备热敏打印机，中文打印。</w:t>
            </w:r>
            <w:r>
              <w:rPr>
                <w:rFonts w:hint="eastAsia" w:ascii="宋体" w:hAnsi="宋体" w:eastAsia="宋体"/>
                <w:sz w:val="24"/>
                <w:szCs w:val="24"/>
                <w:highlight w:val="none"/>
              </w:rPr>
              <w:br w:type="textWrapping"/>
            </w:r>
            <w:r>
              <w:rPr>
                <w:rFonts w:hint="eastAsia" w:ascii="宋体" w:hAnsi="宋体" w:eastAsia="宋体"/>
                <w:sz w:val="24"/>
                <w:szCs w:val="24"/>
                <w:highlight w:val="none"/>
              </w:rPr>
              <w:t>16、设备容量：具有20个回路，每个回路200个地址点。</w:t>
            </w:r>
            <w:r>
              <w:rPr>
                <w:rFonts w:hint="eastAsia" w:ascii="宋体" w:hAnsi="宋体" w:eastAsia="宋体"/>
                <w:sz w:val="24"/>
                <w:szCs w:val="24"/>
                <w:highlight w:val="none"/>
              </w:rPr>
              <w:br w:type="textWrapping"/>
            </w:r>
            <w:r>
              <w:rPr>
                <w:rFonts w:hint="eastAsia" w:ascii="宋体" w:hAnsi="宋体" w:eastAsia="宋体"/>
                <w:sz w:val="24"/>
                <w:szCs w:val="24"/>
                <w:highlight w:val="none"/>
              </w:rPr>
              <w:t>17、手动直接控制输出数量：80组。</w:t>
            </w:r>
            <w:r>
              <w:rPr>
                <w:rFonts w:hint="eastAsia" w:ascii="宋体" w:hAnsi="宋体" w:eastAsia="宋体"/>
                <w:sz w:val="24"/>
                <w:szCs w:val="24"/>
                <w:highlight w:val="none"/>
              </w:rPr>
              <w:br w:type="textWrapping"/>
            </w:r>
            <w:r>
              <w:rPr>
                <w:rFonts w:hint="eastAsia" w:ascii="宋体" w:hAnsi="宋体" w:eastAsia="宋体"/>
                <w:sz w:val="24"/>
                <w:szCs w:val="24"/>
                <w:highlight w:val="none"/>
              </w:rPr>
              <w:t>18、可配接消防应急广播系统、消防应急照明和疏散指示系统、图形显示系统、火警传输设备。</w:t>
            </w:r>
          </w:p>
        </w:tc>
        <w:tc>
          <w:tcPr>
            <w:tcW w:w="1250" w:type="dxa"/>
            <w:vAlign w:val="center"/>
          </w:tcPr>
          <w:p>
            <w:pPr>
              <w:shd w:val="clear"/>
              <w:spacing w:before="0" w:after="0" w:afterAutospacing="0" w:line="0" w:lineRule="atLeast"/>
              <w:ind w:left="0" w:right="0" w:firstLine="0"/>
              <w:rPr>
                <w:rFonts w:hint="eastAsia" w:ascii="宋体" w:hAnsi="宋体" w:eastAsia="宋体"/>
                <w:sz w:val="24"/>
                <w:szCs w:val="24"/>
                <w:highlight w:val="none"/>
              </w:rPr>
            </w:pP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台</w:t>
            </w: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1</w:t>
            </w:r>
          </w:p>
        </w:tc>
        <w:tc>
          <w:tcPr>
            <w:tcW w:w="1350"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583"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948" w:type="dxa"/>
          </w:tcPr>
          <w:p>
            <w:pPr>
              <w:shd w:val="clear"/>
              <w:spacing w:before="0" w:after="0" w:afterAutospacing="0" w:line="0" w:lineRule="atLeast"/>
              <w:ind w:left="0" w:right="0" w:firstLine="0"/>
              <w:rPr>
                <w:rFonts w:ascii="宋体" w:hAnsi="宋体" w:eastAsia="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6" w:hRule="atLeast"/>
        </w:trPr>
        <w:tc>
          <w:tcPr>
            <w:tcW w:w="652" w:type="dxa"/>
            <w:vAlign w:val="center"/>
          </w:tcPr>
          <w:p>
            <w:pPr>
              <w:shd w:val="clear"/>
              <w:spacing w:before="0" w:after="0" w:afterAutospacing="0" w:line="0" w:lineRule="atLeast"/>
              <w:ind w:left="0" w:leftChars="0" w:right="0" w:rightChars="0" w:firstLine="0" w:firstLineChars="0"/>
              <w:jc w:val="center"/>
              <w:rPr>
                <w:rFonts w:ascii="宋体" w:hAnsi="宋体" w:eastAsia="宋体" w:cs="Times New Roman"/>
                <w:sz w:val="24"/>
                <w:szCs w:val="24"/>
                <w:highlight w:val="none"/>
                <w:lang w:val="en-US" w:eastAsia="zh-CN" w:bidi="ar-SA"/>
              </w:rPr>
            </w:pPr>
            <w:r>
              <w:rPr>
                <w:rFonts w:hint="eastAsia" w:ascii="宋体" w:hAnsi="宋体" w:eastAsia="宋体"/>
                <w:sz w:val="24"/>
                <w:szCs w:val="24"/>
                <w:highlight w:val="none"/>
              </w:rPr>
              <w:t>20</w:t>
            </w:r>
          </w:p>
        </w:tc>
        <w:tc>
          <w:tcPr>
            <w:tcW w:w="1348"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输入输出模块</w:t>
            </w:r>
          </w:p>
        </w:tc>
        <w:tc>
          <w:tcPr>
            <w:tcW w:w="5149" w:type="dxa"/>
            <w:vAlign w:val="center"/>
          </w:tcPr>
          <w:p>
            <w:pPr>
              <w:shd w:val="clear"/>
              <w:spacing w:before="0" w:after="0" w:afterAutospacing="0" w:line="0" w:lineRule="atLeast"/>
              <w:ind w:left="0" w:right="0" w:firstLine="0"/>
              <w:rPr>
                <w:rFonts w:ascii="宋体" w:hAnsi="宋体" w:eastAsia="宋体"/>
                <w:sz w:val="24"/>
                <w:szCs w:val="24"/>
                <w:highlight w:val="none"/>
              </w:rPr>
            </w:pPr>
            <w:r>
              <w:rPr>
                <w:rFonts w:hint="eastAsia" w:ascii="宋体" w:hAnsi="宋体" w:eastAsia="宋体"/>
                <w:sz w:val="24"/>
                <w:szCs w:val="24"/>
                <w:highlight w:val="none"/>
              </w:rPr>
              <w:t>1、执行标准:GB16806-2006。</w:t>
            </w:r>
            <w:r>
              <w:rPr>
                <w:rFonts w:hint="eastAsia" w:ascii="宋体" w:hAnsi="宋体" w:eastAsia="宋体"/>
                <w:sz w:val="24"/>
                <w:szCs w:val="24"/>
                <w:highlight w:val="none"/>
              </w:rPr>
              <w:br w:type="textWrapping"/>
            </w:r>
            <w:r>
              <w:rPr>
                <w:rFonts w:hint="eastAsia" w:ascii="宋体" w:hAnsi="宋体" w:eastAsia="宋体"/>
                <w:sz w:val="24"/>
                <w:szCs w:val="24"/>
                <w:highlight w:val="none"/>
              </w:rPr>
              <w:t>2、工作电压:DC18V-30V.</w:t>
            </w:r>
            <w:r>
              <w:rPr>
                <w:rFonts w:hint="eastAsia" w:ascii="宋体" w:hAnsi="宋体" w:eastAsia="宋体"/>
                <w:sz w:val="24"/>
                <w:szCs w:val="24"/>
                <w:highlight w:val="none"/>
              </w:rPr>
              <w:br w:type="textWrapping"/>
            </w:r>
            <w:r>
              <w:rPr>
                <w:rFonts w:hint="eastAsia" w:ascii="宋体" w:hAnsi="宋体" w:eastAsia="宋体"/>
                <w:sz w:val="24"/>
                <w:szCs w:val="24"/>
                <w:highlight w:val="none"/>
              </w:rPr>
              <w:t>3、监视电流: &lt;0.3mA。</w:t>
            </w:r>
            <w:r>
              <w:rPr>
                <w:rFonts w:hint="eastAsia" w:ascii="宋体" w:hAnsi="宋体" w:eastAsia="宋体"/>
                <w:sz w:val="24"/>
                <w:szCs w:val="24"/>
                <w:highlight w:val="none"/>
              </w:rPr>
              <w:br w:type="textWrapping"/>
            </w:r>
            <w:r>
              <w:rPr>
                <w:rFonts w:hint="eastAsia" w:ascii="宋体" w:hAnsi="宋体" w:eastAsia="宋体"/>
                <w:sz w:val="24"/>
                <w:szCs w:val="24"/>
                <w:highlight w:val="none"/>
              </w:rPr>
              <w:t>4、动作电流: &lt;1.5mA。</w:t>
            </w:r>
            <w:r>
              <w:rPr>
                <w:rFonts w:hint="eastAsia" w:ascii="宋体" w:hAnsi="宋体" w:eastAsia="宋体"/>
                <w:sz w:val="24"/>
                <w:szCs w:val="24"/>
                <w:highlight w:val="none"/>
              </w:rPr>
              <w:br w:type="textWrapping"/>
            </w:r>
            <w:r>
              <w:rPr>
                <w:rFonts w:hint="eastAsia" w:ascii="宋体" w:hAnsi="宋体" w:eastAsia="宋体"/>
                <w:sz w:val="24"/>
                <w:szCs w:val="24"/>
                <w:highlight w:val="none"/>
              </w:rPr>
              <w:t>5、触点容量:2A 30VDC。</w:t>
            </w:r>
            <w:r>
              <w:rPr>
                <w:rFonts w:hint="eastAsia" w:ascii="宋体" w:hAnsi="宋体" w:eastAsia="宋体"/>
                <w:sz w:val="24"/>
                <w:szCs w:val="24"/>
                <w:highlight w:val="none"/>
              </w:rPr>
              <w:br w:type="textWrapping"/>
            </w:r>
            <w:r>
              <w:rPr>
                <w:rFonts w:hint="eastAsia" w:ascii="宋体" w:hAnsi="宋体" w:eastAsia="宋体"/>
                <w:sz w:val="24"/>
                <w:szCs w:val="24"/>
                <w:highlight w:val="none"/>
              </w:rPr>
              <w:t>6、环境温度:-10℃-55℃。</w:t>
            </w:r>
            <w:r>
              <w:rPr>
                <w:rFonts w:hint="eastAsia" w:ascii="宋体" w:hAnsi="宋体" w:eastAsia="宋体"/>
                <w:sz w:val="24"/>
                <w:szCs w:val="24"/>
                <w:highlight w:val="none"/>
              </w:rPr>
              <w:br w:type="textWrapping"/>
            </w:r>
            <w:r>
              <w:rPr>
                <w:rFonts w:hint="eastAsia" w:ascii="宋体" w:hAnsi="宋体" w:eastAsia="宋体"/>
                <w:sz w:val="24"/>
                <w:szCs w:val="24"/>
                <w:highlight w:val="none"/>
              </w:rPr>
              <w:t>7、四线制。与控制器无极性二线制连接，占一个编码点。</w:t>
            </w:r>
            <w:r>
              <w:rPr>
                <w:rFonts w:hint="eastAsia" w:ascii="宋体" w:hAnsi="宋体" w:eastAsia="宋体"/>
                <w:sz w:val="24"/>
                <w:szCs w:val="24"/>
                <w:highlight w:val="none"/>
              </w:rPr>
              <w:br w:type="textWrapping"/>
            </w:r>
            <w:r>
              <w:rPr>
                <w:rFonts w:hint="eastAsia" w:ascii="宋体" w:hAnsi="宋体" w:eastAsia="宋体"/>
                <w:sz w:val="24"/>
                <w:szCs w:val="24"/>
                <w:highlight w:val="none"/>
              </w:rPr>
              <w:t>8、为无源触点输出模块，可设置脉冲成电平输出模式。</w:t>
            </w:r>
            <w:r>
              <w:rPr>
                <w:rFonts w:hint="eastAsia" w:ascii="宋体" w:hAnsi="宋体" w:eastAsia="宋体"/>
                <w:sz w:val="24"/>
                <w:szCs w:val="24"/>
                <w:highlight w:val="none"/>
              </w:rPr>
              <w:br w:type="textWrapping"/>
            </w:r>
            <w:r>
              <w:rPr>
                <w:rFonts w:hint="eastAsia" w:ascii="宋体" w:hAnsi="宋体" w:eastAsia="宋体"/>
                <w:sz w:val="24"/>
                <w:szCs w:val="24"/>
                <w:highlight w:val="none"/>
              </w:rPr>
              <w:t>9、输入，输出均具有线路短路、断路检线功能。</w:t>
            </w:r>
            <w:r>
              <w:rPr>
                <w:rFonts w:hint="eastAsia" w:ascii="宋体" w:hAnsi="宋体" w:eastAsia="宋体"/>
                <w:sz w:val="24"/>
                <w:szCs w:val="24"/>
                <w:highlight w:val="none"/>
              </w:rPr>
              <w:br w:type="textWrapping"/>
            </w:r>
            <w:r>
              <w:rPr>
                <w:rFonts w:hint="eastAsia" w:ascii="宋体" w:hAnsi="宋体" w:eastAsia="宋体"/>
                <w:sz w:val="24"/>
                <w:szCs w:val="24"/>
                <w:highlight w:val="none"/>
              </w:rPr>
              <w:t>10、输入输出自带隔离保护电路，有效滤除外部干扰。</w:t>
            </w:r>
            <w:r>
              <w:rPr>
                <w:rFonts w:hint="eastAsia" w:ascii="宋体" w:hAnsi="宋体" w:eastAsia="宋体"/>
                <w:sz w:val="24"/>
                <w:szCs w:val="24"/>
                <w:highlight w:val="none"/>
              </w:rPr>
              <w:br w:type="textWrapping"/>
            </w:r>
            <w:r>
              <w:rPr>
                <w:rFonts w:hint="eastAsia" w:ascii="宋体" w:hAnsi="宋体" w:eastAsia="宋体"/>
                <w:sz w:val="24"/>
                <w:szCs w:val="24"/>
                <w:highlight w:val="none"/>
              </w:rPr>
              <w:t>11、插拔式结构，接触可靠，安装便利。</w:t>
            </w:r>
          </w:p>
        </w:tc>
        <w:tc>
          <w:tcPr>
            <w:tcW w:w="1250" w:type="dxa"/>
            <w:vAlign w:val="center"/>
          </w:tcPr>
          <w:p>
            <w:pPr>
              <w:shd w:val="clear"/>
              <w:spacing w:before="0" w:after="0" w:afterAutospacing="0" w:line="0" w:lineRule="atLeast"/>
              <w:ind w:left="0" w:right="0" w:firstLine="0"/>
              <w:rPr>
                <w:rFonts w:hint="eastAsia" w:ascii="宋体" w:hAnsi="宋体" w:eastAsia="宋体"/>
                <w:sz w:val="24"/>
                <w:szCs w:val="24"/>
                <w:highlight w:val="none"/>
              </w:rPr>
            </w:pP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个</w:t>
            </w: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70</w:t>
            </w:r>
          </w:p>
        </w:tc>
        <w:tc>
          <w:tcPr>
            <w:tcW w:w="1350"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583"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948" w:type="dxa"/>
          </w:tcPr>
          <w:p>
            <w:pPr>
              <w:shd w:val="clear"/>
              <w:spacing w:before="0" w:after="0" w:afterAutospacing="0" w:line="0" w:lineRule="atLeast"/>
              <w:ind w:left="0" w:right="0" w:firstLine="0"/>
              <w:rPr>
                <w:rFonts w:ascii="宋体" w:hAnsi="宋体" w:eastAsia="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trPr>
        <w:tc>
          <w:tcPr>
            <w:tcW w:w="652" w:type="dxa"/>
            <w:vAlign w:val="center"/>
          </w:tcPr>
          <w:p>
            <w:pPr>
              <w:shd w:val="clear"/>
              <w:spacing w:before="0" w:after="0" w:afterAutospacing="0" w:line="0" w:lineRule="atLeast"/>
              <w:ind w:left="0" w:leftChars="0" w:right="0" w:rightChars="0" w:firstLine="0" w:firstLineChars="0"/>
              <w:jc w:val="center"/>
              <w:rPr>
                <w:rFonts w:ascii="宋体" w:hAnsi="宋体" w:eastAsia="宋体" w:cs="Times New Roman"/>
                <w:sz w:val="24"/>
                <w:szCs w:val="24"/>
                <w:highlight w:val="none"/>
                <w:lang w:val="en-US" w:eastAsia="zh-CN" w:bidi="ar-SA"/>
              </w:rPr>
            </w:pPr>
            <w:r>
              <w:rPr>
                <w:rFonts w:hint="eastAsia" w:ascii="宋体" w:hAnsi="宋体" w:eastAsia="宋体"/>
                <w:sz w:val="24"/>
                <w:szCs w:val="24"/>
                <w:highlight w:val="none"/>
              </w:rPr>
              <w:t>21</w:t>
            </w:r>
          </w:p>
        </w:tc>
        <w:tc>
          <w:tcPr>
            <w:tcW w:w="1348"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电引发器</w:t>
            </w:r>
          </w:p>
        </w:tc>
        <w:tc>
          <w:tcPr>
            <w:tcW w:w="5149" w:type="dxa"/>
            <w:vAlign w:val="center"/>
          </w:tcPr>
          <w:p>
            <w:pPr>
              <w:shd w:val="clear"/>
              <w:spacing w:before="0" w:after="0" w:afterAutospacing="0" w:line="0" w:lineRule="atLeast"/>
              <w:ind w:left="0" w:right="0" w:firstLine="0"/>
              <w:rPr>
                <w:rFonts w:ascii="宋体" w:hAnsi="宋体" w:eastAsia="宋体"/>
                <w:sz w:val="24"/>
                <w:szCs w:val="24"/>
                <w:highlight w:val="none"/>
              </w:rPr>
            </w:pPr>
            <w:r>
              <w:rPr>
                <w:rFonts w:hint="eastAsia" w:ascii="宋体" w:hAnsi="宋体" w:eastAsia="宋体"/>
                <w:sz w:val="24"/>
                <w:szCs w:val="24"/>
                <w:highlight w:val="none"/>
              </w:rPr>
              <w:t>1、电阻：2.5Ω～3.5Ω。</w:t>
            </w:r>
            <w:r>
              <w:rPr>
                <w:rFonts w:hint="eastAsia" w:ascii="宋体" w:hAnsi="宋体" w:eastAsia="宋体"/>
                <w:sz w:val="24"/>
                <w:szCs w:val="24"/>
                <w:highlight w:val="none"/>
              </w:rPr>
              <w:br w:type="textWrapping"/>
            </w:r>
            <w:r>
              <w:rPr>
                <w:rFonts w:hint="eastAsia" w:ascii="宋体" w:hAnsi="宋体" w:eastAsia="宋体"/>
                <w:sz w:val="24"/>
                <w:szCs w:val="24"/>
                <w:highlight w:val="none"/>
              </w:rPr>
              <w:t>2、安全电流：≥0.15 A。</w:t>
            </w:r>
            <w:r>
              <w:rPr>
                <w:rFonts w:hint="eastAsia" w:ascii="宋体" w:hAnsi="宋体" w:eastAsia="宋体"/>
                <w:sz w:val="24"/>
                <w:szCs w:val="24"/>
                <w:highlight w:val="none"/>
              </w:rPr>
              <w:br w:type="textWrapping"/>
            </w:r>
            <w:r>
              <w:rPr>
                <w:rFonts w:hint="eastAsia" w:ascii="宋体" w:hAnsi="宋体" w:eastAsia="宋体"/>
                <w:sz w:val="24"/>
                <w:szCs w:val="24"/>
                <w:highlight w:val="none"/>
              </w:rPr>
              <w:t>3、启动电流：0.225 A～0.55 A。</w:t>
            </w:r>
            <w:r>
              <w:rPr>
                <w:rFonts w:hint="eastAsia" w:ascii="宋体" w:hAnsi="宋体" w:eastAsia="宋体"/>
                <w:sz w:val="24"/>
                <w:szCs w:val="24"/>
                <w:highlight w:val="none"/>
              </w:rPr>
              <w:br w:type="textWrapping"/>
            </w:r>
            <w:r>
              <w:rPr>
                <w:rFonts w:hint="eastAsia" w:ascii="宋体" w:hAnsi="宋体" w:eastAsia="宋体"/>
                <w:sz w:val="24"/>
                <w:szCs w:val="24"/>
                <w:highlight w:val="none"/>
              </w:rPr>
              <w:t>4、可靠发火电流：≥0.80A。</w:t>
            </w:r>
            <w:r>
              <w:rPr>
                <w:rFonts w:hint="eastAsia" w:ascii="宋体" w:hAnsi="宋体" w:eastAsia="宋体"/>
                <w:sz w:val="24"/>
                <w:szCs w:val="24"/>
                <w:highlight w:val="none"/>
              </w:rPr>
              <w:br w:type="textWrapping"/>
            </w:r>
            <w:r>
              <w:rPr>
                <w:rFonts w:hint="eastAsia" w:ascii="宋体" w:hAnsi="宋体" w:eastAsia="宋体"/>
                <w:sz w:val="24"/>
                <w:szCs w:val="24"/>
                <w:highlight w:val="none"/>
              </w:rPr>
              <w:t>5、实际工作电流：在0.8 A～6 A.0范围内。</w:t>
            </w:r>
            <w:r>
              <w:rPr>
                <w:rFonts w:hint="eastAsia" w:ascii="宋体" w:hAnsi="宋体" w:eastAsia="宋体"/>
                <w:sz w:val="24"/>
                <w:szCs w:val="24"/>
                <w:highlight w:val="none"/>
              </w:rPr>
              <w:br w:type="textWrapping"/>
            </w:r>
            <w:r>
              <w:rPr>
                <w:rFonts w:hint="eastAsia" w:ascii="宋体" w:hAnsi="宋体" w:eastAsia="宋体"/>
                <w:sz w:val="24"/>
                <w:szCs w:val="24"/>
                <w:highlight w:val="none"/>
              </w:rPr>
              <w:t>6、工作环境温度：-20℃～﹢55℃。</w:t>
            </w:r>
            <w:r>
              <w:rPr>
                <w:rFonts w:hint="eastAsia" w:ascii="宋体" w:hAnsi="宋体" w:eastAsia="宋体"/>
                <w:sz w:val="24"/>
                <w:szCs w:val="24"/>
                <w:highlight w:val="none"/>
              </w:rPr>
              <w:br w:type="textWrapping"/>
            </w:r>
            <w:r>
              <w:rPr>
                <w:rFonts w:hint="eastAsia" w:ascii="宋体" w:hAnsi="宋体" w:eastAsia="宋体"/>
                <w:sz w:val="24"/>
                <w:szCs w:val="24"/>
                <w:highlight w:val="none"/>
              </w:rPr>
              <w:t>7、应用于喷淋头的远程电控启动元件。</w:t>
            </w:r>
          </w:p>
        </w:tc>
        <w:tc>
          <w:tcPr>
            <w:tcW w:w="1250" w:type="dxa"/>
            <w:vAlign w:val="center"/>
          </w:tcPr>
          <w:p>
            <w:pPr>
              <w:shd w:val="clear"/>
              <w:spacing w:before="0" w:after="0" w:afterAutospacing="0" w:line="0" w:lineRule="atLeast"/>
              <w:ind w:left="0" w:right="0" w:firstLine="0"/>
              <w:rPr>
                <w:rFonts w:hint="eastAsia" w:ascii="宋体" w:hAnsi="宋体" w:eastAsia="宋体"/>
                <w:sz w:val="24"/>
                <w:szCs w:val="24"/>
                <w:highlight w:val="none"/>
              </w:rPr>
            </w:pP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个</w:t>
            </w: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140</w:t>
            </w:r>
          </w:p>
        </w:tc>
        <w:tc>
          <w:tcPr>
            <w:tcW w:w="1350"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583"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948" w:type="dxa"/>
          </w:tcPr>
          <w:p>
            <w:pPr>
              <w:shd w:val="clear"/>
              <w:spacing w:before="0" w:after="0" w:afterAutospacing="0" w:line="0" w:lineRule="atLeast"/>
              <w:ind w:left="0" w:right="0" w:firstLine="0"/>
              <w:rPr>
                <w:rFonts w:ascii="宋体" w:hAnsi="宋体" w:eastAsia="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8" w:hRule="atLeast"/>
        </w:trPr>
        <w:tc>
          <w:tcPr>
            <w:tcW w:w="652" w:type="dxa"/>
            <w:vAlign w:val="center"/>
          </w:tcPr>
          <w:p>
            <w:pPr>
              <w:shd w:val="clear"/>
              <w:spacing w:before="0" w:after="0" w:afterAutospacing="0" w:line="0" w:lineRule="atLeast"/>
              <w:ind w:left="0" w:leftChars="0" w:right="0" w:rightChars="0" w:firstLine="0" w:firstLineChars="0"/>
              <w:jc w:val="center"/>
              <w:rPr>
                <w:rFonts w:ascii="宋体" w:hAnsi="宋体" w:eastAsia="宋体" w:cs="Times New Roman"/>
                <w:sz w:val="24"/>
                <w:szCs w:val="24"/>
                <w:highlight w:val="none"/>
                <w:lang w:val="en-US" w:eastAsia="zh-CN" w:bidi="ar-SA"/>
              </w:rPr>
            </w:pPr>
            <w:r>
              <w:rPr>
                <w:rFonts w:hint="eastAsia" w:ascii="宋体" w:hAnsi="宋体" w:eastAsia="宋体"/>
                <w:sz w:val="24"/>
                <w:szCs w:val="24"/>
                <w:highlight w:val="none"/>
              </w:rPr>
              <w:t>22</w:t>
            </w:r>
          </w:p>
        </w:tc>
        <w:tc>
          <w:tcPr>
            <w:tcW w:w="1348"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消防电源</w:t>
            </w:r>
          </w:p>
        </w:tc>
        <w:tc>
          <w:tcPr>
            <w:tcW w:w="5149" w:type="dxa"/>
            <w:vAlign w:val="center"/>
          </w:tcPr>
          <w:p>
            <w:pPr>
              <w:shd w:val="clear"/>
              <w:spacing w:before="0" w:after="0" w:afterAutospacing="0" w:line="0" w:lineRule="atLeast"/>
              <w:ind w:left="0" w:right="0" w:firstLine="0"/>
              <w:rPr>
                <w:rFonts w:ascii="宋体" w:hAnsi="宋体" w:eastAsia="宋体"/>
                <w:sz w:val="24"/>
                <w:szCs w:val="24"/>
                <w:highlight w:val="none"/>
              </w:rPr>
            </w:pPr>
            <w:r>
              <w:rPr>
                <w:rFonts w:hint="eastAsia" w:ascii="宋体" w:hAnsi="宋体" w:eastAsia="宋体"/>
                <w:sz w:val="24"/>
                <w:szCs w:val="24"/>
                <w:highlight w:val="none"/>
              </w:rPr>
              <w:t>1、面板式，输出DC27V/20A,2U标准面板式，含12V/17AH备电2只。</w:t>
            </w:r>
          </w:p>
        </w:tc>
        <w:tc>
          <w:tcPr>
            <w:tcW w:w="1250" w:type="dxa"/>
            <w:vAlign w:val="center"/>
          </w:tcPr>
          <w:p>
            <w:pPr>
              <w:shd w:val="clear"/>
              <w:spacing w:before="0" w:after="0" w:afterAutospacing="0" w:line="0" w:lineRule="atLeast"/>
              <w:ind w:left="0" w:right="0" w:firstLine="0"/>
              <w:rPr>
                <w:rFonts w:hint="eastAsia" w:ascii="宋体" w:hAnsi="宋体" w:eastAsia="宋体"/>
                <w:sz w:val="24"/>
                <w:szCs w:val="24"/>
                <w:highlight w:val="none"/>
              </w:rPr>
            </w:pP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台</w:t>
            </w: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1</w:t>
            </w:r>
          </w:p>
        </w:tc>
        <w:tc>
          <w:tcPr>
            <w:tcW w:w="1350"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583"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948" w:type="dxa"/>
          </w:tcPr>
          <w:p>
            <w:pPr>
              <w:shd w:val="clear"/>
              <w:spacing w:before="0" w:after="0" w:afterAutospacing="0" w:line="0" w:lineRule="atLeast"/>
              <w:ind w:left="0" w:right="0" w:firstLine="0"/>
              <w:rPr>
                <w:rFonts w:ascii="宋体" w:hAnsi="宋体" w:eastAsia="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52" w:type="dxa"/>
            <w:vAlign w:val="center"/>
          </w:tcPr>
          <w:p>
            <w:pPr>
              <w:shd w:val="clear"/>
              <w:spacing w:before="0" w:after="0" w:afterAutospacing="0" w:line="0" w:lineRule="atLeast"/>
              <w:ind w:left="0" w:leftChars="0" w:right="0" w:rightChars="0" w:firstLine="0" w:firstLineChars="0"/>
              <w:jc w:val="center"/>
              <w:rPr>
                <w:rFonts w:ascii="宋体" w:hAnsi="宋体" w:eastAsia="宋体" w:cs="Times New Roman"/>
                <w:sz w:val="24"/>
                <w:szCs w:val="24"/>
                <w:highlight w:val="none"/>
                <w:lang w:val="en-US" w:eastAsia="zh-CN" w:bidi="ar-SA"/>
              </w:rPr>
            </w:pPr>
            <w:r>
              <w:rPr>
                <w:rFonts w:hint="eastAsia" w:ascii="宋体" w:hAnsi="宋体" w:eastAsia="宋体"/>
                <w:sz w:val="24"/>
                <w:szCs w:val="24"/>
                <w:highlight w:val="none"/>
              </w:rPr>
              <w:t>23</w:t>
            </w:r>
          </w:p>
        </w:tc>
        <w:tc>
          <w:tcPr>
            <w:tcW w:w="1348"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电线</w:t>
            </w:r>
          </w:p>
        </w:tc>
        <w:tc>
          <w:tcPr>
            <w:tcW w:w="5149" w:type="dxa"/>
            <w:vAlign w:val="center"/>
          </w:tcPr>
          <w:p>
            <w:pPr>
              <w:shd w:val="clear"/>
              <w:spacing w:before="0" w:after="0" w:afterAutospacing="0" w:line="0" w:lineRule="atLeast"/>
              <w:ind w:left="0" w:right="0" w:firstLine="0"/>
              <w:rPr>
                <w:rFonts w:ascii="宋体" w:hAnsi="宋体" w:eastAsia="宋体"/>
                <w:sz w:val="24"/>
                <w:szCs w:val="24"/>
                <w:highlight w:val="none"/>
              </w:rPr>
            </w:pPr>
            <w:r>
              <w:rPr>
                <w:rFonts w:hint="eastAsia" w:ascii="宋体" w:hAnsi="宋体" w:eastAsia="宋体"/>
                <w:sz w:val="24"/>
                <w:szCs w:val="24"/>
                <w:highlight w:val="none"/>
              </w:rPr>
              <w:t>1、规格：NH-RVS-2×1.5mm2。</w:t>
            </w:r>
          </w:p>
        </w:tc>
        <w:tc>
          <w:tcPr>
            <w:tcW w:w="1250" w:type="dxa"/>
            <w:vAlign w:val="center"/>
          </w:tcPr>
          <w:p>
            <w:pPr>
              <w:shd w:val="clear"/>
              <w:spacing w:before="0" w:after="0" w:afterAutospacing="0" w:line="0" w:lineRule="atLeast"/>
              <w:ind w:left="0" w:right="0" w:firstLine="0"/>
              <w:rPr>
                <w:rFonts w:hint="eastAsia" w:ascii="宋体" w:hAnsi="宋体" w:eastAsia="宋体"/>
                <w:sz w:val="24"/>
                <w:szCs w:val="24"/>
                <w:highlight w:val="none"/>
              </w:rPr>
            </w:pP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米</w:t>
            </w: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400</w:t>
            </w:r>
          </w:p>
        </w:tc>
        <w:tc>
          <w:tcPr>
            <w:tcW w:w="1350"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583"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948" w:type="dxa"/>
          </w:tcPr>
          <w:p>
            <w:pPr>
              <w:shd w:val="clear"/>
              <w:spacing w:before="0" w:after="0" w:afterAutospacing="0" w:line="0" w:lineRule="atLeast"/>
              <w:ind w:left="0" w:right="0" w:firstLine="0"/>
              <w:rPr>
                <w:rFonts w:ascii="宋体" w:hAnsi="宋体" w:eastAsia="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52" w:type="dxa"/>
            <w:vAlign w:val="center"/>
          </w:tcPr>
          <w:p>
            <w:pPr>
              <w:shd w:val="clear"/>
              <w:spacing w:before="0" w:after="0" w:afterAutospacing="0" w:line="0" w:lineRule="atLeast"/>
              <w:ind w:left="0" w:leftChars="0" w:right="0" w:rightChars="0" w:firstLine="0" w:firstLineChars="0"/>
              <w:jc w:val="center"/>
              <w:rPr>
                <w:rFonts w:ascii="宋体" w:hAnsi="宋体" w:eastAsia="宋体" w:cs="Times New Roman"/>
                <w:sz w:val="24"/>
                <w:szCs w:val="24"/>
                <w:highlight w:val="none"/>
                <w:lang w:val="en-US" w:eastAsia="zh-CN" w:bidi="ar-SA"/>
              </w:rPr>
            </w:pPr>
            <w:r>
              <w:rPr>
                <w:rFonts w:hint="eastAsia" w:ascii="宋体" w:hAnsi="宋体" w:eastAsia="宋体"/>
                <w:sz w:val="24"/>
                <w:szCs w:val="24"/>
                <w:highlight w:val="none"/>
              </w:rPr>
              <w:t>24</w:t>
            </w:r>
          </w:p>
        </w:tc>
        <w:tc>
          <w:tcPr>
            <w:tcW w:w="1348"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电线</w:t>
            </w:r>
          </w:p>
        </w:tc>
        <w:tc>
          <w:tcPr>
            <w:tcW w:w="5149" w:type="dxa"/>
            <w:vAlign w:val="center"/>
          </w:tcPr>
          <w:p>
            <w:pPr>
              <w:shd w:val="clear"/>
              <w:spacing w:before="0" w:after="0" w:afterAutospacing="0" w:line="0" w:lineRule="atLeast"/>
              <w:ind w:left="0" w:right="0" w:firstLine="0"/>
              <w:rPr>
                <w:rFonts w:ascii="宋体" w:hAnsi="宋体" w:eastAsia="宋体"/>
                <w:sz w:val="24"/>
                <w:szCs w:val="24"/>
                <w:highlight w:val="none"/>
              </w:rPr>
            </w:pPr>
            <w:r>
              <w:rPr>
                <w:rFonts w:hint="eastAsia" w:ascii="宋体" w:hAnsi="宋体" w:eastAsia="宋体"/>
                <w:sz w:val="24"/>
                <w:szCs w:val="24"/>
                <w:highlight w:val="none"/>
              </w:rPr>
              <w:t>1、规格：NH-BVR-2.5mm2。</w:t>
            </w:r>
          </w:p>
        </w:tc>
        <w:tc>
          <w:tcPr>
            <w:tcW w:w="1250" w:type="dxa"/>
            <w:vAlign w:val="center"/>
          </w:tcPr>
          <w:p>
            <w:pPr>
              <w:shd w:val="clear"/>
              <w:spacing w:before="0" w:after="0" w:afterAutospacing="0" w:line="0" w:lineRule="atLeast"/>
              <w:ind w:left="0" w:right="0" w:firstLine="0"/>
              <w:rPr>
                <w:rFonts w:hint="eastAsia" w:ascii="宋体" w:hAnsi="宋体" w:eastAsia="宋体"/>
                <w:sz w:val="24"/>
                <w:szCs w:val="24"/>
                <w:highlight w:val="none"/>
              </w:rPr>
            </w:pP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米</w:t>
            </w: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800</w:t>
            </w:r>
          </w:p>
        </w:tc>
        <w:tc>
          <w:tcPr>
            <w:tcW w:w="1350"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583"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948" w:type="dxa"/>
          </w:tcPr>
          <w:p>
            <w:pPr>
              <w:shd w:val="clear"/>
              <w:spacing w:before="0" w:after="0" w:afterAutospacing="0" w:line="0" w:lineRule="atLeast"/>
              <w:ind w:left="0" w:right="0" w:firstLine="0"/>
              <w:rPr>
                <w:rFonts w:ascii="宋体" w:hAnsi="宋体" w:eastAsia="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652" w:type="dxa"/>
            <w:vAlign w:val="center"/>
          </w:tcPr>
          <w:p>
            <w:pPr>
              <w:shd w:val="clear"/>
              <w:spacing w:before="0" w:after="0" w:afterAutospacing="0" w:line="0" w:lineRule="atLeast"/>
              <w:ind w:left="0" w:leftChars="0" w:right="0" w:rightChars="0" w:firstLine="0" w:firstLineChars="0"/>
              <w:jc w:val="center"/>
              <w:rPr>
                <w:rFonts w:ascii="宋体" w:hAnsi="宋体" w:eastAsia="宋体" w:cs="Times New Roman"/>
                <w:sz w:val="24"/>
                <w:szCs w:val="24"/>
                <w:highlight w:val="none"/>
                <w:lang w:val="en-US" w:eastAsia="zh-CN" w:bidi="ar-SA"/>
              </w:rPr>
            </w:pPr>
            <w:r>
              <w:rPr>
                <w:rFonts w:hint="eastAsia" w:ascii="宋体" w:hAnsi="宋体" w:eastAsia="宋体"/>
                <w:sz w:val="24"/>
                <w:szCs w:val="24"/>
                <w:highlight w:val="none"/>
              </w:rPr>
              <w:t>25</w:t>
            </w:r>
          </w:p>
        </w:tc>
        <w:tc>
          <w:tcPr>
            <w:tcW w:w="1348"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金属线管</w:t>
            </w:r>
          </w:p>
        </w:tc>
        <w:tc>
          <w:tcPr>
            <w:tcW w:w="5149" w:type="dxa"/>
            <w:vAlign w:val="center"/>
          </w:tcPr>
          <w:p>
            <w:pPr>
              <w:shd w:val="clear"/>
              <w:spacing w:before="0" w:after="0" w:afterAutospacing="0" w:line="0" w:lineRule="atLeast"/>
              <w:ind w:left="0" w:right="0" w:firstLine="0"/>
              <w:rPr>
                <w:rFonts w:ascii="宋体" w:hAnsi="宋体" w:eastAsia="宋体"/>
                <w:sz w:val="24"/>
                <w:szCs w:val="24"/>
                <w:highlight w:val="none"/>
              </w:rPr>
            </w:pPr>
            <w:r>
              <w:rPr>
                <w:rFonts w:hint="eastAsia" w:ascii="宋体" w:hAnsi="宋体" w:eastAsia="宋体"/>
                <w:sz w:val="24"/>
                <w:szCs w:val="24"/>
                <w:highlight w:val="none"/>
              </w:rPr>
              <w:t>1、规格：公称内径：DN20。</w:t>
            </w:r>
            <w:r>
              <w:rPr>
                <w:rFonts w:hint="eastAsia" w:ascii="宋体" w:hAnsi="宋体" w:eastAsia="宋体"/>
                <w:sz w:val="24"/>
                <w:szCs w:val="24"/>
                <w:highlight w:val="none"/>
              </w:rPr>
              <w:br w:type="textWrapping"/>
            </w:r>
            <w:r>
              <w:rPr>
                <w:rFonts w:hint="eastAsia" w:ascii="宋体" w:hAnsi="宋体" w:eastAsia="宋体"/>
                <w:sz w:val="24"/>
                <w:szCs w:val="24"/>
                <w:highlight w:val="none"/>
              </w:rPr>
              <w:t>2、壁厚：约1.2 mm。</w:t>
            </w:r>
          </w:p>
        </w:tc>
        <w:tc>
          <w:tcPr>
            <w:tcW w:w="1250" w:type="dxa"/>
            <w:vAlign w:val="center"/>
          </w:tcPr>
          <w:p>
            <w:pPr>
              <w:shd w:val="clear"/>
              <w:spacing w:before="0" w:after="0" w:afterAutospacing="0" w:line="0" w:lineRule="atLeast"/>
              <w:ind w:left="0" w:right="0" w:firstLine="0"/>
              <w:rPr>
                <w:rFonts w:hint="eastAsia" w:ascii="宋体" w:hAnsi="宋体" w:eastAsia="宋体"/>
                <w:sz w:val="24"/>
                <w:szCs w:val="24"/>
                <w:highlight w:val="none"/>
              </w:rPr>
            </w:pP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米</w:t>
            </w: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200</w:t>
            </w:r>
          </w:p>
        </w:tc>
        <w:tc>
          <w:tcPr>
            <w:tcW w:w="1350"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583"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948" w:type="dxa"/>
          </w:tcPr>
          <w:p>
            <w:pPr>
              <w:shd w:val="clear"/>
              <w:spacing w:before="0" w:after="0" w:afterAutospacing="0" w:line="0" w:lineRule="atLeast"/>
              <w:ind w:left="0" w:right="0" w:firstLine="0"/>
              <w:rPr>
                <w:rFonts w:ascii="宋体" w:hAnsi="宋体" w:eastAsia="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652" w:type="dxa"/>
            <w:vAlign w:val="center"/>
          </w:tcPr>
          <w:p>
            <w:pPr>
              <w:shd w:val="clear"/>
              <w:spacing w:before="0" w:after="0" w:afterAutospacing="0" w:line="0" w:lineRule="atLeast"/>
              <w:ind w:left="0" w:leftChars="0" w:right="0" w:rightChars="0" w:firstLine="0" w:firstLineChars="0"/>
              <w:jc w:val="center"/>
              <w:rPr>
                <w:rFonts w:ascii="宋体" w:hAnsi="宋体" w:eastAsia="宋体" w:cs="Times New Roman"/>
                <w:sz w:val="24"/>
                <w:szCs w:val="24"/>
                <w:highlight w:val="none"/>
                <w:lang w:val="en-US" w:eastAsia="zh-CN" w:bidi="ar-SA"/>
              </w:rPr>
            </w:pPr>
            <w:r>
              <w:rPr>
                <w:rFonts w:hint="eastAsia" w:ascii="宋体" w:hAnsi="宋体" w:eastAsia="宋体"/>
                <w:sz w:val="24"/>
                <w:szCs w:val="24"/>
                <w:highlight w:val="none"/>
              </w:rPr>
              <w:t>26</w:t>
            </w:r>
          </w:p>
        </w:tc>
        <w:tc>
          <w:tcPr>
            <w:tcW w:w="1348"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PVC水管</w:t>
            </w:r>
          </w:p>
        </w:tc>
        <w:tc>
          <w:tcPr>
            <w:tcW w:w="5149" w:type="dxa"/>
            <w:vAlign w:val="center"/>
          </w:tcPr>
          <w:p>
            <w:pPr>
              <w:shd w:val="clear"/>
              <w:spacing w:before="0" w:after="0" w:afterAutospacing="0" w:line="0" w:lineRule="atLeast"/>
              <w:ind w:left="0" w:right="0" w:firstLine="0"/>
              <w:rPr>
                <w:rFonts w:ascii="宋体" w:hAnsi="宋体" w:eastAsia="宋体"/>
                <w:sz w:val="24"/>
                <w:szCs w:val="24"/>
                <w:highlight w:val="none"/>
              </w:rPr>
            </w:pPr>
            <w:r>
              <w:rPr>
                <w:rFonts w:hint="eastAsia" w:ascii="宋体" w:hAnsi="宋体" w:eastAsia="宋体"/>
                <w:sz w:val="24"/>
                <w:szCs w:val="24"/>
                <w:highlight w:val="none"/>
              </w:rPr>
              <w:t>1、外径26.9mm。</w:t>
            </w:r>
            <w:r>
              <w:rPr>
                <w:rFonts w:hint="eastAsia" w:ascii="宋体" w:hAnsi="宋体" w:eastAsia="宋体"/>
                <w:sz w:val="24"/>
                <w:szCs w:val="24"/>
                <w:highlight w:val="none"/>
              </w:rPr>
              <w:br w:type="textWrapping"/>
            </w:r>
            <w:r>
              <w:rPr>
                <w:rFonts w:hint="eastAsia" w:ascii="宋体" w:hAnsi="宋体" w:eastAsia="宋体"/>
                <w:sz w:val="24"/>
                <w:szCs w:val="24"/>
                <w:highlight w:val="none"/>
              </w:rPr>
              <w:t>2、内径22.7mm。</w:t>
            </w:r>
            <w:r>
              <w:rPr>
                <w:rFonts w:hint="eastAsia" w:ascii="宋体" w:hAnsi="宋体" w:eastAsia="宋体"/>
                <w:sz w:val="24"/>
                <w:szCs w:val="24"/>
                <w:highlight w:val="none"/>
              </w:rPr>
              <w:br w:type="textWrapping"/>
            </w:r>
            <w:r>
              <w:rPr>
                <w:rFonts w:hint="eastAsia" w:ascii="宋体" w:hAnsi="宋体" w:eastAsia="宋体"/>
                <w:sz w:val="24"/>
                <w:szCs w:val="24"/>
                <w:highlight w:val="none"/>
              </w:rPr>
              <w:t>3、厚度2.1mm。</w:t>
            </w:r>
          </w:p>
        </w:tc>
        <w:tc>
          <w:tcPr>
            <w:tcW w:w="1250" w:type="dxa"/>
            <w:vAlign w:val="center"/>
          </w:tcPr>
          <w:p>
            <w:pPr>
              <w:shd w:val="clear"/>
              <w:spacing w:before="0" w:after="0" w:afterAutospacing="0" w:line="0" w:lineRule="atLeast"/>
              <w:ind w:left="0" w:right="0" w:firstLine="0"/>
              <w:rPr>
                <w:rFonts w:hint="eastAsia" w:ascii="宋体" w:hAnsi="宋体" w:eastAsia="宋体"/>
                <w:sz w:val="24"/>
                <w:szCs w:val="24"/>
                <w:highlight w:val="none"/>
              </w:rPr>
            </w:pP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米</w:t>
            </w: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200</w:t>
            </w:r>
          </w:p>
        </w:tc>
        <w:tc>
          <w:tcPr>
            <w:tcW w:w="1350"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583"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948" w:type="dxa"/>
          </w:tcPr>
          <w:p>
            <w:pPr>
              <w:shd w:val="clear"/>
              <w:spacing w:before="0" w:after="0" w:afterAutospacing="0" w:line="0" w:lineRule="atLeast"/>
              <w:ind w:left="0" w:right="0" w:firstLine="0"/>
              <w:rPr>
                <w:rFonts w:ascii="宋体" w:hAnsi="宋体" w:eastAsia="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8" w:hRule="atLeast"/>
        </w:trPr>
        <w:tc>
          <w:tcPr>
            <w:tcW w:w="652" w:type="dxa"/>
            <w:vAlign w:val="center"/>
          </w:tcPr>
          <w:p>
            <w:pPr>
              <w:shd w:val="clear"/>
              <w:spacing w:before="0" w:after="0" w:afterAutospacing="0" w:line="0" w:lineRule="atLeast"/>
              <w:ind w:left="0" w:leftChars="0" w:right="0" w:rightChars="0" w:firstLine="0" w:firstLineChars="0"/>
              <w:jc w:val="center"/>
              <w:rPr>
                <w:rFonts w:ascii="宋体" w:hAnsi="宋体" w:eastAsia="宋体" w:cs="Times New Roman"/>
                <w:sz w:val="24"/>
                <w:szCs w:val="24"/>
                <w:highlight w:val="none"/>
                <w:lang w:val="en-US" w:eastAsia="zh-CN" w:bidi="ar-SA"/>
              </w:rPr>
            </w:pPr>
            <w:r>
              <w:rPr>
                <w:rFonts w:hint="eastAsia" w:ascii="宋体" w:hAnsi="宋体" w:eastAsia="宋体"/>
                <w:sz w:val="24"/>
                <w:szCs w:val="24"/>
                <w:highlight w:val="none"/>
              </w:rPr>
              <w:t>27</w:t>
            </w:r>
          </w:p>
        </w:tc>
        <w:tc>
          <w:tcPr>
            <w:tcW w:w="1348"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热成像感温火灾探测器</w:t>
            </w:r>
          </w:p>
        </w:tc>
        <w:tc>
          <w:tcPr>
            <w:tcW w:w="5149" w:type="dxa"/>
            <w:vAlign w:val="center"/>
          </w:tcPr>
          <w:p>
            <w:pPr>
              <w:shd w:val="clear"/>
              <w:spacing w:before="0" w:after="0" w:afterAutospacing="0" w:line="0" w:lineRule="atLeast"/>
              <w:ind w:left="0" w:right="0" w:firstLine="0"/>
              <w:rPr>
                <w:rFonts w:ascii="宋体" w:hAnsi="宋体" w:eastAsia="宋体"/>
                <w:sz w:val="24"/>
                <w:szCs w:val="24"/>
                <w:highlight w:val="none"/>
              </w:rPr>
            </w:pPr>
            <w:r>
              <w:rPr>
                <w:rFonts w:hint="eastAsia" w:ascii="宋体" w:hAnsi="宋体" w:eastAsia="宋体"/>
                <w:sz w:val="24"/>
                <w:szCs w:val="24"/>
                <w:highlight w:val="none"/>
              </w:rPr>
              <w:t>1、最大图像尺寸 2560 × 1440</w:t>
            </w:r>
            <w:r>
              <w:rPr>
                <w:rFonts w:ascii="宋体" w:hAnsi="宋体" w:eastAsia="宋体"/>
                <w:sz w:val="24"/>
                <w:szCs w:val="24"/>
                <w:highlight w:val="none"/>
              </w:rPr>
              <w:br w:type="textWrapping"/>
            </w:r>
            <w:r>
              <w:rPr>
                <w:rFonts w:hint="eastAsia" w:ascii="宋体" w:hAnsi="宋体" w:eastAsia="宋体"/>
                <w:sz w:val="24"/>
                <w:szCs w:val="24"/>
                <w:highlight w:val="none"/>
              </w:rPr>
              <w:t>2、传感器类型 1/2.7" CMOS</w:t>
            </w:r>
            <w:r>
              <w:rPr>
                <w:rFonts w:ascii="宋体" w:hAnsi="宋体" w:eastAsia="宋体"/>
                <w:sz w:val="24"/>
                <w:szCs w:val="24"/>
                <w:highlight w:val="none"/>
              </w:rPr>
              <w:br w:type="textWrapping"/>
            </w:r>
            <w:r>
              <w:rPr>
                <w:rFonts w:hint="eastAsia" w:ascii="宋体" w:hAnsi="宋体" w:eastAsia="宋体"/>
                <w:sz w:val="24"/>
                <w:szCs w:val="24"/>
                <w:highlight w:val="none"/>
              </w:rPr>
              <w:t>3、可见光镜头 4 mm,F1.6</w:t>
            </w:r>
            <w:r>
              <w:rPr>
                <w:rFonts w:ascii="宋体" w:hAnsi="宋体" w:eastAsia="宋体"/>
                <w:sz w:val="24"/>
                <w:szCs w:val="24"/>
                <w:highlight w:val="none"/>
              </w:rPr>
              <w:br w:type="textWrapping"/>
            </w:r>
            <w:r>
              <w:rPr>
                <w:rFonts w:hint="eastAsia" w:ascii="宋体" w:hAnsi="宋体" w:eastAsia="宋体"/>
                <w:sz w:val="24"/>
                <w:szCs w:val="24"/>
                <w:highlight w:val="none"/>
              </w:rPr>
              <w:t>4、可见光视场角 86°×44°</w:t>
            </w:r>
            <w:r>
              <w:rPr>
                <w:rFonts w:ascii="宋体" w:hAnsi="宋体" w:eastAsia="宋体"/>
                <w:sz w:val="24"/>
                <w:szCs w:val="24"/>
                <w:highlight w:val="none"/>
              </w:rPr>
              <w:br w:type="textWrapping"/>
            </w:r>
            <w:r>
              <w:rPr>
                <w:rFonts w:hint="eastAsia" w:ascii="宋体" w:hAnsi="宋体" w:eastAsia="宋体"/>
                <w:sz w:val="24"/>
                <w:szCs w:val="24"/>
                <w:highlight w:val="none"/>
              </w:rPr>
              <w:t>5、热成像：</w:t>
            </w:r>
            <w:r>
              <w:rPr>
                <w:rFonts w:ascii="宋体" w:hAnsi="宋体" w:eastAsia="宋体"/>
                <w:sz w:val="24"/>
                <w:szCs w:val="24"/>
                <w:highlight w:val="none"/>
              </w:rPr>
              <w:br w:type="textWrapping"/>
            </w:r>
            <w:r>
              <w:rPr>
                <w:rFonts w:hint="eastAsia" w:ascii="宋体" w:hAnsi="宋体" w:eastAsia="宋体"/>
                <w:sz w:val="24"/>
                <w:szCs w:val="24"/>
                <w:highlight w:val="none"/>
              </w:rPr>
              <w:t>氧化钒（VOx）微测辐射热计</w:t>
            </w:r>
            <w:r>
              <w:rPr>
                <w:rFonts w:ascii="宋体" w:hAnsi="宋体" w:eastAsia="宋体"/>
                <w:sz w:val="24"/>
                <w:szCs w:val="24"/>
                <w:highlight w:val="none"/>
              </w:rPr>
              <w:br w:type="textWrapping"/>
            </w:r>
            <w:r>
              <w:rPr>
                <w:rFonts w:hint="eastAsia" w:ascii="宋体" w:hAnsi="宋体" w:eastAsia="宋体"/>
                <w:sz w:val="24"/>
                <w:szCs w:val="24"/>
                <w:highlight w:val="none"/>
              </w:rPr>
              <w:t>最大图像尺寸 160 × 120</w:t>
            </w:r>
            <w:r>
              <w:rPr>
                <w:rFonts w:ascii="宋体" w:hAnsi="宋体" w:eastAsia="宋体"/>
                <w:sz w:val="24"/>
                <w:szCs w:val="24"/>
                <w:highlight w:val="none"/>
              </w:rPr>
              <w:br w:type="textWrapping"/>
            </w:r>
            <w:r>
              <w:rPr>
                <w:rFonts w:hint="eastAsia" w:ascii="宋体" w:hAnsi="宋体" w:eastAsia="宋体"/>
                <w:sz w:val="24"/>
                <w:szCs w:val="24"/>
                <w:highlight w:val="none"/>
              </w:rPr>
              <w:t>像元尺寸 17 μm</w:t>
            </w:r>
            <w:r>
              <w:rPr>
                <w:rFonts w:ascii="宋体" w:hAnsi="宋体" w:eastAsia="宋体"/>
                <w:sz w:val="24"/>
                <w:szCs w:val="24"/>
                <w:highlight w:val="none"/>
              </w:rPr>
              <w:br w:type="textWrapping"/>
            </w:r>
            <w:r>
              <w:rPr>
                <w:rFonts w:hint="eastAsia" w:ascii="宋体" w:hAnsi="宋体" w:eastAsia="宋体"/>
                <w:sz w:val="24"/>
                <w:szCs w:val="24"/>
                <w:highlight w:val="none"/>
              </w:rPr>
              <w:t>响应波段 8~14 μm</w:t>
            </w:r>
            <w:r>
              <w:rPr>
                <w:rFonts w:ascii="宋体" w:hAnsi="宋体" w:eastAsia="宋体"/>
                <w:sz w:val="24"/>
                <w:szCs w:val="24"/>
                <w:highlight w:val="none"/>
              </w:rPr>
              <w:br w:type="textWrapping"/>
            </w:r>
            <w:r>
              <w:rPr>
                <w:rFonts w:hint="eastAsia" w:ascii="宋体" w:hAnsi="宋体" w:eastAsia="宋体"/>
                <w:sz w:val="24"/>
                <w:szCs w:val="24"/>
                <w:highlight w:val="none"/>
              </w:rPr>
              <w:t>热成像镜头 3 mm</w:t>
            </w:r>
            <w:r>
              <w:rPr>
                <w:rFonts w:ascii="宋体" w:hAnsi="宋体" w:eastAsia="宋体"/>
                <w:sz w:val="24"/>
                <w:szCs w:val="24"/>
                <w:highlight w:val="none"/>
              </w:rPr>
              <w:br w:type="textWrapping"/>
            </w:r>
            <w:r>
              <w:rPr>
                <w:rFonts w:hint="eastAsia" w:ascii="宋体" w:hAnsi="宋体" w:eastAsia="宋体"/>
                <w:sz w:val="24"/>
                <w:szCs w:val="24"/>
                <w:highlight w:val="none"/>
              </w:rPr>
              <w:t>热成像视场角 50°×37.2°</w:t>
            </w:r>
            <w:r>
              <w:rPr>
                <w:rFonts w:ascii="宋体" w:hAnsi="宋体" w:eastAsia="宋体"/>
                <w:sz w:val="24"/>
                <w:szCs w:val="24"/>
                <w:highlight w:val="none"/>
              </w:rPr>
              <w:br w:type="textWrapping"/>
            </w:r>
            <w:r>
              <w:rPr>
                <w:rFonts w:hint="eastAsia" w:ascii="宋体" w:hAnsi="宋体" w:eastAsia="宋体"/>
                <w:sz w:val="24"/>
                <w:szCs w:val="24"/>
                <w:highlight w:val="none"/>
              </w:rPr>
              <w:t>伪彩模式 支持白热、黑热、融合1、彩虹、融合2、铁红1、铁红2等15种模式</w:t>
            </w:r>
            <w:r>
              <w:rPr>
                <w:rFonts w:ascii="宋体" w:hAnsi="宋体" w:eastAsia="宋体"/>
                <w:sz w:val="24"/>
                <w:szCs w:val="24"/>
                <w:highlight w:val="none"/>
              </w:rPr>
              <w:br w:type="textWrapping"/>
            </w:r>
            <w:r>
              <w:rPr>
                <w:rFonts w:hint="eastAsia" w:ascii="宋体" w:hAnsi="宋体" w:eastAsia="宋体"/>
                <w:sz w:val="24"/>
                <w:szCs w:val="24"/>
                <w:highlight w:val="none"/>
              </w:rPr>
              <w:t>6、测温范围 0 °C~400 °C</w:t>
            </w:r>
            <w:r>
              <w:rPr>
                <w:rFonts w:ascii="宋体" w:hAnsi="宋体" w:eastAsia="宋体"/>
                <w:sz w:val="24"/>
                <w:szCs w:val="24"/>
                <w:highlight w:val="none"/>
              </w:rPr>
              <w:br w:type="textWrapping"/>
            </w:r>
            <w:r>
              <w:rPr>
                <w:rFonts w:hint="eastAsia" w:ascii="宋体" w:hAnsi="宋体" w:eastAsia="宋体"/>
                <w:sz w:val="24"/>
                <w:szCs w:val="24"/>
                <w:highlight w:val="none"/>
              </w:rPr>
              <w:t>7、测温精度 ±2℃或读数的±2%（取最大值）（距离摄像机0.3~3.3米范围内）</w:t>
            </w:r>
            <w:r>
              <w:rPr>
                <w:rFonts w:ascii="宋体" w:hAnsi="宋体" w:eastAsia="宋体"/>
                <w:sz w:val="24"/>
                <w:szCs w:val="24"/>
                <w:highlight w:val="none"/>
              </w:rPr>
              <w:br w:type="textWrapping"/>
            </w:r>
            <w:r>
              <w:rPr>
                <w:rFonts w:hint="eastAsia" w:ascii="宋体" w:hAnsi="宋体" w:eastAsia="宋体"/>
                <w:sz w:val="24"/>
                <w:szCs w:val="24"/>
                <w:highlight w:val="none"/>
              </w:rPr>
              <w:t>8、NETD（噪声等效温差） ≤50 mK(@25 °C,F#1.0)功能</w:t>
            </w:r>
            <w:r>
              <w:rPr>
                <w:rFonts w:ascii="宋体" w:hAnsi="宋体" w:eastAsia="宋体"/>
                <w:sz w:val="24"/>
                <w:szCs w:val="24"/>
                <w:highlight w:val="none"/>
              </w:rPr>
              <w:br w:type="textWrapping"/>
            </w:r>
            <w:r>
              <w:rPr>
                <w:rFonts w:hint="eastAsia" w:ascii="宋体" w:hAnsi="宋体" w:eastAsia="宋体"/>
                <w:sz w:val="24"/>
                <w:szCs w:val="24"/>
                <w:highlight w:val="none"/>
              </w:rPr>
              <w:t>9、支持火焰检测，覆盖范围50m（0.1㎡火盘）10、支持二合一复核模式，实现高精度火焰检测</w:t>
            </w:r>
            <w:r>
              <w:rPr>
                <w:rFonts w:ascii="宋体" w:hAnsi="宋体" w:eastAsia="宋体"/>
                <w:sz w:val="24"/>
                <w:szCs w:val="24"/>
                <w:highlight w:val="none"/>
              </w:rPr>
              <w:br w:type="textWrapping"/>
            </w:r>
            <w:r>
              <w:rPr>
                <w:rFonts w:hint="eastAsia" w:ascii="宋体" w:hAnsi="宋体" w:eastAsia="宋体"/>
                <w:sz w:val="24"/>
                <w:szCs w:val="24"/>
                <w:highlight w:val="none"/>
              </w:rPr>
              <w:t>11、支持烟雾检测</w:t>
            </w:r>
            <w:r>
              <w:rPr>
                <w:rFonts w:ascii="宋体" w:hAnsi="宋体" w:eastAsia="宋体"/>
                <w:sz w:val="24"/>
                <w:szCs w:val="24"/>
                <w:highlight w:val="none"/>
              </w:rPr>
              <w:br w:type="textWrapping"/>
            </w:r>
            <w:r>
              <w:rPr>
                <w:rFonts w:hint="eastAsia" w:ascii="宋体" w:hAnsi="宋体" w:eastAsia="宋体"/>
                <w:sz w:val="24"/>
                <w:szCs w:val="24"/>
                <w:highlight w:val="none"/>
              </w:rPr>
              <w:t>12、支持温度异常（高温，温升）检测</w:t>
            </w:r>
          </w:p>
        </w:tc>
        <w:tc>
          <w:tcPr>
            <w:tcW w:w="1250" w:type="dxa"/>
            <w:vAlign w:val="center"/>
          </w:tcPr>
          <w:p>
            <w:pPr>
              <w:shd w:val="clear"/>
              <w:spacing w:before="0" w:after="0" w:afterAutospacing="0" w:line="0" w:lineRule="atLeast"/>
              <w:ind w:left="0" w:right="0" w:firstLine="0"/>
              <w:rPr>
                <w:rFonts w:hint="eastAsia" w:ascii="宋体" w:hAnsi="宋体" w:eastAsia="宋体"/>
                <w:sz w:val="24"/>
                <w:szCs w:val="24"/>
                <w:highlight w:val="none"/>
              </w:rPr>
            </w:pP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台</w:t>
            </w: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6</w:t>
            </w:r>
          </w:p>
        </w:tc>
        <w:tc>
          <w:tcPr>
            <w:tcW w:w="1350"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583"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948" w:type="dxa"/>
          </w:tcPr>
          <w:p>
            <w:pPr>
              <w:shd w:val="clear"/>
              <w:spacing w:before="0" w:after="0" w:afterAutospacing="0" w:line="0" w:lineRule="atLeast"/>
              <w:ind w:left="0" w:right="0" w:firstLine="0"/>
              <w:rPr>
                <w:rFonts w:ascii="宋体" w:hAnsi="宋体" w:eastAsia="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6" w:hRule="atLeast"/>
        </w:trPr>
        <w:tc>
          <w:tcPr>
            <w:tcW w:w="652" w:type="dxa"/>
            <w:vAlign w:val="center"/>
          </w:tcPr>
          <w:p>
            <w:pPr>
              <w:shd w:val="clear"/>
              <w:spacing w:before="0" w:after="0" w:afterAutospacing="0" w:line="0" w:lineRule="atLeast"/>
              <w:ind w:left="0" w:leftChars="0" w:right="0" w:rightChars="0" w:firstLine="0" w:firstLineChars="0"/>
              <w:jc w:val="center"/>
              <w:rPr>
                <w:rFonts w:ascii="宋体" w:hAnsi="宋体" w:eastAsia="宋体" w:cs="Times New Roman"/>
                <w:sz w:val="24"/>
                <w:szCs w:val="24"/>
                <w:highlight w:val="none"/>
                <w:lang w:val="en-US" w:eastAsia="zh-CN" w:bidi="ar-SA"/>
              </w:rPr>
            </w:pPr>
            <w:r>
              <w:rPr>
                <w:rFonts w:hint="eastAsia" w:ascii="宋体" w:hAnsi="宋体" w:eastAsia="宋体"/>
                <w:sz w:val="24"/>
                <w:szCs w:val="24"/>
                <w:highlight w:val="none"/>
              </w:rPr>
              <w:t>28</w:t>
            </w:r>
          </w:p>
        </w:tc>
        <w:tc>
          <w:tcPr>
            <w:tcW w:w="1348"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热成像报警平台</w:t>
            </w:r>
          </w:p>
        </w:tc>
        <w:tc>
          <w:tcPr>
            <w:tcW w:w="5149" w:type="dxa"/>
            <w:vAlign w:val="center"/>
          </w:tcPr>
          <w:p>
            <w:pPr>
              <w:shd w:val="clear"/>
              <w:spacing w:before="0" w:after="0" w:afterAutospacing="0" w:line="0" w:lineRule="atLeast"/>
              <w:ind w:left="0" w:right="0" w:firstLine="0"/>
              <w:rPr>
                <w:rFonts w:ascii="宋体" w:hAnsi="宋体" w:eastAsia="宋体"/>
                <w:sz w:val="24"/>
                <w:szCs w:val="24"/>
                <w:highlight w:val="none"/>
              </w:rPr>
            </w:pPr>
            <w:r>
              <w:rPr>
                <w:rFonts w:hint="eastAsia" w:ascii="宋体" w:hAnsi="宋体" w:eastAsia="宋体"/>
                <w:sz w:val="24"/>
                <w:szCs w:val="24"/>
                <w:highlight w:val="none"/>
              </w:rPr>
              <w:t>1、系统管理，为Infovision FireProtection智慧消防综合管理平台的基础应用，包含人员及组织管理、用户管理、安保区域管理、设备管理、图上监控、事件联动等功能。</w:t>
            </w:r>
            <w:r>
              <w:rPr>
                <w:rFonts w:ascii="宋体" w:hAnsi="宋体" w:eastAsia="宋体"/>
                <w:sz w:val="24"/>
                <w:szCs w:val="24"/>
                <w:highlight w:val="none"/>
              </w:rPr>
              <w:br w:type="textWrapping"/>
            </w:r>
            <w:r>
              <w:rPr>
                <w:rFonts w:hint="eastAsia" w:ascii="宋体" w:hAnsi="宋体" w:eastAsia="宋体"/>
                <w:sz w:val="24"/>
                <w:szCs w:val="24"/>
                <w:highlight w:val="none"/>
              </w:rPr>
              <w:t>2、消控工作台，为消控室工作人员提供一站式工作界面，可以接收实时报警信息、隐患信息并进行处理。</w:t>
            </w:r>
            <w:r>
              <w:rPr>
                <w:rFonts w:ascii="宋体" w:hAnsi="宋体" w:eastAsia="宋体"/>
                <w:sz w:val="24"/>
                <w:szCs w:val="24"/>
                <w:highlight w:val="none"/>
              </w:rPr>
              <w:br w:type="textWrapping"/>
            </w:r>
            <w:r>
              <w:rPr>
                <w:rFonts w:hint="eastAsia" w:ascii="宋体" w:hAnsi="宋体" w:eastAsia="宋体"/>
                <w:sz w:val="24"/>
                <w:szCs w:val="24"/>
                <w:highlight w:val="none"/>
              </w:rPr>
              <w:t>3、消防网管，通过对接入平台的消防设备进行在线巡检，并通过设备画像进行分析，快速定位设备故障原因。</w:t>
            </w:r>
          </w:p>
        </w:tc>
        <w:tc>
          <w:tcPr>
            <w:tcW w:w="1250" w:type="dxa"/>
            <w:vAlign w:val="center"/>
          </w:tcPr>
          <w:p>
            <w:pPr>
              <w:shd w:val="clear"/>
              <w:spacing w:before="0" w:after="0" w:afterAutospacing="0" w:line="0" w:lineRule="atLeast"/>
              <w:ind w:left="0" w:leftChars="0" w:right="0" w:rightChars="0" w:firstLine="0" w:firstLineChars="0"/>
              <w:rPr>
                <w:rFonts w:hint="eastAsia" w:cs="Times New Roman" w:asciiTheme="minorEastAsia" w:hAnsiTheme="minorEastAsia" w:eastAsiaTheme="minorEastAsia"/>
                <w:sz w:val="24"/>
                <w:szCs w:val="24"/>
                <w:highlight w:val="none"/>
                <w:lang w:val="en-US" w:eastAsia="zh-CN" w:bidi="ar-SA"/>
              </w:rPr>
            </w:pPr>
            <w:r>
              <w:rPr>
                <w:rFonts w:hint="eastAsia" w:cs="Times New Roman" w:asciiTheme="minorEastAsia" w:hAnsiTheme="minorEastAsia" w:eastAsiaTheme="minorEastAsia"/>
                <w:sz w:val="24"/>
                <w:szCs w:val="24"/>
                <w:highlight w:val="none"/>
                <w:lang w:val="en-US" w:eastAsia="zh-CN"/>
              </w:rPr>
              <w:t>海康威视、大华、科达</w:t>
            </w: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套</w:t>
            </w: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1</w:t>
            </w:r>
          </w:p>
        </w:tc>
        <w:tc>
          <w:tcPr>
            <w:tcW w:w="1350" w:type="dxa"/>
            <w:vAlign w:val="center"/>
          </w:tcPr>
          <w:p>
            <w:pPr>
              <w:shd w:val="clear"/>
              <w:spacing w:before="0" w:after="0" w:afterAutospacing="0" w:line="0" w:lineRule="atLeast"/>
              <w:ind w:left="0" w:leftChars="0" w:right="0" w:rightChars="0" w:firstLine="0" w:firstLineChars="0"/>
              <w:rPr>
                <w:rFonts w:hint="eastAsia" w:cs="Times New Roman" w:asciiTheme="minorEastAsia" w:hAnsiTheme="minorEastAsia" w:eastAsiaTheme="minorEastAsia"/>
                <w:sz w:val="24"/>
                <w:szCs w:val="24"/>
                <w:highlight w:val="none"/>
                <w:lang w:val="en-US" w:eastAsia="zh-CN" w:bidi="ar-SA"/>
              </w:rPr>
            </w:pPr>
          </w:p>
        </w:tc>
        <w:tc>
          <w:tcPr>
            <w:tcW w:w="1583"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948" w:type="dxa"/>
          </w:tcPr>
          <w:p>
            <w:pPr>
              <w:shd w:val="clear"/>
              <w:spacing w:before="0" w:after="0" w:afterAutospacing="0" w:line="0" w:lineRule="atLeast"/>
              <w:ind w:left="0" w:right="0" w:firstLine="0"/>
              <w:rPr>
                <w:rFonts w:ascii="宋体" w:hAnsi="宋体" w:eastAsia="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652" w:type="dxa"/>
            <w:vAlign w:val="center"/>
          </w:tcPr>
          <w:p>
            <w:pPr>
              <w:shd w:val="clear"/>
              <w:spacing w:before="0" w:after="0" w:afterAutospacing="0" w:line="0" w:lineRule="atLeast"/>
              <w:ind w:left="0" w:leftChars="0" w:right="0" w:rightChars="0" w:firstLine="0" w:firstLineChars="0"/>
              <w:jc w:val="center"/>
              <w:rPr>
                <w:rFonts w:ascii="宋体" w:hAnsi="宋体" w:eastAsia="宋体" w:cs="Times New Roman"/>
                <w:sz w:val="24"/>
                <w:szCs w:val="24"/>
                <w:highlight w:val="none"/>
                <w:lang w:val="en-US" w:eastAsia="zh-CN" w:bidi="ar-SA"/>
              </w:rPr>
            </w:pPr>
            <w:r>
              <w:rPr>
                <w:rFonts w:hint="eastAsia" w:ascii="宋体" w:hAnsi="宋体" w:eastAsia="宋体"/>
                <w:sz w:val="24"/>
                <w:szCs w:val="24"/>
                <w:highlight w:val="none"/>
              </w:rPr>
              <w:t>29</w:t>
            </w:r>
          </w:p>
        </w:tc>
        <w:tc>
          <w:tcPr>
            <w:tcW w:w="1348"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服务器</w:t>
            </w:r>
          </w:p>
        </w:tc>
        <w:tc>
          <w:tcPr>
            <w:tcW w:w="5149" w:type="dxa"/>
            <w:vAlign w:val="center"/>
          </w:tcPr>
          <w:p>
            <w:pPr>
              <w:shd w:val="clear"/>
              <w:spacing w:before="0" w:after="0" w:afterAutospacing="0" w:line="0" w:lineRule="atLeast"/>
              <w:ind w:left="0" w:right="0" w:firstLine="0"/>
              <w:rPr>
                <w:rFonts w:ascii="宋体" w:hAnsi="宋体" w:eastAsia="宋体"/>
                <w:sz w:val="24"/>
                <w:szCs w:val="24"/>
                <w:highlight w:val="none"/>
              </w:rPr>
            </w:pPr>
            <w:r>
              <w:rPr>
                <w:rFonts w:hint="eastAsia" w:ascii="宋体" w:hAnsi="宋体" w:eastAsia="宋体"/>
                <w:sz w:val="24"/>
                <w:szCs w:val="24"/>
                <w:highlight w:val="none"/>
              </w:rPr>
              <w:t>1、1U单路标准机架式服务器</w:t>
            </w:r>
            <w:r>
              <w:rPr>
                <w:rFonts w:ascii="宋体" w:hAnsi="宋体" w:eastAsia="宋体"/>
                <w:sz w:val="24"/>
                <w:szCs w:val="24"/>
                <w:highlight w:val="none"/>
              </w:rPr>
              <w:br w:type="textWrapping"/>
            </w:r>
            <w:r>
              <w:rPr>
                <w:rFonts w:hint="eastAsia" w:ascii="宋体" w:hAnsi="宋体" w:eastAsia="宋体"/>
                <w:sz w:val="24"/>
                <w:szCs w:val="24"/>
                <w:highlight w:val="none"/>
              </w:rPr>
              <w:t>2、CPU：配置1颗 x86架构HYGON 3250处理器，核数8核，频率2.8GHz</w:t>
            </w:r>
            <w:r>
              <w:rPr>
                <w:rFonts w:ascii="宋体" w:hAnsi="宋体" w:eastAsia="宋体"/>
                <w:sz w:val="24"/>
                <w:szCs w:val="24"/>
                <w:highlight w:val="none"/>
              </w:rPr>
              <w:br w:type="textWrapping"/>
            </w:r>
            <w:r>
              <w:rPr>
                <w:rFonts w:hint="eastAsia" w:ascii="宋体" w:hAnsi="宋体" w:eastAsia="宋体"/>
                <w:sz w:val="24"/>
                <w:szCs w:val="24"/>
                <w:highlight w:val="none"/>
              </w:rPr>
              <w:t>3、内存：配置32G DDR4，4根内存插槽，最大支持扩展至128GB</w:t>
            </w:r>
            <w:r>
              <w:rPr>
                <w:rFonts w:ascii="宋体" w:hAnsi="宋体" w:eastAsia="宋体"/>
                <w:sz w:val="24"/>
                <w:szCs w:val="24"/>
                <w:highlight w:val="none"/>
              </w:rPr>
              <w:br w:type="textWrapping"/>
            </w:r>
            <w:r>
              <w:rPr>
                <w:rFonts w:hint="eastAsia" w:ascii="宋体" w:hAnsi="宋体" w:eastAsia="宋体"/>
                <w:sz w:val="24"/>
                <w:szCs w:val="24"/>
                <w:highlight w:val="none"/>
              </w:rPr>
              <w:t>4、硬盘：配置1块960G SSD盘，最高支持4块3.5寸（兼容2.5寸）热插拔SATA/SAS硬盘</w:t>
            </w:r>
            <w:r>
              <w:rPr>
                <w:rFonts w:ascii="宋体" w:hAnsi="宋体" w:eastAsia="宋体"/>
                <w:sz w:val="24"/>
                <w:szCs w:val="24"/>
                <w:highlight w:val="none"/>
              </w:rPr>
              <w:br w:type="textWrapping"/>
            </w:r>
            <w:r>
              <w:rPr>
                <w:rFonts w:hint="eastAsia" w:ascii="宋体" w:hAnsi="宋体" w:eastAsia="宋体"/>
                <w:sz w:val="24"/>
                <w:szCs w:val="24"/>
                <w:highlight w:val="none"/>
              </w:rPr>
              <w:t>5、PCIE扩展：支持2个PCIE插槽</w:t>
            </w:r>
            <w:r>
              <w:rPr>
                <w:rFonts w:ascii="宋体" w:hAnsi="宋体" w:eastAsia="宋体"/>
                <w:sz w:val="24"/>
                <w:szCs w:val="24"/>
                <w:highlight w:val="none"/>
              </w:rPr>
              <w:br w:type="textWrapping"/>
            </w:r>
            <w:r>
              <w:rPr>
                <w:rFonts w:hint="eastAsia" w:ascii="宋体" w:hAnsi="宋体" w:eastAsia="宋体"/>
                <w:sz w:val="24"/>
                <w:szCs w:val="24"/>
                <w:highlight w:val="none"/>
              </w:rPr>
              <w:t>6、网口：板载2个千兆电口，支持选配10GbE、25GbE SFP+等多种网络接口</w:t>
            </w:r>
            <w:r>
              <w:rPr>
                <w:rFonts w:ascii="宋体" w:hAnsi="宋体" w:eastAsia="宋体"/>
                <w:sz w:val="24"/>
                <w:szCs w:val="24"/>
                <w:highlight w:val="none"/>
              </w:rPr>
              <w:br w:type="textWrapping"/>
            </w:r>
            <w:r>
              <w:rPr>
                <w:rFonts w:hint="eastAsia" w:ascii="宋体" w:hAnsi="宋体" w:eastAsia="宋体"/>
                <w:sz w:val="24"/>
                <w:szCs w:val="24"/>
                <w:highlight w:val="none"/>
              </w:rPr>
              <w:t>7、其他接口：1个千兆RJ-45管理接口，4个USB 3.0接口，2个位于机箱后部，2个位于机箱前部；1个VGA口，位于机箱后部</w:t>
            </w:r>
            <w:r>
              <w:rPr>
                <w:rFonts w:ascii="宋体" w:hAnsi="宋体" w:eastAsia="宋体"/>
                <w:sz w:val="24"/>
                <w:szCs w:val="24"/>
                <w:highlight w:val="none"/>
              </w:rPr>
              <w:br w:type="textWrapping"/>
            </w:r>
            <w:r>
              <w:rPr>
                <w:rFonts w:hint="eastAsia" w:ascii="宋体" w:hAnsi="宋体" w:eastAsia="宋体"/>
                <w:sz w:val="24"/>
                <w:szCs w:val="24"/>
                <w:highlight w:val="none"/>
              </w:rPr>
              <w:t>8、电源：配置350W高效单电源</w:t>
            </w:r>
          </w:p>
        </w:tc>
        <w:tc>
          <w:tcPr>
            <w:tcW w:w="1250" w:type="dxa"/>
            <w:vAlign w:val="center"/>
          </w:tcPr>
          <w:p>
            <w:pPr>
              <w:shd w:val="clear"/>
              <w:spacing w:before="0" w:after="0" w:afterAutospacing="0" w:line="0" w:lineRule="atLeast"/>
              <w:ind w:left="0" w:leftChars="0" w:right="0" w:rightChars="0" w:firstLine="0" w:firstLineChars="0"/>
              <w:rPr>
                <w:rFonts w:hint="eastAsia" w:cs="Times New Roman" w:asciiTheme="minorEastAsia" w:hAnsiTheme="minorEastAsia" w:eastAsiaTheme="minorEastAsia"/>
                <w:sz w:val="24"/>
                <w:szCs w:val="24"/>
                <w:highlight w:val="none"/>
                <w:lang w:val="en-US" w:eastAsia="zh-CN" w:bidi="ar-SA"/>
              </w:rPr>
            </w:pPr>
            <w:r>
              <w:rPr>
                <w:rFonts w:hint="eastAsia" w:cs="Times New Roman" w:asciiTheme="minorEastAsia" w:hAnsiTheme="minorEastAsia" w:eastAsiaTheme="minorEastAsia"/>
                <w:sz w:val="24"/>
                <w:szCs w:val="24"/>
                <w:highlight w:val="none"/>
                <w:lang w:val="en-US" w:eastAsia="zh-CN"/>
              </w:rPr>
              <w:t>戴尔、海康威视、大华、科达</w:t>
            </w: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台</w:t>
            </w: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1</w:t>
            </w:r>
          </w:p>
        </w:tc>
        <w:tc>
          <w:tcPr>
            <w:tcW w:w="1350" w:type="dxa"/>
            <w:vAlign w:val="center"/>
          </w:tcPr>
          <w:p>
            <w:pPr>
              <w:shd w:val="clear"/>
              <w:spacing w:before="0" w:after="0" w:afterAutospacing="0" w:line="0" w:lineRule="atLeast"/>
              <w:ind w:left="0" w:leftChars="0" w:right="0" w:rightChars="0" w:firstLine="0" w:firstLineChars="0"/>
              <w:rPr>
                <w:rFonts w:hint="eastAsia" w:cs="Times New Roman" w:asciiTheme="minorEastAsia" w:hAnsiTheme="minorEastAsia" w:eastAsiaTheme="minorEastAsia"/>
                <w:sz w:val="24"/>
                <w:szCs w:val="24"/>
                <w:highlight w:val="none"/>
                <w:lang w:val="en-US" w:eastAsia="zh-CN" w:bidi="ar-SA"/>
              </w:rPr>
            </w:pPr>
          </w:p>
        </w:tc>
        <w:tc>
          <w:tcPr>
            <w:tcW w:w="1583"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948" w:type="dxa"/>
          </w:tcPr>
          <w:p>
            <w:pPr>
              <w:shd w:val="clear"/>
              <w:spacing w:before="0" w:after="0" w:afterAutospacing="0" w:line="0" w:lineRule="atLeast"/>
              <w:ind w:left="0" w:right="0" w:firstLine="0"/>
              <w:rPr>
                <w:rFonts w:ascii="宋体" w:hAnsi="宋体" w:eastAsia="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2" w:hRule="atLeast"/>
        </w:trPr>
        <w:tc>
          <w:tcPr>
            <w:tcW w:w="652" w:type="dxa"/>
            <w:vAlign w:val="center"/>
          </w:tcPr>
          <w:p>
            <w:pPr>
              <w:shd w:val="clear"/>
              <w:spacing w:before="0" w:after="0" w:afterAutospacing="0" w:line="0" w:lineRule="atLeast"/>
              <w:ind w:left="0" w:leftChars="0" w:right="0" w:rightChars="0" w:firstLine="0" w:firstLineChars="0"/>
              <w:jc w:val="center"/>
              <w:rPr>
                <w:rFonts w:ascii="宋体" w:hAnsi="宋体" w:eastAsia="宋体" w:cs="Times New Roman"/>
                <w:sz w:val="24"/>
                <w:szCs w:val="24"/>
                <w:highlight w:val="none"/>
                <w:lang w:val="en-US" w:eastAsia="zh-CN" w:bidi="ar-SA"/>
              </w:rPr>
            </w:pPr>
            <w:r>
              <w:rPr>
                <w:rFonts w:hint="eastAsia" w:ascii="宋体" w:hAnsi="宋体" w:eastAsia="宋体"/>
                <w:sz w:val="24"/>
                <w:szCs w:val="24"/>
                <w:highlight w:val="none"/>
              </w:rPr>
              <w:t>30</w:t>
            </w:r>
          </w:p>
        </w:tc>
        <w:tc>
          <w:tcPr>
            <w:tcW w:w="1348"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硬盘录像机</w:t>
            </w:r>
          </w:p>
        </w:tc>
        <w:tc>
          <w:tcPr>
            <w:tcW w:w="5149" w:type="dxa"/>
            <w:vAlign w:val="center"/>
          </w:tcPr>
          <w:p>
            <w:pPr>
              <w:shd w:val="clear"/>
              <w:spacing w:before="0" w:after="0" w:afterAutospacing="0" w:line="0" w:lineRule="atLeast"/>
              <w:ind w:left="0" w:right="0" w:firstLine="0"/>
              <w:rPr>
                <w:rFonts w:ascii="宋体" w:hAnsi="宋体" w:eastAsia="宋体"/>
                <w:sz w:val="24"/>
                <w:szCs w:val="24"/>
                <w:highlight w:val="none"/>
              </w:rPr>
            </w:pPr>
            <w:r>
              <w:rPr>
                <w:rFonts w:hint="eastAsia" w:ascii="宋体" w:hAnsi="宋体" w:eastAsia="宋体"/>
                <w:sz w:val="24"/>
                <w:szCs w:val="24"/>
                <w:highlight w:val="none"/>
              </w:rPr>
              <w:t>1、2U标准机架式8盘位网络硬盘录像机，ATX电源</w:t>
            </w:r>
            <w:r>
              <w:rPr>
                <w:rFonts w:ascii="宋体" w:hAnsi="宋体" w:eastAsia="宋体"/>
                <w:sz w:val="24"/>
                <w:szCs w:val="24"/>
                <w:highlight w:val="none"/>
              </w:rPr>
              <w:br w:type="textWrapping"/>
            </w:r>
            <w:r>
              <w:rPr>
                <w:rFonts w:hint="eastAsia" w:ascii="宋体" w:hAnsi="宋体" w:eastAsia="宋体"/>
                <w:sz w:val="24"/>
                <w:szCs w:val="24"/>
                <w:highlight w:val="none"/>
              </w:rPr>
              <w:t>2、已内置8块4TB硬盘（总容量32TB)</w:t>
            </w:r>
            <w:r>
              <w:rPr>
                <w:rFonts w:ascii="宋体" w:hAnsi="宋体" w:eastAsia="宋体"/>
                <w:sz w:val="24"/>
                <w:szCs w:val="24"/>
                <w:highlight w:val="none"/>
              </w:rPr>
              <w:br w:type="textWrapping"/>
            </w:r>
            <w:r>
              <w:rPr>
                <w:rFonts w:hint="eastAsia" w:ascii="宋体" w:hAnsi="宋体" w:eastAsia="宋体"/>
                <w:sz w:val="24"/>
                <w:szCs w:val="24"/>
                <w:highlight w:val="none"/>
              </w:rPr>
              <w:t>3、2个HDMI接口、2个VGA接口，双异源输出</w:t>
            </w:r>
            <w:r>
              <w:rPr>
                <w:rFonts w:ascii="宋体" w:hAnsi="宋体" w:eastAsia="宋体"/>
                <w:sz w:val="24"/>
                <w:szCs w:val="24"/>
                <w:highlight w:val="none"/>
              </w:rPr>
              <w:br w:type="textWrapping"/>
            </w:r>
            <w:r>
              <w:rPr>
                <w:rFonts w:hint="eastAsia" w:ascii="宋体" w:hAnsi="宋体" w:eastAsia="宋体"/>
                <w:sz w:val="24"/>
                <w:szCs w:val="24"/>
                <w:highlight w:val="none"/>
              </w:rPr>
              <w:t>4、2个10M/100M/1000Mbps网口</w:t>
            </w:r>
            <w:r>
              <w:rPr>
                <w:rFonts w:ascii="宋体" w:hAnsi="宋体" w:eastAsia="宋体"/>
                <w:sz w:val="24"/>
                <w:szCs w:val="24"/>
                <w:highlight w:val="none"/>
              </w:rPr>
              <w:br w:type="textWrapping"/>
            </w:r>
            <w:r>
              <w:rPr>
                <w:rFonts w:hint="eastAsia" w:ascii="宋体" w:hAnsi="宋体" w:eastAsia="宋体"/>
                <w:sz w:val="24"/>
                <w:szCs w:val="24"/>
                <w:highlight w:val="none"/>
              </w:rPr>
              <w:t>5、2个USB2.0接口、1个USB3.0接口、1个eSATA接口</w:t>
            </w:r>
            <w:r>
              <w:rPr>
                <w:rFonts w:ascii="宋体" w:hAnsi="宋体" w:eastAsia="宋体"/>
                <w:sz w:val="24"/>
                <w:szCs w:val="24"/>
                <w:highlight w:val="none"/>
              </w:rPr>
              <w:br w:type="textWrapping"/>
            </w:r>
            <w:r>
              <w:rPr>
                <w:rFonts w:hint="eastAsia" w:ascii="宋体" w:hAnsi="宋体" w:eastAsia="宋体"/>
                <w:sz w:val="24"/>
                <w:szCs w:val="24"/>
                <w:highlight w:val="none"/>
              </w:rPr>
              <w:t>6、报警IO接口：16路报警输入，4路报警输出</w:t>
            </w:r>
            <w:r>
              <w:rPr>
                <w:rFonts w:ascii="宋体" w:hAnsi="宋体" w:eastAsia="宋体"/>
                <w:sz w:val="24"/>
                <w:szCs w:val="24"/>
                <w:highlight w:val="none"/>
              </w:rPr>
              <w:br w:type="textWrapping"/>
            </w:r>
            <w:r>
              <w:rPr>
                <w:rFonts w:hint="eastAsia" w:ascii="宋体" w:hAnsi="宋体" w:eastAsia="宋体"/>
                <w:sz w:val="24"/>
                <w:szCs w:val="24"/>
                <w:highlight w:val="none"/>
              </w:rPr>
              <w:t>7、串行接口：1路全双工485接口 ，1路标准RS-232接口</w:t>
            </w:r>
            <w:r>
              <w:rPr>
                <w:rFonts w:ascii="宋体" w:hAnsi="宋体" w:eastAsia="宋体"/>
                <w:sz w:val="24"/>
                <w:szCs w:val="24"/>
                <w:highlight w:val="none"/>
              </w:rPr>
              <w:br w:type="textWrapping"/>
            </w:r>
            <w:r>
              <w:rPr>
                <w:rFonts w:hint="eastAsia" w:ascii="宋体" w:hAnsi="宋体" w:eastAsia="宋体"/>
                <w:sz w:val="24"/>
                <w:szCs w:val="24"/>
                <w:highlight w:val="none"/>
              </w:rPr>
              <w:t>8、接入能力：64路H.264、H.265格式高清码流接入</w:t>
            </w:r>
            <w:r>
              <w:rPr>
                <w:rFonts w:ascii="宋体" w:hAnsi="宋体" w:eastAsia="宋体"/>
                <w:sz w:val="24"/>
                <w:szCs w:val="24"/>
                <w:highlight w:val="none"/>
              </w:rPr>
              <w:br w:type="textWrapping"/>
            </w:r>
            <w:r>
              <w:rPr>
                <w:rFonts w:hint="eastAsia" w:ascii="宋体" w:hAnsi="宋体" w:eastAsia="宋体"/>
                <w:sz w:val="24"/>
                <w:szCs w:val="24"/>
                <w:highlight w:val="none"/>
              </w:rPr>
              <w:t>9、解码能力：最大支持16×1080P</w:t>
            </w:r>
          </w:p>
        </w:tc>
        <w:tc>
          <w:tcPr>
            <w:tcW w:w="1250" w:type="dxa"/>
            <w:vAlign w:val="center"/>
          </w:tcPr>
          <w:p>
            <w:pPr>
              <w:shd w:val="clear"/>
              <w:spacing w:before="0" w:after="0" w:afterAutospacing="0" w:line="0" w:lineRule="atLeast"/>
              <w:ind w:left="0" w:leftChars="0" w:right="0" w:rightChars="0" w:firstLine="0" w:firstLineChars="0"/>
              <w:rPr>
                <w:rFonts w:hint="eastAsia" w:cs="Times New Roman" w:asciiTheme="minorEastAsia" w:hAnsiTheme="minorEastAsia" w:eastAsiaTheme="minorEastAsia"/>
                <w:sz w:val="24"/>
                <w:szCs w:val="24"/>
                <w:highlight w:val="none"/>
                <w:lang w:val="en-US" w:eastAsia="zh-CN" w:bidi="ar-SA"/>
              </w:rPr>
            </w:pPr>
            <w:r>
              <w:rPr>
                <w:rFonts w:hint="eastAsia" w:cs="Times New Roman" w:asciiTheme="minorEastAsia" w:hAnsiTheme="minorEastAsia" w:eastAsiaTheme="minorEastAsia"/>
                <w:sz w:val="24"/>
                <w:szCs w:val="24"/>
                <w:highlight w:val="none"/>
                <w:lang w:val="en-US" w:eastAsia="zh-CN"/>
              </w:rPr>
              <w:t>海康威视、大华、科达</w:t>
            </w: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台</w:t>
            </w: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1</w:t>
            </w:r>
          </w:p>
        </w:tc>
        <w:tc>
          <w:tcPr>
            <w:tcW w:w="1350" w:type="dxa"/>
            <w:vAlign w:val="center"/>
          </w:tcPr>
          <w:p>
            <w:pPr>
              <w:shd w:val="clear"/>
              <w:spacing w:before="0" w:after="0" w:afterAutospacing="0" w:line="0" w:lineRule="atLeast"/>
              <w:ind w:left="0" w:leftChars="0" w:right="0" w:rightChars="0" w:firstLine="0" w:firstLineChars="0"/>
              <w:rPr>
                <w:rFonts w:hint="eastAsia" w:cs="Times New Roman" w:asciiTheme="minorEastAsia" w:hAnsiTheme="minorEastAsia" w:eastAsiaTheme="minorEastAsia"/>
                <w:sz w:val="24"/>
                <w:szCs w:val="24"/>
                <w:highlight w:val="none"/>
                <w:lang w:val="en-US" w:eastAsia="zh-CN" w:bidi="ar-SA"/>
              </w:rPr>
            </w:pPr>
          </w:p>
        </w:tc>
        <w:tc>
          <w:tcPr>
            <w:tcW w:w="1583"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948" w:type="dxa"/>
          </w:tcPr>
          <w:p>
            <w:pPr>
              <w:shd w:val="clear"/>
              <w:spacing w:before="0" w:after="0" w:afterAutospacing="0" w:line="0" w:lineRule="atLeast"/>
              <w:ind w:left="0" w:right="0" w:firstLine="0"/>
              <w:rPr>
                <w:rFonts w:ascii="宋体" w:hAnsi="宋体" w:eastAsia="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0" w:hRule="atLeast"/>
        </w:trPr>
        <w:tc>
          <w:tcPr>
            <w:tcW w:w="652" w:type="dxa"/>
            <w:vAlign w:val="center"/>
          </w:tcPr>
          <w:p>
            <w:pPr>
              <w:shd w:val="clear"/>
              <w:spacing w:before="0" w:after="0" w:afterAutospacing="0" w:line="0" w:lineRule="atLeast"/>
              <w:ind w:left="0" w:leftChars="0" w:right="0" w:rightChars="0" w:firstLine="0" w:firstLineChars="0"/>
              <w:jc w:val="center"/>
              <w:rPr>
                <w:rFonts w:ascii="宋体" w:hAnsi="宋体" w:eastAsia="宋体" w:cs="Times New Roman"/>
                <w:sz w:val="24"/>
                <w:szCs w:val="24"/>
                <w:highlight w:val="none"/>
                <w:lang w:val="en-US" w:eastAsia="zh-CN" w:bidi="ar-SA"/>
              </w:rPr>
            </w:pPr>
            <w:r>
              <w:rPr>
                <w:rFonts w:hint="eastAsia" w:ascii="宋体" w:hAnsi="宋体" w:eastAsia="宋体"/>
                <w:sz w:val="24"/>
                <w:szCs w:val="24"/>
                <w:highlight w:val="none"/>
              </w:rPr>
              <w:t>31</w:t>
            </w:r>
          </w:p>
        </w:tc>
        <w:tc>
          <w:tcPr>
            <w:tcW w:w="1348"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交换机</w:t>
            </w:r>
          </w:p>
        </w:tc>
        <w:tc>
          <w:tcPr>
            <w:tcW w:w="5149" w:type="dxa"/>
          </w:tcPr>
          <w:p>
            <w:pPr>
              <w:shd w:val="clear"/>
              <w:spacing w:before="0" w:after="0" w:afterAutospacing="0" w:line="0" w:lineRule="atLeast"/>
              <w:ind w:left="0" w:right="0" w:firstLine="0"/>
              <w:rPr>
                <w:rFonts w:ascii="宋体" w:hAnsi="宋体" w:eastAsia="宋体"/>
                <w:sz w:val="24"/>
                <w:szCs w:val="24"/>
                <w:highlight w:val="none"/>
              </w:rPr>
            </w:pPr>
            <w:r>
              <w:rPr>
                <w:rFonts w:hint="eastAsia" w:ascii="宋体" w:hAnsi="宋体" w:eastAsia="宋体"/>
                <w:sz w:val="24"/>
                <w:szCs w:val="24"/>
                <w:highlight w:val="none"/>
              </w:rPr>
              <w:t>1、 单机固化10/100/1000M以太网端口8个，千兆光接口2个，最大可用千兆口10；</w:t>
            </w:r>
            <w:r>
              <w:rPr>
                <w:rFonts w:ascii="宋体" w:hAnsi="宋体" w:eastAsia="宋体"/>
                <w:sz w:val="24"/>
                <w:szCs w:val="24"/>
                <w:highlight w:val="none"/>
              </w:rPr>
              <w:br w:type="textWrapping"/>
            </w:r>
            <w:r>
              <w:rPr>
                <w:rFonts w:hint="eastAsia" w:ascii="宋体" w:hAnsi="宋体" w:eastAsia="宋体"/>
                <w:sz w:val="24"/>
                <w:szCs w:val="24"/>
                <w:highlight w:val="none"/>
              </w:rPr>
              <w:t>2、为便于上架操作及设备使用，要求前置电源接口；</w:t>
            </w:r>
            <w:r>
              <w:rPr>
                <w:rFonts w:ascii="宋体" w:hAnsi="宋体" w:eastAsia="宋体"/>
                <w:sz w:val="24"/>
                <w:szCs w:val="24"/>
                <w:highlight w:val="none"/>
              </w:rPr>
              <w:br w:type="textWrapping"/>
            </w:r>
            <w:r>
              <w:rPr>
                <w:rFonts w:hint="eastAsia" w:ascii="宋体" w:hAnsi="宋体" w:eastAsia="宋体"/>
                <w:sz w:val="24"/>
                <w:szCs w:val="24"/>
                <w:highlight w:val="none"/>
              </w:rPr>
              <w:t>3、要求全部POE端口支持PoE+（802.3at标准），最大POE输出功率≥124W；</w:t>
            </w:r>
            <w:r>
              <w:rPr>
                <w:rFonts w:ascii="宋体" w:hAnsi="宋体" w:eastAsia="宋体"/>
                <w:sz w:val="24"/>
                <w:szCs w:val="24"/>
                <w:highlight w:val="none"/>
              </w:rPr>
              <w:br w:type="textWrapping"/>
            </w:r>
            <w:r>
              <w:rPr>
                <w:rFonts w:hint="eastAsia" w:ascii="宋体" w:hAnsi="宋体" w:eastAsia="宋体"/>
                <w:sz w:val="24"/>
                <w:szCs w:val="24"/>
                <w:highlight w:val="none"/>
              </w:rPr>
              <w:t>4、交换容量≥255Gbps，包转发率≥19Mpps；5、MAC 地址表≥16K；</w:t>
            </w:r>
          </w:p>
        </w:tc>
        <w:tc>
          <w:tcPr>
            <w:tcW w:w="1250" w:type="dxa"/>
            <w:vAlign w:val="center"/>
          </w:tcPr>
          <w:p>
            <w:pPr>
              <w:shd w:val="clear"/>
              <w:spacing w:before="0" w:after="0" w:afterAutospacing="0" w:line="0" w:lineRule="atLeast"/>
              <w:ind w:left="0" w:leftChars="0" w:right="0" w:rightChars="0" w:firstLine="0" w:firstLineChars="0"/>
              <w:rPr>
                <w:rFonts w:hint="eastAsia" w:cs="Times New Roman" w:asciiTheme="minorEastAsia" w:hAnsiTheme="minorEastAsia" w:eastAsiaTheme="minorEastAsia"/>
                <w:sz w:val="24"/>
                <w:szCs w:val="24"/>
                <w:highlight w:val="none"/>
                <w:lang w:val="en-US" w:eastAsia="zh-CN" w:bidi="ar-SA"/>
              </w:rPr>
            </w:pPr>
            <w:r>
              <w:rPr>
                <w:rFonts w:hint="eastAsia" w:cs="Times New Roman" w:asciiTheme="minorEastAsia" w:hAnsiTheme="minorEastAsia" w:eastAsiaTheme="minorEastAsia"/>
                <w:sz w:val="24"/>
                <w:szCs w:val="24"/>
                <w:highlight w:val="none"/>
              </w:rPr>
              <w:t>华为、神州数码、华三</w:t>
            </w: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台</w:t>
            </w: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1</w:t>
            </w:r>
          </w:p>
        </w:tc>
        <w:tc>
          <w:tcPr>
            <w:tcW w:w="1350" w:type="dxa"/>
            <w:vAlign w:val="center"/>
          </w:tcPr>
          <w:p>
            <w:pPr>
              <w:shd w:val="clear"/>
              <w:spacing w:before="0" w:after="0" w:afterAutospacing="0" w:line="0" w:lineRule="atLeast"/>
              <w:ind w:left="0" w:leftChars="0" w:right="0" w:rightChars="0" w:firstLine="0" w:firstLineChars="0"/>
              <w:rPr>
                <w:rFonts w:hint="eastAsia" w:cs="Times New Roman" w:asciiTheme="minorEastAsia" w:hAnsiTheme="minorEastAsia" w:eastAsiaTheme="minorEastAsia"/>
                <w:sz w:val="24"/>
                <w:szCs w:val="24"/>
                <w:highlight w:val="none"/>
                <w:lang w:val="en-US" w:eastAsia="zh-CN" w:bidi="ar-SA"/>
              </w:rPr>
            </w:pPr>
          </w:p>
        </w:tc>
        <w:tc>
          <w:tcPr>
            <w:tcW w:w="1583"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948" w:type="dxa"/>
          </w:tcPr>
          <w:p>
            <w:pPr>
              <w:shd w:val="clear"/>
              <w:spacing w:before="0" w:after="0" w:afterAutospacing="0" w:line="0" w:lineRule="atLeast"/>
              <w:ind w:left="0" w:right="0" w:firstLine="0"/>
              <w:rPr>
                <w:rFonts w:ascii="宋体" w:hAnsi="宋体" w:eastAsia="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1" w:hRule="atLeast"/>
        </w:trPr>
        <w:tc>
          <w:tcPr>
            <w:tcW w:w="652" w:type="dxa"/>
            <w:vAlign w:val="center"/>
          </w:tcPr>
          <w:p>
            <w:pPr>
              <w:shd w:val="clear"/>
              <w:spacing w:before="0" w:after="0" w:afterAutospacing="0" w:line="0" w:lineRule="atLeast"/>
              <w:ind w:left="0" w:leftChars="0" w:right="0" w:rightChars="0" w:firstLine="0" w:firstLineChars="0"/>
              <w:jc w:val="center"/>
              <w:rPr>
                <w:rFonts w:ascii="宋体" w:hAnsi="宋体" w:eastAsia="宋体" w:cs="Times New Roman"/>
                <w:sz w:val="24"/>
                <w:szCs w:val="24"/>
                <w:highlight w:val="none"/>
                <w:lang w:val="en-US" w:eastAsia="zh-CN" w:bidi="ar-SA"/>
              </w:rPr>
            </w:pPr>
            <w:r>
              <w:rPr>
                <w:rFonts w:hint="eastAsia" w:ascii="宋体" w:hAnsi="宋体" w:eastAsia="宋体"/>
                <w:sz w:val="24"/>
                <w:szCs w:val="24"/>
                <w:highlight w:val="none"/>
              </w:rPr>
              <w:t>32</w:t>
            </w:r>
          </w:p>
        </w:tc>
        <w:tc>
          <w:tcPr>
            <w:tcW w:w="1348"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超五类网线</w:t>
            </w:r>
          </w:p>
        </w:tc>
        <w:tc>
          <w:tcPr>
            <w:tcW w:w="5149" w:type="dxa"/>
          </w:tcPr>
          <w:p>
            <w:pPr>
              <w:shd w:val="clear"/>
              <w:spacing w:before="0" w:after="0" w:afterAutospacing="0" w:line="0" w:lineRule="atLeast"/>
              <w:ind w:left="0" w:right="0" w:firstLine="0"/>
              <w:rPr>
                <w:rFonts w:ascii="宋体" w:hAnsi="宋体" w:eastAsia="宋体"/>
                <w:sz w:val="24"/>
                <w:szCs w:val="24"/>
                <w:highlight w:val="none"/>
              </w:rPr>
            </w:pPr>
            <w:r>
              <w:rPr>
                <w:rFonts w:hint="eastAsia" w:ascii="宋体" w:hAnsi="宋体" w:eastAsia="宋体"/>
                <w:sz w:val="24"/>
                <w:szCs w:val="24"/>
                <w:highlight w:val="none"/>
              </w:rPr>
              <w:t>1、支持千兆以太网信号传输。</w:t>
            </w:r>
            <w:r>
              <w:rPr>
                <w:rFonts w:ascii="宋体" w:hAnsi="宋体" w:eastAsia="宋体"/>
                <w:sz w:val="24"/>
                <w:szCs w:val="24"/>
                <w:highlight w:val="none"/>
              </w:rPr>
              <w:br w:type="textWrapping"/>
            </w:r>
            <w:r>
              <w:rPr>
                <w:rFonts w:hint="eastAsia" w:ascii="宋体" w:hAnsi="宋体" w:eastAsia="宋体"/>
                <w:sz w:val="24"/>
                <w:szCs w:val="24"/>
                <w:highlight w:val="none"/>
              </w:rPr>
              <w:t>2、无氧铜芯，直流电阻小，信号衰减小。</w:t>
            </w:r>
            <w:r>
              <w:rPr>
                <w:rFonts w:ascii="宋体" w:hAnsi="宋体" w:eastAsia="宋体"/>
                <w:sz w:val="24"/>
                <w:szCs w:val="24"/>
                <w:highlight w:val="none"/>
              </w:rPr>
              <w:br w:type="textWrapping"/>
            </w:r>
            <w:r>
              <w:rPr>
                <w:rFonts w:hint="eastAsia" w:ascii="宋体" w:hAnsi="宋体" w:eastAsia="宋体"/>
                <w:sz w:val="24"/>
                <w:szCs w:val="24"/>
                <w:highlight w:val="none"/>
              </w:rPr>
              <w:t>3、PVC护套，耐磨、抗拉强度高。</w:t>
            </w:r>
            <w:r>
              <w:rPr>
                <w:rFonts w:ascii="宋体" w:hAnsi="宋体" w:eastAsia="宋体"/>
                <w:sz w:val="24"/>
                <w:szCs w:val="24"/>
                <w:highlight w:val="none"/>
              </w:rPr>
              <w:br w:type="textWrapping"/>
            </w:r>
            <w:r>
              <w:rPr>
                <w:rFonts w:hint="eastAsia" w:ascii="宋体" w:hAnsi="宋体" w:eastAsia="宋体"/>
                <w:sz w:val="24"/>
                <w:szCs w:val="24"/>
                <w:highlight w:val="none"/>
              </w:rPr>
              <w:t>4、均匀双绞结构，有效降低干扰，确保信号传输质量。</w:t>
            </w:r>
          </w:p>
        </w:tc>
        <w:tc>
          <w:tcPr>
            <w:tcW w:w="1250" w:type="dxa"/>
            <w:vAlign w:val="center"/>
          </w:tcPr>
          <w:p>
            <w:pPr>
              <w:shd w:val="clear"/>
              <w:spacing w:before="0" w:after="0" w:afterAutospacing="0" w:line="0" w:lineRule="atLeast"/>
              <w:ind w:left="0" w:right="0" w:firstLine="0"/>
              <w:rPr>
                <w:rFonts w:hint="eastAsia" w:ascii="宋体" w:hAnsi="宋体" w:eastAsia="宋体"/>
                <w:sz w:val="24"/>
                <w:szCs w:val="24"/>
                <w:highlight w:val="none"/>
              </w:rPr>
            </w:pP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米</w:t>
            </w: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500</w:t>
            </w:r>
          </w:p>
        </w:tc>
        <w:tc>
          <w:tcPr>
            <w:tcW w:w="1350"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583"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948" w:type="dxa"/>
          </w:tcPr>
          <w:p>
            <w:pPr>
              <w:shd w:val="clear"/>
              <w:spacing w:before="0" w:after="0" w:afterAutospacing="0" w:line="0" w:lineRule="atLeast"/>
              <w:ind w:left="0" w:right="0" w:firstLine="0"/>
              <w:rPr>
                <w:rFonts w:ascii="宋体" w:hAnsi="宋体" w:eastAsia="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652" w:type="dxa"/>
            <w:vAlign w:val="center"/>
          </w:tcPr>
          <w:p>
            <w:pPr>
              <w:shd w:val="clear"/>
              <w:spacing w:before="0" w:after="0" w:afterAutospacing="0" w:line="0" w:lineRule="atLeast"/>
              <w:ind w:left="0" w:leftChars="0" w:right="0" w:rightChars="0" w:firstLine="0" w:firstLineChars="0"/>
              <w:jc w:val="center"/>
              <w:rPr>
                <w:rFonts w:ascii="宋体" w:hAnsi="宋体" w:eastAsia="宋体" w:cs="Times New Roman"/>
                <w:sz w:val="24"/>
                <w:szCs w:val="24"/>
                <w:highlight w:val="none"/>
                <w:lang w:val="en-US" w:eastAsia="zh-CN" w:bidi="ar-SA"/>
              </w:rPr>
            </w:pPr>
            <w:r>
              <w:rPr>
                <w:rFonts w:hint="eastAsia" w:ascii="宋体" w:hAnsi="宋体" w:eastAsia="宋体"/>
                <w:sz w:val="24"/>
                <w:szCs w:val="24"/>
                <w:highlight w:val="none"/>
              </w:rPr>
              <w:t>33</w:t>
            </w:r>
          </w:p>
        </w:tc>
        <w:tc>
          <w:tcPr>
            <w:tcW w:w="1348"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防腐油漆</w:t>
            </w:r>
          </w:p>
        </w:tc>
        <w:tc>
          <w:tcPr>
            <w:tcW w:w="5149" w:type="dxa"/>
          </w:tcPr>
          <w:p>
            <w:pPr>
              <w:shd w:val="clear"/>
              <w:spacing w:before="0" w:after="0" w:afterAutospacing="0" w:line="0" w:lineRule="atLeast"/>
              <w:ind w:left="0" w:right="0" w:firstLine="0"/>
              <w:rPr>
                <w:rFonts w:hint="eastAsia" w:ascii="宋体" w:hAnsi="宋体" w:eastAsia="宋体"/>
                <w:sz w:val="24"/>
                <w:szCs w:val="24"/>
                <w:highlight w:val="none"/>
              </w:rPr>
            </w:pPr>
            <w:r>
              <w:rPr>
                <w:rFonts w:hint="eastAsia" w:ascii="宋体" w:hAnsi="宋体" w:eastAsia="宋体"/>
                <w:sz w:val="24"/>
                <w:szCs w:val="24"/>
                <w:highlight w:val="none"/>
              </w:rPr>
              <w:t>1、工艺：两遍涂刷，每平方米需2kg防锈漆/调和漆</w:t>
            </w:r>
          </w:p>
          <w:p>
            <w:pPr>
              <w:shd w:val="clear"/>
              <w:spacing w:before="0" w:after="0" w:afterAutospacing="0" w:line="0" w:lineRule="atLeast"/>
              <w:ind w:left="0" w:right="0" w:firstLine="0"/>
              <w:rPr>
                <w:rFonts w:hint="eastAsia" w:ascii="宋体" w:hAnsi="宋体" w:eastAsia="宋体"/>
                <w:sz w:val="24"/>
                <w:szCs w:val="24"/>
                <w:highlight w:val="none"/>
              </w:rPr>
            </w:pPr>
            <w:r>
              <w:rPr>
                <w:rFonts w:hint="eastAsia" w:ascii="宋体" w:hAnsi="宋体" w:eastAsia="宋体"/>
                <w:sz w:val="24"/>
                <w:szCs w:val="24"/>
                <w:highlight w:val="none"/>
              </w:rPr>
              <w:t>2、颜色：红色</w:t>
            </w:r>
          </w:p>
          <w:p>
            <w:pPr>
              <w:shd w:val="clear"/>
              <w:spacing w:before="0" w:after="0" w:afterAutospacing="0" w:line="0" w:lineRule="atLeast"/>
              <w:ind w:left="0" w:right="0" w:firstLine="0"/>
              <w:rPr>
                <w:rFonts w:ascii="宋体" w:hAnsi="宋体" w:eastAsia="宋体"/>
                <w:sz w:val="24"/>
                <w:szCs w:val="24"/>
                <w:highlight w:val="none"/>
              </w:rPr>
            </w:pPr>
            <w:r>
              <w:rPr>
                <w:rFonts w:hint="eastAsia" w:ascii="宋体" w:hAnsi="宋体" w:eastAsia="宋体"/>
                <w:sz w:val="24"/>
                <w:szCs w:val="24"/>
                <w:highlight w:val="none"/>
              </w:rPr>
              <w:t>3、规格：20KG</w:t>
            </w:r>
            <w:r>
              <w:rPr>
                <w:rFonts w:hint="eastAsia" w:ascii="宋体" w:hAnsi="宋体" w:eastAsia="宋体"/>
                <w:sz w:val="24"/>
                <w:szCs w:val="24"/>
                <w:highlight w:val="none"/>
              </w:rPr>
              <w:br w:type="textWrapping"/>
            </w:r>
            <w:r>
              <w:rPr>
                <w:rFonts w:hint="eastAsia" w:ascii="宋体" w:hAnsi="宋体" w:eastAsia="宋体"/>
                <w:sz w:val="24"/>
                <w:szCs w:val="24"/>
                <w:highlight w:val="none"/>
              </w:rPr>
              <w:t>4、满足项目需求</w:t>
            </w:r>
          </w:p>
        </w:tc>
        <w:tc>
          <w:tcPr>
            <w:tcW w:w="1250" w:type="dxa"/>
            <w:vAlign w:val="center"/>
          </w:tcPr>
          <w:p>
            <w:pPr>
              <w:shd w:val="clear"/>
              <w:spacing w:before="0" w:after="0" w:afterAutospacing="0" w:line="0" w:lineRule="atLeast"/>
              <w:ind w:left="0" w:right="0" w:firstLine="0"/>
              <w:rPr>
                <w:rFonts w:hint="eastAsia" w:ascii="宋体" w:hAnsi="宋体" w:eastAsia="宋体"/>
                <w:sz w:val="24"/>
                <w:szCs w:val="24"/>
                <w:highlight w:val="none"/>
              </w:rPr>
            </w:pP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项</w:t>
            </w: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1</w:t>
            </w:r>
          </w:p>
        </w:tc>
        <w:tc>
          <w:tcPr>
            <w:tcW w:w="1350"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583"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948" w:type="dxa"/>
          </w:tcPr>
          <w:p>
            <w:pPr>
              <w:shd w:val="clear"/>
              <w:spacing w:before="0" w:after="0" w:afterAutospacing="0" w:line="0" w:lineRule="atLeast"/>
              <w:ind w:left="0" w:right="0" w:firstLine="0"/>
              <w:rPr>
                <w:rFonts w:ascii="宋体" w:hAnsi="宋体" w:eastAsia="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7" w:hRule="atLeast"/>
        </w:trPr>
        <w:tc>
          <w:tcPr>
            <w:tcW w:w="652" w:type="dxa"/>
            <w:vAlign w:val="center"/>
          </w:tcPr>
          <w:p>
            <w:pPr>
              <w:shd w:val="clear"/>
              <w:spacing w:before="0" w:after="0" w:afterAutospacing="0" w:line="0" w:lineRule="atLeast"/>
              <w:ind w:left="0" w:leftChars="0" w:right="0" w:rightChars="0" w:firstLine="0" w:firstLineChars="0"/>
              <w:jc w:val="center"/>
              <w:rPr>
                <w:rFonts w:ascii="宋体" w:hAnsi="宋体" w:eastAsia="宋体" w:cs="Times New Roman"/>
                <w:sz w:val="24"/>
                <w:szCs w:val="24"/>
                <w:highlight w:val="none"/>
                <w:lang w:val="en-US" w:eastAsia="zh-CN" w:bidi="ar-SA"/>
              </w:rPr>
            </w:pPr>
            <w:r>
              <w:rPr>
                <w:rFonts w:hint="eastAsia" w:ascii="宋体" w:hAnsi="宋体" w:eastAsia="宋体"/>
                <w:sz w:val="24"/>
                <w:szCs w:val="24"/>
                <w:highlight w:val="none"/>
              </w:rPr>
              <w:t>34</w:t>
            </w:r>
          </w:p>
        </w:tc>
        <w:tc>
          <w:tcPr>
            <w:tcW w:w="1348"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施工辅材</w:t>
            </w:r>
          </w:p>
        </w:tc>
        <w:tc>
          <w:tcPr>
            <w:tcW w:w="5149" w:type="dxa"/>
          </w:tcPr>
          <w:p>
            <w:pPr>
              <w:shd w:val="clear"/>
              <w:spacing w:before="0" w:after="0" w:afterAutospacing="0" w:line="0" w:lineRule="atLeast"/>
              <w:ind w:left="0" w:right="0" w:firstLine="0"/>
              <w:rPr>
                <w:rFonts w:ascii="宋体" w:hAnsi="宋体" w:eastAsia="宋体"/>
                <w:sz w:val="24"/>
                <w:szCs w:val="24"/>
                <w:highlight w:val="none"/>
              </w:rPr>
            </w:pPr>
            <w:r>
              <w:rPr>
                <w:rFonts w:hint="eastAsia" w:ascii="宋体" w:hAnsi="宋体" w:eastAsia="宋体"/>
                <w:sz w:val="24"/>
                <w:szCs w:val="24"/>
                <w:highlight w:val="none"/>
              </w:rPr>
              <w:t>1、对于埋地管段按照“三油两布”防腐工艺做好防腐工作。</w:t>
            </w:r>
            <w:r>
              <w:rPr>
                <w:rFonts w:hint="eastAsia" w:ascii="宋体" w:hAnsi="宋体" w:eastAsia="宋体"/>
                <w:sz w:val="24"/>
                <w:szCs w:val="24"/>
                <w:highlight w:val="none"/>
              </w:rPr>
              <w:br w:type="textWrapping"/>
            </w:r>
            <w:r>
              <w:rPr>
                <w:rFonts w:hint="eastAsia" w:ascii="宋体" w:hAnsi="宋体" w:eastAsia="宋体"/>
                <w:sz w:val="24"/>
                <w:szCs w:val="24"/>
                <w:highlight w:val="none"/>
              </w:rPr>
              <w:t>2、包含角钢、U型卡箍、胶垫、法兰片、沟槽卡箍、膨胀螺栓、吊卡、线管接头、锁母、胶布、螺栓、螺母</w:t>
            </w:r>
            <w:r>
              <w:rPr>
                <w:rFonts w:hint="eastAsia" w:asciiTheme="minorEastAsia" w:hAnsiTheme="minorEastAsia" w:eastAsiaTheme="minorEastAsia"/>
                <w:sz w:val="24"/>
                <w:szCs w:val="24"/>
                <w:highlight w:val="none"/>
                <w:lang w:eastAsia="zh-CN"/>
              </w:rPr>
              <w:t>、</w:t>
            </w:r>
            <w:r>
              <w:rPr>
                <w:rFonts w:hint="eastAsia" w:asciiTheme="minorEastAsia" w:hAnsiTheme="minorEastAsia" w:eastAsiaTheme="minorEastAsia"/>
                <w:sz w:val="24"/>
                <w:szCs w:val="24"/>
                <w:highlight w:val="none"/>
              </w:rPr>
              <w:t>沟槽式管件</w:t>
            </w:r>
            <w:r>
              <w:rPr>
                <w:rFonts w:hint="eastAsia" w:asciiTheme="minorEastAsia" w:hAnsiTheme="minorEastAsia" w:eastAsiaTheme="minorEastAsia"/>
                <w:sz w:val="24"/>
                <w:szCs w:val="24"/>
                <w:highlight w:val="none"/>
                <w:lang w:eastAsia="zh-CN"/>
              </w:rPr>
              <w:t>、</w:t>
            </w:r>
            <w:r>
              <w:rPr>
                <w:rFonts w:hint="eastAsia" w:asciiTheme="minorEastAsia" w:hAnsiTheme="minorEastAsia" w:eastAsiaTheme="minorEastAsia"/>
                <w:sz w:val="24"/>
                <w:szCs w:val="24"/>
                <w:highlight w:val="none"/>
                <w:lang w:val="en-US" w:eastAsia="zh-CN"/>
              </w:rPr>
              <w:t>机械三通、机械四通</w:t>
            </w:r>
            <w:r>
              <w:rPr>
                <w:rFonts w:hint="eastAsia" w:ascii="宋体" w:hAnsi="宋体" w:eastAsia="宋体"/>
                <w:sz w:val="24"/>
                <w:szCs w:val="24"/>
                <w:highlight w:val="none"/>
              </w:rPr>
              <w:t>等，辅材种类及用量要保证满足项目需求</w:t>
            </w:r>
          </w:p>
        </w:tc>
        <w:tc>
          <w:tcPr>
            <w:tcW w:w="1250" w:type="dxa"/>
            <w:vAlign w:val="center"/>
          </w:tcPr>
          <w:p>
            <w:pPr>
              <w:shd w:val="clear"/>
              <w:spacing w:before="0" w:after="0" w:afterAutospacing="0" w:line="0" w:lineRule="atLeast"/>
              <w:ind w:left="0" w:right="0" w:firstLine="0"/>
              <w:rPr>
                <w:rFonts w:hint="eastAsia" w:ascii="宋体" w:hAnsi="宋体" w:eastAsia="宋体"/>
                <w:sz w:val="24"/>
                <w:szCs w:val="24"/>
                <w:highlight w:val="none"/>
              </w:rPr>
            </w:pP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项</w:t>
            </w: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1</w:t>
            </w:r>
          </w:p>
        </w:tc>
        <w:tc>
          <w:tcPr>
            <w:tcW w:w="1350"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583"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948" w:type="dxa"/>
          </w:tcPr>
          <w:p>
            <w:pPr>
              <w:shd w:val="clear"/>
              <w:spacing w:before="0" w:after="0" w:afterAutospacing="0" w:line="0" w:lineRule="atLeast"/>
              <w:ind w:left="0" w:right="0" w:firstLine="0"/>
              <w:rPr>
                <w:rFonts w:ascii="宋体" w:hAnsi="宋体" w:eastAsia="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6" w:hRule="atLeast"/>
        </w:trPr>
        <w:tc>
          <w:tcPr>
            <w:tcW w:w="652" w:type="dxa"/>
            <w:vAlign w:val="center"/>
          </w:tcPr>
          <w:p>
            <w:pPr>
              <w:shd w:val="clear"/>
              <w:spacing w:before="0" w:after="0" w:afterAutospacing="0" w:line="0" w:lineRule="atLeast"/>
              <w:ind w:left="0" w:leftChars="0" w:right="0" w:rightChars="0" w:firstLine="0" w:firstLineChars="0"/>
              <w:jc w:val="center"/>
              <w:rPr>
                <w:rFonts w:ascii="宋体" w:hAnsi="宋体" w:eastAsia="宋体" w:cs="Times New Roman"/>
                <w:sz w:val="24"/>
                <w:szCs w:val="24"/>
                <w:highlight w:val="none"/>
                <w:lang w:val="en-US" w:eastAsia="zh-CN" w:bidi="ar-SA"/>
              </w:rPr>
            </w:pPr>
            <w:r>
              <w:rPr>
                <w:rFonts w:hint="eastAsia" w:ascii="宋体" w:hAnsi="宋体" w:eastAsia="宋体"/>
                <w:sz w:val="24"/>
                <w:szCs w:val="24"/>
                <w:highlight w:val="none"/>
              </w:rPr>
              <w:t>35</w:t>
            </w:r>
          </w:p>
        </w:tc>
        <w:tc>
          <w:tcPr>
            <w:tcW w:w="1348"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施工、道路及绿化恢复</w:t>
            </w:r>
          </w:p>
        </w:tc>
        <w:tc>
          <w:tcPr>
            <w:tcW w:w="5149" w:type="dxa"/>
          </w:tcPr>
          <w:p>
            <w:pPr>
              <w:shd w:val="clear"/>
              <w:spacing w:before="0" w:after="0" w:afterAutospacing="0" w:line="0" w:lineRule="atLeast"/>
              <w:ind w:left="0" w:right="0" w:firstLine="0"/>
              <w:rPr>
                <w:rFonts w:ascii="宋体" w:hAnsi="宋体" w:eastAsia="宋体"/>
                <w:sz w:val="24"/>
                <w:szCs w:val="24"/>
                <w:highlight w:val="none"/>
              </w:rPr>
            </w:pPr>
            <w:r>
              <w:rPr>
                <w:rFonts w:hint="eastAsia" w:ascii="宋体" w:hAnsi="宋体" w:eastAsia="宋体"/>
                <w:sz w:val="24"/>
                <w:szCs w:val="24"/>
                <w:highlight w:val="none"/>
              </w:rPr>
              <w:t>1、地面的开挖及恢复等辅材（含垃圾清理）</w:t>
            </w:r>
            <w:r>
              <w:rPr>
                <w:rFonts w:ascii="宋体" w:hAnsi="宋体" w:eastAsia="宋体"/>
                <w:sz w:val="24"/>
                <w:szCs w:val="24"/>
                <w:highlight w:val="none"/>
              </w:rPr>
              <w:br w:type="textWrapping"/>
            </w:r>
            <w:r>
              <w:rPr>
                <w:rFonts w:hint="eastAsia" w:ascii="宋体" w:hAnsi="宋体" w:eastAsia="宋体"/>
                <w:sz w:val="24"/>
                <w:szCs w:val="24"/>
                <w:highlight w:val="none"/>
              </w:rPr>
              <w:t>2、线路的铺设、管道基础施工、用电安全监控设备的安装、调试等费用（含垃圾清理）</w:t>
            </w:r>
            <w:r>
              <w:rPr>
                <w:rFonts w:hint="eastAsia" w:ascii="宋体" w:hAnsi="宋体" w:eastAsia="宋体"/>
                <w:sz w:val="24"/>
                <w:szCs w:val="24"/>
                <w:highlight w:val="none"/>
              </w:rPr>
              <w:br w:type="textWrapping"/>
            </w:r>
            <w:r>
              <w:rPr>
                <w:rFonts w:hint="eastAsia" w:ascii="宋体" w:hAnsi="宋体" w:eastAsia="宋体"/>
                <w:sz w:val="24"/>
                <w:szCs w:val="24"/>
                <w:highlight w:val="none"/>
              </w:rPr>
              <w:t>3、安装施工中对道路和绿化带破坏的地方进行恢复（含垃圾清理）</w:t>
            </w:r>
            <w:r>
              <w:rPr>
                <w:rFonts w:ascii="宋体" w:hAnsi="宋体" w:eastAsia="宋体"/>
                <w:sz w:val="24"/>
                <w:szCs w:val="24"/>
                <w:highlight w:val="none"/>
              </w:rPr>
              <w:br w:type="textWrapping"/>
            </w:r>
            <w:r>
              <w:rPr>
                <w:rFonts w:hint="eastAsia" w:ascii="宋体" w:hAnsi="宋体" w:eastAsia="宋体"/>
                <w:sz w:val="24"/>
                <w:szCs w:val="24"/>
                <w:highlight w:val="none"/>
              </w:rPr>
              <w:t>4、满足项目需求</w:t>
            </w:r>
          </w:p>
        </w:tc>
        <w:tc>
          <w:tcPr>
            <w:tcW w:w="1250" w:type="dxa"/>
            <w:vAlign w:val="center"/>
          </w:tcPr>
          <w:p>
            <w:pPr>
              <w:shd w:val="clear"/>
              <w:spacing w:before="0" w:after="0" w:afterAutospacing="0" w:line="0" w:lineRule="atLeast"/>
              <w:ind w:left="0" w:right="0" w:firstLine="0"/>
              <w:rPr>
                <w:rFonts w:hint="eastAsia" w:ascii="宋体" w:hAnsi="宋体" w:eastAsia="宋体"/>
                <w:sz w:val="24"/>
                <w:szCs w:val="24"/>
                <w:highlight w:val="none"/>
              </w:rPr>
            </w:pP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项</w:t>
            </w:r>
          </w:p>
        </w:tc>
        <w:tc>
          <w:tcPr>
            <w:tcW w:w="1167" w:type="dxa"/>
            <w:vAlign w:val="center"/>
          </w:tcPr>
          <w:p>
            <w:pPr>
              <w:shd w:val="clear"/>
              <w:spacing w:before="0" w:after="0" w:afterAutospacing="0" w:line="0" w:lineRule="atLeast"/>
              <w:ind w:left="0" w:right="0" w:firstLine="0"/>
              <w:jc w:val="center"/>
              <w:rPr>
                <w:rFonts w:ascii="宋体" w:hAnsi="宋体" w:eastAsia="宋体"/>
                <w:sz w:val="24"/>
                <w:szCs w:val="24"/>
                <w:highlight w:val="none"/>
              </w:rPr>
            </w:pPr>
            <w:r>
              <w:rPr>
                <w:rFonts w:hint="eastAsia" w:ascii="宋体" w:hAnsi="宋体" w:eastAsia="宋体"/>
                <w:sz w:val="24"/>
                <w:szCs w:val="24"/>
                <w:highlight w:val="none"/>
              </w:rPr>
              <w:t>1</w:t>
            </w:r>
          </w:p>
        </w:tc>
        <w:tc>
          <w:tcPr>
            <w:tcW w:w="1350"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583"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948" w:type="dxa"/>
          </w:tcPr>
          <w:p>
            <w:pPr>
              <w:shd w:val="clear"/>
              <w:spacing w:before="0" w:after="0" w:afterAutospacing="0" w:line="0" w:lineRule="atLeast"/>
              <w:ind w:left="0" w:right="0" w:firstLine="0"/>
              <w:rPr>
                <w:rFonts w:ascii="宋体" w:hAnsi="宋体" w:eastAsia="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9566" w:type="dxa"/>
            <w:gridSpan w:val="5"/>
            <w:vAlign w:val="center"/>
          </w:tcPr>
          <w:p>
            <w:pPr>
              <w:shd w:val="clear"/>
              <w:spacing w:before="0" w:after="0" w:afterAutospacing="0" w:line="0" w:lineRule="atLeast"/>
              <w:ind w:left="0" w:right="0" w:firstLine="0"/>
              <w:jc w:val="center"/>
              <w:rPr>
                <w:rFonts w:hint="eastAsia" w:ascii="宋体" w:hAnsi="宋体" w:eastAsia="宋体"/>
                <w:sz w:val="24"/>
                <w:szCs w:val="24"/>
                <w:highlight w:val="none"/>
              </w:rPr>
            </w:pPr>
            <w:r>
              <w:rPr>
                <w:rFonts w:hint="eastAsia" w:ascii="宋体" w:hAnsi="宋体" w:eastAsia="宋体"/>
                <w:b/>
                <w:bCs/>
                <w:sz w:val="24"/>
                <w:szCs w:val="24"/>
                <w:highlight w:val="none"/>
              </w:rPr>
              <w:t>合计</w:t>
            </w:r>
          </w:p>
        </w:tc>
        <w:tc>
          <w:tcPr>
            <w:tcW w:w="1167" w:type="dxa"/>
            <w:vAlign w:val="center"/>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350"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583" w:type="dxa"/>
          </w:tcPr>
          <w:p>
            <w:pPr>
              <w:shd w:val="clear"/>
              <w:spacing w:before="0" w:after="0" w:afterAutospacing="0" w:line="0" w:lineRule="atLeast"/>
              <w:ind w:left="0" w:right="0" w:firstLine="0"/>
              <w:jc w:val="center"/>
              <w:rPr>
                <w:rFonts w:hint="eastAsia" w:ascii="宋体" w:hAnsi="宋体" w:eastAsia="宋体"/>
                <w:sz w:val="24"/>
                <w:szCs w:val="24"/>
                <w:highlight w:val="none"/>
              </w:rPr>
            </w:pPr>
          </w:p>
        </w:tc>
        <w:tc>
          <w:tcPr>
            <w:tcW w:w="1948" w:type="dxa"/>
          </w:tcPr>
          <w:p>
            <w:pPr>
              <w:shd w:val="clear"/>
              <w:spacing w:before="0" w:after="0" w:afterAutospacing="0" w:line="0" w:lineRule="atLeast"/>
              <w:ind w:left="0" w:right="0" w:firstLine="0"/>
              <w:rPr>
                <w:rFonts w:ascii="宋体" w:hAnsi="宋体" w:eastAsia="宋体"/>
                <w:sz w:val="24"/>
                <w:szCs w:val="24"/>
                <w:highlight w:val="none"/>
              </w:rPr>
            </w:pPr>
          </w:p>
        </w:tc>
      </w:tr>
    </w:tbl>
    <w:p>
      <w:pPr>
        <w:shd w:val="clear"/>
        <w:spacing w:before="0" w:after="0" w:afterAutospacing="0"/>
        <w:ind w:left="0" w:right="0" w:firstLine="0"/>
        <w:rPr>
          <w:rFonts w:ascii="宋体" w:hAnsi="宋体"/>
          <w:highlight w:val="none"/>
        </w:rPr>
      </w:pPr>
    </w:p>
    <w:p>
      <w:pPr>
        <w:shd w:val="clear"/>
        <w:spacing w:before="0" w:after="0" w:afterAutospacing="0"/>
        <w:ind w:left="0" w:right="0" w:firstLine="0"/>
        <w:rPr>
          <w:rFonts w:ascii="宋体" w:hAnsi="宋体"/>
          <w:highlight w:val="none"/>
        </w:rPr>
      </w:pPr>
      <w:r>
        <w:rPr>
          <w:rFonts w:hint="eastAsia" w:ascii="宋体" w:hAnsi="宋体"/>
          <w:highlight w:val="none"/>
        </w:rPr>
        <w:t>注：</w:t>
      </w:r>
      <w:r>
        <w:rPr>
          <w:rFonts w:ascii="宋体" w:hAnsi="宋体"/>
          <w:highlight w:val="none"/>
        </w:rPr>
        <w:t>1、</w:t>
      </w:r>
      <w:r>
        <w:rPr>
          <w:rFonts w:hint="eastAsia" w:ascii="宋体" w:hAnsi="宋体"/>
          <w:highlight w:val="none"/>
        </w:rPr>
        <w:t>比选申请人须按第五章《用户需求书》中的技术需求及数量表的顺序进行明细报价，不允许打乱顺序，不含税单价、不含税合价均精确到小数点后两位。</w:t>
      </w:r>
    </w:p>
    <w:p>
      <w:pPr>
        <w:numPr>
          <w:ilvl w:val="0"/>
          <w:numId w:val="17"/>
        </w:numPr>
        <w:shd w:val="clear"/>
        <w:spacing w:before="0" w:after="0" w:afterAutospacing="0"/>
        <w:ind w:left="0" w:right="0" w:firstLine="0"/>
        <w:rPr>
          <w:rFonts w:ascii="宋体" w:hAnsi="宋体"/>
          <w:highlight w:val="none"/>
        </w:rPr>
      </w:pPr>
      <w:r>
        <w:rPr>
          <w:rFonts w:hint="eastAsia" w:ascii="宋体" w:hAnsi="宋体"/>
          <w:highlight w:val="none"/>
        </w:rPr>
        <w:t>同一项目在各分项报价中应为同一单价。比选申请人对每个项目</w:t>
      </w:r>
      <w:r>
        <w:rPr>
          <w:rFonts w:ascii="宋体" w:hAnsi="宋体"/>
          <w:highlight w:val="none"/>
        </w:rPr>
        <w:t>(</w:t>
      </w:r>
      <w:r>
        <w:rPr>
          <w:rFonts w:hint="eastAsia" w:ascii="宋体" w:hAnsi="宋体"/>
          <w:highlight w:val="none"/>
        </w:rPr>
        <w:t>指完全相同的同一项目</w:t>
      </w:r>
      <w:r>
        <w:rPr>
          <w:rFonts w:ascii="宋体" w:hAnsi="宋体"/>
          <w:highlight w:val="none"/>
        </w:rPr>
        <w:t>)</w:t>
      </w:r>
      <w:r>
        <w:rPr>
          <w:rFonts w:hint="eastAsia" w:ascii="宋体" w:hAnsi="宋体"/>
          <w:highlight w:val="none"/>
        </w:rPr>
        <w:t>只允许有一个报价，如有不同报价，则以最低报价为准。</w:t>
      </w:r>
    </w:p>
    <w:p>
      <w:pPr>
        <w:shd w:val="clear"/>
        <w:snapToGrid w:val="0"/>
        <w:spacing w:after="0" w:afterAutospacing="0"/>
        <w:ind w:right="-816" w:firstLine="0"/>
        <w:jc w:val="center"/>
        <w:rPr>
          <w:rFonts w:ascii="宋体" w:hAnsi="宋体"/>
          <w:highlight w:val="none"/>
          <w:u w:val="single"/>
        </w:rPr>
      </w:pPr>
      <w:r>
        <w:rPr>
          <w:rFonts w:hint="eastAsia" w:ascii="宋体" w:hAnsi="宋体"/>
          <w:highlight w:val="none"/>
        </w:rPr>
        <w:t>比选申请人名称（盖章）：</w:t>
      </w:r>
    </w:p>
    <w:p>
      <w:pPr>
        <w:shd w:val="clear"/>
        <w:snapToGrid w:val="0"/>
        <w:spacing w:after="0" w:afterAutospacing="0"/>
        <w:ind w:right="-816" w:firstLine="0"/>
        <w:jc w:val="center"/>
        <w:rPr>
          <w:rFonts w:ascii="宋体" w:hAnsi="宋体"/>
          <w:b/>
          <w:highlight w:val="none"/>
        </w:rPr>
      </w:pPr>
      <w:r>
        <w:rPr>
          <w:rFonts w:hint="eastAsia" w:ascii="宋体" w:hAnsi="宋体"/>
          <w:highlight w:val="none"/>
        </w:rPr>
        <w:t>日期：    年  月  日</w:t>
      </w:r>
    </w:p>
    <w:p>
      <w:pPr>
        <w:shd w:val="clear"/>
        <w:snapToGrid w:val="0"/>
        <w:spacing w:before="0" w:after="0" w:afterAutospacing="0"/>
        <w:ind w:left="0" w:right="-57" w:firstLine="0"/>
        <w:jc w:val="center"/>
        <w:rPr>
          <w:rFonts w:ascii="宋体" w:hAnsi="宋体"/>
          <w:b/>
          <w:highlight w:val="none"/>
        </w:rPr>
        <w:sectPr>
          <w:pgSz w:w="16838" w:h="11905" w:orient="landscape"/>
          <w:pgMar w:top="1418" w:right="1418" w:bottom="1418" w:left="1304" w:header="454" w:footer="567" w:gutter="0"/>
          <w:pgNumType w:fmt="decimal"/>
          <w:cols w:space="720" w:num="1"/>
          <w:docGrid w:linePitch="312" w:charSpace="0"/>
        </w:sectPr>
      </w:pPr>
    </w:p>
    <w:p>
      <w:pPr>
        <w:pStyle w:val="4"/>
        <w:pageBreakBefore/>
        <w:shd w:val="clear"/>
        <w:spacing w:after="100"/>
        <w:ind w:right="-57" w:firstLine="0"/>
        <w:jc w:val="center"/>
        <w:rPr>
          <w:rFonts w:hAnsi="宋体"/>
          <w:b w:val="0"/>
          <w:sz w:val="24"/>
          <w:szCs w:val="24"/>
          <w:highlight w:val="none"/>
        </w:rPr>
      </w:pPr>
      <w:bookmarkStart w:id="1740" w:name="_Toc19107"/>
      <w:bookmarkStart w:id="1741" w:name="_Toc414290562"/>
      <w:bookmarkStart w:id="1742" w:name="_Toc492478827"/>
      <w:bookmarkStart w:id="1743" w:name="_Toc13870"/>
      <w:bookmarkStart w:id="1744" w:name="_Toc2327"/>
      <w:bookmarkStart w:id="1745" w:name="_Toc17664"/>
      <w:bookmarkStart w:id="1746" w:name="_Toc25220"/>
      <w:bookmarkStart w:id="1747" w:name="_Toc32381"/>
      <w:bookmarkStart w:id="1748" w:name="_Toc14091"/>
      <w:bookmarkStart w:id="1749" w:name="_Toc15451"/>
      <w:bookmarkStart w:id="1750" w:name="_Toc22423"/>
      <w:bookmarkStart w:id="1751" w:name="_Toc25635"/>
      <w:bookmarkStart w:id="1752" w:name="_Toc30812"/>
      <w:bookmarkStart w:id="1753" w:name="_Toc9876"/>
      <w:bookmarkStart w:id="1754" w:name="_Toc19413"/>
      <w:bookmarkStart w:id="1755" w:name="_Toc3307"/>
      <w:bookmarkStart w:id="1756" w:name="_Toc29577"/>
      <w:bookmarkStart w:id="1757" w:name="_Toc6034"/>
      <w:bookmarkStart w:id="1758" w:name="_Toc25750683"/>
      <w:bookmarkStart w:id="1759" w:name="_Toc8563"/>
      <w:r>
        <w:rPr>
          <w:rFonts w:hint="eastAsia"/>
          <w:sz w:val="24"/>
          <w:szCs w:val="24"/>
          <w:highlight w:val="none"/>
        </w:rPr>
        <w:t>C</w:t>
      </w:r>
      <w:r>
        <w:rPr>
          <w:rFonts w:hAnsi="宋体"/>
          <w:sz w:val="24"/>
          <w:szCs w:val="24"/>
          <w:highlight w:val="none"/>
        </w:rPr>
        <w:t>技术</w:t>
      </w:r>
      <w:bookmarkEnd w:id="1740"/>
      <w:bookmarkEnd w:id="1741"/>
      <w:bookmarkEnd w:id="1742"/>
      <w:bookmarkStart w:id="1760" w:name="_Toc18770050"/>
      <w:bookmarkStart w:id="1761" w:name="_Toc17887241"/>
      <w:bookmarkStart w:id="1762" w:name="_Toc99697927"/>
      <w:bookmarkStart w:id="1763" w:name="_Toc74938308"/>
      <w:bookmarkStart w:id="1764" w:name="_Toc224010320"/>
      <w:r>
        <w:rPr>
          <w:rFonts w:hint="eastAsia" w:hAnsi="宋体"/>
          <w:sz w:val="24"/>
          <w:szCs w:val="24"/>
          <w:highlight w:val="none"/>
        </w:rPr>
        <w:t>文件</w:t>
      </w:r>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p>
    <w:p>
      <w:pPr>
        <w:shd w:val="clear"/>
        <w:spacing w:before="0" w:after="0" w:afterAutospacing="0"/>
        <w:ind w:left="0" w:right="0" w:firstLine="422" w:firstLineChars="200"/>
        <w:jc w:val="left"/>
        <w:rPr>
          <w:rFonts w:hAnsi="宋体"/>
          <w:b/>
          <w:sz w:val="44"/>
          <w:szCs w:val="44"/>
          <w:highlight w:val="none"/>
        </w:rPr>
      </w:pPr>
      <w:r>
        <w:rPr>
          <w:rFonts w:hint="eastAsia" w:hAnsi="宋体"/>
          <w:b/>
          <w:highlight w:val="none"/>
        </w:rPr>
        <w:t>技术文件格式</w:t>
      </w:r>
    </w:p>
    <w:p>
      <w:pPr>
        <w:numPr>
          <w:ilvl w:val="0"/>
          <w:numId w:val="18"/>
        </w:numPr>
        <w:shd w:val="clear"/>
        <w:spacing w:before="0" w:after="0" w:afterAutospacing="0"/>
        <w:ind w:left="0" w:right="0" w:firstLine="315" w:firstLineChars="150"/>
        <w:rPr>
          <w:highlight w:val="none"/>
        </w:rPr>
      </w:pPr>
      <w:r>
        <w:rPr>
          <w:rFonts w:hint="eastAsia"/>
          <w:highlight w:val="none"/>
        </w:rPr>
        <w:t>技术响应表（格式见</w:t>
      </w:r>
      <w:r>
        <w:rPr>
          <w:highlight w:val="none"/>
        </w:rPr>
        <w:t>C1</w:t>
      </w:r>
      <w:r>
        <w:rPr>
          <w:rFonts w:hint="eastAsia"/>
          <w:highlight w:val="none"/>
        </w:rPr>
        <w:t>）；</w:t>
      </w:r>
    </w:p>
    <w:p>
      <w:pPr>
        <w:numPr>
          <w:ilvl w:val="0"/>
          <w:numId w:val="18"/>
        </w:numPr>
        <w:shd w:val="clear"/>
        <w:spacing w:before="0" w:after="0" w:afterAutospacing="0"/>
        <w:ind w:left="0" w:right="0" w:firstLine="315" w:firstLineChars="150"/>
        <w:rPr>
          <w:highlight w:val="none"/>
        </w:rPr>
      </w:pPr>
      <w:r>
        <w:rPr>
          <w:rFonts w:hint="eastAsia"/>
          <w:highlight w:val="none"/>
        </w:rPr>
        <w:t>按期完成承诺书（格式见</w:t>
      </w:r>
      <w:r>
        <w:rPr>
          <w:highlight w:val="none"/>
        </w:rPr>
        <w:t>C2</w:t>
      </w:r>
      <w:r>
        <w:rPr>
          <w:rFonts w:hint="eastAsia"/>
          <w:highlight w:val="none"/>
        </w:rPr>
        <w:t>）；</w:t>
      </w:r>
    </w:p>
    <w:p>
      <w:pPr>
        <w:shd w:val="clear"/>
        <w:spacing w:before="0" w:after="0" w:afterAutospacing="0"/>
        <w:ind w:left="0" w:right="0" w:firstLine="315" w:firstLineChars="150"/>
        <w:rPr>
          <w:highlight w:val="none"/>
        </w:rPr>
      </w:pPr>
      <w:r>
        <w:rPr>
          <w:rFonts w:hint="eastAsia"/>
          <w:highlight w:val="none"/>
        </w:rPr>
        <w:t>（3）售后服务承诺书（格式见</w:t>
      </w:r>
      <w:r>
        <w:rPr>
          <w:highlight w:val="none"/>
        </w:rPr>
        <w:t>C3</w:t>
      </w:r>
      <w:r>
        <w:rPr>
          <w:rFonts w:hint="eastAsia"/>
          <w:highlight w:val="none"/>
        </w:rPr>
        <w:t>）；</w:t>
      </w:r>
    </w:p>
    <w:p>
      <w:pPr>
        <w:shd w:val="clear"/>
        <w:spacing w:before="0" w:after="0" w:afterAutospacing="0"/>
        <w:ind w:left="0" w:right="0" w:firstLine="315" w:firstLineChars="150"/>
        <w:rPr>
          <w:highlight w:val="none"/>
        </w:rPr>
      </w:pPr>
      <w:r>
        <w:rPr>
          <w:rFonts w:hint="eastAsia"/>
          <w:highlight w:val="none"/>
        </w:rPr>
        <w:t>（4）商务响应表（格式见C4）</w:t>
      </w:r>
    </w:p>
    <w:p>
      <w:pPr>
        <w:shd w:val="clear"/>
        <w:spacing w:before="0" w:after="0" w:afterAutospacing="0"/>
        <w:ind w:left="0" w:right="0" w:firstLine="315" w:firstLineChars="150"/>
        <w:rPr>
          <w:highlight w:val="none"/>
        </w:rPr>
      </w:pPr>
      <w:r>
        <w:rPr>
          <w:rFonts w:hint="eastAsia"/>
          <w:highlight w:val="none"/>
        </w:rPr>
        <w:t>（5）施工方案；</w:t>
      </w:r>
    </w:p>
    <w:p>
      <w:pPr>
        <w:shd w:val="clear"/>
        <w:spacing w:before="0" w:after="0" w:afterAutospacing="0"/>
        <w:ind w:left="0" w:right="0" w:firstLine="315" w:firstLineChars="150"/>
        <w:rPr>
          <w:highlight w:val="none"/>
        </w:rPr>
      </w:pPr>
      <w:r>
        <w:rPr>
          <w:rFonts w:hint="eastAsia"/>
          <w:highlight w:val="none"/>
        </w:rPr>
        <w:t>（6）质保方案（如何进行</w:t>
      </w:r>
      <w:r>
        <w:rPr>
          <w:highlight w:val="none"/>
        </w:rPr>
        <w:t>质保服务</w:t>
      </w:r>
      <w:r>
        <w:rPr>
          <w:rFonts w:hint="eastAsia"/>
          <w:highlight w:val="none"/>
        </w:rPr>
        <w:t>保障等）。</w:t>
      </w:r>
    </w:p>
    <w:p>
      <w:pPr>
        <w:shd w:val="clear"/>
        <w:rPr>
          <w:highlight w:val="none"/>
        </w:rPr>
      </w:pPr>
      <w:r>
        <w:rPr>
          <w:rFonts w:hint="eastAsia"/>
          <w:highlight w:val="none"/>
        </w:rPr>
        <w:br w:type="page"/>
      </w:r>
    </w:p>
    <w:p>
      <w:pPr>
        <w:shd w:val="clear"/>
        <w:spacing w:before="0" w:after="0" w:afterAutospacing="0"/>
        <w:ind w:left="0" w:right="0" w:firstLine="315" w:firstLineChars="150"/>
        <w:rPr>
          <w:highlight w:val="none"/>
        </w:rPr>
      </w:pPr>
    </w:p>
    <w:bookmarkEnd w:id="1760"/>
    <w:bookmarkEnd w:id="1761"/>
    <w:bookmarkEnd w:id="1762"/>
    <w:bookmarkEnd w:id="1763"/>
    <w:bookmarkEnd w:id="1764"/>
    <w:p>
      <w:pPr>
        <w:pStyle w:val="5"/>
        <w:shd w:val="clear"/>
        <w:tabs>
          <w:tab w:val="left" w:pos="567"/>
          <w:tab w:val="left" w:pos="720"/>
        </w:tabs>
        <w:snapToGrid w:val="0"/>
        <w:spacing w:after="100" w:line="360" w:lineRule="auto"/>
        <w:ind w:right="-57" w:firstLine="0"/>
        <w:jc w:val="left"/>
        <w:rPr>
          <w:rFonts w:ascii="宋体" w:hAnsi="宋体" w:eastAsia="宋体"/>
          <w:sz w:val="21"/>
          <w:szCs w:val="21"/>
          <w:highlight w:val="none"/>
        </w:rPr>
      </w:pPr>
      <w:bookmarkStart w:id="1765" w:name="_Toc25750684"/>
      <w:r>
        <w:rPr>
          <w:rFonts w:hint="eastAsia" w:ascii="宋体" w:hAnsi="宋体" w:eastAsia="宋体"/>
          <w:sz w:val="21"/>
          <w:szCs w:val="21"/>
          <w:highlight w:val="none"/>
        </w:rPr>
        <w:t xml:space="preserve">C1 </w:t>
      </w:r>
      <w:r>
        <w:rPr>
          <w:rFonts w:ascii="宋体" w:hAnsi="宋体" w:eastAsia="宋体"/>
          <w:sz w:val="21"/>
          <w:szCs w:val="21"/>
          <w:highlight w:val="none"/>
        </w:rPr>
        <w:t>技术响应表</w:t>
      </w:r>
      <w:r>
        <w:rPr>
          <w:rFonts w:hint="eastAsia" w:ascii="宋体" w:hAnsi="宋体" w:eastAsia="宋体"/>
          <w:sz w:val="21"/>
          <w:szCs w:val="21"/>
          <w:highlight w:val="none"/>
        </w:rPr>
        <w:t>格式</w:t>
      </w:r>
      <w:bookmarkEnd w:id="1765"/>
    </w:p>
    <w:p>
      <w:pPr>
        <w:shd w:val="clear"/>
        <w:spacing w:before="0"/>
        <w:ind w:right="-57" w:firstLine="0"/>
        <w:jc w:val="center"/>
        <w:rPr>
          <w:rFonts w:ascii="宋体" w:hAnsi="宋体"/>
          <w:b/>
          <w:sz w:val="28"/>
          <w:szCs w:val="28"/>
          <w:highlight w:val="none"/>
        </w:rPr>
      </w:pPr>
      <w:r>
        <w:rPr>
          <w:rFonts w:hint="eastAsia" w:ascii="宋体" w:hAnsi="宋体"/>
          <w:b/>
          <w:highlight w:val="none"/>
        </w:rPr>
        <w:t>技术响应表</w:t>
      </w:r>
      <w:r>
        <w:rPr>
          <w:rFonts w:hint="eastAsia" w:ascii="宋体" w:hAnsi="宋体" w:cs="宋体"/>
          <w:sz w:val="16"/>
          <w:szCs w:val="16"/>
          <w:highlight w:val="none"/>
        </w:rPr>
        <w:t>（不论有无偏离，均须逐项填写偏离情况）</w:t>
      </w:r>
    </w:p>
    <w:p>
      <w:pPr>
        <w:shd w:val="clear"/>
        <w:spacing w:before="0" w:after="0" w:afterAutospacing="0"/>
        <w:ind w:right="0"/>
        <w:rPr>
          <w:rFonts w:ascii="宋体" w:hAnsi="宋体"/>
          <w:highlight w:val="none"/>
          <w:u w:val="single"/>
        </w:rPr>
      </w:pPr>
      <w:r>
        <w:rPr>
          <w:rFonts w:ascii="宋体" w:hAnsi="宋体"/>
          <w:highlight w:val="none"/>
        </w:rPr>
        <w:t>比选申请人名称：</w:t>
      </w:r>
    </w:p>
    <w:tbl>
      <w:tblPr>
        <w:tblStyle w:val="28"/>
        <w:tblW w:w="88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24"/>
        <w:gridCol w:w="942"/>
        <w:gridCol w:w="3183"/>
        <w:gridCol w:w="1734"/>
        <w:gridCol w:w="1220"/>
        <w:gridCol w:w="1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95" w:hRule="atLeast"/>
          <w:jc w:val="center"/>
        </w:trPr>
        <w:tc>
          <w:tcPr>
            <w:tcW w:w="624" w:type="dxa"/>
            <w:tcBorders>
              <w:top w:val="single" w:color="auto" w:sz="4" w:space="0"/>
              <w:left w:val="single" w:color="auto" w:sz="4" w:space="0"/>
              <w:bottom w:val="single" w:color="auto" w:sz="4" w:space="0"/>
              <w:right w:val="single" w:color="auto" w:sz="4" w:space="0"/>
            </w:tcBorders>
            <w:vAlign w:val="center"/>
          </w:tcPr>
          <w:p>
            <w:pPr>
              <w:widowControl w:val="0"/>
              <w:shd w:val="clear"/>
              <w:adjustRightInd w:val="0"/>
              <w:jc w:val="center"/>
              <w:rPr>
                <w:rFonts w:hint="eastAsia" w:ascii="宋体" w:hAnsi="宋体"/>
                <w:highlight w:val="none"/>
              </w:rPr>
            </w:pPr>
            <w:r>
              <w:rPr>
                <w:rFonts w:hint="eastAsia" w:ascii="宋体" w:hAnsi="宋体"/>
                <w:highlight w:val="none"/>
              </w:rPr>
              <w:t>序号</w:t>
            </w:r>
          </w:p>
        </w:tc>
        <w:tc>
          <w:tcPr>
            <w:tcW w:w="94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val="0"/>
              <w:snapToGrid/>
              <w:ind w:left="0" w:right="-28" w:firstLine="0"/>
              <w:jc w:val="center"/>
              <w:textAlignment w:val="auto"/>
              <w:rPr>
                <w:rFonts w:hint="default" w:ascii="宋体" w:hAnsi="宋体"/>
                <w:highlight w:val="none"/>
                <w:lang w:val="en-US" w:eastAsia="zh-CN"/>
              </w:rPr>
            </w:pPr>
            <w:r>
              <w:rPr>
                <w:rFonts w:hint="eastAsia" w:ascii="宋体" w:hAnsi="宋体"/>
                <w:highlight w:val="none"/>
                <w:lang w:val="en-US" w:eastAsia="zh-CN"/>
              </w:rPr>
              <w:t>用户需求书条款</w:t>
            </w:r>
          </w:p>
        </w:tc>
        <w:tc>
          <w:tcPr>
            <w:tcW w:w="3183" w:type="dxa"/>
            <w:tcBorders>
              <w:top w:val="single" w:color="auto" w:sz="4" w:space="0"/>
              <w:left w:val="single" w:color="auto" w:sz="4" w:space="0"/>
              <w:bottom w:val="single" w:color="auto" w:sz="4" w:space="0"/>
              <w:right w:val="single" w:color="auto" w:sz="4" w:space="0"/>
            </w:tcBorders>
            <w:vAlign w:val="center"/>
          </w:tcPr>
          <w:p>
            <w:pPr>
              <w:widowControl w:val="0"/>
              <w:shd w:val="clear"/>
              <w:adjustRightInd w:val="0"/>
              <w:jc w:val="center"/>
              <w:rPr>
                <w:rFonts w:ascii="宋体" w:hAnsi="宋体"/>
                <w:highlight w:val="none"/>
              </w:rPr>
            </w:pPr>
            <w:r>
              <w:rPr>
                <w:rFonts w:hint="eastAsia" w:ascii="宋体" w:hAnsi="宋体"/>
                <w:highlight w:val="none"/>
              </w:rPr>
              <w:t>用户需求书要求</w:t>
            </w:r>
          </w:p>
        </w:tc>
        <w:tc>
          <w:tcPr>
            <w:tcW w:w="1734" w:type="dxa"/>
            <w:tcBorders>
              <w:top w:val="single" w:color="auto" w:sz="4" w:space="0"/>
              <w:left w:val="single" w:color="auto" w:sz="4" w:space="0"/>
              <w:bottom w:val="single" w:color="auto" w:sz="4" w:space="0"/>
              <w:right w:val="single" w:color="auto" w:sz="4" w:space="0"/>
            </w:tcBorders>
            <w:vAlign w:val="center"/>
          </w:tcPr>
          <w:p>
            <w:pPr>
              <w:shd w:val="clear"/>
              <w:adjustRightInd w:val="0"/>
              <w:jc w:val="center"/>
              <w:rPr>
                <w:rFonts w:ascii="宋体" w:hAnsi="宋体"/>
                <w:highlight w:val="none"/>
              </w:rPr>
            </w:pPr>
            <w:r>
              <w:rPr>
                <w:rFonts w:hint="eastAsia" w:ascii="宋体" w:hAnsi="宋体"/>
                <w:highlight w:val="none"/>
              </w:rPr>
              <w:t>比选申请文件响应</w:t>
            </w:r>
          </w:p>
        </w:tc>
        <w:tc>
          <w:tcPr>
            <w:tcW w:w="1220" w:type="dxa"/>
            <w:tcBorders>
              <w:top w:val="single" w:color="auto" w:sz="4" w:space="0"/>
              <w:left w:val="single" w:color="auto" w:sz="4" w:space="0"/>
              <w:bottom w:val="single" w:color="auto" w:sz="4" w:space="0"/>
              <w:right w:val="single" w:color="auto" w:sz="4" w:space="0"/>
            </w:tcBorders>
            <w:vAlign w:val="center"/>
          </w:tcPr>
          <w:p>
            <w:pPr>
              <w:widowControl w:val="0"/>
              <w:shd w:val="clear"/>
              <w:adjustRightInd w:val="0"/>
              <w:jc w:val="center"/>
              <w:rPr>
                <w:rFonts w:ascii="宋体" w:hAnsi="宋体"/>
                <w:highlight w:val="none"/>
              </w:rPr>
            </w:pPr>
            <w:r>
              <w:rPr>
                <w:rFonts w:hint="eastAsia" w:ascii="宋体" w:hAnsi="宋体"/>
                <w:highlight w:val="none"/>
              </w:rPr>
              <w:t>偏离</w:t>
            </w:r>
          </w:p>
        </w:tc>
        <w:tc>
          <w:tcPr>
            <w:tcW w:w="1177" w:type="dxa"/>
            <w:tcBorders>
              <w:top w:val="single" w:color="auto" w:sz="4" w:space="0"/>
              <w:left w:val="single" w:color="auto" w:sz="4" w:space="0"/>
              <w:bottom w:val="single" w:color="auto" w:sz="4" w:space="0"/>
              <w:right w:val="single" w:color="auto" w:sz="4" w:space="0"/>
            </w:tcBorders>
            <w:vAlign w:val="center"/>
          </w:tcPr>
          <w:p>
            <w:pPr>
              <w:widowControl w:val="0"/>
              <w:shd w:val="clear"/>
              <w:adjustRightInd w:val="0"/>
              <w:jc w:val="center"/>
              <w:rPr>
                <w:rFonts w:ascii="宋体" w:hAnsi="宋体"/>
                <w:highlight w:val="none"/>
              </w:rPr>
            </w:pPr>
            <w:r>
              <w:rPr>
                <w:rFonts w:hint="eastAsia" w:ascii="宋体" w:hAnsi="宋体"/>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24" w:type="dxa"/>
            <w:tcBorders>
              <w:top w:val="single" w:color="auto" w:sz="4" w:space="0"/>
              <w:left w:val="single" w:color="auto" w:sz="4" w:space="0"/>
              <w:bottom w:val="single" w:color="auto" w:sz="4" w:space="0"/>
              <w:right w:val="single" w:color="auto" w:sz="4" w:space="0"/>
            </w:tcBorders>
            <w:vAlign w:val="center"/>
          </w:tcPr>
          <w:p>
            <w:pPr>
              <w:widowControl w:val="0"/>
              <w:shd w:val="clear"/>
              <w:adjustRightInd w:val="0"/>
              <w:jc w:val="center"/>
              <w:rPr>
                <w:rFonts w:cs="Arial"/>
                <w:kern w:val="2"/>
                <w:highlight w:val="none"/>
              </w:rPr>
            </w:pPr>
            <w:r>
              <w:rPr>
                <w:rFonts w:hint="eastAsia" w:cs="Arial"/>
                <w:kern w:val="2"/>
                <w:highlight w:val="none"/>
              </w:rPr>
              <w:t>1</w:t>
            </w:r>
          </w:p>
        </w:tc>
        <w:tc>
          <w:tcPr>
            <w:tcW w:w="942" w:type="dxa"/>
            <w:tcBorders>
              <w:top w:val="single" w:color="auto" w:sz="4" w:space="0"/>
              <w:left w:val="single" w:color="auto" w:sz="4" w:space="0"/>
              <w:bottom w:val="single" w:color="auto" w:sz="4" w:space="0"/>
              <w:right w:val="single" w:color="auto" w:sz="4" w:space="0"/>
            </w:tcBorders>
            <w:vAlign w:val="center"/>
          </w:tcPr>
          <w:p>
            <w:pPr>
              <w:widowControl w:val="0"/>
              <w:shd w:val="clear"/>
              <w:adjustRightInd w:val="0"/>
              <w:jc w:val="center"/>
              <w:rPr>
                <w:rFonts w:hint="default" w:eastAsia="宋体" w:cs="Arial"/>
                <w:kern w:val="2"/>
                <w:highlight w:val="none"/>
                <w:lang w:val="en-US" w:eastAsia="zh-CN"/>
              </w:rPr>
            </w:pPr>
            <w:r>
              <w:rPr>
                <w:rFonts w:hint="eastAsia" w:cs="Arial"/>
                <w:kern w:val="2"/>
                <w:highlight w:val="none"/>
                <w:lang w:val="en-US" w:eastAsia="zh-CN"/>
              </w:rPr>
              <w:t>2.7</w:t>
            </w:r>
          </w:p>
        </w:tc>
        <w:tc>
          <w:tcPr>
            <w:tcW w:w="3183" w:type="dxa"/>
            <w:tcBorders>
              <w:top w:val="single" w:color="auto" w:sz="4" w:space="0"/>
              <w:left w:val="single" w:color="auto" w:sz="4" w:space="0"/>
              <w:bottom w:val="single" w:color="auto" w:sz="4" w:space="0"/>
              <w:right w:val="single" w:color="auto" w:sz="4" w:space="0"/>
            </w:tcBorders>
            <w:vAlign w:val="top"/>
          </w:tcPr>
          <w:p>
            <w:pPr>
              <w:widowControl w:val="0"/>
              <w:shd w:val="clear"/>
              <w:adjustRightInd w:val="0"/>
              <w:ind w:left="0" w:leftChars="0" w:firstLine="0" w:firstLineChars="0"/>
              <w:jc w:val="both"/>
              <w:rPr>
                <w:rFonts w:hint="eastAsia" w:eastAsia="宋体" w:cs="Arial"/>
                <w:kern w:val="2"/>
                <w:highlight w:val="none"/>
                <w:lang w:eastAsia="zh-CN"/>
              </w:rPr>
            </w:pPr>
            <w:r>
              <w:rPr>
                <w:rFonts w:hint="eastAsia" w:ascii="宋体" w:hAnsi="宋体" w:cs="宋体"/>
                <w:color w:val="000000"/>
                <w:highlight w:val="none"/>
              </w:rPr>
              <w:t>计划工期60天</w:t>
            </w:r>
            <w:r>
              <w:rPr>
                <w:rFonts w:hint="eastAsia" w:ascii="宋体" w:hAnsi="宋体" w:cs="宋体"/>
                <w:color w:val="000000"/>
                <w:highlight w:val="none"/>
                <w:lang w:eastAsia="zh-CN"/>
              </w:rPr>
              <w:t>（</w:t>
            </w:r>
            <w:r>
              <w:rPr>
                <w:rFonts w:hint="eastAsia" w:ascii="宋体" w:hAnsi="宋体" w:cs="宋体"/>
                <w:color w:val="000000"/>
                <w:highlight w:val="none"/>
                <w:lang w:val="en-US" w:eastAsia="zh-CN"/>
              </w:rPr>
              <w:t>如遇特殊情况或极端天气则工器顺延</w:t>
            </w:r>
            <w:r>
              <w:rPr>
                <w:rFonts w:hint="eastAsia" w:ascii="宋体" w:hAnsi="宋体" w:cs="宋体"/>
                <w:color w:val="000000"/>
                <w:highlight w:val="none"/>
                <w:lang w:eastAsia="zh-CN"/>
              </w:rPr>
              <w:t>）</w:t>
            </w:r>
          </w:p>
        </w:tc>
        <w:tc>
          <w:tcPr>
            <w:tcW w:w="1734" w:type="dxa"/>
            <w:tcBorders>
              <w:top w:val="single" w:color="auto" w:sz="4" w:space="0"/>
              <w:left w:val="single" w:color="auto" w:sz="4" w:space="0"/>
              <w:bottom w:val="single" w:color="auto" w:sz="4" w:space="0"/>
              <w:right w:val="single" w:color="auto" w:sz="4" w:space="0"/>
            </w:tcBorders>
            <w:vAlign w:val="center"/>
          </w:tcPr>
          <w:p>
            <w:pPr>
              <w:widowControl w:val="0"/>
              <w:shd w:val="clear"/>
              <w:adjustRightInd w:val="0"/>
              <w:jc w:val="center"/>
              <w:rPr>
                <w:rFonts w:cs="Arial"/>
                <w:kern w:val="2"/>
                <w:highlight w:val="none"/>
              </w:rPr>
            </w:pPr>
          </w:p>
        </w:tc>
        <w:tc>
          <w:tcPr>
            <w:tcW w:w="1220" w:type="dxa"/>
            <w:tcBorders>
              <w:top w:val="single" w:color="auto" w:sz="4" w:space="0"/>
              <w:left w:val="single" w:color="auto" w:sz="4" w:space="0"/>
              <w:bottom w:val="single" w:color="auto" w:sz="4" w:space="0"/>
              <w:right w:val="single" w:color="auto" w:sz="4" w:space="0"/>
            </w:tcBorders>
            <w:vAlign w:val="center"/>
          </w:tcPr>
          <w:p>
            <w:pPr>
              <w:widowControl w:val="0"/>
              <w:shd w:val="clear"/>
              <w:adjustRightInd w:val="0"/>
              <w:jc w:val="center"/>
              <w:rPr>
                <w:rFonts w:cs="Arial"/>
                <w:kern w:val="2"/>
                <w:highlight w:val="none"/>
              </w:rPr>
            </w:pPr>
          </w:p>
        </w:tc>
        <w:tc>
          <w:tcPr>
            <w:tcW w:w="1177" w:type="dxa"/>
            <w:tcBorders>
              <w:top w:val="single" w:color="auto" w:sz="4" w:space="0"/>
              <w:left w:val="single" w:color="auto" w:sz="4" w:space="0"/>
              <w:bottom w:val="single" w:color="auto" w:sz="4" w:space="0"/>
              <w:right w:val="single" w:color="auto" w:sz="4" w:space="0"/>
            </w:tcBorders>
          </w:tcPr>
          <w:p>
            <w:pPr>
              <w:widowControl w:val="0"/>
              <w:shd w:val="clear"/>
              <w:adjustRightInd w:val="0"/>
              <w:jc w:val="center"/>
              <w:rPr>
                <w:rFonts w:cs="Arial"/>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24" w:type="dxa"/>
            <w:tcBorders>
              <w:top w:val="single" w:color="auto" w:sz="4" w:space="0"/>
              <w:left w:val="single" w:color="auto" w:sz="4" w:space="0"/>
              <w:bottom w:val="single" w:color="auto" w:sz="4" w:space="0"/>
              <w:right w:val="single" w:color="auto" w:sz="4" w:space="0"/>
            </w:tcBorders>
            <w:vAlign w:val="center"/>
          </w:tcPr>
          <w:p>
            <w:pPr>
              <w:widowControl w:val="0"/>
              <w:shd w:val="clear"/>
              <w:adjustRightInd w:val="0"/>
              <w:jc w:val="center"/>
              <w:rPr>
                <w:rFonts w:cs="Arial"/>
                <w:kern w:val="2"/>
                <w:highlight w:val="none"/>
              </w:rPr>
            </w:pPr>
            <w:r>
              <w:rPr>
                <w:rFonts w:hint="eastAsia" w:cs="Arial"/>
                <w:kern w:val="2"/>
                <w:highlight w:val="none"/>
              </w:rPr>
              <w:t>2</w:t>
            </w:r>
          </w:p>
        </w:tc>
        <w:tc>
          <w:tcPr>
            <w:tcW w:w="942" w:type="dxa"/>
            <w:tcBorders>
              <w:top w:val="single" w:color="auto" w:sz="4" w:space="0"/>
              <w:left w:val="single" w:color="auto" w:sz="4" w:space="0"/>
              <w:bottom w:val="single" w:color="auto" w:sz="4" w:space="0"/>
              <w:right w:val="single" w:color="auto" w:sz="4" w:space="0"/>
            </w:tcBorders>
            <w:vAlign w:val="center"/>
          </w:tcPr>
          <w:p>
            <w:pPr>
              <w:widowControl w:val="0"/>
              <w:shd w:val="clear"/>
              <w:adjustRightInd w:val="0"/>
              <w:jc w:val="center"/>
              <w:rPr>
                <w:rFonts w:hint="default" w:eastAsia="宋体" w:cs="Arial"/>
                <w:kern w:val="2"/>
                <w:highlight w:val="none"/>
                <w:lang w:val="en-US" w:eastAsia="zh-CN"/>
              </w:rPr>
            </w:pPr>
            <w:r>
              <w:rPr>
                <w:rFonts w:hint="eastAsia" w:ascii="宋体" w:hAnsi="宋体" w:cs="宋体"/>
                <w:kern w:val="2"/>
                <w:highlight w:val="none"/>
              </w:rPr>
              <w:t>2.</w:t>
            </w:r>
            <w:r>
              <w:rPr>
                <w:rFonts w:hint="eastAsia" w:ascii="宋体" w:hAnsi="宋体" w:cs="宋体"/>
                <w:kern w:val="2"/>
                <w:highlight w:val="none"/>
                <w:lang w:val="en-US" w:eastAsia="zh-CN"/>
              </w:rPr>
              <w:t>8.2</w:t>
            </w:r>
          </w:p>
        </w:tc>
        <w:tc>
          <w:tcPr>
            <w:tcW w:w="3183" w:type="dxa"/>
            <w:tcBorders>
              <w:top w:val="single" w:color="auto" w:sz="4" w:space="0"/>
              <w:left w:val="single" w:color="auto" w:sz="4" w:space="0"/>
              <w:bottom w:val="single" w:color="auto" w:sz="4" w:space="0"/>
              <w:right w:val="single" w:color="auto" w:sz="4" w:space="0"/>
            </w:tcBorders>
            <w:vAlign w:val="center"/>
          </w:tcPr>
          <w:p>
            <w:pPr>
              <w:shd w:val="clear"/>
              <w:spacing w:before="0" w:after="0" w:afterAutospacing="0" w:line="240" w:lineRule="auto"/>
              <w:ind w:left="0" w:right="0" w:firstLine="0"/>
              <w:textAlignment w:val="center"/>
              <w:rPr>
                <w:rFonts w:ascii="宋体" w:hAnsi="宋体" w:cs="宋体"/>
                <w:color w:val="000000"/>
                <w:highlight w:val="none"/>
              </w:rPr>
            </w:pPr>
            <w:r>
              <w:rPr>
                <w:rFonts w:hint="eastAsia" w:ascii="宋体" w:hAnsi="宋体" w:cs="宋体"/>
                <w:color w:val="000000"/>
                <w:highlight w:val="none"/>
              </w:rPr>
              <w:t>用于本工程项目的所有材料，必须符合国家标准与行业规范，确保其达到质量、安全、环保等要求，其规格、型号、材质、颜色、档次等与原有材料须保持基本一致并且符合比选人要求方可进场。如需更换材料材质、型号，改变原有结构等必须征得比选人同意后方可实施。</w:t>
            </w:r>
          </w:p>
        </w:tc>
        <w:tc>
          <w:tcPr>
            <w:tcW w:w="1734" w:type="dxa"/>
            <w:tcBorders>
              <w:top w:val="single" w:color="auto" w:sz="4" w:space="0"/>
              <w:left w:val="single" w:color="auto" w:sz="4" w:space="0"/>
              <w:bottom w:val="single" w:color="auto" w:sz="4" w:space="0"/>
              <w:right w:val="single" w:color="auto" w:sz="4" w:space="0"/>
            </w:tcBorders>
            <w:vAlign w:val="center"/>
          </w:tcPr>
          <w:p>
            <w:pPr>
              <w:widowControl w:val="0"/>
              <w:shd w:val="clear"/>
              <w:adjustRightInd w:val="0"/>
              <w:jc w:val="center"/>
              <w:rPr>
                <w:rFonts w:cs="Arial"/>
                <w:kern w:val="2"/>
                <w:highlight w:val="none"/>
              </w:rPr>
            </w:pPr>
          </w:p>
        </w:tc>
        <w:tc>
          <w:tcPr>
            <w:tcW w:w="1220" w:type="dxa"/>
            <w:tcBorders>
              <w:top w:val="single" w:color="auto" w:sz="4" w:space="0"/>
              <w:left w:val="single" w:color="auto" w:sz="4" w:space="0"/>
              <w:bottom w:val="single" w:color="auto" w:sz="4" w:space="0"/>
              <w:right w:val="single" w:color="auto" w:sz="4" w:space="0"/>
            </w:tcBorders>
            <w:vAlign w:val="center"/>
          </w:tcPr>
          <w:p>
            <w:pPr>
              <w:widowControl w:val="0"/>
              <w:shd w:val="clear"/>
              <w:adjustRightInd w:val="0"/>
              <w:jc w:val="center"/>
              <w:rPr>
                <w:rFonts w:cs="Arial"/>
                <w:kern w:val="2"/>
                <w:highlight w:val="none"/>
              </w:rPr>
            </w:pPr>
          </w:p>
        </w:tc>
        <w:tc>
          <w:tcPr>
            <w:tcW w:w="1177" w:type="dxa"/>
            <w:tcBorders>
              <w:top w:val="single" w:color="auto" w:sz="4" w:space="0"/>
              <w:left w:val="single" w:color="auto" w:sz="4" w:space="0"/>
              <w:bottom w:val="single" w:color="auto" w:sz="4" w:space="0"/>
              <w:right w:val="single" w:color="auto" w:sz="4" w:space="0"/>
            </w:tcBorders>
          </w:tcPr>
          <w:p>
            <w:pPr>
              <w:widowControl w:val="0"/>
              <w:shd w:val="clear"/>
              <w:adjustRightInd w:val="0"/>
              <w:jc w:val="center"/>
              <w:rPr>
                <w:rFonts w:cs="Arial"/>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529" w:hRule="atLeast"/>
          <w:jc w:val="center"/>
        </w:trPr>
        <w:tc>
          <w:tcPr>
            <w:tcW w:w="624" w:type="dxa"/>
            <w:tcBorders>
              <w:top w:val="single" w:color="auto" w:sz="4" w:space="0"/>
              <w:left w:val="single" w:color="auto" w:sz="4" w:space="0"/>
              <w:bottom w:val="single" w:color="auto" w:sz="4" w:space="0"/>
              <w:right w:val="single" w:color="auto" w:sz="4" w:space="0"/>
            </w:tcBorders>
            <w:vAlign w:val="center"/>
          </w:tcPr>
          <w:p>
            <w:pPr>
              <w:widowControl w:val="0"/>
              <w:shd w:val="clear"/>
              <w:adjustRightInd w:val="0"/>
              <w:jc w:val="center"/>
              <w:rPr>
                <w:rFonts w:cs="Arial"/>
                <w:kern w:val="2"/>
                <w:highlight w:val="none"/>
              </w:rPr>
            </w:pPr>
            <w:r>
              <w:rPr>
                <w:rFonts w:hint="eastAsia" w:cs="Arial"/>
                <w:kern w:val="2"/>
                <w:highlight w:val="none"/>
              </w:rPr>
              <w:t>3</w:t>
            </w:r>
          </w:p>
        </w:tc>
        <w:tc>
          <w:tcPr>
            <w:tcW w:w="942" w:type="dxa"/>
            <w:tcBorders>
              <w:top w:val="single" w:color="auto" w:sz="4" w:space="0"/>
              <w:left w:val="single" w:color="auto" w:sz="4" w:space="0"/>
              <w:bottom w:val="single" w:color="auto" w:sz="4" w:space="0"/>
              <w:right w:val="single" w:color="auto" w:sz="4" w:space="0"/>
            </w:tcBorders>
            <w:vAlign w:val="center"/>
          </w:tcPr>
          <w:p>
            <w:pPr>
              <w:widowControl w:val="0"/>
              <w:shd w:val="clear"/>
              <w:adjustRightInd w:val="0"/>
              <w:jc w:val="center"/>
              <w:rPr>
                <w:rFonts w:cs="Arial"/>
                <w:kern w:val="2"/>
                <w:highlight w:val="none"/>
              </w:rPr>
            </w:pPr>
            <w:r>
              <w:rPr>
                <w:rFonts w:hint="eastAsia" w:ascii="宋体" w:hAnsi="宋体" w:cs="宋体"/>
                <w:highlight w:val="none"/>
              </w:rPr>
              <w:t>2.</w:t>
            </w:r>
            <w:r>
              <w:rPr>
                <w:rFonts w:hint="eastAsia" w:ascii="宋体" w:hAnsi="宋体" w:cs="宋体"/>
                <w:highlight w:val="none"/>
                <w:lang w:val="en-US" w:eastAsia="zh-CN"/>
              </w:rPr>
              <w:t>8</w:t>
            </w:r>
            <w:r>
              <w:rPr>
                <w:rFonts w:hint="eastAsia" w:ascii="宋体" w:hAnsi="宋体" w:cs="宋体"/>
                <w:highlight w:val="none"/>
              </w:rPr>
              <w:t>.3</w:t>
            </w:r>
          </w:p>
        </w:tc>
        <w:tc>
          <w:tcPr>
            <w:tcW w:w="3183" w:type="dxa"/>
            <w:tcBorders>
              <w:top w:val="single" w:color="auto" w:sz="4" w:space="0"/>
              <w:left w:val="single" w:color="auto" w:sz="4" w:space="0"/>
              <w:bottom w:val="single" w:color="auto" w:sz="4" w:space="0"/>
              <w:right w:val="single" w:color="auto" w:sz="4" w:space="0"/>
            </w:tcBorders>
            <w:vAlign w:val="center"/>
          </w:tcPr>
          <w:p>
            <w:pPr>
              <w:shd w:val="clear"/>
              <w:spacing w:before="0" w:after="0" w:afterAutospacing="0" w:line="240" w:lineRule="auto"/>
              <w:ind w:left="0" w:right="0" w:firstLine="0"/>
              <w:textAlignment w:val="center"/>
              <w:rPr>
                <w:rFonts w:ascii="宋体" w:hAnsi="宋体" w:cs="宋体"/>
                <w:color w:val="000000"/>
                <w:highlight w:val="none"/>
              </w:rPr>
            </w:pPr>
            <w:r>
              <w:rPr>
                <w:rFonts w:hint="eastAsia" w:ascii="宋体" w:hAnsi="宋体" w:cs="宋体"/>
                <w:highlight w:val="none"/>
              </w:rPr>
              <w:t>拆卸或更换的材料必须按比选人相关规定进行回收或报废处理。</w:t>
            </w:r>
          </w:p>
        </w:tc>
        <w:tc>
          <w:tcPr>
            <w:tcW w:w="1734" w:type="dxa"/>
            <w:tcBorders>
              <w:top w:val="single" w:color="auto" w:sz="4" w:space="0"/>
              <w:left w:val="single" w:color="auto" w:sz="4" w:space="0"/>
              <w:bottom w:val="single" w:color="auto" w:sz="4" w:space="0"/>
              <w:right w:val="single" w:color="auto" w:sz="4" w:space="0"/>
            </w:tcBorders>
            <w:vAlign w:val="center"/>
          </w:tcPr>
          <w:p>
            <w:pPr>
              <w:widowControl w:val="0"/>
              <w:shd w:val="clear"/>
              <w:adjustRightInd w:val="0"/>
              <w:jc w:val="center"/>
              <w:rPr>
                <w:rFonts w:cs="Arial"/>
                <w:kern w:val="2"/>
                <w:highlight w:val="none"/>
              </w:rPr>
            </w:pPr>
          </w:p>
        </w:tc>
        <w:tc>
          <w:tcPr>
            <w:tcW w:w="1220" w:type="dxa"/>
            <w:tcBorders>
              <w:top w:val="single" w:color="auto" w:sz="4" w:space="0"/>
              <w:left w:val="single" w:color="auto" w:sz="4" w:space="0"/>
              <w:bottom w:val="single" w:color="auto" w:sz="4" w:space="0"/>
              <w:right w:val="single" w:color="auto" w:sz="4" w:space="0"/>
            </w:tcBorders>
            <w:vAlign w:val="center"/>
          </w:tcPr>
          <w:p>
            <w:pPr>
              <w:widowControl w:val="0"/>
              <w:shd w:val="clear"/>
              <w:adjustRightInd w:val="0"/>
              <w:jc w:val="center"/>
              <w:rPr>
                <w:rFonts w:cs="Arial"/>
                <w:kern w:val="2"/>
                <w:highlight w:val="none"/>
              </w:rPr>
            </w:pPr>
          </w:p>
        </w:tc>
        <w:tc>
          <w:tcPr>
            <w:tcW w:w="1177" w:type="dxa"/>
            <w:tcBorders>
              <w:top w:val="single" w:color="auto" w:sz="4" w:space="0"/>
              <w:left w:val="single" w:color="auto" w:sz="4" w:space="0"/>
              <w:bottom w:val="single" w:color="auto" w:sz="4" w:space="0"/>
              <w:right w:val="single" w:color="auto" w:sz="4" w:space="0"/>
            </w:tcBorders>
          </w:tcPr>
          <w:p>
            <w:pPr>
              <w:widowControl w:val="0"/>
              <w:shd w:val="clear"/>
              <w:adjustRightInd w:val="0"/>
              <w:jc w:val="center"/>
              <w:rPr>
                <w:rFonts w:cs="Arial"/>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202" w:hRule="atLeast"/>
          <w:jc w:val="center"/>
        </w:trPr>
        <w:tc>
          <w:tcPr>
            <w:tcW w:w="624" w:type="dxa"/>
            <w:tcBorders>
              <w:top w:val="single" w:color="auto" w:sz="4" w:space="0"/>
              <w:left w:val="single" w:color="auto" w:sz="4" w:space="0"/>
              <w:bottom w:val="single" w:color="auto" w:sz="4" w:space="0"/>
              <w:right w:val="single" w:color="auto" w:sz="4" w:space="0"/>
            </w:tcBorders>
            <w:vAlign w:val="center"/>
          </w:tcPr>
          <w:p>
            <w:pPr>
              <w:widowControl w:val="0"/>
              <w:shd w:val="clear"/>
              <w:adjustRightInd w:val="0"/>
              <w:jc w:val="center"/>
              <w:rPr>
                <w:rFonts w:cs="Arial"/>
                <w:kern w:val="2"/>
                <w:highlight w:val="none"/>
              </w:rPr>
            </w:pPr>
            <w:r>
              <w:rPr>
                <w:rFonts w:hint="eastAsia" w:cs="Arial"/>
                <w:kern w:val="2"/>
                <w:highlight w:val="none"/>
              </w:rPr>
              <w:t>4</w:t>
            </w:r>
          </w:p>
        </w:tc>
        <w:tc>
          <w:tcPr>
            <w:tcW w:w="942" w:type="dxa"/>
            <w:tcBorders>
              <w:top w:val="single" w:color="auto" w:sz="4" w:space="0"/>
              <w:left w:val="single" w:color="auto" w:sz="4" w:space="0"/>
              <w:bottom w:val="single" w:color="auto" w:sz="4" w:space="0"/>
              <w:right w:val="single" w:color="auto" w:sz="4" w:space="0"/>
            </w:tcBorders>
            <w:vAlign w:val="center"/>
          </w:tcPr>
          <w:p>
            <w:pPr>
              <w:shd w:val="clear"/>
              <w:spacing w:before="0" w:after="0" w:afterAutospacing="0" w:line="240" w:lineRule="auto"/>
              <w:ind w:left="0" w:right="0" w:firstLine="0"/>
              <w:textAlignment w:val="center"/>
              <w:rPr>
                <w:rFonts w:hint="eastAsia" w:ascii="宋体" w:hAnsi="宋体" w:cs="宋体"/>
                <w:color w:val="000000"/>
                <w:highlight w:val="none"/>
                <w:lang w:val="en-US" w:eastAsia="zh-CN"/>
              </w:rPr>
            </w:pPr>
            <w:r>
              <w:rPr>
                <w:rFonts w:hint="eastAsia" w:ascii="宋体" w:hAnsi="宋体" w:cs="宋体"/>
                <w:color w:val="000000"/>
                <w:highlight w:val="none"/>
                <w:lang w:val="en-US" w:eastAsia="zh-CN"/>
              </w:rPr>
              <w:t>3.6.1管道要求</w:t>
            </w:r>
          </w:p>
        </w:tc>
        <w:tc>
          <w:tcPr>
            <w:tcW w:w="3183" w:type="dxa"/>
            <w:tcBorders>
              <w:top w:val="single" w:color="auto" w:sz="4" w:space="0"/>
              <w:left w:val="single" w:color="auto" w:sz="4" w:space="0"/>
              <w:bottom w:val="single" w:color="auto" w:sz="4" w:space="0"/>
              <w:right w:val="single" w:color="auto" w:sz="4" w:space="0"/>
            </w:tcBorders>
            <w:vAlign w:val="center"/>
          </w:tcPr>
          <w:p>
            <w:pPr>
              <w:shd w:val="clear"/>
              <w:spacing w:before="0" w:after="0" w:afterAutospacing="0" w:line="240" w:lineRule="auto"/>
              <w:ind w:left="0" w:right="0" w:firstLine="0"/>
              <w:textAlignment w:val="center"/>
              <w:rPr>
                <w:rFonts w:hint="eastAsia" w:ascii="宋体" w:hAnsi="宋体" w:cs="宋体"/>
                <w:color w:val="000000"/>
                <w:highlight w:val="none"/>
                <w:lang w:val="en-US" w:eastAsia="zh-CN"/>
              </w:rPr>
            </w:pPr>
            <w:r>
              <w:rPr>
                <w:rFonts w:hint="eastAsia" w:ascii="宋体" w:hAnsi="宋体" w:cs="宋体"/>
                <w:color w:val="000000"/>
                <w:highlight w:val="none"/>
                <w:lang w:val="en-US" w:eastAsia="zh-CN"/>
              </w:rPr>
              <w:t>1.配水管道使用热镀锌钢管，管道连接方式、坡度应符合《自动喷水灭火系统设计规范 GB50084-2017》“ 8管道”要求；材质应符合现行国家标准《输送流体用无缝钢管》GB/T 8163和《低压流体输送用焊接钢管》GB/T 3091 的要求。</w:t>
            </w:r>
          </w:p>
          <w:p>
            <w:pPr>
              <w:shd w:val="clear"/>
              <w:spacing w:before="0" w:after="0" w:afterAutospacing="0" w:line="240" w:lineRule="auto"/>
              <w:ind w:left="0" w:right="0" w:firstLine="0"/>
              <w:textAlignment w:val="center"/>
              <w:rPr>
                <w:rFonts w:hint="eastAsia" w:ascii="宋体" w:hAnsi="宋体" w:cs="宋体"/>
                <w:color w:val="000000"/>
                <w:highlight w:val="none"/>
                <w:lang w:val="en-US" w:eastAsia="zh-CN"/>
              </w:rPr>
            </w:pPr>
            <w:r>
              <w:rPr>
                <w:rFonts w:hint="eastAsia" w:ascii="宋体" w:hAnsi="宋体" w:cs="宋体"/>
                <w:color w:val="000000"/>
                <w:highlight w:val="none"/>
                <w:lang w:val="en-US" w:eastAsia="zh-CN"/>
              </w:rPr>
              <w:t>2.埋地管道覆土埋深应大于或等于0.7m。</w:t>
            </w:r>
          </w:p>
          <w:p>
            <w:pPr>
              <w:shd w:val="clear"/>
              <w:spacing w:before="0" w:after="0" w:afterAutospacing="0" w:line="240" w:lineRule="auto"/>
              <w:ind w:left="0" w:right="0" w:firstLine="0"/>
              <w:textAlignment w:val="center"/>
              <w:rPr>
                <w:rFonts w:hint="eastAsia" w:ascii="宋体" w:hAnsi="宋体" w:cs="宋体"/>
                <w:color w:val="000000"/>
                <w:highlight w:val="none"/>
                <w:lang w:val="en-US" w:eastAsia="zh-CN"/>
              </w:rPr>
            </w:pPr>
            <w:r>
              <w:rPr>
                <w:rFonts w:hint="eastAsia" w:ascii="宋体" w:hAnsi="宋体" w:cs="宋体"/>
                <w:color w:val="000000"/>
                <w:highlight w:val="none"/>
                <w:lang w:val="en-US" w:eastAsia="zh-CN"/>
              </w:rPr>
              <w:t>3.系统试压前需先完成管道清洗工作。</w:t>
            </w:r>
          </w:p>
          <w:p>
            <w:pPr>
              <w:shd w:val="clear"/>
              <w:spacing w:before="0" w:after="0" w:afterAutospacing="0" w:line="240" w:lineRule="auto"/>
              <w:ind w:left="0" w:right="0" w:firstLine="0"/>
              <w:textAlignment w:val="center"/>
              <w:rPr>
                <w:rFonts w:hint="eastAsia" w:ascii="宋体" w:hAnsi="宋体" w:cs="宋体"/>
                <w:color w:val="000000"/>
                <w:highlight w:val="none"/>
                <w:lang w:val="en-US" w:eastAsia="zh-CN"/>
              </w:rPr>
            </w:pPr>
            <w:r>
              <w:rPr>
                <w:rFonts w:hint="eastAsia" w:ascii="宋体" w:hAnsi="宋体" w:cs="宋体"/>
                <w:color w:val="000000"/>
                <w:highlight w:val="none"/>
                <w:lang w:val="en-US" w:eastAsia="zh-CN"/>
              </w:rPr>
              <w:t>4.埋地管道开挖敷设时，应注意避开施工场地内原有的植物及管廊、集水井等设备设施，不得对其造成损伤或破坏。</w:t>
            </w:r>
          </w:p>
        </w:tc>
        <w:tc>
          <w:tcPr>
            <w:tcW w:w="1734" w:type="dxa"/>
            <w:tcBorders>
              <w:top w:val="single" w:color="auto" w:sz="4" w:space="0"/>
              <w:left w:val="single" w:color="auto" w:sz="4" w:space="0"/>
              <w:bottom w:val="single" w:color="auto" w:sz="4" w:space="0"/>
              <w:right w:val="single" w:color="auto" w:sz="4" w:space="0"/>
            </w:tcBorders>
            <w:vAlign w:val="center"/>
          </w:tcPr>
          <w:p>
            <w:pPr>
              <w:widowControl w:val="0"/>
              <w:shd w:val="clear"/>
              <w:adjustRightInd w:val="0"/>
              <w:jc w:val="center"/>
              <w:rPr>
                <w:rFonts w:cs="Arial"/>
                <w:kern w:val="2"/>
                <w:highlight w:val="none"/>
              </w:rPr>
            </w:pPr>
          </w:p>
        </w:tc>
        <w:tc>
          <w:tcPr>
            <w:tcW w:w="1220" w:type="dxa"/>
            <w:tcBorders>
              <w:top w:val="single" w:color="auto" w:sz="4" w:space="0"/>
              <w:left w:val="single" w:color="auto" w:sz="4" w:space="0"/>
              <w:bottom w:val="single" w:color="auto" w:sz="4" w:space="0"/>
              <w:right w:val="single" w:color="auto" w:sz="4" w:space="0"/>
            </w:tcBorders>
            <w:vAlign w:val="center"/>
          </w:tcPr>
          <w:p>
            <w:pPr>
              <w:widowControl w:val="0"/>
              <w:shd w:val="clear"/>
              <w:adjustRightInd w:val="0"/>
              <w:jc w:val="center"/>
              <w:rPr>
                <w:rFonts w:cs="Arial"/>
                <w:kern w:val="2"/>
                <w:highlight w:val="none"/>
              </w:rPr>
            </w:pPr>
          </w:p>
        </w:tc>
        <w:tc>
          <w:tcPr>
            <w:tcW w:w="1177" w:type="dxa"/>
            <w:tcBorders>
              <w:top w:val="single" w:color="auto" w:sz="4" w:space="0"/>
              <w:left w:val="single" w:color="auto" w:sz="4" w:space="0"/>
              <w:bottom w:val="single" w:color="auto" w:sz="4" w:space="0"/>
              <w:right w:val="single" w:color="auto" w:sz="4" w:space="0"/>
            </w:tcBorders>
          </w:tcPr>
          <w:p>
            <w:pPr>
              <w:widowControl w:val="0"/>
              <w:shd w:val="clear"/>
              <w:adjustRightInd w:val="0"/>
              <w:jc w:val="center"/>
              <w:rPr>
                <w:rFonts w:cs="Arial"/>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754" w:hRule="atLeast"/>
          <w:jc w:val="center"/>
        </w:trPr>
        <w:tc>
          <w:tcPr>
            <w:tcW w:w="624" w:type="dxa"/>
            <w:tcBorders>
              <w:top w:val="single" w:color="auto" w:sz="4" w:space="0"/>
              <w:left w:val="single" w:color="auto" w:sz="4" w:space="0"/>
              <w:bottom w:val="single" w:color="auto" w:sz="4" w:space="0"/>
              <w:right w:val="single" w:color="auto" w:sz="4" w:space="0"/>
            </w:tcBorders>
            <w:vAlign w:val="center"/>
          </w:tcPr>
          <w:p>
            <w:pPr>
              <w:widowControl w:val="0"/>
              <w:shd w:val="clear"/>
              <w:adjustRightInd w:val="0"/>
              <w:jc w:val="center"/>
              <w:rPr>
                <w:rFonts w:cs="Arial"/>
                <w:kern w:val="2"/>
                <w:highlight w:val="none"/>
              </w:rPr>
            </w:pPr>
            <w:r>
              <w:rPr>
                <w:rFonts w:hint="eastAsia" w:cs="Arial"/>
                <w:kern w:val="2"/>
                <w:highlight w:val="none"/>
              </w:rPr>
              <w:t>5</w:t>
            </w:r>
          </w:p>
        </w:tc>
        <w:tc>
          <w:tcPr>
            <w:tcW w:w="942" w:type="dxa"/>
            <w:tcBorders>
              <w:top w:val="single" w:color="auto" w:sz="4" w:space="0"/>
              <w:left w:val="single" w:color="auto" w:sz="4" w:space="0"/>
              <w:bottom w:val="single" w:color="auto" w:sz="4" w:space="0"/>
              <w:right w:val="single" w:color="auto" w:sz="4" w:space="0"/>
            </w:tcBorders>
            <w:vAlign w:val="center"/>
          </w:tcPr>
          <w:p>
            <w:pPr>
              <w:shd w:val="clear"/>
              <w:spacing w:before="0" w:after="0" w:afterAutospacing="0" w:line="240" w:lineRule="auto"/>
              <w:ind w:left="0" w:right="0" w:firstLine="0"/>
              <w:textAlignment w:val="center"/>
              <w:rPr>
                <w:rFonts w:ascii="宋体" w:hAnsi="宋体" w:cs="宋体"/>
                <w:color w:val="000000"/>
                <w:highlight w:val="none"/>
              </w:rPr>
            </w:pPr>
            <w:r>
              <w:rPr>
                <w:rFonts w:hint="eastAsia" w:ascii="宋体" w:hAnsi="宋体" w:cs="宋体"/>
                <w:color w:val="000000"/>
                <w:highlight w:val="none"/>
              </w:rPr>
              <w:t>3.6.2支架制作及安装要求</w:t>
            </w:r>
          </w:p>
        </w:tc>
        <w:tc>
          <w:tcPr>
            <w:tcW w:w="3183" w:type="dxa"/>
            <w:tcBorders>
              <w:top w:val="single" w:color="auto" w:sz="4" w:space="0"/>
              <w:left w:val="single" w:color="auto" w:sz="4" w:space="0"/>
              <w:bottom w:val="single" w:color="auto" w:sz="4" w:space="0"/>
              <w:right w:val="single" w:color="auto" w:sz="4" w:space="0"/>
            </w:tcBorders>
            <w:vAlign w:val="center"/>
          </w:tcPr>
          <w:p>
            <w:pPr>
              <w:shd w:val="clear"/>
              <w:spacing w:before="0" w:after="0" w:afterAutospacing="0" w:line="240" w:lineRule="auto"/>
              <w:ind w:left="0" w:right="0" w:firstLine="0"/>
              <w:textAlignment w:val="center"/>
              <w:rPr>
                <w:rFonts w:ascii="宋体" w:hAnsi="宋体" w:cs="宋体"/>
                <w:color w:val="000000"/>
                <w:highlight w:val="none"/>
              </w:rPr>
            </w:pPr>
            <w:r>
              <w:rPr>
                <w:rFonts w:hint="eastAsia" w:ascii="宋体" w:hAnsi="宋体" w:eastAsiaTheme="minorEastAsia" w:cstheme="minorBidi"/>
                <w:kern w:val="2"/>
                <w:szCs w:val="24"/>
                <w:highlight w:val="none"/>
              </w:rPr>
              <w:t>支架制作使用的角钢其材质、型号及规格在满足比选人需求的同时，需满足国家标准GB/T 706-2016《热轧型钢》相关要求。</w:t>
            </w:r>
          </w:p>
        </w:tc>
        <w:tc>
          <w:tcPr>
            <w:tcW w:w="1734" w:type="dxa"/>
            <w:tcBorders>
              <w:top w:val="single" w:color="auto" w:sz="4" w:space="0"/>
              <w:left w:val="single" w:color="auto" w:sz="4" w:space="0"/>
              <w:bottom w:val="single" w:color="auto" w:sz="4" w:space="0"/>
              <w:right w:val="single" w:color="auto" w:sz="4" w:space="0"/>
            </w:tcBorders>
            <w:vAlign w:val="center"/>
          </w:tcPr>
          <w:p>
            <w:pPr>
              <w:widowControl w:val="0"/>
              <w:shd w:val="clear"/>
              <w:adjustRightInd w:val="0"/>
              <w:jc w:val="center"/>
              <w:rPr>
                <w:rFonts w:cs="Arial"/>
                <w:kern w:val="2"/>
                <w:highlight w:val="none"/>
              </w:rPr>
            </w:pPr>
          </w:p>
        </w:tc>
        <w:tc>
          <w:tcPr>
            <w:tcW w:w="1220" w:type="dxa"/>
            <w:tcBorders>
              <w:top w:val="single" w:color="auto" w:sz="4" w:space="0"/>
              <w:left w:val="single" w:color="auto" w:sz="4" w:space="0"/>
              <w:bottom w:val="single" w:color="auto" w:sz="4" w:space="0"/>
              <w:right w:val="single" w:color="auto" w:sz="4" w:space="0"/>
            </w:tcBorders>
            <w:vAlign w:val="center"/>
          </w:tcPr>
          <w:p>
            <w:pPr>
              <w:widowControl w:val="0"/>
              <w:shd w:val="clear"/>
              <w:adjustRightInd w:val="0"/>
              <w:jc w:val="center"/>
              <w:rPr>
                <w:rFonts w:cs="Arial"/>
                <w:kern w:val="2"/>
                <w:highlight w:val="none"/>
              </w:rPr>
            </w:pPr>
          </w:p>
        </w:tc>
        <w:tc>
          <w:tcPr>
            <w:tcW w:w="1177" w:type="dxa"/>
            <w:tcBorders>
              <w:top w:val="single" w:color="auto" w:sz="4" w:space="0"/>
              <w:left w:val="single" w:color="auto" w:sz="4" w:space="0"/>
              <w:bottom w:val="single" w:color="auto" w:sz="4" w:space="0"/>
              <w:right w:val="single" w:color="auto" w:sz="4" w:space="0"/>
            </w:tcBorders>
          </w:tcPr>
          <w:p>
            <w:pPr>
              <w:widowControl w:val="0"/>
              <w:shd w:val="clear"/>
              <w:adjustRightInd w:val="0"/>
              <w:jc w:val="center"/>
              <w:rPr>
                <w:rFonts w:cs="Arial"/>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754" w:hRule="atLeast"/>
          <w:jc w:val="center"/>
        </w:trPr>
        <w:tc>
          <w:tcPr>
            <w:tcW w:w="624" w:type="dxa"/>
            <w:tcBorders>
              <w:top w:val="single" w:color="auto" w:sz="4" w:space="0"/>
              <w:left w:val="single" w:color="auto" w:sz="4" w:space="0"/>
              <w:bottom w:val="single" w:color="auto" w:sz="4" w:space="0"/>
              <w:right w:val="single" w:color="auto" w:sz="4" w:space="0"/>
            </w:tcBorders>
            <w:vAlign w:val="center"/>
          </w:tcPr>
          <w:p>
            <w:pPr>
              <w:widowControl w:val="0"/>
              <w:shd w:val="clear"/>
              <w:adjustRightInd w:val="0"/>
              <w:jc w:val="center"/>
              <w:rPr>
                <w:rFonts w:cs="Arial"/>
                <w:kern w:val="2"/>
                <w:highlight w:val="none"/>
              </w:rPr>
            </w:pPr>
            <w:r>
              <w:rPr>
                <w:rFonts w:hint="eastAsia" w:cs="Arial"/>
                <w:kern w:val="2"/>
                <w:highlight w:val="none"/>
              </w:rPr>
              <w:t>6</w:t>
            </w:r>
          </w:p>
        </w:tc>
        <w:tc>
          <w:tcPr>
            <w:tcW w:w="942" w:type="dxa"/>
            <w:tcBorders>
              <w:top w:val="single" w:color="auto" w:sz="4" w:space="0"/>
              <w:left w:val="single" w:color="auto" w:sz="4" w:space="0"/>
              <w:bottom w:val="single" w:color="auto" w:sz="4" w:space="0"/>
              <w:right w:val="single" w:color="auto" w:sz="4" w:space="0"/>
            </w:tcBorders>
            <w:vAlign w:val="center"/>
          </w:tcPr>
          <w:p>
            <w:pPr>
              <w:shd w:val="clear"/>
              <w:spacing w:before="0" w:after="0" w:afterAutospacing="0" w:line="240" w:lineRule="auto"/>
              <w:ind w:left="0" w:right="0" w:firstLine="0"/>
              <w:textAlignment w:val="center"/>
              <w:rPr>
                <w:rFonts w:ascii="宋体" w:hAnsi="宋体" w:cs="宋体"/>
                <w:color w:val="000000"/>
                <w:highlight w:val="none"/>
              </w:rPr>
            </w:pPr>
            <w:r>
              <w:rPr>
                <w:rFonts w:hint="eastAsia" w:ascii="宋体" w:hAnsi="宋体" w:cs="宋体"/>
                <w:color w:val="000000"/>
                <w:highlight w:val="none"/>
              </w:rPr>
              <w:t>3.6.3喷淋头安装要求</w:t>
            </w:r>
          </w:p>
        </w:tc>
        <w:tc>
          <w:tcPr>
            <w:tcW w:w="3183" w:type="dxa"/>
            <w:tcBorders>
              <w:top w:val="single" w:color="auto" w:sz="4" w:space="0"/>
              <w:left w:val="single" w:color="auto" w:sz="4" w:space="0"/>
              <w:bottom w:val="single" w:color="auto" w:sz="4" w:space="0"/>
              <w:right w:val="single" w:color="auto" w:sz="4" w:space="0"/>
            </w:tcBorders>
            <w:vAlign w:val="center"/>
          </w:tcPr>
          <w:p>
            <w:pPr>
              <w:shd w:val="clear"/>
              <w:spacing w:before="0" w:after="0" w:afterAutospacing="0" w:line="240" w:lineRule="auto"/>
              <w:ind w:left="0" w:right="0" w:firstLine="0"/>
              <w:textAlignment w:val="center"/>
              <w:rPr>
                <w:rFonts w:ascii="宋体" w:hAnsi="宋体" w:eastAsiaTheme="minorEastAsia" w:cstheme="minorBidi"/>
                <w:kern w:val="2"/>
                <w:szCs w:val="24"/>
                <w:highlight w:val="none"/>
              </w:rPr>
            </w:pPr>
            <w:r>
              <w:rPr>
                <w:rFonts w:hint="eastAsia" w:ascii="宋体" w:hAnsi="宋体" w:eastAsiaTheme="minorEastAsia" w:cstheme="minorBidi"/>
                <w:kern w:val="2"/>
                <w:szCs w:val="24"/>
                <w:highlight w:val="none"/>
              </w:rPr>
              <w:t>1.每根配水支管控制的标准流量洒水喷头数量应符合《自动喷水灭火系统设计规范 GB50084-2017》“8 管道”要求。</w:t>
            </w:r>
          </w:p>
          <w:p>
            <w:pPr>
              <w:shd w:val="clear"/>
              <w:spacing w:before="0" w:after="0" w:afterAutospacing="0" w:line="240" w:lineRule="auto"/>
              <w:ind w:left="0" w:right="0" w:firstLine="0"/>
              <w:textAlignment w:val="center"/>
              <w:rPr>
                <w:rFonts w:ascii="宋体" w:hAnsi="宋体" w:eastAsiaTheme="minorEastAsia" w:cstheme="minorBidi"/>
                <w:kern w:val="2"/>
                <w:szCs w:val="24"/>
                <w:highlight w:val="none"/>
              </w:rPr>
            </w:pPr>
            <w:r>
              <w:rPr>
                <w:rFonts w:hint="eastAsia" w:ascii="宋体" w:hAnsi="宋体" w:eastAsiaTheme="minorEastAsia" w:cstheme="minorBidi"/>
                <w:kern w:val="2"/>
                <w:szCs w:val="24"/>
                <w:highlight w:val="none"/>
              </w:rPr>
              <w:t>2.喷头布置需满足《自动喷水灭火系统设计规范 GB50084-2017》“7 喷头布置”要求。</w:t>
            </w:r>
          </w:p>
          <w:p>
            <w:pPr>
              <w:pStyle w:val="2"/>
              <w:shd w:val="clear"/>
              <w:ind w:left="0" w:firstLine="0"/>
              <w:rPr>
                <w:highlight w:val="none"/>
              </w:rPr>
            </w:pPr>
          </w:p>
        </w:tc>
        <w:tc>
          <w:tcPr>
            <w:tcW w:w="1734" w:type="dxa"/>
            <w:tcBorders>
              <w:top w:val="single" w:color="auto" w:sz="4" w:space="0"/>
              <w:left w:val="single" w:color="auto" w:sz="4" w:space="0"/>
              <w:bottom w:val="single" w:color="auto" w:sz="4" w:space="0"/>
              <w:right w:val="single" w:color="auto" w:sz="4" w:space="0"/>
            </w:tcBorders>
            <w:vAlign w:val="center"/>
          </w:tcPr>
          <w:p>
            <w:pPr>
              <w:widowControl w:val="0"/>
              <w:shd w:val="clear"/>
              <w:adjustRightInd w:val="0"/>
              <w:jc w:val="center"/>
              <w:rPr>
                <w:rFonts w:cs="Arial"/>
                <w:kern w:val="2"/>
                <w:highlight w:val="none"/>
              </w:rPr>
            </w:pPr>
          </w:p>
        </w:tc>
        <w:tc>
          <w:tcPr>
            <w:tcW w:w="1220" w:type="dxa"/>
            <w:tcBorders>
              <w:top w:val="single" w:color="auto" w:sz="4" w:space="0"/>
              <w:left w:val="single" w:color="auto" w:sz="4" w:space="0"/>
              <w:bottom w:val="single" w:color="auto" w:sz="4" w:space="0"/>
              <w:right w:val="single" w:color="auto" w:sz="4" w:space="0"/>
            </w:tcBorders>
            <w:vAlign w:val="center"/>
          </w:tcPr>
          <w:p>
            <w:pPr>
              <w:widowControl w:val="0"/>
              <w:shd w:val="clear"/>
              <w:adjustRightInd w:val="0"/>
              <w:jc w:val="center"/>
              <w:rPr>
                <w:rFonts w:cs="Arial"/>
                <w:kern w:val="2"/>
                <w:highlight w:val="none"/>
              </w:rPr>
            </w:pPr>
          </w:p>
        </w:tc>
        <w:tc>
          <w:tcPr>
            <w:tcW w:w="1177" w:type="dxa"/>
            <w:tcBorders>
              <w:top w:val="single" w:color="auto" w:sz="4" w:space="0"/>
              <w:left w:val="single" w:color="auto" w:sz="4" w:space="0"/>
              <w:bottom w:val="single" w:color="auto" w:sz="4" w:space="0"/>
              <w:right w:val="single" w:color="auto" w:sz="4" w:space="0"/>
            </w:tcBorders>
          </w:tcPr>
          <w:p>
            <w:pPr>
              <w:widowControl w:val="0"/>
              <w:shd w:val="clear"/>
              <w:adjustRightInd w:val="0"/>
              <w:jc w:val="center"/>
              <w:rPr>
                <w:rFonts w:cs="Arial"/>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330" w:hRule="atLeast"/>
          <w:jc w:val="center"/>
        </w:trPr>
        <w:tc>
          <w:tcPr>
            <w:tcW w:w="624" w:type="dxa"/>
            <w:tcBorders>
              <w:top w:val="single" w:color="auto" w:sz="4" w:space="0"/>
              <w:left w:val="single" w:color="auto" w:sz="4" w:space="0"/>
              <w:bottom w:val="single" w:color="auto" w:sz="4" w:space="0"/>
              <w:right w:val="single" w:color="auto" w:sz="4" w:space="0"/>
            </w:tcBorders>
            <w:vAlign w:val="center"/>
          </w:tcPr>
          <w:p>
            <w:pPr>
              <w:widowControl w:val="0"/>
              <w:shd w:val="clear"/>
              <w:adjustRightInd w:val="0"/>
              <w:jc w:val="center"/>
              <w:rPr>
                <w:rFonts w:cs="Arial"/>
                <w:kern w:val="2"/>
                <w:highlight w:val="none"/>
              </w:rPr>
            </w:pPr>
            <w:r>
              <w:rPr>
                <w:rFonts w:hint="eastAsia" w:cs="Arial"/>
                <w:kern w:val="2"/>
                <w:highlight w:val="none"/>
              </w:rPr>
              <w:t>7</w:t>
            </w:r>
          </w:p>
        </w:tc>
        <w:tc>
          <w:tcPr>
            <w:tcW w:w="942" w:type="dxa"/>
            <w:tcBorders>
              <w:top w:val="single" w:color="auto" w:sz="4" w:space="0"/>
              <w:left w:val="single" w:color="auto" w:sz="4" w:space="0"/>
              <w:bottom w:val="single" w:color="auto" w:sz="4" w:space="0"/>
              <w:right w:val="single" w:color="auto" w:sz="4" w:space="0"/>
            </w:tcBorders>
            <w:vAlign w:val="center"/>
          </w:tcPr>
          <w:p>
            <w:pPr>
              <w:shd w:val="clear"/>
              <w:spacing w:before="0" w:after="0" w:afterAutospacing="0" w:line="240" w:lineRule="auto"/>
              <w:ind w:left="0" w:right="0" w:firstLine="0"/>
              <w:textAlignment w:val="center"/>
              <w:rPr>
                <w:rFonts w:ascii="宋体" w:hAnsi="宋体" w:cs="宋体"/>
                <w:color w:val="000000"/>
                <w:highlight w:val="none"/>
              </w:rPr>
            </w:pPr>
            <w:r>
              <w:rPr>
                <w:rFonts w:hint="eastAsia" w:ascii="宋体" w:hAnsi="宋体" w:cs="宋体"/>
                <w:color w:val="000000"/>
                <w:highlight w:val="none"/>
              </w:rPr>
              <w:t>3.6.4末端试水装置安装要求</w:t>
            </w:r>
          </w:p>
        </w:tc>
        <w:tc>
          <w:tcPr>
            <w:tcW w:w="3183" w:type="dxa"/>
            <w:tcBorders>
              <w:top w:val="single" w:color="auto" w:sz="4" w:space="0"/>
              <w:left w:val="single" w:color="auto" w:sz="4" w:space="0"/>
              <w:bottom w:val="single" w:color="auto" w:sz="4" w:space="0"/>
              <w:right w:val="single" w:color="auto" w:sz="4" w:space="0"/>
            </w:tcBorders>
            <w:vAlign w:val="center"/>
          </w:tcPr>
          <w:p>
            <w:pPr>
              <w:shd w:val="clear"/>
              <w:spacing w:before="0" w:after="0" w:afterAutospacing="0" w:line="240" w:lineRule="auto"/>
              <w:ind w:left="0" w:right="0" w:firstLine="0"/>
              <w:textAlignment w:val="center"/>
              <w:rPr>
                <w:rFonts w:ascii="宋体" w:hAnsi="宋体" w:eastAsiaTheme="minorEastAsia" w:cstheme="minorBidi"/>
                <w:kern w:val="2"/>
                <w:szCs w:val="24"/>
                <w:highlight w:val="none"/>
              </w:rPr>
            </w:pPr>
            <w:r>
              <w:rPr>
                <w:rFonts w:hint="eastAsia" w:ascii="宋体" w:hAnsi="宋体" w:eastAsiaTheme="minorEastAsia" w:cstheme="minorBidi"/>
                <w:kern w:val="2"/>
                <w:szCs w:val="24"/>
                <w:highlight w:val="none"/>
              </w:rPr>
              <w:t>1.末端试水装置的出水，应采取孔口出流的方式排入排水管道 ，排水立管宜设伸顶通气管，且管径不应小于75mm。</w:t>
            </w:r>
          </w:p>
          <w:p>
            <w:pPr>
              <w:shd w:val="clear"/>
              <w:spacing w:before="0" w:after="0" w:afterAutospacing="0" w:line="240" w:lineRule="auto"/>
              <w:ind w:left="0" w:right="0" w:firstLine="0"/>
              <w:textAlignment w:val="center"/>
              <w:rPr>
                <w:highlight w:val="none"/>
              </w:rPr>
            </w:pPr>
            <w:r>
              <w:rPr>
                <w:rFonts w:hint="eastAsia" w:ascii="宋体" w:hAnsi="宋体" w:eastAsiaTheme="minorEastAsia" w:cstheme="minorBidi"/>
                <w:kern w:val="2"/>
                <w:szCs w:val="24"/>
                <w:highlight w:val="none"/>
              </w:rPr>
              <w:t>2.末端试水装置和试水阀应有标识，距地面的高度宜为1.5m，并应采取不被他用的措施。</w:t>
            </w:r>
          </w:p>
        </w:tc>
        <w:tc>
          <w:tcPr>
            <w:tcW w:w="1734" w:type="dxa"/>
            <w:tcBorders>
              <w:top w:val="single" w:color="auto" w:sz="4" w:space="0"/>
              <w:left w:val="single" w:color="auto" w:sz="4" w:space="0"/>
              <w:bottom w:val="single" w:color="auto" w:sz="4" w:space="0"/>
              <w:right w:val="single" w:color="auto" w:sz="4" w:space="0"/>
            </w:tcBorders>
            <w:vAlign w:val="center"/>
          </w:tcPr>
          <w:p>
            <w:pPr>
              <w:widowControl w:val="0"/>
              <w:shd w:val="clear"/>
              <w:adjustRightInd w:val="0"/>
              <w:jc w:val="center"/>
              <w:rPr>
                <w:rFonts w:cs="Arial"/>
                <w:kern w:val="2"/>
                <w:highlight w:val="none"/>
              </w:rPr>
            </w:pPr>
          </w:p>
        </w:tc>
        <w:tc>
          <w:tcPr>
            <w:tcW w:w="1220" w:type="dxa"/>
            <w:tcBorders>
              <w:top w:val="single" w:color="auto" w:sz="4" w:space="0"/>
              <w:left w:val="single" w:color="auto" w:sz="4" w:space="0"/>
              <w:bottom w:val="single" w:color="auto" w:sz="4" w:space="0"/>
              <w:right w:val="single" w:color="auto" w:sz="4" w:space="0"/>
            </w:tcBorders>
            <w:vAlign w:val="center"/>
          </w:tcPr>
          <w:p>
            <w:pPr>
              <w:widowControl w:val="0"/>
              <w:shd w:val="clear"/>
              <w:adjustRightInd w:val="0"/>
              <w:jc w:val="center"/>
              <w:rPr>
                <w:rFonts w:cs="Arial"/>
                <w:kern w:val="2"/>
                <w:highlight w:val="none"/>
              </w:rPr>
            </w:pPr>
          </w:p>
        </w:tc>
        <w:tc>
          <w:tcPr>
            <w:tcW w:w="1177" w:type="dxa"/>
            <w:tcBorders>
              <w:top w:val="single" w:color="auto" w:sz="4" w:space="0"/>
              <w:left w:val="single" w:color="auto" w:sz="4" w:space="0"/>
              <w:bottom w:val="single" w:color="auto" w:sz="4" w:space="0"/>
              <w:right w:val="single" w:color="auto" w:sz="4" w:space="0"/>
            </w:tcBorders>
          </w:tcPr>
          <w:p>
            <w:pPr>
              <w:widowControl w:val="0"/>
              <w:shd w:val="clear"/>
              <w:adjustRightInd w:val="0"/>
              <w:jc w:val="center"/>
              <w:rPr>
                <w:rFonts w:cs="Arial"/>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783" w:hRule="atLeast"/>
          <w:jc w:val="center"/>
        </w:trPr>
        <w:tc>
          <w:tcPr>
            <w:tcW w:w="8880" w:type="dxa"/>
            <w:gridSpan w:val="6"/>
            <w:tcBorders>
              <w:top w:val="single" w:color="auto" w:sz="4" w:space="0"/>
              <w:left w:val="single" w:color="auto" w:sz="4" w:space="0"/>
              <w:bottom w:val="single" w:color="auto" w:sz="4" w:space="0"/>
              <w:right w:val="single" w:color="auto" w:sz="4" w:space="0"/>
            </w:tcBorders>
            <w:vAlign w:val="center"/>
          </w:tcPr>
          <w:p>
            <w:pPr>
              <w:widowControl w:val="0"/>
              <w:shd w:val="clear"/>
              <w:rPr>
                <w:rFonts w:cs="Arial"/>
                <w:kern w:val="2"/>
                <w:highlight w:val="none"/>
              </w:rPr>
            </w:pPr>
            <w:r>
              <w:rPr>
                <w:rFonts w:hint="eastAsia" w:cs="Arial"/>
                <w:highlight w:val="none"/>
              </w:rPr>
              <w:t>我方确认：除了表中所列的条款外，我方的比选申请函将依从比选文件对于技术的全部要求和规定。</w:t>
            </w:r>
          </w:p>
        </w:tc>
      </w:tr>
    </w:tbl>
    <w:p>
      <w:pPr>
        <w:shd w:val="clear"/>
        <w:spacing w:before="0" w:after="0" w:afterAutospacing="0"/>
        <w:ind w:right="0"/>
        <w:rPr>
          <w:rFonts w:ascii="宋体" w:hAnsi="宋体"/>
          <w:highlight w:val="none"/>
          <w:u w:val="single"/>
        </w:rPr>
      </w:pPr>
    </w:p>
    <w:p>
      <w:pPr>
        <w:shd w:val="clear"/>
        <w:snapToGrid w:val="0"/>
        <w:spacing w:after="50" w:line="280" w:lineRule="exact"/>
        <w:ind w:left="955" w:leftChars="455" w:right="-817" w:firstLine="2832" w:firstLineChars="1349"/>
        <w:rPr>
          <w:rFonts w:ascii="宋体" w:hAnsi="宋体"/>
          <w:highlight w:val="none"/>
          <w:u w:val="single"/>
        </w:rPr>
      </w:pPr>
      <w:r>
        <w:rPr>
          <w:rFonts w:hint="eastAsia" w:ascii="宋体" w:hAnsi="宋体"/>
          <w:highlight w:val="none"/>
        </w:rPr>
        <w:t>比选申请人名称（盖章）：</w:t>
      </w:r>
    </w:p>
    <w:p>
      <w:pPr>
        <w:shd w:val="clear"/>
        <w:snapToGrid w:val="0"/>
        <w:spacing w:after="50" w:line="280" w:lineRule="exact"/>
        <w:ind w:left="707" w:right="-817" w:firstLine="0"/>
        <w:jc w:val="center"/>
        <w:rPr>
          <w:rFonts w:ascii="宋体" w:hAnsi="宋体"/>
          <w:highlight w:val="none"/>
          <w:u w:val="single"/>
        </w:rPr>
      </w:pPr>
      <w:r>
        <w:rPr>
          <w:rFonts w:hint="eastAsia" w:ascii="宋体" w:hAnsi="宋体"/>
          <w:highlight w:val="none"/>
        </w:rPr>
        <w:t xml:space="preserve"> 法定代表人或被授权人（签字）：</w:t>
      </w:r>
    </w:p>
    <w:p>
      <w:pPr>
        <w:shd w:val="clear"/>
        <w:spacing w:before="0"/>
        <w:ind w:right="-57" w:firstLine="0"/>
        <w:jc w:val="center"/>
        <w:rPr>
          <w:rFonts w:ascii="宋体" w:hAnsi="宋体"/>
          <w:highlight w:val="none"/>
        </w:rPr>
      </w:pPr>
      <w:r>
        <w:rPr>
          <w:rFonts w:hint="eastAsia" w:ascii="宋体" w:hAnsi="宋体"/>
          <w:highlight w:val="none"/>
        </w:rPr>
        <w:t>日  期：  年  月  日</w:t>
      </w:r>
    </w:p>
    <w:p>
      <w:pPr>
        <w:shd w:val="clear"/>
        <w:spacing w:before="0" w:after="0" w:afterAutospacing="0"/>
        <w:ind w:left="708" w:right="0" w:hanging="708" w:hangingChars="336"/>
        <w:rPr>
          <w:rFonts w:ascii="宋体" w:hAnsi="宋体"/>
          <w:b/>
          <w:highlight w:val="none"/>
        </w:rPr>
      </w:pPr>
      <w:r>
        <w:rPr>
          <w:rFonts w:ascii="宋体" w:hAnsi="宋体"/>
          <w:b/>
          <w:highlight w:val="none"/>
        </w:rPr>
        <w:t>说明：</w:t>
      </w:r>
    </w:p>
    <w:p>
      <w:pPr>
        <w:shd w:val="clear"/>
        <w:tabs>
          <w:tab w:val="left" w:pos="720"/>
        </w:tabs>
        <w:spacing w:before="0" w:after="0" w:afterAutospacing="0"/>
        <w:ind w:left="0" w:right="0" w:firstLine="420" w:firstLineChars="200"/>
        <w:rPr>
          <w:rFonts w:ascii="宋体" w:hAnsi="宋体"/>
          <w:highlight w:val="none"/>
        </w:rPr>
      </w:pPr>
      <w:r>
        <w:rPr>
          <w:rFonts w:hint="eastAsia" w:ascii="宋体" w:hAnsi="宋体"/>
          <w:highlight w:val="none"/>
        </w:rPr>
        <w:t>1.</w:t>
      </w:r>
      <w:r>
        <w:rPr>
          <w:rFonts w:ascii="宋体" w:hAnsi="宋体"/>
          <w:highlight w:val="none"/>
        </w:rPr>
        <w:t>比选申请人必须对应根据比选文件的第五章用户需求书条款逐条应答并按要求填写</w:t>
      </w:r>
      <w:r>
        <w:rPr>
          <w:rFonts w:hint="eastAsia" w:ascii="宋体" w:hAnsi="宋体"/>
          <w:highlight w:val="none"/>
        </w:rPr>
        <w:t>上</w:t>
      </w:r>
      <w:r>
        <w:rPr>
          <w:rFonts w:ascii="宋体" w:hAnsi="宋体"/>
          <w:highlight w:val="none"/>
        </w:rPr>
        <w:t>表。</w:t>
      </w:r>
    </w:p>
    <w:p>
      <w:pPr>
        <w:pStyle w:val="37"/>
        <w:shd w:val="clear"/>
        <w:tabs>
          <w:tab w:val="left" w:pos="720"/>
        </w:tabs>
        <w:spacing w:before="0" w:after="0" w:afterAutospacing="0"/>
        <w:ind w:left="0" w:right="0" w:firstLine="420" w:firstLineChars="200"/>
        <w:rPr>
          <w:rFonts w:ascii="宋体" w:hAnsi="宋体"/>
          <w:highlight w:val="none"/>
        </w:rPr>
      </w:pPr>
      <w:r>
        <w:rPr>
          <w:rFonts w:hint="eastAsia" w:ascii="宋体" w:hAnsi="宋体"/>
          <w:highlight w:val="none"/>
        </w:rPr>
        <w:t>2.对完全响应的条目在本表“偏离情况”列中选注“完全响应”。对有偏离的条目在本表“偏离情况”列中选注“正偏离”或“负偏离”，并对“正偏离”或“负偏离”加以说明。</w:t>
      </w:r>
    </w:p>
    <w:p>
      <w:pPr>
        <w:shd w:val="clear"/>
        <w:tabs>
          <w:tab w:val="left" w:pos="720"/>
        </w:tabs>
        <w:spacing w:before="0" w:after="0" w:afterAutospacing="0"/>
        <w:ind w:left="0" w:right="0" w:firstLine="420" w:firstLineChars="200"/>
        <w:rPr>
          <w:rFonts w:ascii="宋体" w:hAnsi="宋体"/>
          <w:highlight w:val="none"/>
        </w:rPr>
      </w:pPr>
      <w:r>
        <w:rPr>
          <w:rFonts w:hint="eastAsia" w:ascii="宋体" w:hAnsi="宋体"/>
          <w:highlight w:val="none"/>
        </w:rPr>
        <w:t>3.</w:t>
      </w:r>
      <w:r>
        <w:rPr>
          <w:rFonts w:ascii="宋体" w:hAnsi="宋体"/>
          <w:highlight w:val="none"/>
        </w:rPr>
        <w:t>正偏离是指应答的条件高于比选文件要求，负偏离是指应答的条件低于比选文件要求。</w:t>
      </w:r>
    </w:p>
    <w:p>
      <w:pPr>
        <w:shd w:val="clear"/>
        <w:tabs>
          <w:tab w:val="left" w:pos="720"/>
        </w:tabs>
        <w:spacing w:before="0" w:after="0" w:afterAutospacing="0"/>
        <w:ind w:left="0" w:right="0" w:firstLine="420" w:firstLineChars="200"/>
        <w:rPr>
          <w:rFonts w:ascii="宋体" w:hAnsi="宋体"/>
          <w:highlight w:val="none"/>
        </w:rPr>
      </w:pPr>
      <w:r>
        <w:rPr>
          <w:rFonts w:hint="eastAsia" w:ascii="宋体" w:hAnsi="宋体"/>
          <w:highlight w:val="none"/>
        </w:rPr>
        <w:t>4.</w:t>
      </w:r>
      <w:r>
        <w:rPr>
          <w:rFonts w:ascii="宋体" w:hAnsi="宋体"/>
          <w:highlight w:val="none"/>
        </w:rPr>
        <w:t>比选申请人须按照用户需求书逐条完整填写响应表。如果未完整填写响应表的各项内容则视作比选申请人已经对比选文件相关要求和内容完全理解并同意，其比选申请报价为在此基础上的完全价格。</w:t>
      </w:r>
    </w:p>
    <w:p>
      <w:pPr>
        <w:shd w:val="clear"/>
        <w:tabs>
          <w:tab w:val="left" w:pos="720"/>
        </w:tabs>
        <w:spacing w:before="0" w:after="0" w:afterAutospacing="0"/>
        <w:ind w:left="0" w:right="0" w:firstLine="420" w:firstLineChars="200"/>
        <w:rPr>
          <w:rFonts w:ascii="宋体" w:hAnsi="宋体"/>
          <w:highlight w:val="none"/>
        </w:rPr>
      </w:pPr>
      <w:r>
        <w:rPr>
          <w:rFonts w:hint="eastAsia" w:ascii="宋体" w:hAnsi="宋体"/>
          <w:highlight w:val="none"/>
        </w:rPr>
        <w:t>5.</w:t>
      </w:r>
      <w:r>
        <w:rPr>
          <w:rFonts w:ascii="宋体" w:hAnsi="宋体"/>
          <w:highlight w:val="none"/>
        </w:rPr>
        <w:t>在比选人与中选人签订合同期间，中选人未在比选申请文件“响应表”中列出偏离说明，即使其在比选申请文件的其他部分说明与比选文件要求有所不同或回避不答，亦均视为完全符合比选文件中所要求的最佳值并写入合同。若中选人在定标后及合同签订前，以上述事项为借口而不履行合同签订手续及执行合同，则视作放弃中选资格</w:t>
      </w:r>
      <w:r>
        <w:rPr>
          <w:rFonts w:hint="eastAsia" w:ascii="宋体" w:hAnsi="宋体"/>
          <w:highlight w:val="none"/>
        </w:rPr>
        <w:t xml:space="preserve">。     </w:t>
      </w:r>
    </w:p>
    <w:p>
      <w:pPr>
        <w:shd w:val="clear"/>
        <w:spacing w:before="0"/>
        <w:ind w:left="105" w:leftChars="50" w:right="-57" w:firstLine="316" w:firstLineChars="150"/>
        <w:rPr>
          <w:rFonts w:ascii="宋体" w:hAnsi="宋体"/>
          <w:b/>
          <w:highlight w:val="none"/>
        </w:rPr>
      </w:pPr>
      <w:r>
        <w:rPr>
          <w:rFonts w:hint="eastAsia" w:ascii="宋体" w:hAnsi="宋体"/>
          <w:b/>
          <w:highlight w:val="none"/>
        </w:rPr>
        <w:t>6.如有任意一项负偏离，比选申请人将不能通过符合性评审。</w:t>
      </w:r>
    </w:p>
    <w:p>
      <w:pPr>
        <w:pStyle w:val="5"/>
        <w:shd w:val="clear"/>
        <w:tabs>
          <w:tab w:val="left" w:pos="567"/>
          <w:tab w:val="left" w:pos="720"/>
        </w:tabs>
        <w:snapToGrid w:val="0"/>
        <w:spacing w:after="100" w:line="360" w:lineRule="auto"/>
        <w:ind w:right="-57" w:firstLine="0"/>
        <w:jc w:val="left"/>
        <w:rPr>
          <w:rFonts w:ascii="宋体" w:hAnsi="宋体" w:eastAsia="宋体"/>
          <w:sz w:val="21"/>
          <w:szCs w:val="21"/>
          <w:highlight w:val="none"/>
        </w:rPr>
        <w:sectPr>
          <w:pgSz w:w="11905" w:h="16838"/>
          <w:pgMar w:top="1418" w:right="1418" w:bottom="1304" w:left="1418" w:header="454" w:footer="567" w:gutter="0"/>
          <w:pgNumType w:fmt="decimal"/>
          <w:cols w:space="720" w:num="1"/>
          <w:docGrid w:linePitch="312" w:charSpace="0"/>
        </w:sectPr>
      </w:pPr>
      <w:bookmarkStart w:id="1766" w:name="_Toc25750685"/>
    </w:p>
    <w:p>
      <w:pPr>
        <w:pStyle w:val="5"/>
        <w:shd w:val="clear"/>
        <w:tabs>
          <w:tab w:val="left" w:pos="567"/>
          <w:tab w:val="left" w:pos="720"/>
        </w:tabs>
        <w:snapToGrid w:val="0"/>
        <w:spacing w:after="100" w:line="360" w:lineRule="auto"/>
        <w:ind w:right="-57" w:firstLine="0"/>
        <w:jc w:val="left"/>
        <w:rPr>
          <w:rFonts w:ascii="宋体" w:hAnsi="宋体" w:eastAsia="宋体"/>
          <w:sz w:val="21"/>
          <w:szCs w:val="21"/>
          <w:highlight w:val="none"/>
        </w:rPr>
      </w:pPr>
      <w:r>
        <w:rPr>
          <w:rFonts w:hint="eastAsia" w:ascii="宋体" w:hAnsi="宋体" w:eastAsia="宋体"/>
          <w:sz w:val="21"/>
          <w:szCs w:val="21"/>
          <w:highlight w:val="none"/>
        </w:rPr>
        <w:t>C2</w:t>
      </w:r>
      <w:bookmarkEnd w:id="1766"/>
      <w:r>
        <w:rPr>
          <w:rFonts w:ascii="宋体" w:hAnsi="宋体" w:eastAsia="宋体"/>
          <w:sz w:val="21"/>
          <w:szCs w:val="21"/>
          <w:highlight w:val="none"/>
        </w:rPr>
        <w:t>按期</w:t>
      </w:r>
      <w:r>
        <w:rPr>
          <w:rFonts w:hint="eastAsia" w:ascii="宋体" w:hAnsi="宋体" w:eastAsia="宋体"/>
          <w:sz w:val="21"/>
          <w:szCs w:val="21"/>
          <w:highlight w:val="none"/>
        </w:rPr>
        <w:t>完成</w:t>
      </w:r>
      <w:r>
        <w:rPr>
          <w:rFonts w:ascii="宋体" w:hAnsi="宋体" w:eastAsia="宋体"/>
          <w:sz w:val="21"/>
          <w:szCs w:val="21"/>
          <w:highlight w:val="none"/>
        </w:rPr>
        <w:t>承诺书</w:t>
      </w:r>
    </w:p>
    <w:p>
      <w:pPr>
        <w:widowControl w:val="0"/>
        <w:shd w:val="clear"/>
        <w:spacing w:before="240" w:beforeLines="100" w:after="240" w:afterLines="100"/>
        <w:ind w:right="-57" w:rightChars="-27"/>
        <w:jc w:val="center"/>
        <w:rPr>
          <w:b/>
          <w:kern w:val="2"/>
          <w:sz w:val="32"/>
          <w:szCs w:val="32"/>
          <w:highlight w:val="none"/>
        </w:rPr>
      </w:pPr>
      <w:r>
        <w:rPr>
          <w:rFonts w:hint="eastAsia" w:hAnsi="宋体"/>
          <w:b/>
          <w:kern w:val="2"/>
          <w:sz w:val="32"/>
          <w:szCs w:val="32"/>
          <w:highlight w:val="none"/>
        </w:rPr>
        <w:t>按期完成</w:t>
      </w:r>
      <w:r>
        <w:rPr>
          <w:rFonts w:hAnsi="宋体"/>
          <w:b/>
          <w:kern w:val="2"/>
          <w:sz w:val="32"/>
          <w:szCs w:val="32"/>
          <w:highlight w:val="none"/>
        </w:rPr>
        <w:t>承诺书</w:t>
      </w:r>
    </w:p>
    <w:p>
      <w:pPr>
        <w:widowControl w:val="0"/>
        <w:shd w:val="clear"/>
        <w:spacing w:beforeLines="50"/>
        <w:ind w:right="-57" w:rightChars="-27"/>
        <w:rPr>
          <w:kern w:val="2"/>
          <w:highlight w:val="none"/>
        </w:rPr>
      </w:pPr>
    </w:p>
    <w:p>
      <w:pPr>
        <w:widowControl w:val="0"/>
        <w:shd w:val="clear"/>
        <w:spacing w:beforeLines="50"/>
        <w:ind w:right="-57" w:rightChars="-27"/>
        <w:rPr>
          <w:kern w:val="2"/>
          <w:highlight w:val="none"/>
        </w:rPr>
      </w:pPr>
      <w:r>
        <w:rPr>
          <w:rFonts w:hAnsi="宋体"/>
          <w:kern w:val="2"/>
          <w:highlight w:val="none"/>
        </w:rPr>
        <w:t>致：</w:t>
      </w:r>
      <w:r>
        <w:rPr>
          <w:rFonts w:hint="eastAsia" w:hAnsi="宋体"/>
          <w:kern w:val="2"/>
          <w:highlight w:val="none"/>
        </w:rPr>
        <w:t>南宁轨道交通运营有限公司</w:t>
      </w:r>
    </w:p>
    <w:p>
      <w:pPr>
        <w:widowControl w:val="0"/>
        <w:shd w:val="clear"/>
        <w:spacing w:beforeLines="50"/>
        <w:ind w:right="-57" w:rightChars="-27" w:firstLine="420" w:firstLineChars="200"/>
        <w:rPr>
          <w:rFonts w:hAnsi="宋体"/>
          <w:kern w:val="2"/>
          <w:highlight w:val="none"/>
        </w:rPr>
      </w:pPr>
      <w:r>
        <w:rPr>
          <w:rFonts w:hAnsi="宋体"/>
          <w:kern w:val="2"/>
          <w:highlight w:val="none"/>
        </w:rPr>
        <w:t>本公司</w:t>
      </w:r>
      <w:r>
        <w:rPr>
          <w:rFonts w:hAnsi="宋体"/>
          <w:kern w:val="2"/>
          <w:highlight w:val="none"/>
          <w:u w:val="single"/>
        </w:rPr>
        <w:t>（比选申请人名称）</w:t>
      </w:r>
      <w:r>
        <w:rPr>
          <w:rFonts w:hAnsi="宋体"/>
          <w:kern w:val="2"/>
          <w:highlight w:val="none"/>
        </w:rPr>
        <w:t>参加了贵公司组织的</w:t>
      </w:r>
      <w:r>
        <w:rPr>
          <w:rFonts w:hint="eastAsia" w:ascii="宋体" w:hAnsi="宋体"/>
          <w:highlight w:val="none"/>
          <w:u w:val="single"/>
        </w:rPr>
        <w:t>控制中心电动汽车充电桩喷淋系统采购项目</w:t>
      </w:r>
      <w:r>
        <w:rPr>
          <w:rFonts w:hAnsi="宋体"/>
          <w:kern w:val="2"/>
          <w:highlight w:val="none"/>
        </w:rPr>
        <w:t>项目（项目编号</w:t>
      </w:r>
      <w:r>
        <w:rPr>
          <w:rFonts w:hint="eastAsia" w:ascii="宋体" w:hAnsi="宋体"/>
          <w:kern w:val="2"/>
          <w:highlight w:val="none"/>
          <w:u w:val="single"/>
        </w:rPr>
        <w:t>202306250002</w:t>
      </w:r>
      <w:r>
        <w:rPr>
          <w:rFonts w:hAnsi="宋体"/>
          <w:kern w:val="2"/>
          <w:highlight w:val="none"/>
        </w:rPr>
        <w:t>）的</w:t>
      </w:r>
      <w:r>
        <w:rPr>
          <w:rFonts w:hint="eastAsia" w:hAnsi="宋体"/>
          <w:kern w:val="2"/>
          <w:highlight w:val="none"/>
        </w:rPr>
        <w:t>比选</w:t>
      </w:r>
      <w:r>
        <w:rPr>
          <w:rFonts w:hAnsi="宋体"/>
          <w:kern w:val="2"/>
          <w:highlight w:val="none"/>
        </w:rPr>
        <w:t>。我公司在此承诺：我方保证</w:t>
      </w:r>
      <w:r>
        <w:rPr>
          <w:rFonts w:hint="eastAsia" w:hAnsi="宋体"/>
          <w:kern w:val="2"/>
          <w:highlight w:val="none"/>
        </w:rPr>
        <w:t>严格</w:t>
      </w:r>
      <w:r>
        <w:rPr>
          <w:rFonts w:hAnsi="宋体"/>
          <w:kern w:val="2"/>
          <w:highlight w:val="none"/>
        </w:rPr>
        <w:t>按比选文件和比选人的规定，满足规定的</w:t>
      </w:r>
      <w:r>
        <w:rPr>
          <w:rFonts w:hint="eastAsia" w:hAnsi="宋体"/>
          <w:kern w:val="2"/>
          <w:highlight w:val="none"/>
        </w:rPr>
        <w:t>合同</w:t>
      </w:r>
      <w:r>
        <w:rPr>
          <w:rFonts w:hAnsi="宋体"/>
          <w:kern w:val="2"/>
          <w:highlight w:val="none"/>
        </w:rPr>
        <w:t>期</w:t>
      </w:r>
      <w:r>
        <w:rPr>
          <w:rFonts w:hint="eastAsia" w:hAnsi="宋体"/>
          <w:kern w:val="2"/>
          <w:highlight w:val="none"/>
        </w:rPr>
        <w:t>限</w:t>
      </w:r>
      <w:r>
        <w:rPr>
          <w:rFonts w:hAnsi="宋体"/>
          <w:kern w:val="2"/>
          <w:highlight w:val="none"/>
        </w:rPr>
        <w:t>要求。</w:t>
      </w:r>
      <w:r>
        <w:rPr>
          <w:kern w:val="2"/>
          <w:highlight w:val="none"/>
        </w:rPr>
        <w:t>如未按期</w:t>
      </w:r>
      <w:r>
        <w:rPr>
          <w:rFonts w:hint="eastAsia"/>
          <w:kern w:val="2"/>
          <w:highlight w:val="none"/>
        </w:rPr>
        <w:t>完成</w:t>
      </w:r>
      <w:r>
        <w:rPr>
          <w:kern w:val="2"/>
          <w:highlight w:val="none"/>
        </w:rPr>
        <w:t>，</w:t>
      </w:r>
      <w:r>
        <w:rPr>
          <w:rFonts w:hint="eastAsia"/>
          <w:kern w:val="2"/>
          <w:highlight w:val="none"/>
        </w:rPr>
        <w:t>我公司承诺接受</w:t>
      </w:r>
      <w:r>
        <w:rPr>
          <w:rFonts w:hint="eastAsia" w:ascii="宋体" w:hAnsi="宋体"/>
          <w:kern w:val="2"/>
          <w:highlight w:val="none"/>
        </w:rPr>
        <w:t>每天加收</w:t>
      </w:r>
      <w:r>
        <w:rPr>
          <w:rFonts w:hint="eastAsia" w:hAnsi="宋体"/>
          <w:kern w:val="2"/>
          <w:highlight w:val="none"/>
        </w:rPr>
        <w:t>合同价款的0.5%的违约金</w:t>
      </w:r>
    </w:p>
    <w:p>
      <w:pPr>
        <w:widowControl w:val="0"/>
        <w:shd w:val="clear"/>
        <w:spacing w:beforeLines="50"/>
        <w:ind w:right="-57" w:rightChars="-27" w:firstLine="403" w:firstLineChars="192"/>
        <w:rPr>
          <w:kern w:val="2"/>
          <w:highlight w:val="none"/>
        </w:rPr>
      </w:pPr>
      <w:r>
        <w:rPr>
          <w:rFonts w:hAnsi="宋体"/>
          <w:kern w:val="2"/>
          <w:highlight w:val="none"/>
        </w:rPr>
        <w:t>特此承诺！</w:t>
      </w:r>
    </w:p>
    <w:p>
      <w:pPr>
        <w:widowControl w:val="0"/>
        <w:shd w:val="clear"/>
        <w:spacing w:beforeLines="50"/>
        <w:ind w:right="-57" w:rightChars="-27" w:firstLine="420" w:firstLineChars="200"/>
        <w:rPr>
          <w:kern w:val="2"/>
          <w:highlight w:val="none"/>
        </w:rPr>
      </w:pPr>
    </w:p>
    <w:p>
      <w:pPr>
        <w:widowControl w:val="0"/>
        <w:shd w:val="clear"/>
        <w:spacing w:beforeLines="50"/>
        <w:ind w:right="-57" w:rightChars="-27" w:firstLine="420" w:firstLineChars="200"/>
        <w:rPr>
          <w:kern w:val="2"/>
          <w:highlight w:val="none"/>
        </w:rPr>
      </w:pPr>
    </w:p>
    <w:p>
      <w:pPr>
        <w:widowControl w:val="0"/>
        <w:shd w:val="clear"/>
        <w:spacing w:beforeLines="50"/>
        <w:ind w:right="-57" w:rightChars="-27" w:firstLine="420" w:firstLineChars="200"/>
        <w:rPr>
          <w:kern w:val="2"/>
          <w:highlight w:val="none"/>
        </w:rPr>
      </w:pPr>
    </w:p>
    <w:p>
      <w:pPr>
        <w:widowControl w:val="0"/>
        <w:shd w:val="clear"/>
        <w:snapToGrid w:val="0"/>
        <w:spacing w:beforeLines="50" w:after="50" w:line="280" w:lineRule="exact"/>
        <w:ind w:left="955" w:leftChars="455" w:right="-817" w:rightChars="-389" w:firstLine="2013" w:firstLineChars="959"/>
        <w:rPr>
          <w:rFonts w:ascii="宋体" w:hAnsi="宋体"/>
          <w:kern w:val="2"/>
          <w:highlight w:val="none"/>
          <w:u w:val="single"/>
        </w:rPr>
      </w:pPr>
      <w:r>
        <w:rPr>
          <w:rFonts w:hint="eastAsia" w:ascii="宋体" w:hAnsi="宋体"/>
          <w:kern w:val="2"/>
          <w:highlight w:val="none"/>
        </w:rPr>
        <w:t>比选申请人名称（盖章）：</w:t>
      </w:r>
    </w:p>
    <w:p>
      <w:pPr>
        <w:widowControl w:val="0"/>
        <w:shd w:val="clear"/>
        <w:snapToGrid w:val="0"/>
        <w:spacing w:beforeLines="50" w:after="50" w:line="280" w:lineRule="exact"/>
        <w:ind w:left="0" w:right="-817" w:rightChars="-389" w:firstLine="2940" w:firstLineChars="1400"/>
        <w:rPr>
          <w:rFonts w:ascii="宋体" w:hAnsi="宋体"/>
          <w:kern w:val="2"/>
          <w:highlight w:val="none"/>
          <w:u w:val="single"/>
        </w:rPr>
      </w:pPr>
      <w:r>
        <w:rPr>
          <w:rFonts w:hint="eastAsia" w:ascii="宋体" w:hAnsi="宋体"/>
          <w:kern w:val="2"/>
          <w:highlight w:val="none"/>
        </w:rPr>
        <w:t xml:space="preserve"> 法定代表人或被授权人（签字）：</w:t>
      </w:r>
    </w:p>
    <w:p>
      <w:pPr>
        <w:shd w:val="clear"/>
        <w:spacing w:before="0"/>
        <w:ind w:right="-57" w:firstLine="0"/>
        <w:jc w:val="center"/>
        <w:rPr>
          <w:rFonts w:ascii="宋体" w:hAnsi="宋体"/>
          <w:kern w:val="2"/>
          <w:highlight w:val="none"/>
        </w:rPr>
      </w:pPr>
      <w:r>
        <w:rPr>
          <w:rFonts w:hint="eastAsia" w:ascii="宋体" w:hAnsi="宋体"/>
          <w:kern w:val="2"/>
          <w:highlight w:val="none"/>
        </w:rPr>
        <w:t>日  期：   年  月  日</w:t>
      </w:r>
    </w:p>
    <w:p>
      <w:pPr>
        <w:pStyle w:val="5"/>
        <w:shd w:val="clear"/>
        <w:tabs>
          <w:tab w:val="left" w:pos="567"/>
          <w:tab w:val="left" w:pos="720"/>
        </w:tabs>
        <w:snapToGrid w:val="0"/>
        <w:spacing w:after="100" w:line="360" w:lineRule="auto"/>
        <w:ind w:right="-57" w:firstLine="0"/>
        <w:jc w:val="left"/>
        <w:rPr>
          <w:rFonts w:ascii="宋体" w:hAnsi="宋体" w:eastAsia="宋体"/>
          <w:sz w:val="21"/>
          <w:szCs w:val="21"/>
          <w:highlight w:val="none"/>
        </w:rPr>
        <w:sectPr>
          <w:pgSz w:w="11905" w:h="16838"/>
          <w:pgMar w:top="1418" w:right="1418" w:bottom="1304" w:left="1418" w:header="454" w:footer="567" w:gutter="0"/>
          <w:pgNumType w:fmt="decimal"/>
          <w:cols w:space="720" w:num="1"/>
          <w:docGrid w:linePitch="312" w:charSpace="0"/>
        </w:sectPr>
      </w:pPr>
    </w:p>
    <w:p>
      <w:pPr>
        <w:pStyle w:val="5"/>
        <w:shd w:val="clear"/>
        <w:tabs>
          <w:tab w:val="left" w:pos="567"/>
          <w:tab w:val="left" w:pos="720"/>
        </w:tabs>
        <w:snapToGrid w:val="0"/>
        <w:spacing w:after="100" w:line="360" w:lineRule="auto"/>
        <w:ind w:right="-57" w:firstLine="0"/>
        <w:jc w:val="left"/>
        <w:rPr>
          <w:rFonts w:ascii="宋体" w:hAnsi="宋体" w:eastAsia="宋体"/>
          <w:sz w:val="21"/>
          <w:szCs w:val="21"/>
          <w:highlight w:val="none"/>
        </w:rPr>
      </w:pPr>
      <w:bookmarkStart w:id="1767" w:name="_Toc25750686"/>
      <w:r>
        <w:rPr>
          <w:rFonts w:hint="eastAsia" w:ascii="宋体" w:hAnsi="宋体" w:eastAsia="宋体"/>
          <w:sz w:val="21"/>
          <w:szCs w:val="21"/>
          <w:highlight w:val="none"/>
        </w:rPr>
        <w:t>C3售后服务承诺书</w:t>
      </w:r>
      <w:bookmarkEnd w:id="1767"/>
    </w:p>
    <w:p>
      <w:pPr>
        <w:widowControl w:val="0"/>
        <w:shd w:val="clear"/>
        <w:spacing w:before="240" w:beforeLines="100" w:after="240" w:afterLines="100"/>
        <w:ind w:left="948" w:right="-57" w:rightChars="-27" w:hanging="948"/>
        <w:jc w:val="center"/>
        <w:rPr>
          <w:rFonts w:hAnsi="宋体"/>
          <w:b/>
          <w:kern w:val="2"/>
          <w:sz w:val="32"/>
          <w:szCs w:val="32"/>
          <w:highlight w:val="none"/>
        </w:rPr>
      </w:pPr>
      <w:r>
        <w:rPr>
          <w:rFonts w:hint="eastAsia" w:hAnsi="宋体"/>
          <w:b/>
          <w:kern w:val="2"/>
          <w:sz w:val="32"/>
          <w:szCs w:val="32"/>
          <w:highlight w:val="none"/>
        </w:rPr>
        <w:t>售后服务承诺书</w:t>
      </w:r>
    </w:p>
    <w:p>
      <w:pPr>
        <w:shd w:val="clear"/>
        <w:spacing w:before="0" w:after="0" w:afterAutospacing="0"/>
        <w:ind w:left="619" w:right="0" w:hanging="619" w:hangingChars="295"/>
        <w:rPr>
          <w:rFonts w:ascii="宋体" w:hAnsi="宋体" w:cstheme="minorBidi"/>
          <w:highlight w:val="none"/>
        </w:rPr>
      </w:pPr>
      <w:r>
        <w:rPr>
          <w:rFonts w:hint="eastAsia" w:ascii="宋体" w:hAnsi="宋体" w:cstheme="minorBidi"/>
          <w:highlight w:val="none"/>
        </w:rPr>
        <w:t>南宁轨道交通运营有限公司：</w:t>
      </w:r>
    </w:p>
    <w:p>
      <w:pPr>
        <w:shd w:val="clear"/>
        <w:spacing w:before="0" w:after="0" w:afterAutospacing="0"/>
        <w:ind w:left="0" w:right="0" w:firstLine="420" w:firstLineChars="200"/>
        <w:rPr>
          <w:rFonts w:ascii="宋体" w:hAnsi="宋体" w:cstheme="minorBidi"/>
          <w:highlight w:val="none"/>
        </w:rPr>
      </w:pPr>
      <w:r>
        <w:rPr>
          <w:rFonts w:hint="eastAsia" w:ascii="宋体" w:hAnsi="宋体" w:cstheme="minorBidi"/>
          <w:highlight w:val="none"/>
        </w:rPr>
        <w:t>我方参与</w:t>
      </w:r>
      <w:r>
        <w:rPr>
          <w:rFonts w:ascii="宋体" w:hAnsi="宋体" w:cstheme="minorBidi"/>
          <w:highlight w:val="none"/>
        </w:rPr>
        <w:t>贵方采购项目</w:t>
      </w:r>
      <w:r>
        <w:rPr>
          <w:rFonts w:hint="eastAsia" w:ascii="宋体" w:hAnsi="宋体" w:cstheme="minorBidi"/>
          <w:highlight w:val="none"/>
        </w:rPr>
        <w:t>的</w:t>
      </w:r>
      <w:r>
        <w:rPr>
          <w:rFonts w:ascii="宋体" w:hAnsi="宋体" w:cstheme="minorBidi"/>
          <w:highlight w:val="none"/>
        </w:rPr>
        <w:t>报价</w:t>
      </w:r>
      <w:r>
        <w:rPr>
          <w:rFonts w:hint="eastAsia" w:ascii="宋体" w:hAnsi="宋体" w:cstheme="minorBidi"/>
          <w:highlight w:val="none"/>
        </w:rPr>
        <w:t>活动</w:t>
      </w:r>
      <w:r>
        <w:rPr>
          <w:rFonts w:ascii="宋体" w:hAnsi="宋体" w:cstheme="minorBidi"/>
          <w:highlight w:val="none"/>
        </w:rPr>
        <w:t>并</w:t>
      </w:r>
      <w:r>
        <w:rPr>
          <w:rFonts w:hint="eastAsia" w:ascii="宋体" w:hAnsi="宋体" w:cstheme="minorBidi"/>
          <w:highlight w:val="none"/>
        </w:rPr>
        <w:t>做出</w:t>
      </w:r>
      <w:r>
        <w:rPr>
          <w:rFonts w:ascii="宋体" w:hAnsi="宋体" w:cstheme="minorBidi"/>
          <w:highlight w:val="none"/>
        </w:rPr>
        <w:t>以下承诺：</w:t>
      </w:r>
    </w:p>
    <w:p>
      <w:pPr>
        <w:pStyle w:val="37"/>
        <w:widowControl w:val="0"/>
        <w:shd w:val="clear"/>
        <w:spacing w:before="0" w:after="0" w:afterAutospacing="0"/>
        <w:ind w:left="0" w:right="0" w:firstLine="420" w:firstLineChars="200"/>
        <w:rPr>
          <w:rFonts w:ascii="宋体" w:hAnsi="宋体" w:cstheme="minorBidi"/>
          <w:highlight w:val="none"/>
        </w:rPr>
      </w:pPr>
      <w:r>
        <w:rPr>
          <w:rFonts w:hint="eastAsia" w:ascii="宋体" w:hAnsi="宋体" w:cstheme="minorBidi"/>
          <w:highlight w:val="none"/>
        </w:rPr>
        <w:t>1.所有产品的</w:t>
      </w:r>
      <w:r>
        <w:rPr>
          <w:rFonts w:ascii="宋体" w:hAnsi="宋体" w:cstheme="minorBidi"/>
          <w:highlight w:val="none"/>
        </w:rPr>
        <w:t>质量、质保期、售后服务等</w:t>
      </w:r>
      <w:r>
        <w:rPr>
          <w:rFonts w:hint="eastAsia" w:ascii="宋体" w:hAnsi="宋体" w:cstheme="minorBidi"/>
          <w:highlight w:val="none"/>
        </w:rPr>
        <w:t>完全符合或优于</w:t>
      </w:r>
      <w:r>
        <w:rPr>
          <w:rFonts w:ascii="宋体" w:hAnsi="宋体" w:cstheme="minorBidi"/>
          <w:highlight w:val="none"/>
        </w:rPr>
        <w:t>贵方</w:t>
      </w:r>
      <w:r>
        <w:rPr>
          <w:rFonts w:hint="eastAsia" w:ascii="宋体" w:hAnsi="宋体" w:cstheme="minorBidi"/>
          <w:highlight w:val="none"/>
        </w:rPr>
        <w:t>的采购要求，全部符合国家和</w:t>
      </w:r>
      <w:r>
        <w:rPr>
          <w:rFonts w:ascii="宋体" w:hAnsi="宋体" w:cstheme="minorBidi"/>
          <w:highlight w:val="none"/>
        </w:rPr>
        <w:t>行业相关</w:t>
      </w:r>
      <w:r>
        <w:rPr>
          <w:rFonts w:hint="eastAsia" w:ascii="宋体" w:hAnsi="宋体" w:cstheme="minorBidi"/>
          <w:highlight w:val="none"/>
        </w:rPr>
        <w:t>标准，</w:t>
      </w:r>
      <w:r>
        <w:rPr>
          <w:rFonts w:ascii="宋体" w:hAnsi="宋体" w:cstheme="minorBidi"/>
          <w:highlight w:val="none"/>
        </w:rPr>
        <w:t>所有产品</w:t>
      </w:r>
      <w:r>
        <w:rPr>
          <w:rFonts w:hint="eastAsia" w:ascii="宋体" w:hAnsi="宋体" w:cstheme="minorBidi"/>
          <w:highlight w:val="none"/>
        </w:rPr>
        <w:t>均为全新的正牌产品，具备产品合格证。货到验收如发现与产品描述不符或无产品合格证，我司接受</w:t>
      </w:r>
      <w:r>
        <w:rPr>
          <w:rFonts w:ascii="宋体" w:hAnsi="宋体" w:cstheme="minorBidi"/>
          <w:highlight w:val="none"/>
        </w:rPr>
        <w:t>无条件</w:t>
      </w:r>
      <w:r>
        <w:rPr>
          <w:rFonts w:hint="eastAsia" w:ascii="宋体" w:hAnsi="宋体" w:cstheme="minorBidi"/>
          <w:highlight w:val="none"/>
        </w:rPr>
        <w:t>退货。如为假冒伪劣产品，造成损失的由我司承担全部法律责任。</w:t>
      </w:r>
    </w:p>
    <w:p>
      <w:pPr>
        <w:pStyle w:val="37"/>
        <w:widowControl w:val="0"/>
        <w:shd w:val="clear"/>
        <w:spacing w:before="0" w:after="0" w:afterAutospacing="0"/>
        <w:ind w:left="0" w:right="0" w:firstLine="420" w:firstLineChars="200"/>
        <w:rPr>
          <w:rFonts w:ascii="宋体" w:hAnsi="宋体" w:cstheme="minorBidi"/>
          <w:highlight w:val="none"/>
        </w:rPr>
      </w:pPr>
      <w:r>
        <w:rPr>
          <w:rFonts w:hint="eastAsia" w:ascii="宋体" w:hAnsi="宋体" w:cstheme="minorBidi"/>
          <w:highlight w:val="none"/>
        </w:rPr>
        <w:t>2.我方</w:t>
      </w:r>
      <w:r>
        <w:rPr>
          <w:rFonts w:ascii="宋体" w:hAnsi="宋体" w:cstheme="minorBidi"/>
          <w:highlight w:val="none"/>
        </w:rPr>
        <w:t>知悉，本次</w:t>
      </w:r>
      <w:r>
        <w:rPr>
          <w:rFonts w:hint="eastAsia" w:ascii="宋体" w:hAnsi="宋体" w:cstheme="minorBidi"/>
          <w:highlight w:val="none"/>
        </w:rPr>
        <w:t>各货物的数量为贵方</w:t>
      </w:r>
      <w:r>
        <w:rPr>
          <w:rFonts w:ascii="宋体" w:hAnsi="宋体" w:cstheme="minorBidi"/>
          <w:highlight w:val="none"/>
        </w:rPr>
        <w:t>的</w:t>
      </w:r>
      <w:r>
        <w:rPr>
          <w:rFonts w:hint="eastAsia" w:ascii="宋体" w:hAnsi="宋体" w:cstheme="minorBidi"/>
          <w:highlight w:val="none"/>
        </w:rPr>
        <w:t>预计采购数量，如有调整以贵方发出的交货通知为准。贵方可以根据实际使用情况及需求变更情况对未交货产品数量进行部分或全部调整，包括增加或减少，不论实际数量大于或低于预计数量，均按照成交单价执行。</w:t>
      </w:r>
    </w:p>
    <w:p>
      <w:pPr>
        <w:pStyle w:val="37"/>
        <w:widowControl w:val="0"/>
        <w:shd w:val="clear"/>
        <w:spacing w:before="0" w:after="0" w:afterAutospacing="0"/>
        <w:ind w:left="0" w:right="0" w:firstLine="420" w:firstLineChars="200"/>
        <w:rPr>
          <w:rFonts w:ascii="宋体" w:hAnsi="宋体" w:cstheme="minorBidi"/>
          <w:highlight w:val="none"/>
        </w:rPr>
      </w:pPr>
      <w:r>
        <w:rPr>
          <w:rFonts w:hint="eastAsia" w:ascii="宋体" w:hAnsi="宋体" w:cstheme="minorBidi"/>
          <w:highlight w:val="none"/>
        </w:rPr>
        <w:t>3.我方</w:t>
      </w:r>
      <w:r>
        <w:rPr>
          <w:rFonts w:ascii="宋体" w:hAnsi="宋体" w:cstheme="minorBidi"/>
          <w:highlight w:val="none"/>
        </w:rPr>
        <w:t>知悉，贵方的</w:t>
      </w:r>
      <w:r>
        <w:rPr>
          <w:rFonts w:hint="eastAsia" w:ascii="宋体" w:hAnsi="宋体" w:cstheme="minorBidi"/>
          <w:highlight w:val="none"/>
        </w:rPr>
        <w:t>采购文件并未充分引用有关条文和标准规范，提出的是最基本的技术要求，我方</w:t>
      </w:r>
      <w:r>
        <w:rPr>
          <w:rFonts w:ascii="宋体" w:hAnsi="宋体" w:cstheme="minorBidi"/>
          <w:highlight w:val="none"/>
        </w:rPr>
        <w:t>保证</w:t>
      </w:r>
      <w:r>
        <w:rPr>
          <w:rFonts w:hint="eastAsia" w:ascii="宋体" w:hAnsi="宋体" w:cstheme="minorBidi"/>
          <w:highlight w:val="none"/>
        </w:rPr>
        <w:t>所有</w:t>
      </w:r>
      <w:r>
        <w:rPr>
          <w:rFonts w:ascii="宋体" w:hAnsi="宋体" w:cstheme="minorBidi"/>
          <w:highlight w:val="none"/>
        </w:rPr>
        <w:t>产品</w:t>
      </w:r>
      <w:r>
        <w:rPr>
          <w:rFonts w:hint="eastAsia" w:ascii="宋体" w:hAnsi="宋体" w:cstheme="minorBidi"/>
          <w:highlight w:val="none"/>
        </w:rPr>
        <w:t>符合工业制造标准，为优质的市场已有的成熟产品以满足使用可靠、技术先进、操作简单、维护方便的要求；除非贵方主动提出，贵方</w:t>
      </w:r>
      <w:r>
        <w:rPr>
          <w:rFonts w:ascii="宋体" w:hAnsi="宋体" w:cstheme="minorBidi"/>
          <w:highlight w:val="none"/>
        </w:rPr>
        <w:t>可无条件拒绝</w:t>
      </w:r>
      <w:r>
        <w:rPr>
          <w:rFonts w:hint="eastAsia" w:ascii="宋体" w:hAnsi="宋体" w:cstheme="minorBidi"/>
          <w:highlight w:val="none"/>
        </w:rPr>
        <w:t>接受任何形式的改装或定制类产品。  </w:t>
      </w:r>
    </w:p>
    <w:p>
      <w:pPr>
        <w:pStyle w:val="37"/>
        <w:widowControl w:val="0"/>
        <w:shd w:val="clear"/>
        <w:spacing w:before="0" w:after="0" w:afterAutospacing="0"/>
        <w:ind w:left="0" w:right="0" w:firstLine="420" w:firstLineChars="200"/>
        <w:rPr>
          <w:rFonts w:ascii="宋体" w:hAnsi="宋体" w:cstheme="minorBidi"/>
          <w:highlight w:val="none"/>
        </w:rPr>
      </w:pPr>
      <w:r>
        <w:rPr>
          <w:rFonts w:hint="eastAsia" w:ascii="宋体" w:hAnsi="宋体" w:cstheme="minorBidi"/>
          <w:highlight w:val="none"/>
        </w:rPr>
        <w:t>4.交货前贵方有权要求我方提供样品；如贵方对样品不认可有权不签订</w:t>
      </w:r>
      <w:r>
        <w:rPr>
          <w:rFonts w:ascii="宋体" w:hAnsi="宋体" w:cstheme="minorBidi"/>
          <w:highlight w:val="none"/>
        </w:rPr>
        <w:t>合同或撤销</w:t>
      </w:r>
      <w:r>
        <w:rPr>
          <w:rFonts w:hint="eastAsia" w:ascii="宋体" w:hAnsi="宋体" w:cstheme="minorBidi"/>
          <w:highlight w:val="none"/>
        </w:rPr>
        <w:t>、</w:t>
      </w:r>
      <w:r>
        <w:rPr>
          <w:rFonts w:ascii="宋体" w:hAnsi="宋体" w:cstheme="minorBidi"/>
          <w:highlight w:val="none"/>
        </w:rPr>
        <w:t>终止已签订的合同</w:t>
      </w:r>
      <w:r>
        <w:rPr>
          <w:rFonts w:hint="eastAsia" w:ascii="宋体" w:hAnsi="宋体" w:cstheme="minorBidi"/>
          <w:highlight w:val="none"/>
        </w:rPr>
        <w:t>，</w:t>
      </w:r>
      <w:r>
        <w:rPr>
          <w:rFonts w:ascii="宋体" w:hAnsi="宋体" w:cstheme="minorBidi"/>
          <w:highlight w:val="none"/>
        </w:rPr>
        <w:t>如贵方对样品认可</w:t>
      </w:r>
      <w:r>
        <w:rPr>
          <w:rFonts w:hint="eastAsia" w:ascii="宋体" w:hAnsi="宋体" w:cstheme="minorBidi"/>
          <w:highlight w:val="none"/>
        </w:rPr>
        <w:t>且</w:t>
      </w:r>
      <w:r>
        <w:rPr>
          <w:rFonts w:ascii="宋体" w:hAnsi="宋体" w:cstheme="minorBidi"/>
          <w:highlight w:val="none"/>
        </w:rPr>
        <w:t>样品未因</w:t>
      </w:r>
      <w:r>
        <w:rPr>
          <w:rFonts w:hint="eastAsia" w:ascii="宋体" w:hAnsi="宋体" w:cstheme="minorBidi"/>
          <w:highlight w:val="none"/>
        </w:rPr>
        <w:t>检验</w:t>
      </w:r>
      <w:r>
        <w:rPr>
          <w:rFonts w:ascii="宋体" w:hAnsi="宋体" w:cstheme="minorBidi"/>
          <w:highlight w:val="none"/>
        </w:rPr>
        <w:t>检测</w:t>
      </w:r>
      <w:r>
        <w:rPr>
          <w:rFonts w:hint="eastAsia" w:ascii="宋体" w:hAnsi="宋体" w:cstheme="minorBidi"/>
          <w:highlight w:val="none"/>
        </w:rPr>
        <w:t>而</w:t>
      </w:r>
      <w:r>
        <w:rPr>
          <w:rFonts w:ascii="宋体" w:hAnsi="宋体" w:cstheme="minorBidi"/>
          <w:highlight w:val="none"/>
        </w:rPr>
        <w:t>发生性能改变</w:t>
      </w:r>
      <w:r>
        <w:rPr>
          <w:rFonts w:hint="eastAsia" w:ascii="宋体" w:hAnsi="宋体" w:cstheme="minorBidi"/>
          <w:highlight w:val="none"/>
        </w:rPr>
        <w:t>，</w:t>
      </w:r>
      <w:r>
        <w:rPr>
          <w:rFonts w:ascii="宋体" w:hAnsi="宋体" w:cstheme="minorBidi"/>
          <w:highlight w:val="none"/>
        </w:rPr>
        <w:t>则样品数量</w:t>
      </w:r>
      <w:r>
        <w:rPr>
          <w:rFonts w:hint="eastAsia" w:ascii="宋体" w:hAnsi="宋体" w:cstheme="minorBidi"/>
          <w:highlight w:val="none"/>
        </w:rPr>
        <w:t>可</w:t>
      </w:r>
      <w:r>
        <w:rPr>
          <w:rFonts w:ascii="宋体" w:hAnsi="宋体" w:cstheme="minorBidi"/>
          <w:highlight w:val="none"/>
        </w:rPr>
        <w:t>计入</w:t>
      </w:r>
      <w:r>
        <w:rPr>
          <w:rFonts w:hint="eastAsia" w:ascii="宋体" w:hAnsi="宋体" w:cstheme="minorBidi"/>
          <w:highlight w:val="none"/>
        </w:rPr>
        <w:t>交货</w:t>
      </w:r>
      <w:r>
        <w:rPr>
          <w:rFonts w:ascii="宋体" w:hAnsi="宋体" w:cstheme="minorBidi"/>
          <w:highlight w:val="none"/>
        </w:rPr>
        <w:t>数量</w:t>
      </w:r>
      <w:r>
        <w:rPr>
          <w:rFonts w:hint="eastAsia" w:ascii="宋体" w:hAnsi="宋体" w:cstheme="minorBidi"/>
          <w:highlight w:val="none"/>
        </w:rPr>
        <w:t>。</w:t>
      </w:r>
    </w:p>
    <w:p>
      <w:pPr>
        <w:pStyle w:val="37"/>
        <w:widowControl w:val="0"/>
        <w:shd w:val="clear"/>
        <w:spacing w:before="0" w:after="0" w:afterAutospacing="0"/>
        <w:ind w:left="0" w:right="0" w:firstLine="420" w:firstLineChars="200"/>
        <w:rPr>
          <w:rFonts w:ascii="宋体" w:hAnsi="宋体" w:cstheme="minorBidi"/>
          <w:highlight w:val="none"/>
        </w:rPr>
      </w:pPr>
      <w:r>
        <w:rPr>
          <w:rFonts w:hint="eastAsia" w:ascii="宋体" w:hAnsi="宋体" w:cstheme="minorBidi"/>
          <w:highlight w:val="none"/>
        </w:rPr>
        <w:t>5.质保期内货物出现故障我公司承诺在1小时内做出响应，2小时到达维修现场。一般问题应在1小时内解决，重大问题或其它无法迅速解决的问题应在24小时内解决。质保期内的货物故障维修均为免费保修。质保期后，过了我公司承诺的质保期后，我公司仍保持质保期内的响应服务，免收维修费，对维修所用到的零配件按市场价格收取成本费。货物出现故障我公司承诺在1小时以内做出响应，2小时到达维修现场，一般问题应在1小时内解决，重大问题或其它无法迅速解决的问题应在48小时内解决。</w:t>
      </w:r>
    </w:p>
    <w:p>
      <w:pPr>
        <w:pStyle w:val="37"/>
        <w:widowControl w:val="0"/>
        <w:shd w:val="clear"/>
        <w:spacing w:before="0" w:after="0" w:afterAutospacing="0"/>
        <w:ind w:left="0" w:right="0" w:firstLine="420" w:firstLineChars="200"/>
        <w:rPr>
          <w:rFonts w:ascii="宋体" w:hAnsi="宋体" w:cstheme="minorBidi"/>
          <w:highlight w:val="none"/>
        </w:rPr>
      </w:pPr>
      <w:r>
        <w:rPr>
          <w:rFonts w:hint="eastAsia" w:ascii="宋体" w:hAnsi="宋体" w:cstheme="minorBidi"/>
          <w:highlight w:val="none"/>
        </w:rPr>
        <w:t>6.若我方因自身原因不能履约签订合同或履行合同的，贵方可取消我方的中选资格，并从后续排名的</w:t>
      </w:r>
      <w:r>
        <w:rPr>
          <w:rFonts w:ascii="宋体" w:hAnsi="宋体" w:cstheme="minorBidi"/>
          <w:highlight w:val="none"/>
        </w:rPr>
        <w:t>其他</w:t>
      </w:r>
      <w:r>
        <w:rPr>
          <w:rFonts w:hint="eastAsia" w:ascii="宋体" w:hAnsi="宋体" w:cstheme="minorBidi"/>
          <w:highlight w:val="none"/>
        </w:rPr>
        <w:t>候选供应商中依次向上递补确定供应商或重新组织采购，同时贵方有权将我公司列入黑名单。</w:t>
      </w:r>
    </w:p>
    <w:p>
      <w:pPr>
        <w:pStyle w:val="37"/>
        <w:widowControl w:val="0"/>
        <w:shd w:val="clear"/>
        <w:spacing w:before="0" w:after="0" w:afterAutospacing="0"/>
        <w:ind w:left="480" w:right="0" w:firstLine="0"/>
        <w:rPr>
          <w:rFonts w:ascii="宋体" w:hAnsi="宋体" w:cstheme="minorBidi"/>
          <w:sz w:val="24"/>
          <w:szCs w:val="28"/>
          <w:highlight w:val="none"/>
        </w:rPr>
      </w:pPr>
      <w:r>
        <w:rPr>
          <w:rFonts w:hint="eastAsia" w:ascii="宋体" w:hAnsi="宋体" w:cstheme="minorBidi"/>
          <w:highlight w:val="none"/>
        </w:rPr>
        <w:t>联系人:联系方式:身份证号:</w:t>
      </w:r>
    </w:p>
    <w:p>
      <w:pPr>
        <w:shd w:val="clear"/>
        <w:spacing w:before="0" w:after="0" w:afterAutospacing="0"/>
        <w:ind w:left="0" w:right="0" w:firstLine="420" w:firstLineChars="200"/>
        <w:rPr>
          <w:rFonts w:ascii="宋体" w:hAnsi="宋体" w:cstheme="minorBidi"/>
          <w:highlight w:val="none"/>
        </w:rPr>
      </w:pPr>
    </w:p>
    <w:p>
      <w:pPr>
        <w:shd w:val="clear"/>
        <w:spacing w:before="0" w:after="0" w:afterAutospacing="0"/>
        <w:ind w:left="0" w:right="0" w:firstLine="420" w:firstLineChars="200"/>
        <w:rPr>
          <w:rFonts w:ascii="宋体" w:hAnsi="宋体" w:cstheme="minorBidi"/>
          <w:highlight w:val="none"/>
        </w:rPr>
      </w:pPr>
    </w:p>
    <w:p>
      <w:pPr>
        <w:shd w:val="clear"/>
        <w:spacing w:before="0" w:after="0" w:afterAutospacing="0"/>
        <w:ind w:left="0" w:right="0" w:firstLine="4725" w:firstLineChars="2250"/>
        <w:rPr>
          <w:rFonts w:ascii="宋体" w:hAnsi="宋体" w:cstheme="minorBidi"/>
          <w:highlight w:val="none"/>
        </w:rPr>
      </w:pPr>
      <w:r>
        <w:rPr>
          <w:rFonts w:hint="eastAsia" w:ascii="宋体" w:hAnsi="宋体" w:cstheme="minorBidi"/>
          <w:highlight w:val="none"/>
        </w:rPr>
        <w:t>承诺人：</w:t>
      </w:r>
      <w:r>
        <w:rPr>
          <w:rFonts w:hint="eastAsia" w:ascii="宋体" w:hAnsi="宋体" w:cstheme="minorBidi"/>
          <w:highlight w:val="none"/>
          <w:u w:val="single"/>
        </w:rPr>
        <w:t>　</w:t>
      </w:r>
      <w:r>
        <w:rPr>
          <w:rFonts w:ascii="宋体" w:hAnsi="宋体" w:cstheme="minorBidi"/>
          <w:highlight w:val="none"/>
          <w:u w:val="single"/>
        </w:rPr>
        <w:t>(比选申请人名称)</w:t>
      </w:r>
      <w:r>
        <w:rPr>
          <w:rFonts w:hint="eastAsia" w:ascii="宋体" w:hAnsi="宋体" w:cstheme="minorBidi"/>
          <w:highlight w:val="none"/>
        </w:rPr>
        <w:t>（盖章）</w:t>
      </w:r>
    </w:p>
    <w:p>
      <w:pPr>
        <w:shd w:val="clear"/>
        <w:spacing w:before="0"/>
        <w:ind w:left="105" w:leftChars="50" w:right="-57" w:firstLine="315" w:firstLineChars="150"/>
        <w:rPr>
          <w:rFonts w:ascii="宋体" w:hAnsi="宋体" w:cstheme="minorBidi"/>
          <w:highlight w:val="none"/>
        </w:rPr>
        <w:sectPr>
          <w:pgSz w:w="11905" w:h="16838"/>
          <w:pgMar w:top="1418" w:right="1418" w:bottom="1304" w:left="1418" w:header="454" w:footer="567" w:gutter="0"/>
          <w:pgNumType w:fmt="decimal"/>
          <w:cols w:space="720" w:num="1"/>
          <w:docGrid w:linePitch="312" w:charSpace="0"/>
        </w:sectPr>
      </w:pPr>
      <w:r>
        <w:rPr>
          <w:rFonts w:hint="eastAsia" w:ascii="宋体" w:hAnsi="宋体" w:cstheme="minorBidi"/>
          <w:highlight w:val="none"/>
        </w:rPr>
        <w:t xml:space="preserve">                                          日期：年   月   日</w:t>
      </w:r>
    </w:p>
    <w:p>
      <w:pPr>
        <w:pStyle w:val="5"/>
        <w:shd w:val="clear"/>
        <w:tabs>
          <w:tab w:val="left" w:pos="567"/>
          <w:tab w:val="left" w:pos="720"/>
        </w:tabs>
        <w:snapToGrid w:val="0"/>
        <w:spacing w:before="120" w:after="0" w:line="360" w:lineRule="auto"/>
        <w:ind w:right="-57" w:firstLine="0"/>
        <w:jc w:val="left"/>
        <w:rPr>
          <w:rFonts w:ascii="宋体" w:hAnsi="宋体" w:eastAsia="宋体"/>
          <w:sz w:val="21"/>
          <w:szCs w:val="21"/>
          <w:highlight w:val="none"/>
        </w:rPr>
      </w:pPr>
      <w:bookmarkStart w:id="1768" w:name="_Toc25750687"/>
      <w:r>
        <w:rPr>
          <w:rFonts w:hint="eastAsia" w:ascii="宋体" w:hAnsi="宋体" w:eastAsia="宋体"/>
          <w:sz w:val="21"/>
          <w:szCs w:val="21"/>
          <w:highlight w:val="none"/>
        </w:rPr>
        <w:t>C</w:t>
      </w:r>
      <w:r>
        <w:rPr>
          <w:rFonts w:ascii="宋体" w:hAnsi="宋体" w:eastAsia="宋体"/>
          <w:sz w:val="21"/>
          <w:szCs w:val="21"/>
          <w:highlight w:val="none"/>
        </w:rPr>
        <w:t>4</w:t>
      </w:r>
      <w:r>
        <w:rPr>
          <w:rFonts w:hint="eastAsia" w:ascii="宋体" w:hAnsi="宋体" w:eastAsia="宋体"/>
          <w:sz w:val="21"/>
          <w:szCs w:val="21"/>
          <w:highlight w:val="none"/>
        </w:rPr>
        <w:t>商务响应表</w:t>
      </w:r>
      <w:r>
        <w:rPr>
          <w:rFonts w:ascii="宋体" w:hAnsi="宋体" w:eastAsia="宋体"/>
          <w:sz w:val="21"/>
          <w:szCs w:val="21"/>
          <w:highlight w:val="none"/>
        </w:rPr>
        <w:t>格式</w:t>
      </w:r>
      <w:bookmarkEnd w:id="1768"/>
    </w:p>
    <w:p>
      <w:pPr>
        <w:shd w:val="clear"/>
        <w:ind w:right="-57" w:firstLine="0"/>
        <w:jc w:val="center"/>
        <w:rPr>
          <w:rFonts w:ascii="宋体" w:hAnsi="宋体"/>
          <w:b/>
          <w:highlight w:val="none"/>
        </w:rPr>
      </w:pPr>
      <w:r>
        <w:rPr>
          <w:rFonts w:hint="eastAsia" w:ascii="宋体" w:hAnsi="宋体"/>
          <w:b/>
          <w:highlight w:val="none"/>
        </w:rPr>
        <w:t>商务响应表</w:t>
      </w:r>
    </w:p>
    <w:p>
      <w:pPr>
        <w:shd w:val="clear"/>
        <w:spacing w:before="0" w:after="0" w:afterAutospacing="0"/>
        <w:ind w:right="-57" w:firstLine="0"/>
        <w:jc w:val="left"/>
        <w:rPr>
          <w:rFonts w:ascii="宋体" w:hAnsi="宋体"/>
          <w:highlight w:val="none"/>
          <w:u w:val="single"/>
        </w:rPr>
      </w:pPr>
      <w:r>
        <w:rPr>
          <w:rFonts w:hint="eastAsia" w:ascii="宋体" w:hAnsi="宋体"/>
          <w:highlight w:val="none"/>
        </w:rPr>
        <w:t>项目名称：</w:t>
      </w:r>
    </w:p>
    <w:tbl>
      <w:tblPr>
        <w:tblStyle w:val="28"/>
        <w:tblW w:w="9464" w:type="dxa"/>
        <w:tblInd w:w="0"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817"/>
        <w:gridCol w:w="2977"/>
        <w:gridCol w:w="2410"/>
        <w:gridCol w:w="1842"/>
        <w:gridCol w:w="1418"/>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17" w:type="dxa"/>
            <w:tcBorders>
              <w:top w:val="single" w:color="auto" w:sz="4" w:space="0"/>
              <w:left w:val="single" w:color="auto" w:sz="4" w:space="0"/>
              <w:bottom w:val="single" w:color="auto" w:sz="4" w:space="0"/>
              <w:right w:val="single" w:color="auto" w:sz="4" w:space="0"/>
            </w:tcBorders>
            <w:vAlign w:val="center"/>
          </w:tcPr>
          <w:p>
            <w:pPr>
              <w:shd w:val="clear"/>
              <w:ind w:left="0" w:firstLine="0"/>
              <w:rPr>
                <w:rFonts w:ascii="宋体" w:hAnsi="宋体"/>
                <w:highlight w:val="none"/>
              </w:rPr>
            </w:pPr>
            <w:r>
              <w:rPr>
                <w:rFonts w:hint="eastAsia" w:ascii="宋体" w:hAnsi="宋体"/>
                <w:highlight w:val="none"/>
              </w:rPr>
              <w:t>项目</w:t>
            </w:r>
          </w:p>
        </w:tc>
        <w:tc>
          <w:tcPr>
            <w:tcW w:w="2977" w:type="dxa"/>
            <w:tcBorders>
              <w:top w:val="single" w:color="auto" w:sz="4" w:space="0"/>
              <w:left w:val="single" w:color="auto" w:sz="4" w:space="0"/>
              <w:bottom w:val="single" w:color="auto" w:sz="4" w:space="0"/>
              <w:right w:val="single" w:color="auto" w:sz="4" w:space="0"/>
            </w:tcBorders>
            <w:vAlign w:val="center"/>
          </w:tcPr>
          <w:p>
            <w:pPr>
              <w:shd w:val="clear"/>
              <w:ind w:left="0" w:firstLine="0"/>
              <w:rPr>
                <w:rFonts w:ascii="宋体" w:hAnsi="宋体"/>
                <w:highlight w:val="none"/>
              </w:rPr>
            </w:pPr>
            <w:r>
              <w:rPr>
                <w:rFonts w:hint="eastAsia" w:ascii="宋体" w:hAnsi="宋体"/>
                <w:highlight w:val="none"/>
              </w:rPr>
              <w:t>比选文件要求内容所在章节</w:t>
            </w:r>
          </w:p>
        </w:tc>
        <w:tc>
          <w:tcPr>
            <w:tcW w:w="2410" w:type="dxa"/>
            <w:tcBorders>
              <w:top w:val="single" w:color="auto" w:sz="4" w:space="0"/>
              <w:left w:val="single" w:color="auto" w:sz="4" w:space="0"/>
              <w:bottom w:val="single" w:color="auto" w:sz="4" w:space="0"/>
              <w:right w:val="single" w:color="auto" w:sz="4" w:space="0"/>
            </w:tcBorders>
            <w:vAlign w:val="center"/>
          </w:tcPr>
          <w:p>
            <w:pPr>
              <w:shd w:val="clear"/>
              <w:ind w:left="0" w:firstLine="0"/>
              <w:rPr>
                <w:rFonts w:ascii="宋体" w:hAnsi="宋体"/>
                <w:highlight w:val="none"/>
              </w:rPr>
            </w:pPr>
            <w:r>
              <w:rPr>
                <w:rFonts w:hint="eastAsia" w:ascii="宋体" w:hAnsi="宋体"/>
                <w:highlight w:val="none"/>
              </w:rPr>
              <w:t>包含内容</w:t>
            </w:r>
          </w:p>
        </w:tc>
        <w:tc>
          <w:tcPr>
            <w:tcW w:w="1842" w:type="dxa"/>
            <w:tcBorders>
              <w:top w:val="single" w:color="auto" w:sz="4" w:space="0"/>
              <w:left w:val="single" w:color="auto" w:sz="4" w:space="0"/>
              <w:bottom w:val="single" w:color="auto" w:sz="4" w:space="0"/>
              <w:right w:val="single" w:color="auto" w:sz="4" w:space="0"/>
            </w:tcBorders>
            <w:vAlign w:val="center"/>
          </w:tcPr>
          <w:p>
            <w:pPr>
              <w:shd w:val="clear"/>
              <w:ind w:left="0" w:firstLine="0"/>
              <w:rPr>
                <w:rFonts w:ascii="宋体" w:hAnsi="宋体"/>
                <w:highlight w:val="none"/>
              </w:rPr>
            </w:pPr>
            <w:r>
              <w:rPr>
                <w:rFonts w:hint="eastAsia" w:ascii="宋体" w:hAnsi="宋体"/>
                <w:highlight w:val="none"/>
              </w:rPr>
              <w:t>比选申请人承诺是否响应比选文件要求</w:t>
            </w:r>
          </w:p>
        </w:tc>
        <w:tc>
          <w:tcPr>
            <w:tcW w:w="1418" w:type="dxa"/>
            <w:tcBorders>
              <w:top w:val="single" w:color="auto" w:sz="4" w:space="0"/>
              <w:left w:val="single" w:color="auto" w:sz="4" w:space="0"/>
              <w:bottom w:val="single" w:color="auto" w:sz="4" w:space="0"/>
              <w:right w:val="single" w:color="auto" w:sz="4" w:space="0"/>
            </w:tcBorders>
            <w:vAlign w:val="center"/>
          </w:tcPr>
          <w:p>
            <w:pPr>
              <w:shd w:val="clear"/>
              <w:ind w:left="0" w:firstLine="0"/>
              <w:rPr>
                <w:rFonts w:ascii="宋体" w:hAnsi="宋体"/>
                <w:highlight w:val="none"/>
              </w:rPr>
            </w:pPr>
            <w:r>
              <w:rPr>
                <w:rFonts w:hint="eastAsia" w:ascii="宋体" w:hAnsi="宋体"/>
                <w:highlight w:val="none"/>
              </w:rPr>
              <w:t>备注</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9464" w:type="dxa"/>
            <w:gridSpan w:val="5"/>
            <w:tcBorders>
              <w:top w:val="single" w:color="auto" w:sz="4" w:space="0"/>
              <w:left w:val="single" w:color="auto" w:sz="4" w:space="0"/>
              <w:bottom w:val="single" w:color="auto" w:sz="4" w:space="0"/>
              <w:right w:val="single" w:color="auto" w:sz="4" w:space="0"/>
            </w:tcBorders>
            <w:vAlign w:val="center"/>
          </w:tcPr>
          <w:p>
            <w:pPr>
              <w:shd w:val="clear"/>
              <w:ind w:left="0" w:firstLine="0"/>
              <w:rPr>
                <w:rFonts w:ascii="宋体" w:hAnsi="宋体"/>
                <w:highlight w:val="none"/>
              </w:rPr>
            </w:pPr>
            <w:r>
              <w:rPr>
                <w:rFonts w:hint="eastAsia" w:ascii="宋体" w:hAnsi="宋体"/>
                <w:highlight w:val="none"/>
              </w:rPr>
              <w:t>第二章</w:t>
            </w:r>
            <w:r>
              <w:rPr>
                <w:rFonts w:ascii="宋体" w:hAnsi="宋体"/>
                <w:highlight w:val="none"/>
              </w:rPr>
              <w:t> </w:t>
            </w:r>
            <w:r>
              <w:rPr>
                <w:rFonts w:hint="eastAsia" w:ascii="宋体" w:hAnsi="宋体"/>
                <w:highlight w:val="none"/>
              </w:rPr>
              <w:t>比选申请须知</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17" w:type="dxa"/>
            <w:tcBorders>
              <w:top w:val="single" w:color="auto" w:sz="4" w:space="0"/>
              <w:left w:val="single" w:color="auto" w:sz="4" w:space="0"/>
              <w:bottom w:val="single" w:color="auto" w:sz="4" w:space="0"/>
              <w:right w:val="single" w:color="auto" w:sz="4" w:space="0"/>
            </w:tcBorders>
            <w:vAlign w:val="center"/>
          </w:tcPr>
          <w:p>
            <w:pPr>
              <w:shd w:val="clear"/>
              <w:ind w:left="0" w:firstLine="0"/>
              <w:rPr>
                <w:rFonts w:ascii="宋体" w:hAnsi="宋体"/>
                <w:highlight w:val="none"/>
              </w:rPr>
            </w:pPr>
            <w:r>
              <w:rPr>
                <w:rFonts w:ascii="宋体" w:hAnsi="宋体"/>
                <w:highlight w:val="none"/>
              </w:rPr>
              <w:t>1</w:t>
            </w:r>
          </w:p>
        </w:tc>
        <w:tc>
          <w:tcPr>
            <w:tcW w:w="2977" w:type="dxa"/>
            <w:tcBorders>
              <w:top w:val="single" w:color="auto" w:sz="4" w:space="0"/>
              <w:left w:val="single" w:color="auto" w:sz="4" w:space="0"/>
              <w:bottom w:val="single" w:color="auto" w:sz="4" w:space="0"/>
              <w:right w:val="single" w:color="auto" w:sz="4" w:space="0"/>
            </w:tcBorders>
            <w:vAlign w:val="center"/>
          </w:tcPr>
          <w:p>
            <w:pPr>
              <w:shd w:val="clear"/>
              <w:ind w:left="0" w:firstLine="0"/>
              <w:rPr>
                <w:rFonts w:ascii="宋体" w:hAnsi="宋体"/>
                <w:highlight w:val="none"/>
              </w:rPr>
            </w:pPr>
            <w:r>
              <w:rPr>
                <w:rFonts w:hint="eastAsia" w:ascii="宋体" w:hAnsi="宋体"/>
                <w:highlight w:val="none"/>
              </w:rPr>
              <w:t>比选申请须知前附表</w:t>
            </w:r>
          </w:p>
        </w:tc>
        <w:tc>
          <w:tcPr>
            <w:tcW w:w="2410" w:type="dxa"/>
            <w:tcBorders>
              <w:top w:val="single" w:color="auto" w:sz="4" w:space="0"/>
              <w:left w:val="single" w:color="auto" w:sz="4" w:space="0"/>
              <w:bottom w:val="single" w:color="auto" w:sz="4" w:space="0"/>
              <w:right w:val="single" w:color="auto" w:sz="4" w:space="0"/>
            </w:tcBorders>
            <w:vAlign w:val="center"/>
          </w:tcPr>
          <w:p>
            <w:pPr>
              <w:shd w:val="clear"/>
              <w:ind w:left="0" w:firstLine="0"/>
              <w:rPr>
                <w:rFonts w:ascii="宋体" w:hAnsi="宋体"/>
                <w:highlight w:val="none"/>
              </w:rPr>
            </w:pPr>
            <w:r>
              <w:rPr>
                <w:rFonts w:hint="eastAsia" w:ascii="宋体" w:hAnsi="宋体"/>
                <w:highlight w:val="none"/>
              </w:rPr>
              <w:t>本章节全部内容</w:t>
            </w:r>
          </w:p>
        </w:tc>
        <w:tc>
          <w:tcPr>
            <w:tcW w:w="1842" w:type="dxa"/>
            <w:tcBorders>
              <w:top w:val="single" w:color="auto" w:sz="4" w:space="0"/>
              <w:left w:val="single" w:color="auto" w:sz="4" w:space="0"/>
              <w:bottom w:val="single" w:color="auto" w:sz="4" w:space="0"/>
              <w:right w:val="single" w:color="auto" w:sz="4" w:space="0"/>
            </w:tcBorders>
            <w:vAlign w:val="center"/>
          </w:tcPr>
          <w:p>
            <w:pPr>
              <w:shd w:val="clear"/>
              <w:ind w:left="0" w:firstLine="0"/>
              <w:rPr>
                <w:rFonts w:ascii="宋体" w:hAnsi="宋体"/>
                <w:highlight w:val="none"/>
              </w:rPr>
            </w:pPr>
            <w:r>
              <w:rPr>
                <w:rFonts w:hint="eastAsia" w:ascii="宋体" w:hAnsi="宋体"/>
                <w:highlight w:val="none"/>
              </w:rPr>
              <w:t>完全响应</w:t>
            </w:r>
          </w:p>
        </w:tc>
        <w:tc>
          <w:tcPr>
            <w:tcW w:w="1418" w:type="dxa"/>
            <w:tcBorders>
              <w:top w:val="single" w:color="auto" w:sz="4" w:space="0"/>
              <w:left w:val="single" w:color="auto" w:sz="4" w:space="0"/>
              <w:bottom w:val="single" w:color="auto" w:sz="4" w:space="0"/>
              <w:right w:val="single" w:color="auto" w:sz="4" w:space="0"/>
            </w:tcBorders>
            <w:vAlign w:val="center"/>
          </w:tcPr>
          <w:p>
            <w:pPr>
              <w:shd w:val="clear"/>
              <w:ind w:left="0" w:firstLine="0"/>
              <w:rPr>
                <w:rFonts w:ascii="宋体" w:hAnsi="宋体"/>
                <w:highlight w:val="none"/>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17" w:type="dxa"/>
            <w:tcBorders>
              <w:top w:val="single" w:color="auto" w:sz="4" w:space="0"/>
              <w:left w:val="single" w:color="auto" w:sz="4" w:space="0"/>
              <w:bottom w:val="single" w:color="auto" w:sz="4" w:space="0"/>
              <w:right w:val="single" w:color="auto" w:sz="4" w:space="0"/>
            </w:tcBorders>
            <w:vAlign w:val="center"/>
          </w:tcPr>
          <w:p>
            <w:pPr>
              <w:shd w:val="clear"/>
              <w:ind w:left="0" w:firstLine="0"/>
              <w:rPr>
                <w:rFonts w:ascii="宋体" w:hAnsi="宋体"/>
                <w:highlight w:val="none"/>
              </w:rPr>
            </w:pPr>
            <w:r>
              <w:rPr>
                <w:rFonts w:ascii="宋体" w:hAnsi="宋体"/>
                <w:highlight w:val="none"/>
              </w:rPr>
              <w:t>2</w:t>
            </w:r>
          </w:p>
        </w:tc>
        <w:tc>
          <w:tcPr>
            <w:tcW w:w="2977" w:type="dxa"/>
            <w:tcBorders>
              <w:top w:val="single" w:color="auto" w:sz="4" w:space="0"/>
              <w:left w:val="single" w:color="auto" w:sz="4" w:space="0"/>
              <w:bottom w:val="single" w:color="auto" w:sz="4" w:space="0"/>
              <w:right w:val="single" w:color="auto" w:sz="4" w:space="0"/>
            </w:tcBorders>
            <w:vAlign w:val="center"/>
          </w:tcPr>
          <w:p>
            <w:pPr>
              <w:shd w:val="clear"/>
              <w:ind w:left="0" w:firstLine="0"/>
              <w:rPr>
                <w:rFonts w:ascii="宋体" w:hAnsi="宋体"/>
                <w:highlight w:val="none"/>
              </w:rPr>
            </w:pPr>
            <w:r>
              <w:rPr>
                <w:rFonts w:hint="eastAsia" w:ascii="宋体" w:hAnsi="宋体"/>
                <w:highlight w:val="none"/>
              </w:rPr>
              <w:t>比选申请须知正文</w:t>
            </w:r>
          </w:p>
        </w:tc>
        <w:tc>
          <w:tcPr>
            <w:tcW w:w="2410" w:type="dxa"/>
            <w:tcBorders>
              <w:top w:val="single" w:color="auto" w:sz="4" w:space="0"/>
              <w:left w:val="single" w:color="auto" w:sz="4" w:space="0"/>
              <w:bottom w:val="single" w:color="auto" w:sz="4" w:space="0"/>
              <w:right w:val="single" w:color="auto" w:sz="4" w:space="0"/>
            </w:tcBorders>
            <w:vAlign w:val="center"/>
          </w:tcPr>
          <w:p>
            <w:pPr>
              <w:shd w:val="clear"/>
              <w:ind w:left="0" w:firstLine="0"/>
              <w:rPr>
                <w:rFonts w:ascii="宋体" w:hAnsi="宋体"/>
                <w:highlight w:val="none"/>
              </w:rPr>
            </w:pPr>
            <w:r>
              <w:rPr>
                <w:rFonts w:hint="eastAsia" w:ascii="宋体" w:hAnsi="宋体"/>
                <w:highlight w:val="none"/>
              </w:rPr>
              <w:t>本章节全部内容</w:t>
            </w:r>
          </w:p>
        </w:tc>
        <w:tc>
          <w:tcPr>
            <w:tcW w:w="1842" w:type="dxa"/>
            <w:tcBorders>
              <w:top w:val="single" w:color="auto" w:sz="4" w:space="0"/>
              <w:left w:val="single" w:color="auto" w:sz="4" w:space="0"/>
              <w:bottom w:val="single" w:color="auto" w:sz="4" w:space="0"/>
              <w:right w:val="single" w:color="auto" w:sz="4" w:space="0"/>
            </w:tcBorders>
            <w:vAlign w:val="center"/>
          </w:tcPr>
          <w:p>
            <w:pPr>
              <w:shd w:val="clear"/>
              <w:ind w:left="0" w:firstLine="0"/>
              <w:rPr>
                <w:rFonts w:ascii="宋体" w:hAnsi="宋体"/>
                <w:highlight w:val="none"/>
              </w:rPr>
            </w:pPr>
            <w:r>
              <w:rPr>
                <w:rFonts w:hint="eastAsia" w:ascii="宋体" w:hAnsi="宋体"/>
                <w:highlight w:val="none"/>
              </w:rPr>
              <w:t>完全响应</w:t>
            </w:r>
          </w:p>
        </w:tc>
        <w:tc>
          <w:tcPr>
            <w:tcW w:w="1418" w:type="dxa"/>
            <w:tcBorders>
              <w:top w:val="single" w:color="auto" w:sz="4" w:space="0"/>
              <w:left w:val="single" w:color="auto" w:sz="4" w:space="0"/>
              <w:bottom w:val="single" w:color="auto" w:sz="4" w:space="0"/>
              <w:right w:val="single" w:color="auto" w:sz="4" w:space="0"/>
            </w:tcBorders>
            <w:vAlign w:val="center"/>
          </w:tcPr>
          <w:p>
            <w:pPr>
              <w:shd w:val="clear"/>
              <w:ind w:left="0" w:firstLine="0"/>
              <w:rPr>
                <w:rFonts w:ascii="宋体" w:hAnsi="宋体"/>
                <w:highlight w:val="none"/>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9464" w:type="dxa"/>
            <w:gridSpan w:val="5"/>
            <w:tcBorders>
              <w:top w:val="single" w:color="auto" w:sz="4" w:space="0"/>
              <w:left w:val="single" w:color="auto" w:sz="4" w:space="0"/>
              <w:bottom w:val="single" w:color="auto" w:sz="4" w:space="0"/>
              <w:right w:val="single" w:color="auto" w:sz="4" w:space="0"/>
            </w:tcBorders>
            <w:vAlign w:val="center"/>
          </w:tcPr>
          <w:p>
            <w:pPr>
              <w:shd w:val="clear"/>
              <w:ind w:left="0" w:firstLine="0"/>
              <w:rPr>
                <w:rFonts w:ascii="宋体" w:hAnsi="宋体"/>
                <w:highlight w:val="none"/>
              </w:rPr>
            </w:pPr>
            <w:r>
              <w:rPr>
                <w:rFonts w:hint="eastAsia" w:ascii="宋体" w:hAnsi="宋体"/>
                <w:highlight w:val="none"/>
              </w:rPr>
              <w:t>第三章</w:t>
            </w:r>
            <w:r>
              <w:rPr>
                <w:rFonts w:ascii="宋体" w:hAnsi="宋体"/>
                <w:highlight w:val="none"/>
              </w:rPr>
              <w:t> </w:t>
            </w:r>
            <w:r>
              <w:rPr>
                <w:rFonts w:hint="eastAsia" w:ascii="宋体" w:hAnsi="宋体"/>
                <w:highlight w:val="none"/>
              </w:rPr>
              <w:t>合同条款</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17" w:type="dxa"/>
            <w:tcBorders>
              <w:top w:val="single" w:color="auto" w:sz="4" w:space="0"/>
              <w:left w:val="single" w:color="auto" w:sz="4" w:space="0"/>
              <w:bottom w:val="single" w:color="auto" w:sz="4" w:space="0"/>
              <w:right w:val="single" w:color="auto" w:sz="4" w:space="0"/>
            </w:tcBorders>
            <w:vAlign w:val="center"/>
          </w:tcPr>
          <w:p>
            <w:pPr>
              <w:shd w:val="clear"/>
              <w:ind w:left="0" w:firstLine="0"/>
              <w:rPr>
                <w:rFonts w:ascii="宋体" w:hAnsi="宋体"/>
                <w:highlight w:val="none"/>
              </w:rPr>
            </w:pPr>
            <w:r>
              <w:rPr>
                <w:rFonts w:ascii="宋体" w:hAnsi="宋体"/>
                <w:highlight w:val="none"/>
              </w:rPr>
              <w:t>1</w:t>
            </w:r>
          </w:p>
        </w:tc>
        <w:tc>
          <w:tcPr>
            <w:tcW w:w="2977" w:type="dxa"/>
            <w:tcBorders>
              <w:top w:val="single" w:color="auto" w:sz="4" w:space="0"/>
              <w:left w:val="single" w:color="auto" w:sz="4" w:space="0"/>
              <w:bottom w:val="single" w:color="auto" w:sz="4" w:space="0"/>
              <w:right w:val="single" w:color="auto" w:sz="4" w:space="0"/>
            </w:tcBorders>
            <w:vAlign w:val="center"/>
          </w:tcPr>
          <w:p>
            <w:pPr>
              <w:shd w:val="clear"/>
              <w:ind w:left="0" w:firstLine="0"/>
              <w:rPr>
                <w:rFonts w:ascii="宋体" w:hAnsi="宋体"/>
                <w:highlight w:val="none"/>
              </w:rPr>
            </w:pPr>
            <w:r>
              <w:rPr>
                <w:rFonts w:hint="eastAsia" w:ascii="宋体" w:hAnsi="宋体"/>
                <w:highlight w:val="none"/>
              </w:rPr>
              <w:t>合同协议书</w:t>
            </w:r>
          </w:p>
        </w:tc>
        <w:tc>
          <w:tcPr>
            <w:tcW w:w="2410" w:type="dxa"/>
            <w:tcBorders>
              <w:top w:val="single" w:color="auto" w:sz="4" w:space="0"/>
              <w:left w:val="single" w:color="auto" w:sz="4" w:space="0"/>
              <w:bottom w:val="single" w:color="auto" w:sz="4" w:space="0"/>
              <w:right w:val="single" w:color="auto" w:sz="4" w:space="0"/>
            </w:tcBorders>
            <w:vAlign w:val="center"/>
          </w:tcPr>
          <w:p>
            <w:pPr>
              <w:shd w:val="clear"/>
              <w:ind w:left="0" w:firstLine="0"/>
              <w:rPr>
                <w:rFonts w:ascii="宋体" w:hAnsi="宋体"/>
                <w:highlight w:val="none"/>
              </w:rPr>
            </w:pPr>
            <w:r>
              <w:rPr>
                <w:rFonts w:hint="eastAsia" w:ascii="宋体" w:hAnsi="宋体"/>
                <w:highlight w:val="none"/>
              </w:rPr>
              <w:t>本章节全部内容</w:t>
            </w:r>
          </w:p>
        </w:tc>
        <w:tc>
          <w:tcPr>
            <w:tcW w:w="1842" w:type="dxa"/>
            <w:tcBorders>
              <w:top w:val="single" w:color="auto" w:sz="4" w:space="0"/>
              <w:left w:val="single" w:color="auto" w:sz="4" w:space="0"/>
              <w:bottom w:val="single" w:color="auto" w:sz="4" w:space="0"/>
              <w:right w:val="single" w:color="auto" w:sz="4" w:space="0"/>
            </w:tcBorders>
            <w:vAlign w:val="center"/>
          </w:tcPr>
          <w:p>
            <w:pPr>
              <w:shd w:val="clear"/>
              <w:ind w:left="0" w:firstLine="0"/>
              <w:rPr>
                <w:rFonts w:ascii="宋体" w:hAnsi="宋体"/>
                <w:highlight w:val="none"/>
              </w:rPr>
            </w:pPr>
            <w:r>
              <w:rPr>
                <w:rFonts w:hint="eastAsia" w:ascii="宋体" w:hAnsi="宋体"/>
                <w:highlight w:val="none"/>
              </w:rPr>
              <w:t>完全响应</w:t>
            </w:r>
          </w:p>
        </w:tc>
        <w:tc>
          <w:tcPr>
            <w:tcW w:w="1418" w:type="dxa"/>
            <w:tcBorders>
              <w:top w:val="single" w:color="auto" w:sz="4" w:space="0"/>
              <w:left w:val="single" w:color="auto" w:sz="4" w:space="0"/>
              <w:bottom w:val="single" w:color="auto" w:sz="4" w:space="0"/>
              <w:right w:val="single" w:color="auto" w:sz="4" w:space="0"/>
            </w:tcBorders>
            <w:vAlign w:val="center"/>
          </w:tcPr>
          <w:p>
            <w:pPr>
              <w:shd w:val="clear"/>
              <w:ind w:left="0" w:firstLine="0"/>
              <w:rPr>
                <w:rFonts w:ascii="宋体" w:hAnsi="宋体"/>
                <w:highlight w:val="none"/>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17" w:type="dxa"/>
            <w:tcBorders>
              <w:top w:val="single" w:color="auto" w:sz="4" w:space="0"/>
              <w:left w:val="single" w:color="auto" w:sz="4" w:space="0"/>
              <w:bottom w:val="single" w:color="auto" w:sz="4" w:space="0"/>
              <w:right w:val="single" w:color="auto" w:sz="4" w:space="0"/>
            </w:tcBorders>
            <w:vAlign w:val="center"/>
          </w:tcPr>
          <w:p>
            <w:pPr>
              <w:shd w:val="clear"/>
              <w:ind w:left="0" w:firstLine="0"/>
              <w:rPr>
                <w:rFonts w:ascii="宋体" w:hAnsi="宋体"/>
                <w:highlight w:val="none"/>
              </w:rPr>
            </w:pPr>
            <w:r>
              <w:rPr>
                <w:rFonts w:ascii="宋体" w:hAnsi="宋体"/>
                <w:highlight w:val="none"/>
              </w:rPr>
              <w:t>2</w:t>
            </w:r>
          </w:p>
        </w:tc>
        <w:tc>
          <w:tcPr>
            <w:tcW w:w="2977" w:type="dxa"/>
            <w:tcBorders>
              <w:top w:val="single" w:color="auto" w:sz="4" w:space="0"/>
              <w:left w:val="single" w:color="auto" w:sz="4" w:space="0"/>
              <w:bottom w:val="single" w:color="auto" w:sz="4" w:space="0"/>
              <w:right w:val="single" w:color="auto" w:sz="4" w:space="0"/>
            </w:tcBorders>
            <w:vAlign w:val="center"/>
          </w:tcPr>
          <w:p>
            <w:pPr>
              <w:shd w:val="clear"/>
              <w:ind w:left="0" w:firstLine="0"/>
              <w:rPr>
                <w:rFonts w:ascii="宋体" w:hAnsi="宋体"/>
                <w:highlight w:val="none"/>
              </w:rPr>
            </w:pPr>
            <w:r>
              <w:rPr>
                <w:rFonts w:hint="eastAsia" w:ascii="宋体" w:hAnsi="宋体"/>
                <w:highlight w:val="none"/>
              </w:rPr>
              <w:t>合同条款</w:t>
            </w:r>
          </w:p>
        </w:tc>
        <w:tc>
          <w:tcPr>
            <w:tcW w:w="2410" w:type="dxa"/>
            <w:tcBorders>
              <w:top w:val="single" w:color="auto" w:sz="4" w:space="0"/>
              <w:left w:val="single" w:color="auto" w:sz="4" w:space="0"/>
              <w:bottom w:val="single" w:color="auto" w:sz="4" w:space="0"/>
              <w:right w:val="single" w:color="auto" w:sz="4" w:space="0"/>
            </w:tcBorders>
            <w:vAlign w:val="center"/>
          </w:tcPr>
          <w:p>
            <w:pPr>
              <w:shd w:val="clear"/>
              <w:ind w:left="0" w:firstLine="0"/>
              <w:rPr>
                <w:rFonts w:ascii="宋体" w:hAnsi="宋体"/>
                <w:highlight w:val="none"/>
              </w:rPr>
            </w:pPr>
            <w:r>
              <w:rPr>
                <w:rFonts w:hint="eastAsia" w:ascii="宋体" w:hAnsi="宋体"/>
                <w:highlight w:val="none"/>
              </w:rPr>
              <w:t>本章节全部内容</w:t>
            </w:r>
          </w:p>
        </w:tc>
        <w:tc>
          <w:tcPr>
            <w:tcW w:w="1842" w:type="dxa"/>
            <w:tcBorders>
              <w:top w:val="single" w:color="auto" w:sz="4" w:space="0"/>
              <w:left w:val="single" w:color="auto" w:sz="4" w:space="0"/>
              <w:bottom w:val="single" w:color="auto" w:sz="4" w:space="0"/>
              <w:right w:val="single" w:color="auto" w:sz="4" w:space="0"/>
            </w:tcBorders>
            <w:vAlign w:val="center"/>
          </w:tcPr>
          <w:p>
            <w:pPr>
              <w:shd w:val="clear"/>
              <w:ind w:left="0" w:firstLine="0"/>
              <w:rPr>
                <w:rFonts w:ascii="宋体" w:hAnsi="宋体"/>
                <w:highlight w:val="none"/>
              </w:rPr>
            </w:pPr>
            <w:r>
              <w:rPr>
                <w:rFonts w:hint="eastAsia" w:ascii="宋体" w:hAnsi="宋体"/>
                <w:highlight w:val="none"/>
              </w:rPr>
              <w:t>完全响应</w:t>
            </w:r>
          </w:p>
        </w:tc>
        <w:tc>
          <w:tcPr>
            <w:tcW w:w="1418" w:type="dxa"/>
            <w:tcBorders>
              <w:top w:val="single" w:color="auto" w:sz="4" w:space="0"/>
              <w:left w:val="single" w:color="auto" w:sz="4" w:space="0"/>
              <w:bottom w:val="single" w:color="auto" w:sz="4" w:space="0"/>
              <w:right w:val="single" w:color="auto" w:sz="4" w:space="0"/>
            </w:tcBorders>
            <w:vAlign w:val="center"/>
          </w:tcPr>
          <w:p>
            <w:pPr>
              <w:shd w:val="clear"/>
              <w:ind w:left="0" w:firstLine="0"/>
              <w:rPr>
                <w:rFonts w:ascii="宋体" w:hAnsi="宋体"/>
                <w:highlight w:val="none"/>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9464" w:type="dxa"/>
            <w:gridSpan w:val="5"/>
            <w:tcBorders>
              <w:top w:val="single" w:color="auto" w:sz="4" w:space="0"/>
              <w:left w:val="single" w:color="auto" w:sz="4" w:space="0"/>
              <w:bottom w:val="single" w:color="auto" w:sz="4" w:space="0"/>
              <w:right w:val="single" w:color="auto" w:sz="4" w:space="0"/>
            </w:tcBorders>
            <w:vAlign w:val="center"/>
          </w:tcPr>
          <w:p>
            <w:pPr>
              <w:shd w:val="clear"/>
              <w:ind w:left="0" w:firstLine="0"/>
              <w:rPr>
                <w:rFonts w:ascii="宋体" w:hAnsi="宋体"/>
                <w:highlight w:val="none"/>
              </w:rPr>
            </w:pPr>
            <w:r>
              <w:rPr>
                <w:rFonts w:hint="eastAsia" w:ascii="宋体" w:hAnsi="宋体"/>
                <w:highlight w:val="none"/>
              </w:rPr>
              <w:t>第五章用户需求书</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817" w:type="dxa"/>
            <w:tcBorders>
              <w:top w:val="single" w:color="auto" w:sz="4" w:space="0"/>
              <w:left w:val="single" w:color="auto" w:sz="4" w:space="0"/>
              <w:bottom w:val="single" w:color="auto" w:sz="4" w:space="0"/>
              <w:right w:val="single" w:color="auto" w:sz="4" w:space="0"/>
            </w:tcBorders>
            <w:vAlign w:val="center"/>
          </w:tcPr>
          <w:p>
            <w:pPr>
              <w:shd w:val="clear"/>
              <w:ind w:left="0" w:firstLine="0"/>
              <w:rPr>
                <w:rFonts w:ascii="宋体" w:hAnsi="宋体"/>
                <w:highlight w:val="none"/>
              </w:rPr>
            </w:pPr>
            <w:r>
              <w:rPr>
                <w:rFonts w:ascii="宋体" w:hAnsi="宋体"/>
                <w:highlight w:val="none"/>
              </w:rPr>
              <w:t>1</w:t>
            </w:r>
          </w:p>
        </w:tc>
        <w:tc>
          <w:tcPr>
            <w:tcW w:w="2977" w:type="dxa"/>
            <w:tcBorders>
              <w:top w:val="single" w:color="auto" w:sz="4" w:space="0"/>
              <w:left w:val="single" w:color="auto" w:sz="4" w:space="0"/>
              <w:bottom w:val="single" w:color="auto" w:sz="4" w:space="0"/>
              <w:right w:val="single" w:color="auto" w:sz="4" w:space="0"/>
            </w:tcBorders>
            <w:vAlign w:val="center"/>
          </w:tcPr>
          <w:p>
            <w:pPr>
              <w:shd w:val="clear"/>
              <w:ind w:left="0" w:firstLine="0"/>
              <w:rPr>
                <w:rFonts w:ascii="宋体" w:hAnsi="宋体"/>
                <w:highlight w:val="none"/>
              </w:rPr>
            </w:pPr>
            <w:r>
              <w:rPr>
                <w:rFonts w:hint="eastAsia" w:ascii="宋体" w:hAnsi="宋体"/>
                <w:highlight w:val="none"/>
              </w:rPr>
              <w:t>商务要求</w:t>
            </w:r>
          </w:p>
        </w:tc>
        <w:tc>
          <w:tcPr>
            <w:tcW w:w="2410" w:type="dxa"/>
            <w:tcBorders>
              <w:top w:val="single" w:color="auto" w:sz="4" w:space="0"/>
              <w:left w:val="single" w:color="auto" w:sz="4" w:space="0"/>
              <w:bottom w:val="single" w:color="auto" w:sz="4" w:space="0"/>
              <w:right w:val="single" w:color="auto" w:sz="4" w:space="0"/>
            </w:tcBorders>
            <w:vAlign w:val="center"/>
          </w:tcPr>
          <w:p>
            <w:pPr>
              <w:shd w:val="clear"/>
              <w:ind w:left="0" w:firstLine="0"/>
              <w:rPr>
                <w:rFonts w:ascii="宋体" w:hAnsi="宋体"/>
                <w:highlight w:val="none"/>
              </w:rPr>
            </w:pPr>
            <w:r>
              <w:rPr>
                <w:rFonts w:hint="eastAsia" w:ascii="宋体" w:hAnsi="宋体"/>
                <w:highlight w:val="none"/>
              </w:rPr>
              <w:t>本章节全部内容</w:t>
            </w:r>
          </w:p>
        </w:tc>
        <w:tc>
          <w:tcPr>
            <w:tcW w:w="1842" w:type="dxa"/>
            <w:tcBorders>
              <w:top w:val="single" w:color="auto" w:sz="4" w:space="0"/>
              <w:left w:val="single" w:color="auto" w:sz="4" w:space="0"/>
              <w:bottom w:val="single" w:color="auto" w:sz="4" w:space="0"/>
              <w:right w:val="single" w:color="auto" w:sz="4" w:space="0"/>
            </w:tcBorders>
            <w:vAlign w:val="center"/>
          </w:tcPr>
          <w:p>
            <w:pPr>
              <w:shd w:val="clear"/>
              <w:ind w:left="0" w:firstLine="0"/>
              <w:rPr>
                <w:rFonts w:ascii="宋体" w:hAnsi="宋体"/>
                <w:highlight w:val="none"/>
              </w:rPr>
            </w:pPr>
            <w:r>
              <w:rPr>
                <w:rFonts w:hint="eastAsia" w:ascii="宋体" w:hAnsi="宋体"/>
                <w:highlight w:val="none"/>
              </w:rPr>
              <w:t>完全响应</w:t>
            </w:r>
          </w:p>
        </w:tc>
        <w:tc>
          <w:tcPr>
            <w:tcW w:w="1418" w:type="dxa"/>
            <w:tcBorders>
              <w:top w:val="single" w:color="auto" w:sz="4" w:space="0"/>
              <w:left w:val="single" w:color="auto" w:sz="4" w:space="0"/>
              <w:bottom w:val="single" w:color="auto" w:sz="4" w:space="0"/>
              <w:right w:val="single" w:color="auto" w:sz="4" w:space="0"/>
            </w:tcBorders>
            <w:vAlign w:val="center"/>
          </w:tcPr>
          <w:p>
            <w:pPr>
              <w:shd w:val="clear"/>
              <w:ind w:left="0" w:firstLine="0"/>
              <w:rPr>
                <w:rFonts w:ascii="宋体" w:hAnsi="宋体"/>
                <w:highlight w:val="none"/>
              </w:rPr>
            </w:pPr>
          </w:p>
        </w:tc>
      </w:tr>
    </w:tbl>
    <w:p>
      <w:pPr>
        <w:shd w:val="clear"/>
        <w:snapToGrid w:val="0"/>
        <w:spacing w:after="50"/>
        <w:ind w:right="-57" w:firstLine="0"/>
        <w:rPr>
          <w:rFonts w:ascii="宋体" w:hAnsi="宋体"/>
          <w:color w:val="000000" w:themeColor="text1"/>
          <w:spacing w:val="20"/>
          <w:sz w:val="24"/>
          <w:szCs w:val="24"/>
          <w:highlight w:val="none"/>
        </w:rPr>
      </w:pPr>
      <w:r>
        <w:rPr>
          <w:rFonts w:hint="eastAsia" w:ascii="宋体" w:hAnsi="宋体"/>
          <w:b/>
          <w:highlight w:val="none"/>
        </w:rPr>
        <w:t>注：上述响应要求必须全部为“完全响应”，否则，比选申请人将不能通过符合性评审。</w:t>
      </w:r>
    </w:p>
    <w:p>
      <w:pPr>
        <w:shd w:val="clear"/>
        <w:snapToGrid w:val="0"/>
        <w:spacing w:after="50"/>
        <w:ind w:right="-57" w:firstLine="0"/>
        <w:rPr>
          <w:rFonts w:ascii="宋体" w:hAnsi="宋体"/>
          <w:color w:val="000000" w:themeColor="text1"/>
          <w:spacing w:val="20"/>
          <w:sz w:val="24"/>
          <w:szCs w:val="24"/>
          <w:highlight w:val="none"/>
        </w:rPr>
      </w:pPr>
    </w:p>
    <w:p>
      <w:pPr>
        <w:shd w:val="clear"/>
        <w:snapToGrid w:val="0"/>
        <w:spacing w:after="50" w:line="280" w:lineRule="exact"/>
        <w:ind w:left="953" w:right="-817" w:firstLine="1443"/>
        <w:rPr>
          <w:rFonts w:ascii="宋体" w:hAnsi="宋体"/>
          <w:sz w:val="24"/>
          <w:szCs w:val="24"/>
          <w:highlight w:val="none"/>
        </w:rPr>
      </w:pPr>
    </w:p>
    <w:p>
      <w:pPr>
        <w:shd w:val="clear"/>
        <w:snapToGrid w:val="0"/>
        <w:spacing w:after="50" w:line="280" w:lineRule="exact"/>
        <w:ind w:left="955" w:right="-817" w:firstLine="2835" w:firstLineChars="1350"/>
        <w:rPr>
          <w:rFonts w:ascii="宋体" w:hAnsi="宋体"/>
          <w:highlight w:val="none"/>
          <w:u w:val="single"/>
        </w:rPr>
      </w:pPr>
      <w:r>
        <w:rPr>
          <w:rFonts w:hint="eastAsia" w:ascii="宋体" w:hAnsi="宋体"/>
          <w:highlight w:val="none"/>
        </w:rPr>
        <w:t>比选申请人名称（盖章）：</w:t>
      </w:r>
    </w:p>
    <w:p>
      <w:pPr>
        <w:shd w:val="clear"/>
        <w:snapToGrid w:val="0"/>
        <w:spacing w:after="50" w:line="280" w:lineRule="exact"/>
        <w:ind w:left="707" w:right="-817" w:firstLine="0"/>
        <w:jc w:val="center"/>
        <w:rPr>
          <w:rFonts w:ascii="宋体" w:hAnsi="宋体"/>
          <w:highlight w:val="none"/>
          <w:u w:val="single"/>
        </w:rPr>
      </w:pPr>
      <w:r>
        <w:rPr>
          <w:rFonts w:ascii="宋体" w:hAnsi="宋体"/>
          <w:highlight w:val="none"/>
        </w:rPr>
        <w:t xml:space="preserve"> 法定代表人或被授权人（签字）：</w:t>
      </w:r>
    </w:p>
    <w:p>
      <w:pPr>
        <w:shd w:val="clear"/>
        <w:spacing w:before="0"/>
        <w:ind w:right="-57" w:firstLine="0"/>
        <w:jc w:val="center"/>
        <w:rPr>
          <w:rFonts w:ascii="宋体" w:hAnsi="宋体"/>
          <w:highlight w:val="none"/>
        </w:rPr>
      </w:pPr>
      <w:r>
        <w:rPr>
          <w:rFonts w:hint="eastAsia" w:ascii="宋体" w:hAnsi="宋体"/>
          <w:highlight w:val="none"/>
        </w:rPr>
        <w:t>日期：年月日</w:t>
      </w:r>
    </w:p>
    <w:p>
      <w:pPr>
        <w:shd w:val="clear"/>
        <w:spacing w:before="0"/>
        <w:ind w:left="105" w:leftChars="50" w:right="-57" w:firstLine="316" w:firstLineChars="150"/>
        <w:rPr>
          <w:rFonts w:ascii="宋体" w:hAnsi="宋体"/>
          <w:b/>
          <w:highlight w:val="none"/>
        </w:rPr>
      </w:pPr>
    </w:p>
    <w:p>
      <w:pPr>
        <w:shd w:val="clear"/>
        <w:spacing w:before="0" w:after="0" w:afterAutospacing="0" w:line="600" w:lineRule="exact"/>
        <w:ind w:left="709" w:right="0" w:hanging="709"/>
        <w:jc w:val="both"/>
        <w:rPr>
          <w:rFonts w:hint="eastAsia" w:ascii="黑体" w:hAnsi="黑体" w:eastAsia="黑体" w:cs="宋体"/>
          <w:sz w:val="28"/>
          <w:szCs w:val="28"/>
          <w:highlight w:val="none"/>
          <w:lang w:val="en-US" w:eastAsia="zh-CN" w:bidi="ar-SA"/>
        </w:rPr>
      </w:pPr>
      <w:bookmarkStart w:id="1769" w:name="_Toc12695"/>
      <w:bookmarkStart w:id="1770" w:name="_Toc6337"/>
      <w:bookmarkStart w:id="1771" w:name="_Toc25750688"/>
      <w:bookmarkStart w:id="1772" w:name="_Toc6454"/>
      <w:bookmarkStart w:id="1773" w:name="_Toc20298"/>
      <w:bookmarkStart w:id="1774" w:name="_Toc5010"/>
      <w:bookmarkStart w:id="1775" w:name="_Toc13941"/>
      <w:bookmarkStart w:id="1776" w:name="_Toc26409"/>
      <w:bookmarkStart w:id="1777" w:name="_Toc492478835"/>
      <w:bookmarkStart w:id="1778" w:name="_Toc21321"/>
      <w:bookmarkStart w:id="1779" w:name="_Toc16754"/>
      <w:bookmarkStart w:id="1780" w:name="_Toc9597"/>
      <w:bookmarkStart w:id="1781" w:name="_Toc328"/>
      <w:bookmarkStart w:id="1782" w:name="_Toc28535"/>
      <w:bookmarkStart w:id="1783" w:name="_Toc30897"/>
      <w:bookmarkStart w:id="1784" w:name="_Toc14566"/>
      <w:bookmarkStart w:id="1785" w:name="_Toc25061"/>
      <w:bookmarkStart w:id="1786" w:name="_Toc28135"/>
      <w:bookmarkStart w:id="1787" w:name="_Toc31681"/>
    </w:p>
    <w:p>
      <w:pPr>
        <w:pStyle w:val="2"/>
        <w:pageBreakBefore/>
        <w:shd w:val="clear"/>
        <w:ind w:right="-57"/>
        <w:jc w:val="center"/>
        <w:outlineLvl w:val="0"/>
        <w:rPr>
          <w:rFonts w:hint="eastAsia" w:ascii="黑体" w:hAnsi="黑体" w:eastAsia="黑体" w:cs="宋体"/>
          <w:sz w:val="28"/>
          <w:szCs w:val="28"/>
          <w:highlight w:val="none"/>
          <w:lang w:val="en-US" w:eastAsia="zh-CN" w:bidi="ar-SA"/>
        </w:rPr>
      </w:pPr>
      <w:r>
        <w:rPr>
          <w:rStyle w:val="42"/>
          <w:rFonts w:hint="eastAsia" w:ascii="宋体" w:hAnsi="宋体" w:eastAsia="宋体"/>
          <w:highlight w:val="none"/>
        </w:rPr>
        <w:t>第五章</w:t>
      </w:r>
      <w:r>
        <w:rPr>
          <w:rStyle w:val="42"/>
          <w:rFonts w:hint="eastAsia" w:hAnsi="宋体"/>
          <w:highlight w:val="none"/>
          <w:lang w:val="en-US" w:eastAsia="zh-CN"/>
        </w:rPr>
        <w:t xml:space="preserve"> </w:t>
      </w:r>
      <w:r>
        <w:rPr>
          <w:rStyle w:val="42"/>
          <w:rFonts w:hint="eastAsia" w:ascii="宋体" w:hAnsi="宋体" w:eastAsia="宋体"/>
          <w:highlight w:val="none"/>
        </w:rPr>
        <w:t>用户需求书</w:t>
      </w:r>
    </w:p>
    <w:p>
      <w:pPr>
        <w:shd w:val="clear"/>
        <w:spacing w:before="240" w:after="0" w:afterAutospacing="0" w:line="360" w:lineRule="auto"/>
        <w:ind w:left="0" w:right="0" w:firstLine="0"/>
        <w:jc w:val="both"/>
        <w:outlineLvl w:val="0"/>
        <w:rPr>
          <w:rFonts w:hint="eastAsia" w:ascii="黑体" w:hAnsi="黑体" w:eastAsia="黑体" w:cs="Times New Roman"/>
          <w:b/>
          <w:sz w:val="28"/>
          <w:szCs w:val="28"/>
          <w:highlight w:val="none"/>
          <w:lang w:val="en-US" w:eastAsia="zh-CN" w:bidi="ar-SA"/>
        </w:rPr>
      </w:pPr>
      <w:r>
        <w:rPr>
          <w:rFonts w:hint="eastAsia" w:ascii="黑体" w:hAnsi="黑体" w:eastAsia="黑体" w:cs="Times New Roman"/>
          <w:b/>
          <w:sz w:val="28"/>
          <w:szCs w:val="28"/>
          <w:highlight w:val="none"/>
          <w:lang w:val="en-US" w:eastAsia="zh-CN" w:bidi="ar-SA"/>
        </w:rPr>
        <w:t>1、项目概述</w:t>
      </w:r>
      <w:bookmarkStart w:id="1788" w:name="_Toc24084"/>
      <w:bookmarkStart w:id="1789" w:name="_Toc5047"/>
      <w:bookmarkStart w:id="1790" w:name="_Toc7052"/>
      <w:bookmarkStart w:id="1791" w:name="_Toc10534"/>
    </w:p>
    <w:p>
      <w:pPr>
        <w:shd w:val="clear"/>
        <w:spacing w:before="0" w:after="0" w:afterAutospacing="0" w:line="360" w:lineRule="auto"/>
        <w:ind w:left="0" w:right="0" w:firstLine="562" w:firstLineChars="200"/>
        <w:jc w:val="both"/>
        <w:outlineLvl w:val="1"/>
        <w:rPr>
          <w:rFonts w:ascii="楷体" w:hAnsi="楷体" w:eastAsia="楷体" w:cs="Times New Roman"/>
          <w:b/>
          <w:sz w:val="28"/>
          <w:szCs w:val="28"/>
          <w:highlight w:val="none"/>
          <w:lang w:val="en-US" w:eastAsia="zh-CN" w:bidi="ar-SA"/>
        </w:rPr>
      </w:pPr>
      <w:bookmarkStart w:id="1792" w:name="_Toc137824275"/>
      <w:bookmarkStart w:id="1793" w:name="_Toc135742307"/>
      <w:bookmarkStart w:id="1794" w:name="_Toc135742413"/>
      <w:r>
        <w:rPr>
          <w:rFonts w:hint="eastAsia" w:ascii="楷体" w:hAnsi="楷体" w:eastAsia="楷体" w:cs="Times New Roman"/>
          <w:b/>
          <w:sz w:val="28"/>
          <w:szCs w:val="28"/>
          <w:highlight w:val="none"/>
          <w:lang w:val="en-US" w:eastAsia="zh-CN" w:bidi="ar-SA"/>
        </w:rPr>
        <w:t>1.1</w:t>
      </w:r>
      <w:bookmarkEnd w:id="1788"/>
      <w:bookmarkEnd w:id="1789"/>
      <w:bookmarkEnd w:id="1790"/>
      <w:bookmarkEnd w:id="1791"/>
      <w:bookmarkStart w:id="1795" w:name="_Toc7839"/>
      <w:bookmarkStart w:id="1796" w:name="_Toc12894"/>
      <w:bookmarkStart w:id="1797" w:name="_Toc4270"/>
      <w:bookmarkStart w:id="1798" w:name="_Toc8116"/>
      <w:r>
        <w:rPr>
          <w:rFonts w:hint="eastAsia" w:ascii="楷体" w:hAnsi="楷体" w:eastAsia="楷体" w:cs="Times New Roman"/>
          <w:b/>
          <w:sz w:val="28"/>
          <w:szCs w:val="28"/>
          <w:highlight w:val="none"/>
          <w:lang w:val="en-US" w:eastAsia="zh-CN" w:bidi="ar-SA"/>
        </w:rPr>
        <w:t>项目概况</w:t>
      </w:r>
      <w:bookmarkEnd w:id="1792"/>
      <w:bookmarkEnd w:id="1793"/>
      <w:bookmarkEnd w:id="1794"/>
      <w:bookmarkEnd w:id="1795"/>
      <w:bookmarkEnd w:id="1796"/>
      <w:bookmarkEnd w:id="1797"/>
      <w:bookmarkEnd w:id="1798"/>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cs="Times New Roman" w:asciiTheme="minorEastAsia" w:hAnsiTheme="minorEastAsia" w:eastAsiaTheme="minorEastAsia"/>
          <w:sz w:val="28"/>
          <w:szCs w:val="28"/>
          <w:highlight w:val="none"/>
        </w:rPr>
        <w:t>现今社会可持续发展理念受到人们的关注</w:t>
      </w:r>
      <w:r>
        <w:rPr>
          <w:rFonts w:hint="eastAsia" w:cs="Times New Roman" w:asciiTheme="minorEastAsia" w:hAnsiTheme="minorEastAsia" w:eastAsiaTheme="minorEastAsia"/>
          <w:sz w:val="28"/>
          <w:szCs w:val="28"/>
          <w:highlight w:val="none"/>
        </w:rPr>
        <w:t>，新能源电动汽车</w:t>
      </w:r>
      <w:r>
        <w:rPr>
          <w:rFonts w:cs="Times New Roman" w:asciiTheme="minorEastAsia" w:hAnsiTheme="minorEastAsia" w:eastAsiaTheme="minorEastAsia"/>
          <w:sz w:val="28"/>
          <w:szCs w:val="28"/>
          <w:highlight w:val="none"/>
        </w:rPr>
        <w:t>其环保经济等特点深受广大群众的喜爱</w:t>
      </w:r>
      <w:r>
        <w:rPr>
          <w:rFonts w:hint="eastAsia" w:cs="Times New Roman" w:asciiTheme="minorEastAsia" w:hAnsiTheme="minorEastAsia" w:eastAsiaTheme="minorEastAsia"/>
          <w:sz w:val="28"/>
          <w:szCs w:val="28"/>
          <w:highlight w:val="none"/>
        </w:rPr>
        <w:t>。</w:t>
      </w:r>
      <w:r>
        <w:rPr>
          <w:rFonts w:hint="eastAsia" w:cs="Times New Roman" w:asciiTheme="minorEastAsia" w:hAnsiTheme="minorEastAsia" w:eastAsiaTheme="minorEastAsia"/>
          <w:sz w:val="28"/>
          <w:szCs w:val="28"/>
          <w:highlight w:val="none"/>
          <w:lang w:eastAsia="zh-CN"/>
        </w:rPr>
        <w:t>南宁轨道交通运营有限公司</w:t>
      </w:r>
      <w:r>
        <w:rPr>
          <w:rFonts w:hint="eastAsia" w:cs="Times New Roman" w:asciiTheme="minorEastAsia" w:hAnsiTheme="minorEastAsia" w:eastAsiaTheme="minorEastAsia"/>
          <w:sz w:val="28"/>
          <w:szCs w:val="28"/>
          <w:highlight w:val="none"/>
        </w:rPr>
        <w:t>响应政府号召，分别于2020年与2021年在控制中心建设了70个新能源电动汽车充电桩的室外车位。建设时，70个新能源电动汽车充电桩车棚均未设置自动喷水灭火系统。</w:t>
      </w:r>
    </w:p>
    <w:p>
      <w:pPr>
        <w:shd w:val="clear"/>
        <w:spacing w:before="240" w:after="0" w:afterAutospacing="0" w:line="360" w:lineRule="auto"/>
        <w:ind w:left="0" w:right="0" w:firstLine="562" w:firstLineChars="200"/>
        <w:jc w:val="both"/>
        <w:outlineLvl w:val="1"/>
        <w:rPr>
          <w:rFonts w:ascii="楷体" w:hAnsi="楷体" w:eastAsia="楷体" w:cs="Times New Roman"/>
          <w:b/>
          <w:sz w:val="28"/>
          <w:szCs w:val="28"/>
          <w:highlight w:val="none"/>
          <w:lang w:val="en-US" w:eastAsia="zh-CN" w:bidi="ar-SA"/>
        </w:rPr>
      </w:pPr>
      <w:bookmarkStart w:id="1799" w:name="_Toc137824276"/>
      <w:bookmarkStart w:id="1800" w:name="_Toc135742308"/>
      <w:bookmarkStart w:id="1801" w:name="_Toc135742414"/>
      <w:bookmarkStart w:id="1802" w:name="_Toc15445"/>
      <w:bookmarkStart w:id="1803" w:name="_Toc13213"/>
      <w:r>
        <w:rPr>
          <w:rFonts w:hint="eastAsia" w:ascii="楷体" w:hAnsi="楷体" w:eastAsia="楷体" w:cs="Times New Roman"/>
          <w:b/>
          <w:sz w:val="28"/>
          <w:szCs w:val="28"/>
          <w:highlight w:val="none"/>
          <w:lang w:val="en-US" w:eastAsia="zh-CN" w:bidi="ar-SA"/>
        </w:rPr>
        <w:t>1.2比选人及比选申请人</w:t>
      </w:r>
      <w:bookmarkEnd w:id="1799"/>
      <w:bookmarkEnd w:id="1800"/>
      <w:bookmarkEnd w:id="1801"/>
      <w:bookmarkEnd w:id="1802"/>
      <w:bookmarkEnd w:id="1803"/>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比选人：</w:t>
      </w:r>
      <w:r>
        <w:rPr>
          <w:rFonts w:cs="Times New Roman" w:asciiTheme="minorEastAsia" w:hAnsiTheme="minorEastAsia" w:eastAsiaTheme="minorEastAsia"/>
          <w:sz w:val="28"/>
          <w:szCs w:val="28"/>
          <w:highlight w:val="none"/>
        </w:rPr>
        <w:t>南宁轨道交通</w:t>
      </w:r>
      <w:r>
        <w:rPr>
          <w:rFonts w:hint="eastAsia" w:cs="Times New Roman" w:asciiTheme="minorEastAsia" w:hAnsiTheme="minorEastAsia" w:eastAsiaTheme="minorEastAsia"/>
          <w:sz w:val="28"/>
          <w:szCs w:val="28"/>
          <w:highlight w:val="none"/>
        </w:rPr>
        <w:t>运营</w:t>
      </w:r>
      <w:r>
        <w:rPr>
          <w:rFonts w:cs="Times New Roman" w:asciiTheme="minorEastAsia" w:hAnsiTheme="minorEastAsia" w:eastAsiaTheme="minorEastAsia"/>
          <w:sz w:val="28"/>
          <w:szCs w:val="28"/>
          <w:highlight w:val="none"/>
        </w:rPr>
        <w:t>有限公司</w:t>
      </w:r>
      <w:r>
        <w:rPr>
          <w:rFonts w:hint="eastAsia" w:cs="Times New Roman" w:asciiTheme="minorEastAsia" w:hAnsiTheme="minorEastAsia" w:eastAsiaTheme="minorEastAsia"/>
          <w:sz w:val="28"/>
          <w:szCs w:val="28"/>
          <w:highlight w:val="none"/>
        </w:rPr>
        <w:t>。</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比选申请人：响应比选、参加比选竞争的法人。</w:t>
      </w:r>
    </w:p>
    <w:p>
      <w:pPr>
        <w:shd w:val="clear"/>
        <w:spacing w:before="240" w:after="0" w:afterAutospacing="0" w:line="360" w:lineRule="auto"/>
        <w:ind w:left="0" w:right="0" w:firstLine="0"/>
        <w:jc w:val="both"/>
        <w:outlineLvl w:val="0"/>
        <w:rPr>
          <w:rFonts w:ascii="黑体" w:hAnsi="黑体" w:eastAsia="黑体" w:cs="Times New Roman"/>
          <w:b/>
          <w:sz w:val="28"/>
          <w:szCs w:val="28"/>
          <w:highlight w:val="none"/>
          <w:lang w:val="en-US" w:eastAsia="zh-CN" w:bidi="ar-SA"/>
        </w:rPr>
      </w:pPr>
      <w:bookmarkStart w:id="1804" w:name="_Toc22375"/>
      <w:bookmarkStart w:id="1805" w:name="_Toc21285"/>
      <w:bookmarkStart w:id="1806" w:name="_Toc534969205"/>
      <w:bookmarkStart w:id="1807" w:name="_Toc13920"/>
      <w:bookmarkStart w:id="1808" w:name="_Toc481482229"/>
      <w:bookmarkStart w:id="1809" w:name="_Toc6126"/>
      <w:bookmarkStart w:id="1810" w:name="_Toc7166"/>
      <w:bookmarkStart w:id="1811" w:name="_Toc11746"/>
      <w:bookmarkStart w:id="1812" w:name="_Toc28947"/>
      <w:bookmarkStart w:id="1813" w:name="_Toc377652889"/>
      <w:bookmarkStart w:id="1814" w:name="_Toc26008"/>
      <w:bookmarkStart w:id="1815" w:name="_Toc312"/>
      <w:bookmarkStart w:id="1816" w:name="_Toc467076702"/>
      <w:bookmarkStart w:id="1817" w:name="_Toc27658"/>
      <w:bookmarkStart w:id="1818" w:name="_Toc481565831"/>
      <w:bookmarkStart w:id="1819" w:name="_Toc24890"/>
      <w:bookmarkStart w:id="1820" w:name="_Toc1959"/>
      <w:bookmarkStart w:id="1821" w:name="_Toc32247"/>
      <w:bookmarkStart w:id="1822" w:name="_Toc497122885"/>
      <w:bookmarkStart w:id="1823" w:name="_Toc13047"/>
      <w:bookmarkStart w:id="1824" w:name="_Toc13298"/>
      <w:bookmarkStart w:id="1825" w:name="_Toc427229175"/>
      <w:bookmarkStart w:id="1826" w:name="_Toc23"/>
      <w:bookmarkStart w:id="1827" w:name="_Toc31269"/>
      <w:bookmarkStart w:id="1828" w:name="_Toc23852"/>
      <w:bookmarkStart w:id="1829" w:name="_Toc22973"/>
      <w:bookmarkStart w:id="1830" w:name="_Toc135742309"/>
      <w:bookmarkStart w:id="1831" w:name="_Toc4536"/>
      <w:bookmarkStart w:id="1832" w:name="_Toc137824277"/>
      <w:bookmarkStart w:id="1833" w:name="_Toc135742415"/>
      <w:r>
        <w:rPr>
          <w:rFonts w:hint="eastAsia" w:ascii="黑体" w:hAnsi="黑体" w:eastAsia="黑体" w:cs="Times New Roman"/>
          <w:b/>
          <w:sz w:val="28"/>
          <w:szCs w:val="28"/>
          <w:highlight w:val="none"/>
          <w:lang w:val="en-US" w:eastAsia="zh-CN" w:bidi="ar-SA"/>
        </w:rPr>
        <w:t>2、项目范围</w:t>
      </w:r>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r>
        <w:rPr>
          <w:rFonts w:hint="eastAsia" w:ascii="黑体" w:hAnsi="黑体" w:eastAsia="黑体" w:cs="Times New Roman"/>
          <w:b/>
          <w:sz w:val="28"/>
          <w:szCs w:val="28"/>
          <w:highlight w:val="none"/>
          <w:lang w:val="en-US" w:eastAsia="zh-CN" w:bidi="ar-SA"/>
        </w:rPr>
        <w:t>、内容及要求</w:t>
      </w:r>
      <w:bookmarkEnd w:id="1827"/>
      <w:bookmarkEnd w:id="1828"/>
      <w:bookmarkEnd w:id="1829"/>
      <w:bookmarkEnd w:id="1830"/>
      <w:bookmarkEnd w:id="1831"/>
      <w:bookmarkEnd w:id="1832"/>
      <w:bookmarkEnd w:id="1833"/>
    </w:p>
    <w:p>
      <w:pPr>
        <w:shd w:val="clear"/>
        <w:spacing w:before="0" w:after="0" w:afterAutospacing="0" w:line="360" w:lineRule="auto"/>
        <w:ind w:left="0" w:right="0" w:firstLine="565" w:firstLineChars="201"/>
        <w:jc w:val="both"/>
        <w:outlineLvl w:val="1"/>
        <w:rPr>
          <w:rFonts w:ascii="楷体" w:hAnsi="楷体" w:eastAsia="楷体" w:cs="Times New Roman"/>
          <w:b/>
          <w:sz w:val="28"/>
          <w:szCs w:val="28"/>
          <w:highlight w:val="none"/>
          <w:lang w:val="en-US" w:eastAsia="zh-CN" w:bidi="ar-SA"/>
        </w:rPr>
      </w:pPr>
      <w:bookmarkStart w:id="1834" w:name="_Toc27312"/>
      <w:bookmarkStart w:id="1835" w:name="_Toc135742416"/>
      <w:bookmarkStart w:id="1836" w:name="_Toc882"/>
      <w:bookmarkStart w:id="1837" w:name="_Toc135742310"/>
      <w:bookmarkStart w:id="1838" w:name="_Toc31091"/>
      <w:bookmarkStart w:id="1839" w:name="_Toc932"/>
      <w:bookmarkStart w:id="1840" w:name="_Toc15666"/>
      <w:bookmarkStart w:id="1841" w:name="_Toc119"/>
      <w:bookmarkStart w:id="1842" w:name="_Toc137824278"/>
      <w:bookmarkStart w:id="1843" w:name="_Toc8063"/>
      <w:bookmarkStart w:id="1844" w:name="_Toc11868"/>
      <w:r>
        <w:rPr>
          <w:rFonts w:hint="eastAsia" w:ascii="楷体" w:hAnsi="楷体" w:eastAsia="楷体" w:cs="Times New Roman"/>
          <w:b/>
          <w:sz w:val="28"/>
          <w:szCs w:val="28"/>
          <w:highlight w:val="none"/>
          <w:lang w:val="en-US" w:eastAsia="zh-CN" w:bidi="ar-SA"/>
        </w:rPr>
        <w:t>2.1项目名称</w:t>
      </w:r>
      <w:bookmarkEnd w:id="1834"/>
      <w:bookmarkEnd w:id="1835"/>
      <w:bookmarkEnd w:id="1836"/>
      <w:bookmarkEnd w:id="1837"/>
      <w:bookmarkEnd w:id="1838"/>
      <w:bookmarkEnd w:id="1839"/>
      <w:bookmarkEnd w:id="1840"/>
      <w:bookmarkEnd w:id="1841"/>
      <w:bookmarkEnd w:id="1842"/>
      <w:bookmarkEnd w:id="1843"/>
      <w:bookmarkEnd w:id="1844"/>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cs="Times New Roman" w:asciiTheme="minorEastAsia" w:hAnsiTheme="minorEastAsia" w:eastAsiaTheme="minorEastAsia"/>
          <w:sz w:val="28"/>
          <w:szCs w:val="28"/>
          <w:highlight w:val="none"/>
        </w:rPr>
        <w:t>控制中心电动汽车充电桩</w:t>
      </w:r>
      <w:r>
        <w:rPr>
          <w:rFonts w:hint="eastAsia" w:cs="Times New Roman" w:asciiTheme="minorEastAsia" w:hAnsiTheme="minorEastAsia" w:eastAsiaTheme="minorEastAsia"/>
          <w:sz w:val="28"/>
          <w:szCs w:val="28"/>
          <w:highlight w:val="none"/>
        </w:rPr>
        <w:t>喷淋系统</w:t>
      </w:r>
      <w:r>
        <w:rPr>
          <w:rFonts w:cs="Times New Roman" w:asciiTheme="minorEastAsia" w:hAnsiTheme="minorEastAsia" w:eastAsiaTheme="minorEastAsia"/>
          <w:sz w:val="28"/>
          <w:szCs w:val="28"/>
          <w:highlight w:val="none"/>
        </w:rPr>
        <w:t>采购项目</w:t>
      </w:r>
    </w:p>
    <w:p>
      <w:pPr>
        <w:shd w:val="clear"/>
        <w:spacing w:before="0" w:after="0" w:afterAutospacing="0" w:line="360" w:lineRule="auto"/>
        <w:ind w:left="0" w:right="0" w:firstLine="565" w:firstLineChars="201"/>
        <w:jc w:val="both"/>
        <w:outlineLvl w:val="1"/>
        <w:rPr>
          <w:rFonts w:ascii="楷体" w:hAnsi="楷体" w:eastAsia="楷体" w:cs="Times New Roman"/>
          <w:b/>
          <w:sz w:val="28"/>
          <w:szCs w:val="28"/>
          <w:highlight w:val="none"/>
          <w:lang w:val="en-US" w:eastAsia="zh-CN" w:bidi="ar-SA"/>
        </w:rPr>
      </w:pPr>
      <w:bookmarkStart w:id="1845" w:name="_Toc7843"/>
      <w:bookmarkStart w:id="1846" w:name="_Toc24002"/>
      <w:bookmarkStart w:id="1847" w:name="_Toc26081"/>
      <w:bookmarkStart w:id="1848" w:name="_Toc29077"/>
      <w:bookmarkStart w:id="1849" w:name="_Toc22274"/>
      <w:bookmarkStart w:id="1850" w:name="_Toc23418"/>
      <w:bookmarkStart w:id="1851" w:name="_Toc137824279"/>
      <w:bookmarkStart w:id="1852" w:name="_Toc8939"/>
      <w:bookmarkStart w:id="1853" w:name="_Toc135742417"/>
      <w:bookmarkStart w:id="1854" w:name="_Toc3800"/>
      <w:bookmarkStart w:id="1855" w:name="_Toc135742311"/>
      <w:r>
        <w:rPr>
          <w:rFonts w:hint="eastAsia" w:ascii="楷体" w:hAnsi="楷体" w:eastAsia="楷体" w:cs="Times New Roman"/>
          <w:b/>
          <w:sz w:val="28"/>
          <w:szCs w:val="28"/>
          <w:highlight w:val="none"/>
          <w:lang w:val="en-US" w:eastAsia="zh-CN" w:bidi="ar-SA"/>
        </w:rPr>
        <w:t>2.2项目范围</w:t>
      </w:r>
      <w:bookmarkEnd w:id="1845"/>
      <w:bookmarkEnd w:id="1846"/>
      <w:bookmarkEnd w:id="1847"/>
      <w:bookmarkEnd w:id="1848"/>
      <w:bookmarkEnd w:id="1849"/>
      <w:bookmarkEnd w:id="1850"/>
      <w:bookmarkEnd w:id="1851"/>
      <w:bookmarkEnd w:id="1852"/>
      <w:bookmarkEnd w:id="1853"/>
      <w:bookmarkEnd w:id="1854"/>
      <w:bookmarkEnd w:id="1855"/>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lang w:eastAsia="zh-CN"/>
        </w:rPr>
        <w:t>南宁轨道交通运营有限公司</w:t>
      </w:r>
      <w:r>
        <w:rPr>
          <w:rFonts w:hint="eastAsia" w:cs="Times New Roman" w:asciiTheme="minorEastAsia" w:hAnsiTheme="minorEastAsia" w:eastAsiaTheme="minorEastAsia"/>
          <w:sz w:val="28"/>
          <w:szCs w:val="28"/>
          <w:highlight w:val="none"/>
        </w:rPr>
        <w:t>控制中心内70个电动汽车充电桩车棚上方加装自动喷淋灭火系统。</w:t>
      </w:r>
    </w:p>
    <w:p>
      <w:pPr>
        <w:shd w:val="clear"/>
        <w:spacing w:before="0" w:after="0" w:afterAutospacing="0" w:line="360" w:lineRule="auto"/>
        <w:ind w:left="0" w:right="0" w:firstLine="565" w:firstLineChars="201"/>
        <w:jc w:val="both"/>
        <w:outlineLvl w:val="1"/>
        <w:rPr>
          <w:rFonts w:ascii="楷体" w:hAnsi="楷体" w:eastAsia="楷体" w:cs="Times New Roman"/>
          <w:b/>
          <w:sz w:val="28"/>
          <w:szCs w:val="28"/>
          <w:highlight w:val="none"/>
          <w:lang w:val="en-US" w:eastAsia="zh-CN" w:bidi="ar-SA"/>
        </w:rPr>
      </w:pPr>
      <w:bookmarkStart w:id="1856" w:name="_Toc137824280"/>
      <w:bookmarkStart w:id="1857" w:name="_Toc2030"/>
      <w:bookmarkStart w:id="1858" w:name="_Toc135742312"/>
      <w:bookmarkStart w:id="1859" w:name="_Toc135742418"/>
      <w:bookmarkStart w:id="1860" w:name="_Toc21119"/>
      <w:bookmarkStart w:id="1861" w:name="_Toc20944"/>
      <w:r>
        <w:rPr>
          <w:rFonts w:hint="eastAsia" w:ascii="楷体" w:hAnsi="楷体" w:eastAsia="楷体" w:cs="Times New Roman"/>
          <w:b/>
          <w:sz w:val="28"/>
          <w:szCs w:val="28"/>
          <w:highlight w:val="none"/>
          <w:lang w:val="en-US" w:eastAsia="zh-CN" w:bidi="ar-SA"/>
        </w:rPr>
        <w:t>2.3项目地点</w:t>
      </w:r>
      <w:bookmarkEnd w:id="1856"/>
      <w:bookmarkEnd w:id="1857"/>
      <w:bookmarkEnd w:id="1858"/>
      <w:bookmarkEnd w:id="1859"/>
      <w:bookmarkEnd w:id="1860"/>
      <w:bookmarkEnd w:id="1861"/>
    </w:p>
    <w:p>
      <w:pPr>
        <w:shd w:val="clear"/>
        <w:spacing w:before="0" w:after="0" w:afterAutospacing="0" w:line="600" w:lineRule="exact"/>
        <w:ind w:left="0" w:right="0" w:firstLine="560" w:firstLineChars="200"/>
        <w:rPr>
          <w:rFonts w:hint="eastAsia" w:ascii="楷体" w:hAnsi="楷体" w:eastAsia="楷体" w:cs="Times New Roman"/>
          <w:b/>
          <w:sz w:val="28"/>
          <w:szCs w:val="28"/>
          <w:highlight w:val="none"/>
          <w:lang w:val="en-US" w:eastAsia="zh-CN" w:bidi="ar-SA"/>
        </w:rPr>
      </w:pPr>
      <w:bookmarkStart w:id="1862" w:name="_Toc22456"/>
      <w:bookmarkStart w:id="1863" w:name="_Toc19379"/>
      <w:bookmarkStart w:id="1864" w:name="_Toc12058"/>
      <w:bookmarkStart w:id="1865" w:name="_Toc14629"/>
      <w:bookmarkStart w:id="1866" w:name="_Toc2252"/>
      <w:bookmarkStart w:id="1867" w:name="_Toc24308"/>
      <w:bookmarkStart w:id="1868" w:name="_Toc12152"/>
      <w:bookmarkStart w:id="1869" w:name="_Toc26755"/>
      <w:r>
        <w:rPr>
          <w:rFonts w:hint="eastAsia" w:cs="Times New Roman" w:asciiTheme="minorEastAsia" w:hAnsiTheme="minorEastAsia" w:eastAsiaTheme="minorEastAsia"/>
          <w:sz w:val="28"/>
          <w:szCs w:val="28"/>
          <w:highlight w:val="none"/>
        </w:rPr>
        <w:t>南宁市云景路69号</w:t>
      </w:r>
      <w:r>
        <w:rPr>
          <w:rFonts w:hint="eastAsia" w:cs="Times New Roman" w:asciiTheme="minorEastAsia" w:hAnsiTheme="minorEastAsia" w:eastAsiaTheme="minorEastAsia"/>
          <w:sz w:val="28"/>
          <w:szCs w:val="28"/>
          <w:highlight w:val="none"/>
          <w:lang w:eastAsia="zh-CN"/>
        </w:rPr>
        <w:t>南宁轨道交通运营有限公司</w:t>
      </w:r>
      <w:r>
        <w:rPr>
          <w:rFonts w:hint="eastAsia" w:cs="Times New Roman" w:asciiTheme="minorEastAsia" w:hAnsiTheme="minorEastAsia" w:eastAsiaTheme="minorEastAsia"/>
          <w:sz w:val="28"/>
          <w:szCs w:val="28"/>
          <w:highlight w:val="none"/>
        </w:rPr>
        <w:t>控制中心内70个电动汽车充电桩车棚，分别位于控制中心A1楼后方及右侧。</w:t>
      </w:r>
      <w:bookmarkEnd w:id="1862"/>
      <w:bookmarkEnd w:id="1863"/>
      <w:bookmarkEnd w:id="1864"/>
      <w:bookmarkEnd w:id="1865"/>
      <w:bookmarkStart w:id="1870" w:name="_Toc135742419"/>
      <w:bookmarkStart w:id="1871" w:name="_Toc135742313"/>
      <w:bookmarkStart w:id="1872" w:name="_Toc6"/>
      <w:bookmarkStart w:id="1873" w:name="_Toc137824282"/>
      <w:bookmarkStart w:id="1874" w:name="_Toc21488"/>
    </w:p>
    <w:p>
      <w:pPr>
        <w:shd w:val="clear"/>
        <w:spacing w:before="0" w:after="0" w:afterAutospacing="0" w:line="360" w:lineRule="auto"/>
        <w:ind w:left="0" w:right="0" w:firstLine="565" w:firstLineChars="201"/>
        <w:jc w:val="both"/>
        <w:outlineLvl w:val="1"/>
        <w:rPr>
          <w:rFonts w:hint="eastAsia" w:ascii="楷体" w:hAnsi="楷体" w:eastAsia="楷体" w:cs="Times New Roman"/>
          <w:b/>
          <w:sz w:val="28"/>
          <w:szCs w:val="28"/>
          <w:highlight w:val="none"/>
          <w:lang w:val="en-US" w:eastAsia="zh-CN" w:bidi="ar-SA"/>
        </w:rPr>
      </w:pPr>
      <w:r>
        <w:rPr>
          <w:rFonts w:hint="eastAsia" w:ascii="楷体" w:hAnsi="楷体" w:eastAsia="楷体" w:cs="Times New Roman"/>
          <w:b/>
          <w:sz w:val="28"/>
          <w:szCs w:val="28"/>
          <w:highlight w:val="none"/>
          <w:lang w:val="en-US" w:eastAsia="zh-CN" w:bidi="ar-SA"/>
        </w:rPr>
        <w:t>2.4承包方式</w:t>
      </w:r>
      <w:bookmarkEnd w:id="1866"/>
      <w:bookmarkEnd w:id="1867"/>
      <w:bookmarkEnd w:id="1868"/>
      <w:bookmarkEnd w:id="1869"/>
      <w:bookmarkEnd w:id="1870"/>
      <w:bookmarkEnd w:id="1871"/>
      <w:bookmarkEnd w:id="1872"/>
      <w:bookmarkEnd w:id="1873"/>
      <w:bookmarkEnd w:id="1874"/>
    </w:p>
    <w:p>
      <w:pPr>
        <w:shd w:val="clear"/>
        <w:spacing w:before="0" w:after="0" w:afterAutospacing="0" w:line="360" w:lineRule="auto"/>
        <w:ind w:left="0" w:right="0" w:firstLine="560" w:firstLineChars="200"/>
        <w:jc w:val="both"/>
        <w:outlineLvl w:val="1"/>
        <w:rPr>
          <w:rFonts w:hint="default" w:cs="Times New Roman" w:asciiTheme="minorEastAsia" w:hAnsiTheme="minorEastAsia" w:eastAsiaTheme="minorEastAsia"/>
          <w:sz w:val="28"/>
          <w:szCs w:val="28"/>
          <w:highlight w:val="none"/>
          <w:lang w:val="en-US" w:eastAsia="zh-CN"/>
        </w:rPr>
      </w:pPr>
      <w:bookmarkStart w:id="1875" w:name="_Toc135742420"/>
      <w:bookmarkStart w:id="1876" w:name="_Toc7596"/>
      <w:bookmarkStart w:id="1877" w:name="_Toc18733"/>
      <w:bookmarkStart w:id="1878" w:name="_Toc135742314"/>
      <w:bookmarkStart w:id="1879" w:name="_Toc3974"/>
      <w:bookmarkStart w:id="1880" w:name="_Toc31121"/>
      <w:bookmarkStart w:id="1881" w:name="_Toc137824283"/>
      <w:r>
        <w:rPr>
          <w:rFonts w:hint="eastAsia" w:cs="Times New Roman" w:asciiTheme="minorEastAsia" w:hAnsiTheme="minorEastAsia" w:eastAsiaTheme="minorEastAsia"/>
          <w:sz w:val="28"/>
          <w:szCs w:val="28"/>
          <w:highlight w:val="none"/>
          <w:lang w:val="en-US" w:eastAsia="zh-CN"/>
        </w:rPr>
        <w:t>详见合同条款9.合同价格</w:t>
      </w:r>
    </w:p>
    <w:p>
      <w:pPr>
        <w:shd w:val="clear"/>
        <w:spacing w:before="0" w:after="0" w:afterAutospacing="0" w:line="360" w:lineRule="auto"/>
        <w:ind w:left="0" w:right="0" w:firstLine="562" w:firstLineChars="200"/>
        <w:jc w:val="both"/>
        <w:outlineLvl w:val="1"/>
        <w:rPr>
          <w:rFonts w:ascii="楷体" w:hAnsi="楷体" w:eastAsia="楷体" w:cs="Times New Roman"/>
          <w:b/>
          <w:sz w:val="28"/>
          <w:szCs w:val="28"/>
          <w:highlight w:val="none"/>
          <w:lang w:val="en-US" w:eastAsia="zh-CN" w:bidi="ar-SA"/>
        </w:rPr>
      </w:pPr>
      <w:r>
        <w:rPr>
          <w:rFonts w:hint="eastAsia" w:ascii="楷体" w:hAnsi="楷体" w:eastAsia="楷体" w:cs="Times New Roman"/>
          <w:b/>
          <w:sz w:val="28"/>
          <w:szCs w:val="28"/>
          <w:highlight w:val="none"/>
          <w:lang w:val="en-US" w:eastAsia="zh-CN" w:bidi="ar-SA"/>
        </w:rPr>
        <w:t>2.5项目分包</w:t>
      </w:r>
      <w:bookmarkEnd w:id="1875"/>
      <w:bookmarkEnd w:id="1876"/>
      <w:bookmarkEnd w:id="1877"/>
      <w:bookmarkEnd w:id="1878"/>
      <w:bookmarkEnd w:id="1879"/>
      <w:bookmarkEnd w:id="1880"/>
      <w:bookmarkEnd w:id="1881"/>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本项目不允许联合体投标，不允许任何形式的转包或分包。</w:t>
      </w:r>
    </w:p>
    <w:p>
      <w:pPr>
        <w:shd w:val="clear"/>
        <w:spacing w:before="0" w:after="0" w:afterAutospacing="0" w:line="360" w:lineRule="auto"/>
        <w:ind w:left="0" w:right="0" w:firstLine="565" w:firstLineChars="201"/>
        <w:jc w:val="both"/>
        <w:outlineLvl w:val="1"/>
        <w:rPr>
          <w:rFonts w:ascii="楷体" w:hAnsi="楷体" w:eastAsia="楷体" w:cs="Times New Roman"/>
          <w:b/>
          <w:sz w:val="28"/>
          <w:szCs w:val="28"/>
          <w:highlight w:val="none"/>
          <w:lang w:val="en-US" w:eastAsia="zh-CN" w:bidi="ar-SA"/>
        </w:rPr>
      </w:pPr>
      <w:bookmarkStart w:id="1882" w:name="_Toc20583"/>
      <w:bookmarkStart w:id="1883" w:name="_Toc13462"/>
      <w:bookmarkStart w:id="1884" w:name="_Toc6526"/>
      <w:bookmarkStart w:id="1885" w:name="_Toc135742421"/>
      <w:bookmarkStart w:id="1886" w:name="_Toc137824284"/>
      <w:bookmarkStart w:id="1887" w:name="_Toc135742315"/>
      <w:bookmarkStart w:id="1888" w:name="_Toc12941"/>
      <w:r>
        <w:rPr>
          <w:rFonts w:hint="eastAsia" w:ascii="楷体" w:hAnsi="楷体" w:eastAsia="楷体" w:cs="Times New Roman"/>
          <w:b/>
          <w:sz w:val="28"/>
          <w:szCs w:val="28"/>
          <w:highlight w:val="none"/>
          <w:lang w:val="en-US" w:eastAsia="zh-CN" w:bidi="ar-SA"/>
        </w:rPr>
        <w:t>2.6计划工期</w:t>
      </w:r>
      <w:bookmarkEnd w:id="1882"/>
      <w:bookmarkEnd w:id="1883"/>
      <w:bookmarkEnd w:id="1884"/>
      <w:bookmarkEnd w:id="1885"/>
      <w:bookmarkEnd w:id="1886"/>
      <w:bookmarkEnd w:id="1887"/>
      <w:bookmarkEnd w:id="1888"/>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计划工期60天（如遇特殊情况或极端天气则工期顺延），具体开工日期以比选人开工令发布时间为准。</w:t>
      </w:r>
    </w:p>
    <w:p>
      <w:pPr>
        <w:shd w:val="clear"/>
        <w:spacing w:before="0" w:after="0" w:afterAutospacing="0" w:line="360" w:lineRule="auto"/>
        <w:ind w:left="0" w:right="0" w:firstLine="565" w:firstLineChars="201"/>
        <w:jc w:val="both"/>
        <w:outlineLvl w:val="1"/>
        <w:rPr>
          <w:rFonts w:ascii="楷体" w:hAnsi="楷体" w:eastAsia="楷体" w:cs="Times New Roman"/>
          <w:b/>
          <w:sz w:val="28"/>
          <w:szCs w:val="28"/>
          <w:highlight w:val="none"/>
          <w:lang w:val="en-US" w:eastAsia="zh-CN" w:bidi="ar-SA"/>
        </w:rPr>
      </w:pPr>
      <w:bookmarkStart w:id="1889" w:name="_Toc9746"/>
      <w:bookmarkStart w:id="1890" w:name="_Toc137824285"/>
      <w:bookmarkStart w:id="1891" w:name="_Toc7459"/>
      <w:bookmarkStart w:id="1892" w:name="_Toc135742422"/>
      <w:bookmarkStart w:id="1893" w:name="_Toc135742316"/>
      <w:bookmarkStart w:id="1894" w:name="_Toc3416"/>
      <w:bookmarkStart w:id="1895" w:name="_Toc16056"/>
      <w:r>
        <w:rPr>
          <w:rFonts w:hint="eastAsia" w:ascii="楷体" w:hAnsi="楷体" w:eastAsia="楷体" w:cs="Times New Roman"/>
          <w:b/>
          <w:sz w:val="28"/>
          <w:szCs w:val="28"/>
          <w:highlight w:val="none"/>
          <w:lang w:val="en-US" w:eastAsia="zh-CN" w:bidi="ar-SA"/>
        </w:rPr>
        <w:t>2.7补充说明</w:t>
      </w:r>
      <w:bookmarkEnd w:id="1889"/>
      <w:bookmarkEnd w:id="1890"/>
      <w:bookmarkEnd w:id="1891"/>
      <w:bookmarkEnd w:id="1892"/>
      <w:bookmarkEnd w:id="1893"/>
      <w:bookmarkEnd w:id="1894"/>
      <w:bookmarkEnd w:id="1895"/>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2.</w:t>
      </w:r>
      <w:r>
        <w:rPr>
          <w:rFonts w:hint="eastAsia" w:cs="Times New Roman" w:asciiTheme="minorEastAsia" w:hAnsiTheme="minorEastAsia" w:eastAsiaTheme="minorEastAsia"/>
          <w:sz w:val="28"/>
          <w:szCs w:val="28"/>
          <w:highlight w:val="none"/>
          <w:lang w:val="en-US" w:eastAsia="zh-CN"/>
        </w:rPr>
        <w:t>7</w:t>
      </w:r>
      <w:r>
        <w:rPr>
          <w:rFonts w:hint="eastAsia" w:cs="Times New Roman" w:asciiTheme="minorEastAsia" w:hAnsiTheme="minorEastAsia" w:eastAsiaTheme="minorEastAsia"/>
          <w:sz w:val="28"/>
          <w:szCs w:val="28"/>
          <w:highlight w:val="none"/>
        </w:rPr>
        <w:t>.1在合同履行期间，比选申请人从比选人获得的一切与工程有关的原始资料及与履行合同有关的比选人既有工作成果及相关资料，比选申请人有保密义务。未经比选人书面同意比选申请人不得以任何方式泄漏给任何第三方。</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bookmarkStart w:id="1896" w:name="_Toc6749"/>
      <w:bookmarkStart w:id="1897" w:name="_Toc534969206"/>
      <w:bookmarkStart w:id="1898" w:name="_Toc6157"/>
      <w:bookmarkStart w:id="1899" w:name="_Toc28471"/>
      <w:bookmarkStart w:id="1900" w:name="_Toc26644"/>
      <w:bookmarkStart w:id="1901" w:name="_Toc3460"/>
      <w:bookmarkStart w:id="1902" w:name="_Toc30375"/>
      <w:bookmarkStart w:id="1903" w:name="_Toc30221"/>
      <w:bookmarkStart w:id="1904" w:name="_Toc1510"/>
      <w:bookmarkStart w:id="1905" w:name="_Toc28575"/>
      <w:bookmarkStart w:id="1906" w:name="_Toc19695"/>
      <w:bookmarkStart w:id="1907" w:name="_Toc6057"/>
      <w:bookmarkStart w:id="1908" w:name="_Toc5704"/>
      <w:bookmarkStart w:id="1909" w:name="_Toc30281"/>
      <w:bookmarkStart w:id="1910" w:name="_Toc30737"/>
      <w:r>
        <w:rPr>
          <w:rFonts w:hint="eastAsia" w:cs="Times New Roman" w:asciiTheme="minorEastAsia" w:hAnsiTheme="minorEastAsia" w:eastAsiaTheme="minorEastAsia"/>
          <w:sz w:val="28"/>
          <w:szCs w:val="28"/>
          <w:highlight w:val="none"/>
        </w:rPr>
        <w:t>2.</w:t>
      </w:r>
      <w:r>
        <w:rPr>
          <w:rFonts w:hint="eastAsia" w:cs="Times New Roman" w:asciiTheme="minorEastAsia" w:hAnsiTheme="minorEastAsia" w:eastAsiaTheme="minorEastAsia"/>
          <w:sz w:val="28"/>
          <w:szCs w:val="28"/>
          <w:highlight w:val="none"/>
          <w:lang w:val="en-US" w:eastAsia="zh-CN"/>
        </w:rPr>
        <w:t>7</w:t>
      </w:r>
      <w:r>
        <w:rPr>
          <w:rFonts w:hint="eastAsia" w:cs="Times New Roman" w:asciiTheme="minorEastAsia" w:hAnsiTheme="minorEastAsia" w:eastAsiaTheme="minorEastAsia"/>
          <w:sz w:val="28"/>
          <w:szCs w:val="28"/>
          <w:highlight w:val="none"/>
        </w:rPr>
        <w:t>.2用于本工程项目的所有材料，必须符合国家标准与行业规范，确保其达到质量、安全、环保等要求，其规格、型号、材质、颜色、档次等与原有材料须保持基本一致并且符合比选人要求方可进场。如需更换材料材质、型号，改变原有结构等必须征得比选人同意后方可实施。</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2.</w:t>
      </w:r>
      <w:r>
        <w:rPr>
          <w:rFonts w:hint="eastAsia" w:cs="Times New Roman" w:asciiTheme="minorEastAsia" w:hAnsiTheme="minorEastAsia" w:eastAsiaTheme="minorEastAsia"/>
          <w:sz w:val="28"/>
          <w:szCs w:val="28"/>
          <w:highlight w:val="none"/>
          <w:lang w:val="en-US" w:eastAsia="zh-CN"/>
        </w:rPr>
        <w:t>7</w:t>
      </w:r>
      <w:r>
        <w:rPr>
          <w:rFonts w:hint="eastAsia" w:cs="Times New Roman" w:asciiTheme="minorEastAsia" w:hAnsiTheme="minorEastAsia" w:eastAsiaTheme="minorEastAsia"/>
          <w:sz w:val="28"/>
          <w:szCs w:val="28"/>
          <w:highlight w:val="none"/>
        </w:rPr>
        <w:t>.3拆卸或更换的材料必须按比选人相关规定进行回收或报废处理。</w:t>
      </w:r>
    </w:p>
    <w:p>
      <w:pPr>
        <w:shd w:val="clear"/>
        <w:spacing w:before="120" w:after="100" w:afterAutospacing="1" w:line="360" w:lineRule="auto"/>
        <w:ind w:left="0" w:right="-27" w:firstLine="560" w:firstLineChars="200"/>
        <w:jc w:val="both"/>
        <w:rPr>
          <w:rFonts w:cs="宋体" w:asciiTheme="minorEastAsia" w:hAnsiTheme="minorEastAsia" w:eastAsiaTheme="minorEastAsia"/>
          <w:sz w:val="28"/>
          <w:szCs w:val="28"/>
          <w:highlight w:val="none"/>
          <w:lang w:val="en-US" w:eastAsia="zh-CN" w:bidi="ar-SA"/>
        </w:rPr>
      </w:pPr>
      <w:r>
        <w:rPr>
          <w:rFonts w:hint="eastAsia" w:cs="Times New Roman" w:asciiTheme="minorEastAsia" w:hAnsiTheme="minorEastAsia" w:eastAsiaTheme="minorEastAsia"/>
          <w:sz w:val="28"/>
          <w:szCs w:val="28"/>
          <w:highlight w:val="none"/>
          <w:lang w:val="en-US" w:eastAsia="zh-CN" w:bidi="ar-SA"/>
        </w:rPr>
        <w:t>2.7.4本项目施工方案及简易设计、施工图由</w:t>
      </w:r>
      <w:r>
        <w:rPr>
          <w:rFonts w:hint="eastAsia" w:cs="宋体" w:asciiTheme="minorEastAsia" w:hAnsiTheme="minorEastAsia" w:eastAsiaTheme="minorEastAsia"/>
          <w:sz w:val="28"/>
          <w:szCs w:val="28"/>
          <w:highlight w:val="none"/>
          <w:lang w:val="en-US" w:eastAsia="zh-CN" w:bidi="ar-SA"/>
        </w:rPr>
        <w:t>比选申请人负责在施工前提供。</w:t>
      </w:r>
    </w:p>
    <w:p>
      <w:pPr>
        <w:shd w:val="clear"/>
        <w:spacing w:before="240" w:after="0" w:afterAutospacing="0" w:line="360" w:lineRule="auto"/>
        <w:ind w:left="0" w:right="0" w:firstLine="0"/>
        <w:jc w:val="both"/>
        <w:outlineLvl w:val="0"/>
        <w:rPr>
          <w:rFonts w:ascii="黑体" w:hAnsi="黑体" w:eastAsia="黑体" w:cs="Times New Roman"/>
          <w:b/>
          <w:sz w:val="28"/>
          <w:szCs w:val="28"/>
          <w:highlight w:val="none"/>
          <w:lang w:val="en-US" w:eastAsia="zh-CN" w:bidi="ar-SA"/>
        </w:rPr>
      </w:pPr>
      <w:bookmarkStart w:id="1911" w:name="_Toc25253"/>
      <w:bookmarkStart w:id="1912" w:name="_Toc8612"/>
      <w:bookmarkStart w:id="1913" w:name="_Toc135742317"/>
      <w:bookmarkStart w:id="1914" w:name="_Toc135742423"/>
      <w:bookmarkStart w:id="1915" w:name="_Toc3256"/>
      <w:bookmarkStart w:id="1916" w:name="_Toc9401"/>
      <w:bookmarkStart w:id="1917" w:name="_Toc137824286"/>
      <w:r>
        <w:rPr>
          <w:rFonts w:hint="eastAsia" w:ascii="黑体" w:hAnsi="黑体" w:eastAsia="黑体" w:cs="Times New Roman"/>
          <w:b/>
          <w:sz w:val="28"/>
          <w:szCs w:val="28"/>
          <w:highlight w:val="none"/>
          <w:lang w:val="en-US" w:eastAsia="zh-CN" w:bidi="ar-SA"/>
        </w:rPr>
        <w:t>3、项目技术标准及规范、工程量清单及</w:t>
      </w:r>
      <w:bookmarkEnd w:id="1896"/>
      <w:bookmarkEnd w:id="1897"/>
      <w:bookmarkStart w:id="1918" w:name="_Toc20818"/>
      <w:bookmarkStart w:id="1919" w:name="_Toc534969207"/>
      <w:r>
        <w:rPr>
          <w:rFonts w:hint="eastAsia" w:ascii="黑体" w:hAnsi="黑体" w:eastAsia="黑体" w:cs="Times New Roman"/>
          <w:b/>
          <w:sz w:val="28"/>
          <w:szCs w:val="28"/>
          <w:highlight w:val="none"/>
          <w:lang w:val="en-US" w:eastAsia="zh-CN" w:bidi="ar-SA"/>
        </w:rPr>
        <w:t>内容</w:t>
      </w:r>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p>
    <w:p>
      <w:pPr>
        <w:shd w:val="clear"/>
        <w:spacing w:before="0" w:after="0" w:afterAutospacing="0" w:line="360" w:lineRule="auto"/>
        <w:ind w:left="0" w:right="0" w:firstLine="565" w:firstLineChars="201"/>
        <w:jc w:val="both"/>
        <w:outlineLvl w:val="1"/>
        <w:rPr>
          <w:rFonts w:ascii="楷体" w:hAnsi="楷体" w:eastAsia="楷体" w:cs="Times New Roman"/>
          <w:b/>
          <w:sz w:val="28"/>
          <w:szCs w:val="28"/>
          <w:highlight w:val="none"/>
          <w:lang w:val="en-US" w:eastAsia="zh-CN" w:bidi="ar-SA"/>
        </w:rPr>
      </w:pPr>
      <w:bookmarkStart w:id="1920" w:name="_Toc135742424"/>
      <w:bookmarkStart w:id="1921" w:name="_Toc18364"/>
      <w:bookmarkStart w:id="1922" w:name="_Toc17179"/>
      <w:bookmarkStart w:id="1923" w:name="_Toc28889"/>
      <w:bookmarkStart w:id="1924" w:name="_Toc28446"/>
      <w:bookmarkStart w:id="1925" w:name="_Toc135742318"/>
      <w:bookmarkStart w:id="1926" w:name="_Toc28891"/>
      <w:bookmarkStart w:id="1927" w:name="_Toc5416"/>
      <w:bookmarkStart w:id="1928" w:name="_Toc30968"/>
      <w:bookmarkStart w:id="1929" w:name="_Toc4830"/>
      <w:bookmarkStart w:id="1930" w:name="_Toc6463"/>
      <w:bookmarkStart w:id="1931" w:name="_Toc32144"/>
      <w:bookmarkStart w:id="1932" w:name="_Toc903"/>
      <w:bookmarkStart w:id="1933" w:name="_Toc137824287"/>
      <w:bookmarkStart w:id="1934" w:name="_Toc2961"/>
      <w:bookmarkStart w:id="1935" w:name="_Toc24757"/>
      <w:bookmarkStart w:id="1936" w:name="_Toc27049"/>
      <w:bookmarkStart w:id="1937" w:name="_Toc7886"/>
      <w:bookmarkStart w:id="1938" w:name="_Toc20472"/>
      <w:r>
        <w:rPr>
          <w:rFonts w:hint="eastAsia" w:ascii="楷体" w:hAnsi="楷体" w:eastAsia="楷体" w:cs="Times New Roman"/>
          <w:b/>
          <w:sz w:val="28"/>
          <w:szCs w:val="28"/>
          <w:highlight w:val="none"/>
          <w:lang w:val="en-US" w:eastAsia="zh-CN" w:bidi="ar-SA"/>
        </w:rPr>
        <w:t>3.1国家相关技术标准及规范</w:t>
      </w:r>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Start w:id="1939" w:name="_Toc534969208"/>
      <w:bookmarkStart w:id="1940" w:name="_Toc25015"/>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各类标准即国家及行业相关标准，比选人相关标准，满足下列标准或要求，如有最新版本，按新版本执行。</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bookmarkStart w:id="1941" w:name="_Toc28083"/>
      <w:bookmarkStart w:id="1942" w:name="_Toc26869"/>
      <w:bookmarkStart w:id="1943" w:name="_Toc10390"/>
      <w:bookmarkStart w:id="1944" w:name="_Toc22952"/>
      <w:bookmarkStart w:id="1945" w:name="_Toc4093"/>
      <w:r>
        <w:rPr>
          <w:rFonts w:hint="eastAsia" w:cs="Times New Roman" w:asciiTheme="minorEastAsia" w:hAnsiTheme="minorEastAsia" w:eastAsiaTheme="minorEastAsia"/>
          <w:sz w:val="28"/>
          <w:szCs w:val="28"/>
          <w:highlight w:val="none"/>
        </w:rPr>
        <w:t>3.1.1国家相关规范、地铁行业标准，包括不限于:</w:t>
      </w:r>
      <w:bookmarkEnd w:id="1941"/>
      <w:bookmarkEnd w:id="1942"/>
      <w:bookmarkEnd w:id="1943"/>
      <w:bookmarkEnd w:id="1944"/>
      <w:bookmarkEnd w:id="1945"/>
    </w:p>
    <w:p>
      <w:pPr>
        <w:shd w:val="clear"/>
        <w:spacing w:before="0" w:after="0" w:afterAutospacing="0" w:line="600" w:lineRule="exact"/>
        <w:ind w:left="0" w:right="0" w:firstLine="280" w:firstLineChars="1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《中华人民共和国消防法》（2019）</w:t>
      </w:r>
    </w:p>
    <w:p>
      <w:pPr>
        <w:shd w:val="clear"/>
        <w:spacing w:before="0" w:after="0" w:afterAutospacing="0" w:line="600" w:lineRule="exact"/>
        <w:ind w:left="0" w:right="0" w:firstLine="280" w:firstLineChars="1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《广西壮族自治区消防条例》（2004）</w:t>
      </w:r>
    </w:p>
    <w:p>
      <w:pPr>
        <w:shd w:val="clear"/>
        <w:spacing w:before="0" w:after="0" w:afterAutospacing="0" w:line="600" w:lineRule="exact"/>
        <w:ind w:left="0" w:right="0" w:firstLine="280" w:firstLineChars="1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《建筑消防设施的维护管理》（GB 25201-2010）</w:t>
      </w:r>
    </w:p>
    <w:p>
      <w:pPr>
        <w:shd w:val="clear"/>
        <w:spacing w:before="0" w:after="0" w:afterAutospacing="0" w:line="600" w:lineRule="exact"/>
        <w:ind w:left="0" w:right="0" w:firstLine="280" w:firstLineChars="1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《建筑设计防火规范》（GB50016-2014）</w:t>
      </w:r>
    </w:p>
    <w:p>
      <w:pPr>
        <w:shd w:val="clear"/>
        <w:spacing w:before="0" w:after="0" w:afterAutospacing="0" w:line="600" w:lineRule="exact"/>
        <w:ind w:left="0" w:right="0" w:firstLine="280" w:firstLineChars="1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《消防给水及消火栓系统技术规范》（GB50974-2014）</w:t>
      </w:r>
    </w:p>
    <w:p>
      <w:pPr>
        <w:shd w:val="clear"/>
        <w:spacing w:before="0" w:after="0" w:afterAutospacing="0" w:line="600" w:lineRule="exact"/>
        <w:ind w:left="0" w:right="0" w:firstLine="280" w:firstLineChars="1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《自动喷水灭火系统施工及验收规范》（GB50261-2017）</w:t>
      </w:r>
    </w:p>
    <w:p>
      <w:pPr>
        <w:shd w:val="clear"/>
        <w:spacing w:before="0" w:after="0" w:afterAutospacing="0" w:line="600" w:lineRule="exact"/>
        <w:ind w:left="0" w:right="0" w:firstLine="280" w:firstLineChars="100"/>
        <w:rPr>
          <w:rFonts w:hint="eastAsia"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《自动喷水灭火系统设计规范》（GB50084-2017）</w:t>
      </w:r>
    </w:p>
    <w:p>
      <w:pPr>
        <w:shd w:val="clear"/>
        <w:spacing w:before="0" w:after="0" w:afterAutospacing="0" w:line="600" w:lineRule="exact"/>
        <w:ind w:left="0" w:right="0" w:firstLine="280" w:firstLineChars="100"/>
        <w:rPr>
          <w:rFonts w:hint="eastAsia"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《电动汽车充电站设计规范》（GB50966-2014）</w:t>
      </w:r>
    </w:p>
    <w:p>
      <w:pPr>
        <w:shd w:val="clear"/>
        <w:spacing w:before="0" w:after="0" w:afterAutospacing="0" w:line="600" w:lineRule="exact"/>
        <w:ind w:left="0" w:right="0" w:firstLine="282" w:firstLineChars="101"/>
        <w:jc w:val="both"/>
        <w:rPr>
          <w:rFonts w:cs="Times New Roman" w:asciiTheme="minorEastAsia" w:hAnsiTheme="minorEastAsia" w:eastAsiaTheme="minorEastAsia"/>
          <w:sz w:val="28"/>
          <w:szCs w:val="28"/>
          <w:highlight w:val="none"/>
          <w:lang w:val="en-US" w:eastAsia="zh-CN" w:bidi="ar-SA"/>
        </w:rPr>
      </w:pPr>
      <w:r>
        <w:rPr>
          <w:rFonts w:hint="eastAsia" w:cs="Times New Roman" w:asciiTheme="minorEastAsia" w:hAnsiTheme="minorEastAsia" w:eastAsiaTheme="minorEastAsia"/>
          <w:sz w:val="28"/>
          <w:szCs w:val="28"/>
          <w:highlight w:val="none"/>
          <w:lang w:val="en-US" w:eastAsia="zh-CN" w:bidi="ar-SA"/>
        </w:rPr>
        <w:t>《</w:t>
      </w:r>
      <w:r>
        <w:rPr>
          <w:rFonts w:cs="Times New Roman" w:asciiTheme="minorEastAsia" w:hAnsiTheme="minorEastAsia" w:eastAsiaTheme="minorEastAsia"/>
          <w:sz w:val="28"/>
          <w:szCs w:val="28"/>
          <w:highlight w:val="none"/>
          <w:lang w:val="en-US" w:eastAsia="zh-CN" w:bidi="ar-SA"/>
        </w:rPr>
        <w:t>电动自行车停放充电场所消防安全规范</w:t>
      </w:r>
      <w:r>
        <w:rPr>
          <w:rFonts w:hint="eastAsia" w:cs="Times New Roman" w:asciiTheme="minorEastAsia" w:hAnsiTheme="minorEastAsia" w:eastAsiaTheme="minorEastAsia"/>
          <w:sz w:val="28"/>
          <w:szCs w:val="28"/>
          <w:highlight w:val="none"/>
          <w:lang w:val="en-US" w:eastAsia="zh-CN" w:bidi="ar-SA"/>
        </w:rPr>
        <w:t>》</w:t>
      </w:r>
      <w:r>
        <w:rPr>
          <w:rFonts w:cs="Times New Roman" w:asciiTheme="minorEastAsia" w:hAnsiTheme="minorEastAsia" w:eastAsiaTheme="minorEastAsia"/>
          <w:sz w:val="28"/>
          <w:szCs w:val="28"/>
          <w:highlight w:val="none"/>
          <w:lang w:val="en-US" w:eastAsia="zh-CN" w:bidi="ar-SA"/>
        </w:rPr>
        <w:t>（DB45T1553-2017）</w:t>
      </w:r>
      <w:bookmarkStart w:id="1946" w:name="_Toc16630"/>
      <w:bookmarkStart w:id="1947" w:name="_Toc22798"/>
      <w:bookmarkStart w:id="1948" w:name="_Toc28348"/>
      <w:bookmarkStart w:id="1949" w:name="_Toc6557"/>
      <w:bookmarkStart w:id="1950" w:name="_Toc12667"/>
    </w:p>
    <w:p>
      <w:pPr>
        <w:pStyle w:val="2"/>
        <w:shd w:val="clear"/>
        <w:spacing w:before="0" w:after="0" w:afterAutospacing="0" w:line="600" w:lineRule="exact"/>
        <w:ind w:left="0" w:right="0" w:firstLine="282" w:firstLineChars="101"/>
        <w:rPr>
          <w:rFonts w:hint="eastAsia"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w:t>
      </w:r>
      <w:r>
        <w:rPr>
          <w:rFonts w:hint="eastAsia" w:cs="Times New Roman" w:asciiTheme="minorEastAsia" w:hAnsiTheme="minorEastAsia" w:eastAsiaTheme="minorEastAsia"/>
          <w:sz w:val="28"/>
          <w:szCs w:val="28"/>
          <w:highlight w:val="none"/>
          <w:lang w:val="en-US" w:eastAsia="zh-CN"/>
        </w:rPr>
        <w:t>汽车库、修车库、停车场设计防火</w:t>
      </w:r>
      <w:r>
        <w:rPr>
          <w:rFonts w:hint="eastAsia" w:cs="Times New Roman" w:asciiTheme="minorEastAsia" w:hAnsiTheme="minorEastAsia" w:eastAsiaTheme="minorEastAsia"/>
          <w:sz w:val="28"/>
          <w:szCs w:val="28"/>
          <w:highlight w:val="none"/>
        </w:rPr>
        <w:t>规范》</w:t>
      </w:r>
      <w:r>
        <w:rPr>
          <w:rFonts w:hint="eastAsia" w:cs="Times New Roman" w:asciiTheme="minorEastAsia" w:hAnsiTheme="minorEastAsia" w:eastAsiaTheme="minorEastAsia"/>
          <w:sz w:val="28"/>
          <w:szCs w:val="28"/>
          <w:highlight w:val="none"/>
          <w:lang w:eastAsia="zh-CN"/>
        </w:rPr>
        <w:t>（</w:t>
      </w:r>
      <w:r>
        <w:rPr>
          <w:rFonts w:hint="eastAsia" w:cs="Times New Roman" w:asciiTheme="minorEastAsia" w:hAnsiTheme="minorEastAsia" w:eastAsiaTheme="minorEastAsia"/>
          <w:sz w:val="28"/>
          <w:szCs w:val="28"/>
          <w:highlight w:val="none"/>
          <w:lang w:val="en-US" w:eastAsia="zh-CN"/>
        </w:rPr>
        <w:t>GB</w:t>
      </w:r>
      <w:r>
        <w:rPr>
          <w:rFonts w:hint="eastAsia" w:cs="Times New Roman" w:asciiTheme="minorEastAsia" w:hAnsiTheme="minorEastAsia" w:eastAsiaTheme="minorEastAsia"/>
          <w:sz w:val="28"/>
          <w:szCs w:val="28"/>
          <w:highlight w:val="none"/>
        </w:rPr>
        <w:t xml:space="preserve">GB50067-2014 </w:t>
      </w:r>
      <w:r>
        <w:rPr>
          <w:rFonts w:hint="eastAsia" w:cs="Times New Roman" w:asciiTheme="minorEastAsia" w:hAnsiTheme="minorEastAsia" w:eastAsiaTheme="minorEastAsia"/>
          <w:sz w:val="28"/>
          <w:szCs w:val="28"/>
          <w:highlight w:val="none"/>
          <w:lang w:eastAsia="zh-CN"/>
        </w:rPr>
        <w:t>）</w:t>
      </w:r>
    </w:p>
    <w:p>
      <w:pPr>
        <w:pStyle w:val="2"/>
        <w:shd w:val="clear"/>
        <w:spacing w:before="0" w:after="0" w:afterAutospacing="0" w:line="600" w:lineRule="exact"/>
        <w:ind w:left="0" w:right="0" w:firstLine="282" w:firstLineChars="101"/>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w:t>
      </w:r>
      <w:r>
        <w:rPr>
          <w:rFonts w:cs="Times New Roman" w:asciiTheme="minorEastAsia" w:hAnsiTheme="minorEastAsia" w:eastAsiaTheme="minorEastAsia"/>
          <w:sz w:val="28"/>
          <w:szCs w:val="28"/>
          <w:highlight w:val="none"/>
        </w:rPr>
        <w:t>电动自行车停放充电场所消防安全规范</w:t>
      </w:r>
      <w:r>
        <w:rPr>
          <w:rFonts w:hint="eastAsia" w:cs="Times New Roman" w:asciiTheme="minorEastAsia" w:hAnsiTheme="minorEastAsia" w:eastAsiaTheme="minorEastAsia"/>
          <w:sz w:val="28"/>
          <w:szCs w:val="28"/>
          <w:highlight w:val="none"/>
        </w:rPr>
        <w:t>》</w:t>
      </w:r>
      <w:r>
        <w:rPr>
          <w:rFonts w:cs="Times New Roman" w:asciiTheme="minorEastAsia" w:hAnsiTheme="minorEastAsia" w:eastAsiaTheme="minorEastAsia"/>
          <w:sz w:val="28"/>
          <w:szCs w:val="28"/>
          <w:highlight w:val="none"/>
        </w:rPr>
        <w:t>（DB45T1553-2017）</w:t>
      </w:r>
    </w:p>
    <w:p>
      <w:pPr>
        <w:pStyle w:val="2"/>
        <w:shd w:val="clear"/>
        <w:spacing w:before="0" w:after="0" w:afterAutospacing="0" w:line="600" w:lineRule="exact"/>
        <w:ind w:left="0" w:right="0" w:firstLine="282" w:firstLineChars="101"/>
        <w:rPr>
          <w:highlight w:val="none"/>
          <w:lang w:val="en-US" w:eastAsia="zh-CN"/>
        </w:rPr>
      </w:pPr>
      <w:r>
        <w:rPr>
          <w:rFonts w:hint="eastAsia" w:cs="Times New Roman" w:asciiTheme="minorEastAsia" w:hAnsiTheme="minorEastAsia" w:eastAsiaTheme="minorEastAsia"/>
          <w:sz w:val="28"/>
          <w:szCs w:val="28"/>
          <w:highlight w:val="none"/>
          <w:lang w:eastAsia="zh-CN"/>
        </w:rPr>
        <w:t>《广西新能源汽车充电站（桩）建设安装和运营维护技术指南》（</w:t>
      </w:r>
      <w:r>
        <w:rPr>
          <w:rFonts w:hint="eastAsia" w:cs="Times New Roman" w:asciiTheme="minorEastAsia" w:hAnsiTheme="minorEastAsia" w:eastAsiaTheme="minorEastAsia"/>
          <w:sz w:val="28"/>
          <w:szCs w:val="28"/>
          <w:highlight w:val="none"/>
          <w:lang w:val="en-US" w:eastAsia="zh-CN"/>
        </w:rPr>
        <w:t>桂发改电力〔2021〕845 号</w:t>
      </w:r>
      <w:r>
        <w:rPr>
          <w:rFonts w:hint="eastAsia" w:cs="Times New Roman" w:asciiTheme="minorEastAsia" w:hAnsiTheme="minorEastAsia" w:eastAsiaTheme="minorEastAsia"/>
          <w:sz w:val="28"/>
          <w:szCs w:val="28"/>
          <w:highlight w:val="none"/>
          <w:lang w:eastAsia="zh-CN"/>
        </w:rPr>
        <w:t>）</w:t>
      </w:r>
    </w:p>
    <w:p>
      <w:pPr>
        <w:shd w:val="clear"/>
        <w:spacing w:before="0" w:after="0" w:afterAutospacing="0" w:line="600" w:lineRule="exact"/>
        <w:ind w:left="0" w:right="-28" w:firstLine="562" w:firstLineChars="201"/>
        <w:jc w:val="both"/>
        <w:rPr>
          <w:rFonts w:cs="宋体" w:asciiTheme="minorEastAsia" w:hAnsiTheme="minorEastAsia" w:eastAsiaTheme="minorEastAsia"/>
          <w:sz w:val="28"/>
          <w:szCs w:val="28"/>
          <w:highlight w:val="none"/>
          <w:lang w:val="en-US" w:eastAsia="zh-CN" w:bidi="ar-SA"/>
        </w:rPr>
      </w:pPr>
      <w:r>
        <w:rPr>
          <w:rFonts w:hint="eastAsia" w:cs="宋体" w:asciiTheme="minorEastAsia" w:hAnsiTheme="minorEastAsia" w:eastAsiaTheme="minorEastAsia"/>
          <w:sz w:val="28"/>
          <w:szCs w:val="28"/>
          <w:highlight w:val="none"/>
          <w:lang w:val="en-US" w:eastAsia="zh-CN" w:bidi="ar-SA"/>
        </w:rPr>
        <w:t>3.1.2标准适用原则</w:t>
      </w:r>
      <w:bookmarkEnd w:id="1946"/>
      <w:bookmarkEnd w:id="1947"/>
      <w:bookmarkEnd w:id="1948"/>
      <w:bookmarkEnd w:id="1949"/>
      <w:bookmarkEnd w:id="1950"/>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满足下列标准或要求，如有最新版本，按新版本执行：</w:t>
      </w:r>
    </w:p>
    <w:p>
      <w:pPr>
        <w:shd w:val="clear"/>
        <w:spacing w:before="0" w:after="0" w:afterAutospacing="0" w:line="600" w:lineRule="exact"/>
        <w:ind w:left="0" w:right="0" w:firstLine="280" w:firstLineChars="1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（1）比选人的各种会议纪要、决议、通知等；</w:t>
      </w:r>
    </w:p>
    <w:p>
      <w:pPr>
        <w:shd w:val="clear"/>
        <w:spacing w:before="0" w:after="0" w:afterAutospacing="0" w:line="600" w:lineRule="exact"/>
        <w:ind w:left="0" w:right="0" w:firstLine="280" w:firstLineChars="1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（2）比选人的企业标准；</w:t>
      </w:r>
    </w:p>
    <w:p>
      <w:pPr>
        <w:shd w:val="clear"/>
        <w:spacing w:before="0" w:after="0" w:afterAutospacing="0" w:line="600" w:lineRule="exact"/>
        <w:ind w:left="0" w:right="0" w:firstLine="280" w:firstLineChars="1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（3）比选人的规章制度；</w:t>
      </w:r>
    </w:p>
    <w:p>
      <w:pPr>
        <w:shd w:val="clear"/>
        <w:spacing w:before="0" w:after="0" w:afterAutospacing="0" w:line="600" w:lineRule="exact"/>
        <w:ind w:left="0" w:right="0" w:firstLine="280" w:firstLineChars="1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（4）地铁行业规范；</w:t>
      </w:r>
    </w:p>
    <w:p>
      <w:pPr>
        <w:shd w:val="clear"/>
        <w:spacing w:before="0" w:after="0" w:afterAutospacing="0" w:line="600" w:lineRule="exact"/>
        <w:ind w:left="0" w:right="0" w:firstLine="280" w:firstLineChars="1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（5）相关行业出版的专业书籍、文献、教材等；</w:t>
      </w:r>
    </w:p>
    <w:p>
      <w:pPr>
        <w:shd w:val="clear"/>
        <w:spacing w:before="0" w:after="0" w:afterAutospacing="0" w:line="600" w:lineRule="exact"/>
        <w:ind w:left="0" w:right="0" w:firstLine="280" w:firstLineChars="1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（6）以上均未涉及的，由比选人与比选申请人共同商定。</w:t>
      </w:r>
    </w:p>
    <w:p>
      <w:pPr>
        <w:shd w:val="clear"/>
        <w:spacing w:before="0" w:after="0" w:afterAutospacing="0" w:line="360" w:lineRule="auto"/>
        <w:ind w:left="0" w:right="0" w:firstLine="565" w:firstLineChars="201"/>
        <w:jc w:val="both"/>
        <w:outlineLvl w:val="1"/>
        <w:rPr>
          <w:rFonts w:ascii="楷体" w:hAnsi="楷体" w:eastAsia="楷体" w:cs="Times New Roman"/>
          <w:b/>
          <w:sz w:val="28"/>
          <w:szCs w:val="28"/>
          <w:highlight w:val="none"/>
          <w:lang w:val="en-US" w:eastAsia="zh-CN" w:bidi="ar-SA"/>
        </w:rPr>
      </w:pPr>
      <w:bookmarkStart w:id="1951" w:name="_Toc29199"/>
      <w:bookmarkStart w:id="1952" w:name="_Toc790"/>
      <w:bookmarkStart w:id="1953" w:name="_Toc24180"/>
      <w:bookmarkStart w:id="1954" w:name="_Toc135742425"/>
      <w:bookmarkStart w:id="1955" w:name="_Toc1162"/>
      <w:bookmarkStart w:id="1956" w:name="_Toc17435"/>
      <w:bookmarkStart w:id="1957" w:name="_Toc137824288"/>
      <w:bookmarkStart w:id="1958" w:name="_Toc12111"/>
      <w:bookmarkStart w:id="1959" w:name="_Toc25492"/>
      <w:bookmarkStart w:id="1960" w:name="_Toc10934"/>
      <w:bookmarkStart w:id="1961" w:name="_Toc28827"/>
      <w:bookmarkStart w:id="1962" w:name="_Toc15017"/>
      <w:bookmarkStart w:id="1963" w:name="_Toc25617"/>
      <w:bookmarkStart w:id="1964" w:name="_Toc6188"/>
      <w:bookmarkStart w:id="1965" w:name="_Toc135742319"/>
      <w:bookmarkStart w:id="1966" w:name="_Toc23091"/>
      <w:bookmarkStart w:id="1967" w:name="_Toc18838"/>
      <w:bookmarkStart w:id="1968" w:name="_Toc13876"/>
      <w:bookmarkStart w:id="1969" w:name="_Toc16203"/>
      <w:bookmarkStart w:id="1970" w:name="_Toc26075"/>
      <w:r>
        <w:rPr>
          <w:rFonts w:hint="eastAsia" w:ascii="楷体" w:hAnsi="楷体" w:eastAsia="楷体" w:cs="Times New Roman"/>
          <w:b/>
          <w:sz w:val="28"/>
          <w:szCs w:val="28"/>
          <w:highlight w:val="none"/>
          <w:lang w:val="en-US" w:eastAsia="zh-CN" w:bidi="ar-SA"/>
        </w:rPr>
        <w:t>3.2施工相关规程</w:t>
      </w:r>
      <w:bookmarkEnd w:id="1939"/>
      <w:bookmarkEnd w:id="194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p>
    <w:p>
      <w:pPr>
        <w:shd w:val="clear"/>
        <w:spacing w:before="0" w:after="0" w:afterAutospacing="0" w:line="600" w:lineRule="exact"/>
        <w:ind w:left="568" w:leftChars="200" w:right="0" w:hanging="148" w:hangingChars="53"/>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比选人内部标准《运营公司建设施工安全管理实施细则》</w:t>
      </w:r>
    </w:p>
    <w:p>
      <w:pPr>
        <w:shd w:val="clear"/>
        <w:spacing w:before="0" w:after="0" w:afterAutospacing="0" w:line="600" w:lineRule="exact"/>
        <w:ind w:left="568" w:leftChars="200" w:right="0" w:hanging="148" w:hangingChars="53"/>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比选人内部标准《运营公司施工管理规定》</w:t>
      </w:r>
    </w:p>
    <w:p>
      <w:pPr>
        <w:shd w:val="clear"/>
        <w:spacing w:before="0" w:after="0" w:afterAutospacing="0" w:line="600" w:lineRule="exact"/>
        <w:ind w:left="1" w:right="0" w:firstLine="420" w:firstLineChars="15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比选人施工相关规程，中标后由比选人提供。比选申请人应按照比选人发布的安全、生产管理规章制度等相关要求进行作业。当比选人对以上标准、规程等进行修订后，均以最新发布文本为准，比选申请人必须严格遵从。</w:t>
      </w:r>
    </w:p>
    <w:p>
      <w:pPr>
        <w:shd w:val="clear"/>
        <w:spacing w:before="0" w:after="0" w:afterAutospacing="0" w:line="360" w:lineRule="auto"/>
        <w:ind w:left="0" w:right="0" w:firstLine="565" w:firstLineChars="201"/>
        <w:jc w:val="both"/>
        <w:outlineLvl w:val="1"/>
        <w:rPr>
          <w:rFonts w:ascii="楷体" w:hAnsi="楷体" w:eastAsia="楷体" w:cs="Times New Roman"/>
          <w:b/>
          <w:sz w:val="28"/>
          <w:szCs w:val="28"/>
          <w:highlight w:val="none"/>
          <w:lang w:val="en-US" w:eastAsia="zh-CN" w:bidi="ar-SA"/>
        </w:rPr>
      </w:pPr>
      <w:bookmarkStart w:id="1971" w:name="_Toc534969209"/>
      <w:bookmarkStart w:id="1972" w:name="_Toc7024"/>
      <w:bookmarkStart w:id="1973" w:name="_Toc11111"/>
      <w:bookmarkStart w:id="1974" w:name="_Toc20758"/>
      <w:bookmarkStart w:id="1975" w:name="_Toc32648"/>
      <w:bookmarkStart w:id="1976" w:name="_Toc28824"/>
      <w:bookmarkStart w:id="1977" w:name="_Toc11743"/>
      <w:bookmarkStart w:id="1978" w:name="_Toc27747"/>
      <w:bookmarkStart w:id="1979" w:name="_Toc135742426"/>
      <w:bookmarkStart w:id="1980" w:name="_Toc16168"/>
      <w:bookmarkStart w:id="1981" w:name="_Toc17408"/>
      <w:bookmarkStart w:id="1982" w:name="_Toc135742320"/>
      <w:bookmarkStart w:id="1983" w:name="_Toc19547"/>
      <w:bookmarkStart w:id="1984" w:name="_Toc24582"/>
      <w:bookmarkStart w:id="1985" w:name="_Toc9618"/>
      <w:bookmarkStart w:id="1986" w:name="_Toc23484"/>
      <w:bookmarkStart w:id="1987" w:name="_Toc31710"/>
      <w:bookmarkStart w:id="1988" w:name="_Toc27275"/>
      <w:bookmarkStart w:id="1989" w:name="_Toc3456"/>
      <w:bookmarkStart w:id="1990" w:name="_Toc4869"/>
      <w:bookmarkStart w:id="1991" w:name="_Toc12975"/>
      <w:bookmarkStart w:id="1992" w:name="_Toc137824289"/>
      <w:bookmarkStart w:id="1993" w:name="_Toc4832"/>
      <w:r>
        <w:rPr>
          <w:rFonts w:hint="eastAsia" w:ascii="楷体" w:hAnsi="楷体" w:eastAsia="楷体" w:cs="Times New Roman"/>
          <w:b/>
          <w:sz w:val="28"/>
          <w:szCs w:val="28"/>
          <w:highlight w:val="none"/>
          <w:lang w:val="en-US" w:eastAsia="zh-CN" w:bidi="ar-SA"/>
        </w:rPr>
        <w:t>3.3</w:t>
      </w:r>
      <w:bookmarkEnd w:id="1971"/>
      <w:bookmarkEnd w:id="1972"/>
      <w:r>
        <w:rPr>
          <w:rFonts w:hint="eastAsia" w:ascii="楷体" w:hAnsi="楷体" w:eastAsia="楷体" w:cs="Times New Roman"/>
          <w:b/>
          <w:sz w:val="28"/>
          <w:szCs w:val="28"/>
          <w:highlight w:val="none"/>
          <w:lang w:val="en-US" w:eastAsia="zh-CN" w:bidi="ar-SA"/>
        </w:rPr>
        <w:t>工程量清单及内容</w:t>
      </w:r>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bookmarkStart w:id="1994" w:name="_Toc534969210"/>
      <w:bookmarkStart w:id="1995" w:name="_Toc19839"/>
      <w:r>
        <w:rPr>
          <w:rFonts w:hint="eastAsia" w:cs="Times New Roman" w:asciiTheme="minorEastAsia" w:hAnsiTheme="minorEastAsia" w:eastAsiaTheme="minorEastAsia"/>
          <w:sz w:val="28"/>
          <w:szCs w:val="28"/>
          <w:highlight w:val="none"/>
        </w:rPr>
        <w:t>控制中心内70个电动汽车充电桩车棚自动喷水灭火系统</w:t>
      </w:r>
      <w:r>
        <w:rPr>
          <w:rFonts w:cs="Times New Roman" w:asciiTheme="minorEastAsia" w:hAnsiTheme="minorEastAsia" w:eastAsiaTheme="minorEastAsia"/>
          <w:sz w:val="28"/>
          <w:szCs w:val="28"/>
          <w:highlight w:val="none"/>
        </w:rPr>
        <w:t>加装</w:t>
      </w:r>
      <w:r>
        <w:rPr>
          <w:rFonts w:hint="eastAsia" w:cs="Times New Roman" w:asciiTheme="minorEastAsia" w:hAnsiTheme="minorEastAsia" w:eastAsiaTheme="minorEastAsia"/>
          <w:sz w:val="28"/>
          <w:szCs w:val="28"/>
          <w:highlight w:val="none"/>
        </w:rPr>
        <w:t>工程施工，具体工程量清单详见表3.3.1</w:t>
      </w:r>
      <w:bookmarkStart w:id="1996" w:name="_Toc29728"/>
      <w:bookmarkStart w:id="1997" w:name="_Toc20808"/>
      <w:bookmarkStart w:id="1998" w:name="_Toc3030"/>
      <w:bookmarkStart w:id="1999" w:name="_Toc11824"/>
      <w:bookmarkStart w:id="2000" w:name="_Toc17494"/>
      <w:bookmarkStart w:id="2001" w:name="_Toc23041"/>
      <w:bookmarkStart w:id="2002" w:name="_Toc571"/>
      <w:bookmarkStart w:id="2003" w:name="_Toc2588"/>
      <w:bookmarkStart w:id="2004" w:name="_Toc12757"/>
      <w:bookmarkStart w:id="2005" w:name="_Toc26170"/>
      <w:bookmarkStart w:id="2006" w:name="_Toc15208"/>
      <w:bookmarkStart w:id="2007" w:name="_Toc21425"/>
      <w:bookmarkStart w:id="2008" w:name="_Toc15285"/>
    </w:p>
    <w:p>
      <w:pPr>
        <w:shd w:val="clear"/>
        <w:spacing w:before="0" w:after="0" w:afterAutospacing="0"/>
        <w:ind w:left="0" w:right="0" w:firstLine="0"/>
        <w:jc w:val="center"/>
        <w:rPr>
          <w:rFonts w:cs="Times New Roman" w:asciiTheme="minorEastAsia" w:hAnsiTheme="minorEastAsia" w:eastAsiaTheme="minorEastAsia"/>
          <w:b/>
          <w:sz w:val="28"/>
          <w:szCs w:val="28"/>
          <w:highlight w:val="none"/>
        </w:rPr>
      </w:pPr>
      <w:r>
        <w:rPr>
          <w:rFonts w:hint="eastAsia" w:cs="Times New Roman" w:asciiTheme="minorEastAsia" w:hAnsiTheme="minorEastAsia" w:eastAsiaTheme="minorEastAsia"/>
          <w:b/>
          <w:sz w:val="28"/>
          <w:szCs w:val="28"/>
          <w:highlight w:val="none"/>
        </w:rPr>
        <w:t>表3.3.1工程量清单</w:t>
      </w:r>
    </w:p>
    <w:tbl>
      <w:tblPr>
        <w:tblStyle w:val="29"/>
        <w:tblW w:w="10309"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1607"/>
        <w:gridCol w:w="4183"/>
        <w:gridCol w:w="1440"/>
        <w:gridCol w:w="668"/>
        <w:gridCol w:w="804"/>
        <w:gridCol w:w="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804"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b/>
                <w:sz w:val="24"/>
                <w:szCs w:val="24"/>
                <w:highlight w:val="none"/>
              </w:rPr>
            </w:pPr>
            <w:bookmarkStart w:id="2009" w:name="OLE_LINK1"/>
            <w:r>
              <w:rPr>
                <w:rFonts w:hint="eastAsia" w:cs="Times New Roman" w:asciiTheme="minorEastAsia" w:hAnsiTheme="minorEastAsia" w:eastAsiaTheme="minorEastAsia"/>
                <w:b/>
                <w:sz w:val="24"/>
                <w:szCs w:val="24"/>
                <w:highlight w:val="none"/>
              </w:rPr>
              <w:t>序号</w:t>
            </w:r>
          </w:p>
        </w:tc>
        <w:tc>
          <w:tcPr>
            <w:tcW w:w="1607"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b/>
                <w:sz w:val="24"/>
                <w:szCs w:val="24"/>
                <w:highlight w:val="none"/>
              </w:rPr>
            </w:pPr>
            <w:r>
              <w:rPr>
                <w:rFonts w:hint="eastAsia" w:cs="Times New Roman" w:asciiTheme="minorEastAsia" w:hAnsiTheme="minorEastAsia" w:eastAsiaTheme="minorEastAsia"/>
                <w:b/>
                <w:sz w:val="24"/>
                <w:szCs w:val="24"/>
                <w:highlight w:val="none"/>
              </w:rPr>
              <w:t>工作内容</w:t>
            </w:r>
          </w:p>
        </w:tc>
        <w:tc>
          <w:tcPr>
            <w:tcW w:w="4183"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b/>
                <w:sz w:val="24"/>
                <w:szCs w:val="24"/>
                <w:highlight w:val="none"/>
              </w:rPr>
            </w:pPr>
            <w:r>
              <w:rPr>
                <w:rFonts w:hint="eastAsia" w:cs="Times New Roman" w:asciiTheme="minorEastAsia" w:hAnsiTheme="minorEastAsia" w:eastAsiaTheme="minorEastAsia"/>
                <w:b/>
                <w:sz w:val="24"/>
                <w:szCs w:val="24"/>
                <w:highlight w:val="none"/>
              </w:rPr>
              <w:t>参数/规格</w:t>
            </w:r>
          </w:p>
        </w:tc>
        <w:tc>
          <w:tcPr>
            <w:tcW w:w="1440" w:type="dxa"/>
            <w:vAlign w:val="center"/>
          </w:tcPr>
          <w:p>
            <w:pPr>
              <w:shd w:val="clear"/>
              <w:spacing w:before="0" w:after="0" w:afterAutospacing="0" w:line="0" w:lineRule="atLeast"/>
              <w:ind w:left="0" w:right="0" w:firstLine="0"/>
              <w:jc w:val="center"/>
              <w:rPr>
                <w:rFonts w:hint="eastAsia" w:cs="Times New Roman" w:asciiTheme="minorEastAsia" w:hAnsiTheme="minorEastAsia" w:eastAsiaTheme="minorEastAsia"/>
                <w:b/>
                <w:sz w:val="24"/>
                <w:szCs w:val="24"/>
                <w:highlight w:val="none"/>
                <w:lang w:val="en-US" w:eastAsia="zh-CN"/>
              </w:rPr>
            </w:pPr>
            <w:r>
              <w:rPr>
                <w:rFonts w:hint="eastAsia" w:cs="Times New Roman" w:asciiTheme="minorEastAsia" w:hAnsiTheme="minorEastAsia" w:eastAsiaTheme="minorEastAsia"/>
                <w:b/>
                <w:sz w:val="24"/>
                <w:szCs w:val="24"/>
                <w:highlight w:val="none"/>
                <w:lang w:val="en-US" w:eastAsia="zh-CN"/>
              </w:rPr>
              <w:t>参考品牌</w:t>
            </w:r>
          </w:p>
        </w:tc>
        <w:tc>
          <w:tcPr>
            <w:tcW w:w="668"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b/>
                <w:sz w:val="24"/>
                <w:szCs w:val="24"/>
                <w:highlight w:val="none"/>
              </w:rPr>
            </w:pPr>
            <w:r>
              <w:rPr>
                <w:rFonts w:hint="eastAsia" w:cs="Times New Roman" w:asciiTheme="minorEastAsia" w:hAnsiTheme="minorEastAsia" w:eastAsiaTheme="minorEastAsia"/>
                <w:b/>
                <w:sz w:val="24"/>
                <w:szCs w:val="24"/>
                <w:highlight w:val="none"/>
              </w:rPr>
              <w:t>单位</w:t>
            </w:r>
          </w:p>
        </w:tc>
        <w:tc>
          <w:tcPr>
            <w:tcW w:w="804"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b/>
                <w:sz w:val="24"/>
                <w:szCs w:val="24"/>
                <w:highlight w:val="none"/>
              </w:rPr>
            </w:pPr>
            <w:r>
              <w:rPr>
                <w:rFonts w:hint="eastAsia" w:cs="Times New Roman" w:asciiTheme="minorEastAsia" w:hAnsiTheme="minorEastAsia" w:eastAsiaTheme="minorEastAsia"/>
                <w:b/>
                <w:sz w:val="24"/>
                <w:szCs w:val="24"/>
                <w:highlight w:val="none"/>
              </w:rPr>
              <w:t>数量</w:t>
            </w:r>
          </w:p>
        </w:tc>
        <w:tc>
          <w:tcPr>
            <w:tcW w:w="803"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b/>
                <w:sz w:val="24"/>
                <w:szCs w:val="24"/>
                <w:highlight w:val="none"/>
              </w:rPr>
            </w:pPr>
            <w:r>
              <w:rPr>
                <w:rFonts w:hint="eastAsia" w:cs="Times New Roman" w:asciiTheme="minorEastAsia" w:hAnsiTheme="minorEastAsia" w:eastAsiaTheme="minorEastAsia"/>
                <w:b/>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2" w:hRule="atLeast"/>
        </w:trPr>
        <w:tc>
          <w:tcPr>
            <w:tcW w:w="804"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w:t>
            </w:r>
          </w:p>
        </w:tc>
        <w:tc>
          <w:tcPr>
            <w:tcW w:w="1607"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镀锌钢管</w:t>
            </w:r>
          </w:p>
        </w:tc>
        <w:tc>
          <w:tcPr>
            <w:tcW w:w="4183" w:type="dxa"/>
            <w:vAlign w:val="center"/>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1、公称内径：DN100。</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2、外径：114.30㎜。</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3、壁厚：4.0㎜。</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4、米重：11.53kg。</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5、工艺：热扎。</w:t>
            </w:r>
          </w:p>
        </w:tc>
        <w:tc>
          <w:tcPr>
            <w:tcW w:w="1440" w:type="dxa"/>
            <w:vAlign w:val="center"/>
          </w:tcPr>
          <w:p>
            <w:pPr>
              <w:shd w:val="clear"/>
              <w:spacing w:before="0" w:after="0" w:afterAutospacing="0" w:line="0" w:lineRule="atLeast"/>
              <w:ind w:left="0" w:right="0" w:firstLine="0"/>
              <w:rPr>
                <w:rFonts w:hint="eastAsia" w:cs="Times New Roman" w:asciiTheme="minorEastAsia" w:hAnsiTheme="minorEastAsia" w:eastAsiaTheme="minorEastAsia"/>
                <w:sz w:val="24"/>
                <w:szCs w:val="24"/>
                <w:highlight w:val="none"/>
              </w:rPr>
            </w:pPr>
          </w:p>
        </w:tc>
        <w:tc>
          <w:tcPr>
            <w:tcW w:w="668"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米</w:t>
            </w:r>
          </w:p>
        </w:tc>
        <w:tc>
          <w:tcPr>
            <w:tcW w:w="804"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80</w:t>
            </w:r>
          </w:p>
        </w:tc>
        <w:tc>
          <w:tcPr>
            <w:tcW w:w="803" w:type="dxa"/>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2</w:t>
            </w:r>
          </w:p>
        </w:tc>
        <w:tc>
          <w:tcPr>
            <w:tcW w:w="1607"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镀锌钢管</w:t>
            </w:r>
          </w:p>
        </w:tc>
        <w:tc>
          <w:tcPr>
            <w:tcW w:w="4183" w:type="dxa"/>
            <w:vAlign w:val="center"/>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1、公称内径：DN80。</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2、外径：88.90㎜。</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3、壁厚：4.0㎜。</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4、米重：8.88kg。</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5、工艺：热扎。</w:t>
            </w:r>
          </w:p>
        </w:tc>
        <w:tc>
          <w:tcPr>
            <w:tcW w:w="1440" w:type="dxa"/>
            <w:vAlign w:val="center"/>
          </w:tcPr>
          <w:p>
            <w:pPr>
              <w:shd w:val="clear"/>
              <w:spacing w:before="0" w:after="0" w:afterAutospacing="0" w:line="0" w:lineRule="atLeast"/>
              <w:ind w:left="0" w:right="0" w:firstLine="0"/>
              <w:rPr>
                <w:rFonts w:hint="eastAsia" w:cs="Times New Roman" w:asciiTheme="minorEastAsia" w:hAnsiTheme="minorEastAsia" w:eastAsiaTheme="minorEastAsia"/>
                <w:sz w:val="24"/>
                <w:szCs w:val="24"/>
                <w:highlight w:val="none"/>
              </w:rPr>
            </w:pPr>
          </w:p>
        </w:tc>
        <w:tc>
          <w:tcPr>
            <w:tcW w:w="668"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米</w:t>
            </w:r>
          </w:p>
        </w:tc>
        <w:tc>
          <w:tcPr>
            <w:tcW w:w="804"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105</w:t>
            </w:r>
          </w:p>
        </w:tc>
        <w:tc>
          <w:tcPr>
            <w:tcW w:w="803" w:type="dxa"/>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3</w:t>
            </w:r>
          </w:p>
        </w:tc>
        <w:tc>
          <w:tcPr>
            <w:tcW w:w="1607"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镀锌钢管</w:t>
            </w:r>
          </w:p>
        </w:tc>
        <w:tc>
          <w:tcPr>
            <w:tcW w:w="4183" w:type="dxa"/>
            <w:vAlign w:val="center"/>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1、公称内径：D65。</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2、外径：76.10㎜。</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3、壁厚：4.0㎜。</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4、米重：7.53kg。</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5、工艺：热扎。</w:t>
            </w:r>
          </w:p>
        </w:tc>
        <w:tc>
          <w:tcPr>
            <w:tcW w:w="1440" w:type="dxa"/>
            <w:vAlign w:val="center"/>
          </w:tcPr>
          <w:p>
            <w:pPr>
              <w:shd w:val="clear"/>
              <w:spacing w:before="0" w:after="0" w:afterAutospacing="0" w:line="0" w:lineRule="atLeast"/>
              <w:ind w:left="0" w:right="0" w:firstLine="0"/>
              <w:rPr>
                <w:rFonts w:hint="eastAsia" w:cs="Times New Roman" w:asciiTheme="minorEastAsia" w:hAnsiTheme="minorEastAsia" w:eastAsiaTheme="minorEastAsia"/>
                <w:sz w:val="24"/>
                <w:szCs w:val="24"/>
                <w:highlight w:val="none"/>
              </w:rPr>
            </w:pPr>
          </w:p>
        </w:tc>
        <w:tc>
          <w:tcPr>
            <w:tcW w:w="668"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米</w:t>
            </w:r>
          </w:p>
        </w:tc>
        <w:tc>
          <w:tcPr>
            <w:tcW w:w="804"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125</w:t>
            </w:r>
          </w:p>
        </w:tc>
        <w:tc>
          <w:tcPr>
            <w:tcW w:w="803" w:type="dxa"/>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4</w:t>
            </w:r>
          </w:p>
        </w:tc>
        <w:tc>
          <w:tcPr>
            <w:tcW w:w="1607"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镀锌钢管</w:t>
            </w:r>
          </w:p>
        </w:tc>
        <w:tc>
          <w:tcPr>
            <w:tcW w:w="4183" w:type="dxa"/>
            <w:vAlign w:val="center"/>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1、公称内径：DN50。</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2、外径：60.30㎜。</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3、壁厚：3.8㎜。</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4、米重：5.60kg。</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5、工艺：热扎。</w:t>
            </w:r>
          </w:p>
        </w:tc>
        <w:tc>
          <w:tcPr>
            <w:tcW w:w="1440" w:type="dxa"/>
            <w:vAlign w:val="center"/>
          </w:tcPr>
          <w:p>
            <w:pPr>
              <w:shd w:val="clear"/>
              <w:spacing w:before="0" w:after="0" w:afterAutospacing="0" w:line="0" w:lineRule="atLeast"/>
              <w:ind w:left="0" w:right="0" w:firstLine="0"/>
              <w:rPr>
                <w:rFonts w:hint="eastAsia" w:cs="Times New Roman" w:asciiTheme="minorEastAsia" w:hAnsiTheme="minorEastAsia" w:eastAsiaTheme="minorEastAsia"/>
                <w:sz w:val="24"/>
                <w:szCs w:val="24"/>
                <w:highlight w:val="none"/>
              </w:rPr>
            </w:pPr>
          </w:p>
        </w:tc>
        <w:tc>
          <w:tcPr>
            <w:tcW w:w="668"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米</w:t>
            </w:r>
          </w:p>
        </w:tc>
        <w:tc>
          <w:tcPr>
            <w:tcW w:w="804"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110</w:t>
            </w:r>
          </w:p>
        </w:tc>
        <w:tc>
          <w:tcPr>
            <w:tcW w:w="803" w:type="dxa"/>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5</w:t>
            </w:r>
          </w:p>
        </w:tc>
        <w:tc>
          <w:tcPr>
            <w:tcW w:w="1607"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镀锌钢管</w:t>
            </w:r>
          </w:p>
        </w:tc>
        <w:tc>
          <w:tcPr>
            <w:tcW w:w="4183" w:type="dxa"/>
            <w:vAlign w:val="center"/>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1、公称内径：DN40。</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2、外径：48.30㎜。</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3、壁厚：3.5㎜。</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4、米重：4.10kg。</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5、工艺：热扎。</w:t>
            </w:r>
          </w:p>
        </w:tc>
        <w:tc>
          <w:tcPr>
            <w:tcW w:w="1440" w:type="dxa"/>
            <w:vAlign w:val="center"/>
          </w:tcPr>
          <w:p>
            <w:pPr>
              <w:shd w:val="clear"/>
              <w:spacing w:before="0" w:after="0" w:afterAutospacing="0" w:line="0" w:lineRule="atLeast"/>
              <w:ind w:left="0" w:right="0" w:firstLine="0"/>
              <w:rPr>
                <w:rFonts w:hint="eastAsia" w:cs="Times New Roman" w:asciiTheme="minorEastAsia" w:hAnsiTheme="minorEastAsia" w:eastAsiaTheme="minorEastAsia"/>
                <w:sz w:val="24"/>
                <w:szCs w:val="24"/>
                <w:highlight w:val="none"/>
              </w:rPr>
            </w:pPr>
          </w:p>
        </w:tc>
        <w:tc>
          <w:tcPr>
            <w:tcW w:w="668"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米</w:t>
            </w:r>
          </w:p>
        </w:tc>
        <w:tc>
          <w:tcPr>
            <w:tcW w:w="804"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48</w:t>
            </w:r>
          </w:p>
        </w:tc>
        <w:tc>
          <w:tcPr>
            <w:tcW w:w="803" w:type="dxa"/>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6</w:t>
            </w:r>
          </w:p>
        </w:tc>
        <w:tc>
          <w:tcPr>
            <w:tcW w:w="1607"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镀锌钢管</w:t>
            </w:r>
          </w:p>
        </w:tc>
        <w:tc>
          <w:tcPr>
            <w:tcW w:w="4183" w:type="dxa"/>
            <w:vAlign w:val="center"/>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1、公称内径：DN32。</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2、外径：42.40㎜。</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3、壁厚：3.5㎜。</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4、米重：3.56kg。</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5、工艺：热扎。</w:t>
            </w:r>
          </w:p>
        </w:tc>
        <w:tc>
          <w:tcPr>
            <w:tcW w:w="1440" w:type="dxa"/>
            <w:vAlign w:val="center"/>
          </w:tcPr>
          <w:p>
            <w:pPr>
              <w:shd w:val="clear"/>
              <w:spacing w:before="0" w:after="0" w:afterAutospacing="0" w:line="0" w:lineRule="atLeast"/>
              <w:ind w:left="0" w:right="0" w:firstLine="0"/>
              <w:rPr>
                <w:rFonts w:hint="eastAsia" w:cs="Times New Roman" w:asciiTheme="minorEastAsia" w:hAnsiTheme="minorEastAsia" w:eastAsiaTheme="minorEastAsia"/>
                <w:sz w:val="24"/>
                <w:szCs w:val="24"/>
                <w:highlight w:val="none"/>
              </w:rPr>
            </w:pPr>
          </w:p>
        </w:tc>
        <w:tc>
          <w:tcPr>
            <w:tcW w:w="668"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米</w:t>
            </w:r>
          </w:p>
        </w:tc>
        <w:tc>
          <w:tcPr>
            <w:tcW w:w="804"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50</w:t>
            </w:r>
          </w:p>
        </w:tc>
        <w:tc>
          <w:tcPr>
            <w:tcW w:w="803" w:type="dxa"/>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7</w:t>
            </w:r>
          </w:p>
        </w:tc>
        <w:tc>
          <w:tcPr>
            <w:tcW w:w="1607"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镀锌钢管</w:t>
            </w:r>
          </w:p>
        </w:tc>
        <w:tc>
          <w:tcPr>
            <w:tcW w:w="4183" w:type="dxa"/>
            <w:vAlign w:val="center"/>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1、公称内径：DN25。</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2、外径：33.70㎜。</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3、壁厚：3.2㎜。</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4、米重：2.554kg。</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5、工艺：热扎。</w:t>
            </w:r>
          </w:p>
        </w:tc>
        <w:tc>
          <w:tcPr>
            <w:tcW w:w="1440" w:type="dxa"/>
            <w:vAlign w:val="center"/>
          </w:tcPr>
          <w:p>
            <w:pPr>
              <w:shd w:val="clear"/>
              <w:spacing w:before="0" w:after="0" w:afterAutospacing="0" w:line="0" w:lineRule="atLeast"/>
              <w:ind w:left="0" w:right="0" w:firstLine="0"/>
              <w:rPr>
                <w:rFonts w:hint="eastAsia" w:cs="Times New Roman" w:asciiTheme="minorEastAsia" w:hAnsiTheme="minorEastAsia" w:eastAsiaTheme="minorEastAsia"/>
                <w:sz w:val="24"/>
                <w:szCs w:val="24"/>
                <w:highlight w:val="none"/>
              </w:rPr>
            </w:pPr>
          </w:p>
        </w:tc>
        <w:tc>
          <w:tcPr>
            <w:tcW w:w="668"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米</w:t>
            </w:r>
          </w:p>
        </w:tc>
        <w:tc>
          <w:tcPr>
            <w:tcW w:w="804"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55</w:t>
            </w:r>
          </w:p>
        </w:tc>
        <w:tc>
          <w:tcPr>
            <w:tcW w:w="803" w:type="dxa"/>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8</w:t>
            </w:r>
          </w:p>
        </w:tc>
        <w:tc>
          <w:tcPr>
            <w:tcW w:w="1607"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喷淋头</w:t>
            </w:r>
          </w:p>
        </w:tc>
        <w:tc>
          <w:tcPr>
            <w:tcW w:w="4183" w:type="dxa"/>
            <w:vAlign w:val="center"/>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1、额定温度：68℃。</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2、温度介质颜色：红色。</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3、适用环境温度：38℃。</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4、单只喷淋头最大保护面积12.5㎡。</w:t>
            </w:r>
          </w:p>
        </w:tc>
        <w:tc>
          <w:tcPr>
            <w:tcW w:w="1440" w:type="dxa"/>
            <w:vAlign w:val="center"/>
          </w:tcPr>
          <w:p>
            <w:pPr>
              <w:shd w:val="clear"/>
              <w:spacing w:before="0" w:after="0" w:afterAutospacing="0" w:line="0" w:lineRule="atLeast"/>
              <w:ind w:left="0" w:right="0" w:firstLine="0"/>
              <w:rPr>
                <w:rFonts w:hint="eastAsia" w:cs="Times New Roman" w:asciiTheme="minorEastAsia" w:hAnsiTheme="minorEastAsia" w:eastAsiaTheme="minorEastAsia"/>
                <w:sz w:val="24"/>
                <w:szCs w:val="24"/>
                <w:highlight w:val="none"/>
              </w:rPr>
            </w:pPr>
          </w:p>
        </w:tc>
        <w:tc>
          <w:tcPr>
            <w:tcW w:w="668"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个</w:t>
            </w:r>
          </w:p>
        </w:tc>
        <w:tc>
          <w:tcPr>
            <w:tcW w:w="804"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140</w:t>
            </w:r>
          </w:p>
        </w:tc>
        <w:tc>
          <w:tcPr>
            <w:tcW w:w="803" w:type="dxa"/>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9</w:t>
            </w:r>
          </w:p>
        </w:tc>
        <w:tc>
          <w:tcPr>
            <w:tcW w:w="1607" w:type="dxa"/>
            <w:vAlign w:val="center"/>
          </w:tcPr>
          <w:p>
            <w:pPr>
              <w:shd w:val="clear"/>
              <w:spacing w:before="0" w:after="0" w:afterAutospacing="0" w:line="0" w:lineRule="atLeast"/>
              <w:ind w:left="0" w:right="0" w:firstLine="0"/>
              <w:jc w:val="center"/>
              <w:rPr>
                <w:rFonts w:ascii="宋体" w:hAnsi="宋体" w:eastAsia="宋体" w:cs="Times New Roman"/>
                <w:sz w:val="24"/>
                <w:szCs w:val="24"/>
                <w:highlight w:val="none"/>
              </w:rPr>
            </w:pPr>
            <w:r>
              <w:rPr>
                <w:rFonts w:hint="eastAsia" w:ascii="宋体" w:hAnsi="宋体" w:eastAsia="宋体" w:cs="宋体"/>
                <w:sz w:val="24"/>
                <w:highlight w:val="none"/>
              </w:rPr>
              <w:t>明杆闸阀</w:t>
            </w:r>
          </w:p>
        </w:tc>
        <w:tc>
          <w:tcPr>
            <w:tcW w:w="4183" w:type="dxa"/>
            <w:vAlign w:val="center"/>
          </w:tcPr>
          <w:p>
            <w:pPr>
              <w:shd w:val="clear"/>
              <w:spacing w:before="0" w:after="0" w:afterAutospacing="0" w:line="0" w:lineRule="atLeast"/>
              <w:ind w:left="0" w:right="0" w:firstLine="0"/>
              <w:rPr>
                <w:rFonts w:ascii="宋体" w:hAnsi="宋体" w:eastAsia="宋体" w:cs="Times New Roman"/>
                <w:sz w:val="24"/>
                <w:szCs w:val="24"/>
                <w:highlight w:val="none"/>
              </w:rPr>
            </w:pPr>
            <w:r>
              <w:rPr>
                <w:rFonts w:hint="eastAsia" w:ascii="宋体" w:hAnsi="宋体" w:eastAsia="宋体" w:cs="Times New Roman"/>
                <w:sz w:val="24"/>
                <w:szCs w:val="24"/>
                <w:highlight w:val="none"/>
              </w:rPr>
              <w:t>1、公称通径：DN100。</w:t>
            </w:r>
            <w:r>
              <w:rPr>
                <w:rFonts w:hint="eastAsia" w:ascii="宋体" w:hAnsi="宋体" w:eastAsia="宋体" w:cs="Times New Roman"/>
                <w:sz w:val="24"/>
                <w:szCs w:val="24"/>
                <w:highlight w:val="none"/>
              </w:rPr>
              <w:br w:type="textWrapping"/>
            </w:r>
            <w:r>
              <w:rPr>
                <w:rFonts w:hint="eastAsia" w:ascii="宋体" w:hAnsi="宋体" w:eastAsia="宋体" w:cs="Times New Roman"/>
                <w:sz w:val="24"/>
                <w:szCs w:val="24"/>
                <w:highlight w:val="none"/>
              </w:rPr>
              <w:t>2、公称压力：1.6MPa。</w:t>
            </w:r>
            <w:r>
              <w:rPr>
                <w:rFonts w:hint="eastAsia" w:ascii="宋体" w:hAnsi="宋体" w:eastAsia="宋体" w:cs="Times New Roman"/>
                <w:sz w:val="24"/>
                <w:szCs w:val="24"/>
                <w:highlight w:val="none"/>
              </w:rPr>
              <w:br w:type="textWrapping"/>
            </w:r>
            <w:r>
              <w:rPr>
                <w:rFonts w:hint="eastAsia" w:ascii="宋体" w:hAnsi="宋体" w:eastAsia="宋体" w:cs="Times New Roman"/>
                <w:sz w:val="24"/>
                <w:szCs w:val="24"/>
                <w:highlight w:val="none"/>
              </w:rPr>
              <w:t>3、工作温度：-10℃～80℃</w:t>
            </w:r>
            <w:r>
              <w:rPr>
                <w:rFonts w:hint="eastAsia" w:ascii="宋体" w:hAnsi="宋体" w:eastAsia="宋体" w:cs="Times New Roman"/>
                <w:sz w:val="24"/>
                <w:szCs w:val="24"/>
                <w:highlight w:val="none"/>
              </w:rPr>
              <w:br w:type="textWrapping"/>
            </w:r>
            <w:r>
              <w:rPr>
                <w:rFonts w:hint="eastAsia" w:ascii="宋体" w:hAnsi="宋体" w:eastAsia="宋体" w:cs="Times New Roman"/>
                <w:sz w:val="24"/>
                <w:szCs w:val="24"/>
                <w:highlight w:val="none"/>
              </w:rPr>
              <w:t>4、密封试验: 1.1倍公称压力。</w:t>
            </w:r>
            <w:r>
              <w:rPr>
                <w:rFonts w:hint="eastAsia" w:ascii="宋体" w:hAnsi="宋体" w:eastAsia="宋体" w:cs="Times New Roman"/>
                <w:sz w:val="24"/>
                <w:szCs w:val="24"/>
                <w:highlight w:val="none"/>
              </w:rPr>
              <w:br w:type="textWrapping"/>
            </w:r>
            <w:r>
              <w:rPr>
                <w:rFonts w:hint="eastAsia" w:ascii="宋体" w:hAnsi="宋体" w:eastAsia="宋体" w:cs="Times New Roman"/>
                <w:sz w:val="24"/>
                <w:szCs w:val="24"/>
                <w:highlight w:val="none"/>
              </w:rPr>
              <w:t>5、强度试验: 1.5倍公称压力。</w:t>
            </w:r>
            <w:r>
              <w:rPr>
                <w:rFonts w:hint="eastAsia" w:ascii="宋体" w:hAnsi="宋体" w:eastAsia="宋体" w:cs="Times New Roman"/>
                <w:sz w:val="24"/>
                <w:szCs w:val="24"/>
                <w:highlight w:val="none"/>
              </w:rPr>
              <w:br w:type="textWrapping"/>
            </w:r>
            <w:r>
              <w:rPr>
                <w:rFonts w:hint="eastAsia" w:ascii="宋体" w:hAnsi="宋体" w:eastAsia="宋体" w:cs="Times New Roman"/>
                <w:sz w:val="24"/>
                <w:szCs w:val="24"/>
                <w:highlight w:val="none"/>
              </w:rPr>
              <w:t>6、适用介质:水。</w:t>
            </w:r>
            <w:r>
              <w:rPr>
                <w:rFonts w:hint="eastAsia" w:ascii="宋体" w:hAnsi="宋体" w:eastAsia="宋体" w:cs="Times New Roman"/>
                <w:sz w:val="24"/>
                <w:szCs w:val="24"/>
                <w:highlight w:val="none"/>
              </w:rPr>
              <w:br w:type="textWrapping"/>
            </w:r>
            <w:r>
              <w:rPr>
                <w:rFonts w:hint="eastAsia" w:ascii="宋体" w:hAnsi="宋体" w:eastAsia="宋体" w:cs="Times New Roman"/>
                <w:sz w:val="24"/>
                <w:szCs w:val="24"/>
                <w:highlight w:val="none"/>
              </w:rPr>
              <w:t>7、阀体材质：球铁、铸钢。</w:t>
            </w:r>
          </w:p>
        </w:tc>
        <w:tc>
          <w:tcPr>
            <w:tcW w:w="1440" w:type="dxa"/>
            <w:vAlign w:val="center"/>
          </w:tcPr>
          <w:p>
            <w:pPr>
              <w:shd w:val="clear"/>
              <w:spacing w:before="0" w:after="0" w:afterAutospacing="0" w:line="0" w:lineRule="atLeast"/>
              <w:ind w:left="0" w:right="0" w:firstLine="0"/>
              <w:rPr>
                <w:rFonts w:hint="eastAsia" w:ascii="宋体" w:hAnsi="宋体" w:eastAsia="宋体" w:cs="Times New Roman"/>
                <w:sz w:val="24"/>
                <w:szCs w:val="24"/>
                <w:highlight w:val="none"/>
              </w:rPr>
            </w:pPr>
          </w:p>
        </w:tc>
        <w:tc>
          <w:tcPr>
            <w:tcW w:w="668" w:type="dxa"/>
            <w:vAlign w:val="center"/>
          </w:tcPr>
          <w:p>
            <w:pPr>
              <w:shd w:val="clear"/>
              <w:spacing w:before="0" w:after="0" w:afterAutospacing="0" w:line="0" w:lineRule="atLeast"/>
              <w:ind w:left="0" w:right="0" w:firstLine="0"/>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个</w:t>
            </w:r>
          </w:p>
        </w:tc>
        <w:tc>
          <w:tcPr>
            <w:tcW w:w="804" w:type="dxa"/>
            <w:vAlign w:val="center"/>
          </w:tcPr>
          <w:p>
            <w:pPr>
              <w:shd w:val="clear"/>
              <w:spacing w:before="0" w:after="0" w:afterAutospacing="0" w:line="0" w:lineRule="atLeast"/>
              <w:ind w:left="0" w:right="0" w:firstLine="0"/>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1</w:t>
            </w:r>
          </w:p>
        </w:tc>
        <w:tc>
          <w:tcPr>
            <w:tcW w:w="803" w:type="dxa"/>
          </w:tcPr>
          <w:p>
            <w:pPr>
              <w:shd w:val="clear"/>
              <w:spacing w:before="0" w:after="0" w:afterAutospacing="0" w:line="0" w:lineRule="atLeast"/>
              <w:ind w:left="0" w:right="0" w:firstLine="0"/>
              <w:rPr>
                <w:rFonts w:cs="Times New Roman" w:asciiTheme="minorEastAsia" w:hAnsiTheme="minorEastAsia" w:eastAsiaTheme="minorEastAsia"/>
                <w:color w:val="FF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4"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10</w:t>
            </w:r>
          </w:p>
        </w:tc>
        <w:tc>
          <w:tcPr>
            <w:tcW w:w="1607" w:type="dxa"/>
            <w:vAlign w:val="center"/>
          </w:tcPr>
          <w:p>
            <w:pPr>
              <w:shd w:val="clear"/>
              <w:spacing w:before="0" w:after="0" w:afterAutospacing="0" w:line="0" w:lineRule="atLeast"/>
              <w:ind w:left="0" w:right="0" w:firstLine="0"/>
              <w:jc w:val="center"/>
              <w:rPr>
                <w:rFonts w:ascii="宋体" w:hAnsi="宋体" w:eastAsia="宋体" w:cs="Times New Roman"/>
                <w:sz w:val="24"/>
                <w:szCs w:val="24"/>
                <w:highlight w:val="none"/>
              </w:rPr>
            </w:pPr>
            <w:r>
              <w:rPr>
                <w:rFonts w:hint="eastAsia" w:ascii="宋体" w:hAnsi="宋体" w:eastAsia="宋体" w:cs="宋体"/>
                <w:sz w:val="24"/>
                <w:highlight w:val="none"/>
              </w:rPr>
              <w:t>明杆闸阀</w:t>
            </w:r>
          </w:p>
        </w:tc>
        <w:tc>
          <w:tcPr>
            <w:tcW w:w="4183" w:type="dxa"/>
            <w:vAlign w:val="center"/>
          </w:tcPr>
          <w:p>
            <w:pPr>
              <w:shd w:val="clear"/>
              <w:spacing w:before="0" w:after="0" w:afterAutospacing="0" w:line="0" w:lineRule="atLeast"/>
              <w:ind w:left="0" w:right="0" w:firstLine="0"/>
              <w:rPr>
                <w:rFonts w:ascii="宋体" w:hAnsi="宋体" w:eastAsia="宋体" w:cs="Times New Roman"/>
                <w:sz w:val="24"/>
                <w:szCs w:val="24"/>
                <w:highlight w:val="none"/>
              </w:rPr>
            </w:pPr>
            <w:r>
              <w:rPr>
                <w:rFonts w:hint="eastAsia" w:ascii="宋体" w:hAnsi="宋体" w:eastAsia="宋体" w:cs="Times New Roman"/>
                <w:sz w:val="24"/>
                <w:szCs w:val="24"/>
                <w:highlight w:val="none"/>
              </w:rPr>
              <w:t>1、公称通径：DN80。</w:t>
            </w:r>
            <w:r>
              <w:rPr>
                <w:rFonts w:hint="eastAsia" w:ascii="宋体" w:hAnsi="宋体" w:eastAsia="宋体" w:cs="Times New Roman"/>
                <w:sz w:val="24"/>
                <w:szCs w:val="24"/>
                <w:highlight w:val="none"/>
              </w:rPr>
              <w:br w:type="textWrapping"/>
            </w:r>
            <w:r>
              <w:rPr>
                <w:rFonts w:hint="eastAsia" w:ascii="宋体" w:hAnsi="宋体" w:eastAsia="宋体" w:cs="Times New Roman"/>
                <w:sz w:val="24"/>
                <w:szCs w:val="24"/>
                <w:highlight w:val="none"/>
              </w:rPr>
              <w:t>2、公称压力：1.6MPa。</w:t>
            </w:r>
            <w:r>
              <w:rPr>
                <w:rFonts w:hint="eastAsia" w:ascii="宋体" w:hAnsi="宋体" w:eastAsia="宋体" w:cs="Times New Roman"/>
                <w:sz w:val="24"/>
                <w:szCs w:val="24"/>
                <w:highlight w:val="none"/>
              </w:rPr>
              <w:br w:type="textWrapping"/>
            </w:r>
            <w:r>
              <w:rPr>
                <w:rFonts w:hint="eastAsia" w:ascii="宋体" w:hAnsi="宋体" w:eastAsia="宋体" w:cs="Times New Roman"/>
                <w:sz w:val="24"/>
                <w:szCs w:val="24"/>
                <w:highlight w:val="none"/>
              </w:rPr>
              <w:t>3、工作温度：-10℃～80℃</w:t>
            </w:r>
            <w:r>
              <w:rPr>
                <w:rFonts w:hint="eastAsia" w:ascii="宋体" w:hAnsi="宋体" w:eastAsia="宋体" w:cs="Times New Roman"/>
                <w:sz w:val="24"/>
                <w:szCs w:val="24"/>
                <w:highlight w:val="none"/>
              </w:rPr>
              <w:br w:type="textWrapping"/>
            </w:r>
            <w:r>
              <w:rPr>
                <w:rFonts w:hint="eastAsia" w:ascii="宋体" w:hAnsi="宋体" w:eastAsia="宋体" w:cs="Times New Roman"/>
                <w:sz w:val="24"/>
                <w:szCs w:val="24"/>
                <w:highlight w:val="none"/>
              </w:rPr>
              <w:t>4、密封试验: 1.1倍公称压力。</w:t>
            </w:r>
            <w:r>
              <w:rPr>
                <w:rFonts w:hint="eastAsia" w:ascii="宋体" w:hAnsi="宋体" w:eastAsia="宋体" w:cs="Times New Roman"/>
                <w:sz w:val="24"/>
                <w:szCs w:val="24"/>
                <w:highlight w:val="none"/>
              </w:rPr>
              <w:br w:type="textWrapping"/>
            </w:r>
            <w:r>
              <w:rPr>
                <w:rFonts w:hint="eastAsia" w:ascii="宋体" w:hAnsi="宋体" w:eastAsia="宋体" w:cs="Times New Roman"/>
                <w:sz w:val="24"/>
                <w:szCs w:val="24"/>
                <w:highlight w:val="none"/>
              </w:rPr>
              <w:t>5、强度试验: 1.5倍公称压力。</w:t>
            </w:r>
            <w:r>
              <w:rPr>
                <w:rFonts w:hint="eastAsia" w:ascii="宋体" w:hAnsi="宋体" w:eastAsia="宋体" w:cs="Times New Roman"/>
                <w:sz w:val="24"/>
                <w:szCs w:val="24"/>
                <w:highlight w:val="none"/>
              </w:rPr>
              <w:br w:type="textWrapping"/>
            </w:r>
            <w:r>
              <w:rPr>
                <w:rFonts w:hint="eastAsia" w:ascii="宋体" w:hAnsi="宋体" w:eastAsia="宋体" w:cs="Times New Roman"/>
                <w:sz w:val="24"/>
                <w:szCs w:val="24"/>
                <w:highlight w:val="none"/>
              </w:rPr>
              <w:t>6、适用介质:水。</w:t>
            </w:r>
            <w:r>
              <w:rPr>
                <w:rFonts w:hint="eastAsia" w:ascii="宋体" w:hAnsi="宋体" w:eastAsia="宋体" w:cs="Times New Roman"/>
                <w:sz w:val="24"/>
                <w:szCs w:val="24"/>
                <w:highlight w:val="none"/>
              </w:rPr>
              <w:br w:type="textWrapping"/>
            </w:r>
            <w:r>
              <w:rPr>
                <w:rFonts w:hint="eastAsia" w:ascii="宋体" w:hAnsi="宋体" w:eastAsia="宋体" w:cs="Times New Roman"/>
                <w:sz w:val="24"/>
                <w:szCs w:val="24"/>
                <w:highlight w:val="none"/>
              </w:rPr>
              <w:t>7、阀体材质：球铁、铸钢。</w:t>
            </w:r>
          </w:p>
        </w:tc>
        <w:tc>
          <w:tcPr>
            <w:tcW w:w="1440" w:type="dxa"/>
            <w:vAlign w:val="center"/>
          </w:tcPr>
          <w:p>
            <w:pPr>
              <w:shd w:val="clear"/>
              <w:spacing w:before="0" w:after="0" w:afterAutospacing="0" w:line="0" w:lineRule="atLeast"/>
              <w:ind w:left="0" w:right="0" w:firstLine="0"/>
              <w:rPr>
                <w:rFonts w:hint="eastAsia" w:ascii="宋体" w:hAnsi="宋体" w:eastAsia="宋体" w:cs="Times New Roman"/>
                <w:sz w:val="24"/>
                <w:szCs w:val="24"/>
                <w:highlight w:val="none"/>
              </w:rPr>
            </w:pPr>
          </w:p>
        </w:tc>
        <w:tc>
          <w:tcPr>
            <w:tcW w:w="668" w:type="dxa"/>
            <w:vAlign w:val="center"/>
          </w:tcPr>
          <w:p>
            <w:pPr>
              <w:shd w:val="clear"/>
              <w:spacing w:before="0" w:after="0" w:afterAutospacing="0" w:line="0" w:lineRule="atLeast"/>
              <w:ind w:left="0" w:right="0" w:firstLine="0"/>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个</w:t>
            </w:r>
          </w:p>
        </w:tc>
        <w:tc>
          <w:tcPr>
            <w:tcW w:w="804" w:type="dxa"/>
            <w:vAlign w:val="center"/>
          </w:tcPr>
          <w:p>
            <w:pPr>
              <w:shd w:val="clear"/>
              <w:spacing w:before="0" w:after="0" w:afterAutospacing="0" w:line="0" w:lineRule="atLeast"/>
              <w:ind w:left="0" w:right="0" w:firstLine="0"/>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1</w:t>
            </w:r>
          </w:p>
        </w:tc>
        <w:tc>
          <w:tcPr>
            <w:tcW w:w="803" w:type="dxa"/>
          </w:tcPr>
          <w:p>
            <w:pPr>
              <w:shd w:val="clear"/>
              <w:spacing w:before="0" w:after="0" w:afterAutospacing="0" w:line="0" w:lineRule="atLeast"/>
              <w:ind w:left="0" w:right="0" w:firstLine="0"/>
              <w:rPr>
                <w:rFonts w:cs="Times New Roman" w:asciiTheme="minorEastAsia" w:hAnsiTheme="minorEastAsia" w:eastAsiaTheme="minorEastAsia"/>
                <w:color w:val="FF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11</w:t>
            </w:r>
          </w:p>
        </w:tc>
        <w:tc>
          <w:tcPr>
            <w:tcW w:w="1607" w:type="dxa"/>
            <w:vAlign w:val="center"/>
          </w:tcPr>
          <w:p>
            <w:pPr>
              <w:shd w:val="clear"/>
              <w:spacing w:before="0" w:after="0" w:afterAutospacing="0" w:line="0" w:lineRule="atLeast"/>
              <w:ind w:left="0" w:right="0" w:firstLine="0"/>
              <w:jc w:val="center"/>
              <w:rPr>
                <w:rFonts w:ascii="宋体" w:hAnsi="宋体" w:eastAsia="宋体" w:cs="Times New Roman"/>
                <w:sz w:val="24"/>
                <w:szCs w:val="24"/>
                <w:highlight w:val="none"/>
              </w:rPr>
            </w:pPr>
            <w:r>
              <w:rPr>
                <w:rFonts w:hint="eastAsia" w:ascii="宋体" w:hAnsi="宋体" w:eastAsia="宋体" w:cs="宋体"/>
                <w:sz w:val="24"/>
                <w:highlight w:val="none"/>
              </w:rPr>
              <w:t>明杆闸阀</w:t>
            </w:r>
          </w:p>
        </w:tc>
        <w:tc>
          <w:tcPr>
            <w:tcW w:w="4183" w:type="dxa"/>
            <w:vAlign w:val="center"/>
          </w:tcPr>
          <w:p>
            <w:pPr>
              <w:shd w:val="clear"/>
              <w:spacing w:before="0" w:after="0" w:afterAutospacing="0" w:line="0" w:lineRule="atLeast"/>
              <w:ind w:left="0" w:right="0" w:firstLine="0"/>
              <w:rPr>
                <w:rFonts w:ascii="宋体" w:hAnsi="宋体" w:eastAsia="宋体" w:cs="Times New Roman"/>
                <w:sz w:val="24"/>
                <w:szCs w:val="24"/>
                <w:highlight w:val="none"/>
              </w:rPr>
            </w:pPr>
            <w:r>
              <w:rPr>
                <w:rFonts w:hint="eastAsia" w:ascii="宋体" w:hAnsi="宋体" w:eastAsia="宋体" w:cs="Times New Roman"/>
                <w:sz w:val="24"/>
                <w:szCs w:val="24"/>
                <w:highlight w:val="none"/>
              </w:rPr>
              <w:t>1、公称通径：DN65。</w:t>
            </w:r>
            <w:r>
              <w:rPr>
                <w:rFonts w:hint="eastAsia" w:ascii="宋体" w:hAnsi="宋体" w:eastAsia="宋体" w:cs="Times New Roman"/>
                <w:sz w:val="24"/>
                <w:szCs w:val="24"/>
                <w:highlight w:val="none"/>
              </w:rPr>
              <w:br w:type="textWrapping"/>
            </w:r>
            <w:r>
              <w:rPr>
                <w:rFonts w:hint="eastAsia" w:ascii="宋体" w:hAnsi="宋体" w:eastAsia="宋体" w:cs="Times New Roman"/>
                <w:sz w:val="24"/>
                <w:szCs w:val="24"/>
                <w:highlight w:val="none"/>
              </w:rPr>
              <w:t>2、公称压力：1.6MPa。</w:t>
            </w:r>
            <w:r>
              <w:rPr>
                <w:rFonts w:hint="eastAsia" w:ascii="宋体" w:hAnsi="宋体" w:eastAsia="宋体" w:cs="Times New Roman"/>
                <w:sz w:val="24"/>
                <w:szCs w:val="24"/>
                <w:highlight w:val="none"/>
              </w:rPr>
              <w:br w:type="textWrapping"/>
            </w:r>
            <w:r>
              <w:rPr>
                <w:rFonts w:hint="eastAsia" w:ascii="宋体" w:hAnsi="宋体" w:eastAsia="宋体" w:cs="Times New Roman"/>
                <w:sz w:val="24"/>
                <w:szCs w:val="24"/>
                <w:highlight w:val="none"/>
              </w:rPr>
              <w:t>3、工作温度：-10℃～80℃</w:t>
            </w:r>
            <w:r>
              <w:rPr>
                <w:rFonts w:hint="eastAsia" w:ascii="宋体" w:hAnsi="宋体" w:eastAsia="宋体" w:cs="Times New Roman"/>
                <w:sz w:val="24"/>
                <w:szCs w:val="24"/>
                <w:highlight w:val="none"/>
              </w:rPr>
              <w:br w:type="textWrapping"/>
            </w:r>
            <w:r>
              <w:rPr>
                <w:rFonts w:hint="eastAsia" w:ascii="宋体" w:hAnsi="宋体" w:eastAsia="宋体" w:cs="Times New Roman"/>
                <w:sz w:val="24"/>
                <w:szCs w:val="24"/>
                <w:highlight w:val="none"/>
              </w:rPr>
              <w:t>4、密封试验: 1.1倍公称压力。</w:t>
            </w:r>
            <w:r>
              <w:rPr>
                <w:rFonts w:hint="eastAsia" w:ascii="宋体" w:hAnsi="宋体" w:eastAsia="宋体" w:cs="Times New Roman"/>
                <w:sz w:val="24"/>
                <w:szCs w:val="24"/>
                <w:highlight w:val="none"/>
              </w:rPr>
              <w:br w:type="textWrapping"/>
            </w:r>
            <w:r>
              <w:rPr>
                <w:rFonts w:hint="eastAsia" w:ascii="宋体" w:hAnsi="宋体" w:eastAsia="宋体" w:cs="Times New Roman"/>
                <w:sz w:val="24"/>
                <w:szCs w:val="24"/>
                <w:highlight w:val="none"/>
              </w:rPr>
              <w:t>5、强度试验: 1.5倍公称压力。</w:t>
            </w:r>
            <w:r>
              <w:rPr>
                <w:rFonts w:hint="eastAsia" w:ascii="宋体" w:hAnsi="宋体" w:eastAsia="宋体" w:cs="Times New Roman"/>
                <w:sz w:val="24"/>
                <w:szCs w:val="24"/>
                <w:highlight w:val="none"/>
              </w:rPr>
              <w:br w:type="textWrapping"/>
            </w:r>
            <w:r>
              <w:rPr>
                <w:rFonts w:hint="eastAsia" w:ascii="宋体" w:hAnsi="宋体" w:eastAsia="宋体" w:cs="Times New Roman"/>
                <w:sz w:val="24"/>
                <w:szCs w:val="24"/>
                <w:highlight w:val="none"/>
              </w:rPr>
              <w:t>6、适用介质:水。</w:t>
            </w:r>
            <w:r>
              <w:rPr>
                <w:rFonts w:hint="eastAsia" w:ascii="宋体" w:hAnsi="宋体" w:eastAsia="宋体" w:cs="Times New Roman"/>
                <w:sz w:val="24"/>
                <w:szCs w:val="24"/>
                <w:highlight w:val="none"/>
              </w:rPr>
              <w:br w:type="textWrapping"/>
            </w:r>
            <w:r>
              <w:rPr>
                <w:rFonts w:hint="eastAsia" w:ascii="宋体" w:hAnsi="宋体" w:eastAsia="宋体" w:cs="Times New Roman"/>
                <w:sz w:val="24"/>
                <w:szCs w:val="24"/>
                <w:highlight w:val="none"/>
              </w:rPr>
              <w:t>7、阀体材质：球铁、铸钢。</w:t>
            </w:r>
          </w:p>
        </w:tc>
        <w:tc>
          <w:tcPr>
            <w:tcW w:w="1440" w:type="dxa"/>
            <w:vAlign w:val="center"/>
          </w:tcPr>
          <w:p>
            <w:pPr>
              <w:shd w:val="clear"/>
              <w:spacing w:before="0" w:after="0" w:afterAutospacing="0" w:line="0" w:lineRule="atLeast"/>
              <w:ind w:left="0" w:right="0" w:firstLine="0"/>
              <w:rPr>
                <w:rFonts w:hint="eastAsia" w:ascii="宋体" w:hAnsi="宋体" w:eastAsia="宋体" w:cs="Times New Roman"/>
                <w:sz w:val="24"/>
                <w:szCs w:val="24"/>
                <w:highlight w:val="none"/>
              </w:rPr>
            </w:pPr>
          </w:p>
        </w:tc>
        <w:tc>
          <w:tcPr>
            <w:tcW w:w="668" w:type="dxa"/>
            <w:vAlign w:val="center"/>
          </w:tcPr>
          <w:p>
            <w:pPr>
              <w:shd w:val="clear"/>
              <w:spacing w:before="0" w:after="0" w:afterAutospacing="0" w:line="0" w:lineRule="atLeast"/>
              <w:ind w:left="0" w:right="0" w:firstLine="0"/>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个</w:t>
            </w:r>
          </w:p>
        </w:tc>
        <w:tc>
          <w:tcPr>
            <w:tcW w:w="804" w:type="dxa"/>
            <w:vAlign w:val="center"/>
          </w:tcPr>
          <w:p>
            <w:pPr>
              <w:shd w:val="clear"/>
              <w:spacing w:before="0" w:after="0" w:afterAutospacing="0" w:line="0" w:lineRule="atLeast"/>
              <w:ind w:left="0" w:right="0" w:firstLine="0"/>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1</w:t>
            </w:r>
          </w:p>
        </w:tc>
        <w:tc>
          <w:tcPr>
            <w:tcW w:w="803" w:type="dxa"/>
          </w:tcPr>
          <w:p>
            <w:pPr>
              <w:shd w:val="clear"/>
              <w:spacing w:before="0" w:after="0" w:afterAutospacing="0" w:line="0" w:lineRule="atLeast"/>
              <w:ind w:left="0" w:right="0" w:firstLine="0"/>
              <w:rPr>
                <w:rFonts w:cs="Times New Roman" w:asciiTheme="minorEastAsia" w:hAnsiTheme="minorEastAsia" w:eastAsiaTheme="minorEastAsia"/>
                <w:color w:val="FF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12</w:t>
            </w:r>
          </w:p>
        </w:tc>
        <w:tc>
          <w:tcPr>
            <w:tcW w:w="1607"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喷淋头聚热罩</w:t>
            </w:r>
          </w:p>
        </w:tc>
        <w:tc>
          <w:tcPr>
            <w:tcW w:w="4183" w:type="dxa"/>
            <w:vAlign w:val="center"/>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1、外圆直径：300㎜。</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2、产品材质：不锈钢。</w:t>
            </w:r>
          </w:p>
        </w:tc>
        <w:tc>
          <w:tcPr>
            <w:tcW w:w="1440" w:type="dxa"/>
            <w:vAlign w:val="center"/>
          </w:tcPr>
          <w:p>
            <w:pPr>
              <w:shd w:val="clear"/>
              <w:spacing w:before="0" w:after="0" w:afterAutospacing="0" w:line="0" w:lineRule="atLeast"/>
              <w:ind w:left="0" w:right="0" w:firstLine="0"/>
              <w:rPr>
                <w:rFonts w:hint="eastAsia" w:cs="Times New Roman" w:asciiTheme="minorEastAsia" w:hAnsiTheme="minorEastAsia" w:eastAsiaTheme="minorEastAsia"/>
                <w:sz w:val="24"/>
                <w:szCs w:val="24"/>
                <w:highlight w:val="none"/>
              </w:rPr>
            </w:pPr>
          </w:p>
        </w:tc>
        <w:tc>
          <w:tcPr>
            <w:tcW w:w="668"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个</w:t>
            </w:r>
          </w:p>
        </w:tc>
        <w:tc>
          <w:tcPr>
            <w:tcW w:w="804"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140</w:t>
            </w:r>
          </w:p>
        </w:tc>
        <w:tc>
          <w:tcPr>
            <w:tcW w:w="803" w:type="dxa"/>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13</w:t>
            </w:r>
          </w:p>
        </w:tc>
        <w:tc>
          <w:tcPr>
            <w:tcW w:w="1607"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铜阀</w:t>
            </w:r>
          </w:p>
        </w:tc>
        <w:tc>
          <w:tcPr>
            <w:tcW w:w="4183" w:type="dxa"/>
            <w:vAlign w:val="center"/>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1、公称通径：DN25。</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2、公称压力：1.6MPa。</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3、工作温度：-10℃～80℃</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4、密封试验: 1.1倍公称压力。</w:t>
            </w:r>
            <w:r>
              <w:rPr>
                <w:rFonts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5、强度试验: 1.5倍公称压力。</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6、适用介质:水。</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7、阀体材质：铸铜。</w:t>
            </w:r>
          </w:p>
        </w:tc>
        <w:tc>
          <w:tcPr>
            <w:tcW w:w="1440" w:type="dxa"/>
            <w:vAlign w:val="center"/>
          </w:tcPr>
          <w:p>
            <w:pPr>
              <w:shd w:val="clear"/>
              <w:spacing w:before="0" w:after="0" w:afterAutospacing="0" w:line="0" w:lineRule="atLeast"/>
              <w:ind w:left="0" w:right="0" w:firstLine="0"/>
              <w:rPr>
                <w:rFonts w:hint="eastAsia" w:cs="Times New Roman" w:asciiTheme="minorEastAsia" w:hAnsiTheme="minorEastAsia" w:eastAsiaTheme="minorEastAsia"/>
                <w:sz w:val="24"/>
                <w:szCs w:val="24"/>
                <w:highlight w:val="none"/>
              </w:rPr>
            </w:pPr>
          </w:p>
        </w:tc>
        <w:tc>
          <w:tcPr>
            <w:tcW w:w="668"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个</w:t>
            </w:r>
          </w:p>
        </w:tc>
        <w:tc>
          <w:tcPr>
            <w:tcW w:w="804"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3</w:t>
            </w:r>
          </w:p>
        </w:tc>
        <w:tc>
          <w:tcPr>
            <w:tcW w:w="803" w:type="dxa"/>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14</w:t>
            </w:r>
          </w:p>
        </w:tc>
        <w:tc>
          <w:tcPr>
            <w:tcW w:w="1607"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压力表</w:t>
            </w:r>
          </w:p>
        </w:tc>
        <w:tc>
          <w:tcPr>
            <w:tcW w:w="4183" w:type="dxa"/>
            <w:vAlign w:val="center"/>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1、公称直径：100㎜。</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2、测量范围：1.6MPa。</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3、环境温度：-20℃～70℃</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4、产品精度:1.6级。</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5、产品材质：铁外壳、黄铜接头。</w:t>
            </w:r>
          </w:p>
        </w:tc>
        <w:tc>
          <w:tcPr>
            <w:tcW w:w="1440" w:type="dxa"/>
            <w:vAlign w:val="center"/>
          </w:tcPr>
          <w:p>
            <w:pPr>
              <w:shd w:val="clear"/>
              <w:spacing w:before="0" w:after="0" w:afterAutospacing="0" w:line="0" w:lineRule="atLeast"/>
              <w:ind w:left="0" w:right="0" w:firstLine="0"/>
              <w:rPr>
                <w:rFonts w:hint="eastAsia" w:cs="Times New Roman" w:asciiTheme="minorEastAsia" w:hAnsiTheme="minorEastAsia" w:eastAsiaTheme="minorEastAsia"/>
                <w:sz w:val="24"/>
                <w:szCs w:val="24"/>
                <w:highlight w:val="none"/>
              </w:rPr>
            </w:pPr>
          </w:p>
        </w:tc>
        <w:tc>
          <w:tcPr>
            <w:tcW w:w="668"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个</w:t>
            </w:r>
          </w:p>
        </w:tc>
        <w:tc>
          <w:tcPr>
            <w:tcW w:w="804"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3</w:t>
            </w:r>
          </w:p>
        </w:tc>
        <w:tc>
          <w:tcPr>
            <w:tcW w:w="803" w:type="dxa"/>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Align w:val="center"/>
          </w:tcPr>
          <w:p>
            <w:pPr>
              <w:shd w:val="clear"/>
              <w:spacing w:before="0" w:after="0" w:afterAutospacing="0" w:line="0" w:lineRule="atLeast"/>
              <w:ind w:left="0" w:right="0" w:firstLine="0"/>
              <w:jc w:val="center"/>
              <w:rPr>
                <w:rFonts w:hint="default" w:cs="Times New Roman" w:asciiTheme="minorEastAsia" w:hAnsiTheme="minorEastAsia" w:eastAsiaTheme="minorEastAsia"/>
                <w:color w:val="FF0000"/>
                <w:sz w:val="24"/>
                <w:szCs w:val="24"/>
                <w:highlight w:val="none"/>
                <w:lang w:val="en-US" w:eastAsia="zh-CN"/>
              </w:rPr>
            </w:pPr>
            <w:r>
              <w:rPr>
                <w:rFonts w:hint="eastAsia" w:cs="Times New Roman" w:asciiTheme="minorEastAsia" w:hAnsiTheme="minorEastAsia" w:eastAsiaTheme="minorEastAsia"/>
                <w:color w:val="auto"/>
                <w:sz w:val="24"/>
                <w:szCs w:val="24"/>
                <w:highlight w:val="none"/>
                <w:lang w:val="en-US" w:eastAsia="zh-CN"/>
              </w:rPr>
              <w:t>15</w:t>
            </w:r>
          </w:p>
        </w:tc>
        <w:tc>
          <w:tcPr>
            <w:tcW w:w="1607"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水流指示器</w:t>
            </w:r>
          </w:p>
        </w:tc>
        <w:tc>
          <w:tcPr>
            <w:tcW w:w="4183" w:type="dxa"/>
            <w:vAlign w:val="center"/>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1、电压：DC24V。</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2、控制容量：10W。</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3、动作流量：15-37.5Lmin。</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4、额定工作压力：1.2Mpa。</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5、延迟时间：2-90s(可调)。　　</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6、耗电：＜200mA(报警时)。</w:t>
            </w:r>
          </w:p>
        </w:tc>
        <w:tc>
          <w:tcPr>
            <w:tcW w:w="1440" w:type="dxa"/>
            <w:vAlign w:val="center"/>
          </w:tcPr>
          <w:p>
            <w:pPr>
              <w:shd w:val="clear"/>
              <w:spacing w:before="0" w:after="0" w:afterAutospacing="0" w:line="0" w:lineRule="atLeast"/>
              <w:ind w:left="0" w:right="0" w:firstLine="0"/>
              <w:rPr>
                <w:rFonts w:hint="eastAsia" w:cs="Times New Roman" w:asciiTheme="minorEastAsia" w:hAnsiTheme="minorEastAsia" w:eastAsiaTheme="minorEastAsia"/>
                <w:sz w:val="24"/>
                <w:szCs w:val="24"/>
                <w:highlight w:val="none"/>
              </w:rPr>
            </w:pPr>
          </w:p>
        </w:tc>
        <w:tc>
          <w:tcPr>
            <w:tcW w:w="668"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个</w:t>
            </w:r>
          </w:p>
        </w:tc>
        <w:tc>
          <w:tcPr>
            <w:tcW w:w="804"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w:t>
            </w:r>
          </w:p>
        </w:tc>
        <w:tc>
          <w:tcPr>
            <w:tcW w:w="803" w:type="dxa"/>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Align w:val="center"/>
          </w:tcPr>
          <w:p>
            <w:pPr>
              <w:shd w:val="clear"/>
              <w:spacing w:before="0" w:after="0" w:afterAutospacing="0" w:line="0" w:lineRule="atLeast"/>
              <w:ind w:left="0" w:right="0" w:firstLine="0"/>
              <w:jc w:val="center"/>
              <w:rPr>
                <w:rFonts w:hint="default" w:cs="Times New Roman" w:asciiTheme="minorEastAsia" w:hAnsiTheme="minorEastAsia" w:eastAsiaTheme="minorEastAsia"/>
                <w:color w:val="FF0000"/>
                <w:sz w:val="24"/>
                <w:szCs w:val="24"/>
                <w:highlight w:val="none"/>
                <w:lang w:val="en-US" w:eastAsia="zh-CN"/>
              </w:rPr>
            </w:pPr>
            <w:r>
              <w:rPr>
                <w:rFonts w:hint="eastAsia" w:cs="Times New Roman" w:asciiTheme="minorEastAsia" w:hAnsiTheme="minorEastAsia" w:eastAsiaTheme="minorEastAsia"/>
                <w:color w:val="auto"/>
                <w:sz w:val="24"/>
                <w:szCs w:val="24"/>
                <w:highlight w:val="none"/>
                <w:lang w:val="en-US" w:eastAsia="zh-CN"/>
              </w:rPr>
              <w:t>16</w:t>
            </w:r>
          </w:p>
        </w:tc>
        <w:tc>
          <w:tcPr>
            <w:tcW w:w="1607"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点型感温火灾探测器</w:t>
            </w:r>
          </w:p>
        </w:tc>
        <w:tc>
          <w:tcPr>
            <w:tcW w:w="4183" w:type="dxa"/>
            <w:vAlign w:val="center"/>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1、执行标准号:GB4716-2005。</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2、工作电压:DC24V。</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3、监视电流: &lt;0.3mA。</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4、环境温度:-10℃-55℃。</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5、相对湿度:≤93% (40±2℃)。</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6、采用高精度的热敏元件，具有热时间常数小，对监视范围内的温度变化响应速度快。</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7、采用无极性二总线及自主总线协议报警响应时间快速。</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8、安装螺钉防脱设计，避免现场脱落。</w:t>
            </w:r>
          </w:p>
        </w:tc>
        <w:tc>
          <w:tcPr>
            <w:tcW w:w="1440" w:type="dxa"/>
            <w:vAlign w:val="center"/>
          </w:tcPr>
          <w:p>
            <w:pPr>
              <w:shd w:val="clear"/>
              <w:spacing w:before="0" w:after="0" w:afterAutospacing="0" w:line="0" w:lineRule="atLeast"/>
              <w:ind w:left="0" w:right="0" w:firstLine="0"/>
              <w:rPr>
                <w:rFonts w:hint="eastAsia" w:cs="Times New Roman" w:asciiTheme="minorEastAsia" w:hAnsiTheme="minorEastAsia" w:eastAsiaTheme="minorEastAsia"/>
                <w:sz w:val="24"/>
                <w:szCs w:val="24"/>
                <w:highlight w:val="none"/>
              </w:rPr>
            </w:pPr>
          </w:p>
        </w:tc>
        <w:tc>
          <w:tcPr>
            <w:tcW w:w="668"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只</w:t>
            </w:r>
          </w:p>
        </w:tc>
        <w:tc>
          <w:tcPr>
            <w:tcW w:w="804"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70</w:t>
            </w:r>
          </w:p>
        </w:tc>
        <w:tc>
          <w:tcPr>
            <w:tcW w:w="803" w:type="dxa"/>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Align w:val="center"/>
          </w:tcPr>
          <w:p>
            <w:pPr>
              <w:shd w:val="clear"/>
              <w:spacing w:before="0" w:after="0" w:afterAutospacing="0" w:line="0" w:lineRule="atLeast"/>
              <w:ind w:left="0" w:right="0" w:firstLine="0"/>
              <w:jc w:val="center"/>
              <w:rPr>
                <w:rFonts w:hint="eastAsia" w:cs="Times New Roman" w:asciiTheme="minorEastAsia" w:hAnsiTheme="minorEastAsia" w:eastAsiaTheme="minorEastAsia"/>
                <w:sz w:val="24"/>
                <w:szCs w:val="24"/>
                <w:highlight w:val="none"/>
                <w:lang w:eastAsia="zh-CN"/>
              </w:rPr>
            </w:pPr>
            <w:r>
              <w:rPr>
                <w:rFonts w:hint="eastAsia" w:cs="Times New Roman" w:asciiTheme="minorEastAsia" w:hAnsiTheme="minorEastAsia" w:eastAsiaTheme="minorEastAsia"/>
                <w:sz w:val="24"/>
                <w:szCs w:val="24"/>
                <w:highlight w:val="none"/>
              </w:rPr>
              <w:t>1</w:t>
            </w:r>
            <w:r>
              <w:rPr>
                <w:rFonts w:hint="eastAsia" w:cs="Times New Roman" w:asciiTheme="minorEastAsia" w:hAnsiTheme="minorEastAsia" w:eastAsiaTheme="minorEastAsia"/>
                <w:sz w:val="24"/>
                <w:szCs w:val="24"/>
                <w:highlight w:val="none"/>
                <w:lang w:val="en-US" w:eastAsia="zh-CN"/>
              </w:rPr>
              <w:t>7</w:t>
            </w:r>
          </w:p>
        </w:tc>
        <w:tc>
          <w:tcPr>
            <w:tcW w:w="1607"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总线短路隔离器</w:t>
            </w:r>
          </w:p>
        </w:tc>
        <w:tc>
          <w:tcPr>
            <w:tcW w:w="4183" w:type="dxa"/>
            <w:vAlign w:val="center"/>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1、工作电压：DC18V-30V。</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2、监视电流：&lt;3mA。</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3、动作电流：&lt;5mA。</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4、工作环境：环境温度 0℃~55℃，相对湿度≤93%（40±2℃）。</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5、线制：两总线，无极性。</w:t>
            </w:r>
          </w:p>
        </w:tc>
        <w:tc>
          <w:tcPr>
            <w:tcW w:w="1440" w:type="dxa"/>
            <w:vAlign w:val="center"/>
          </w:tcPr>
          <w:p>
            <w:pPr>
              <w:shd w:val="clear"/>
              <w:spacing w:before="0" w:after="0" w:afterAutospacing="0" w:line="0" w:lineRule="atLeast"/>
              <w:ind w:left="0" w:right="0" w:firstLine="0"/>
              <w:rPr>
                <w:rFonts w:hint="eastAsia" w:cs="Times New Roman" w:asciiTheme="minorEastAsia" w:hAnsiTheme="minorEastAsia" w:eastAsiaTheme="minorEastAsia"/>
                <w:sz w:val="24"/>
                <w:szCs w:val="24"/>
                <w:highlight w:val="none"/>
              </w:rPr>
            </w:pPr>
          </w:p>
        </w:tc>
        <w:tc>
          <w:tcPr>
            <w:tcW w:w="668"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个</w:t>
            </w:r>
          </w:p>
        </w:tc>
        <w:tc>
          <w:tcPr>
            <w:tcW w:w="804"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3</w:t>
            </w:r>
          </w:p>
        </w:tc>
        <w:tc>
          <w:tcPr>
            <w:tcW w:w="803" w:type="dxa"/>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04" w:type="dxa"/>
            <w:vAlign w:val="center"/>
          </w:tcPr>
          <w:p>
            <w:pPr>
              <w:shd w:val="clear"/>
              <w:spacing w:before="0" w:after="0" w:afterAutospacing="0" w:line="0" w:lineRule="atLeast"/>
              <w:ind w:left="0" w:leftChars="0" w:right="0" w:rightChars="0" w:firstLine="0" w:firstLineChars="0"/>
              <w:jc w:val="center"/>
              <w:rPr>
                <w:rFonts w:cs="Times New Roman" w:asciiTheme="minorEastAsia" w:hAnsiTheme="minorEastAsia" w:eastAsiaTheme="minorEastAsia"/>
                <w:sz w:val="24"/>
                <w:szCs w:val="24"/>
                <w:highlight w:val="none"/>
                <w:lang w:val="en-US" w:eastAsia="zh-CN" w:bidi="ar-SA"/>
              </w:rPr>
            </w:pPr>
            <w:r>
              <w:rPr>
                <w:rFonts w:hint="eastAsia" w:cs="Times New Roman" w:asciiTheme="minorEastAsia" w:hAnsiTheme="minorEastAsia" w:eastAsiaTheme="minorEastAsia"/>
                <w:sz w:val="24"/>
                <w:szCs w:val="24"/>
                <w:highlight w:val="none"/>
              </w:rPr>
              <w:t>18</w:t>
            </w:r>
          </w:p>
        </w:tc>
        <w:tc>
          <w:tcPr>
            <w:tcW w:w="1607"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输入模块</w:t>
            </w:r>
          </w:p>
        </w:tc>
        <w:tc>
          <w:tcPr>
            <w:tcW w:w="4183" w:type="dxa"/>
            <w:vAlign w:val="center"/>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1、执行标准:GB16806-2006。</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2、工作电压:DC18V-30V。</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3、监视电流: &lt;0.3mA。</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4、动作电流: &lt;1.5mA。</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5、环境温度:-10℃-55℃。</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7、二线制，与控制器无极性二线制连接，占一个编码点。</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8、输入输出自带隔离保护电路，有效滤除外部干扰。</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9、插拔式结构，接触可靠，安装便利。</w:t>
            </w:r>
          </w:p>
        </w:tc>
        <w:tc>
          <w:tcPr>
            <w:tcW w:w="1440" w:type="dxa"/>
            <w:vAlign w:val="center"/>
          </w:tcPr>
          <w:p>
            <w:pPr>
              <w:shd w:val="clear"/>
              <w:spacing w:before="0" w:after="0" w:afterAutospacing="0" w:line="0" w:lineRule="atLeast"/>
              <w:ind w:left="0" w:right="0" w:firstLine="0"/>
              <w:rPr>
                <w:rFonts w:hint="eastAsia" w:cs="Times New Roman" w:asciiTheme="minorEastAsia" w:hAnsiTheme="minorEastAsia" w:eastAsiaTheme="minorEastAsia"/>
                <w:sz w:val="24"/>
                <w:szCs w:val="24"/>
                <w:highlight w:val="none"/>
              </w:rPr>
            </w:pPr>
          </w:p>
        </w:tc>
        <w:tc>
          <w:tcPr>
            <w:tcW w:w="668"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个</w:t>
            </w:r>
          </w:p>
        </w:tc>
        <w:tc>
          <w:tcPr>
            <w:tcW w:w="804"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w:t>
            </w:r>
          </w:p>
        </w:tc>
        <w:tc>
          <w:tcPr>
            <w:tcW w:w="803" w:type="dxa"/>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Align w:val="center"/>
          </w:tcPr>
          <w:p>
            <w:pPr>
              <w:shd w:val="clear"/>
              <w:spacing w:before="0" w:after="0" w:afterAutospacing="0" w:line="0" w:lineRule="atLeast"/>
              <w:ind w:left="0" w:leftChars="0" w:right="0" w:rightChars="0" w:firstLine="0" w:firstLineChars="0"/>
              <w:jc w:val="center"/>
              <w:rPr>
                <w:rFonts w:cs="Times New Roman" w:asciiTheme="minorEastAsia" w:hAnsiTheme="minorEastAsia" w:eastAsiaTheme="minorEastAsia"/>
                <w:sz w:val="24"/>
                <w:szCs w:val="24"/>
                <w:highlight w:val="none"/>
                <w:lang w:val="en-US" w:eastAsia="zh-CN" w:bidi="ar-SA"/>
              </w:rPr>
            </w:pPr>
            <w:r>
              <w:rPr>
                <w:rFonts w:hint="eastAsia" w:cs="Times New Roman" w:asciiTheme="minorEastAsia" w:hAnsiTheme="minorEastAsia" w:eastAsiaTheme="minorEastAsia"/>
                <w:sz w:val="24"/>
                <w:szCs w:val="24"/>
                <w:highlight w:val="none"/>
              </w:rPr>
              <w:t>19</w:t>
            </w:r>
          </w:p>
        </w:tc>
        <w:tc>
          <w:tcPr>
            <w:tcW w:w="1607"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火灾报警控制器</w:t>
            </w:r>
          </w:p>
        </w:tc>
        <w:tc>
          <w:tcPr>
            <w:tcW w:w="4183" w:type="dxa"/>
            <w:vAlign w:val="center"/>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1、执行标准号：GB 4717-2005。</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2、工作电压或供电电压：AC220V，50HZ。</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3、交流电源工作电流：AC≥1A。</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 xml:space="preserve">4、总线电压：DC 30V。 </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5、环境温度：0℃-50℃；湿度：≤95%（40℃±2）。</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6、电源输入与机壳间绝缘电阻：≥50MΩ。</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7、报警总线最大传输距离：1000米。</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8、多机最大容量：64台主机联网。</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9、通讯最远传输距离：1000米，串联接法。</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10、标准柜式或琴台式结构联动控制器，采用模块化设计，配置方便。</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11、采用标准柜式结构联动控制器配置，总线，全数字传输，事件响应方式，适合二线制外部设备工作。</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12、多CPU协同工作，采用PC总线、CAN总线、SPI总线、USB通讯、智能算法等先进技术，保证实时多任务系统同步运行，系统高速响应、稳定可靠。</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13、大屏幕7寸全彩中文液品，显示直观，智能提示。</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14、全功能键盘，可输入数字、汉字、英文。</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15、配备热敏打印机，中文打印。</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16、设备容量：具有20个回路，每个回路200个地址点。</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17、手动直接控制输出数量：80组。</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18、可配接消防应急广播系统、消防应急照明和疏散指示系统、图形显示系统、火警传输设备。</w:t>
            </w:r>
          </w:p>
        </w:tc>
        <w:tc>
          <w:tcPr>
            <w:tcW w:w="1440" w:type="dxa"/>
            <w:vAlign w:val="center"/>
          </w:tcPr>
          <w:p>
            <w:pPr>
              <w:shd w:val="clear"/>
              <w:spacing w:before="0" w:after="0" w:afterAutospacing="0" w:line="0" w:lineRule="atLeast"/>
              <w:ind w:left="0" w:right="0" w:firstLine="0"/>
              <w:rPr>
                <w:rFonts w:hint="eastAsia" w:cs="Times New Roman" w:asciiTheme="minorEastAsia" w:hAnsiTheme="minorEastAsia" w:eastAsiaTheme="minorEastAsia"/>
                <w:sz w:val="24"/>
                <w:szCs w:val="24"/>
                <w:highlight w:val="none"/>
              </w:rPr>
            </w:pPr>
          </w:p>
        </w:tc>
        <w:tc>
          <w:tcPr>
            <w:tcW w:w="668"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台</w:t>
            </w:r>
          </w:p>
        </w:tc>
        <w:tc>
          <w:tcPr>
            <w:tcW w:w="804"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w:t>
            </w:r>
          </w:p>
        </w:tc>
        <w:tc>
          <w:tcPr>
            <w:tcW w:w="803" w:type="dxa"/>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Align w:val="center"/>
          </w:tcPr>
          <w:p>
            <w:pPr>
              <w:shd w:val="clear"/>
              <w:spacing w:before="0" w:after="0" w:afterAutospacing="0" w:line="0" w:lineRule="atLeast"/>
              <w:ind w:left="0" w:leftChars="0" w:right="0" w:rightChars="0" w:firstLine="0" w:firstLineChars="0"/>
              <w:jc w:val="center"/>
              <w:rPr>
                <w:rFonts w:cs="Times New Roman" w:asciiTheme="minorEastAsia" w:hAnsiTheme="minorEastAsia" w:eastAsiaTheme="minorEastAsia"/>
                <w:sz w:val="24"/>
                <w:szCs w:val="24"/>
                <w:highlight w:val="none"/>
                <w:lang w:val="en-US" w:eastAsia="zh-CN" w:bidi="ar-SA"/>
              </w:rPr>
            </w:pPr>
            <w:r>
              <w:rPr>
                <w:rFonts w:hint="eastAsia" w:cs="Times New Roman" w:asciiTheme="minorEastAsia" w:hAnsiTheme="minorEastAsia" w:eastAsiaTheme="minorEastAsia"/>
                <w:sz w:val="24"/>
                <w:szCs w:val="24"/>
                <w:highlight w:val="none"/>
              </w:rPr>
              <w:t>20</w:t>
            </w:r>
          </w:p>
        </w:tc>
        <w:tc>
          <w:tcPr>
            <w:tcW w:w="1607"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输入输出模块</w:t>
            </w:r>
          </w:p>
        </w:tc>
        <w:tc>
          <w:tcPr>
            <w:tcW w:w="4183" w:type="dxa"/>
            <w:vAlign w:val="center"/>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1、执行标准:GB16806-2006。</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2、工作电压:DC18V-30V.</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3、监视电流: &lt;0.3mA。</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4、动作电流: &lt;1.5mA。</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5、触点容量:2A 30VDC。</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6、环境温度:-10℃-55℃。</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7、四线制。与控制器无极性二线制连接，占一个编码点。</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8、为无源触点输出模块，可设置脉冲成电平输出模式。</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9、输入，输出均具有线路短路、断路检线功能。</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10、输入输出自带隔离保护电路，有效滤除外部干扰。</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11、插拔式结构，接触可靠，安装便利。</w:t>
            </w:r>
          </w:p>
        </w:tc>
        <w:tc>
          <w:tcPr>
            <w:tcW w:w="1440" w:type="dxa"/>
            <w:vAlign w:val="center"/>
          </w:tcPr>
          <w:p>
            <w:pPr>
              <w:shd w:val="clear"/>
              <w:spacing w:before="0" w:after="0" w:afterAutospacing="0" w:line="0" w:lineRule="atLeast"/>
              <w:ind w:left="0" w:right="0" w:firstLine="0"/>
              <w:rPr>
                <w:rFonts w:hint="eastAsia" w:cs="Times New Roman" w:asciiTheme="minorEastAsia" w:hAnsiTheme="minorEastAsia" w:eastAsiaTheme="minorEastAsia"/>
                <w:sz w:val="24"/>
                <w:szCs w:val="24"/>
                <w:highlight w:val="none"/>
              </w:rPr>
            </w:pPr>
          </w:p>
        </w:tc>
        <w:tc>
          <w:tcPr>
            <w:tcW w:w="668"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个</w:t>
            </w:r>
          </w:p>
        </w:tc>
        <w:tc>
          <w:tcPr>
            <w:tcW w:w="804"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70</w:t>
            </w:r>
          </w:p>
        </w:tc>
        <w:tc>
          <w:tcPr>
            <w:tcW w:w="803" w:type="dxa"/>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Align w:val="center"/>
          </w:tcPr>
          <w:p>
            <w:pPr>
              <w:shd w:val="clear"/>
              <w:spacing w:before="0" w:after="0" w:afterAutospacing="0" w:line="0" w:lineRule="atLeast"/>
              <w:ind w:left="0" w:leftChars="0" w:right="0" w:rightChars="0" w:firstLine="0" w:firstLineChars="0"/>
              <w:jc w:val="center"/>
              <w:rPr>
                <w:rFonts w:cs="Times New Roman" w:asciiTheme="minorEastAsia" w:hAnsiTheme="minorEastAsia" w:eastAsiaTheme="minorEastAsia"/>
                <w:sz w:val="24"/>
                <w:szCs w:val="24"/>
                <w:highlight w:val="none"/>
                <w:lang w:val="en-US" w:eastAsia="zh-CN" w:bidi="ar-SA"/>
              </w:rPr>
            </w:pPr>
            <w:r>
              <w:rPr>
                <w:rFonts w:hint="eastAsia" w:cs="Times New Roman" w:asciiTheme="minorEastAsia" w:hAnsiTheme="minorEastAsia" w:eastAsiaTheme="minorEastAsia"/>
                <w:sz w:val="24"/>
                <w:szCs w:val="24"/>
                <w:highlight w:val="none"/>
              </w:rPr>
              <w:t>21</w:t>
            </w:r>
          </w:p>
        </w:tc>
        <w:tc>
          <w:tcPr>
            <w:tcW w:w="1607"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电引发器</w:t>
            </w:r>
          </w:p>
        </w:tc>
        <w:tc>
          <w:tcPr>
            <w:tcW w:w="4183" w:type="dxa"/>
            <w:vAlign w:val="center"/>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1、电阻：2.5Ω～3.5Ω。</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2、安全电流：≥0.15 A。</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3、启动电流：0.225 A～0.55 A。</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4、可靠发火电流：≥0.80A。</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5、实际工作电流：在0.8 A～6 A.0范围内。</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6、工作环境温度：-20℃～﹢55℃。</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7、应用于喷淋头的远程电控启动元件。</w:t>
            </w:r>
          </w:p>
        </w:tc>
        <w:tc>
          <w:tcPr>
            <w:tcW w:w="1440" w:type="dxa"/>
            <w:vAlign w:val="center"/>
          </w:tcPr>
          <w:p>
            <w:pPr>
              <w:shd w:val="clear"/>
              <w:spacing w:before="0" w:after="0" w:afterAutospacing="0" w:line="0" w:lineRule="atLeast"/>
              <w:ind w:left="0" w:right="0" w:firstLine="0"/>
              <w:rPr>
                <w:rFonts w:hint="eastAsia" w:cs="Times New Roman" w:asciiTheme="minorEastAsia" w:hAnsiTheme="minorEastAsia" w:eastAsiaTheme="minorEastAsia"/>
                <w:sz w:val="24"/>
                <w:szCs w:val="24"/>
                <w:highlight w:val="none"/>
              </w:rPr>
            </w:pPr>
          </w:p>
        </w:tc>
        <w:tc>
          <w:tcPr>
            <w:tcW w:w="668"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个</w:t>
            </w:r>
          </w:p>
        </w:tc>
        <w:tc>
          <w:tcPr>
            <w:tcW w:w="804"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140</w:t>
            </w:r>
          </w:p>
        </w:tc>
        <w:tc>
          <w:tcPr>
            <w:tcW w:w="803" w:type="dxa"/>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Align w:val="center"/>
          </w:tcPr>
          <w:p>
            <w:pPr>
              <w:shd w:val="clear"/>
              <w:spacing w:before="0" w:after="0" w:afterAutospacing="0" w:line="0" w:lineRule="atLeast"/>
              <w:ind w:left="0" w:leftChars="0" w:right="0" w:rightChars="0" w:firstLine="0" w:firstLineChars="0"/>
              <w:jc w:val="center"/>
              <w:rPr>
                <w:rFonts w:cs="Times New Roman" w:asciiTheme="minorEastAsia" w:hAnsiTheme="minorEastAsia" w:eastAsiaTheme="minorEastAsia"/>
                <w:sz w:val="24"/>
                <w:szCs w:val="24"/>
                <w:highlight w:val="none"/>
                <w:lang w:val="en-US" w:eastAsia="zh-CN" w:bidi="ar-SA"/>
              </w:rPr>
            </w:pPr>
            <w:r>
              <w:rPr>
                <w:rFonts w:hint="eastAsia" w:cs="Times New Roman" w:asciiTheme="minorEastAsia" w:hAnsiTheme="minorEastAsia" w:eastAsiaTheme="minorEastAsia"/>
                <w:sz w:val="24"/>
                <w:szCs w:val="24"/>
                <w:highlight w:val="none"/>
              </w:rPr>
              <w:t>22</w:t>
            </w:r>
          </w:p>
        </w:tc>
        <w:tc>
          <w:tcPr>
            <w:tcW w:w="1607"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消防电源</w:t>
            </w:r>
          </w:p>
        </w:tc>
        <w:tc>
          <w:tcPr>
            <w:tcW w:w="4183" w:type="dxa"/>
            <w:vAlign w:val="center"/>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1、面板式，输出DC27V/20A,2U标准面板式，含12V/17AH备电2只。</w:t>
            </w:r>
          </w:p>
        </w:tc>
        <w:tc>
          <w:tcPr>
            <w:tcW w:w="1440" w:type="dxa"/>
            <w:vAlign w:val="center"/>
          </w:tcPr>
          <w:p>
            <w:pPr>
              <w:shd w:val="clear"/>
              <w:spacing w:before="0" w:after="0" w:afterAutospacing="0" w:line="0" w:lineRule="atLeast"/>
              <w:ind w:left="0" w:right="0" w:firstLine="0"/>
              <w:rPr>
                <w:rFonts w:hint="eastAsia" w:cs="Times New Roman" w:asciiTheme="minorEastAsia" w:hAnsiTheme="minorEastAsia" w:eastAsiaTheme="minorEastAsia"/>
                <w:sz w:val="24"/>
                <w:szCs w:val="24"/>
                <w:highlight w:val="none"/>
              </w:rPr>
            </w:pPr>
          </w:p>
        </w:tc>
        <w:tc>
          <w:tcPr>
            <w:tcW w:w="668"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台</w:t>
            </w:r>
          </w:p>
        </w:tc>
        <w:tc>
          <w:tcPr>
            <w:tcW w:w="804"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w:t>
            </w:r>
          </w:p>
        </w:tc>
        <w:tc>
          <w:tcPr>
            <w:tcW w:w="803" w:type="dxa"/>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Align w:val="center"/>
          </w:tcPr>
          <w:p>
            <w:pPr>
              <w:shd w:val="clear"/>
              <w:spacing w:before="0" w:after="0" w:afterAutospacing="0" w:line="0" w:lineRule="atLeast"/>
              <w:ind w:left="0" w:leftChars="0" w:right="0" w:rightChars="0" w:firstLine="0" w:firstLineChars="0"/>
              <w:jc w:val="center"/>
              <w:rPr>
                <w:rFonts w:cs="Times New Roman" w:asciiTheme="minorEastAsia" w:hAnsiTheme="minorEastAsia" w:eastAsiaTheme="minorEastAsia"/>
                <w:sz w:val="24"/>
                <w:szCs w:val="24"/>
                <w:highlight w:val="none"/>
                <w:lang w:val="en-US" w:eastAsia="zh-CN" w:bidi="ar-SA"/>
              </w:rPr>
            </w:pPr>
            <w:r>
              <w:rPr>
                <w:rFonts w:hint="eastAsia" w:cs="Times New Roman" w:asciiTheme="minorEastAsia" w:hAnsiTheme="minorEastAsia" w:eastAsiaTheme="minorEastAsia"/>
                <w:sz w:val="24"/>
                <w:szCs w:val="24"/>
                <w:highlight w:val="none"/>
              </w:rPr>
              <w:t>23</w:t>
            </w:r>
          </w:p>
        </w:tc>
        <w:tc>
          <w:tcPr>
            <w:tcW w:w="1607"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电线</w:t>
            </w:r>
          </w:p>
        </w:tc>
        <w:tc>
          <w:tcPr>
            <w:tcW w:w="4183" w:type="dxa"/>
            <w:vAlign w:val="center"/>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1、规格：NH-RVS-2×1.5mm2。</w:t>
            </w:r>
          </w:p>
        </w:tc>
        <w:tc>
          <w:tcPr>
            <w:tcW w:w="1440" w:type="dxa"/>
            <w:vAlign w:val="center"/>
          </w:tcPr>
          <w:p>
            <w:pPr>
              <w:shd w:val="clear"/>
              <w:spacing w:before="0" w:after="0" w:afterAutospacing="0" w:line="0" w:lineRule="atLeast"/>
              <w:ind w:left="0" w:right="0" w:firstLine="0"/>
              <w:rPr>
                <w:rFonts w:hint="eastAsia" w:cs="Times New Roman" w:asciiTheme="minorEastAsia" w:hAnsiTheme="minorEastAsia" w:eastAsiaTheme="minorEastAsia"/>
                <w:sz w:val="24"/>
                <w:szCs w:val="24"/>
                <w:highlight w:val="none"/>
              </w:rPr>
            </w:pPr>
          </w:p>
        </w:tc>
        <w:tc>
          <w:tcPr>
            <w:tcW w:w="668"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米</w:t>
            </w:r>
          </w:p>
        </w:tc>
        <w:tc>
          <w:tcPr>
            <w:tcW w:w="804"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400</w:t>
            </w:r>
          </w:p>
        </w:tc>
        <w:tc>
          <w:tcPr>
            <w:tcW w:w="803" w:type="dxa"/>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Align w:val="center"/>
          </w:tcPr>
          <w:p>
            <w:pPr>
              <w:shd w:val="clear"/>
              <w:spacing w:before="0" w:after="0" w:afterAutospacing="0" w:line="0" w:lineRule="atLeast"/>
              <w:ind w:left="0" w:leftChars="0" w:right="0" w:rightChars="0" w:firstLine="0" w:firstLineChars="0"/>
              <w:jc w:val="center"/>
              <w:rPr>
                <w:rFonts w:cs="Times New Roman" w:asciiTheme="minorEastAsia" w:hAnsiTheme="minorEastAsia" w:eastAsiaTheme="minorEastAsia"/>
                <w:sz w:val="24"/>
                <w:szCs w:val="24"/>
                <w:highlight w:val="none"/>
                <w:lang w:val="en-US" w:eastAsia="zh-CN" w:bidi="ar-SA"/>
              </w:rPr>
            </w:pPr>
            <w:r>
              <w:rPr>
                <w:rFonts w:hint="eastAsia" w:cs="Times New Roman" w:asciiTheme="minorEastAsia" w:hAnsiTheme="minorEastAsia" w:eastAsiaTheme="minorEastAsia"/>
                <w:sz w:val="24"/>
                <w:szCs w:val="24"/>
                <w:highlight w:val="none"/>
              </w:rPr>
              <w:t>24</w:t>
            </w:r>
          </w:p>
        </w:tc>
        <w:tc>
          <w:tcPr>
            <w:tcW w:w="1607"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电线</w:t>
            </w:r>
          </w:p>
        </w:tc>
        <w:tc>
          <w:tcPr>
            <w:tcW w:w="4183" w:type="dxa"/>
            <w:vAlign w:val="center"/>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1、规格：NH-BVR-2.5mm2。</w:t>
            </w:r>
          </w:p>
        </w:tc>
        <w:tc>
          <w:tcPr>
            <w:tcW w:w="1440" w:type="dxa"/>
            <w:vAlign w:val="center"/>
          </w:tcPr>
          <w:p>
            <w:pPr>
              <w:shd w:val="clear"/>
              <w:spacing w:before="0" w:after="0" w:afterAutospacing="0" w:line="0" w:lineRule="atLeast"/>
              <w:ind w:left="0" w:right="0" w:firstLine="0"/>
              <w:rPr>
                <w:rFonts w:hint="eastAsia" w:cs="Times New Roman" w:asciiTheme="minorEastAsia" w:hAnsiTheme="minorEastAsia" w:eastAsiaTheme="minorEastAsia"/>
                <w:sz w:val="24"/>
                <w:szCs w:val="24"/>
                <w:highlight w:val="none"/>
              </w:rPr>
            </w:pPr>
          </w:p>
        </w:tc>
        <w:tc>
          <w:tcPr>
            <w:tcW w:w="668"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米</w:t>
            </w:r>
          </w:p>
        </w:tc>
        <w:tc>
          <w:tcPr>
            <w:tcW w:w="804"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800</w:t>
            </w:r>
          </w:p>
        </w:tc>
        <w:tc>
          <w:tcPr>
            <w:tcW w:w="803" w:type="dxa"/>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Align w:val="center"/>
          </w:tcPr>
          <w:p>
            <w:pPr>
              <w:shd w:val="clear"/>
              <w:spacing w:before="0" w:after="0" w:afterAutospacing="0" w:line="0" w:lineRule="atLeast"/>
              <w:ind w:left="0" w:leftChars="0" w:right="0" w:rightChars="0" w:firstLine="0" w:firstLineChars="0"/>
              <w:jc w:val="center"/>
              <w:rPr>
                <w:rFonts w:cs="Times New Roman" w:asciiTheme="minorEastAsia" w:hAnsiTheme="minorEastAsia" w:eastAsiaTheme="minorEastAsia"/>
                <w:sz w:val="24"/>
                <w:szCs w:val="24"/>
                <w:highlight w:val="none"/>
                <w:lang w:val="en-US" w:eastAsia="zh-CN" w:bidi="ar-SA"/>
              </w:rPr>
            </w:pPr>
            <w:r>
              <w:rPr>
                <w:rFonts w:hint="eastAsia" w:cs="Times New Roman" w:asciiTheme="minorEastAsia" w:hAnsiTheme="minorEastAsia" w:eastAsiaTheme="minorEastAsia"/>
                <w:sz w:val="24"/>
                <w:szCs w:val="24"/>
                <w:highlight w:val="none"/>
              </w:rPr>
              <w:t>25</w:t>
            </w:r>
          </w:p>
        </w:tc>
        <w:tc>
          <w:tcPr>
            <w:tcW w:w="1607"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金属线管</w:t>
            </w:r>
          </w:p>
        </w:tc>
        <w:tc>
          <w:tcPr>
            <w:tcW w:w="4183" w:type="dxa"/>
            <w:vAlign w:val="center"/>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1、规格：公称内径：DN20。</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2、壁厚：约1.2 mm。</w:t>
            </w:r>
          </w:p>
        </w:tc>
        <w:tc>
          <w:tcPr>
            <w:tcW w:w="1440" w:type="dxa"/>
            <w:vAlign w:val="center"/>
          </w:tcPr>
          <w:p>
            <w:pPr>
              <w:shd w:val="clear"/>
              <w:spacing w:before="0" w:after="0" w:afterAutospacing="0" w:line="0" w:lineRule="atLeast"/>
              <w:ind w:left="0" w:right="0" w:firstLine="0"/>
              <w:rPr>
                <w:rFonts w:hint="eastAsia" w:cs="Times New Roman" w:asciiTheme="minorEastAsia" w:hAnsiTheme="minorEastAsia" w:eastAsiaTheme="minorEastAsia"/>
                <w:sz w:val="24"/>
                <w:szCs w:val="24"/>
                <w:highlight w:val="none"/>
              </w:rPr>
            </w:pPr>
          </w:p>
        </w:tc>
        <w:tc>
          <w:tcPr>
            <w:tcW w:w="668"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米</w:t>
            </w:r>
          </w:p>
        </w:tc>
        <w:tc>
          <w:tcPr>
            <w:tcW w:w="804"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200</w:t>
            </w:r>
          </w:p>
        </w:tc>
        <w:tc>
          <w:tcPr>
            <w:tcW w:w="803" w:type="dxa"/>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Align w:val="center"/>
          </w:tcPr>
          <w:p>
            <w:pPr>
              <w:shd w:val="clear"/>
              <w:spacing w:before="0" w:after="0" w:afterAutospacing="0" w:line="0" w:lineRule="atLeast"/>
              <w:ind w:left="0" w:leftChars="0" w:right="0" w:rightChars="0" w:firstLine="0" w:firstLineChars="0"/>
              <w:jc w:val="center"/>
              <w:rPr>
                <w:rFonts w:cs="Times New Roman" w:asciiTheme="minorEastAsia" w:hAnsiTheme="minorEastAsia" w:eastAsiaTheme="minorEastAsia"/>
                <w:sz w:val="24"/>
                <w:szCs w:val="24"/>
                <w:highlight w:val="none"/>
                <w:lang w:val="en-US" w:eastAsia="zh-CN" w:bidi="ar-SA"/>
              </w:rPr>
            </w:pPr>
            <w:r>
              <w:rPr>
                <w:rFonts w:hint="eastAsia" w:cs="Times New Roman" w:asciiTheme="minorEastAsia" w:hAnsiTheme="minorEastAsia" w:eastAsiaTheme="minorEastAsia"/>
                <w:sz w:val="24"/>
                <w:szCs w:val="24"/>
                <w:highlight w:val="none"/>
              </w:rPr>
              <w:t>26</w:t>
            </w:r>
          </w:p>
        </w:tc>
        <w:tc>
          <w:tcPr>
            <w:tcW w:w="1607"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PVC水管</w:t>
            </w:r>
          </w:p>
        </w:tc>
        <w:tc>
          <w:tcPr>
            <w:tcW w:w="4183" w:type="dxa"/>
            <w:vAlign w:val="center"/>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1、外径26.9mm。</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2、内径22.7mm。</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3、厚度2.1mm。</w:t>
            </w:r>
          </w:p>
        </w:tc>
        <w:tc>
          <w:tcPr>
            <w:tcW w:w="1440" w:type="dxa"/>
            <w:vAlign w:val="center"/>
          </w:tcPr>
          <w:p>
            <w:pPr>
              <w:shd w:val="clear"/>
              <w:spacing w:before="0" w:after="0" w:afterAutospacing="0" w:line="0" w:lineRule="atLeast"/>
              <w:ind w:left="0" w:right="0" w:firstLine="0"/>
              <w:rPr>
                <w:rFonts w:hint="eastAsia" w:cs="Times New Roman" w:asciiTheme="minorEastAsia" w:hAnsiTheme="minorEastAsia" w:eastAsiaTheme="minorEastAsia"/>
                <w:sz w:val="24"/>
                <w:szCs w:val="24"/>
                <w:highlight w:val="none"/>
              </w:rPr>
            </w:pPr>
          </w:p>
        </w:tc>
        <w:tc>
          <w:tcPr>
            <w:tcW w:w="668"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米</w:t>
            </w:r>
          </w:p>
        </w:tc>
        <w:tc>
          <w:tcPr>
            <w:tcW w:w="804"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200</w:t>
            </w:r>
          </w:p>
        </w:tc>
        <w:tc>
          <w:tcPr>
            <w:tcW w:w="803" w:type="dxa"/>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Align w:val="center"/>
          </w:tcPr>
          <w:p>
            <w:pPr>
              <w:shd w:val="clear"/>
              <w:spacing w:before="0" w:after="0" w:afterAutospacing="0" w:line="0" w:lineRule="atLeast"/>
              <w:ind w:left="0" w:leftChars="0" w:right="0" w:rightChars="0" w:firstLine="0" w:firstLineChars="0"/>
              <w:jc w:val="center"/>
              <w:rPr>
                <w:rFonts w:cs="Times New Roman" w:asciiTheme="minorEastAsia" w:hAnsiTheme="minorEastAsia" w:eastAsiaTheme="minorEastAsia"/>
                <w:sz w:val="24"/>
                <w:szCs w:val="24"/>
                <w:highlight w:val="none"/>
                <w:lang w:val="en-US" w:eastAsia="zh-CN" w:bidi="ar-SA"/>
              </w:rPr>
            </w:pPr>
            <w:r>
              <w:rPr>
                <w:rFonts w:hint="eastAsia" w:cs="Times New Roman" w:asciiTheme="minorEastAsia" w:hAnsiTheme="minorEastAsia" w:eastAsiaTheme="minorEastAsia"/>
                <w:sz w:val="24"/>
                <w:szCs w:val="24"/>
                <w:highlight w:val="none"/>
              </w:rPr>
              <w:t>27</w:t>
            </w:r>
          </w:p>
        </w:tc>
        <w:tc>
          <w:tcPr>
            <w:tcW w:w="1607"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热成像感温火灾探测器</w:t>
            </w:r>
          </w:p>
        </w:tc>
        <w:tc>
          <w:tcPr>
            <w:tcW w:w="4183" w:type="dxa"/>
            <w:vAlign w:val="center"/>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1、最大图像尺寸 2560 × 1440</w:t>
            </w:r>
            <w:r>
              <w:rPr>
                <w:rFonts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2、传感器类型 1/2.7" CMOS</w:t>
            </w:r>
            <w:r>
              <w:rPr>
                <w:rFonts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3、可见光镜头 4 mm,F1.6</w:t>
            </w:r>
            <w:r>
              <w:rPr>
                <w:rFonts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4、可见光视场角 86°×44°</w:t>
            </w:r>
            <w:r>
              <w:rPr>
                <w:rFonts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5、热成像：</w:t>
            </w:r>
            <w:r>
              <w:rPr>
                <w:rFonts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氧化钒（VOx）微测辐射热计</w:t>
            </w:r>
            <w:r>
              <w:rPr>
                <w:rFonts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最大图像尺寸 160 × 120</w:t>
            </w:r>
            <w:r>
              <w:rPr>
                <w:rFonts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像元尺寸 17 μm</w:t>
            </w:r>
            <w:r>
              <w:rPr>
                <w:rFonts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响应波段 8~14 μm</w:t>
            </w:r>
            <w:r>
              <w:rPr>
                <w:rFonts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热成像镜头 3 mm</w:t>
            </w:r>
            <w:r>
              <w:rPr>
                <w:rFonts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热成像视场角 50°×37.2°</w:t>
            </w:r>
            <w:r>
              <w:rPr>
                <w:rFonts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伪彩模式 支持白热、黑热、融合1、彩虹、融合2、铁红1、铁红2等15种模式</w:t>
            </w:r>
            <w:r>
              <w:rPr>
                <w:rFonts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6、测温范围 0 °C~400 °C</w:t>
            </w:r>
            <w:r>
              <w:rPr>
                <w:rFonts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7、测温精度 ±2℃或读数的±2%（取最大值）（距离摄像机0.3~3.3米范围内）</w:t>
            </w:r>
            <w:r>
              <w:rPr>
                <w:rFonts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8、NETD（噪声等效温差） ≤50 mK(@25 °C,F#1.0)功能</w:t>
            </w:r>
            <w:r>
              <w:rPr>
                <w:rFonts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9、支持火焰检测，覆盖范围50m（0.1㎡火盘）10、支持二合一复核模式，实现高精度火焰检测</w:t>
            </w:r>
            <w:r>
              <w:rPr>
                <w:rFonts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11、支持烟雾检测</w:t>
            </w:r>
            <w:r>
              <w:rPr>
                <w:rFonts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12、支持温度异常（高温，温升）检测</w:t>
            </w:r>
          </w:p>
        </w:tc>
        <w:tc>
          <w:tcPr>
            <w:tcW w:w="1440" w:type="dxa"/>
            <w:vAlign w:val="center"/>
          </w:tcPr>
          <w:p>
            <w:pPr>
              <w:shd w:val="clear"/>
              <w:spacing w:before="0" w:after="0" w:afterAutospacing="0" w:line="0" w:lineRule="atLeast"/>
              <w:ind w:left="0" w:right="0" w:firstLine="0"/>
              <w:rPr>
                <w:rFonts w:hint="eastAsia" w:cs="Times New Roman" w:asciiTheme="minorEastAsia" w:hAnsiTheme="minorEastAsia" w:eastAsiaTheme="minorEastAsia"/>
                <w:sz w:val="24"/>
                <w:szCs w:val="24"/>
                <w:highlight w:val="none"/>
              </w:rPr>
            </w:pPr>
          </w:p>
        </w:tc>
        <w:tc>
          <w:tcPr>
            <w:tcW w:w="668"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台</w:t>
            </w:r>
          </w:p>
        </w:tc>
        <w:tc>
          <w:tcPr>
            <w:tcW w:w="804"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6</w:t>
            </w:r>
          </w:p>
        </w:tc>
        <w:tc>
          <w:tcPr>
            <w:tcW w:w="803" w:type="dxa"/>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Align w:val="center"/>
          </w:tcPr>
          <w:p>
            <w:pPr>
              <w:shd w:val="clear"/>
              <w:spacing w:before="0" w:after="0" w:afterAutospacing="0" w:line="0" w:lineRule="atLeast"/>
              <w:ind w:left="0" w:leftChars="0" w:right="0" w:rightChars="0" w:firstLine="0" w:firstLineChars="0"/>
              <w:jc w:val="center"/>
              <w:rPr>
                <w:rFonts w:cs="Times New Roman" w:asciiTheme="minorEastAsia" w:hAnsiTheme="minorEastAsia" w:eastAsiaTheme="minorEastAsia"/>
                <w:sz w:val="24"/>
                <w:szCs w:val="24"/>
                <w:highlight w:val="none"/>
                <w:lang w:val="en-US" w:eastAsia="zh-CN" w:bidi="ar-SA"/>
              </w:rPr>
            </w:pPr>
            <w:r>
              <w:rPr>
                <w:rFonts w:hint="eastAsia" w:cs="Times New Roman" w:asciiTheme="minorEastAsia" w:hAnsiTheme="minorEastAsia" w:eastAsiaTheme="minorEastAsia"/>
                <w:sz w:val="24"/>
                <w:szCs w:val="24"/>
                <w:highlight w:val="none"/>
              </w:rPr>
              <w:t>28</w:t>
            </w:r>
          </w:p>
        </w:tc>
        <w:tc>
          <w:tcPr>
            <w:tcW w:w="1607"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热成像报警平台</w:t>
            </w:r>
          </w:p>
        </w:tc>
        <w:tc>
          <w:tcPr>
            <w:tcW w:w="4183" w:type="dxa"/>
            <w:vAlign w:val="center"/>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1、系统管理，为Infovision FireProtection智慧消防综合管理平台的基础应用，包含人员及组织管理、用户管理、安保区域管理、设备管理、图上监控、事件联动等功能。</w:t>
            </w:r>
            <w:r>
              <w:rPr>
                <w:rFonts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2、消控工作台，为消控室工作人员提供一站式工作界面，可以接收实时报警信息、隐患信息并进行处理。</w:t>
            </w:r>
            <w:r>
              <w:rPr>
                <w:rFonts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3、消防网管，通过对接入平台的消防设备进行在线巡检，并通过设备画像进行分析，快速定位设备故障原因。</w:t>
            </w:r>
          </w:p>
        </w:tc>
        <w:tc>
          <w:tcPr>
            <w:tcW w:w="1440" w:type="dxa"/>
            <w:vAlign w:val="center"/>
          </w:tcPr>
          <w:p>
            <w:pPr>
              <w:shd w:val="clear"/>
              <w:spacing w:before="0" w:after="0" w:afterAutospacing="0" w:line="0" w:lineRule="atLeast"/>
              <w:ind w:left="0" w:right="0" w:firstLine="0"/>
              <w:rPr>
                <w:rFonts w:hint="default" w:cs="Times New Roman" w:asciiTheme="minorEastAsia" w:hAnsiTheme="minorEastAsia" w:eastAsiaTheme="minorEastAsia"/>
                <w:sz w:val="24"/>
                <w:szCs w:val="24"/>
                <w:highlight w:val="none"/>
                <w:lang w:val="en-US" w:eastAsia="zh-CN"/>
              </w:rPr>
            </w:pPr>
            <w:r>
              <w:rPr>
                <w:rFonts w:hint="eastAsia" w:cs="Times New Roman" w:asciiTheme="minorEastAsia" w:hAnsiTheme="minorEastAsia" w:eastAsiaTheme="minorEastAsia"/>
                <w:sz w:val="24"/>
                <w:szCs w:val="24"/>
                <w:highlight w:val="none"/>
                <w:lang w:val="en-US" w:eastAsia="zh-CN"/>
              </w:rPr>
              <w:t>海康威视、大华、科达</w:t>
            </w:r>
          </w:p>
        </w:tc>
        <w:tc>
          <w:tcPr>
            <w:tcW w:w="668"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套</w:t>
            </w:r>
          </w:p>
        </w:tc>
        <w:tc>
          <w:tcPr>
            <w:tcW w:w="804"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w:t>
            </w:r>
          </w:p>
        </w:tc>
        <w:tc>
          <w:tcPr>
            <w:tcW w:w="803" w:type="dxa"/>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Align w:val="center"/>
          </w:tcPr>
          <w:p>
            <w:pPr>
              <w:shd w:val="clear"/>
              <w:spacing w:before="0" w:after="0" w:afterAutospacing="0" w:line="0" w:lineRule="atLeast"/>
              <w:ind w:left="0" w:leftChars="0" w:right="0" w:rightChars="0" w:firstLine="0" w:firstLineChars="0"/>
              <w:jc w:val="center"/>
              <w:rPr>
                <w:rFonts w:cs="Times New Roman" w:asciiTheme="minorEastAsia" w:hAnsiTheme="minorEastAsia" w:eastAsiaTheme="minorEastAsia"/>
                <w:sz w:val="24"/>
                <w:szCs w:val="24"/>
                <w:highlight w:val="none"/>
                <w:lang w:val="en-US" w:eastAsia="zh-CN" w:bidi="ar-SA"/>
              </w:rPr>
            </w:pPr>
            <w:r>
              <w:rPr>
                <w:rFonts w:hint="eastAsia" w:cs="Times New Roman" w:asciiTheme="minorEastAsia" w:hAnsiTheme="minorEastAsia" w:eastAsiaTheme="minorEastAsia"/>
                <w:sz w:val="24"/>
                <w:szCs w:val="24"/>
                <w:highlight w:val="none"/>
              </w:rPr>
              <w:t>29</w:t>
            </w:r>
          </w:p>
        </w:tc>
        <w:tc>
          <w:tcPr>
            <w:tcW w:w="1607"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服务器</w:t>
            </w:r>
          </w:p>
        </w:tc>
        <w:tc>
          <w:tcPr>
            <w:tcW w:w="4183" w:type="dxa"/>
            <w:vAlign w:val="center"/>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1、1U单路标准机架式服务器</w:t>
            </w:r>
            <w:r>
              <w:rPr>
                <w:rFonts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2、CPU：配置1颗 x86架构HYGON 3250处理器，核数8核，频率2.8GHz</w:t>
            </w:r>
            <w:r>
              <w:rPr>
                <w:rFonts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3、内存：配置32G DDR4，4根内存插槽，最大支持扩展至128GB</w:t>
            </w:r>
            <w:r>
              <w:rPr>
                <w:rFonts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4、硬盘：配置1块960G SSD盘，最高支持4块3.5寸（兼容2.5寸）热插拔SATA/SAS硬盘</w:t>
            </w:r>
            <w:r>
              <w:rPr>
                <w:rFonts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5、PCIE扩展：支持2个PCIE插槽</w:t>
            </w:r>
            <w:r>
              <w:rPr>
                <w:rFonts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6、网口：板载2个千兆电口，支持选配10GbE、25GbE SFP+等多种网络接口</w:t>
            </w:r>
            <w:r>
              <w:rPr>
                <w:rFonts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7、其他接口：1个千兆RJ-45管理接口，4个USB 3.0接口，2个位于机箱后部，2个位于机箱前部；1个VGA口，位于机箱后部</w:t>
            </w:r>
            <w:r>
              <w:rPr>
                <w:rFonts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8、电源：配置350W高效单电源</w:t>
            </w:r>
          </w:p>
        </w:tc>
        <w:tc>
          <w:tcPr>
            <w:tcW w:w="1440" w:type="dxa"/>
            <w:vAlign w:val="center"/>
          </w:tcPr>
          <w:p>
            <w:pPr>
              <w:shd w:val="clear"/>
              <w:spacing w:before="0" w:after="0" w:afterAutospacing="0" w:line="0" w:lineRule="atLeast"/>
              <w:ind w:left="0" w:right="0" w:firstLine="0"/>
              <w:rPr>
                <w:rFonts w:hint="default" w:cs="Times New Roman" w:asciiTheme="minorEastAsia" w:hAnsiTheme="minorEastAsia" w:eastAsiaTheme="minorEastAsia"/>
                <w:sz w:val="24"/>
                <w:szCs w:val="24"/>
                <w:highlight w:val="none"/>
                <w:lang w:val="en-US" w:eastAsia="zh-CN"/>
              </w:rPr>
            </w:pPr>
            <w:r>
              <w:rPr>
                <w:rFonts w:hint="eastAsia" w:cs="Times New Roman" w:asciiTheme="minorEastAsia" w:hAnsiTheme="minorEastAsia" w:eastAsiaTheme="minorEastAsia"/>
                <w:sz w:val="24"/>
                <w:szCs w:val="24"/>
                <w:highlight w:val="none"/>
                <w:lang w:val="en-US" w:eastAsia="zh-CN"/>
              </w:rPr>
              <w:t>戴尔、海康威视、大华、科达</w:t>
            </w:r>
          </w:p>
        </w:tc>
        <w:tc>
          <w:tcPr>
            <w:tcW w:w="668"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台</w:t>
            </w:r>
          </w:p>
        </w:tc>
        <w:tc>
          <w:tcPr>
            <w:tcW w:w="804"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w:t>
            </w:r>
          </w:p>
        </w:tc>
        <w:tc>
          <w:tcPr>
            <w:tcW w:w="803" w:type="dxa"/>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Align w:val="center"/>
          </w:tcPr>
          <w:p>
            <w:pPr>
              <w:shd w:val="clear"/>
              <w:spacing w:before="0" w:after="0" w:afterAutospacing="0" w:line="0" w:lineRule="atLeast"/>
              <w:ind w:left="0" w:leftChars="0" w:right="0" w:rightChars="0" w:firstLine="0" w:firstLineChars="0"/>
              <w:jc w:val="center"/>
              <w:rPr>
                <w:rFonts w:cs="Times New Roman" w:asciiTheme="minorEastAsia" w:hAnsiTheme="minorEastAsia" w:eastAsiaTheme="minorEastAsia"/>
                <w:sz w:val="24"/>
                <w:szCs w:val="24"/>
                <w:highlight w:val="none"/>
                <w:lang w:val="en-US" w:eastAsia="zh-CN" w:bidi="ar-SA"/>
              </w:rPr>
            </w:pPr>
            <w:r>
              <w:rPr>
                <w:rFonts w:hint="eastAsia" w:cs="Times New Roman" w:asciiTheme="minorEastAsia" w:hAnsiTheme="minorEastAsia" w:eastAsiaTheme="minorEastAsia"/>
                <w:sz w:val="24"/>
                <w:szCs w:val="24"/>
                <w:highlight w:val="none"/>
              </w:rPr>
              <w:t>30</w:t>
            </w:r>
          </w:p>
        </w:tc>
        <w:tc>
          <w:tcPr>
            <w:tcW w:w="1607"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硬盘录像机</w:t>
            </w:r>
          </w:p>
        </w:tc>
        <w:tc>
          <w:tcPr>
            <w:tcW w:w="4183" w:type="dxa"/>
            <w:vAlign w:val="center"/>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1、2U标准机架式8盘位网络硬盘录像机，ATX电源</w:t>
            </w:r>
            <w:r>
              <w:rPr>
                <w:rFonts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2、已内置8块4TB硬盘（总容量32TB)</w:t>
            </w:r>
            <w:r>
              <w:rPr>
                <w:rFonts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3、2个HDMI接口、2个VGA接口，双异源输出</w:t>
            </w:r>
            <w:r>
              <w:rPr>
                <w:rFonts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4、2个10M/100M/1000Mbps网口</w:t>
            </w:r>
            <w:r>
              <w:rPr>
                <w:rFonts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5、2个USB2.0接口、1个USB3.0接口、1个eSATA接口</w:t>
            </w:r>
            <w:r>
              <w:rPr>
                <w:rFonts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6、报警IO接口：16路报警输入，4路报警输出</w:t>
            </w:r>
            <w:r>
              <w:rPr>
                <w:rFonts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7、串行接口：1路全双工485接口 ，1路标准RS-232接口</w:t>
            </w:r>
            <w:r>
              <w:rPr>
                <w:rFonts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8、接入能力：64路H.264、H.265格式高清码流接入</w:t>
            </w:r>
            <w:r>
              <w:rPr>
                <w:rFonts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9、解码能力：最大支持16×1080P</w:t>
            </w:r>
          </w:p>
        </w:tc>
        <w:tc>
          <w:tcPr>
            <w:tcW w:w="1440" w:type="dxa"/>
            <w:vAlign w:val="center"/>
          </w:tcPr>
          <w:p>
            <w:pPr>
              <w:shd w:val="clear"/>
              <w:spacing w:before="0" w:after="0" w:afterAutospacing="0" w:line="0" w:lineRule="atLeast"/>
              <w:ind w:left="0" w:right="0" w:firstLine="0"/>
              <w:rPr>
                <w:rFonts w:hint="eastAsia"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lang w:val="en-US" w:eastAsia="zh-CN"/>
              </w:rPr>
              <w:t>海康威视、大华、科达</w:t>
            </w:r>
          </w:p>
        </w:tc>
        <w:tc>
          <w:tcPr>
            <w:tcW w:w="668"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台</w:t>
            </w:r>
          </w:p>
        </w:tc>
        <w:tc>
          <w:tcPr>
            <w:tcW w:w="804"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w:t>
            </w:r>
          </w:p>
        </w:tc>
        <w:tc>
          <w:tcPr>
            <w:tcW w:w="803" w:type="dxa"/>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Align w:val="center"/>
          </w:tcPr>
          <w:p>
            <w:pPr>
              <w:shd w:val="clear"/>
              <w:spacing w:before="0" w:after="0" w:afterAutospacing="0" w:line="0" w:lineRule="atLeast"/>
              <w:ind w:left="0" w:leftChars="0" w:right="0" w:rightChars="0" w:firstLine="0" w:firstLineChars="0"/>
              <w:jc w:val="center"/>
              <w:rPr>
                <w:rFonts w:cs="Times New Roman" w:asciiTheme="minorEastAsia" w:hAnsiTheme="minorEastAsia" w:eastAsiaTheme="minorEastAsia"/>
                <w:sz w:val="24"/>
                <w:szCs w:val="24"/>
                <w:highlight w:val="none"/>
                <w:lang w:val="en-US" w:eastAsia="zh-CN" w:bidi="ar-SA"/>
              </w:rPr>
            </w:pPr>
            <w:r>
              <w:rPr>
                <w:rFonts w:hint="eastAsia" w:cs="Times New Roman" w:asciiTheme="minorEastAsia" w:hAnsiTheme="minorEastAsia" w:eastAsiaTheme="minorEastAsia"/>
                <w:sz w:val="24"/>
                <w:szCs w:val="24"/>
                <w:highlight w:val="none"/>
              </w:rPr>
              <w:t>31</w:t>
            </w:r>
          </w:p>
        </w:tc>
        <w:tc>
          <w:tcPr>
            <w:tcW w:w="1607"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交换机</w:t>
            </w:r>
          </w:p>
        </w:tc>
        <w:tc>
          <w:tcPr>
            <w:tcW w:w="4183" w:type="dxa"/>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 单机固化10/100/1000M以太网端口8个，千兆光接口2个，最大可用千兆口10；</w:t>
            </w:r>
            <w:r>
              <w:rPr>
                <w:rFonts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2、为便于上架操作及设备使用，要求前置电源接口；</w:t>
            </w:r>
            <w:r>
              <w:rPr>
                <w:rFonts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3、要求全部POE端口支持PoE+（802.3at标准），最大POE输出功率≥124W；</w:t>
            </w:r>
            <w:r>
              <w:rPr>
                <w:rFonts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4、交换容量≥255Gbps，包转发率≥19Mpps；5、MAC 地址表≥16K；</w:t>
            </w:r>
          </w:p>
        </w:tc>
        <w:tc>
          <w:tcPr>
            <w:tcW w:w="1440" w:type="dxa"/>
            <w:vAlign w:val="center"/>
          </w:tcPr>
          <w:p>
            <w:pPr>
              <w:shd w:val="clear"/>
              <w:spacing w:before="0" w:after="0" w:afterAutospacing="0" w:line="0" w:lineRule="atLeast"/>
              <w:ind w:left="0" w:right="0" w:firstLine="0"/>
              <w:rPr>
                <w:rFonts w:hint="eastAsia"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华为、神州数码、华三</w:t>
            </w:r>
          </w:p>
        </w:tc>
        <w:tc>
          <w:tcPr>
            <w:tcW w:w="668"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台</w:t>
            </w:r>
          </w:p>
        </w:tc>
        <w:tc>
          <w:tcPr>
            <w:tcW w:w="804"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w:t>
            </w:r>
          </w:p>
        </w:tc>
        <w:tc>
          <w:tcPr>
            <w:tcW w:w="803" w:type="dxa"/>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Align w:val="center"/>
          </w:tcPr>
          <w:p>
            <w:pPr>
              <w:shd w:val="clear"/>
              <w:spacing w:before="0" w:after="0" w:afterAutospacing="0" w:line="0" w:lineRule="atLeast"/>
              <w:ind w:left="0" w:leftChars="0" w:right="0" w:rightChars="0" w:firstLine="0" w:firstLineChars="0"/>
              <w:jc w:val="center"/>
              <w:rPr>
                <w:rFonts w:cs="Times New Roman" w:asciiTheme="minorEastAsia" w:hAnsiTheme="minorEastAsia" w:eastAsiaTheme="minorEastAsia"/>
                <w:sz w:val="24"/>
                <w:szCs w:val="24"/>
                <w:highlight w:val="none"/>
                <w:lang w:val="en-US" w:eastAsia="zh-CN" w:bidi="ar-SA"/>
              </w:rPr>
            </w:pPr>
            <w:r>
              <w:rPr>
                <w:rFonts w:hint="eastAsia" w:cs="Times New Roman" w:asciiTheme="minorEastAsia" w:hAnsiTheme="minorEastAsia" w:eastAsiaTheme="minorEastAsia"/>
                <w:sz w:val="24"/>
                <w:szCs w:val="24"/>
                <w:highlight w:val="none"/>
              </w:rPr>
              <w:t>32</w:t>
            </w:r>
          </w:p>
        </w:tc>
        <w:tc>
          <w:tcPr>
            <w:tcW w:w="1607"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超五类网线</w:t>
            </w:r>
          </w:p>
        </w:tc>
        <w:tc>
          <w:tcPr>
            <w:tcW w:w="4183" w:type="dxa"/>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1、支持千兆以太网信号传输。</w:t>
            </w:r>
            <w:r>
              <w:rPr>
                <w:rFonts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2、无氧铜芯，直流电阻小，信号衰减小。</w:t>
            </w:r>
            <w:r>
              <w:rPr>
                <w:rFonts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3、PVC护套，耐磨、抗拉强度高。</w:t>
            </w:r>
            <w:r>
              <w:rPr>
                <w:rFonts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4、均匀双绞结构，有效降低干扰，确保信号传输质量。</w:t>
            </w:r>
          </w:p>
        </w:tc>
        <w:tc>
          <w:tcPr>
            <w:tcW w:w="1440" w:type="dxa"/>
            <w:vAlign w:val="center"/>
          </w:tcPr>
          <w:p>
            <w:pPr>
              <w:shd w:val="clear"/>
              <w:spacing w:before="0" w:after="0" w:afterAutospacing="0" w:line="0" w:lineRule="atLeast"/>
              <w:ind w:left="0" w:right="0" w:firstLine="0"/>
              <w:rPr>
                <w:rFonts w:hint="eastAsia" w:cs="Times New Roman" w:asciiTheme="minorEastAsia" w:hAnsiTheme="minorEastAsia" w:eastAsiaTheme="minorEastAsia"/>
                <w:sz w:val="24"/>
                <w:szCs w:val="24"/>
                <w:highlight w:val="none"/>
              </w:rPr>
            </w:pPr>
          </w:p>
        </w:tc>
        <w:tc>
          <w:tcPr>
            <w:tcW w:w="668"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米</w:t>
            </w:r>
          </w:p>
        </w:tc>
        <w:tc>
          <w:tcPr>
            <w:tcW w:w="804"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500</w:t>
            </w:r>
          </w:p>
        </w:tc>
        <w:tc>
          <w:tcPr>
            <w:tcW w:w="803" w:type="dxa"/>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Align w:val="center"/>
          </w:tcPr>
          <w:p>
            <w:pPr>
              <w:shd w:val="clear"/>
              <w:spacing w:before="0" w:after="0" w:afterAutospacing="0" w:line="0" w:lineRule="atLeast"/>
              <w:ind w:left="0" w:leftChars="0" w:right="0" w:rightChars="0" w:firstLine="0" w:firstLineChars="0"/>
              <w:jc w:val="center"/>
              <w:rPr>
                <w:rFonts w:cs="Times New Roman" w:asciiTheme="minorEastAsia" w:hAnsiTheme="minorEastAsia" w:eastAsiaTheme="minorEastAsia"/>
                <w:sz w:val="24"/>
                <w:szCs w:val="24"/>
                <w:highlight w:val="none"/>
                <w:lang w:val="en-US" w:eastAsia="zh-CN" w:bidi="ar-SA"/>
              </w:rPr>
            </w:pPr>
            <w:r>
              <w:rPr>
                <w:rFonts w:hint="eastAsia" w:cs="Times New Roman" w:asciiTheme="minorEastAsia" w:hAnsiTheme="minorEastAsia" w:eastAsiaTheme="minorEastAsia"/>
                <w:sz w:val="24"/>
                <w:szCs w:val="24"/>
                <w:highlight w:val="none"/>
              </w:rPr>
              <w:t>33</w:t>
            </w:r>
          </w:p>
        </w:tc>
        <w:tc>
          <w:tcPr>
            <w:tcW w:w="1607"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防腐油漆</w:t>
            </w:r>
          </w:p>
        </w:tc>
        <w:tc>
          <w:tcPr>
            <w:tcW w:w="4183" w:type="dxa"/>
          </w:tcPr>
          <w:p>
            <w:pPr>
              <w:shd w:val="clear"/>
              <w:spacing w:before="0" w:after="0" w:afterAutospacing="0" w:line="0" w:lineRule="atLeast"/>
              <w:ind w:left="0" w:right="0" w:firstLine="0"/>
              <w:rPr>
                <w:rFonts w:hint="eastAsia"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1、工艺：两遍涂刷，每平方米需2kg防锈漆/调和漆</w:t>
            </w:r>
          </w:p>
          <w:p>
            <w:pPr>
              <w:shd w:val="clear"/>
              <w:spacing w:before="0" w:after="0" w:afterAutospacing="0" w:line="0" w:lineRule="atLeast"/>
              <w:ind w:left="0" w:right="0" w:firstLine="0"/>
              <w:rPr>
                <w:rFonts w:hint="eastAsia"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2、颜色：红色</w:t>
            </w:r>
          </w:p>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3、规格：20KG</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4、满足项目需求</w:t>
            </w:r>
          </w:p>
        </w:tc>
        <w:tc>
          <w:tcPr>
            <w:tcW w:w="1440" w:type="dxa"/>
            <w:vAlign w:val="center"/>
          </w:tcPr>
          <w:p>
            <w:pPr>
              <w:shd w:val="clear"/>
              <w:spacing w:before="0" w:after="0" w:afterAutospacing="0" w:line="0" w:lineRule="atLeast"/>
              <w:ind w:left="0" w:right="0" w:firstLine="0"/>
              <w:rPr>
                <w:rFonts w:hint="eastAsia" w:cs="Times New Roman" w:asciiTheme="minorEastAsia" w:hAnsiTheme="minorEastAsia" w:eastAsiaTheme="minorEastAsia"/>
                <w:sz w:val="24"/>
                <w:szCs w:val="24"/>
                <w:highlight w:val="none"/>
              </w:rPr>
            </w:pPr>
          </w:p>
        </w:tc>
        <w:tc>
          <w:tcPr>
            <w:tcW w:w="668"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项</w:t>
            </w:r>
          </w:p>
        </w:tc>
        <w:tc>
          <w:tcPr>
            <w:tcW w:w="804"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w:t>
            </w:r>
          </w:p>
        </w:tc>
        <w:tc>
          <w:tcPr>
            <w:tcW w:w="803" w:type="dxa"/>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804" w:type="dxa"/>
            <w:vAlign w:val="center"/>
          </w:tcPr>
          <w:p>
            <w:pPr>
              <w:shd w:val="clear"/>
              <w:spacing w:before="0" w:after="0" w:afterAutospacing="0" w:line="0" w:lineRule="atLeast"/>
              <w:ind w:left="0" w:leftChars="0" w:right="0" w:rightChars="0" w:firstLine="0" w:firstLineChars="0"/>
              <w:jc w:val="center"/>
              <w:rPr>
                <w:rFonts w:cs="Times New Roman" w:asciiTheme="minorEastAsia" w:hAnsiTheme="minorEastAsia" w:eastAsiaTheme="minorEastAsia"/>
                <w:sz w:val="24"/>
                <w:szCs w:val="24"/>
                <w:highlight w:val="none"/>
                <w:lang w:val="en-US" w:eastAsia="zh-CN" w:bidi="ar-SA"/>
              </w:rPr>
            </w:pPr>
            <w:r>
              <w:rPr>
                <w:rFonts w:hint="eastAsia" w:cs="Times New Roman" w:asciiTheme="minorEastAsia" w:hAnsiTheme="minorEastAsia" w:eastAsiaTheme="minorEastAsia"/>
                <w:sz w:val="24"/>
                <w:szCs w:val="24"/>
                <w:highlight w:val="none"/>
              </w:rPr>
              <w:t>34</w:t>
            </w:r>
          </w:p>
        </w:tc>
        <w:tc>
          <w:tcPr>
            <w:tcW w:w="1607"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施工辅材</w:t>
            </w:r>
          </w:p>
        </w:tc>
        <w:tc>
          <w:tcPr>
            <w:tcW w:w="4183" w:type="dxa"/>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1、对于埋地管段按照“三油两布”防腐工艺做好防腐工作。</w:t>
            </w:r>
            <w:r>
              <w:rPr>
                <w:rFonts w:hint="eastAsia" w:cs="Times New Roman" w:asciiTheme="minorEastAsia" w:hAnsiTheme="minorEastAsia" w:eastAsiaTheme="minorEastAsia"/>
                <w:sz w:val="24"/>
                <w:szCs w:val="24"/>
                <w:highlight w:val="none"/>
              </w:rPr>
              <w:br w:type="textWrapping"/>
            </w:r>
            <w:r>
              <w:rPr>
                <w:rFonts w:hint="eastAsia" w:ascii="宋体" w:hAnsi="宋体" w:eastAsia="宋体"/>
                <w:sz w:val="24"/>
                <w:szCs w:val="24"/>
                <w:highlight w:val="none"/>
              </w:rPr>
              <w:t>2、包含角钢、U型卡箍、胶垫、法兰片、沟槽卡箍、膨胀螺栓、吊卡、线管接头、锁母、胶布、螺栓、螺母</w:t>
            </w:r>
            <w:r>
              <w:rPr>
                <w:rFonts w:hint="eastAsia" w:asciiTheme="minorEastAsia" w:hAnsiTheme="minorEastAsia" w:eastAsiaTheme="minorEastAsia"/>
                <w:sz w:val="24"/>
                <w:szCs w:val="24"/>
                <w:highlight w:val="none"/>
                <w:lang w:eastAsia="zh-CN"/>
              </w:rPr>
              <w:t>、</w:t>
            </w:r>
            <w:r>
              <w:rPr>
                <w:rFonts w:hint="eastAsia" w:asciiTheme="minorEastAsia" w:hAnsiTheme="minorEastAsia" w:eastAsiaTheme="minorEastAsia"/>
                <w:sz w:val="24"/>
                <w:szCs w:val="24"/>
                <w:highlight w:val="none"/>
              </w:rPr>
              <w:t>沟槽式管件</w:t>
            </w:r>
            <w:r>
              <w:rPr>
                <w:rFonts w:hint="eastAsia" w:asciiTheme="minorEastAsia" w:hAnsiTheme="minorEastAsia" w:eastAsiaTheme="minorEastAsia"/>
                <w:sz w:val="24"/>
                <w:szCs w:val="24"/>
                <w:highlight w:val="none"/>
                <w:lang w:eastAsia="zh-CN"/>
              </w:rPr>
              <w:t>、</w:t>
            </w:r>
            <w:r>
              <w:rPr>
                <w:rFonts w:hint="eastAsia" w:asciiTheme="minorEastAsia" w:hAnsiTheme="minorEastAsia" w:eastAsiaTheme="minorEastAsia"/>
                <w:sz w:val="24"/>
                <w:szCs w:val="24"/>
                <w:highlight w:val="none"/>
                <w:lang w:val="en-US" w:eastAsia="zh-CN"/>
              </w:rPr>
              <w:t>机械三通、机械四通</w:t>
            </w:r>
            <w:r>
              <w:rPr>
                <w:rFonts w:hint="eastAsia" w:ascii="宋体" w:hAnsi="宋体" w:eastAsia="宋体"/>
                <w:sz w:val="24"/>
                <w:szCs w:val="24"/>
                <w:highlight w:val="none"/>
              </w:rPr>
              <w:t>等，辅材种类及用量要保证满足项目需求</w:t>
            </w:r>
          </w:p>
        </w:tc>
        <w:tc>
          <w:tcPr>
            <w:tcW w:w="1440" w:type="dxa"/>
            <w:vAlign w:val="center"/>
          </w:tcPr>
          <w:p>
            <w:pPr>
              <w:shd w:val="clear"/>
              <w:spacing w:before="0" w:after="0" w:afterAutospacing="0" w:line="0" w:lineRule="atLeast"/>
              <w:ind w:left="0" w:right="0" w:firstLine="0"/>
              <w:rPr>
                <w:rFonts w:hint="eastAsia" w:cs="Times New Roman" w:asciiTheme="minorEastAsia" w:hAnsiTheme="minorEastAsia" w:eastAsiaTheme="minorEastAsia"/>
                <w:sz w:val="24"/>
                <w:szCs w:val="24"/>
                <w:highlight w:val="none"/>
              </w:rPr>
            </w:pPr>
          </w:p>
        </w:tc>
        <w:tc>
          <w:tcPr>
            <w:tcW w:w="668"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项</w:t>
            </w:r>
          </w:p>
        </w:tc>
        <w:tc>
          <w:tcPr>
            <w:tcW w:w="804"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w:t>
            </w:r>
          </w:p>
        </w:tc>
        <w:tc>
          <w:tcPr>
            <w:tcW w:w="803" w:type="dxa"/>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Align w:val="center"/>
          </w:tcPr>
          <w:p>
            <w:pPr>
              <w:shd w:val="clear"/>
              <w:spacing w:before="0" w:after="0" w:afterAutospacing="0" w:line="0" w:lineRule="atLeast"/>
              <w:ind w:left="0" w:leftChars="0" w:right="0" w:rightChars="0" w:firstLine="0" w:firstLineChars="0"/>
              <w:jc w:val="center"/>
              <w:rPr>
                <w:rFonts w:cs="Times New Roman" w:asciiTheme="minorEastAsia" w:hAnsiTheme="minorEastAsia" w:eastAsiaTheme="minorEastAsia"/>
                <w:sz w:val="24"/>
                <w:szCs w:val="24"/>
                <w:highlight w:val="none"/>
                <w:lang w:val="en-US" w:eastAsia="zh-CN" w:bidi="ar-SA"/>
              </w:rPr>
            </w:pPr>
            <w:r>
              <w:rPr>
                <w:rFonts w:hint="eastAsia" w:cs="Times New Roman" w:asciiTheme="minorEastAsia" w:hAnsiTheme="minorEastAsia" w:eastAsiaTheme="minorEastAsia"/>
                <w:sz w:val="24"/>
                <w:szCs w:val="24"/>
                <w:highlight w:val="none"/>
              </w:rPr>
              <w:t>35</w:t>
            </w:r>
          </w:p>
        </w:tc>
        <w:tc>
          <w:tcPr>
            <w:tcW w:w="1607"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施工、道路及绿化恢复</w:t>
            </w:r>
          </w:p>
        </w:tc>
        <w:tc>
          <w:tcPr>
            <w:tcW w:w="4183" w:type="dxa"/>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1、地面的开挖及恢复等辅材（含垃圾清理）</w:t>
            </w:r>
            <w:r>
              <w:rPr>
                <w:rFonts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2、线路的铺设、管道基础施工、用电安全监控设备的安装、调试等费用（含垃圾清理）</w:t>
            </w:r>
            <w:r>
              <w:rPr>
                <w:rFonts w:hint="eastAsia"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3、安装施工中对道路和绿化带破坏的地方进行恢复（含垃圾清理）</w:t>
            </w:r>
            <w:r>
              <w:rPr>
                <w:rFonts w:cs="Times New Roman" w:asciiTheme="minorEastAsia" w:hAnsiTheme="minorEastAsia" w:eastAsiaTheme="minorEastAsia"/>
                <w:sz w:val="24"/>
                <w:szCs w:val="24"/>
                <w:highlight w:val="none"/>
              </w:rPr>
              <w:br w:type="textWrapping"/>
            </w:r>
            <w:r>
              <w:rPr>
                <w:rFonts w:hint="eastAsia" w:cs="Times New Roman" w:asciiTheme="minorEastAsia" w:hAnsiTheme="minorEastAsia" w:eastAsiaTheme="minorEastAsia"/>
                <w:sz w:val="24"/>
                <w:szCs w:val="24"/>
                <w:highlight w:val="none"/>
              </w:rPr>
              <w:t>4、满足项目需求</w:t>
            </w:r>
          </w:p>
        </w:tc>
        <w:tc>
          <w:tcPr>
            <w:tcW w:w="1440" w:type="dxa"/>
            <w:vAlign w:val="center"/>
          </w:tcPr>
          <w:p>
            <w:pPr>
              <w:shd w:val="clear"/>
              <w:spacing w:before="0" w:after="0" w:afterAutospacing="0" w:line="0" w:lineRule="atLeast"/>
              <w:ind w:left="0" w:right="0" w:firstLine="0"/>
              <w:rPr>
                <w:rFonts w:hint="eastAsia" w:cs="Times New Roman" w:asciiTheme="minorEastAsia" w:hAnsiTheme="minorEastAsia" w:eastAsiaTheme="minorEastAsia"/>
                <w:sz w:val="24"/>
                <w:szCs w:val="24"/>
                <w:highlight w:val="none"/>
              </w:rPr>
            </w:pPr>
          </w:p>
        </w:tc>
        <w:tc>
          <w:tcPr>
            <w:tcW w:w="668"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项</w:t>
            </w:r>
          </w:p>
        </w:tc>
        <w:tc>
          <w:tcPr>
            <w:tcW w:w="804" w:type="dxa"/>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4"/>
                <w:szCs w:val="24"/>
                <w:highlight w:val="none"/>
              </w:rPr>
            </w:pPr>
            <w:r>
              <w:rPr>
                <w:rFonts w:hint="eastAsia" w:cs="Times New Roman" w:asciiTheme="minorEastAsia" w:hAnsiTheme="minorEastAsia" w:eastAsiaTheme="minorEastAsia"/>
                <w:sz w:val="24"/>
                <w:szCs w:val="24"/>
                <w:highlight w:val="none"/>
              </w:rPr>
              <w:t>1</w:t>
            </w:r>
          </w:p>
        </w:tc>
        <w:tc>
          <w:tcPr>
            <w:tcW w:w="803" w:type="dxa"/>
          </w:tcPr>
          <w:p>
            <w:pPr>
              <w:shd w:val="clear"/>
              <w:spacing w:before="0" w:after="0" w:afterAutospacing="0" w:line="0" w:lineRule="atLeast"/>
              <w:ind w:left="0" w:right="0" w:firstLine="0"/>
              <w:rPr>
                <w:rFonts w:cs="Times New Roman" w:asciiTheme="minorEastAsia" w:hAnsiTheme="minorEastAsia" w:eastAsiaTheme="minorEastAsia"/>
                <w:sz w:val="24"/>
                <w:szCs w:val="24"/>
                <w:highlight w:val="none"/>
              </w:rPr>
            </w:pPr>
          </w:p>
        </w:tc>
      </w:tr>
      <w:bookmarkEnd w:id="2009"/>
    </w:tbl>
    <w:p>
      <w:pPr>
        <w:shd w:val="clear"/>
        <w:spacing w:before="0" w:after="0" w:afterAutospacing="0" w:line="0" w:lineRule="atLeast"/>
        <w:ind w:left="0" w:right="0" w:firstLine="0"/>
        <w:rPr>
          <w:rFonts w:cs="Times New Roman" w:asciiTheme="minorEastAsia" w:hAnsiTheme="minorEastAsia" w:eastAsiaTheme="minorEastAsia"/>
          <w:color w:val="FF0000"/>
          <w:sz w:val="24"/>
          <w:szCs w:val="24"/>
          <w:highlight w:val="none"/>
        </w:rPr>
      </w:pPr>
    </w:p>
    <w:p>
      <w:pPr>
        <w:shd w:val="clear"/>
        <w:spacing w:before="240" w:after="0" w:afterAutospacing="0" w:line="360" w:lineRule="auto"/>
        <w:ind w:left="0" w:right="0" w:firstLine="565" w:firstLineChars="201"/>
        <w:jc w:val="both"/>
        <w:outlineLvl w:val="1"/>
        <w:rPr>
          <w:rFonts w:ascii="楷体" w:hAnsi="楷体" w:eastAsia="楷体" w:cs="Times New Roman"/>
          <w:b/>
          <w:sz w:val="28"/>
          <w:szCs w:val="28"/>
          <w:highlight w:val="none"/>
          <w:lang w:val="en-US" w:eastAsia="zh-CN" w:bidi="ar-SA"/>
        </w:rPr>
      </w:pPr>
      <w:bookmarkStart w:id="2010" w:name="_Toc135742427"/>
      <w:bookmarkStart w:id="2011" w:name="_Toc135742321"/>
      <w:bookmarkStart w:id="2012" w:name="_Toc137824290"/>
      <w:r>
        <w:rPr>
          <w:rFonts w:hint="eastAsia" w:ascii="楷体" w:hAnsi="楷体" w:eastAsia="楷体" w:cs="Times New Roman"/>
          <w:b/>
          <w:sz w:val="28"/>
          <w:szCs w:val="28"/>
          <w:highlight w:val="none"/>
          <w:lang w:val="en-US" w:eastAsia="zh-CN" w:bidi="ar-SA"/>
        </w:rPr>
        <w:t>3.4施工点位图</w:t>
      </w:r>
      <w:bookmarkEnd w:id="2010"/>
      <w:bookmarkEnd w:id="2011"/>
      <w:bookmarkEnd w:id="2012"/>
    </w:p>
    <w:p>
      <w:pPr>
        <w:shd w:val="clear"/>
        <w:spacing w:after="0" w:afterAutospacing="0" w:line="240" w:lineRule="auto"/>
        <w:jc w:val="center"/>
        <w:rPr>
          <w:rFonts w:ascii="Times New Roman" w:hAnsi="Times New Roman" w:eastAsia="宋体" w:cs="Times New Roman"/>
          <w:b/>
          <w:highlight w:val="none"/>
        </w:rPr>
      </w:pPr>
      <w:r>
        <w:rPr>
          <w:rFonts w:hint="eastAsia" w:cs="Times New Roman" w:asciiTheme="minorEastAsia" w:hAnsiTheme="minorEastAsia" w:eastAsiaTheme="minorEastAsia"/>
          <w:b/>
          <w:sz w:val="28"/>
          <w:szCs w:val="28"/>
          <w:highlight w:val="none"/>
        </w:rPr>
        <w:t>控制中心70个电动汽车充电桩车棚</w:t>
      </w:r>
    </w:p>
    <w:p>
      <w:pPr>
        <w:shd w:val="clear"/>
        <w:spacing w:before="0" w:after="0" w:afterAutospacing="0"/>
        <w:ind w:left="-567" w:leftChars="-270" w:right="0" w:firstLine="0"/>
        <w:jc w:val="center"/>
        <w:rPr>
          <w:rFonts w:cs="Times New Roman" w:asciiTheme="minorEastAsia" w:hAnsiTheme="minorEastAsia" w:eastAsiaTheme="minorEastAsia"/>
          <w:sz w:val="28"/>
          <w:szCs w:val="28"/>
          <w:highlight w:val="none"/>
        </w:rPr>
      </w:pPr>
      <w:bookmarkStart w:id="2013" w:name="_Toc21191"/>
      <w:bookmarkStart w:id="2014" w:name="_Toc2632"/>
    </w:p>
    <w:p>
      <w:pPr>
        <w:pStyle w:val="2"/>
        <w:shd w:val="clear"/>
        <w:ind w:left="0" w:leftChars="0" w:firstLine="0" w:firstLineChars="0"/>
        <w:rPr>
          <w:highlight w:val="none"/>
        </w:rPr>
      </w:pPr>
      <w:r>
        <w:rPr>
          <w:highlight w:val="none"/>
        </w:rPr>
        <w:drawing>
          <wp:inline distT="0" distB="0" distL="114300" distR="114300">
            <wp:extent cx="6116320" cy="3693160"/>
            <wp:effectExtent l="0" t="0" r="1778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6116320" cy="3693160"/>
                    </a:xfrm>
                    <a:prstGeom prst="rect">
                      <a:avLst/>
                    </a:prstGeom>
                    <a:noFill/>
                    <a:ln>
                      <a:noFill/>
                    </a:ln>
                  </pic:spPr>
                </pic:pic>
              </a:graphicData>
            </a:graphic>
          </wp:inline>
        </w:drawing>
      </w:r>
    </w:p>
    <w:p>
      <w:pPr>
        <w:shd w:val="clear"/>
        <w:spacing w:before="0" w:after="0" w:afterAutospacing="0" w:line="360" w:lineRule="auto"/>
        <w:ind w:left="0" w:right="0" w:firstLine="565" w:firstLineChars="201"/>
        <w:jc w:val="both"/>
        <w:outlineLvl w:val="1"/>
        <w:rPr>
          <w:rFonts w:ascii="楷体" w:hAnsi="楷体" w:eastAsia="楷体" w:cs="Times New Roman"/>
          <w:b/>
          <w:sz w:val="28"/>
          <w:szCs w:val="28"/>
          <w:highlight w:val="none"/>
          <w:lang w:val="en-US" w:eastAsia="zh-CN" w:bidi="ar-SA"/>
        </w:rPr>
      </w:pPr>
      <w:bookmarkStart w:id="2015" w:name="_Toc137824291"/>
      <w:bookmarkStart w:id="2016" w:name="_Toc135742322"/>
      <w:bookmarkStart w:id="2017" w:name="_Toc135742428"/>
      <w:r>
        <w:rPr>
          <w:rFonts w:hint="eastAsia" w:ascii="楷体" w:hAnsi="楷体" w:eastAsia="楷体" w:cs="Times New Roman"/>
          <w:b/>
          <w:sz w:val="28"/>
          <w:szCs w:val="28"/>
          <w:highlight w:val="none"/>
          <w:lang w:val="en-US" w:eastAsia="zh-CN" w:bidi="ar-SA"/>
        </w:rPr>
        <w:t>3.5系统主要功能</w:t>
      </w:r>
      <w:bookmarkEnd w:id="2013"/>
      <w:bookmarkEnd w:id="2015"/>
      <w:bookmarkEnd w:id="2016"/>
      <w:bookmarkEnd w:id="2017"/>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3.5.1自动喷淋灭火系统是目前世界上较为广泛采用的一种固定式消防设施，它具有经济实用、灭火效率高等特点。能在火灾发生后，自动地进行喷水灭火，并能在喷水灭火的同时发出警报。在控制中心70个电动汽车充电桩的停车位日常使用过程中发生火情时，系统能正常响应，实现自动喷水灭火的目的，还能在巡查人员发现微小火情时通知消防控制人值班人员，在没有达到自动喷淋条件下可在消防控制室手动开启任意一个停车位的自动喷水灭火系统，将火情扼杀在萌芽状态。为充电桩停车位提供安全保障，减少损失。</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3.5.2本项目所使用的自动喷水灭火系统是闭式系统中的湿式系统。</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3.5.3系统应包括（但不限于）下列组件、配件和设施：</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3.5.3.1应设有洒水喷头等组件和末端试水装置，以及管道、供水设施等；</w:t>
      </w:r>
    </w:p>
    <w:p>
      <w:pPr>
        <w:shd w:val="clear"/>
        <w:spacing w:before="0" w:after="0" w:afterAutospacing="0" w:line="600" w:lineRule="exact"/>
        <w:ind w:left="0" w:right="0" w:firstLine="562" w:firstLineChars="201"/>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3.5.3.2应设有泄水阀（或泄水口） 、排气阀（或排气口）和排污口。</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3.5.4为确保系统灭火效果，喷头洒水时，应均匀分布，且不应受阻挡。</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3.5.5末端试水装置应安装在便于后续使用、维护及检修的位置。</w:t>
      </w:r>
    </w:p>
    <w:p>
      <w:pPr>
        <w:shd w:val="clear"/>
        <w:spacing w:before="0" w:after="0" w:afterAutospacing="0" w:line="600" w:lineRule="exact"/>
        <w:ind w:left="0" w:right="0" w:firstLine="565" w:firstLineChars="201"/>
        <w:jc w:val="both"/>
        <w:outlineLvl w:val="1"/>
        <w:rPr>
          <w:rFonts w:ascii="楷体" w:hAnsi="楷体" w:eastAsia="楷体" w:cs="Times New Roman"/>
          <w:b/>
          <w:sz w:val="28"/>
          <w:szCs w:val="28"/>
          <w:highlight w:val="none"/>
          <w:lang w:val="en-US" w:eastAsia="zh-CN" w:bidi="ar-SA"/>
        </w:rPr>
      </w:pPr>
      <w:bookmarkStart w:id="2018" w:name="_Toc135742429"/>
      <w:bookmarkStart w:id="2019" w:name="_Toc135742323"/>
      <w:bookmarkStart w:id="2020" w:name="_Toc137824292"/>
      <w:bookmarkStart w:id="2021" w:name="_Toc17661"/>
      <w:r>
        <w:rPr>
          <w:rFonts w:hint="eastAsia" w:ascii="楷体" w:hAnsi="楷体" w:eastAsia="楷体" w:cs="Times New Roman"/>
          <w:b/>
          <w:sz w:val="28"/>
          <w:szCs w:val="28"/>
          <w:highlight w:val="none"/>
          <w:lang w:val="en-US" w:eastAsia="zh-CN" w:bidi="ar-SA"/>
        </w:rPr>
        <w:t>3.6技术要求</w:t>
      </w:r>
      <w:bookmarkEnd w:id="2014"/>
      <w:bookmarkEnd w:id="2018"/>
      <w:bookmarkEnd w:id="2019"/>
      <w:bookmarkEnd w:id="2020"/>
      <w:bookmarkEnd w:id="2021"/>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3.6.1管道安装要求</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3.6.1.1配水管道使用热镀锌钢管，管道连接方式、坡度应符合《自动喷水灭火系统设计规范 GB50084-2017》“ 8管道”要求；材质应符合现行国家标准《输送流体用无缝钢管》GB/T 8163和《低压流体输送用焊接钢管》GB/T 3091 的要求。</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3.6.1.2埋地管道覆土埋深应大于或等于0.7m。</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3.6.1.3系统试压前需先完成管道清洗工作。</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3.6.1.4埋地管道开挖敷设时，应注意避开施工场地内原有的植物及管廊、集水井等设备设施，不得对其造成损伤或破坏。</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3.6.2支架制作及安装要求</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3.6.2.1完成支架制作后需进行表面打磨，确认支架外观无变形、锈迹后，再开展安装及刷油工作。</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3.6.2.2支架制作使用的角钢其材质、型号及规格在满足比选人需求的同时，需满足国家标准GB/T 706-2016《热轧型钢》相关要求。</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3.6.3喷淋头安装要求</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3.6.3.1每根配水支管控制的标准流量洒水喷头数量应符合《自动喷水灭火系统设计规范 GB50084-2017》“8 管道”要求。</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3.6.3.2喷头布置需满足《自动喷水灭火系统设计规范 GB50084-2017》“7 喷头布置”要求。</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3.6.4末端试水装置安装要求</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3.6.4.1末端试水装置的出水，应采取孔口出流的方式排入排水管道 ，排水立管宜设伸顶通气管，且管径不应小于75mm。</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3.6.4.2 末端试水装置和试水阀应有标识，距地面的高度宜为1.5m，并应采取不被他用的措施。</w:t>
      </w:r>
    </w:p>
    <w:p>
      <w:pPr>
        <w:shd w:val="clear"/>
        <w:spacing w:before="0" w:after="0" w:afterAutospacing="0" w:line="600" w:lineRule="exact"/>
        <w:ind w:left="561" w:leftChars="267" w:right="-28" w:firstLine="0"/>
        <w:jc w:val="both"/>
        <w:rPr>
          <w:rFonts w:cs="宋体" w:asciiTheme="minorEastAsia" w:hAnsiTheme="minorEastAsia" w:eastAsiaTheme="minorEastAsia"/>
          <w:sz w:val="28"/>
          <w:szCs w:val="28"/>
          <w:highlight w:val="none"/>
          <w:lang w:val="en-US" w:eastAsia="zh-CN" w:bidi="ar-SA"/>
        </w:rPr>
      </w:pPr>
      <w:r>
        <w:rPr>
          <w:rFonts w:hint="eastAsia" w:cs="宋体" w:asciiTheme="minorEastAsia" w:hAnsiTheme="minorEastAsia" w:eastAsiaTheme="minorEastAsia"/>
          <w:sz w:val="28"/>
          <w:szCs w:val="28"/>
          <w:highlight w:val="none"/>
          <w:lang w:val="en-US" w:eastAsia="zh-CN" w:bidi="ar-SA"/>
        </w:rPr>
        <w:t>3.6.5 系统功能测试</w:t>
      </w:r>
    </w:p>
    <w:p>
      <w:pPr>
        <w:shd w:val="clear"/>
        <w:spacing w:before="0" w:after="0" w:afterAutospacing="0" w:line="600" w:lineRule="exact"/>
        <w:ind w:left="0" w:right="-28" w:firstLine="560" w:firstLineChars="200"/>
        <w:jc w:val="both"/>
        <w:rPr>
          <w:rFonts w:cs="宋体" w:asciiTheme="minorEastAsia" w:hAnsiTheme="minorEastAsia" w:eastAsiaTheme="minorEastAsia"/>
          <w:sz w:val="28"/>
          <w:szCs w:val="28"/>
          <w:highlight w:val="none"/>
          <w:lang w:val="en-US" w:eastAsia="zh-CN" w:bidi="ar-SA"/>
        </w:rPr>
      </w:pPr>
      <w:r>
        <w:rPr>
          <w:rFonts w:hint="eastAsia" w:cs="宋体" w:asciiTheme="minorEastAsia" w:hAnsiTheme="minorEastAsia" w:eastAsiaTheme="minorEastAsia"/>
          <w:sz w:val="28"/>
          <w:szCs w:val="28"/>
          <w:highlight w:val="none"/>
          <w:lang w:val="en-US" w:eastAsia="zh-CN" w:bidi="ar-SA"/>
        </w:rPr>
        <w:t>3.6.5.1湿式喷淋系统测试：在70个已安装喷淋系统的停车位任意选取其中的多个停车位进行模拟火灾测试，在温度达到设定温度后消防控制室警报响起车位自动喷淋灭火。在消防控制室中，还可以手动开启任意停车位的喷淋。</w:t>
      </w:r>
    </w:p>
    <w:p>
      <w:pPr>
        <w:shd w:val="clear"/>
        <w:spacing w:before="120" w:after="100" w:afterAutospacing="1" w:line="600" w:lineRule="exact"/>
        <w:ind w:left="0" w:right="-28" w:firstLine="560" w:firstLineChars="200"/>
        <w:jc w:val="both"/>
        <w:rPr>
          <w:rFonts w:ascii="宋体" w:hAnsi="Courier New" w:eastAsia="宋体" w:cs="宋体"/>
          <w:color w:val="FF0000"/>
          <w:sz w:val="20"/>
          <w:szCs w:val="20"/>
          <w:highlight w:val="none"/>
          <w:lang w:val="en-US" w:eastAsia="zh-CN" w:bidi="ar-SA"/>
        </w:rPr>
      </w:pPr>
      <w:r>
        <w:rPr>
          <w:rFonts w:hint="eastAsia" w:cs="宋体" w:asciiTheme="minorEastAsia" w:hAnsiTheme="minorEastAsia" w:eastAsiaTheme="minorEastAsia"/>
          <w:sz w:val="28"/>
          <w:szCs w:val="28"/>
          <w:highlight w:val="none"/>
          <w:lang w:val="en-US" w:eastAsia="zh-CN" w:bidi="ar-SA"/>
        </w:rPr>
        <w:t>3.6.5.2热成像报警系统测试：可通过 IE 浏览器在热成像画面中设置区域测温规则；在温度变化趋势报警模式下，当热成像视频图像探测温度区域中温度变化速率大于预设阙值时，热成像探测器可在客户端及消防控制室给出报警提示。</w:t>
      </w:r>
      <w:r>
        <w:rPr>
          <w:rFonts w:ascii="宋体" w:hAnsi="Courier New" w:eastAsia="宋体" w:cs="宋体"/>
          <w:color w:val="FF0000"/>
          <w:sz w:val="20"/>
          <w:szCs w:val="20"/>
          <w:highlight w:val="none"/>
          <w:lang w:val="en-US" w:eastAsia="zh-CN" w:bidi="ar-SA"/>
        </w:rPr>
        <w:t xml:space="preserve"> </w:t>
      </w:r>
    </w:p>
    <w:p>
      <w:pPr>
        <w:shd w:val="clear"/>
        <w:spacing w:before="240" w:after="0" w:afterAutospacing="0" w:line="360" w:lineRule="auto"/>
        <w:ind w:left="709" w:right="0" w:hanging="709"/>
        <w:jc w:val="both"/>
        <w:outlineLvl w:val="0"/>
        <w:rPr>
          <w:rFonts w:ascii="黑体" w:hAnsi="黑体" w:eastAsia="黑体" w:cs="Times New Roman"/>
          <w:b/>
          <w:sz w:val="28"/>
          <w:szCs w:val="28"/>
          <w:highlight w:val="none"/>
          <w:lang w:val="en-US" w:eastAsia="zh-CN" w:bidi="ar-SA"/>
        </w:rPr>
      </w:pPr>
      <w:bookmarkStart w:id="2022" w:name="_Toc135742430"/>
      <w:bookmarkStart w:id="2023" w:name="_Toc15387"/>
      <w:bookmarkStart w:id="2024" w:name="_Toc28508"/>
      <w:bookmarkStart w:id="2025" w:name="_Toc10661"/>
      <w:bookmarkStart w:id="2026" w:name="_Toc137824293"/>
      <w:bookmarkStart w:id="2027" w:name="_Toc27125"/>
      <w:r>
        <w:rPr>
          <w:rFonts w:hint="eastAsia" w:ascii="黑体" w:hAnsi="黑体" w:eastAsia="黑体" w:cs="Times New Roman"/>
          <w:b/>
          <w:sz w:val="28"/>
          <w:szCs w:val="28"/>
          <w:highlight w:val="none"/>
          <w:lang w:val="en-US" w:eastAsia="zh-CN" w:bidi="ar-SA"/>
        </w:rPr>
        <w:t>4、项目管</w:t>
      </w:r>
      <w:bookmarkEnd w:id="1994"/>
      <w:bookmarkEnd w:id="1995"/>
      <w:bookmarkStart w:id="2028" w:name="_Toc427229176"/>
      <w:bookmarkStart w:id="2029" w:name="_Toc497122888"/>
      <w:bookmarkStart w:id="2030" w:name="_Toc28864"/>
      <w:bookmarkStart w:id="2031" w:name="_Toc481482232"/>
      <w:bookmarkStart w:id="2032" w:name="_Toc467076705"/>
      <w:bookmarkStart w:id="2033" w:name="_Toc481565834"/>
      <w:bookmarkStart w:id="2034" w:name="_Toc377652890"/>
      <w:r>
        <w:rPr>
          <w:rFonts w:hint="eastAsia" w:ascii="黑体" w:hAnsi="黑体" w:eastAsia="黑体" w:cs="Times New Roman"/>
          <w:b/>
          <w:sz w:val="28"/>
          <w:szCs w:val="28"/>
          <w:highlight w:val="none"/>
          <w:lang w:val="en-US" w:eastAsia="zh-CN" w:bidi="ar-SA"/>
        </w:rPr>
        <w:t>理</w:t>
      </w:r>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22"/>
      <w:bookmarkEnd w:id="2023"/>
      <w:bookmarkEnd w:id="2024"/>
      <w:bookmarkEnd w:id="2025"/>
      <w:bookmarkEnd w:id="2026"/>
      <w:bookmarkEnd w:id="2027"/>
    </w:p>
    <w:bookmarkEnd w:id="2028"/>
    <w:bookmarkEnd w:id="2029"/>
    <w:bookmarkEnd w:id="2030"/>
    <w:bookmarkEnd w:id="2031"/>
    <w:bookmarkEnd w:id="2032"/>
    <w:bookmarkEnd w:id="2033"/>
    <w:bookmarkEnd w:id="2034"/>
    <w:p>
      <w:pPr>
        <w:shd w:val="clear"/>
        <w:spacing w:before="0" w:after="0" w:afterAutospacing="0" w:line="360" w:lineRule="auto"/>
        <w:ind w:left="0" w:right="0" w:firstLine="565" w:firstLineChars="201"/>
        <w:jc w:val="both"/>
        <w:outlineLvl w:val="1"/>
        <w:rPr>
          <w:rFonts w:ascii="楷体" w:hAnsi="楷体" w:eastAsia="楷体" w:cs="Times New Roman"/>
          <w:b/>
          <w:sz w:val="28"/>
          <w:szCs w:val="28"/>
          <w:highlight w:val="none"/>
          <w:lang w:val="en-US" w:eastAsia="zh-CN" w:bidi="ar-SA"/>
        </w:rPr>
      </w:pPr>
      <w:bookmarkStart w:id="2035" w:name="_Toc534969211"/>
      <w:bookmarkStart w:id="2036" w:name="_Toc11407"/>
      <w:bookmarkStart w:id="2037" w:name="_Toc11102"/>
      <w:bookmarkStart w:id="2038" w:name="_Toc24564"/>
      <w:bookmarkStart w:id="2039" w:name="_Toc1168"/>
      <w:bookmarkStart w:id="2040" w:name="_Toc31187"/>
      <w:bookmarkStart w:id="2041" w:name="_Toc29627"/>
      <w:bookmarkStart w:id="2042" w:name="_Toc9279"/>
      <w:bookmarkStart w:id="2043" w:name="_Toc27729"/>
      <w:bookmarkStart w:id="2044" w:name="_Toc10832"/>
      <w:bookmarkStart w:id="2045" w:name="_Toc24389"/>
      <w:bookmarkStart w:id="2046" w:name="_Toc17593"/>
      <w:bookmarkStart w:id="2047" w:name="_Toc2784"/>
      <w:bookmarkStart w:id="2048" w:name="_Toc19586"/>
      <w:bookmarkStart w:id="2049" w:name="_Toc18492"/>
      <w:bookmarkStart w:id="2050" w:name="_Toc3856"/>
      <w:bookmarkStart w:id="2051" w:name="_Toc31333_WPSOffice_Level2"/>
      <w:bookmarkStart w:id="2052" w:name="_Toc19844_WPSOffice_Level2"/>
      <w:bookmarkStart w:id="2053" w:name="_Toc21932_WPSOffice_Level2"/>
      <w:bookmarkStart w:id="2054" w:name="_Toc137824294"/>
      <w:bookmarkStart w:id="2055" w:name="_Toc31340"/>
      <w:bookmarkStart w:id="2056" w:name="_Toc13510"/>
      <w:bookmarkStart w:id="2057" w:name="_Toc135742431"/>
      <w:bookmarkStart w:id="2058" w:name="_Toc5260"/>
      <w:bookmarkStart w:id="2059" w:name="_Toc7184"/>
      <w:r>
        <w:rPr>
          <w:rFonts w:hint="eastAsia" w:ascii="楷体" w:hAnsi="楷体" w:eastAsia="楷体" w:cs="Times New Roman"/>
          <w:b/>
          <w:sz w:val="28"/>
          <w:szCs w:val="28"/>
          <w:highlight w:val="none"/>
          <w:lang w:val="en-US" w:eastAsia="zh-CN" w:bidi="ar-SA"/>
        </w:rPr>
        <w:t>4.1</w:t>
      </w:r>
      <w:bookmarkEnd w:id="2035"/>
      <w:bookmarkEnd w:id="2036"/>
      <w:bookmarkEnd w:id="2037"/>
      <w:bookmarkEnd w:id="2038"/>
      <w:bookmarkEnd w:id="2039"/>
      <w:bookmarkEnd w:id="2040"/>
      <w:bookmarkEnd w:id="2041"/>
      <w:bookmarkEnd w:id="2042"/>
      <w:bookmarkEnd w:id="2043"/>
      <w:bookmarkEnd w:id="2044"/>
      <w:bookmarkEnd w:id="2045"/>
      <w:bookmarkEnd w:id="2046"/>
      <w:bookmarkEnd w:id="2047"/>
      <w:r>
        <w:rPr>
          <w:rFonts w:hint="eastAsia" w:ascii="楷体" w:hAnsi="楷体" w:eastAsia="楷体" w:cs="Times New Roman"/>
          <w:b/>
          <w:sz w:val="28"/>
          <w:szCs w:val="28"/>
          <w:highlight w:val="none"/>
          <w:lang w:val="en-US" w:eastAsia="zh-CN" w:bidi="ar-SA"/>
        </w:rPr>
        <w:t>比选申请人资质</w:t>
      </w:r>
      <w:bookmarkEnd w:id="2048"/>
      <w:bookmarkEnd w:id="2049"/>
      <w:bookmarkEnd w:id="2050"/>
      <w:bookmarkEnd w:id="2051"/>
      <w:bookmarkEnd w:id="2052"/>
      <w:bookmarkEnd w:id="2053"/>
      <w:r>
        <w:rPr>
          <w:rFonts w:hint="eastAsia" w:ascii="楷体" w:hAnsi="楷体" w:eastAsia="楷体" w:cs="Times New Roman"/>
          <w:b/>
          <w:sz w:val="28"/>
          <w:szCs w:val="28"/>
          <w:highlight w:val="none"/>
          <w:lang w:val="en-US" w:eastAsia="zh-CN" w:bidi="ar-SA"/>
        </w:rPr>
        <w:t>、人员要求</w:t>
      </w:r>
      <w:bookmarkEnd w:id="2054"/>
      <w:bookmarkEnd w:id="2055"/>
      <w:bookmarkEnd w:id="2056"/>
      <w:bookmarkEnd w:id="2057"/>
      <w:bookmarkEnd w:id="2058"/>
      <w:bookmarkEnd w:id="2059"/>
    </w:p>
    <w:p>
      <w:pPr>
        <w:shd w:val="clear"/>
        <w:spacing w:before="0" w:after="0" w:afterAutospacing="0" w:line="240" w:lineRule="auto"/>
        <w:ind w:left="0" w:right="0" w:firstLine="560" w:firstLineChars="200"/>
        <w:rPr>
          <w:rFonts w:hint="eastAsia"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4.1.1比选申请人单位资质要求</w:t>
      </w:r>
    </w:p>
    <w:p>
      <w:pPr>
        <w:pStyle w:val="2"/>
        <w:shd w:val="clear"/>
        <w:spacing w:line="240" w:lineRule="auto"/>
        <w:ind w:left="760" w:leftChars="181" w:hanging="380" w:hangingChars="136"/>
        <w:rPr>
          <w:rFonts w:hint="eastAsia" w:cs="Times New Roman" w:asciiTheme="minorEastAsia" w:hAnsiTheme="minorEastAsia" w:eastAsiaTheme="minorEastAsia"/>
          <w:sz w:val="28"/>
          <w:szCs w:val="28"/>
          <w:highlight w:val="none"/>
          <w:lang w:val="en-US" w:eastAsia="zh-CN" w:bidi="ar-SA"/>
        </w:rPr>
      </w:pPr>
      <w:r>
        <w:rPr>
          <w:rFonts w:hint="eastAsia" w:cs="Times New Roman" w:asciiTheme="minorEastAsia" w:hAnsiTheme="minorEastAsia" w:eastAsiaTheme="minorEastAsia"/>
          <w:sz w:val="28"/>
          <w:szCs w:val="28"/>
          <w:highlight w:val="none"/>
          <w:lang w:val="en-US" w:eastAsia="zh-CN" w:bidi="ar-SA"/>
        </w:rPr>
        <w:t>详见比选公告3.比选申请人资格要求</w:t>
      </w:r>
    </w:p>
    <w:p>
      <w:pPr>
        <w:shd w:val="clear"/>
        <w:spacing w:before="0" w:after="0" w:afterAutospacing="0" w:line="240" w:lineRule="auto"/>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4.1.2比选申请人须配置的人员要求</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4.1.2.1为保证本项目安全、顺利、高效、可靠地实施，比选申请人需针对本项目配置专门的施工人员，并且项目经理需要有相关消防设施安装工作履历。</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4.1.2.2施工作业过程中，各项工作安排合理，对于每项作业比选申请人必须指定相应的施工负责人，施工负责人必须经过比选人组织的施工负责人培训且考试合格。</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4.1.2.3比选申请人须如实地将参与本项目的所有人员的名单、工作资历、相关证件及身份证明等信息报送比选人审查备案。</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4.1.2.4特种设备及特种作业人员（如涉及电工作业、登高作业等），必须持有政府相关部门颁发的特种作业操作证方可上岗作业，并按照相关要求佩戴配套的防护劳保用品进行作业，严禁无证或有证不按照要求佩戴防护、劳保用品人员上岗作业。</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4.1.2.5比选申请人所有人员必须身体健康。</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4.1.2.6比选申请人从事本项目的人员，必须提供与比选申请人的劳动关系证明，并持有相关专业上岗证（或资格证书）。</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4.1.2.7比选人可根据现场工作需求，有权要求比选申请人更换不符合要求的人员。</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4.1.2.8所有人员不得兼职，且工作时间须在现场服务。</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4.1.2.9比选申请人所有人员食宿及生产交通工具等需自行解决。</w:t>
      </w:r>
    </w:p>
    <w:p>
      <w:pPr>
        <w:shd w:val="clear"/>
        <w:spacing w:before="0" w:after="0" w:afterAutospacing="0" w:line="360" w:lineRule="auto"/>
        <w:ind w:left="0" w:right="0" w:firstLine="565" w:firstLineChars="201"/>
        <w:jc w:val="both"/>
        <w:outlineLvl w:val="1"/>
        <w:rPr>
          <w:rFonts w:ascii="楷体" w:hAnsi="楷体" w:eastAsia="楷体" w:cs="Times New Roman"/>
          <w:b/>
          <w:sz w:val="28"/>
          <w:szCs w:val="28"/>
          <w:highlight w:val="none"/>
          <w:lang w:val="en-US" w:eastAsia="zh-CN" w:bidi="ar-SA"/>
        </w:rPr>
      </w:pPr>
      <w:bookmarkStart w:id="2060" w:name="_Toc135742432"/>
      <w:bookmarkStart w:id="2061" w:name="_Toc27208"/>
      <w:bookmarkStart w:id="2062" w:name="_Toc21290"/>
      <w:bookmarkStart w:id="2063" w:name="_Toc137824295"/>
      <w:bookmarkStart w:id="2064" w:name="_Toc238"/>
      <w:r>
        <w:rPr>
          <w:rFonts w:hint="eastAsia" w:ascii="楷体" w:hAnsi="楷体" w:eastAsia="楷体" w:cs="Times New Roman"/>
          <w:b/>
          <w:sz w:val="28"/>
          <w:szCs w:val="28"/>
          <w:highlight w:val="none"/>
          <w:lang w:val="en-US" w:eastAsia="zh-CN" w:bidi="ar-SA"/>
        </w:rPr>
        <w:t>4.2项目质量管理</w:t>
      </w:r>
      <w:bookmarkEnd w:id="2060"/>
      <w:bookmarkEnd w:id="2061"/>
      <w:bookmarkEnd w:id="2062"/>
      <w:bookmarkEnd w:id="2063"/>
      <w:bookmarkEnd w:id="2064"/>
    </w:p>
    <w:p>
      <w:pPr>
        <w:shd w:val="clear"/>
        <w:spacing w:before="0" w:after="0" w:afterAutospacing="0" w:line="600" w:lineRule="exact"/>
        <w:ind w:left="0" w:right="0" w:firstLine="565" w:firstLineChars="202"/>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4.2.1项目工作内容</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完成控制中心内70个电动汽车充电桩车棚自动喷水灭火系统加装工程。</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4.2.2施工工作要求</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4.2.2.1比选申请人必须自行配备满足本项目要求的材料、工机具设备、交通工具等，并按国家或地方政府及有关部门相关规定处理施工垃圾，上述费用含在相关报价中。</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4.2.2.2比选申请人在投标报价和施工方案设计时应充分考虑技术条件的要求，对本项目的投标报价应被认为已充分理解本项目的技术条件。</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4.2.2.3比选申请人应负责办理开展工作所需的证件、批件和其它必要的申请批准手续，比选人在必要时予以配合。</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4.2.2.4比选申请人如对招标文件或合同文件有不同意见应在投标时及合同签订前提出，否则比选人视同认可。</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4.2.2.5比选申请人应遵守国家或地方政府及有关部门对施工现场管理的规定，妥善保护好施工现场周围建筑物、设备管线不受损坏。做好施工现场保卫和垃圾消纳等工作，处理好由于施工带来的扰民问题。</w:t>
      </w:r>
    </w:p>
    <w:p>
      <w:pPr>
        <w:shd w:val="clear"/>
        <w:spacing w:before="0" w:after="0" w:afterAutospacing="0" w:line="600" w:lineRule="exact"/>
        <w:ind w:left="1" w:right="0" w:firstLine="565" w:firstLineChars="201"/>
        <w:jc w:val="both"/>
        <w:outlineLvl w:val="1"/>
        <w:rPr>
          <w:rFonts w:ascii="楷体" w:hAnsi="楷体" w:eastAsia="楷体" w:cs="Times New Roman"/>
          <w:b/>
          <w:sz w:val="28"/>
          <w:szCs w:val="28"/>
          <w:highlight w:val="none"/>
          <w:lang w:val="en-US" w:eastAsia="zh-CN" w:bidi="ar-SA"/>
        </w:rPr>
      </w:pPr>
      <w:bookmarkStart w:id="2065" w:name="_Toc135742433"/>
      <w:bookmarkStart w:id="2066" w:name="_Toc23640"/>
      <w:bookmarkStart w:id="2067" w:name="_Toc137824296"/>
      <w:bookmarkStart w:id="2068" w:name="_Toc20949"/>
      <w:bookmarkStart w:id="2069" w:name="_Toc22507"/>
      <w:bookmarkStart w:id="2070" w:name="_Toc29825"/>
      <w:r>
        <w:rPr>
          <w:rFonts w:hint="eastAsia" w:ascii="楷体" w:hAnsi="楷体" w:eastAsia="楷体" w:cs="Times New Roman"/>
          <w:b/>
          <w:sz w:val="28"/>
          <w:szCs w:val="28"/>
          <w:highlight w:val="none"/>
          <w:lang w:val="en-US" w:eastAsia="zh-CN" w:bidi="ar-SA"/>
        </w:rPr>
        <w:t>4.3项目安全管理</w:t>
      </w:r>
      <w:bookmarkEnd w:id="2065"/>
      <w:bookmarkEnd w:id="2066"/>
      <w:bookmarkEnd w:id="2067"/>
      <w:bookmarkEnd w:id="2068"/>
      <w:bookmarkEnd w:id="2069"/>
      <w:bookmarkEnd w:id="2070"/>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4.3.1严格遵守执行国家、地方、行业的相关法律、法规、规范、规程、标准及比选人规章制度等各项管理制度和规定。遵守比选人安全管理相关规章制度，并按安全管理架构要求组建安全管理体系。</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4.3.2 比选申请人与比选人签订安全协议。</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4.3.3 在正常作业过程中凡比选申请人人员出现伤亡情况及因此导致的所有损失均由比选申请人自行负责。由于事故造成比选人或第三方人身伤亡或财产损失，可能引发争议，由比选申请人承担责任。产生诉讼的，比选申请人应独立应诉，承担一切诉讼后果。</w:t>
      </w:r>
    </w:p>
    <w:p>
      <w:pPr>
        <w:shd w:val="clear"/>
        <w:spacing w:before="0" w:after="0" w:afterAutospacing="0" w:line="600" w:lineRule="exact"/>
        <w:ind w:left="0" w:right="0" w:firstLine="565" w:firstLineChars="202"/>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4.3.4 比选申请人对合同范围内的施工工作有失误或渎职而引发的事故事件，由比选申请人负全部责任，承担因此给比选人造成的直接和间接经济损失。</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4.3.5所有作业的施工人员应遵守比选人的企业标准《运营公司施工管理规定》，全员持证上岗，按照施工规范、方案和各项安全操作规程进行作业。比选申请人施工负责人上岗前必须经过比选人的三级安全培训。</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4.3.6在施工现场，每次班前需召开安全交底会，由施工负责人负责，签施工确认书，并完成签字手续及保存资料。</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4.3.7比选申请人须根据比选人相关施工管理及安全管理规定要求，严格执行请销点制度，施工负责人在进出作业现场前后必须做好人机物料的清点、拍照比对工作，在作业结束前30分钟必须完成当次作业的安全出清检查工作。</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4.3.8所有施工人员和管理人员要熟悉掌握消防设施的性能和使用方法，非火灾情况不得触碰消防器材。除动火作业外施工现场严禁烟火（吸烟）。</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4.3.9在施工中如有动火作业、登高作业等特种作业，必须提前向比选人办理特种作业审批手续，作业人员必须持特种作业操作证上岗，严禁违规操作。同时建立特种操作证件相关台帐和记录。</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4.3.10比选申请人施工人员在施工现场必须全程穿工作服和劳保鞋、戴安全帽、遵守劳动纪律，服从安全人员的指挥，严禁在施工场地睡觉、嬉戏，赤脚、穿拖鞋、着装不整、不听劝告者不得进入施工现场。</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4.3.11高空作业应采取安全可靠的措施，高空作业必须系安全带，不得穿硬底或带钉的鞋，不得往下投掷物料。</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4.3.12施工前应对地铁内的运行设施做好保护措施，不得损坏地铁设施及影响地铁正常运行，如发生意外应及时向比选人有关部门反映并采取措施。</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4.3.13严禁比选申请人使用列车、扶梯、垂直电梯搬运超大、超重工器具，乘车携带工具包需要配合安检，并从列车头、尾上下列车。</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4.3.14 比选人为比选申请人提供的相关规章和制度文本资料，比选申请人不得外泄。比选申请人造成资料外泄的应承担全部责任。</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4.3.15培训要求</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4.3.15.1比选申请人作业应遵守比选人的企业标准《运营公司施工管理规定》等相关施工管理规定，并必须按照施工规范、方案和各项安全操作规程进行作业。</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4.3.15.2比选申请人应该强化人员技能培训以及对比选人规章制度及文本的学习，强化危险源学习。</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4.3.15.3比选申请人须重视对施工人员的安全教育工作，提高施工人员的安全责任意识。</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4.3.15.4比选申请人施工人员进场后，比选人可提供安全培训，该培训不能代替比选申请人自身对施工人员的安全及技能培训。</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4.3.16劳动纪律</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4.3.16.1比选申请人施工人员在工作现场须统一着装，按要求佩戴相关证件。</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4.3.16.2比选申请人施工人员须服从比选人人员的指挥，严禁在施工场地睡觉、嬉戏。</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4.3.16.3比选申请人施工人员严禁在作业场所内吸烟；班前6小时禁止饮酒。</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4.3.16.4未经比选人允许不得私自外传相关资料、信息。</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4.3.16.5比选申请人须加强驻地管理及人员管理，避免发生赌博、酗酒、斗殴等恶性事件，杜绝发生违纪、纠纷、民事、治安、刑事等事件，若发生上述事件，由比选申请人承担由此带来的全部后果。</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4.3.16.6防护、劳保用品到位，比选申请人进场的制服到位，报比选人备案。</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4.3.16.7比选申请人应按照比选人要求组织项目全员签订保密协议，报比选人备案。</w:t>
      </w:r>
    </w:p>
    <w:p>
      <w:pPr>
        <w:shd w:val="clear"/>
        <w:spacing w:before="0" w:after="0" w:afterAutospacing="0" w:line="600" w:lineRule="exact"/>
        <w:ind w:left="0" w:right="0" w:firstLine="565" w:firstLineChars="201"/>
        <w:jc w:val="both"/>
        <w:outlineLvl w:val="1"/>
        <w:rPr>
          <w:rFonts w:ascii="楷体" w:hAnsi="楷体" w:eastAsia="楷体" w:cs="Times New Roman"/>
          <w:b/>
          <w:sz w:val="28"/>
          <w:szCs w:val="28"/>
          <w:highlight w:val="none"/>
          <w:lang w:val="en-US" w:eastAsia="zh-CN" w:bidi="ar-SA"/>
        </w:rPr>
      </w:pPr>
      <w:bookmarkStart w:id="2071" w:name="_Toc135742434"/>
      <w:bookmarkStart w:id="2072" w:name="_Toc9044"/>
      <w:bookmarkStart w:id="2073" w:name="_Toc1860"/>
      <w:bookmarkStart w:id="2074" w:name="_Toc5904"/>
      <w:bookmarkStart w:id="2075" w:name="_Toc21958"/>
      <w:bookmarkStart w:id="2076" w:name="_Toc137824297"/>
      <w:r>
        <w:rPr>
          <w:rFonts w:hint="eastAsia" w:ascii="楷体" w:hAnsi="楷体" w:eastAsia="楷体" w:cs="Times New Roman"/>
          <w:b/>
          <w:sz w:val="28"/>
          <w:szCs w:val="28"/>
          <w:highlight w:val="none"/>
          <w:lang w:val="en-US" w:eastAsia="zh-CN" w:bidi="ar-SA"/>
        </w:rPr>
        <w:t>4.4文明施工管理</w:t>
      </w:r>
      <w:bookmarkEnd w:id="2071"/>
      <w:bookmarkEnd w:id="2072"/>
      <w:bookmarkEnd w:id="2073"/>
      <w:bookmarkEnd w:id="2074"/>
      <w:bookmarkEnd w:id="2075"/>
      <w:bookmarkEnd w:id="2076"/>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4.4.1施工过程中，严格按照“规范化管理、标准化作业”规定要求，实施文明检测管理。</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4.4.2作业过程中，比选申请人应合理地保持作业现场,严禁出现不必要的障碍，处置好作业设备及多余材料，保持现场整洁和道路通畅。</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4.4.3比选申请人应做好作业区域内的设备设施成品保护，严禁随意破坏、操作、占用。如与其他作业发生冲突，应事先通知比选人，在得到比选人同意后方可按要求执行，发现未经请示同意擅自行事，将视其具体情况予以处罚。</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4.4.4施工现场讲文明，讲礼貌，遇事商量解决，严禁打架斗殴。</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4.4.5比选申请人在运营期间进行施工时，应充分考虑施工产生的影响，尽可能的减小对运营服务质量的影响。</w:t>
      </w:r>
    </w:p>
    <w:p>
      <w:pPr>
        <w:shd w:val="clear"/>
        <w:spacing w:before="0" w:after="0" w:afterAutospacing="0" w:line="600" w:lineRule="exact"/>
        <w:ind w:left="709" w:right="0" w:hanging="709"/>
        <w:jc w:val="both"/>
        <w:outlineLvl w:val="0"/>
        <w:rPr>
          <w:rFonts w:ascii="黑体" w:hAnsi="黑体" w:eastAsia="黑体" w:cs="Times New Roman"/>
          <w:b/>
          <w:sz w:val="28"/>
          <w:szCs w:val="28"/>
          <w:highlight w:val="none"/>
          <w:lang w:val="en-US" w:eastAsia="zh-CN" w:bidi="ar-SA"/>
        </w:rPr>
      </w:pPr>
      <w:bookmarkStart w:id="2077" w:name="_Toc20962"/>
      <w:bookmarkStart w:id="2078" w:name="_Toc137824298"/>
      <w:bookmarkStart w:id="2079" w:name="_Toc22766"/>
      <w:bookmarkStart w:id="2080" w:name="_Toc135742435"/>
      <w:bookmarkStart w:id="2081" w:name="_Toc12249"/>
      <w:bookmarkStart w:id="2082" w:name="_Toc26019"/>
      <w:r>
        <w:rPr>
          <w:rFonts w:hint="eastAsia" w:ascii="黑体" w:hAnsi="黑体" w:eastAsia="黑体" w:cs="Times New Roman"/>
          <w:b/>
          <w:sz w:val="28"/>
          <w:szCs w:val="28"/>
          <w:highlight w:val="none"/>
          <w:lang w:val="en-US" w:eastAsia="zh-CN" w:bidi="ar-SA"/>
        </w:rPr>
        <w:t>5、作业要求</w:t>
      </w:r>
      <w:bookmarkEnd w:id="2077"/>
      <w:bookmarkEnd w:id="2078"/>
      <w:bookmarkEnd w:id="2079"/>
      <w:bookmarkEnd w:id="2080"/>
      <w:bookmarkEnd w:id="2081"/>
      <w:bookmarkEnd w:id="2082"/>
    </w:p>
    <w:p>
      <w:pPr>
        <w:shd w:val="clear"/>
        <w:spacing w:before="0" w:after="0" w:afterAutospacing="0" w:line="600" w:lineRule="exact"/>
        <w:ind w:left="0" w:right="0" w:firstLine="565" w:firstLineChars="201"/>
        <w:jc w:val="both"/>
        <w:outlineLvl w:val="1"/>
        <w:rPr>
          <w:rFonts w:ascii="楷体" w:hAnsi="楷体" w:eastAsia="楷体" w:cs="Times New Roman"/>
          <w:b/>
          <w:sz w:val="28"/>
          <w:szCs w:val="28"/>
          <w:highlight w:val="none"/>
          <w:lang w:val="en-US" w:eastAsia="zh-CN" w:bidi="ar-SA"/>
        </w:rPr>
      </w:pPr>
      <w:bookmarkStart w:id="2083" w:name="_Toc135742436"/>
      <w:bookmarkStart w:id="2084" w:name="_Toc13370"/>
      <w:bookmarkStart w:id="2085" w:name="_Toc26500"/>
      <w:bookmarkStart w:id="2086" w:name="_Toc17861"/>
      <w:bookmarkStart w:id="2087" w:name="_Toc137824299"/>
      <w:bookmarkStart w:id="2088" w:name="_Toc20002"/>
      <w:bookmarkStart w:id="2089" w:name="_Toc26542"/>
      <w:bookmarkStart w:id="2090" w:name="_Toc22318"/>
      <w:bookmarkStart w:id="2091" w:name="_Toc31634"/>
      <w:bookmarkStart w:id="2092" w:name="_Toc31319"/>
      <w:bookmarkStart w:id="2093" w:name="_Toc15804"/>
      <w:bookmarkStart w:id="2094" w:name="_Toc15004"/>
      <w:bookmarkStart w:id="2095" w:name="_Toc30341"/>
      <w:bookmarkStart w:id="2096" w:name="_Toc21630"/>
      <w:bookmarkStart w:id="2097" w:name="_Toc24699"/>
      <w:bookmarkStart w:id="2098" w:name="_Toc15789"/>
      <w:bookmarkStart w:id="2099" w:name="_Toc12381"/>
      <w:bookmarkStart w:id="2100" w:name="_Toc25816"/>
      <w:bookmarkStart w:id="2101" w:name="_Toc3350"/>
      <w:bookmarkStart w:id="2102" w:name="_Toc14327"/>
      <w:bookmarkStart w:id="2103" w:name="_Toc7358"/>
      <w:bookmarkStart w:id="2104" w:name="_Toc29167"/>
      <w:bookmarkStart w:id="2105" w:name="_Toc14340"/>
      <w:bookmarkStart w:id="2106" w:name="_Toc9340"/>
      <w:bookmarkStart w:id="2107" w:name="_Toc13954"/>
      <w:bookmarkStart w:id="2108" w:name="_Toc31245"/>
      <w:bookmarkStart w:id="2109" w:name="_Toc16715"/>
      <w:bookmarkStart w:id="2110" w:name="_Toc3025"/>
      <w:r>
        <w:rPr>
          <w:rFonts w:hint="eastAsia" w:ascii="楷体" w:hAnsi="楷体" w:eastAsia="楷体" w:cs="Times New Roman"/>
          <w:b/>
          <w:sz w:val="28"/>
          <w:szCs w:val="28"/>
          <w:highlight w:val="none"/>
          <w:lang w:val="en-US" w:eastAsia="zh-CN" w:bidi="ar-SA"/>
        </w:rPr>
        <w:t>5.1作业准备</w:t>
      </w:r>
      <w:bookmarkEnd w:id="2083"/>
      <w:bookmarkEnd w:id="2084"/>
      <w:bookmarkEnd w:id="2085"/>
      <w:bookmarkEnd w:id="2086"/>
      <w:bookmarkEnd w:id="2087"/>
      <w:bookmarkEnd w:id="2088"/>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5.1.1基本要求</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5.1.1.1比选人负责采购的设备清单进行描述，由比选申请人负责采购设备及材料提出详细的技术要求。</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5.1.1.2若承包商提供的设备及材料被认定不能满足要求，比选人将对所选用的产品进行调研复核，并保留更换供货品牌或产品的权利。</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5.1.1.3比选申请人所使用的专用类工器具必须是合格品且具有使用说明书；比选申请人所使用的通用工具必须为合格品且具有使用说明书。</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5.1.1.4比选申请人所使用的计量、测量类工器具应在首次使用前按照比选人的要求送相关部门进行检定，待检定合格且经过比选人相关部门认可，方可以进场使用。严禁使用未检定的、不合格的计量、测量类工器具，进场后计量、测量类工器具送检周期以比选人相关规定为准，检定费用由比选申请人负责。</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5.1.1.5施工所用的电动工器具须考虑与可供电源的匹配性，并不得对配电线路构成危害。</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5.1.1.6项目结束后，比选申请人须将比选人提供的设备、工器具如数归还。</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5.1.2劳保用品配置要求</w:t>
      </w:r>
    </w:p>
    <w:p>
      <w:pPr>
        <w:shd w:val="clear"/>
        <w:spacing w:before="0" w:after="0" w:afterAutospacing="0" w:line="600" w:lineRule="exact"/>
        <w:ind w:left="0" w:right="0" w:firstLine="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比选申请人应为施工人员配置统一着装及劳保防护用品，劳保防护用品须满足国家、行业标准，劳保防护用品配置数量与使用期限按照比选人相关要求执行，劳保配置要求包括但不限于表5.1.2-1中的内容。</w:t>
      </w:r>
    </w:p>
    <w:p>
      <w:pPr>
        <w:shd w:val="clear"/>
        <w:spacing w:after="0" w:afterAutospacing="0" w:line="240" w:lineRule="auto"/>
        <w:ind w:left="0" w:right="0" w:firstLine="0"/>
        <w:jc w:val="center"/>
        <w:rPr>
          <w:rFonts w:cs="Times New Roman" w:asciiTheme="minorEastAsia" w:hAnsiTheme="minorEastAsia" w:eastAsiaTheme="minorEastAsia"/>
          <w:sz w:val="28"/>
          <w:szCs w:val="28"/>
          <w:highlight w:val="none"/>
        </w:rPr>
      </w:pPr>
    </w:p>
    <w:p>
      <w:pPr>
        <w:shd w:val="clear"/>
        <w:spacing w:after="0" w:afterAutospacing="0"/>
        <w:ind w:left="0" w:right="0" w:firstLine="0"/>
        <w:jc w:val="center"/>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表5.1.2-1 劳保防护用品配置清单</w:t>
      </w:r>
    </w:p>
    <w:tbl>
      <w:tblPr>
        <w:tblStyle w:val="28"/>
        <w:tblW w:w="9845" w:type="dxa"/>
        <w:jc w:val="center"/>
        <w:tblLayout w:type="autofit"/>
        <w:tblCellMar>
          <w:top w:w="0" w:type="dxa"/>
          <w:left w:w="108" w:type="dxa"/>
          <w:bottom w:w="0" w:type="dxa"/>
          <w:right w:w="108" w:type="dxa"/>
        </w:tblCellMar>
      </w:tblPr>
      <w:tblGrid>
        <w:gridCol w:w="813"/>
        <w:gridCol w:w="1097"/>
        <w:gridCol w:w="784"/>
        <w:gridCol w:w="1056"/>
        <w:gridCol w:w="6095"/>
      </w:tblGrid>
      <w:tr>
        <w:tblPrEx>
          <w:tblCellMar>
            <w:top w:w="0" w:type="dxa"/>
            <w:left w:w="108" w:type="dxa"/>
            <w:bottom w:w="0" w:type="dxa"/>
            <w:right w:w="108" w:type="dxa"/>
          </w:tblCellMar>
        </w:tblPrEx>
        <w:trPr>
          <w:trHeight w:val="274" w:hRule="atLeast"/>
          <w:jc w:val="center"/>
        </w:trPr>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spacing w:before="0" w:after="0" w:afterAutospacing="0"/>
              <w:ind w:left="0" w:right="0" w:firstLine="0"/>
              <w:jc w:val="center"/>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序号</w:t>
            </w: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spacing w:before="0" w:after="0" w:afterAutospacing="0"/>
              <w:ind w:left="0" w:right="0" w:firstLine="0"/>
              <w:jc w:val="center"/>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名称</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spacing w:before="0" w:after="0" w:afterAutospacing="0"/>
              <w:ind w:left="0" w:right="0" w:firstLine="0"/>
              <w:jc w:val="center"/>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单位</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数量</w:t>
            </w:r>
          </w:p>
          <w:p>
            <w:pPr>
              <w:shd w:val="clear"/>
              <w:spacing w:before="0" w:after="0" w:afterAutospacing="0" w:line="0" w:lineRule="atLeast"/>
              <w:ind w:left="0" w:right="0" w:firstLine="0"/>
              <w:jc w:val="center"/>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（人）</w:t>
            </w:r>
          </w:p>
        </w:tc>
        <w:tc>
          <w:tcPr>
            <w:tcW w:w="6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spacing w:before="0" w:after="0" w:afterAutospacing="0"/>
              <w:ind w:left="0" w:right="0" w:firstLine="0"/>
              <w:jc w:val="center"/>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备注</w:t>
            </w:r>
          </w:p>
        </w:tc>
      </w:tr>
      <w:tr>
        <w:tblPrEx>
          <w:tblCellMar>
            <w:top w:w="0" w:type="dxa"/>
            <w:left w:w="108" w:type="dxa"/>
            <w:bottom w:w="0" w:type="dxa"/>
            <w:right w:w="108" w:type="dxa"/>
          </w:tblCellMar>
        </w:tblPrEx>
        <w:trPr>
          <w:trHeight w:val="540" w:hRule="atLeast"/>
          <w:jc w:val="center"/>
        </w:trPr>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1</w:t>
            </w: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安全帽</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顶</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1</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spacing w:before="0" w:after="0" w:afterAutospacing="0" w:line="0" w:lineRule="atLeast"/>
              <w:ind w:left="0" w:right="0" w:firstLine="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符合GB2811-2007《安全帽》标准和EN397标准</w:t>
            </w:r>
          </w:p>
        </w:tc>
      </w:tr>
      <w:tr>
        <w:tblPrEx>
          <w:tblCellMar>
            <w:top w:w="0" w:type="dxa"/>
            <w:left w:w="108" w:type="dxa"/>
            <w:bottom w:w="0" w:type="dxa"/>
            <w:right w:w="108" w:type="dxa"/>
          </w:tblCellMar>
        </w:tblPrEx>
        <w:trPr>
          <w:trHeight w:val="542" w:hRule="atLeast"/>
          <w:jc w:val="center"/>
        </w:trPr>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2</w:t>
            </w: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劳保鞋</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双</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1</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spacing w:before="0" w:after="0" w:afterAutospacing="0" w:line="0" w:lineRule="atLeast"/>
              <w:ind w:left="0" w:right="0" w:firstLine="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符合GB21148-2007、GB12011-2009标准</w:t>
            </w:r>
          </w:p>
        </w:tc>
      </w:tr>
      <w:tr>
        <w:tblPrEx>
          <w:tblCellMar>
            <w:top w:w="0" w:type="dxa"/>
            <w:left w:w="108" w:type="dxa"/>
            <w:bottom w:w="0" w:type="dxa"/>
            <w:right w:w="108" w:type="dxa"/>
          </w:tblCellMar>
        </w:tblPrEx>
        <w:trPr>
          <w:trHeight w:val="368" w:hRule="atLeast"/>
          <w:jc w:val="center"/>
        </w:trPr>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3</w:t>
            </w: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荧光衣</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件</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1</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spacing w:before="0" w:after="0" w:afterAutospacing="0" w:line="0" w:lineRule="atLeast"/>
              <w:ind w:left="0" w:right="0" w:firstLine="0"/>
              <w:rPr>
                <w:rFonts w:cs="Times New Roman" w:asciiTheme="minorEastAsia" w:hAnsiTheme="minorEastAsia" w:eastAsiaTheme="minorEastAsia"/>
                <w:sz w:val="28"/>
                <w:szCs w:val="28"/>
                <w:highlight w:val="none"/>
              </w:rPr>
            </w:pPr>
          </w:p>
        </w:tc>
      </w:tr>
      <w:tr>
        <w:tblPrEx>
          <w:tblCellMar>
            <w:top w:w="0" w:type="dxa"/>
            <w:left w:w="108" w:type="dxa"/>
            <w:bottom w:w="0" w:type="dxa"/>
            <w:right w:w="108" w:type="dxa"/>
          </w:tblCellMar>
        </w:tblPrEx>
        <w:trPr>
          <w:trHeight w:val="270" w:hRule="atLeast"/>
          <w:jc w:val="center"/>
        </w:trPr>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4</w:t>
            </w: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棉手套</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双</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2</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spacing w:before="0" w:after="0" w:afterAutospacing="0" w:line="0" w:lineRule="atLeast"/>
              <w:ind w:left="0" w:right="0" w:firstLine="0"/>
              <w:rPr>
                <w:rFonts w:cs="Times New Roman" w:asciiTheme="minorEastAsia" w:hAnsiTheme="minorEastAsia" w:eastAsiaTheme="minorEastAsia"/>
                <w:sz w:val="28"/>
                <w:szCs w:val="28"/>
                <w:highlight w:val="none"/>
              </w:rPr>
            </w:pPr>
          </w:p>
        </w:tc>
      </w:tr>
      <w:tr>
        <w:trPr>
          <w:trHeight w:val="270" w:hRule="atLeast"/>
          <w:jc w:val="center"/>
        </w:trPr>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w:t>
            </w: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工作服</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套</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1</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spacing w:before="0" w:after="0" w:afterAutospacing="0" w:line="0" w:lineRule="atLeast"/>
              <w:ind w:left="0" w:right="0" w:firstLine="0"/>
              <w:rPr>
                <w:rFonts w:cs="Times New Roman" w:asciiTheme="minorEastAsia" w:hAnsiTheme="minorEastAsia" w:eastAsiaTheme="minorEastAsia"/>
                <w:sz w:val="28"/>
                <w:szCs w:val="28"/>
                <w:highlight w:val="none"/>
              </w:rPr>
            </w:pPr>
          </w:p>
        </w:tc>
      </w:tr>
      <w:tr>
        <w:tblPrEx>
          <w:tblCellMar>
            <w:top w:w="0" w:type="dxa"/>
            <w:left w:w="108" w:type="dxa"/>
            <w:bottom w:w="0" w:type="dxa"/>
            <w:right w:w="108" w:type="dxa"/>
          </w:tblCellMar>
        </w:tblPrEx>
        <w:trPr>
          <w:trHeight w:val="242" w:hRule="atLeast"/>
          <w:jc w:val="center"/>
        </w:trPr>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6</w:t>
            </w: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安全带</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副</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spacing w:before="0" w:after="0" w:afterAutospacing="0" w:line="0" w:lineRule="atLeast"/>
              <w:ind w:left="0" w:right="0" w:firstLine="0"/>
              <w:jc w:val="center"/>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1</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spacing w:before="0" w:after="0" w:afterAutospacing="0" w:line="0" w:lineRule="atLeast"/>
              <w:ind w:left="0" w:right="0" w:firstLine="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符合GB6095-2009《安全带》标准</w:t>
            </w:r>
          </w:p>
        </w:tc>
      </w:tr>
    </w:tbl>
    <w:p>
      <w:pPr>
        <w:shd w:val="clear"/>
        <w:spacing w:before="0" w:after="0" w:afterAutospacing="0"/>
        <w:ind w:left="0" w:right="0" w:firstLine="0"/>
        <w:rPr>
          <w:rFonts w:cs="Times New Roman" w:asciiTheme="minorEastAsia" w:hAnsiTheme="minorEastAsia" w:eastAsiaTheme="minorEastAsia"/>
          <w:sz w:val="28"/>
          <w:szCs w:val="28"/>
          <w:highlight w:val="none"/>
        </w:rPr>
      </w:pPr>
    </w:p>
    <w:p>
      <w:pPr>
        <w:shd w:val="clear"/>
        <w:spacing w:before="0" w:after="0" w:afterAutospacing="0" w:line="600" w:lineRule="exact"/>
        <w:ind w:left="1" w:right="0" w:firstLine="565" w:firstLineChars="201"/>
        <w:rPr>
          <w:rFonts w:cs="Times New Roman" w:asciiTheme="minorEastAsia" w:hAnsiTheme="minorEastAsia" w:eastAsiaTheme="minorEastAsia"/>
          <w:b/>
          <w:sz w:val="28"/>
          <w:szCs w:val="28"/>
          <w:highlight w:val="none"/>
        </w:rPr>
      </w:pPr>
      <w:r>
        <w:rPr>
          <w:rFonts w:hint="eastAsia" w:cs="Times New Roman" w:asciiTheme="minorEastAsia" w:hAnsiTheme="minorEastAsia" w:eastAsiaTheme="minorEastAsia"/>
          <w:b/>
          <w:sz w:val="28"/>
          <w:szCs w:val="28"/>
          <w:highlight w:val="none"/>
        </w:rPr>
        <w:t>5.1.3进场要求</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5.1.3.1严格遵守执行国家、地方、行业的相关法律、法规、规范、规程、标准及比选人规章制度等各项管理制度和规定。</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5.1.3.2严格遵守合同协议，组织足够力量的施工人员完成日常工作。</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5.1.3.3对组织架构定岗、定员。队伍人员素质、专业技术满足各项施工要求，并保证参与作业的人员相对稳定。</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5.1.3.4施工方所有人员应完成项目安全培训及比选人的三级安全教育。</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5.1.3.5比选申请人与比选人签订安全协议，办理施工开工令。</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5.1.3.6准备工作就序（比选申请人必须在合同正式签订时已完成全部开工准备），双方协调认可满足开工条件，将施工准备情况及进场影响通报比选人相关部门，如线网管控中心、安全监察部、通号中心、维修中心、运营一中心等，比选人签发开工令后方可进行正式项目实施。</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5.1.3.7比选申请人须做好设施状态普查、技术交底。</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5.1.3.8所有施工人员要遵守比选人的企业标准《运营公司施工管理规定》，并必须按照施工规范、方案和各项安全操作规程进行作业。比选申请人项目相关人员须通过比选人组织的相关考试。</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5.1.3.9比选申请人人员须在合同执行之日前完成相关证件的取证工作，提交复印件（有效期内），并按照比选人要求对相关证件进行审查。</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5.1.3.10防护、劳保用品到位，比选申请人进场的制服到位，报比选人备案。</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5.1.3.11作业程序、内容准备符合比选人要求，通过比选人审核确认。</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5.1.3.12制定材料和设备设施供应计划并做好供应，比选申请人个人工器具、班组工器具通过比选人审核确认。</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5.1.3.13合同期内作业人员原则上不许替换，更换施工人员必须通知比选人并提交有关人员资料，必须确保替换人员的资历、经验不低于原来被替换的人员，并提供相关内部或送外的培训书面证明，并由比选人组织资料审核，未经比选人书面许可不得更换施工人员。</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5.1.3.14所有人员不得兼职，且工作时间须在现场服务。</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5.1.4知识产权</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5.1.4.1因比选申请人为实施本合同而向比选人提供的任何产品、资料、物件及服务引起的知识产权纠纷，由比选申请人承担由此引起的一切法律和经济上的责任。</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5.1.4.2比选申请人保证依据本合同所提供的任何产品、资料、物件及服务均不构成对第三方合法权益的侵犯，包括但不限于知识产权。即比选人在中国使用比选申请人提供的产品、产品的任何一部分，资料或服务时，免受第三方提出的侵犯其专利权、商标权、工业设计权和其他知识产权的起诉。</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5.1.4.3比选申请人为实施本合同及其缺陷修补，需使用第三人专利，专有技术、技术秘密、商业秘密、著作权、商标权等知识产权的，在签订合同时，应向比选人说明知识产权的权利人，名称等权利状况，相应知识产权使用费由比选申请人负责支付。</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5.1.4.4在比选申请人履行合同过程中，需增加使用第三人专利、专有技术、技术秘密、商业秘密、著作权、商标权等知识产权的，比选申请人应取得比选人同意，所使用的知识产权应支付的费用由比选申请人承担。</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5.1.4.5因比选申请人提供的任何产品、资料、物件及服务引起的知识产权纠纷，由比选申请人负责与第三人交涉、参加诉讼、进行辩护，并承担由此引起的一切法律和经济上的责任。上述纠纷包括但不限于因比选申请人拥有或者有权许可的知识产权存在瑕疵导致产品瑕疵引起的索赔、诉讼或损失，因上述知识产权未在中国申请知识产权保护或海关备案而引起的侵权纠纷。</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5.1.4.6如比选申请人拒绝或怠于履行上述义务的，比选人有权解除合同。比选人被第三方起诉或以其它方式追究责任，比选申请人应赔偿因比选人被第三方索赔所引起的一切损失，包括但不限于比选人所支付的侵权损害赔偿费、律师费、诉讼费、仲裁费、办案差旅费等因应诉、沟通协调所发的一切费用。</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5.1.4.7对比选人提供的一切资料，以及项目执行生成的各种记录、会议纪要、现场影像资料等做好保密，未经比选人授权不得外传。</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5.1.4.8未经比选人允许不得在网络、论坛、博客、微博、微信等媒体传播有关的照片、视频等影像资料，所造成的损失由比选申请人承担。</w:t>
      </w:r>
    </w:p>
    <w:p>
      <w:pPr>
        <w:shd w:val="clear"/>
        <w:spacing w:before="0" w:after="0" w:afterAutospacing="0" w:line="600" w:lineRule="exact"/>
        <w:ind w:left="0" w:right="0" w:firstLine="562" w:firstLineChars="200"/>
        <w:rPr>
          <w:rFonts w:cs="Times New Roman" w:asciiTheme="minorEastAsia" w:hAnsiTheme="minorEastAsia" w:eastAsiaTheme="minorEastAsia"/>
          <w:b/>
          <w:sz w:val="28"/>
          <w:szCs w:val="28"/>
          <w:highlight w:val="none"/>
        </w:rPr>
      </w:pPr>
      <w:r>
        <w:rPr>
          <w:rFonts w:hint="eastAsia" w:cs="Times New Roman" w:asciiTheme="minorEastAsia" w:hAnsiTheme="minorEastAsia" w:eastAsiaTheme="minorEastAsia"/>
          <w:b/>
          <w:sz w:val="28"/>
          <w:szCs w:val="28"/>
          <w:highlight w:val="none"/>
        </w:rPr>
        <w:t>5.1.5疫情防控要求</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如项目施工期间，发生严重疫情的，比选申请人要严格按照国家、广西壮族自治区、南宁市以及比选人相关管控规定执行相关要求。</w:t>
      </w:r>
    </w:p>
    <w:p>
      <w:pPr>
        <w:shd w:val="clear"/>
        <w:spacing w:before="0" w:after="0" w:afterAutospacing="0" w:line="600" w:lineRule="exact"/>
        <w:ind w:left="0" w:right="0" w:firstLine="565" w:firstLineChars="201"/>
        <w:jc w:val="both"/>
        <w:outlineLvl w:val="1"/>
        <w:rPr>
          <w:rFonts w:ascii="楷体" w:hAnsi="楷体" w:eastAsia="楷体" w:cs="Times New Roman"/>
          <w:b/>
          <w:sz w:val="28"/>
          <w:szCs w:val="28"/>
          <w:highlight w:val="none"/>
          <w:lang w:val="en-US" w:eastAsia="zh-CN" w:bidi="ar-SA"/>
        </w:rPr>
      </w:pPr>
      <w:bookmarkStart w:id="2111" w:name="_Toc18461"/>
      <w:bookmarkStart w:id="2112" w:name="_Toc137824300"/>
      <w:bookmarkStart w:id="2113" w:name="_Toc19028"/>
      <w:bookmarkStart w:id="2114" w:name="_Toc9023"/>
      <w:bookmarkStart w:id="2115" w:name="_Toc13845"/>
      <w:r>
        <w:rPr>
          <w:rFonts w:hint="eastAsia" w:ascii="楷体" w:hAnsi="楷体" w:eastAsia="楷体" w:cs="Times New Roman"/>
          <w:b/>
          <w:sz w:val="28"/>
          <w:szCs w:val="28"/>
          <w:highlight w:val="none"/>
          <w:lang w:val="en-US" w:eastAsia="zh-CN" w:bidi="ar-SA"/>
        </w:rPr>
        <w:t>5.2作业计划编制</w:t>
      </w:r>
      <w:bookmarkEnd w:id="2111"/>
      <w:bookmarkEnd w:id="2112"/>
      <w:bookmarkEnd w:id="2113"/>
      <w:bookmarkEnd w:id="2114"/>
      <w:bookmarkEnd w:id="2115"/>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5.2.1比选申请人根据比选人提供的工程范围及工程量完成施工计划的编制，报比选人主管部门审核，由主管部门按照《运营公司施工管理规定》相关规定与流程报运营相关部门审批。</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5.2.2比选申请人根据比选人审批后的施工计划，分解为周施工计划，经比选人主管部门审核后，由主管部门按照《运营公司施工管理规定》相关规定与流程报运营相关部门审批。由主管部门向运营生产管理组申报施工作业计划，以便比选人掌握与监控作业。</w:t>
      </w:r>
    </w:p>
    <w:p>
      <w:pPr>
        <w:shd w:val="clear"/>
        <w:spacing w:before="0" w:after="0" w:afterAutospacing="0" w:line="600" w:lineRule="exact"/>
        <w:ind w:left="0" w:right="0" w:firstLine="565" w:firstLineChars="201"/>
        <w:jc w:val="both"/>
        <w:outlineLvl w:val="1"/>
        <w:rPr>
          <w:rFonts w:ascii="楷体" w:hAnsi="楷体" w:eastAsia="楷体" w:cs="Times New Roman"/>
          <w:b/>
          <w:sz w:val="28"/>
          <w:szCs w:val="28"/>
          <w:highlight w:val="none"/>
          <w:lang w:val="en-US" w:eastAsia="zh-CN" w:bidi="ar-SA"/>
        </w:rPr>
      </w:pPr>
      <w:bookmarkStart w:id="2116" w:name="_Toc1505"/>
      <w:bookmarkStart w:id="2117" w:name="_Toc9847"/>
      <w:bookmarkStart w:id="2118" w:name="_Toc10461"/>
      <w:bookmarkStart w:id="2119" w:name="_Toc137824301"/>
      <w:bookmarkStart w:id="2120" w:name="_Toc27569"/>
      <w:r>
        <w:rPr>
          <w:rFonts w:hint="eastAsia" w:ascii="楷体" w:hAnsi="楷体" w:eastAsia="楷体" w:cs="Times New Roman"/>
          <w:b/>
          <w:sz w:val="28"/>
          <w:szCs w:val="28"/>
          <w:highlight w:val="none"/>
          <w:lang w:val="en-US" w:eastAsia="zh-CN" w:bidi="ar-SA"/>
        </w:rPr>
        <w:t>5.3作业计划申报</w:t>
      </w:r>
      <w:bookmarkEnd w:id="2116"/>
      <w:bookmarkEnd w:id="2117"/>
      <w:bookmarkEnd w:id="2118"/>
      <w:bookmarkEnd w:id="2119"/>
      <w:bookmarkEnd w:id="2120"/>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5.3.1比选申请人根据编制的施工计划，按照《运营公司施工管理规定》及《施工前安全事项交底及作业工器具清点制度》等相关规定编制作业计划，规定填写配合要求等，并按照《运营公司施工管理规定》相关规定与流程申报作业计划，审批后取得《施工作业令》，取得施工作业令或进场施工许可单等相关资料，以便比选人掌握与监控作业。</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5.3.2《施工作业令》一经签发，不得无故做任何调整，如因特殊原因必须做出调整时，应由比选申请人向比选人在施工开始前6个小时提出调整或取消的建议，并注明原因。若比选人不同意调整，则必须照令执行。</w:t>
      </w:r>
    </w:p>
    <w:p>
      <w:pPr>
        <w:shd w:val="clear"/>
        <w:spacing w:before="0" w:after="0" w:afterAutospacing="0" w:line="600" w:lineRule="exact"/>
        <w:ind w:left="0" w:right="0" w:firstLine="565" w:firstLineChars="201"/>
        <w:jc w:val="both"/>
        <w:outlineLvl w:val="1"/>
        <w:rPr>
          <w:rFonts w:cs="Times New Roman" w:asciiTheme="minorEastAsia" w:hAnsiTheme="minorEastAsia" w:eastAsiaTheme="minorEastAsia"/>
          <w:b w:val="0"/>
          <w:sz w:val="28"/>
          <w:szCs w:val="28"/>
          <w:highlight w:val="none"/>
          <w:lang w:val="en-US" w:eastAsia="zh-CN" w:bidi="ar-SA"/>
        </w:rPr>
      </w:pPr>
      <w:bookmarkStart w:id="2121" w:name="_Toc1576"/>
      <w:bookmarkStart w:id="2122" w:name="_Toc137824302"/>
      <w:bookmarkStart w:id="2123" w:name="_Toc19752"/>
      <w:bookmarkStart w:id="2124" w:name="_Toc25113"/>
      <w:bookmarkStart w:id="2125" w:name="_Toc30613"/>
      <w:r>
        <w:rPr>
          <w:rFonts w:hint="eastAsia" w:ascii="楷体" w:hAnsi="楷体" w:eastAsia="楷体" w:cs="Times New Roman"/>
          <w:b/>
          <w:sz w:val="28"/>
          <w:szCs w:val="28"/>
          <w:highlight w:val="none"/>
          <w:lang w:val="en-US" w:eastAsia="zh-CN" w:bidi="ar-SA"/>
        </w:rPr>
        <w:t>5.4作业计划实施</w:t>
      </w:r>
      <w:bookmarkEnd w:id="2121"/>
      <w:bookmarkEnd w:id="2122"/>
      <w:bookmarkEnd w:id="2123"/>
      <w:bookmarkEnd w:id="2124"/>
      <w:bookmarkEnd w:id="2125"/>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5.4.1作业计划的实施</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5.4.1.1比选申请人根据比选人作业计划管理部门签发的施工作业令，组织施工人员在比选人的配合下，按照相关规定实施作业。</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5.4.1.2对已经批准的施工作业，比选申请人应按照作业要求安排相应人员及工器具，准时到场进行作业。</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5.4.2作业过程的控制</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为保证作业安全与质量，比选申请人应采取有效措施及预案确保自身作业安全与质量；比选人将以过程现场监控与事后监控两种形式对比选申请人的作业安全进行控制，但并不因此而免除比选申请人的安全与质量的职责。作业监控各流程及监控要点如下：</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5.4.2.1比选申请人收到《施工作业令》后，确认作业内容、作业时间及集结地点。</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5.4.2.2比选申请人根据作业内容及要求，准备好人员、材料、工器具，并向比选人报备。</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5.4.2.3比选申请人组织召开作业班前会，做好相关施工作业任务布置及安全措施。</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5.4.2.4比选申请人作业前严格执行请点登记制度，清点人员、材料、工器具；比选申请人按照相关工艺、材料及作业安全措施，掌握、跟踪作业进度，确保当日作业完成或阶段性作业结果不对乘客、运营等产生不良后果。</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5.4.2.5作业结束后，由比选申请人自检施工质量、填写及标记工程量、拍照、出清现场及销点等。</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5.4.2.6比选申请人组织召开作业班后会，进行作业过程及作业完成情况总结。</w:t>
      </w:r>
    </w:p>
    <w:p>
      <w:pPr>
        <w:shd w:val="clear"/>
        <w:spacing w:before="0" w:after="0" w:afterAutospacing="0" w:line="600" w:lineRule="exact"/>
        <w:ind w:left="0" w:right="0" w:firstLine="565" w:firstLineChars="201"/>
        <w:jc w:val="both"/>
        <w:outlineLvl w:val="1"/>
        <w:rPr>
          <w:rFonts w:ascii="楷体" w:hAnsi="楷体" w:eastAsia="楷体" w:cs="Times New Roman"/>
          <w:b/>
          <w:sz w:val="28"/>
          <w:szCs w:val="28"/>
          <w:highlight w:val="none"/>
          <w:lang w:val="en-US" w:eastAsia="zh-CN" w:bidi="ar-SA"/>
        </w:rPr>
      </w:pPr>
      <w:bookmarkStart w:id="2126" w:name="_Toc3408"/>
      <w:bookmarkStart w:id="2127" w:name="_Toc17731"/>
      <w:bookmarkStart w:id="2128" w:name="_Toc137824303"/>
      <w:bookmarkStart w:id="2129" w:name="_Toc7072"/>
      <w:bookmarkStart w:id="2130" w:name="_Toc8213"/>
      <w:r>
        <w:rPr>
          <w:rFonts w:hint="eastAsia" w:ascii="楷体" w:hAnsi="楷体" w:eastAsia="楷体" w:cs="Times New Roman"/>
          <w:b/>
          <w:sz w:val="28"/>
          <w:szCs w:val="28"/>
          <w:highlight w:val="none"/>
          <w:lang w:val="en-US" w:eastAsia="zh-CN" w:bidi="ar-SA"/>
        </w:rPr>
        <w:t>5.5作业要求</w:t>
      </w:r>
      <w:bookmarkEnd w:id="2126"/>
      <w:bookmarkEnd w:id="2127"/>
      <w:bookmarkEnd w:id="2128"/>
      <w:bookmarkEnd w:id="2129"/>
      <w:bookmarkEnd w:id="2130"/>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5.5.1比选申请人必须牢固树立“安全第一、预防为主”的思想，不断地加强员工的安全生产教育，将安全生产贯彻到日常的工作中。严格按照比选人《运营公司施工管理规定》《比选人作业通用安全实施守则》等文件的要求进行施工及检修作业，掌握、严守比选人制定的相关安全生产规章制度及员工安全守则等各项规章制度。</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5.5.2比选申请人必须服从比选人的管理，按照南宁轨道交通的相关要求进行施工，确保按质、按量地完成工作。</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5.5.3比选申请人应本着“实事求是、节约成本”的原则和态度进行施工工作。针对具体的情况，采取切实可行的办法进行处理，坚决杜绝夸大故障、浪费成本、敷衍了事现象的出现，切实维护合同双方的利益。</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 xml:space="preserve">5.5.4比选申请人针对该项目所投入的所有施工人员必须经过比选人相关部门所组织的安全培训并通过合格考试后方可进场作业，严禁任何未参加安全培训以及未通过合格考试的人员进场作业。 </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5.5.5对于比选人规定必须申报施工作业令的作业项目，比选申请人必须按照比选人相关进场作业的规定申报施工作业令，待施工作业令签发后，方可进场作业，在作业后必须办理相关销点手续并确认现场出清后方可撤离现场；对于比选人规定需要办理特种作业手续（如站/库内焊接、切割、登高作业等）方可进行的作业，比选申请人应该按照要求办理特种作业施工许可证，严禁违规操作；对于施工作业令要求其它部门配合方可进行的作业，比选申请人应严格按照施工作业令执行，在没有设施所属部门人员配合（或授权使用）的情况下，严禁动用其它部门所辖设施。</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5.5.6特种作业人员（如金属焊接切割、低压电工、登高等作业），必须持有政府等相关部门颁发的特种作业操作证方可上岗作业，并按照相关要求佩戴配套的防护劳保用品进行作业。严禁无证或不按照要求佩戴证件、防护、劳保用品人员上岗作业。</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5.5.7在作业中，比选申请人人员只负责施工区域内的工作，严禁超范围施工。未经允许严禁对施工区域内的设备设施进行操纵。</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5.5.8比选申请人应对本方人员进行文明生产教育，当比选申请人人员发现比选人要求存在差异时，应及时向相关负责人员反映，寻求解决；比选申请人作业人员不得与任何人进行争执。</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5.5.9比选申请人应该严格按照“安全第一、预防为主”的思想，不断地加强员工的安全生产教育，将安全生产贯彻到日常的工作中；对于比选人要求参加的安全生产会议，比选申请人应该认真的组织相关人员参加；对于比选人颁布的安全生产规定，比选申请人应不折不扣的执行；对于因比选申请人不按照相关安全规定进行作业所引发的损失、事故，比选申请人负全部责任。</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5.5.10比选申请人在施工过程中所发生的事故，比选申请人应本着“诚实、合作、及时”的思想及时通知比选人，配合比选人做好事故的调查和分析工作，不得隐瞒或推卸责任。</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5.5.11施工负责人必须做好作业人员、工器具作业前后清点、拍照工作，在作业结束前30分钟做好场地清理。</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5.5.12施工过程中涉及其他专业重要设备设施的，由设备设施所属专业提供配合并负责恢复，配合过程中因比选申请人所导致的直接及间接经济损失由比选申请人承担。</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5.5.13施工前要由负责人员向施工人员进行技术交底及安全要求交底，未经教育者不得进入施工现场，凡参加安全技术交底的人员要履行签字手续，并保存资料。项目中安排专职安全检查，对安全技术措施的执行情况，进行监督检查，并做好记录。对违反质量安全要求者，应及时上报并依据制度进行处罚。</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5.5.14每次作业前需召开班前会，主要包括生产任务安排及安全教育，由施工负责人负责，并做会议记录。</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5.5.15过程中涉及其他专业重要设施的，由设施所属专业提供配合并负责恢复，配合过程中因比选申请人所导致的经济损失由比选申请人承担。</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5.5.16如需进行临时用电作业，比选申请人须办理临时用电申请手续并制定防范措施，经比选人审核同意后方可开展。</w:t>
      </w:r>
    </w:p>
    <w:p>
      <w:pPr>
        <w:shd w:val="clear"/>
        <w:spacing w:before="0" w:after="0" w:afterAutospacing="0" w:line="600" w:lineRule="exact"/>
        <w:ind w:left="0" w:right="0" w:firstLine="565" w:firstLineChars="201"/>
        <w:jc w:val="both"/>
        <w:outlineLvl w:val="1"/>
        <w:rPr>
          <w:rFonts w:cs="Times New Roman" w:asciiTheme="minorEastAsia" w:hAnsiTheme="minorEastAsia" w:eastAsiaTheme="minorEastAsia"/>
          <w:b w:val="0"/>
          <w:sz w:val="28"/>
          <w:szCs w:val="28"/>
          <w:highlight w:val="none"/>
          <w:lang w:val="en-US" w:eastAsia="zh-CN" w:bidi="ar-SA"/>
        </w:rPr>
      </w:pPr>
      <w:bookmarkStart w:id="2131" w:name="_Toc12861"/>
      <w:bookmarkStart w:id="2132" w:name="_Toc18072"/>
      <w:bookmarkStart w:id="2133" w:name="_Toc137824304"/>
      <w:bookmarkStart w:id="2134" w:name="_Toc16923"/>
      <w:r>
        <w:rPr>
          <w:rFonts w:hint="eastAsia" w:ascii="楷体" w:hAnsi="楷体" w:eastAsia="楷体" w:cs="Times New Roman"/>
          <w:b/>
          <w:sz w:val="28"/>
          <w:szCs w:val="28"/>
          <w:highlight w:val="none"/>
          <w:lang w:val="en-US" w:eastAsia="zh-CN" w:bidi="ar-SA"/>
        </w:rPr>
        <w:t>5.6作业场地及条件</w:t>
      </w:r>
      <w:bookmarkEnd w:id="2131"/>
      <w:bookmarkEnd w:id="2132"/>
      <w:bookmarkEnd w:id="2133"/>
      <w:bookmarkEnd w:id="2134"/>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5.6.1作业场地</w:t>
      </w:r>
    </w:p>
    <w:p>
      <w:pPr>
        <w:shd w:val="clear"/>
        <w:spacing w:before="0" w:after="0" w:afterAutospacing="0" w:line="600" w:lineRule="exact"/>
        <w:ind w:left="1" w:right="0" w:firstLine="565" w:firstLineChars="202"/>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南宁市云景路69号</w:t>
      </w:r>
      <w:r>
        <w:rPr>
          <w:rFonts w:hint="eastAsia" w:cs="Times New Roman" w:asciiTheme="minorEastAsia" w:hAnsiTheme="minorEastAsia" w:eastAsiaTheme="minorEastAsia"/>
          <w:sz w:val="28"/>
          <w:szCs w:val="28"/>
          <w:highlight w:val="none"/>
          <w:lang w:eastAsia="zh-CN"/>
        </w:rPr>
        <w:t>南宁轨道交通运营有限公司</w:t>
      </w:r>
      <w:r>
        <w:rPr>
          <w:rFonts w:hint="eastAsia" w:cs="Times New Roman" w:asciiTheme="minorEastAsia" w:hAnsiTheme="minorEastAsia" w:eastAsiaTheme="minorEastAsia"/>
          <w:sz w:val="28"/>
          <w:szCs w:val="28"/>
          <w:highlight w:val="none"/>
        </w:rPr>
        <w:t>控制中心内室外70个电动汽车充电桩车棚，分别位于控制中心A1楼后方及右侧。</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5.6.2作业时间</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5.6.2.1具体工作时间以甲方发布的正式作业令为准。</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5.6.2.2上述作业时间均包括施工前准备、请销点、工器具搬运、进出场以及作业出清时间。</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5.6.3限制条件</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5.6.3.1比选申请人须自行考虑工器具的运输问题。</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5.6.3.2每次施工作业均需要按照比选人施工管理相关规定，提前申报作业计划，办理请销点手续。</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5.6.4比选人提供的条件</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5.6.4.1按已有的水电接口免费提供施工作业用电、用水。</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5.6.4.2对作业人员进行安全培训，但这些培训不能代替比选申请人自身对作业人员的安全培训。</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5.6.4.3协调比选人内部各部门之间的工作。</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5.6.4.4办理有关施工作业的审批手续。</w:t>
      </w:r>
    </w:p>
    <w:p>
      <w:pPr>
        <w:shd w:val="clear"/>
        <w:spacing w:before="0" w:after="0" w:afterAutospacing="0" w:line="600" w:lineRule="exact"/>
        <w:ind w:left="0" w:righ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5.6.4.5提供项目执行必须的技术资料和规章制度。</w:t>
      </w:r>
    </w:p>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p>
      <w:pPr>
        <w:numPr>
          <w:ilvl w:val="0"/>
          <w:numId w:val="19"/>
        </w:numPr>
        <w:shd w:val="clear"/>
        <w:spacing w:before="0" w:after="0" w:afterAutospacing="0" w:line="600" w:lineRule="exact"/>
        <w:ind w:left="709" w:right="0" w:hanging="709"/>
        <w:jc w:val="both"/>
        <w:outlineLvl w:val="0"/>
        <w:rPr>
          <w:rFonts w:hint="eastAsia" w:ascii="黑体" w:hAnsi="黑体" w:eastAsia="黑体" w:cs="Times New Roman"/>
          <w:b/>
          <w:sz w:val="28"/>
          <w:szCs w:val="28"/>
          <w:highlight w:val="none"/>
          <w:lang w:val="en-US" w:eastAsia="zh-CN" w:bidi="ar-SA"/>
        </w:rPr>
      </w:pPr>
      <w:bookmarkStart w:id="2135" w:name="_Toc24332"/>
      <w:bookmarkStart w:id="2136" w:name="_Toc9212"/>
      <w:bookmarkStart w:id="2137" w:name="_Toc137824305"/>
      <w:bookmarkStart w:id="2138" w:name="_Toc27373"/>
      <w:r>
        <w:rPr>
          <w:rFonts w:hint="eastAsia" w:ascii="黑体" w:hAnsi="黑体" w:eastAsia="黑体" w:cs="Times New Roman"/>
          <w:b/>
          <w:sz w:val="28"/>
          <w:szCs w:val="28"/>
          <w:highlight w:val="none"/>
          <w:lang w:val="en-US" w:eastAsia="zh-CN" w:bidi="ar-SA"/>
        </w:rPr>
        <w:t>考核条款</w:t>
      </w:r>
      <w:bookmarkEnd w:id="2135"/>
      <w:bookmarkEnd w:id="2136"/>
      <w:bookmarkEnd w:id="2137"/>
      <w:bookmarkEnd w:id="2138"/>
    </w:p>
    <w:p>
      <w:pPr>
        <w:numPr>
          <w:ilvl w:val="0"/>
          <w:numId w:val="0"/>
        </w:numPr>
        <w:shd w:val="clear"/>
        <w:spacing w:before="0" w:after="0" w:afterAutospacing="0" w:line="600" w:lineRule="exact"/>
        <w:ind w:right="0" w:rightChars="0" w:firstLine="560" w:firstLineChars="200"/>
        <w:jc w:val="both"/>
        <w:outlineLvl w:val="0"/>
        <w:rPr>
          <w:rFonts w:hint="default" w:cs="Times New Roman" w:asciiTheme="minorEastAsia" w:hAnsiTheme="minorEastAsia" w:eastAsiaTheme="minorEastAsia"/>
          <w:sz w:val="28"/>
          <w:szCs w:val="28"/>
          <w:highlight w:val="none"/>
          <w:lang w:val="en-US" w:eastAsia="zh-CN" w:bidi="ar-SA"/>
        </w:rPr>
      </w:pPr>
      <w:r>
        <w:rPr>
          <w:rFonts w:hint="eastAsia" w:cs="Times New Roman" w:asciiTheme="minorEastAsia" w:hAnsiTheme="minorEastAsia" w:eastAsiaTheme="minorEastAsia"/>
          <w:sz w:val="28"/>
          <w:szCs w:val="28"/>
          <w:highlight w:val="none"/>
          <w:lang w:val="en-US" w:eastAsia="zh-CN" w:bidi="ar-SA"/>
        </w:rPr>
        <w:t>详见合同条款11.违约责任</w:t>
      </w:r>
    </w:p>
    <w:p>
      <w:pPr>
        <w:shd w:val="clear"/>
        <w:spacing w:before="0" w:after="0" w:afterAutospacing="0" w:line="600" w:lineRule="exact"/>
        <w:ind w:left="709" w:right="0" w:hanging="709"/>
        <w:jc w:val="both"/>
        <w:outlineLvl w:val="0"/>
        <w:rPr>
          <w:rFonts w:ascii="黑体" w:hAnsi="黑体" w:eastAsia="黑体" w:cs="Times New Roman"/>
          <w:b/>
          <w:sz w:val="28"/>
          <w:szCs w:val="28"/>
          <w:highlight w:val="none"/>
          <w:lang w:val="en-US" w:eastAsia="zh-CN" w:bidi="ar-SA"/>
        </w:rPr>
      </w:pPr>
      <w:bookmarkStart w:id="2139" w:name="_Toc16706"/>
      <w:bookmarkStart w:id="2140" w:name="_Toc21813"/>
      <w:bookmarkStart w:id="2141" w:name="_Toc137824308"/>
      <w:bookmarkStart w:id="2142" w:name="_Toc727"/>
      <w:bookmarkStart w:id="2143" w:name="_Toc11978"/>
      <w:r>
        <w:rPr>
          <w:rFonts w:hint="eastAsia" w:ascii="黑体" w:hAnsi="黑体" w:eastAsia="黑体" w:cs="Times New Roman"/>
          <w:b/>
          <w:sz w:val="28"/>
          <w:szCs w:val="28"/>
          <w:highlight w:val="none"/>
          <w:lang w:val="en-US" w:eastAsia="zh-CN" w:bidi="ar-SA"/>
        </w:rPr>
        <w:t>7、验收要求</w:t>
      </w:r>
      <w:bookmarkEnd w:id="2139"/>
      <w:bookmarkEnd w:id="2140"/>
      <w:bookmarkEnd w:id="2141"/>
      <w:bookmarkEnd w:id="2142"/>
      <w:bookmarkEnd w:id="2143"/>
    </w:p>
    <w:p>
      <w:pPr>
        <w:numPr>
          <w:ilvl w:val="0"/>
          <w:numId w:val="0"/>
        </w:numPr>
        <w:shd w:val="clear"/>
        <w:spacing w:before="0" w:after="0" w:afterAutospacing="0" w:line="600" w:lineRule="exact"/>
        <w:ind w:right="0" w:rightChars="0" w:firstLine="560" w:firstLineChars="200"/>
        <w:jc w:val="both"/>
        <w:outlineLvl w:val="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lang w:val="en-US" w:eastAsia="zh-CN" w:bidi="ar-SA"/>
        </w:rPr>
        <w:t>详见合同条款12.验收</w:t>
      </w:r>
      <w:r>
        <w:rPr>
          <w:rFonts w:hint="eastAsia" w:cs="Times New Roman" w:asciiTheme="minorEastAsia" w:hAnsiTheme="minorEastAsia" w:eastAsiaTheme="minorEastAsia"/>
          <w:sz w:val="28"/>
          <w:szCs w:val="28"/>
          <w:highlight w:val="none"/>
        </w:rPr>
        <w:t xml:space="preserve">            </w:t>
      </w:r>
    </w:p>
    <w:p>
      <w:pPr>
        <w:shd w:val="clear"/>
        <w:spacing w:before="0" w:after="0" w:afterAutospacing="0" w:line="600" w:lineRule="exact"/>
        <w:ind w:left="709" w:right="0" w:hanging="709"/>
        <w:jc w:val="both"/>
        <w:outlineLvl w:val="0"/>
        <w:rPr>
          <w:rFonts w:ascii="黑体" w:hAnsi="黑体" w:eastAsia="黑体" w:cs="Times New Roman"/>
          <w:b/>
          <w:sz w:val="28"/>
          <w:szCs w:val="28"/>
          <w:highlight w:val="none"/>
          <w:lang w:val="en-US" w:eastAsia="zh-CN" w:bidi="ar-SA"/>
        </w:rPr>
      </w:pPr>
      <w:bookmarkStart w:id="2144" w:name="_Toc9775"/>
      <w:bookmarkStart w:id="2145" w:name="_Toc137824312"/>
      <w:bookmarkStart w:id="2146" w:name="_Toc28432"/>
      <w:bookmarkStart w:id="2147" w:name="_Toc32308"/>
      <w:bookmarkStart w:id="2148" w:name="_Toc27903"/>
      <w:r>
        <w:rPr>
          <w:rFonts w:hint="eastAsia" w:ascii="黑体" w:hAnsi="黑体" w:eastAsia="黑体" w:cs="Times New Roman"/>
          <w:b/>
          <w:sz w:val="28"/>
          <w:szCs w:val="28"/>
          <w:highlight w:val="none"/>
          <w:lang w:val="en-US" w:eastAsia="zh-CN" w:bidi="ar-SA"/>
        </w:rPr>
        <w:t>8、其他附件</w:t>
      </w:r>
      <w:bookmarkEnd w:id="2144"/>
      <w:bookmarkEnd w:id="2145"/>
      <w:bookmarkEnd w:id="2146"/>
      <w:bookmarkEnd w:id="2147"/>
      <w:bookmarkEnd w:id="2148"/>
    </w:p>
    <w:p>
      <w:pPr>
        <w:shd w:val="clear"/>
        <w:spacing w:before="0" w:after="0" w:afterAutospacing="0" w:line="360" w:lineRule="exact"/>
        <w:ind w:left="0" w:right="-28" w:firstLine="562" w:firstLineChars="201"/>
        <w:jc w:val="both"/>
        <w:outlineLvl w:val="1"/>
        <w:rPr>
          <w:rFonts w:cs="Times New Roman" w:asciiTheme="minorEastAsia" w:hAnsiTheme="minorEastAsia" w:eastAsiaTheme="minorEastAsia"/>
          <w:b w:val="0"/>
          <w:sz w:val="28"/>
          <w:szCs w:val="28"/>
          <w:highlight w:val="none"/>
          <w:lang w:val="en-US" w:eastAsia="zh-CN" w:bidi="ar-SA"/>
        </w:rPr>
      </w:pPr>
      <w:bookmarkStart w:id="2149" w:name="_Toc7335"/>
      <w:bookmarkStart w:id="2150" w:name="_Toc137824313"/>
      <w:bookmarkStart w:id="2151" w:name="_Toc15755"/>
      <w:bookmarkStart w:id="2152" w:name="_Toc1950"/>
      <w:bookmarkStart w:id="2153" w:name="_Toc16162"/>
      <w:r>
        <w:rPr>
          <w:rFonts w:hint="eastAsia" w:cs="Times New Roman" w:asciiTheme="minorEastAsia" w:hAnsiTheme="minorEastAsia" w:eastAsiaTheme="minorEastAsia"/>
          <w:b w:val="0"/>
          <w:sz w:val="28"/>
          <w:szCs w:val="28"/>
          <w:highlight w:val="none"/>
          <w:lang w:val="en-US" w:eastAsia="zh-CN" w:bidi="ar-SA"/>
        </w:rPr>
        <w:t>附件1：合同违约处罚通知单</w:t>
      </w:r>
      <w:bookmarkEnd w:id="2149"/>
      <w:bookmarkEnd w:id="2150"/>
      <w:bookmarkEnd w:id="2151"/>
      <w:bookmarkEnd w:id="2152"/>
      <w:bookmarkEnd w:id="2153"/>
    </w:p>
    <w:p>
      <w:pPr>
        <w:shd w:val="clear"/>
        <w:spacing w:after="0" w:afterAutospacing="0" w:line="360" w:lineRule="exact"/>
        <w:ind w:lef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附件2：项目设施进场前质量检查表</w:t>
      </w:r>
    </w:p>
    <w:p>
      <w:pPr>
        <w:shd w:val="clear"/>
        <w:spacing w:after="0" w:afterAutospacing="0" w:line="360" w:lineRule="exact"/>
        <w:ind w:lef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附件3：项目设施安装质量检查表</w:t>
      </w:r>
    </w:p>
    <w:p>
      <w:pPr>
        <w:shd w:val="clear"/>
        <w:spacing w:after="0" w:afterAutospacing="0" w:line="360" w:lineRule="exact"/>
        <w:ind w:lef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附件4：喷淋管道试压记录报告</w:t>
      </w:r>
    </w:p>
    <w:p>
      <w:pPr>
        <w:shd w:val="clear"/>
        <w:spacing w:after="0" w:afterAutospacing="0" w:line="360" w:lineRule="exact"/>
        <w:ind w:lef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附件5：项目冲洗记录表</w:t>
      </w:r>
    </w:p>
    <w:p>
      <w:pPr>
        <w:shd w:val="clear"/>
        <w:spacing w:after="0" w:afterAutospacing="0" w:line="360" w:lineRule="exact"/>
        <w:ind w:lef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附件6：项目管道防腐及隐蔽前工程检查表</w:t>
      </w:r>
    </w:p>
    <w:p>
      <w:pPr>
        <w:shd w:val="clear"/>
        <w:spacing w:after="0" w:afterAutospacing="0" w:line="360" w:lineRule="exact"/>
        <w:ind w:lef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附件7：项目隐蔽工程检查表</w:t>
      </w:r>
    </w:p>
    <w:p>
      <w:pPr>
        <w:shd w:val="clear"/>
        <w:spacing w:after="0" w:afterAutospacing="0" w:line="360" w:lineRule="exact"/>
        <w:ind w:left="0" w:firstLine="560" w:firstLineChars="200"/>
        <w:rPr>
          <w:rFonts w:cs="Times New Roman" w:asciiTheme="minorEastAsia" w:hAnsiTheme="minorEastAsia" w:eastAsiaTheme="minorEastAsia"/>
          <w:sz w:val="28"/>
          <w:szCs w:val="28"/>
          <w:highlight w:val="none"/>
        </w:rPr>
      </w:pPr>
      <w:r>
        <w:rPr>
          <w:rFonts w:hint="eastAsia" w:cs="Times New Roman" w:asciiTheme="minorEastAsia" w:hAnsiTheme="minorEastAsia" w:eastAsiaTheme="minorEastAsia"/>
          <w:sz w:val="28"/>
          <w:szCs w:val="28"/>
          <w:highlight w:val="none"/>
        </w:rPr>
        <w:t>附件8：项目使用功能测试记录表</w:t>
      </w:r>
    </w:p>
    <w:p>
      <w:pPr>
        <w:shd w:val="clear"/>
        <w:spacing w:after="0" w:afterAutospacing="0" w:line="360" w:lineRule="exact"/>
        <w:ind w:left="0" w:firstLine="560" w:firstLineChars="200"/>
        <w:rPr>
          <w:rFonts w:cs="Times New Roman" w:asciiTheme="minorEastAsia" w:hAnsiTheme="minorEastAsia" w:eastAsiaTheme="minorEastAsia"/>
          <w:b/>
          <w:highlight w:val="none"/>
        </w:rPr>
      </w:pPr>
      <w:r>
        <w:rPr>
          <w:rFonts w:hint="eastAsia" w:cs="Times New Roman" w:asciiTheme="minorEastAsia" w:hAnsiTheme="minorEastAsia" w:eastAsiaTheme="minorEastAsia"/>
          <w:sz w:val="28"/>
          <w:szCs w:val="28"/>
          <w:highlight w:val="none"/>
        </w:rPr>
        <w:t>附件9：委外项目实体工程作业质、量、进度现场验收表</w:t>
      </w:r>
      <w:r>
        <w:rPr>
          <w:rFonts w:cs="Times New Roman" w:asciiTheme="minorEastAsia" w:hAnsiTheme="minorEastAsia" w:eastAsiaTheme="minorEastAsia"/>
          <w:b/>
          <w:highlight w:val="none"/>
        </w:rPr>
        <w:br w:type="page"/>
      </w:r>
    </w:p>
    <w:p>
      <w:pPr>
        <w:shd w:val="clear"/>
        <w:spacing w:before="0" w:after="0" w:afterAutospacing="0"/>
        <w:ind w:left="0" w:right="0" w:firstLine="0"/>
        <w:jc w:val="left"/>
        <w:rPr>
          <w:rFonts w:cs="Times New Roman" w:asciiTheme="minorEastAsia" w:hAnsiTheme="minorEastAsia" w:eastAsiaTheme="minorEastAsia"/>
          <w:highlight w:val="none"/>
        </w:rPr>
      </w:pPr>
      <w:r>
        <w:rPr>
          <w:rFonts w:hint="eastAsia" w:cs="Times New Roman" w:asciiTheme="minorEastAsia" w:hAnsiTheme="minorEastAsia" w:eastAsiaTheme="minorEastAsia"/>
          <w:highlight w:val="none"/>
        </w:rPr>
        <w:t>附件1：合同违约处理通知单</w:t>
      </w:r>
    </w:p>
    <w:p>
      <w:pPr>
        <w:shd w:val="clear"/>
        <w:jc w:val="center"/>
        <w:rPr>
          <w:rFonts w:ascii="黑体" w:hAnsi="宋体" w:eastAsia="黑体" w:cs="Times New Roman"/>
          <w:sz w:val="36"/>
          <w:szCs w:val="36"/>
          <w:highlight w:val="none"/>
        </w:rPr>
      </w:pPr>
      <w:r>
        <w:rPr>
          <w:rFonts w:hint="eastAsia" w:ascii="黑体" w:hAnsi="宋体" w:eastAsia="黑体" w:cs="Times New Roman"/>
          <w:sz w:val="36"/>
          <w:szCs w:val="36"/>
          <w:highlight w:val="none"/>
        </w:rPr>
        <w:t>合同违约处理通知单</w:t>
      </w:r>
    </w:p>
    <w:p>
      <w:pPr>
        <w:shd w:val="clear"/>
        <w:spacing w:after="0" w:afterAutospacing="0" w:line="240" w:lineRule="auto"/>
        <w:jc w:val="right"/>
        <w:rPr>
          <w:rFonts w:ascii="宋体" w:hAnsi="宋体" w:eastAsia="宋体" w:cs="Times New Roman"/>
          <w:highlight w:val="none"/>
        </w:rPr>
      </w:pPr>
      <w:r>
        <w:rPr>
          <w:rFonts w:hint="eastAsia" w:ascii="Times New Roman" w:hAnsi="宋体" w:eastAsia="宋体" w:cs="宋体"/>
          <w:b/>
          <w:sz w:val="32"/>
          <w:szCs w:val="32"/>
          <w:highlight w:val="none"/>
        </w:rPr>
        <w:t xml:space="preserve">                             </w:t>
      </w:r>
      <w:r>
        <w:rPr>
          <w:rFonts w:hint="eastAsia" w:ascii="Times New Roman" w:hAnsi="宋体" w:eastAsia="宋体" w:cs="Times New Roman"/>
          <w:b/>
          <w:highlight w:val="none"/>
        </w:rPr>
        <w:t>编号：</w:t>
      </w:r>
      <w:r>
        <w:rPr>
          <w:rFonts w:hint="eastAsia" w:ascii="Times New Roman" w:hAnsi="宋体" w:eastAsia="宋体" w:cs="Times New Roman"/>
          <w:bCs/>
          <w:highlight w:val="none"/>
        </w:rPr>
        <w:t>合同编号-年月-两位数流水号</w:t>
      </w:r>
    </w:p>
    <w:tbl>
      <w:tblPr>
        <w:tblStyle w:val="28"/>
        <w:tblpPr w:leftFromText="180" w:rightFromText="180" w:vertAnchor="text" w:horzAnchor="page" w:tblpXSpec="center" w:tblpY="212"/>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
        <w:gridCol w:w="1594"/>
        <w:gridCol w:w="1757"/>
        <w:gridCol w:w="1283"/>
        <w:gridCol w:w="49"/>
        <w:gridCol w:w="1560"/>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2122" w:type="dxa"/>
            <w:gridSpan w:val="2"/>
            <w:tcBorders>
              <w:top w:val="thinThickSmallGap" w:color="auto" w:sz="18" w:space="0"/>
              <w:left w:val="thinThickSmallGap" w:color="auto" w:sz="18" w:space="0"/>
              <w:bottom w:val="single" w:color="auto" w:sz="4" w:space="0"/>
              <w:right w:val="single" w:color="auto" w:sz="4" w:space="0"/>
            </w:tcBorders>
            <w:vAlign w:val="center"/>
          </w:tcPr>
          <w:p>
            <w:pPr>
              <w:shd w:val="clear"/>
              <w:spacing w:before="0" w:after="0" w:afterAutospacing="0"/>
              <w:jc w:val="center"/>
              <w:rPr>
                <w:rFonts w:ascii="宋体" w:hAnsi="宋体" w:eastAsia="宋体" w:cs="Times New Roman"/>
                <w:b/>
                <w:sz w:val="24"/>
                <w:highlight w:val="none"/>
              </w:rPr>
            </w:pPr>
            <w:r>
              <w:rPr>
                <w:rFonts w:hint="eastAsia" w:ascii="宋体" w:hAnsi="宋体" w:eastAsia="宋体" w:cs="Times New Roman"/>
                <w:b/>
                <w:highlight w:val="none"/>
              </w:rPr>
              <w:t>项目名称</w:t>
            </w:r>
          </w:p>
        </w:tc>
        <w:tc>
          <w:tcPr>
            <w:tcW w:w="3089" w:type="dxa"/>
            <w:gridSpan w:val="3"/>
            <w:tcBorders>
              <w:top w:val="thinThickSmallGap" w:color="auto" w:sz="18" w:space="0"/>
              <w:left w:val="single" w:color="auto" w:sz="4" w:space="0"/>
              <w:bottom w:val="single" w:color="auto" w:sz="4" w:space="0"/>
              <w:right w:val="single" w:color="auto" w:sz="4" w:space="0"/>
            </w:tcBorders>
            <w:vAlign w:val="center"/>
          </w:tcPr>
          <w:p>
            <w:pPr>
              <w:shd w:val="clear"/>
              <w:spacing w:before="0" w:after="0" w:afterAutospacing="0"/>
              <w:jc w:val="center"/>
              <w:rPr>
                <w:rFonts w:ascii="宋体" w:hAnsi="宋体" w:eastAsia="宋体" w:cs="Times New Roman"/>
                <w:b/>
                <w:highlight w:val="none"/>
              </w:rPr>
            </w:pPr>
          </w:p>
        </w:tc>
        <w:tc>
          <w:tcPr>
            <w:tcW w:w="1560" w:type="dxa"/>
            <w:tcBorders>
              <w:top w:val="thinThickSmallGap" w:color="auto" w:sz="18" w:space="0"/>
              <w:left w:val="single" w:color="auto" w:sz="4" w:space="0"/>
              <w:bottom w:val="single" w:color="auto" w:sz="4" w:space="0"/>
              <w:right w:val="single" w:color="auto" w:sz="4" w:space="0"/>
            </w:tcBorders>
            <w:vAlign w:val="center"/>
          </w:tcPr>
          <w:p>
            <w:pPr>
              <w:shd w:val="clear"/>
              <w:spacing w:before="0" w:after="0" w:afterAutospacing="0"/>
              <w:jc w:val="center"/>
              <w:rPr>
                <w:rFonts w:ascii="宋体" w:hAnsi="宋体" w:eastAsia="宋体" w:cs="Times New Roman"/>
                <w:b/>
                <w:sz w:val="24"/>
                <w:highlight w:val="none"/>
              </w:rPr>
            </w:pPr>
            <w:r>
              <w:rPr>
                <w:rFonts w:hint="eastAsia" w:ascii="宋体" w:hAnsi="宋体" w:eastAsia="宋体" w:cs="Times New Roman"/>
                <w:b/>
                <w:highlight w:val="none"/>
              </w:rPr>
              <w:t>合同编号</w:t>
            </w:r>
          </w:p>
        </w:tc>
        <w:tc>
          <w:tcPr>
            <w:tcW w:w="2693" w:type="dxa"/>
            <w:tcBorders>
              <w:top w:val="thinThickSmallGap" w:color="auto" w:sz="18" w:space="0"/>
              <w:left w:val="single" w:color="auto" w:sz="4" w:space="0"/>
              <w:bottom w:val="single" w:color="auto" w:sz="4" w:space="0"/>
              <w:right w:val="thinThickSmallGap" w:color="auto" w:sz="18" w:space="0"/>
            </w:tcBorders>
            <w:vAlign w:val="center"/>
          </w:tcPr>
          <w:p>
            <w:pPr>
              <w:shd w:val="clear"/>
              <w:spacing w:before="0" w:after="0" w:afterAutospacing="0"/>
              <w:jc w:val="center"/>
              <w:rPr>
                <w:rFonts w:ascii="宋体" w:hAnsi="宋体" w:eastAsia="宋体"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2122" w:type="dxa"/>
            <w:gridSpan w:val="2"/>
            <w:tcBorders>
              <w:top w:val="single" w:color="auto" w:sz="4" w:space="0"/>
              <w:left w:val="thinThickSmallGap" w:color="auto" w:sz="18" w:space="0"/>
              <w:bottom w:val="single" w:color="auto" w:sz="4" w:space="0"/>
              <w:right w:val="single" w:color="auto" w:sz="4" w:space="0"/>
            </w:tcBorders>
            <w:vAlign w:val="center"/>
          </w:tcPr>
          <w:p>
            <w:pPr>
              <w:shd w:val="clear"/>
              <w:spacing w:before="0" w:after="0" w:afterAutospacing="0"/>
              <w:jc w:val="center"/>
              <w:rPr>
                <w:rFonts w:ascii="宋体" w:hAnsi="宋体" w:eastAsia="宋体" w:cs="Times New Roman"/>
                <w:b/>
                <w:sz w:val="24"/>
                <w:highlight w:val="none"/>
              </w:rPr>
            </w:pPr>
            <w:r>
              <w:rPr>
                <w:rFonts w:hint="eastAsia" w:ascii="宋体" w:hAnsi="宋体" w:eastAsia="宋体" w:cs="Times New Roman"/>
                <w:b/>
                <w:highlight w:val="none"/>
              </w:rPr>
              <w:t>承包商</w:t>
            </w:r>
          </w:p>
        </w:tc>
        <w:tc>
          <w:tcPr>
            <w:tcW w:w="3089" w:type="dxa"/>
            <w:gridSpan w:val="3"/>
            <w:tcBorders>
              <w:top w:val="single" w:color="auto" w:sz="4" w:space="0"/>
              <w:left w:val="single" w:color="auto" w:sz="4" w:space="0"/>
              <w:bottom w:val="single" w:color="auto" w:sz="4" w:space="0"/>
              <w:right w:val="single" w:color="auto" w:sz="4" w:space="0"/>
            </w:tcBorders>
            <w:vAlign w:val="center"/>
          </w:tcPr>
          <w:p>
            <w:pPr>
              <w:shd w:val="clear"/>
              <w:spacing w:before="0" w:after="0" w:afterAutospacing="0"/>
              <w:jc w:val="center"/>
              <w:rPr>
                <w:rFonts w:ascii="宋体" w:hAnsi="宋体" w:eastAsia="宋体" w:cs="Times New Roman"/>
                <w:highlight w:val="none"/>
              </w:rPr>
            </w:pPr>
          </w:p>
        </w:tc>
        <w:tc>
          <w:tcPr>
            <w:tcW w:w="1560" w:type="dxa"/>
            <w:tcBorders>
              <w:top w:val="single" w:color="auto" w:sz="4" w:space="0"/>
              <w:left w:val="single" w:color="auto" w:sz="4" w:space="0"/>
              <w:bottom w:val="single" w:color="auto" w:sz="4" w:space="0"/>
              <w:right w:val="single" w:color="auto" w:sz="4" w:space="0"/>
            </w:tcBorders>
            <w:vAlign w:val="center"/>
          </w:tcPr>
          <w:p>
            <w:pPr>
              <w:shd w:val="clear"/>
              <w:spacing w:before="0" w:after="0" w:afterAutospacing="0" w:line="0" w:lineRule="atLeast"/>
              <w:ind w:right="-28"/>
              <w:jc w:val="center"/>
              <w:rPr>
                <w:rFonts w:ascii="宋体" w:hAnsi="宋体" w:eastAsia="宋体" w:cs="Times New Roman"/>
                <w:b/>
                <w:highlight w:val="none"/>
              </w:rPr>
            </w:pPr>
            <w:r>
              <w:rPr>
                <w:rFonts w:hint="eastAsia" w:ascii="宋体" w:hAnsi="宋体" w:eastAsia="宋体" w:cs="Times New Roman"/>
                <w:b/>
                <w:highlight w:val="none"/>
              </w:rPr>
              <w:t>运营公司</w:t>
            </w:r>
          </w:p>
          <w:p>
            <w:pPr>
              <w:shd w:val="clear"/>
              <w:spacing w:before="0" w:after="0" w:afterAutospacing="0" w:line="0" w:lineRule="atLeast"/>
              <w:ind w:right="-28"/>
              <w:jc w:val="center"/>
              <w:rPr>
                <w:rFonts w:ascii="宋体" w:hAnsi="宋体" w:eastAsia="宋体" w:cs="Times New Roman"/>
                <w:b/>
                <w:sz w:val="24"/>
                <w:highlight w:val="none"/>
              </w:rPr>
            </w:pPr>
            <w:r>
              <w:rPr>
                <w:rFonts w:hint="eastAsia" w:ascii="宋体" w:hAnsi="宋体" w:eastAsia="宋体" w:cs="Times New Roman"/>
                <w:b/>
                <w:highlight w:val="none"/>
              </w:rPr>
              <w:t>主办部门</w:t>
            </w:r>
          </w:p>
        </w:tc>
        <w:tc>
          <w:tcPr>
            <w:tcW w:w="2693" w:type="dxa"/>
            <w:tcBorders>
              <w:top w:val="single" w:color="auto" w:sz="4" w:space="0"/>
              <w:left w:val="single" w:color="auto" w:sz="4" w:space="0"/>
              <w:bottom w:val="single" w:color="auto" w:sz="4" w:space="0"/>
              <w:right w:val="thinThickSmallGap" w:color="auto" w:sz="18" w:space="0"/>
            </w:tcBorders>
            <w:vAlign w:val="center"/>
          </w:tcPr>
          <w:p>
            <w:pPr>
              <w:shd w:val="clear"/>
              <w:spacing w:before="0" w:after="0" w:afterAutospacing="0"/>
              <w:jc w:val="center"/>
              <w:rPr>
                <w:rFonts w:ascii="宋体" w:hAnsi="宋体" w:eastAsia="宋体"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7" w:hRule="atLeast"/>
        </w:trPr>
        <w:tc>
          <w:tcPr>
            <w:tcW w:w="2122" w:type="dxa"/>
            <w:gridSpan w:val="2"/>
            <w:tcBorders>
              <w:top w:val="single" w:color="auto" w:sz="4" w:space="0"/>
              <w:left w:val="thinThickSmallGap" w:color="auto" w:sz="18" w:space="0"/>
              <w:bottom w:val="single" w:color="auto" w:sz="4" w:space="0"/>
              <w:right w:val="single" w:color="auto" w:sz="4" w:space="0"/>
            </w:tcBorders>
            <w:vAlign w:val="center"/>
          </w:tcPr>
          <w:p>
            <w:pPr>
              <w:shd w:val="clear"/>
              <w:spacing w:before="0" w:after="0" w:afterAutospacing="0"/>
              <w:jc w:val="center"/>
              <w:rPr>
                <w:rFonts w:ascii="宋体" w:hAnsi="宋体" w:eastAsia="宋体" w:cs="Times New Roman"/>
                <w:b/>
                <w:highlight w:val="none"/>
              </w:rPr>
            </w:pPr>
            <w:r>
              <w:rPr>
                <w:rFonts w:hint="eastAsia" w:ascii="宋体" w:hAnsi="宋体" w:eastAsia="宋体" w:cs="Times New Roman"/>
                <w:b/>
                <w:highlight w:val="none"/>
              </w:rPr>
              <w:t>合同违约情况</w:t>
            </w:r>
          </w:p>
        </w:tc>
        <w:tc>
          <w:tcPr>
            <w:tcW w:w="7342" w:type="dxa"/>
            <w:gridSpan w:val="5"/>
            <w:tcBorders>
              <w:top w:val="single" w:color="auto" w:sz="4" w:space="0"/>
              <w:left w:val="single" w:color="auto" w:sz="4" w:space="0"/>
              <w:bottom w:val="single" w:color="auto" w:sz="4" w:space="0"/>
              <w:right w:val="thinThickSmallGap" w:color="auto" w:sz="18" w:space="0"/>
            </w:tcBorders>
          </w:tcPr>
          <w:p>
            <w:pPr>
              <w:shd w:val="clear"/>
              <w:snapToGrid w:val="0"/>
              <w:spacing w:before="0" w:after="0" w:afterAutospacing="0"/>
              <w:rPr>
                <w:rFonts w:ascii="宋体" w:hAnsi="宋体" w:eastAsia="宋体" w:cs="Times New Roman"/>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9" w:hRule="atLeast"/>
        </w:trPr>
        <w:tc>
          <w:tcPr>
            <w:tcW w:w="2122" w:type="dxa"/>
            <w:gridSpan w:val="2"/>
            <w:tcBorders>
              <w:top w:val="single" w:color="auto" w:sz="4" w:space="0"/>
              <w:left w:val="thinThickSmallGap" w:color="auto" w:sz="18" w:space="0"/>
              <w:bottom w:val="single" w:color="auto" w:sz="4" w:space="0"/>
              <w:right w:val="single" w:color="auto" w:sz="4" w:space="0"/>
            </w:tcBorders>
            <w:vAlign w:val="center"/>
          </w:tcPr>
          <w:p>
            <w:pPr>
              <w:shd w:val="clear"/>
              <w:spacing w:before="0" w:after="0" w:afterAutospacing="0"/>
              <w:jc w:val="center"/>
              <w:rPr>
                <w:rFonts w:ascii="宋体" w:hAnsi="宋体" w:eastAsia="宋体" w:cs="Times New Roman"/>
                <w:b/>
                <w:highlight w:val="none"/>
              </w:rPr>
            </w:pPr>
            <w:r>
              <w:rPr>
                <w:rFonts w:hint="eastAsia" w:ascii="宋体" w:hAnsi="宋体" w:eastAsia="宋体" w:cs="Times New Roman"/>
                <w:b/>
                <w:highlight w:val="none"/>
              </w:rPr>
              <w:t>违约处理意向</w:t>
            </w:r>
          </w:p>
        </w:tc>
        <w:tc>
          <w:tcPr>
            <w:tcW w:w="7342" w:type="dxa"/>
            <w:gridSpan w:val="5"/>
            <w:tcBorders>
              <w:top w:val="single" w:color="auto" w:sz="4" w:space="0"/>
              <w:left w:val="single" w:color="auto" w:sz="4" w:space="0"/>
              <w:bottom w:val="single" w:color="auto" w:sz="4" w:space="0"/>
              <w:right w:val="thinThickSmallGap" w:color="auto" w:sz="18" w:space="0"/>
            </w:tcBorders>
          </w:tcPr>
          <w:p>
            <w:pPr>
              <w:shd w:val="clear"/>
              <w:snapToGrid w:val="0"/>
              <w:spacing w:before="0" w:after="0" w:afterAutospacing="0"/>
              <w:rPr>
                <w:rFonts w:ascii="宋体" w:hAnsi="宋体" w:eastAsia="宋体" w:cs="Times New Roman"/>
                <w:sz w:val="18"/>
                <w:szCs w:val="18"/>
                <w:highlight w:val="none"/>
              </w:rPr>
            </w:pPr>
          </w:p>
          <w:p>
            <w:pPr>
              <w:shd w:val="clear"/>
              <w:spacing w:before="0" w:after="0" w:afterAutospacing="0" w:line="300" w:lineRule="exact"/>
              <w:rPr>
                <w:rFonts w:ascii="宋体" w:hAnsi="宋体" w:eastAsia="宋体" w:cs="Times New Roman"/>
                <w:bCs/>
                <w:highlight w:val="none"/>
              </w:rPr>
            </w:pPr>
            <w:r>
              <w:rPr>
                <w:rFonts w:hint="eastAsia" w:ascii="宋体" w:hAnsi="宋体" w:eastAsia="宋体" w:cs="Times New Roman"/>
                <w:bCs/>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rPr>
        <w:tc>
          <w:tcPr>
            <w:tcW w:w="528" w:type="dxa"/>
            <w:vMerge w:val="restart"/>
            <w:tcBorders>
              <w:top w:val="single" w:color="auto" w:sz="4" w:space="0"/>
              <w:left w:val="thinThickSmallGap" w:color="auto" w:sz="18" w:space="0"/>
              <w:right w:val="single" w:color="auto" w:sz="4" w:space="0"/>
            </w:tcBorders>
            <w:vAlign w:val="center"/>
          </w:tcPr>
          <w:p>
            <w:pPr>
              <w:shd w:val="clear"/>
              <w:spacing w:before="0" w:after="0" w:afterAutospacing="0"/>
              <w:jc w:val="center"/>
              <w:rPr>
                <w:rFonts w:ascii="宋体" w:hAnsi="宋体" w:eastAsia="宋体" w:cs="Times New Roman"/>
                <w:b/>
                <w:highlight w:val="none"/>
              </w:rPr>
            </w:pPr>
            <w:r>
              <w:rPr>
                <w:rFonts w:hint="eastAsia" w:ascii="宋体" w:hAnsi="宋体" w:eastAsia="宋体" w:cs="Times New Roman"/>
                <w:b/>
                <w:highlight w:val="none"/>
              </w:rPr>
              <w:t>运营公司审批意见</w:t>
            </w:r>
          </w:p>
        </w:tc>
        <w:tc>
          <w:tcPr>
            <w:tcW w:w="1594" w:type="dxa"/>
            <w:tcBorders>
              <w:top w:val="single" w:color="auto" w:sz="4" w:space="0"/>
              <w:left w:val="single" w:color="auto" w:sz="4" w:space="0"/>
              <w:bottom w:val="single" w:color="auto" w:sz="4" w:space="0"/>
              <w:right w:val="single" w:color="auto" w:sz="4" w:space="0"/>
            </w:tcBorders>
            <w:vAlign w:val="center"/>
          </w:tcPr>
          <w:p>
            <w:pPr>
              <w:widowControl w:val="0"/>
              <w:shd w:val="clear"/>
              <w:spacing w:before="0" w:after="0" w:afterAutospacing="0" w:line="240" w:lineRule="auto"/>
              <w:ind w:left="0" w:right="0" w:firstLine="0"/>
              <w:jc w:val="center"/>
              <w:rPr>
                <w:rFonts w:hint="eastAsia" w:ascii="宋体" w:hAnsi="宋体" w:eastAsia="宋体" w:cs="黑体"/>
                <w:b/>
                <w:kern w:val="2"/>
                <w:szCs w:val="22"/>
                <w:highlight w:val="none"/>
              </w:rPr>
            </w:pPr>
            <w:r>
              <w:rPr>
                <w:rFonts w:hint="eastAsia" w:ascii="宋体" w:hAnsi="宋体" w:eastAsia="宋体" w:cs="黑体"/>
                <w:b/>
                <w:kern w:val="2"/>
                <w:szCs w:val="22"/>
                <w:highlight w:val="none"/>
              </w:rPr>
              <w:t>主办部门</w:t>
            </w:r>
          </w:p>
        </w:tc>
        <w:tc>
          <w:tcPr>
            <w:tcW w:w="7342" w:type="dxa"/>
            <w:gridSpan w:val="5"/>
            <w:tcBorders>
              <w:top w:val="single" w:color="auto" w:sz="4" w:space="0"/>
              <w:left w:val="single" w:color="auto" w:sz="4" w:space="0"/>
              <w:bottom w:val="single" w:color="auto" w:sz="4" w:space="0"/>
              <w:right w:val="thinThickSmallGap" w:color="auto" w:sz="18" w:space="0"/>
            </w:tcBorders>
          </w:tcPr>
          <w:p>
            <w:pPr>
              <w:shd w:val="clear"/>
              <w:spacing w:before="0" w:after="0" w:afterAutospacing="0"/>
              <w:ind w:left="0" w:right="113" w:firstLine="0"/>
              <w:rPr>
                <w:rFonts w:ascii="宋体" w:hAnsi="宋体" w:eastAsia="宋体" w:cs="宋体"/>
                <w:highlight w:val="none"/>
              </w:rPr>
            </w:pPr>
          </w:p>
          <w:p>
            <w:pPr>
              <w:shd w:val="clear"/>
              <w:spacing w:before="0" w:after="0" w:afterAutospacing="0" w:line="360" w:lineRule="auto"/>
              <w:ind w:left="709" w:right="-27" w:hanging="709"/>
              <w:jc w:val="both"/>
              <w:rPr>
                <w:rFonts w:ascii="宋体" w:hAnsi="Courier New" w:eastAsia="宋体" w:cs="宋体"/>
                <w:sz w:val="20"/>
                <w:szCs w:val="20"/>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trPr>
        <w:tc>
          <w:tcPr>
            <w:tcW w:w="528" w:type="dxa"/>
            <w:vMerge w:val="continue"/>
            <w:tcBorders>
              <w:left w:val="thinThickSmallGap" w:color="auto" w:sz="18" w:space="0"/>
              <w:right w:val="single" w:color="auto" w:sz="4" w:space="0"/>
            </w:tcBorders>
            <w:vAlign w:val="center"/>
          </w:tcPr>
          <w:p>
            <w:pPr>
              <w:shd w:val="clear"/>
              <w:spacing w:before="0" w:after="0" w:afterAutospacing="0"/>
              <w:jc w:val="center"/>
              <w:rPr>
                <w:rFonts w:ascii="宋体" w:hAnsi="宋体" w:eastAsia="宋体" w:cs="Times New Roman"/>
                <w:b/>
                <w:highlight w:val="none"/>
              </w:rPr>
            </w:pPr>
          </w:p>
        </w:tc>
        <w:tc>
          <w:tcPr>
            <w:tcW w:w="1594" w:type="dxa"/>
            <w:tcBorders>
              <w:top w:val="single" w:color="auto" w:sz="4" w:space="0"/>
              <w:left w:val="single" w:color="auto" w:sz="4" w:space="0"/>
              <w:bottom w:val="single" w:color="auto" w:sz="4" w:space="0"/>
              <w:right w:val="single" w:color="auto" w:sz="4" w:space="0"/>
            </w:tcBorders>
            <w:vAlign w:val="center"/>
          </w:tcPr>
          <w:p>
            <w:pPr>
              <w:widowControl w:val="0"/>
              <w:shd w:val="clear"/>
              <w:spacing w:before="0" w:after="0" w:afterAutospacing="0" w:line="240" w:lineRule="auto"/>
              <w:ind w:left="0" w:right="0" w:firstLine="0"/>
              <w:jc w:val="center"/>
              <w:rPr>
                <w:rFonts w:hint="eastAsia" w:ascii="宋体" w:hAnsi="宋体" w:eastAsia="宋体" w:cs="黑体"/>
                <w:b/>
                <w:kern w:val="2"/>
                <w:szCs w:val="22"/>
                <w:highlight w:val="none"/>
              </w:rPr>
            </w:pPr>
            <w:r>
              <w:rPr>
                <w:rFonts w:hint="eastAsia" w:ascii="宋体" w:hAnsi="宋体" w:eastAsia="宋体" w:cs="黑体"/>
                <w:b/>
                <w:kern w:val="2"/>
                <w:szCs w:val="22"/>
                <w:highlight w:val="none"/>
              </w:rPr>
              <w:t>总工程师办公室</w:t>
            </w:r>
          </w:p>
        </w:tc>
        <w:tc>
          <w:tcPr>
            <w:tcW w:w="7342" w:type="dxa"/>
            <w:gridSpan w:val="5"/>
            <w:tcBorders>
              <w:top w:val="single" w:color="auto" w:sz="4" w:space="0"/>
              <w:left w:val="single" w:color="auto" w:sz="4" w:space="0"/>
              <w:bottom w:val="single" w:color="auto" w:sz="4" w:space="0"/>
              <w:right w:val="thinThickSmallGap" w:color="auto" w:sz="18" w:space="0"/>
            </w:tcBorders>
          </w:tcPr>
          <w:p>
            <w:pPr>
              <w:shd w:val="clear"/>
              <w:spacing w:before="0" w:after="0" w:afterAutospacing="0"/>
              <w:ind w:right="113"/>
              <w:rPr>
                <w:rFonts w:ascii="宋体" w:hAnsi="宋体" w:eastAsia="宋体" w:cs="Times New Roman"/>
                <w:highlight w:val="none"/>
              </w:rPr>
            </w:pPr>
          </w:p>
          <w:p>
            <w:pPr>
              <w:shd w:val="clear"/>
              <w:spacing w:before="0" w:after="0" w:afterAutospacing="0" w:line="360" w:lineRule="auto"/>
              <w:ind w:left="709" w:right="-27" w:hanging="709"/>
              <w:jc w:val="both"/>
              <w:rPr>
                <w:rFonts w:ascii="宋体" w:hAnsi="Courier New" w:eastAsia="宋体" w:cs="宋体"/>
                <w:sz w:val="20"/>
                <w:szCs w:val="20"/>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528" w:type="dxa"/>
            <w:vMerge w:val="continue"/>
            <w:tcBorders>
              <w:left w:val="thinThickSmallGap" w:color="auto" w:sz="18" w:space="0"/>
              <w:right w:val="single" w:color="auto" w:sz="4" w:space="0"/>
            </w:tcBorders>
            <w:vAlign w:val="center"/>
          </w:tcPr>
          <w:p>
            <w:pPr>
              <w:shd w:val="clear"/>
              <w:spacing w:before="0" w:after="0" w:afterAutospacing="0"/>
              <w:jc w:val="center"/>
              <w:rPr>
                <w:rFonts w:ascii="宋体" w:hAnsi="宋体" w:eastAsia="宋体" w:cs="Times New Roman"/>
                <w:b/>
                <w:highlight w:val="none"/>
              </w:rPr>
            </w:pPr>
          </w:p>
        </w:tc>
        <w:tc>
          <w:tcPr>
            <w:tcW w:w="1594" w:type="dxa"/>
            <w:tcBorders>
              <w:top w:val="single" w:color="auto" w:sz="4" w:space="0"/>
              <w:left w:val="single" w:color="auto" w:sz="4" w:space="0"/>
              <w:bottom w:val="single" w:color="auto" w:sz="4" w:space="0"/>
              <w:right w:val="single" w:color="auto" w:sz="4" w:space="0"/>
            </w:tcBorders>
            <w:vAlign w:val="center"/>
          </w:tcPr>
          <w:p>
            <w:pPr>
              <w:widowControl w:val="0"/>
              <w:shd w:val="clear"/>
              <w:spacing w:before="0" w:after="0" w:afterAutospacing="0" w:line="240" w:lineRule="auto"/>
              <w:ind w:left="0" w:right="0" w:firstLine="0"/>
              <w:jc w:val="center"/>
              <w:rPr>
                <w:rFonts w:hint="eastAsia" w:ascii="宋体" w:hAnsi="宋体" w:eastAsia="宋体" w:cs="黑体"/>
                <w:b/>
                <w:kern w:val="2"/>
                <w:szCs w:val="22"/>
                <w:highlight w:val="none"/>
              </w:rPr>
            </w:pPr>
            <w:r>
              <w:rPr>
                <w:rFonts w:hint="eastAsia" w:ascii="宋体" w:hAnsi="宋体" w:eastAsia="宋体" w:cs="黑体"/>
                <w:b/>
                <w:kern w:val="2"/>
                <w:szCs w:val="22"/>
                <w:highlight w:val="none"/>
              </w:rPr>
              <w:t>合约法规部</w:t>
            </w:r>
          </w:p>
        </w:tc>
        <w:tc>
          <w:tcPr>
            <w:tcW w:w="7342" w:type="dxa"/>
            <w:gridSpan w:val="5"/>
            <w:tcBorders>
              <w:top w:val="single" w:color="auto" w:sz="4" w:space="0"/>
              <w:left w:val="single" w:color="auto" w:sz="4" w:space="0"/>
              <w:bottom w:val="single" w:color="auto" w:sz="4" w:space="0"/>
              <w:right w:val="thinThickSmallGap" w:color="auto" w:sz="18" w:space="0"/>
            </w:tcBorders>
          </w:tcPr>
          <w:p>
            <w:pPr>
              <w:shd w:val="clear"/>
              <w:spacing w:before="0" w:after="0" w:afterAutospacing="0"/>
              <w:ind w:left="0" w:right="113" w:firstLine="0"/>
              <w:rPr>
                <w:rFonts w:ascii="宋体" w:hAnsi="宋体" w:eastAsia="宋体" w:cs="宋体"/>
                <w:highlight w:val="none"/>
              </w:rPr>
            </w:pPr>
          </w:p>
          <w:p>
            <w:pPr>
              <w:shd w:val="clear"/>
              <w:spacing w:before="0" w:after="0" w:afterAutospacing="0" w:line="360" w:lineRule="auto"/>
              <w:ind w:left="709" w:right="-27" w:hanging="709"/>
              <w:jc w:val="both"/>
              <w:rPr>
                <w:rFonts w:ascii="宋体" w:hAnsi="Courier New" w:eastAsia="宋体" w:cs="宋体"/>
                <w:sz w:val="20"/>
                <w:szCs w:val="20"/>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9" w:hRule="atLeast"/>
        </w:trPr>
        <w:tc>
          <w:tcPr>
            <w:tcW w:w="528" w:type="dxa"/>
            <w:vMerge w:val="continue"/>
            <w:tcBorders>
              <w:left w:val="thinThickSmallGap" w:color="auto" w:sz="18" w:space="0"/>
              <w:right w:val="single" w:color="auto" w:sz="4" w:space="0"/>
            </w:tcBorders>
            <w:vAlign w:val="center"/>
          </w:tcPr>
          <w:p>
            <w:pPr>
              <w:shd w:val="clear"/>
              <w:spacing w:before="0" w:after="0" w:afterAutospacing="0"/>
              <w:jc w:val="center"/>
              <w:rPr>
                <w:rFonts w:ascii="宋体" w:hAnsi="宋体" w:eastAsia="宋体" w:cs="Times New Roman"/>
                <w:b/>
                <w:highlight w:val="none"/>
              </w:rPr>
            </w:pPr>
          </w:p>
        </w:tc>
        <w:tc>
          <w:tcPr>
            <w:tcW w:w="1594" w:type="dxa"/>
            <w:tcBorders>
              <w:top w:val="single" w:color="auto" w:sz="4" w:space="0"/>
              <w:left w:val="single" w:color="auto" w:sz="4" w:space="0"/>
              <w:bottom w:val="single" w:color="auto" w:sz="4" w:space="0"/>
              <w:right w:val="single" w:color="auto" w:sz="4" w:space="0"/>
            </w:tcBorders>
            <w:vAlign w:val="center"/>
          </w:tcPr>
          <w:p>
            <w:pPr>
              <w:widowControl w:val="0"/>
              <w:shd w:val="clear"/>
              <w:spacing w:before="0" w:after="0" w:afterAutospacing="0" w:line="240" w:lineRule="auto"/>
              <w:ind w:left="0" w:right="0" w:firstLine="0"/>
              <w:jc w:val="center"/>
              <w:rPr>
                <w:rFonts w:hint="eastAsia" w:ascii="宋体" w:hAnsi="宋体" w:eastAsia="宋体" w:cs="黑体"/>
                <w:b/>
                <w:kern w:val="2"/>
                <w:szCs w:val="22"/>
                <w:highlight w:val="none"/>
              </w:rPr>
            </w:pPr>
            <w:r>
              <w:rPr>
                <w:rFonts w:hint="eastAsia" w:ascii="宋体" w:hAnsi="宋体" w:eastAsia="宋体" w:cs="黑体"/>
                <w:b/>
                <w:kern w:val="2"/>
                <w:szCs w:val="22"/>
                <w:highlight w:val="none"/>
              </w:rPr>
              <w:t>主办部门</w:t>
            </w:r>
          </w:p>
          <w:p>
            <w:pPr>
              <w:widowControl w:val="0"/>
              <w:shd w:val="clear"/>
              <w:spacing w:before="0" w:after="0" w:afterAutospacing="0" w:line="240" w:lineRule="auto"/>
              <w:ind w:left="0" w:right="0" w:firstLine="0"/>
              <w:jc w:val="center"/>
              <w:rPr>
                <w:rFonts w:hint="eastAsia" w:ascii="宋体" w:hAnsi="宋体" w:eastAsia="宋体" w:cs="黑体"/>
                <w:b/>
                <w:kern w:val="2"/>
                <w:szCs w:val="22"/>
                <w:highlight w:val="none"/>
              </w:rPr>
            </w:pPr>
            <w:r>
              <w:rPr>
                <w:rFonts w:hint="eastAsia" w:ascii="宋体" w:hAnsi="宋体" w:eastAsia="宋体" w:cs="黑体"/>
                <w:b/>
                <w:kern w:val="2"/>
                <w:szCs w:val="22"/>
                <w:highlight w:val="none"/>
              </w:rPr>
              <w:t>分管副总经理</w:t>
            </w:r>
          </w:p>
        </w:tc>
        <w:tc>
          <w:tcPr>
            <w:tcW w:w="7342" w:type="dxa"/>
            <w:gridSpan w:val="5"/>
            <w:tcBorders>
              <w:top w:val="single" w:color="auto" w:sz="4" w:space="0"/>
              <w:left w:val="single" w:color="auto" w:sz="4" w:space="0"/>
              <w:bottom w:val="single" w:color="auto" w:sz="4" w:space="0"/>
              <w:right w:val="thinThickSmallGap" w:color="auto" w:sz="18" w:space="0"/>
            </w:tcBorders>
          </w:tcPr>
          <w:p>
            <w:pPr>
              <w:shd w:val="clear"/>
              <w:spacing w:before="0" w:after="0" w:afterAutospacing="0"/>
              <w:ind w:right="113" w:firstLine="840" w:firstLineChars="400"/>
              <w:rPr>
                <w:rFonts w:ascii="Times New Roman" w:hAnsi="Times New Roman" w:eastAsia="宋体" w:cs="Times New Roman"/>
                <w:highlight w:val="none"/>
              </w:rPr>
            </w:pPr>
            <w:r>
              <w:rPr>
                <w:rFonts w:hint="eastAsia" w:ascii="Times New Roman" w:hAnsi="Times New Roman" w:eastAsia="宋体" w:cs="Times New Roman"/>
                <w:highlight w:val="none"/>
              </w:rPr>
              <w:t xml:space="preserve">                                              </w:t>
            </w:r>
          </w:p>
          <w:p>
            <w:pPr>
              <w:shd w:val="clear"/>
              <w:spacing w:before="0" w:after="0" w:afterAutospacing="0" w:line="360" w:lineRule="auto"/>
              <w:ind w:left="709" w:right="-27" w:hanging="709"/>
              <w:jc w:val="both"/>
              <w:rPr>
                <w:rFonts w:ascii="宋体" w:hAnsi="Courier New" w:eastAsia="宋体" w:cs="宋体"/>
                <w:sz w:val="20"/>
                <w:szCs w:val="20"/>
                <w:highlight w:val="none"/>
                <w:lang w:val="en-US" w:eastAsia="zh-CN" w:bidi="ar-SA"/>
              </w:rPr>
            </w:pPr>
            <w:r>
              <w:rPr>
                <w:rFonts w:hint="eastAsia" w:ascii="宋体" w:hAnsi="宋体" w:eastAsia="宋体" w:cs="宋体"/>
                <w:sz w:val="20"/>
                <w:szCs w:val="20"/>
                <w:highlight w:val="none"/>
                <w:lang w:val="en-US" w:eastAsia="zh-CN" w:bidi="ar-S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3" w:hRule="atLeast"/>
        </w:trPr>
        <w:tc>
          <w:tcPr>
            <w:tcW w:w="528" w:type="dxa"/>
            <w:vMerge w:val="continue"/>
            <w:tcBorders>
              <w:left w:val="thinThickSmallGap" w:color="auto" w:sz="18" w:space="0"/>
              <w:right w:val="single" w:color="auto" w:sz="4" w:space="0"/>
            </w:tcBorders>
            <w:vAlign w:val="center"/>
          </w:tcPr>
          <w:p>
            <w:pPr>
              <w:shd w:val="clear"/>
              <w:spacing w:before="0" w:after="0" w:afterAutospacing="0"/>
              <w:jc w:val="center"/>
              <w:rPr>
                <w:rFonts w:ascii="宋体" w:hAnsi="宋体" w:eastAsia="宋体" w:cs="Times New Roman"/>
                <w:b/>
                <w:highlight w:val="none"/>
              </w:rPr>
            </w:pPr>
          </w:p>
        </w:tc>
        <w:tc>
          <w:tcPr>
            <w:tcW w:w="1594" w:type="dxa"/>
            <w:tcBorders>
              <w:top w:val="single" w:color="auto" w:sz="4" w:space="0"/>
              <w:left w:val="single" w:color="auto" w:sz="4" w:space="0"/>
              <w:bottom w:val="single" w:color="auto" w:sz="4" w:space="0"/>
              <w:right w:val="single" w:color="auto" w:sz="4" w:space="0"/>
            </w:tcBorders>
            <w:vAlign w:val="center"/>
          </w:tcPr>
          <w:p>
            <w:pPr>
              <w:widowControl w:val="0"/>
              <w:shd w:val="clear"/>
              <w:spacing w:before="0" w:after="0" w:afterAutospacing="0" w:line="240" w:lineRule="auto"/>
              <w:ind w:left="0" w:right="0" w:firstLine="0"/>
              <w:jc w:val="center"/>
              <w:rPr>
                <w:rFonts w:hint="eastAsia" w:ascii="宋体" w:hAnsi="宋体" w:eastAsia="宋体" w:cs="黑体"/>
                <w:b/>
                <w:kern w:val="2"/>
                <w:szCs w:val="22"/>
                <w:highlight w:val="none"/>
              </w:rPr>
            </w:pPr>
            <w:r>
              <w:rPr>
                <w:rFonts w:hint="eastAsia" w:ascii="宋体" w:hAnsi="宋体" w:eastAsia="宋体" w:cs="黑体"/>
                <w:b/>
                <w:kern w:val="2"/>
                <w:szCs w:val="22"/>
                <w:highlight w:val="none"/>
              </w:rPr>
              <w:t>总经理</w:t>
            </w:r>
          </w:p>
        </w:tc>
        <w:tc>
          <w:tcPr>
            <w:tcW w:w="7342" w:type="dxa"/>
            <w:gridSpan w:val="5"/>
            <w:tcBorders>
              <w:top w:val="single" w:color="auto" w:sz="4" w:space="0"/>
              <w:left w:val="single" w:color="auto" w:sz="4" w:space="0"/>
              <w:bottom w:val="single" w:color="auto" w:sz="4" w:space="0"/>
              <w:right w:val="thinThickSmallGap" w:color="auto" w:sz="18" w:space="0"/>
            </w:tcBorders>
          </w:tcPr>
          <w:p>
            <w:pPr>
              <w:shd w:val="clear"/>
              <w:spacing w:before="0" w:after="0" w:afterAutospacing="0"/>
              <w:rPr>
                <w:rFonts w:ascii="宋体" w:hAnsi="宋体" w:eastAsia="宋体" w:cs="宋体"/>
                <w:highlight w:val="none"/>
              </w:rPr>
            </w:pPr>
          </w:p>
          <w:p>
            <w:pPr>
              <w:shd w:val="clear"/>
              <w:spacing w:before="0" w:after="0" w:afterAutospacing="0"/>
              <w:ind w:right="113"/>
              <w:rPr>
                <w:rFonts w:ascii="宋体" w:hAnsi="宋体" w:eastAsia="宋体"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8" w:hRule="atLeast"/>
        </w:trPr>
        <w:tc>
          <w:tcPr>
            <w:tcW w:w="528" w:type="dxa"/>
            <w:vMerge w:val="continue"/>
            <w:tcBorders>
              <w:left w:val="thinThickSmallGap" w:color="auto" w:sz="18" w:space="0"/>
              <w:bottom w:val="single" w:color="auto" w:sz="4" w:space="0"/>
              <w:right w:val="single" w:color="auto" w:sz="4" w:space="0"/>
            </w:tcBorders>
            <w:vAlign w:val="center"/>
          </w:tcPr>
          <w:p>
            <w:pPr>
              <w:shd w:val="clear"/>
              <w:spacing w:before="0" w:after="0" w:afterAutospacing="0"/>
              <w:jc w:val="center"/>
              <w:rPr>
                <w:rFonts w:ascii="宋体" w:hAnsi="宋体" w:eastAsia="宋体" w:cs="Times New Roman"/>
                <w:b/>
                <w:highlight w:val="none"/>
              </w:rPr>
            </w:pPr>
          </w:p>
        </w:tc>
        <w:tc>
          <w:tcPr>
            <w:tcW w:w="1594" w:type="dxa"/>
            <w:tcBorders>
              <w:top w:val="single" w:color="auto" w:sz="4" w:space="0"/>
              <w:left w:val="single" w:color="auto" w:sz="4" w:space="0"/>
              <w:bottom w:val="single" w:color="auto" w:sz="4" w:space="0"/>
              <w:right w:val="single" w:color="auto" w:sz="4" w:space="0"/>
            </w:tcBorders>
            <w:vAlign w:val="center"/>
          </w:tcPr>
          <w:p>
            <w:pPr>
              <w:widowControl w:val="0"/>
              <w:shd w:val="clear"/>
              <w:spacing w:before="0" w:after="0" w:afterAutospacing="0" w:line="240" w:lineRule="auto"/>
              <w:ind w:left="0" w:right="0" w:firstLine="0"/>
              <w:jc w:val="center"/>
              <w:rPr>
                <w:rFonts w:hint="eastAsia" w:ascii="宋体" w:hAnsi="宋体" w:eastAsia="宋体" w:cs="黑体"/>
                <w:b/>
                <w:kern w:val="2"/>
                <w:szCs w:val="22"/>
                <w:highlight w:val="none"/>
              </w:rPr>
            </w:pPr>
            <w:r>
              <w:rPr>
                <w:rFonts w:hint="eastAsia" w:ascii="宋体" w:hAnsi="宋体" w:eastAsia="宋体" w:cs="黑体"/>
                <w:b/>
                <w:kern w:val="2"/>
                <w:szCs w:val="22"/>
                <w:highlight w:val="none"/>
              </w:rPr>
              <w:t>董事长</w:t>
            </w:r>
          </w:p>
          <w:p>
            <w:pPr>
              <w:widowControl w:val="0"/>
              <w:shd w:val="clear"/>
              <w:spacing w:before="0" w:after="0" w:afterAutospacing="0" w:line="240" w:lineRule="auto"/>
              <w:ind w:left="0" w:right="0" w:firstLine="0"/>
              <w:jc w:val="center"/>
              <w:rPr>
                <w:rFonts w:hint="eastAsia" w:ascii="宋体" w:hAnsi="宋体" w:eastAsia="宋体" w:cs="黑体"/>
                <w:b/>
                <w:kern w:val="2"/>
                <w:szCs w:val="22"/>
                <w:highlight w:val="none"/>
              </w:rPr>
            </w:pPr>
            <w:r>
              <w:rPr>
                <w:rFonts w:hint="eastAsia" w:ascii="宋体" w:hAnsi="宋体" w:eastAsia="宋体" w:cs="黑体"/>
                <w:b/>
                <w:kern w:val="2"/>
                <w:szCs w:val="22"/>
                <w:highlight w:val="none"/>
              </w:rPr>
              <w:t>（执行董事）</w:t>
            </w:r>
          </w:p>
        </w:tc>
        <w:tc>
          <w:tcPr>
            <w:tcW w:w="7342" w:type="dxa"/>
            <w:gridSpan w:val="5"/>
            <w:tcBorders>
              <w:top w:val="single" w:color="auto" w:sz="4" w:space="0"/>
              <w:left w:val="single" w:color="auto" w:sz="4" w:space="0"/>
              <w:bottom w:val="single" w:color="auto" w:sz="4" w:space="0"/>
              <w:right w:val="thinThickSmallGap" w:color="auto" w:sz="18" w:space="0"/>
            </w:tcBorders>
          </w:tcPr>
          <w:p>
            <w:pPr>
              <w:shd w:val="clear"/>
              <w:spacing w:before="0" w:after="0" w:afterAutospacing="0"/>
              <w:rPr>
                <w:rFonts w:ascii="宋体" w:hAnsi="宋体" w:eastAsia="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6" w:hRule="atLeast"/>
        </w:trPr>
        <w:tc>
          <w:tcPr>
            <w:tcW w:w="2122" w:type="dxa"/>
            <w:gridSpan w:val="2"/>
            <w:tcBorders>
              <w:top w:val="single" w:color="auto" w:sz="4" w:space="0"/>
              <w:left w:val="thinThickSmallGap" w:color="auto" w:sz="18" w:space="0"/>
              <w:bottom w:val="thinThickSmallGap" w:color="auto" w:sz="18" w:space="0"/>
              <w:right w:val="single" w:color="auto" w:sz="4" w:space="0"/>
            </w:tcBorders>
            <w:vAlign w:val="center"/>
          </w:tcPr>
          <w:p>
            <w:pPr>
              <w:shd w:val="clear"/>
              <w:spacing w:before="0" w:after="0" w:afterAutospacing="0" w:line="240" w:lineRule="auto"/>
              <w:jc w:val="center"/>
              <w:rPr>
                <w:rFonts w:ascii="宋体" w:hAnsi="宋体" w:eastAsia="宋体" w:cs="Times New Roman"/>
                <w:b/>
                <w:highlight w:val="none"/>
              </w:rPr>
            </w:pPr>
            <w:r>
              <w:rPr>
                <w:rFonts w:hint="eastAsia" w:ascii="宋体" w:hAnsi="宋体" w:eastAsia="宋体" w:cs="Times New Roman"/>
                <w:b/>
                <w:highlight w:val="none"/>
              </w:rPr>
              <w:t>送达日期</w:t>
            </w:r>
          </w:p>
        </w:tc>
        <w:tc>
          <w:tcPr>
            <w:tcW w:w="1757" w:type="dxa"/>
            <w:tcBorders>
              <w:top w:val="single" w:color="auto" w:sz="4" w:space="0"/>
              <w:left w:val="single" w:color="auto" w:sz="4" w:space="0"/>
              <w:bottom w:val="thinThickSmallGap" w:color="auto" w:sz="18" w:space="0"/>
              <w:right w:val="single" w:color="auto" w:sz="4" w:space="0"/>
            </w:tcBorders>
          </w:tcPr>
          <w:p>
            <w:pPr>
              <w:shd w:val="clear"/>
              <w:spacing w:before="0" w:after="0" w:afterAutospacing="0" w:line="240" w:lineRule="auto"/>
              <w:rPr>
                <w:rFonts w:ascii="宋体" w:hAnsi="宋体" w:eastAsia="宋体" w:cs="Times New Roman"/>
                <w:b/>
                <w:highlight w:val="none"/>
              </w:rPr>
            </w:pPr>
            <w:r>
              <w:rPr>
                <w:rFonts w:hint="eastAsia" w:ascii="宋体" w:hAnsi="宋体" w:eastAsia="宋体" w:cs="Times New Roman"/>
                <w:bCs/>
                <w:highlight w:val="none"/>
              </w:rPr>
              <w:t xml:space="preserve">            </w:t>
            </w:r>
          </w:p>
        </w:tc>
        <w:tc>
          <w:tcPr>
            <w:tcW w:w="1283" w:type="dxa"/>
            <w:tcBorders>
              <w:top w:val="single" w:color="auto" w:sz="4" w:space="0"/>
              <w:left w:val="single" w:color="auto" w:sz="4" w:space="0"/>
              <w:bottom w:val="thinThickSmallGap" w:color="auto" w:sz="18" w:space="0"/>
              <w:right w:val="single" w:color="auto" w:sz="4" w:space="0"/>
            </w:tcBorders>
            <w:vAlign w:val="center"/>
          </w:tcPr>
          <w:p>
            <w:pPr>
              <w:shd w:val="clear"/>
              <w:spacing w:before="0" w:after="0" w:afterAutospacing="0" w:line="240" w:lineRule="auto"/>
              <w:jc w:val="center"/>
              <w:rPr>
                <w:rFonts w:ascii="宋体" w:hAnsi="宋体" w:eastAsia="宋体" w:cs="Times New Roman"/>
                <w:bCs/>
                <w:highlight w:val="none"/>
              </w:rPr>
            </w:pPr>
            <w:r>
              <w:rPr>
                <w:rFonts w:hint="eastAsia" w:ascii="宋体" w:hAnsi="宋体" w:eastAsia="宋体" w:cs="Times New Roman"/>
                <w:b/>
                <w:highlight w:val="none"/>
              </w:rPr>
              <w:t>送达方式</w:t>
            </w:r>
          </w:p>
        </w:tc>
        <w:tc>
          <w:tcPr>
            <w:tcW w:w="4302" w:type="dxa"/>
            <w:gridSpan w:val="3"/>
            <w:tcBorders>
              <w:top w:val="single" w:color="auto" w:sz="4" w:space="0"/>
              <w:left w:val="single" w:color="auto" w:sz="4" w:space="0"/>
              <w:bottom w:val="thinThickSmallGap" w:color="auto" w:sz="18" w:space="0"/>
              <w:right w:val="thinThickSmallGap" w:color="auto" w:sz="18" w:space="0"/>
            </w:tcBorders>
          </w:tcPr>
          <w:p>
            <w:pPr>
              <w:shd w:val="clear"/>
              <w:spacing w:before="0" w:after="0" w:afterAutospacing="0" w:line="240" w:lineRule="auto"/>
              <w:ind w:left="674" w:hanging="674" w:hangingChars="337"/>
              <w:rPr>
                <w:rFonts w:ascii="Times New Roman" w:hAnsi="Times New Roman" w:eastAsia="宋体" w:cs="Times New Roman"/>
                <w:sz w:val="20"/>
                <w:szCs w:val="20"/>
                <w:highlight w:val="none"/>
              </w:rPr>
            </w:pPr>
            <w:r>
              <w:rPr>
                <w:rFonts w:hint="eastAsia" w:ascii="Times New Roman" w:hAnsi="Times New Roman" w:eastAsia="宋体" w:cs="Times New Roman"/>
                <w:sz w:val="20"/>
                <w:szCs w:val="20"/>
                <w:highlight w:val="none"/>
              </w:rPr>
              <w:t>直接送达</w:t>
            </w:r>
            <w:r>
              <w:rPr>
                <w:rFonts w:hint="eastAsia" w:ascii="Times New Roman" w:hAnsi="Times New Roman" w:eastAsia="宋体" w:cs="Times New Roman"/>
                <w:sz w:val="20"/>
                <w:szCs w:val="20"/>
                <w:highlight w:val="none"/>
              </w:rPr>
              <w:sym w:font="Wingdings 2" w:char="00A3"/>
            </w:r>
            <w:r>
              <w:rPr>
                <w:rFonts w:hint="eastAsia" w:ascii="Times New Roman" w:hAnsi="Times New Roman" w:eastAsia="宋体" w:cs="Times New Roman"/>
                <w:sz w:val="20"/>
                <w:szCs w:val="20"/>
                <w:highlight w:val="none"/>
              </w:rPr>
              <w:t xml:space="preserve">  签收人：</w:t>
            </w:r>
          </w:p>
          <w:p>
            <w:pPr>
              <w:shd w:val="clear"/>
              <w:spacing w:before="0" w:after="0" w:afterAutospacing="0" w:line="240" w:lineRule="auto"/>
              <w:ind w:left="709" w:right="-27" w:hanging="709"/>
              <w:jc w:val="both"/>
              <w:rPr>
                <w:rFonts w:ascii="宋体" w:hAnsi="Courier New" w:eastAsia="宋体" w:cs="宋体"/>
                <w:sz w:val="20"/>
                <w:szCs w:val="20"/>
                <w:highlight w:val="none"/>
                <w:lang w:val="en-US" w:eastAsia="zh-CN" w:bidi="ar-SA"/>
              </w:rPr>
            </w:pPr>
            <w:r>
              <w:rPr>
                <w:rFonts w:hint="eastAsia" w:ascii="宋体" w:hAnsi="Courier New" w:eastAsia="宋体" w:cs="宋体"/>
                <w:sz w:val="20"/>
                <w:szCs w:val="20"/>
                <w:highlight w:val="none"/>
                <w:lang w:val="en-US" w:eastAsia="zh-CN" w:bidi="ar-SA"/>
              </w:rPr>
              <w:t>留置送达</w:t>
            </w:r>
            <w:r>
              <w:rPr>
                <w:rFonts w:hint="eastAsia" w:ascii="宋体" w:hAnsi="Courier New" w:eastAsia="宋体" w:cs="宋体"/>
                <w:sz w:val="20"/>
                <w:szCs w:val="20"/>
                <w:highlight w:val="none"/>
                <w:lang w:val="en-US" w:eastAsia="zh-CN" w:bidi="ar-SA"/>
              </w:rPr>
              <w:sym w:font="Wingdings 2" w:char="00A3"/>
            </w:r>
            <w:r>
              <w:rPr>
                <w:rFonts w:hint="eastAsia" w:ascii="宋体" w:hAnsi="Courier New" w:eastAsia="宋体" w:cs="宋体"/>
                <w:sz w:val="20"/>
                <w:szCs w:val="20"/>
                <w:highlight w:val="none"/>
                <w:lang w:val="en-US" w:eastAsia="zh-CN" w:bidi="ar-SA"/>
              </w:rPr>
              <w:t xml:space="preserve">  送达地址：                    </w:t>
            </w:r>
          </w:p>
          <w:p>
            <w:pPr>
              <w:shd w:val="clear"/>
              <w:spacing w:before="0" w:after="0" w:afterAutospacing="0" w:line="240" w:lineRule="auto"/>
              <w:ind w:left="709" w:right="-27" w:hanging="709"/>
              <w:jc w:val="both"/>
              <w:rPr>
                <w:rFonts w:ascii="宋体" w:hAnsi="Courier New" w:eastAsia="宋体" w:cs="宋体"/>
                <w:sz w:val="20"/>
                <w:szCs w:val="20"/>
                <w:highlight w:val="none"/>
                <w:lang w:val="en-US" w:eastAsia="zh-CN" w:bidi="ar-SA"/>
              </w:rPr>
            </w:pPr>
            <w:r>
              <w:rPr>
                <w:rFonts w:hint="eastAsia" w:ascii="宋体" w:hAnsi="Courier New" w:eastAsia="宋体" w:cs="宋体"/>
                <w:sz w:val="20"/>
                <w:szCs w:val="20"/>
                <w:highlight w:val="none"/>
                <w:lang w:val="en-US" w:eastAsia="zh-CN" w:bidi="ar-SA"/>
              </w:rPr>
              <w:t>电子送达</w:t>
            </w:r>
            <w:r>
              <w:rPr>
                <w:rFonts w:hint="eastAsia" w:ascii="宋体" w:hAnsi="Courier New" w:eastAsia="宋体" w:cs="宋体"/>
                <w:sz w:val="20"/>
                <w:szCs w:val="20"/>
                <w:highlight w:val="none"/>
                <w:lang w:val="en-US" w:eastAsia="zh-CN" w:bidi="ar-SA"/>
              </w:rPr>
              <w:sym w:font="Wingdings 2" w:char="00A3"/>
            </w:r>
            <w:r>
              <w:rPr>
                <w:rFonts w:hint="eastAsia" w:ascii="宋体" w:hAnsi="Courier New" w:eastAsia="宋体" w:cs="宋体"/>
                <w:sz w:val="20"/>
                <w:szCs w:val="20"/>
                <w:highlight w:val="none"/>
                <w:lang w:val="en-US" w:eastAsia="zh-CN" w:bidi="ar-SA"/>
              </w:rPr>
              <w:t xml:space="preserve">  收件人邮箱地址：</w:t>
            </w:r>
          </w:p>
        </w:tc>
      </w:tr>
    </w:tbl>
    <w:p>
      <w:pPr>
        <w:shd w:val="clear"/>
        <w:spacing w:before="0" w:after="0" w:afterAutospacing="0" w:line="240" w:lineRule="auto"/>
        <w:jc w:val="left"/>
        <w:rPr>
          <w:rFonts w:ascii="宋体" w:hAnsi="宋体" w:eastAsia="宋体" w:cs="Times New Roman"/>
          <w:sz w:val="18"/>
          <w:szCs w:val="18"/>
          <w:highlight w:val="none"/>
        </w:rPr>
      </w:pPr>
      <w:r>
        <w:rPr>
          <w:rFonts w:hint="eastAsia" w:ascii="宋体" w:hAnsi="宋体" w:eastAsia="宋体" w:cs="Times New Roman"/>
          <w:sz w:val="18"/>
          <w:szCs w:val="18"/>
          <w:highlight w:val="none"/>
        </w:rPr>
        <w:t>说明：</w:t>
      </w:r>
    </w:p>
    <w:p>
      <w:pPr>
        <w:shd w:val="clear"/>
        <w:spacing w:before="0" w:after="0" w:afterAutospacing="0" w:line="240" w:lineRule="auto"/>
        <w:jc w:val="left"/>
        <w:rPr>
          <w:rFonts w:ascii="宋体" w:hAnsi="宋体" w:eastAsia="宋体" w:cs="Times New Roman"/>
          <w:sz w:val="18"/>
          <w:szCs w:val="18"/>
          <w:highlight w:val="none"/>
        </w:rPr>
      </w:pPr>
      <w:r>
        <w:rPr>
          <w:rFonts w:ascii="宋体" w:hAnsi="宋体" w:eastAsia="宋体" w:cs="Times New Roman"/>
          <w:sz w:val="18"/>
          <w:szCs w:val="18"/>
          <w:highlight w:val="none"/>
        </w:rPr>
        <w:t>1</w:t>
      </w:r>
      <w:r>
        <w:rPr>
          <w:rFonts w:hint="eastAsia" w:ascii="宋体" w:hAnsi="宋体" w:eastAsia="宋体" w:cs="Times New Roman"/>
          <w:sz w:val="18"/>
          <w:szCs w:val="18"/>
          <w:highlight w:val="none"/>
        </w:rPr>
        <w:t>.本表单一式三份，承包商执一份，运营公司执两份，由运营公司主办部门在合同执行过程中发现问题时填写；</w:t>
      </w:r>
    </w:p>
    <w:p>
      <w:pPr>
        <w:shd w:val="clear"/>
        <w:spacing w:before="0" w:after="0" w:afterAutospacing="0" w:line="240" w:lineRule="auto"/>
        <w:ind w:left="0" w:right="139" w:firstLine="0"/>
        <w:jc w:val="left"/>
        <w:rPr>
          <w:rFonts w:ascii="宋体" w:hAnsi="宋体" w:eastAsia="宋体" w:cs="Times New Roman"/>
          <w:sz w:val="18"/>
          <w:szCs w:val="18"/>
          <w:highlight w:val="none"/>
        </w:rPr>
      </w:pPr>
      <w:r>
        <w:rPr>
          <w:rFonts w:hint="eastAsia" w:ascii="宋体" w:hAnsi="宋体" w:eastAsia="宋体" w:cs="Times New Roman"/>
          <w:sz w:val="18"/>
          <w:szCs w:val="18"/>
          <w:highlight w:val="none"/>
        </w:rPr>
        <w:t>2.承包商若对本次违约处理有意见，须在本表单送达后2个工作日内向运营公司主办部门提交正式申诉材料提出申诉，否则视为接受违约处理意见，主办部门在收到申诉材料后须在5个工作日给予回复；</w:t>
      </w:r>
    </w:p>
    <w:p>
      <w:pPr>
        <w:shd w:val="clear"/>
        <w:spacing w:before="0" w:after="0" w:afterAutospacing="0" w:line="240" w:lineRule="auto"/>
        <w:ind w:left="0" w:right="139" w:rightChars="66" w:firstLine="0"/>
        <w:jc w:val="left"/>
        <w:rPr>
          <w:rFonts w:ascii="宋体" w:hAnsi="宋体" w:eastAsia="宋体" w:cs="Times New Roman"/>
          <w:sz w:val="18"/>
          <w:szCs w:val="18"/>
          <w:highlight w:val="none"/>
        </w:rPr>
      </w:pPr>
      <w:r>
        <w:rPr>
          <w:rFonts w:hint="eastAsia" w:ascii="宋体" w:hAnsi="宋体" w:eastAsia="宋体" w:cs="Times New Roman"/>
          <w:sz w:val="18"/>
          <w:szCs w:val="18"/>
          <w:highlight w:val="none"/>
        </w:rPr>
        <w:t>3.本表单按照违约处理决定的金额和授权方案逐级签批或用印，5000元（含）以下由主办部门签批，5000元（不含）-10000元（含）签批至分管主办部门的副总经理并用运营公司印，10000元（不含）-20000元（含）签批至总经理同时报董事长（执行董事）知悉并用运营公司印；20000元（不含）以上签批至董事长（执行董事）执行并用运营公司印；</w:t>
      </w:r>
    </w:p>
    <w:p>
      <w:pPr>
        <w:shd w:val="clear"/>
        <w:spacing w:before="0" w:after="0" w:afterAutospacing="0" w:line="240" w:lineRule="auto"/>
        <w:ind w:left="0" w:right="139" w:rightChars="66" w:firstLine="0"/>
        <w:jc w:val="left"/>
        <w:rPr>
          <w:rFonts w:ascii="宋体" w:hAnsi="宋体" w:eastAsia="宋体" w:cs="Times New Roman"/>
          <w:sz w:val="18"/>
          <w:szCs w:val="18"/>
          <w:highlight w:val="none"/>
        </w:rPr>
      </w:pPr>
      <w:r>
        <w:rPr>
          <w:rFonts w:hint="eastAsia" w:ascii="宋体" w:hAnsi="宋体" w:eastAsia="宋体" w:cs="Times New Roman"/>
          <w:sz w:val="18"/>
          <w:szCs w:val="18"/>
          <w:highlight w:val="none"/>
        </w:rPr>
        <w:t>4.本表单自送达之日起生效。送达时间基准为：（1）直接送达以签收人签收时间为准；（2）留置送达以本表单送达指定地点时间为准，如出现拒签的情况以本表单送达指定地点时派送人现场照片或物流信息显示送达时间为准；（3）电子送达以发送人发出电子邮件时间为准。</w:t>
      </w:r>
      <w:bookmarkStart w:id="2154" w:name="_Toc137824314"/>
    </w:p>
    <w:p>
      <w:pPr>
        <w:shd w:val="clear"/>
        <w:spacing w:before="0" w:after="260" w:afterAutospacing="1" w:line="415" w:lineRule="auto"/>
        <w:ind w:left="709" w:right="-27" w:hanging="709"/>
        <w:jc w:val="both"/>
        <w:outlineLvl w:val="1"/>
        <w:rPr>
          <w:rFonts w:cs="Times New Roman" w:asciiTheme="minorEastAsia" w:hAnsiTheme="minorEastAsia" w:eastAsiaTheme="minorEastAsia"/>
          <w:b w:val="0"/>
          <w:sz w:val="21"/>
          <w:szCs w:val="21"/>
          <w:highlight w:val="none"/>
          <w:lang w:val="en-US" w:eastAsia="zh-CN" w:bidi="ar-SA"/>
        </w:rPr>
      </w:pPr>
      <w:r>
        <w:rPr>
          <w:rFonts w:hint="eastAsia" w:cs="Times New Roman" w:asciiTheme="minorEastAsia" w:hAnsiTheme="minorEastAsia" w:eastAsiaTheme="minorEastAsia"/>
          <w:b w:val="0"/>
          <w:sz w:val="21"/>
          <w:szCs w:val="21"/>
          <w:highlight w:val="none"/>
          <w:lang w:val="en-US" w:eastAsia="zh-CN" w:bidi="ar-SA"/>
        </w:rPr>
        <w:t>附件2：项目设施进场前质量检查表</w:t>
      </w:r>
      <w:bookmarkEnd w:id="2154"/>
    </w:p>
    <w:tbl>
      <w:tblPr>
        <w:tblStyle w:val="28"/>
        <w:tblW w:w="9300" w:type="dxa"/>
        <w:tblInd w:w="93" w:type="dxa"/>
        <w:tblLayout w:type="autofit"/>
        <w:tblCellMar>
          <w:top w:w="0" w:type="dxa"/>
          <w:left w:w="108" w:type="dxa"/>
          <w:bottom w:w="0" w:type="dxa"/>
          <w:right w:w="108" w:type="dxa"/>
        </w:tblCellMar>
      </w:tblPr>
      <w:tblGrid>
        <w:gridCol w:w="760"/>
        <w:gridCol w:w="1200"/>
        <w:gridCol w:w="4300"/>
        <w:gridCol w:w="3040"/>
      </w:tblGrid>
      <w:tr>
        <w:tblPrEx>
          <w:tblCellMar>
            <w:top w:w="0" w:type="dxa"/>
            <w:left w:w="108" w:type="dxa"/>
            <w:bottom w:w="0" w:type="dxa"/>
            <w:right w:w="108" w:type="dxa"/>
          </w:tblCellMar>
        </w:tblPrEx>
        <w:trPr>
          <w:trHeight w:val="960" w:hRule="atLeast"/>
        </w:trPr>
        <w:tc>
          <w:tcPr>
            <w:tcW w:w="9300" w:type="dxa"/>
            <w:gridSpan w:val="4"/>
            <w:tcBorders>
              <w:top w:val="nil"/>
              <w:left w:val="nil"/>
              <w:bottom w:val="nil"/>
              <w:right w:val="nil"/>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b/>
                <w:bCs/>
                <w:color w:val="000000"/>
                <w:sz w:val="28"/>
                <w:szCs w:val="28"/>
                <w:highlight w:val="none"/>
              </w:rPr>
            </w:pPr>
            <w:r>
              <w:rPr>
                <w:rFonts w:hint="eastAsia" w:ascii="宋体" w:hAnsi="宋体" w:eastAsia="宋体" w:cs="宋体"/>
                <w:b/>
                <w:bCs/>
                <w:color w:val="000000"/>
                <w:sz w:val="28"/>
                <w:szCs w:val="28"/>
                <w:highlight w:val="none"/>
              </w:rPr>
              <w:t>项目设施进场前质量检查表</w:t>
            </w:r>
          </w:p>
        </w:tc>
      </w:tr>
      <w:tr>
        <w:tblPrEx>
          <w:tblCellMar>
            <w:top w:w="0" w:type="dxa"/>
            <w:left w:w="108" w:type="dxa"/>
            <w:bottom w:w="0" w:type="dxa"/>
            <w:right w:w="108" w:type="dxa"/>
          </w:tblCellMar>
        </w:tblPrEx>
        <w:trPr>
          <w:trHeight w:val="1043" w:hRule="atLeast"/>
        </w:trPr>
        <w:tc>
          <w:tcPr>
            <w:tcW w:w="19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项目名称、编号及合同编号</w:t>
            </w:r>
          </w:p>
        </w:tc>
        <w:tc>
          <w:tcPr>
            <w:tcW w:w="7340"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项目名称:</w:t>
            </w:r>
            <w:r>
              <w:rPr>
                <w:rFonts w:hint="eastAsia" w:ascii="宋体" w:hAnsi="宋体" w:eastAsia="宋体" w:cs="宋体"/>
                <w:color w:val="000000"/>
                <w:sz w:val="22"/>
                <w:szCs w:val="22"/>
                <w:highlight w:val="none"/>
              </w:rPr>
              <w:br w:type="textWrapping"/>
            </w:r>
            <w:r>
              <w:rPr>
                <w:rFonts w:hint="eastAsia" w:ascii="宋体" w:hAnsi="宋体" w:eastAsia="宋体" w:cs="宋体"/>
                <w:color w:val="000000"/>
                <w:sz w:val="22"/>
                <w:szCs w:val="22"/>
                <w:highlight w:val="none"/>
              </w:rPr>
              <w:t>项目编号：</w:t>
            </w:r>
            <w:r>
              <w:rPr>
                <w:rFonts w:hint="eastAsia" w:ascii="宋体" w:hAnsi="宋体" w:eastAsia="宋体" w:cs="宋体"/>
                <w:color w:val="000000"/>
                <w:sz w:val="22"/>
                <w:szCs w:val="22"/>
                <w:highlight w:val="none"/>
              </w:rPr>
              <w:br w:type="textWrapping"/>
            </w:r>
            <w:r>
              <w:rPr>
                <w:rFonts w:hint="eastAsia" w:ascii="宋体" w:hAnsi="宋体" w:eastAsia="宋体" w:cs="宋体"/>
                <w:color w:val="000000"/>
                <w:sz w:val="22"/>
                <w:szCs w:val="22"/>
                <w:highlight w:val="none"/>
              </w:rPr>
              <w:t>合同编号：</w:t>
            </w:r>
          </w:p>
        </w:tc>
      </w:tr>
      <w:tr>
        <w:tblPrEx>
          <w:tblCellMar>
            <w:top w:w="0" w:type="dxa"/>
            <w:left w:w="108" w:type="dxa"/>
            <w:bottom w:w="0" w:type="dxa"/>
            <w:right w:w="108" w:type="dxa"/>
          </w:tblCellMar>
        </w:tblPrEx>
        <w:trPr>
          <w:trHeight w:val="799" w:hRule="atLeast"/>
        </w:trPr>
        <w:tc>
          <w:tcPr>
            <w:tcW w:w="196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项目地点</w:t>
            </w:r>
          </w:p>
        </w:tc>
        <w:tc>
          <w:tcPr>
            <w:tcW w:w="7340" w:type="dxa"/>
            <w:gridSpan w:val="2"/>
            <w:tcBorders>
              <w:top w:val="single" w:color="auto" w:sz="4" w:space="0"/>
              <w:left w:val="nil"/>
              <w:bottom w:val="single" w:color="auto" w:sz="4" w:space="0"/>
              <w:right w:val="single" w:color="000000"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w:t>
            </w:r>
          </w:p>
        </w:tc>
      </w:tr>
      <w:tr>
        <w:tblPrEx>
          <w:tblCellMar>
            <w:top w:w="0" w:type="dxa"/>
            <w:left w:w="108" w:type="dxa"/>
            <w:bottom w:w="0" w:type="dxa"/>
            <w:right w:w="108" w:type="dxa"/>
          </w:tblCellMar>
        </w:tblPrEx>
        <w:trPr>
          <w:trHeight w:val="799" w:hRule="atLeast"/>
        </w:trPr>
        <w:tc>
          <w:tcPr>
            <w:tcW w:w="196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施工单位</w:t>
            </w:r>
          </w:p>
        </w:tc>
        <w:tc>
          <w:tcPr>
            <w:tcW w:w="7340"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w:t>
            </w:r>
          </w:p>
        </w:tc>
      </w:tr>
      <w:tr>
        <w:tblPrEx>
          <w:tblCellMar>
            <w:top w:w="0" w:type="dxa"/>
            <w:left w:w="108" w:type="dxa"/>
            <w:bottom w:w="0" w:type="dxa"/>
            <w:right w:w="108" w:type="dxa"/>
          </w:tblCellMar>
        </w:tblPrEx>
        <w:trPr>
          <w:trHeight w:val="799" w:hRule="atLeast"/>
        </w:trPr>
        <w:tc>
          <w:tcPr>
            <w:tcW w:w="196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检查单位</w:t>
            </w:r>
          </w:p>
        </w:tc>
        <w:tc>
          <w:tcPr>
            <w:tcW w:w="7340"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w:t>
            </w:r>
          </w:p>
        </w:tc>
      </w:tr>
      <w:tr>
        <w:tblPrEx>
          <w:tblCellMar>
            <w:top w:w="0" w:type="dxa"/>
            <w:left w:w="108" w:type="dxa"/>
            <w:bottom w:w="0" w:type="dxa"/>
            <w:right w:w="108" w:type="dxa"/>
          </w:tblCellMar>
        </w:tblPrEx>
        <w:trPr>
          <w:trHeight w:val="539" w:hRule="atLeast"/>
        </w:trPr>
        <w:tc>
          <w:tcPr>
            <w:tcW w:w="19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质量控制资料</w:t>
            </w:r>
          </w:p>
        </w:tc>
        <w:tc>
          <w:tcPr>
            <w:tcW w:w="4300" w:type="dxa"/>
            <w:tcBorders>
              <w:top w:val="nil"/>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供货证明、产品合格证、性能检验报告</w:t>
            </w:r>
          </w:p>
        </w:tc>
        <w:tc>
          <w:tcPr>
            <w:tcW w:w="304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是否完成   是</w:t>
            </w:r>
            <w:r>
              <w:rPr>
                <w:rFonts w:ascii="Wingdings 2" w:hAnsi="Wingdings 2" w:eastAsia="宋体" w:cs="宋体"/>
                <w:color w:val="000000"/>
                <w:sz w:val="22"/>
                <w:szCs w:val="22"/>
                <w:highlight w:val="none"/>
              </w:rPr>
              <w:t></w:t>
            </w:r>
            <w:r>
              <w:rPr>
                <w:rFonts w:hint="eastAsia" w:ascii="宋体" w:hAnsi="宋体" w:eastAsia="宋体" w:cs="宋体"/>
                <w:color w:val="000000"/>
                <w:sz w:val="22"/>
                <w:szCs w:val="22"/>
                <w:highlight w:val="none"/>
              </w:rPr>
              <w:t xml:space="preserve">   否</w:t>
            </w:r>
            <w:r>
              <w:rPr>
                <w:rFonts w:ascii="Wingdings 2" w:hAnsi="Wingdings 2" w:eastAsia="宋体" w:cs="宋体"/>
                <w:color w:val="000000"/>
                <w:sz w:val="22"/>
                <w:szCs w:val="22"/>
                <w:highlight w:val="none"/>
              </w:rPr>
              <w:t></w:t>
            </w:r>
          </w:p>
        </w:tc>
      </w:tr>
      <w:tr>
        <w:tblPrEx>
          <w:tblCellMar>
            <w:top w:w="0" w:type="dxa"/>
            <w:left w:w="108" w:type="dxa"/>
            <w:bottom w:w="0" w:type="dxa"/>
            <w:right w:w="108" w:type="dxa"/>
          </w:tblCellMar>
        </w:tblPrEx>
        <w:trPr>
          <w:trHeight w:val="406"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序号</w:t>
            </w:r>
          </w:p>
        </w:tc>
        <w:tc>
          <w:tcPr>
            <w:tcW w:w="5500"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检查内容</w:t>
            </w:r>
          </w:p>
        </w:tc>
        <w:tc>
          <w:tcPr>
            <w:tcW w:w="3040" w:type="dxa"/>
            <w:tcBorders>
              <w:top w:val="nil"/>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检查结果</w:t>
            </w:r>
          </w:p>
        </w:tc>
      </w:tr>
      <w:tr>
        <w:tblPrEx>
          <w:tblCellMar>
            <w:top w:w="0" w:type="dxa"/>
            <w:left w:w="108" w:type="dxa"/>
            <w:bottom w:w="0" w:type="dxa"/>
            <w:right w:w="108" w:type="dxa"/>
          </w:tblCellMar>
        </w:tblPrEx>
        <w:trPr>
          <w:trHeight w:val="522" w:hRule="atLeast"/>
        </w:trPr>
        <w:tc>
          <w:tcPr>
            <w:tcW w:w="76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1</w:t>
            </w:r>
          </w:p>
        </w:tc>
        <w:tc>
          <w:tcPr>
            <w:tcW w:w="5500"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热镀锌钢管表面无锈蚀、凹陷、不光滑、裂纹情况</w:t>
            </w:r>
          </w:p>
        </w:tc>
        <w:tc>
          <w:tcPr>
            <w:tcW w:w="3040" w:type="dxa"/>
            <w:tcBorders>
              <w:top w:val="nil"/>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是</w:t>
            </w:r>
            <w:r>
              <w:rPr>
                <w:rFonts w:ascii="Wingdings 2" w:hAnsi="Wingdings 2" w:eastAsia="宋体" w:cs="宋体"/>
                <w:color w:val="000000"/>
                <w:sz w:val="22"/>
                <w:szCs w:val="22"/>
                <w:highlight w:val="none"/>
              </w:rPr>
              <w:t></w:t>
            </w:r>
            <w:r>
              <w:rPr>
                <w:rFonts w:hint="eastAsia" w:ascii="宋体" w:hAnsi="宋体" w:eastAsia="宋体" w:cs="宋体"/>
                <w:color w:val="000000"/>
                <w:sz w:val="22"/>
                <w:szCs w:val="22"/>
                <w:highlight w:val="none"/>
              </w:rPr>
              <w:t xml:space="preserve"> 否</w:t>
            </w:r>
            <w:r>
              <w:rPr>
                <w:rFonts w:ascii="Wingdings 2" w:hAnsi="Wingdings 2" w:eastAsia="宋体" w:cs="宋体"/>
                <w:color w:val="000000"/>
                <w:sz w:val="22"/>
                <w:szCs w:val="22"/>
                <w:highlight w:val="none"/>
              </w:rPr>
              <w:t></w:t>
            </w:r>
          </w:p>
        </w:tc>
      </w:tr>
      <w:tr>
        <w:tblPrEx>
          <w:tblCellMar>
            <w:top w:w="0" w:type="dxa"/>
            <w:left w:w="108" w:type="dxa"/>
            <w:bottom w:w="0" w:type="dxa"/>
            <w:right w:w="108" w:type="dxa"/>
          </w:tblCellMar>
        </w:tblPrEx>
        <w:trPr>
          <w:trHeight w:val="2340" w:hRule="atLeast"/>
        </w:trPr>
        <w:tc>
          <w:tcPr>
            <w:tcW w:w="76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2</w:t>
            </w:r>
          </w:p>
        </w:tc>
        <w:tc>
          <w:tcPr>
            <w:tcW w:w="5500"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热镀锌钢管壁厚是否满足下列允许偏差要求(单位mm)：</w:t>
            </w:r>
            <w:r>
              <w:rPr>
                <w:rFonts w:hint="eastAsia" w:ascii="宋体" w:hAnsi="宋体" w:eastAsia="宋体" w:cs="宋体"/>
                <w:color w:val="000000"/>
                <w:sz w:val="22"/>
                <w:szCs w:val="22"/>
                <w:highlight w:val="none"/>
              </w:rPr>
              <w:br w:type="textWrapping"/>
            </w:r>
            <w:r>
              <w:rPr>
                <w:rFonts w:hint="eastAsia" w:ascii="宋体" w:hAnsi="宋体" w:eastAsia="宋体" w:cs="宋体"/>
                <w:color w:val="000000"/>
                <w:sz w:val="22"/>
                <w:szCs w:val="22"/>
                <w:highlight w:val="none"/>
              </w:rPr>
              <w:t>DN25: 3.25士0.32</w:t>
            </w:r>
            <w:r>
              <w:rPr>
                <w:rFonts w:hint="eastAsia" w:ascii="宋体" w:hAnsi="宋体" w:eastAsia="宋体" w:cs="宋体"/>
                <w:color w:val="000000"/>
                <w:sz w:val="22"/>
                <w:szCs w:val="22"/>
                <w:highlight w:val="none"/>
              </w:rPr>
              <w:br w:type="textWrapping"/>
            </w:r>
            <w:r>
              <w:rPr>
                <w:rFonts w:hint="eastAsia" w:ascii="宋体" w:hAnsi="宋体" w:eastAsia="宋体" w:cs="宋体"/>
                <w:color w:val="000000"/>
                <w:sz w:val="22"/>
                <w:szCs w:val="22"/>
                <w:highlight w:val="none"/>
              </w:rPr>
              <w:t>DN32: 3.25土0.32</w:t>
            </w:r>
            <w:r>
              <w:rPr>
                <w:rFonts w:hint="eastAsia" w:ascii="宋体" w:hAnsi="宋体" w:eastAsia="宋体" w:cs="宋体"/>
                <w:color w:val="000000"/>
                <w:sz w:val="22"/>
                <w:szCs w:val="22"/>
                <w:highlight w:val="none"/>
              </w:rPr>
              <w:br w:type="textWrapping"/>
            </w:r>
            <w:r>
              <w:rPr>
                <w:rFonts w:hint="eastAsia" w:ascii="宋体" w:hAnsi="宋体" w:eastAsia="宋体" w:cs="宋体"/>
                <w:color w:val="000000"/>
                <w:sz w:val="22"/>
                <w:szCs w:val="22"/>
                <w:highlight w:val="none"/>
              </w:rPr>
              <w:t>DN40: 3.5士0.35</w:t>
            </w:r>
            <w:r>
              <w:rPr>
                <w:rFonts w:hint="eastAsia" w:ascii="宋体" w:hAnsi="宋体" w:eastAsia="宋体" w:cs="宋体"/>
                <w:color w:val="000000"/>
                <w:sz w:val="22"/>
                <w:szCs w:val="22"/>
                <w:highlight w:val="none"/>
              </w:rPr>
              <w:br w:type="textWrapping"/>
            </w:r>
            <w:r>
              <w:rPr>
                <w:rFonts w:hint="eastAsia" w:ascii="宋体" w:hAnsi="宋体" w:eastAsia="宋体" w:cs="宋体"/>
                <w:color w:val="000000"/>
                <w:sz w:val="22"/>
                <w:szCs w:val="22"/>
                <w:highlight w:val="none"/>
              </w:rPr>
              <w:t>DN50: 3.5士0.35</w:t>
            </w:r>
            <w:r>
              <w:rPr>
                <w:rFonts w:hint="eastAsia" w:ascii="宋体" w:hAnsi="宋体" w:eastAsia="宋体" w:cs="宋体"/>
                <w:color w:val="000000"/>
                <w:sz w:val="22"/>
                <w:szCs w:val="22"/>
                <w:highlight w:val="none"/>
              </w:rPr>
              <w:br w:type="textWrapping"/>
            </w:r>
            <w:r>
              <w:rPr>
                <w:rFonts w:hint="eastAsia" w:ascii="宋体" w:hAnsi="宋体" w:eastAsia="宋体" w:cs="宋体"/>
                <w:color w:val="000000"/>
                <w:sz w:val="22"/>
                <w:szCs w:val="22"/>
                <w:highlight w:val="none"/>
              </w:rPr>
              <w:t>DN65: 4.0士0.40</w:t>
            </w:r>
            <w:r>
              <w:rPr>
                <w:rFonts w:hint="eastAsia" w:ascii="宋体" w:hAnsi="宋体" w:eastAsia="宋体" w:cs="宋体"/>
                <w:color w:val="000000"/>
                <w:sz w:val="22"/>
                <w:szCs w:val="22"/>
                <w:highlight w:val="none"/>
              </w:rPr>
              <w:br w:type="textWrapping"/>
            </w:r>
            <w:r>
              <w:rPr>
                <w:rFonts w:hint="eastAsia" w:ascii="宋体" w:hAnsi="宋体" w:eastAsia="宋体" w:cs="宋体"/>
                <w:color w:val="000000"/>
                <w:sz w:val="22"/>
                <w:szCs w:val="22"/>
                <w:highlight w:val="none"/>
              </w:rPr>
              <w:t>DN80: 4.0士0.40</w:t>
            </w:r>
            <w:r>
              <w:rPr>
                <w:rFonts w:hint="eastAsia" w:ascii="宋体" w:hAnsi="宋体" w:eastAsia="宋体" w:cs="宋体"/>
                <w:color w:val="000000"/>
                <w:sz w:val="22"/>
                <w:szCs w:val="22"/>
                <w:highlight w:val="none"/>
              </w:rPr>
              <w:br w:type="textWrapping"/>
            </w:r>
            <w:r>
              <w:rPr>
                <w:rFonts w:hint="eastAsia" w:ascii="宋体" w:hAnsi="宋体" w:eastAsia="宋体" w:cs="宋体"/>
                <w:color w:val="000000"/>
                <w:sz w:val="22"/>
                <w:szCs w:val="22"/>
                <w:highlight w:val="none"/>
              </w:rPr>
              <w:t>DN100: 4.0士0.40</w:t>
            </w:r>
          </w:p>
        </w:tc>
        <w:tc>
          <w:tcPr>
            <w:tcW w:w="3040" w:type="dxa"/>
            <w:tcBorders>
              <w:top w:val="nil"/>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是</w:t>
            </w:r>
            <w:r>
              <w:rPr>
                <w:rFonts w:ascii="Wingdings 2" w:hAnsi="Wingdings 2" w:eastAsia="宋体" w:cs="宋体"/>
                <w:color w:val="000000"/>
                <w:sz w:val="22"/>
                <w:szCs w:val="22"/>
                <w:highlight w:val="none"/>
              </w:rPr>
              <w:t></w:t>
            </w:r>
            <w:r>
              <w:rPr>
                <w:rFonts w:hint="eastAsia" w:ascii="宋体" w:hAnsi="宋体" w:eastAsia="宋体" w:cs="宋体"/>
                <w:color w:val="000000"/>
                <w:sz w:val="22"/>
                <w:szCs w:val="22"/>
                <w:highlight w:val="none"/>
              </w:rPr>
              <w:t xml:space="preserve"> 否</w:t>
            </w:r>
            <w:r>
              <w:rPr>
                <w:rFonts w:ascii="Wingdings 2" w:hAnsi="Wingdings 2" w:eastAsia="宋体" w:cs="宋体"/>
                <w:color w:val="000000"/>
                <w:sz w:val="22"/>
                <w:szCs w:val="22"/>
                <w:highlight w:val="none"/>
              </w:rPr>
              <w:t></w:t>
            </w:r>
            <w:r>
              <w:rPr>
                <w:rFonts w:hint="eastAsia" w:ascii="宋体" w:hAnsi="宋体" w:eastAsia="宋体" w:cs="宋体"/>
                <w:color w:val="000000"/>
                <w:sz w:val="22"/>
                <w:szCs w:val="22"/>
                <w:highlight w:val="none"/>
              </w:rPr>
              <w:br w:type="textWrapping"/>
            </w:r>
            <w:r>
              <w:rPr>
                <w:rFonts w:hint="eastAsia" w:ascii="宋体" w:hAnsi="宋体" w:eastAsia="宋体" w:cs="宋体"/>
                <w:color w:val="000000"/>
                <w:sz w:val="22"/>
                <w:szCs w:val="22"/>
                <w:highlight w:val="none"/>
              </w:rPr>
              <w:t>是</w:t>
            </w:r>
            <w:r>
              <w:rPr>
                <w:rFonts w:ascii="Wingdings 2" w:hAnsi="Wingdings 2" w:eastAsia="宋体" w:cs="宋体"/>
                <w:color w:val="000000"/>
                <w:sz w:val="22"/>
                <w:szCs w:val="22"/>
                <w:highlight w:val="none"/>
              </w:rPr>
              <w:t></w:t>
            </w:r>
            <w:r>
              <w:rPr>
                <w:rFonts w:hint="eastAsia" w:ascii="宋体" w:hAnsi="宋体" w:eastAsia="宋体" w:cs="宋体"/>
                <w:color w:val="000000"/>
                <w:sz w:val="22"/>
                <w:szCs w:val="22"/>
                <w:highlight w:val="none"/>
              </w:rPr>
              <w:t xml:space="preserve"> 否</w:t>
            </w:r>
            <w:r>
              <w:rPr>
                <w:rFonts w:ascii="Wingdings 2" w:hAnsi="Wingdings 2" w:eastAsia="宋体" w:cs="宋体"/>
                <w:color w:val="000000"/>
                <w:sz w:val="22"/>
                <w:szCs w:val="22"/>
                <w:highlight w:val="none"/>
              </w:rPr>
              <w:t></w:t>
            </w:r>
            <w:r>
              <w:rPr>
                <w:rFonts w:hint="eastAsia" w:ascii="宋体" w:hAnsi="宋体" w:eastAsia="宋体" w:cs="宋体"/>
                <w:color w:val="000000"/>
                <w:sz w:val="22"/>
                <w:szCs w:val="22"/>
                <w:highlight w:val="none"/>
              </w:rPr>
              <w:br w:type="textWrapping"/>
            </w:r>
            <w:r>
              <w:rPr>
                <w:rFonts w:hint="eastAsia" w:ascii="宋体" w:hAnsi="宋体" w:eastAsia="宋体" w:cs="宋体"/>
                <w:color w:val="000000"/>
                <w:sz w:val="22"/>
                <w:szCs w:val="22"/>
                <w:highlight w:val="none"/>
              </w:rPr>
              <w:t>是</w:t>
            </w:r>
            <w:r>
              <w:rPr>
                <w:rFonts w:ascii="Wingdings 2" w:hAnsi="Wingdings 2" w:eastAsia="宋体" w:cs="宋体"/>
                <w:color w:val="000000"/>
                <w:sz w:val="22"/>
                <w:szCs w:val="22"/>
                <w:highlight w:val="none"/>
              </w:rPr>
              <w:t></w:t>
            </w:r>
            <w:r>
              <w:rPr>
                <w:rFonts w:hint="eastAsia" w:ascii="宋体" w:hAnsi="宋体" w:eastAsia="宋体" w:cs="宋体"/>
                <w:color w:val="000000"/>
                <w:sz w:val="22"/>
                <w:szCs w:val="22"/>
                <w:highlight w:val="none"/>
              </w:rPr>
              <w:t xml:space="preserve"> 否</w:t>
            </w:r>
            <w:r>
              <w:rPr>
                <w:rFonts w:ascii="Wingdings 2" w:hAnsi="Wingdings 2" w:eastAsia="宋体" w:cs="宋体"/>
                <w:color w:val="000000"/>
                <w:sz w:val="22"/>
                <w:szCs w:val="22"/>
                <w:highlight w:val="none"/>
              </w:rPr>
              <w:t></w:t>
            </w:r>
            <w:r>
              <w:rPr>
                <w:rFonts w:hint="eastAsia" w:ascii="宋体" w:hAnsi="宋体" w:eastAsia="宋体" w:cs="宋体"/>
                <w:color w:val="000000"/>
                <w:sz w:val="22"/>
                <w:szCs w:val="22"/>
                <w:highlight w:val="none"/>
              </w:rPr>
              <w:br w:type="textWrapping"/>
            </w:r>
            <w:r>
              <w:rPr>
                <w:rFonts w:hint="eastAsia" w:ascii="宋体" w:hAnsi="宋体" w:eastAsia="宋体" w:cs="宋体"/>
                <w:color w:val="000000"/>
                <w:sz w:val="22"/>
                <w:szCs w:val="22"/>
                <w:highlight w:val="none"/>
              </w:rPr>
              <w:t>是</w:t>
            </w:r>
            <w:r>
              <w:rPr>
                <w:rFonts w:ascii="Wingdings 2" w:hAnsi="Wingdings 2" w:eastAsia="宋体" w:cs="宋体"/>
                <w:color w:val="000000"/>
                <w:sz w:val="22"/>
                <w:szCs w:val="22"/>
                <w:highlight w:val="none"/>
              </w:rPr>
              <w:t></w:t>
            </w:r>
            <w:r>
              <w:rPr>
                <w:rFonts w:hint="eastAsia" w:ascii="宋体" w:hAnsi="宋体" w:eastAsia="宋体" w:cs="宋体"/>
                <w:color w:val="000000"/>
                <w:sz w:val="22"/>
                <w:szCs w:val="22"/>
                <w:highlight w:val="none"/>
              </w:rPr>
              <w:t xml:space="preserve"> 否</w:t>
            </w:r>
            <w:r>
              <w:rPr>
                <w:rFonts w:ascii="Wingdings 2" w:hAnsi="Wingdings 2" w:eastAsia="宋体" w:cs="宋体"/>
                <w:color w:val="000000"/>
                <w:sz w:val="22"/>
                <w:szCs w:val="22"/>
                <w:highlight w:val="none"/>
              </w:rPr>
              <w:t></w:t>
            </w:r>
            <w:r>
              <w:rPr>
                <w:rFonts w:hint="eastAsia" w:ascii="宋体" w:hAnsi="宋体" w:eastAsia="宋体" w:cs="宋体"/>
                <w:color w:val="000000"/>
                <w:sz w:val="22"/>
                <w:szCs w:val="22"/>
                <w:highlight w:val="none"/>
              </w:rPr>
              <w:br w:type="textWrapping"/>
            </w:r>
            <w:r>
              <w:rPr>
                <w:rFonts w:hint="eastAsia" w:ascii="宋体" w:hAnsi="宋体" w:eastAsia="宋体" w:cs="宋体"/>
                <w:color w:val="000000"/>
                <w:sz w:val="22"/>
                <w:szCs w:val="22"/>
                <w:highlight w:val="none"/>
              </w:rPr>
              <w:t>是</w:t>
            </w:r>
            <w:r>
              <w:rPr>
                <w:rFonts w:ascii="Wingdings 2" w:hAnsi="Wingdings 2" w:eastAsia="宋体" w:cs="宋体"/>
                <w:color w:val="000000"/>
                <w:sz w:val="22"/>
                <w:szCs w:val="22"/>
                <w:highlight w:val="none"/>
              </w:rPr>
              <w:t></w:t>
            </w:r>
            <w:r>
              <w:rPr>
                <w:rFonts w:hint="eastAsia" w:ascii="宋体" w:hAnsi="宋体" w:eastAsia="宋体" w:cs="宋体"/>
                <w:color w:val="000000"/>
                <w:sz w:val="22"/>
                <w:szCs w:val="22"/>
                <w:highlight w:val="none"/>
              </w:rPr>
              <w:t xml:space="preserve"> 否</w:t>
            </w:r>
            <w:r>
              <w:rPr>
                <w:rFonts w:ascii="Wingdings 2" w:hAnsi="Wingdings 2" w:eastAsia="宋体" w:cs="宋体"/>
                <w:color w:val="000000"/>
                <w:sz w:val="22"/>
                <w:szCs w:val="22"/>
                <w:highlight w:val="none"/>
              </w:rPr>
              <w:t></w:t>
            </w:r>
            <w:r>
              <w:rPr>
                <w:rFonts w:hint="eastAsia" w:ascii="宋体" w:hAnsi="宋体" w:eastAsia="宋体" w:cs="宋体"/>
                <w:color w:val="000000"/>
                <w:sz w:val="22"/>
                <w:szCs w:val="22"/>
                <w:highlight w:val="none"/>
              </w:rPr>
              <w:br w:type="textWrapping"/>
            </w:r>
            <w:r>
              <w:rPr>
                <w:rFonts w:hint="eastAsia" w:ascii="宋体" w:hAnsi="宋体" w:eastAsia="宋体" w:cs="宋体"/>
                <w:color w:val="000000"/>
                <w:sz w:val="22"/>
                <w:szCs w:val="22"/>
                <w:highlight w:val="none"/>
              </w:rPr>
              <w:t>是</w:t>
            </w:r>
            <w:r>
              <w:rPr>
                <w:rFonts w:ascii="Wingdings 2" w:hAnsi="Wingdings 2" w:eastAsia="宋体" w:cs="宋体"/>
                <w:color w:val="000000"/>
                <w:sz w:val="22"/>
                <w:szCs w:val="22"/>
                <w:highlight w:val="none"/>
              </w:rPr>
              <w:t></w:t>
            </w:r>
            <w:r>
              <w:rPr>
                <w:rFonts w:hint="eastAsia" w:ascii="宋体" w:hAnsi="宋体" w:eastAsia="宋体" w:cs="宋体"/>
                <w:color w:val="000000"/>
                <w:sz w:val="22"/>
                <w:szCs w:val="22"/>
                <w:highlight w:val="none"/>
              </w:rPr>
              <w:t xml:space="preserve"> 否</w:t>
            </w:r>
            <w:r>
              <w:rPr>
                <w:rFonts w:ascii="Wingdings 2" w:hAnsi="Wingdings 2" w:eastAsia="宋体" w:cs="宋体"/>
                <w:color w:val="000000"/>
                <w:sz w:val="22"/>
                <w:szCs w:val="22"/>
                <w:highlight w:val="none"/>
              </w:rPr>
              <w:t></w:t>
            </w:r>
            <w:r>
              <w:rPr>
                <w:rFonts w:hint="eastAsia" w:ascii="宋体" w:hAnsi="宋体" w:eastAsia="宋体" w:cs="宋体"/>
                <w:color w:val="000000"/>
                <w:sz w:val="22"/>
                <w:szCs w:val="22"/>
                <w:highlight w:val="none"/>
              </w:rPr>
              <w:br w:type="textWrapping"/>
            </w:r>
            <w:r>
              <w:rPr>
                <w:rFonts w:hint="eastAsia" w:ascii="宋体" w:hAnsi="宋体" w:eastAsia="宋体" w:cs="宋体"/>
                <w:color w:val="000000"/>
                <w:sz w:val="22"/>
                <w:szCs w:val="22"/>
                <w:highlight w:val="none"/>
              </w:rPr>
              <w:t>是</w:t>
            </w:r>
            <w:r>
              <w:rPr>
                <w:rFonts w:ascii="Wingdings 2" w:hAnsi="Wingdings 2" w:eastAsia="宋体" w:cs="宋体"/>
                <w:color w:val="000000"/>
                <w:sz w:val="22"/>
                <w:szCs w:val="22"/>
                <w:highlight w:val="none"/>
              </w:rPr>
              <w:t></w:t>
            </w:r>
            <w:r>
              <w:rPr>
                <w:rFonts w:hint="eastAsia" w:ascii="宋体" w:hAnsi="宋体" w:eastAsia="宋体" w:cs="宋体"/>
                <w:color w:val="000000"/>
                <w:sz w:val="22"/>
                <w:szCs w:val="22"/>
                <w:highlight w:val="none"/>
              </w:rPr>
              <w:t xml:space="preserve"> 否</w:t>
            </w:r>
            <w:r>
              <w:rPr>
                <w:rFonts w:ascii="Wingdings 2" w:hAnsi="Wingdings 2" w:eastAsia="宋体" w:cs="宋体"/>
                <w:color w:val="000000"/>
                <w:sz w:val="22"/>
                <w:szCs w:val="22"/>
                <w:highlight w:val="none"/>
              </w:rPr>
              <w:t></w:t>
            </w:r>
          </w:p>
        </w:tc>
      </w:tr>
      <w:tr>
        <w:tblPrEx>
          <w:tblCellMar>
            <w:top w:w="0" w:type="dxa"/>
            <w:left w:w="108" w:type="dxa"/>
            <w:bottom w:w="0" w:type="dxa"/>
            <w:right w:w="108" w:type="dxa"/>
          </w:tblCellMar>
        </w:tblPrEx>
        <w:trPr>
          <w:trHeight w:val="720" w:hRule="atLeast"/>
        </w:trPr>
        <w:tc>
          <w:tcPr>
            <w:tcW w:w="76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3</w:t>
            </w:r>
          </w:p>
        </w:tc>
        <w:tc>
          <w:tcPr>
            <w:tcW w:w="5500" w:type="dxa"/>
            <w:gridSpan w:val="2"/>
            <w:tcBorders>
              <w:top w:val="single" w:color="auto" w:sz="4" w:space="0"/>
              <w:left w:val="nil"/>
              <w:bottom w:val="single" w:color="auto" w:sz="4" w:space="0"/>
              <w:right w:val="single" w:color="000000"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管道连接件外观完好，表面无锈蚀、凹陷、裂纹、破损情况</w:t>
            </w:r>
          </w:p>
        </w:tc>
        <w:tc>
          <w:tcPr>
            <w:tcW w:w="304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是</w:t>
            </w:r>
            <w:r>
              <w:rPr>
                <w:rFonts w:ascii="Wingdings 2" w:hAnsi="Wingdings 2" w:eastAsia="宋体" w:cs="宋体"/>
                <w:color w:val="000000"/>
                <w:sz w:val="22"/>
                <w:szCs w:val="22"/>
                <w:highlight w:val="none"/>
              </w:rPr>
              <w:t></w:t>
            </w:r>
            <w:r>
              <w:rPr>
                <w:rFonts w:hint="eastAsia" w:ascii="宋体" w:hAnsi="宋体" w:eastAsia="宋体" w:cs="宋体"/>
                <w:color w:val="000000"/>
                <w:sz w:val="22"/>
                <w:szCs w:val="22"/>
                <w:highlight w:val="none"/>
              </w:rPr>
              <w:t xml:space="preserve"> 否</w:t>
            </w:r>
            <w:r>
              <w:rPr>
                <w:rFonts w:ascii="Wingdings 2" w:hAnsi="Wingdings 2" w:eastAsia="宋体" w:cs="宋体"/>
                <w:color w:val="000000"/>
                <w:sz w:val="22"/>
                <w:szCs w:val="22"/>
                <w:highlight w:val="none"/>
              </w:rPr>
              <w:t></w:t>
            </w:r>
          </w:p>
        </w:tc>
      </w:tr>
      <w:tr>
        <w:tblPrEx>
          <w:tblCellMar>
            <w:top w:w="0" w:type="dxa"/>
            <w:left w:w="108" w:type="dxa"/>
            <w:bottom w:w="0" w:type="dxa"/>
            <w:right w:w="108" w:type="dxa"/>
          </w:tblCellMar>
        </w:tblPrEx>
        <w:trPr>
          <w:trHeight w:val="600" w:hRule="atLeast"/>
        </w:trPr>
        <w:tc>
          <w:tcPr>
            <w:tcW w:w="76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4</w:t>
            </w:r>
          </w:p>
        </w:tc>
        <w:tc>
          <w:tcPr>
            <w:tcW w:w="5500" w:type="dxa"/>
            <w:gridSpan w:val="2"/>
            <w:tcBorders>
              <w:top w:val="single" w:color="auto" w:sz="4" w:space="0"/>
              <w:left w:val="nil"/>
              <w:bottom w:val="single" w:color="auto" w:sz="4" w:space="0"/>
              <w:right w:val="single" w:color="000000"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喷淋头外观完好，表面无锈蚀、破损、变形等情况，喷头无泄漏现象。</w:t>
            </w:r>
          </w:p>
        </w:tc>
        <w:tc>
          <w:tcPr>
            <w:tcW w:w="304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是</w:t>
            </w:r>
            <w:r>
              <w:rPr>
                <w:rFonts w:ascii="Wingdings 2" w:hAnsi="Wingdings 2" w:eastAsia="宋体" w:cs="宋体"/>
                <w:color w:val="000000"/>
                <w:sz w:val="22"/>
                <w:szCs w:val="22"/>
                <w:highlight w:val="none"/>
              </w:rPr>
              <w:t></w:t>
            </w:r>
            <w:r>
              <w:rPr>
                <w:rFonts w:hint="eastAsia" w:ascii="宋体" w:hAnsi="宋体" w:eastAsia="宋体" w:cs="宋体"/>
                <w:color w:val="000000"/>
                <w:sz w:val="22"/>
                <w:szCs w:val="22"/>
                <w:highlight w:val="none"/>
              </w:rPr>
              <w:t xml:space="preserve"> 否</w:t>
            </w:r>
            <w:r>
              <w:rPr>
                <w:rFonts w:ascii="Wingdings 2" w:hAnsi="Wingdings 2" w:eastAsia="宋体" w:cs="宋体"/>
                <w:color w:val="000000"/>
                <w:sz w:val="22"/>
                <w:szCs w:val="22"/>
                <w:highlight w:val="none"/>
              </w:rPr>
              <w:t></w:t>
            </w:r>
          </w:p>
        </w:tc>
      </w:tr>
      <w:tr>
        <w:tblPrEx>
          <w:tblCellMar>
            <w:top w:w="0" w:type="dxa"/>
            <w:left w:w="108" w:type="dxa"/>
            <w:bottom w:w="0" w:type="dxa"/>
            <w:right w:w="108" w:type="dxa"/>
          </w:tblCellMar>
        </w:tblPrEx>
        <w:trPr>
          <w:trHeight w:val="642" w:hRule="atLeast"/>
        </w:trPr>
        <w:tc>
          <w:tcPr>
            <w:tcW w:w="1960" w:type="dxa"/>
            <w:gridSpan w:val="2"/>
            <w:vMerge w:val="restart"/>
            <w:tcBorders>
              <w:top w:val="single" w:color="auto" w:sz="4" w:space="0"/>
              <w:left w:val="single" w:color="auto" w:sz="4" w:space="0"/>
              <w:bottom w:val="single" w:color="000000" w:sz="4" w:space="0"/>
              <w:right w:val="single" w:color="000000"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b/>
                <w:bCs/>
                <w:color w:val="000000"/>
                <w:sz w:val="22"/>
                <w:szCs w:val="22"/>
                <w:highlight w:val="none"/>
              </w:rPr>
            </w:pPr>
            <w:r>
              <w:rPr>
                <w:rFonts w:hint="eastAsia" w:ascii="宋体" w:hAnsi="宋体" w:eastAsia="宋体" w:cs="宋体"/>
                <w:b/>
                <w:bCs/>
                <w:color w:val="000000"/>
                <w:sz w:val="22"/>
                <w:szCs w:val="22"/>
                <w:highlight w:val="none"/>
              </w:rPr>
              <w:t>施工单位</w:t>
            </w:r>
          </w:p>
        </w:tc>
        <w:tc>
          <w:tcPr>
            <w:tcW w:w="430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施工人员：</w:t>
            </w:r>
          </w:p>
        </w:tc>
        <w:tc>
          <w:tcPr>
            <w:tcW w:w="304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 </w:t>
            </w:r>
          </w:p>
        </w:tc>
      </w:tr>
      <w:tr>
        <w:tblPrEx>
          <w:tblCellMar>
            <w:top w:w="0" w:type="dxa"/>
            <w:left w:w="108" w:type="dxa"/>
            <w:bottom w:w="0" w:type="dxa"/>
            <w:right w:w="108" w:type="dxa"/>
          </w:tblCellMar>
        </w:tblPrEx>
        <w:trPr>
          <w:trHeight w:val="642" w:hRule="atLeast"/>
        </w:trPr>
        <w:tc>
          <w:tcPr>
            <w:tcW w:w="1960" w:type="dxa"/>
            <w:gridSpan w:val="2"/>
            <w:vMerge w:val="continue"/>
            <w:tcBorders>
              <w:top w:val="single" w:color="auto" w:sz="4" w:space="0"/>
              <w:left w:val="single" w:color="auto" w:sz="4" w:space="0"/>
              <w:bottom w:val="single" w:color="000000" w:sz="4" w:space="0"/>
              <w:right w:val="single" w:color="000000" w:sz="4" w:space="0"/>
            </w:tcBorders>
            <w:vAlign w:val="center"/>
          </w:tcPr>
          <w:p>
            <w:pPr>
              <w:shd w:val="clear"/>
              <w:spacing w:before="0" w:after="0" w:afterAutospacing="0" w:line="240" w:lineRule="auto"/>
              <w:ind w:left="0" w:right="0" w:firstLine="0"/>
              <w:jc w:val="left"/>
              <w:rPr>
                <w:rFonts w:ascii="宋体" w:hAnsi="宋体" w:eastAsia="宋体" w:cs="宋体"/>
                <w:b/>
                <w:bCs/>
                <w:color w:val="000000"/>
                <w:sz w:val="22"/>
                <w:szCs w:val="22"/>
                <w:highlight w:val="none"/>
              </w:rPr>
            </w:pPr>
          </w:p>
        </w:tc>
        <w:tc>
          <w:tcPr>
            <w:tcW w:w="430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项目负责人：</w:t>
            </w:r>
          </w:p>
        </w:tc>
        <w:tc>
          <w:tcPr>
            <w:tcW w:w="304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 </w:t>
            </w:r>
          </w:p>
        </w:tc>
      </w:tr>
      <w:tr>
        <w:tblPrEx>
          <w:tblCellMar>
            <w:top w:w="0" w:type="dxa"/>
            <w:left w:w="108" w:type="dxa"/>
            <w:bottom w:w="0" w:type="dxa"/>
            <w:right w:w="108" w:type="dxa"/>
          </w:tblCellMar>
        </w:tblPrEx>
        <w:trPr>
          <w:trHeight w:val="642" w:hRule="atLeast"/>
        </w:trPr>
        <w:tc>
          <w:tcPr>
            <w:tcW w:w="1960" w:type="dxa"/>
            <w:gridSpan w:val="2"/>
            <w:vMerge w:val="restart"/>
            <w:tcBorders>
              <w:top w:val="single" w:color="auto" w:sz="4" w:space="0"/>
              <w:left w:val="single" w:color="auto" w:sz="4" w:space="0"/>
              <w:bottom w:val="single" w:color="000000" w:sz="4" w:space="0"/>
              <w:right w:val="single" w:color="000000"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b/>
                <w:bCs/>
                <w:color w:val="000000"/>
                <w:sz w:val="22"/>
                <w:szCs w:val="22"/>
                <w:highlight w:val="none"/>
              </w:rPr>
            </w:pPr>
            <w:r>
              <w:rPr>
                <w:rFonts w:hint="eastAsia" w:ascii="宋体" w:hAnsi="宋体" w:eastAsia="宋体" w:cs="宋体"/>
                <w:b/>
                <w:bCs/>
                <w:color w:val="000000"/>
                <w:sz w:val="22"/>
                <w:szCs w:val="22"/>
                <w:highlight w:val="none"/>
              </w:rPr>
              <w:t>检查单位</w:t>
            </w:r>
          </w:p>
        </w:tc>
        <w:tc>
          <w:tcPr>
            <w:tcW w:w="430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检查人员：</w:t>
            </w:r>
          </w:p>
        </w:tc>
        <w:tc>
          <w:tcPr>
            <w:tcW w:w="304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 </w:t>
            </w:r>
          </w:p>
        </w:tc>
      </w:tr>
      <w:tr>
        <w:tblPrEx>
          <w:tblCellMar>
            <w:top w:w="0" w:type="dxa"/>
            <w:left w:w="108" w:type="dxa"/>
            <w:bottom w:w="0" w:type="dxa"/>
            <w:right w:w="108" w:type="dxa"/>
          </w:tblCellMar>
        </w:tblPrEx>
        <w:trPr>
          <w:trHeight w:val="642" w:hRule="atLeast"/>
        </w:trPr>
        <w:tc>
          <w:tcPr>
            <w:tcW w:w="1960" w:type="dxa"/>
            <w:gridSpan w:val="2"/>
            <w:vMerge w:val="continue"/>
            <w:tcBorders>
              <w:top w:val="single" w:color="auto" w:sz="4" w:space="0"/>
              <w:left w:val="single" w:color="auto" w:sz="4" w:space="0"/>
              <w:bottom w:val="single" w:color="000000" w:sz="4" w:space="0"/>
              <w:right w:val="single" w:color="000000" w:sz="4" w:space="0"/>
            </w:tcBorders>
            <w:vAlign w:val="center"/>
          </w:tcPr>
          <w:p>
            <w:pPr>
              <w:shd w:val="clear"/>
              <w:spacing w:before="0" w:after="0" w:afterAutospacing="0" w:line="240" w:lineRule="auto"/>
              <w:ind w:left="0" w:right="0" w:firstLine="0"/>
              <w:jc w:val="left"/>
              <w:rPr>
                <w:rFonts w:ascii="宋体" w:hAnsi="宋体" w:eastAsia="宋体" w:cs="宋体"/>
                <w:b/>
                <w:bCs/>
                <w:color w:val="000000"/>
                <w:sz w:val="22"/>
                <w:szCs w:val="22"/>
                <w:highlight w:val="none"/>
              </w:rPr>
            </w:pPr>
          </w:p>
        </w:tc>
        <w:tc>
          <w:tcPr>
            <w:tcW w:w="430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工班长：</w:t>
            </w:r>
          </w:p>
        </w:tc>
        <w:tc>
          <w:tcPr>
            <w:tcW w:w="304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 </w:t>
            </w:r>
          </w:p>
        </w:tc>
      </w:tr>
      <w:tr>
        <w:tblPrEx>
          <w:tblCellMar>
            <w:top w:w="0" w:type="dxa"/>
            <w:left w:w="108" w:type="dxa"/>
            <w:bottom w:w="0" w:type="dxa"/>
            <w:right w:w="108" w:type="dxa"/>
          </w:tblCellMar>
        </w:tblPrEx>
        <w:trPr>
          <w:trHeight w:val="642" w:hRule="atLeast"/>
        </w:trPr>
        <w:tc>
          <w:tcPr>
            <w:tcW w:w="1960" w:type="dxa"/>
            <w:gridSpan w:val="2"/>
            <w:vMerge w:val="continue"/>
            <w:tcBorders>
              <w:top w:val="single" w:color="auto" w:sz="4" w:space="0"/>
              <w:left w:val="single" w:color="auto" w:sz="4" w:space="0"/>
              <w:bottom w:val="single" w:color="000000" w:sz="4" w:space="0"/>
              <w:right w:val="single" w:color="000000" w:sz="4" w:space="0"/>
            </w:tcBorders>
            <w:vAlign w:val="center"/>
          </w:tcPr>
          <w:p>
            <w:pPr>
              <w:shd w:val="clear"/>
              <w:spacing w:before="0" w:after="0" w:afterAutospacing="0" w:line="240" w:lineRule="auto"/>
              <w:ind w:left="0" w:right="0" w:firstLine="0"/>
              <w:jc w:val="left"/>
              <w:rPr>
                <w:rFonts w:ascii="宋体" w:hAnsi="宋体" w:eastAsia="宋体" w:cs="宋体"/>
                <w:b/>
                <w:bCs/>
                <w:color w:val="000000"/>
                <w:sz w:val="22"/>
                <w:szCs w:val="22"/>
                <w:highlight w:val="none"/>
              </w:rPr>
            </w:pPr>
          </w:p>
        </w:tc>
        <w:tc>
          <w:tcPr>
            <w:tcW w:w="430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技术主办：</w:t>
            </w:r>
          </w:p>
        </w:tc>
        <w:tc>
          <w:tcPr>
            <w:tcW w:w="304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 </w:t>
            </w:r>
          </w:p>
        </w:tc>
      </w:tr>
    </w:tbl>
    <w:p>
      <w:pPr>
        <w:shd w:val="clear"/>
        <w:spacing w:after="0" w:afterAutospacing="0"/>
        <w:rPr>
          <w:rFonts w:asciiTheme="minorEastAsia" w:hAnsiTheme="minorEastAsia" w:eastAsiaTheme="minorEastAsia"/>
          <w:b w:val="0"/>
          <w:sz w:val="21"/>
          <w:szCs w:val="21"/>
          <w:highlight w:val="none"/>
        </w:rPr>
        <w:sectPr>
          <w:headerReference r:id="rId13" w:type="first"/>
          <w:footerReference r:id="rId14" w:type="first"/>
          <w:pgSz w:w="11905" w:h="16838"/>
          <w:pgMar w:top="567" w:right="1134" w:bottom="567" w:left="1134" w:header="340" w:footer="567" w:gutter="0"/>
          <w:pgNumType w:fmt="decimal"/>
          <w:cols w:space="720" w:num="1"/>
          <w:docGrid w:linePitch="319" w:charSpace="0"/>
        </w:sectPr>
      </w:pPr>
      <w:bookmarkStart w:id="2155" w:name="_Toc137824315"/>
    </w:p>
    <w:p>
      <w:pPr>
        <w:shd w:val="clear"/>
        <w:spacing w:before="0" w:after="0" w:afterAutospacing="0" w:line="415" w:lineRule="auto"/>
        <w:ind w:left="709" w:right="-27" w:hanging="709"/>
        <w:jc w:val="both"/>
        <w:outlineLvl w:val="1"/>
        <w:rPr>
          <w:rFonts w:cs="Times New Roman" w:asciiTheme="minorEastAsia" w:hAnsiTheme="minorEastAsia" w:eastAsiaTheme="minorEastAsia"/>
          <w:b w:val="0"/>
          <w:sz w:val="21"/>
          <w:szCs w:val="21"/>
          <w:highlight w:val="none"/>
          <w:lang w:val="en-US" w:eastAsia="zh-CN" w:bidi="ar-SA"/>
        </w:rPr>
      </w:pPr>
      <w:r>
        <w:rPr>
          <w:rFonts w:hint="eastAsia" w:cs="Times New Roman" w:asciiTheme="minorEastAsia" w:hAnsiTheme="minorEastAsia" w:eastAsiaTheme="minorEastAsia"/>
          <w:b w:val="0"/>
          <w:sz w:val="21"/>
          <w:szCs w:val="21"/>
          <w:highlight w:val="none"/>
          <w:lang w:val="en-US" w:eastAsia="zh-CN" w:bidi="ar-SA"/>
        </w:rPr>
        <w:t>附件3：项目设施安装质量检查表</w:t>
      </w:r>
      <w:bookmarkEnd w:id="2155"/>
    </w:p>
    <w:tbl>
      <w:tblPr>
        <w:tblStyle w:val="28"/>
        <w:tblW w:w="9796" w:type="dxa"/>
        <w:tblInd w:w="93" w:type="dxa"/>
        <w:tblLayout w:type="autofit"/>
        <w:tblCellMar>
          <w:top w:w="0" w:type="dxa"/>
          <w:left w:w="108" w:type="dxa"/>
          <w:bottom w:w="0" w:type="dxa"/>
          <w:right w:w="108" w:type="dxa"/>
        </w:tblCellMar>
      </w:tblPr>
      <w:tblGrid>
        <w:gridCol w:w="760"/>
        <w:gridCol w:w="1200"/>
        <w:gridCol w:w="4960"/>
        <w:gridCol w:w="2876"/>
      </w:tblGrid>
      <w:tr>
        <w:tblPrEx>
          <w:tblCellMar>
            <w:top w:w="0" w:type="dxa"/>
            <w:left w:w="108" w:type="dxa"/>
            <w:bottom w:w="0" w:type="dxa"/>
            <w:right w:w="108" w:type="dxa"/>
          </w:tblCellMar>
        </w:tblPrEx>
        <w:trPr>
          <w:trHeight w:val="527" w:hRule="atLeast"/>
        </w:trPr>
        <w:tc>
          <w:tcPr>
            <w:tcW w:w="9796" w:type="dxa"/>
            <w:gridSpan w:val="4"/>
            <w:tcBorders>
              <w:top w:val="nil"/>
              <w:left w:val="nil"/>
              <w:bottom w:val="nil"/>
              <w:right w:val="nil"/>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b/>
                <w:bCs/>
                <w:color w:val="000000"/>
                <w:sz w:val="28"/>
                <w:szCs w:val="28"/>
                <w:highlight w:val="none"/>
              </w:rPr>
            </w:pPr>
            <w:r>
              <w:rPr>
                <w:rFonts w:hint="eastAsia" w:ascii="宋体" w:hAnsi="宋体" w:eastAsia="宋体" w:cs="宋体"/>
                <w:b/>
                <w:bCs/>
                <w:color w:val="000000"/>
                <w:sz w:val="28"/>
                <w:szCs w:val="28"/>
                <w:highlight w:val="none"/>
              </w:rPr>
              <w:t>项目施工质量检查表</w:t>
            </w:r>
          </w:p>
        </w:tc>
      </w:tr>
      <w:tr>
        <w:tblPrEx>
          <w:tblCellMar>
            <w:top w:w="0" w:type="dxa"/>
            <w:left w:w="108" w:type="dxa"/>
            <w:bottom w:w="0" w:type="dxa"/>
            <w:right w:w="108" w:type="dxa"/>
          </w:tblCellMar>
        </w:tblPrEx>
        <w:trPr>
          <w:trHeight w:val="960" w:hRule="atLeast"/>
        </w:trPr>
        <w:tc>
          <w:tcPr>
            <w:tcW w:w="19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项目名称、编号及合同编号</w:t>
            </w:r>
          </w:p>
        </w:tc>
        <w:tc>
          <w:tcPr>
            <w:tcW w:w="7836"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项目名称:</w:t>
            </w:r>
            <w:r>
              <w:rPr>
                <w:rFonts w:hint="eastAsia" w:ascii="宋体" w:hAnsi="宋体" w:eastAsia="宋体" w:cs="宋体"/>
                <w:color w:val="000000"/>
                <w:sz w:val="22"/>
                <w:szCs w:val="22"/>
                <w:highlight w:val="none"/>
              </w:rPr>
              <w:br w:type="textWrapping"/>
            </w:r>
            <w:r>
              <w:rPr>
                <w:rFonts w:hint="eastAsia" w:ascii="宋体" w:hAnsi="宋体" w:eastAsia="宋体" w:cs="宋体"/>
                <w:color w:val="000000"/>
                <w:sz w:val="22"/>
                <w:szCs w:val="22"/>
                <w:highlight w:val="none"/>
              </w:rPr>
              <w:t>项目编号：</w:t>
            </w:r>
            <w:r>
              <w:rPr>
                <w:rFonts w:hint="eastAsia" w:ascii="宋体" w:hAnsi="宋体" w:eastAsia="宋体" w:cs="宋体"/>
                <w:color w:val="000000"/>
                <w:sz w:val="22"/>
                <w:szCs w:val="22"/>
                <w:highlight w:val="none"/>
              </w:rPr>
              <w:br w:type="textWrapping"/>
            </w:r>
            <w:r>
              <w:rPr>
                <w:rFonts w:hint="eastAsia" w:ascii="宋体" w:hAnsi="宋体" w:eastAsia="宋体" w:cs="宋体"/>
                <w:color w:val="000000"/>
                <w:sz w:val="22"/>
                <w:szCs w:val="22"/>
                <w:highlight w:val="none"/>
              </w:rPr>
              <w:t>合同编号：</w:t>
            </w:r>
          </w:p>
        </w:tc>
      </w:tr>
      <w:tr>
        <w:tblPrEx>
          <w:tblCellMar>
            <w:top w:w="0" w:type="dxa"/>
            <w:left w:w="108" w:type="dxa"/>
            <w:bottom w:w="0" w:type="dxa"/>
            <w:right w:w="108" w:type="dxa"/>
          </w:tblCellMar>
        </w:tblPrEx>
        <w:trPr>
          <w:trHeight w:val="357" w:hRule="atLeast"/>
        </w:trPr>
        <w:tc>
          <w:tcPr>
            <w:tcW w:w="196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项目地点</w:t>
            </w:r>
          </w:p>
        </w:tc>
        <w:tc>
          <w:tcPr>
            <w:tcW w:w="7836" w:type="dxa"/>
            <w:gridSpan w:val="2"/>
            <w:tcBorders>
              <w:top w:val="single" w:color="auto" w:sz="4" w:space="0"/>
              <w:left w:val="nil"/>
              <w:bottom w:val="single" w:color="auto" w:sz="4" w:space="0"/>
              <w:right w:val="single" w:color="000000"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w:t>
            </w:r>
          </w:p>
        </w:tc>
      </w:tr>
      <w:tr>
        <w:tblPrEx>
          <w:tblCellMar>
            <w:top w:w="0" w:type="dxa"/>
            <w:left w:w="108" w:type="dxa"/>
            <w:bottom w:w="0" w:type="dxa"/>
            <w:right w:w="108" w:type="dxa"/>
          </w:tblCellMar>
        </w:tblPrEx>
        <w:trPr>
          <w:trHeight w:val="404" w:hRule="atLeast"/>
        </w:trPr>
        <w:tc>
          <w:tcPr>
            <w:tcW w:w="196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施工单位</w:t>
            </w:r>
          </w:p>
        </w:tc>
        <w:tc>
          <w:tcPr>
            <w:tcW w:w="7836"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w:t>
            </w:r>
          </w:p>
        </w:tc>
      </w:tr>
      <w:tr>
        <w:tblPrEx>
          <w:tblCellMar>
            <w:top w:w="0" w:type="dxa"/>
            <w:left w:w="108" w:type="dxa"/>
            <w:bottom w:w="0" w:type="dxa"/>
            <w:right w:w="108" w:type="dxa"/>
          </w:tblCellMar>
        </w:tblPrEx>
        <w:trPr>
          <w:trHeight w:val="282" w:hRule="atLeast"/>
        </w:trPr>
        <w:tc>
          <w:tcPr>
            <w:tcW w:w="196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检查单位</w:t>
            </w:r>
          </w:p>
        </w:tc>
        <w:tc>
          <w:tcPr>
            <w:tcW w:w="7836"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w:t>
            </w:r>
          </w:p>
        </w:tc>
      </w:tr>
      <w:tr>
        <w:tblPrEx>
          <w:tblCellMar>
            <w:top w:w="0" w:type="dxa"/>
            <w:left w:w="108" w:type="dxa"/>
            <w:bottom w:w="0" w:type="dxa"/>
            <w:right w:w="108" w:type="dxa"/>
          </w:tblCellMar>
        </w:tblPrEx>
        <w:trPr>
          <w:trHeight w:val="303" w:hRule="atLeast"/>
        </w:trPr>
        <w:tc>
          <w:tcPr>
            <w:tcW w:w="19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质量控制资料</w:t>
            </w:r>
          </w:p>
        </w:tc>
        <w:tc>
          <w:tcPr>
            <w:tcW w:w="4960" w:type="dxa"/>
            <w:tcBorders>
              <w:top w:val="nil"/>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项目设施进场前质量检查表</w:t>
            </w:r>
          </w:p>
        </w:tc>
        <w:tc>
          <w:tcPr>
            <w:tcW w:w="2876"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是否完成   是</w:t>
            </w:r>
            <w:r>
              <w:rPr>
                <w:rFonts w:ascii="Wingdings 2" w:hAnsi="Wingdings 2" w:eastAsia="宋体" w:cs="宋体"/>
                <w:color w:val="000000"/>
                <w:sz w:val="22"/>
                <w:szCs w:val="22"/>
                <w:highlight w:val="none"/>
              </w:rPr>
              <w:t></w:t>
            </w:r>
            <w:r>
              <w:rPr>
                <w:rFonts w:hint="eastAsia" w:ascii="宋体" w:hAnsi="宋体" w:eastAsia="宋体" w:cs="宋体"/>
                <w:color w:val="000000"/>
                <w:sz w:val="22"/>
                <w:szCs w:val="22"/>
                <w:highlight w:val="none"/>
              </w:rPr>
              <w:t xml:space="preserve">   否</w:t>
            </w:r>
            <w:r>
              <w:rPr>
                <w:rFonts w:ascii="Wingdings 2" w:hAnsi="Wingdings 2" w:eastAsia="宋体" w:cs="宋体"/>
                <w:color w:val="000000"/>
                <w:sz w:val="22"/>
                <w:szCs w:val="22"/>
                <w:highlight w:val="none"/>
              </w:rPr>
              <w:t></w:t>
            </w:r>
          </w:p>
        </w:tc>
      </w:tr>
      <w:tr>
        <w:tblPrEx>
          <w:tblCellMar>
            <w:top w:w="0" w:type="dxa"/>
            <w:left w:w="108" w:type="dxa"/>
            <w:bottom w:w="0" w:type="dxa"/>
            <w:right w:w="108" w:type="dxa"/>
          </w:tblCellMar>
        </w:tblPrEx>
        <w:trPr>
          <w:trHeight w:val="41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序号</w:t>
            </w:r>
          </w:p>
        </w:tc>
        <w:tc>
          <w:tcPr>
            <w:tcW w:w="6160"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检查内容</w:t>
            </w:r>
          </w:p>
        </w:tc>
        <w:tc>
          <w:tcPr>
            <w:tcW w:w="2876" w:type="dxa"/>
            <w:tcBorders>
              <w:top w:val="nil"/>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检查结果</w:t>
            </w:r>
          </w:p>
        </w:tc>
      </w:tr>
      <w:tr>
        <w:tblPrEx>
          <w:tblCellMar>
            <w:top w:w="0" w:type="dxa"/>
            <w:left w:w="108" w:type="dxa"/>
            <w:bottom w:w="0" w:type="dxa"/>
            <w:right w:w="108" w:type="dxa"/>
          </w:tblCellMar>
        </w:tblPrEx>
        <w:trPr>
          <w:trHeight w:val="600" w:hRule="atLeast"/>
        </w:trPr>
        <w:tc>
          <w:tcPr>
            <w:tcW w:w="76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1</w:t>
            </w:r>
          </w:p>
        </w:tc>
        <w:tc>
          <w:tcPr>
            <w:tcW w:w="6160"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管道连接后不得减小过水横断面面积。热镀锌钢管、涂覆钢管安装采用螺纹、沟槽式连接或法兰连接。</w:t>
            </w:r>
          </w:p>
        </w:tc>
        <w:tc>
          <w:tcPr>
            <w:tcW w:w="2876" w:type="dxa"/>
            <w:vMerge w:val="restart"/>
            <w:tcBorders>
              <w:top w:val="nil"/>
              <w:left w:val="single" w:color="auto" w:sz="4" w:space="0"/>
              <w:bottom w:val="single" w:color="000000"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w:t>
            </w:r>
          </w:p>
        </w:tc>
      </w:tr>
      <w:tr>
        <w:tblPrEx>
          <w:tblCellMar>
            <w:top w:w="0" w:type="dxa"/>
            <w:left w:w="108" w:type="dxa"/>
            <w:bottom w:w="0" w:type="dxa"/>
            <w:right w:w="108" w:type="dxa"/>
          </w:tblCellMar>
        </w:tblPrEx>
        <w:trPr>
          <w:trHeight w:val="1200" w:hRule="atLeast"/>
        </w:trPr>
        <w:tc>
          <w:tcPr>
            <w:tcW w:w="76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2</w:t>
            </w:r>
          </w:p>
        </w:tc>
        <w:tc>
          <w:tcPr>
            <w:tcW w:w="6160"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沟槽式管件连接时，其管道连接沟槽和开孔用专用滚槽机和开孔机加工，并做防腐处理；加工质量应符合技术要求；沟槽、孔洞处不得有毛刺、破损性裂纹和脏物。</w:t>
            </w:r>
            <w:r>
              <w:rPr>
                <w:rFonts w:hint="eastAsia" w:ascii="宋体" w:hAnsi="宋体" w:eastAsia="宋体" w:cs="宋体"/>
                <w:color w:val="000000"/>
                <w:sz w:val="22"/>
                <w:szCs w:val="22"/>
                <w:highlight w:val="none"/>
              </w:rPr>
              <w:br w:type="textWrapping"/>
            </w:r>
            <w:r>
              <w:rPr>
                <w:rFonts w:hint="eastAsia" w:ascii="宋体" w:hAnsi="宋体" w:eastAsia="宋体" w:cs="宋体"/>
                <w:color w:val="000000"/>
                <w:sz w:val="22"/>
                <w:szCs w:val="22"/>
                <w:highlight w:val="none"/>
              </w:rPr>
              <w:t>检查数量：抽查20%，且不得少于5处。</w:t>
            </w:r>
          </w:p>
        </w:tc>
        <w:tc>
          <w:tcPr>
            <w:tcW w:w="2876" w:type="dxa"/>
            <w:vMerge w:val="continue"/>
            <w:tcBorders>
              <w:top w:val="nil"/>
              <w:left w:val="single" w:color="auto" w:sz="4" w:space="0"/>
              <w:bottom w:val="single" w:color="000000" w:sz="4" w:space="0"/>
              <w:right w:val="single" w:color="auto" w:sz="4" w:space="0"/>
            </w:tcBorders>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p>
        </w:tc>
      </w:tr>
      <w:tr>
        <w:tblPrEx>
          <w:tblCellMar>
            <w:top w:w="0" w:type="dxa"/>
            <w:left w:w="108" w:type="dxa"/>
            <w:bottom w:w="0" w:type="dxa"/>
            <w:right w:w="108" w:type="dxa"/>
          </w:tblCellMar>
        </w:tblPrEx>
        <w:trPr>
          <w:trHeight w:val="600" w:hRule="atLeast"/>
        </w:trPr>
        <w:tc>
          <w:tcPr>
            <w:tcW w:w="76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3</w:t>
            </w:r>
          </w:p>
        </w:tc>
        <w:tc>
          <w:tcPr>
            <w:tcW w:w="6160" w:type="dxa"/>
            <w:gridSpan w:val="2"/>
            <w:tcBorders>
              <w:top w:val="single" w:color="auto" w:sz="4" w:space="0"/>
              <w:left w:val="nil"/>
              <w:bottom w:val="single" w:color="auto" w:sz="4" w:space="0"/>
              <w:right w:val="single" w:color="000000"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橡胶密封圈无破损和变形。</w:t>
            </w:r>
            <w:r>
              <w:rPr>
                <w:rFonts w:hint="eastAsia" w:ascii="宋体" w:hAnsi="宋体" w:eastAsia="宋体" w:cs="宋体"/>
                <w:color w:val="000000"/>
                <w:sz w:val="22"/>
                <w:szCs w:val="22"/>
                <w:highlight w:val="none"/>
              </w:rPr>
              <w:br w:type="textWrapping"/>
            </w:r>
            <w:r>
              <w:rPr>
                <w:rFonts w:hint="eastAsia" w:ascii="宋体" w:hAnsi="宋体" w:eastAsia="宋体" w:cs="宋体"/>
                <w:color w:val="000000"/>
                <w:sz w:val="22"/>
                <w:szCs w:val="22"/>
                <w:highlight w:val="none"/>
              </w:rPr>
              <w:t>检查数量：抽查20%，且不得少于5处。</w:t>
            </w:r>
          </w:p>
        </w:tc>
        <w:tc>
          <w:tcPr>
            <w:tcW w:w="2876" w:type="dxa"/>
            <w:vMerge w:val="continue"/>
            <w:tcBorders>
              <w:top w:val="nil"/>
              <w:left w:val="single" w:color="auto" w:sz="4" w:space="0"/>
              <w:bottom w:val="single" w:color="000000" w:sz="4" w:space="0"/>
              <w:right w:val="single" w:color="auto" w:sz="4" w:space="0"/>
            </w:tcBorders>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p>
        </w:tc>
      </w:tr>
      <w:tr>
        <w:tblPrEx>
          <w:tblCellMar>
            <w:top w:w="0" w:type="dxa"/>
            <w:left w:w="108" w:type="dxa"/>
            <w:bottom w:w="0" w:type="dxa"/>
            <w:right w:w="108" w:type="dxa"/>
          </w:tblCellMar>
        </w:tblPrEx>
        <w:trPr>
          <w:trHeight w:val="600" w:hRule="atLeast"/>
        </w:trPr>
        <w:tc>
          <w:tcPr>
            <w:tcW w:w="76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4</w:t>
            </w:r>
          </w:p>
        </w:tc>
        <w:tc>
          <w:tcPr>
            <w:tcW w:w="6160" w:type="dxa"/>
            <w:gridSpan w:val="2"/>
            <w:tcBorders>
              <w:top w:val="single" w:color="auto" w:sz="4" w:space="0"/>
              <w:left w:val="nil"/>
              <w:bottom w:val="single" w:color="auto" w:sz="4" w:space="0"/>
              <w:right w:val="single" w:color="000000"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沟槽式管件的凸边卡进沟槽且安装紧固，橡胶圈无起皱。检查数量：抽查20%，且不得少于5处。</w:t>
            </w:r>
          </w:p>
        </w:tc>
        <w:tc>
          <w:tcPr>
            <w:tcW w:w="2876" w:type="dxa"/>
            <w:vMerge w:val="continue"/>
            <w:tcBorders>
              <w:top w:val="nil"/>
              <w:left w:val="single" w:color="auto" w:sz="4" w:space="0"/>
              <w:bottom w:val="single" w:color="000000" w:sz="4" w:space="0"/>
              <w:right w:val="single" w:color="auto" w:sz="4" w:space="0"/>
            </w:tcBorders>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p>
        </w:tc>
      </w:tr>
      <w:tr>
        <w:tblPrEx>
          <w:tblCellMar>
            <w:top w:w="0" w:type="dxa"/>
            <w:left w:w="108" w:type="dxa"/>
            <w:bottom w:w="0" w:type="dxa"/>
            <w:right w:w="108" w:type="dxa"/>
          </w:tblCellMar>
        </w:tblPrEx>
        <w:trPr>
          <w:trHeight w:val="600" w:hRule="atLeast"/>
        </w:trPr>
        <w:tc>
          <w:tcPr>
            <w:tcW w:w="76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5</w:t>
            </w:r>
          </w:p>
        </w:tc>
        <w:tc>
          <w:tcPr>
            <w:tcW w:w="6160" w:type="dxa"/>
            <w:gridSpan w:val="2"/>
            <w:tcBorders>
              <w:top w:val="single" w:color="auto" w:sz="4" w:space="0"/>
              <w:left w:val="nil"/>
              <w:bottom w:val="single" w:color="auto" w:sz="4" w:space="0"/>
              <w:right w:val="single" w:color="000000"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采用支管接头（机械三通、机械四通）时，支管的最大允许管径（mm）符合验收要求。</w:t>
            </w:r>
          </w:p>
        </w:tc>
        <w:tc>
          <w:tcPr>
            <w:tcW w:w="2876" w:type="dxa"/>
            <w:vMerge w:val="continue"/>
            <w:tcBorders>
              <w:top w:val="nil"/>
              <w:left w:val="single" w:color="auto" w:sz="4" w:space="0"/>
              <w:bottom w:val="single" w:color="000000" w:sz="4" w:space="0"/>
              <w:right w:val="single" w:color="auto" w:sz="4" w:space="0"/>
            </w:tcBorders>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p>
        </w:tc>
      </w:tr>
      <w:tr>
        <w:tblPrEx>
          <w:tblCellMar>
            <w:top w:w="0" w:type="dxa"/>
            <w:left w:w="108" w:type="dxa"/>
            <w:bottom w:w="0" w:type="dxa"/>
            <w:right w:w="108" w:type="dxa"/>
          </w:tblCellMar>
        </w:tblPrEx>
        <w:trPr>
          <w:trHeight w:val="900" w:hRule="atLeast"/>
        </w:trPr>
        <w:tc>
          <w:tcPr>
            <w:tcW w:w="76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6</w:t>
            </w:r>
          </w:p>
        </w:tc>
        <w:tc>
          <w:tcPr>
            <w:tcW w:w="6160" w:type="dxa"/>
            <w:gridSpan w:val="2"/>
            <w:tcBorders>
              <w:top w:val="single" w:color="auto" w:sz="4" w:space="0"/>
              <w:left w:val="nil"/>
              <w:bottom w:val="single" w:color="auto" w:sz="4" w:space="0"/>
              <w:right w:val="single" w:color="000000"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配水干管（立管）与配水管（水平管）连接，应采用沟槽式管件，不应采用机械三通。</w:t>
            </w:r>
            <w:r>
              <w:rPr>
                <w:rFonts w:hint="eastAsia" w:ascii="宋体" w:hAnsi="宋体" w:eastAsia="宋体" w:cs="宋体"/>
                <w:color w:val="000000"/>
                <w:sz w:val="22"/>
                <w:szCs w:val="22"/>
                <w:highlight w:val="none"/>
              </w:rPr>
              <w:br w:type="textWrapping"/>
            </w:r>
            <w:r>
              <w:rPr>
                <w:rFonts w:hint="eastAsia" w:ascii="宋体" w:hAnsi="宋体" w:eastAsia="宋体" w:cs="宋体"/>
                <w:color w:val="000000"/>
                <w:sz w:val="22"/>
                <w:szCs w:val="22"/>
                <w:highlight w:val="none"/>
              </w:rPr>
              <w:t>检查数量：抽查20%，且不得少于5处。</w:t>
            </w:r>
          </w:p>
        </w:tc>
        <w:tc>
          <w:tcPr>
            <w:tcW w:w="2876" w:type="dxa"/>
            <w:vMerge w:val="continue"/>
            <w:tcBorders>
              <w:top w:val="nil"/>
              <w:left w:val="single" w:color="auto" w:sz="4" w:space="0"/>
              <w:bottom w:val="single" w:color="000000" w:sz="4" w:space="0"/>
              <w:right w:val="single" w:color="auto" w:sz="4" w:space="0"/>
            </w:tcBorders>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p>
        </w:tc>
      </w:tr>
      <w:tr>
        <w:tblPrEx>
          <w:tblCellMar>
            <w:top w:w="0" w:type="dxa"/>
            <w:left w:w="108" w:type="dxa"/>
            <w:bottom w:w="0" w:type="dxa"/>
            <w:right w:w="108" w:type="dxa"/>
          </w:tblCellMar>
        </w:tblPrEx>
        <w:trPr>
          <w:trHeight w:val="396" w:hRule="atLeast"/>
        </w:trPr>
        <w:tc>
          <w:tcPr>
            <w:tcW w:w="76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7</w:t>
            </w:r>
          </w:p>
        </w:tc>
        <w:tc>
          <w:tcPr>
            <w:tcW w:w="6160" w:type="dxa"/>
            <w:gridSpan w:val="2"/>
            <w:tcBorders>
              <w:top w:val="single" w:color="auto" w:sz="4" w:space="0"/>
              <w:left w:val="nil"/>
              <w:bottom w:val="single" w:color="auto" w:sz="4" w:space="0"/>
              <w:right w:val="single" w:color="000000"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螺纹连接管道宜采用机械切割，切割面不得有飞边、毛刺。</w:t>
            </w:r>
          </w:p>
        </w:tc>
        <w:tc>
          <w:tcPr>
            <w:tcW w:w="2876" w:type="dxa"/>
            <w:vMerge w:val="continue"/>
            <w:tcBorders>
              <w:top w:val="nil"/>
              <w:left w:val="single" w:color="auto" w:sz="4" w:space="0"/>
              <w:bottom w:val="single" w:color="000000" w:sz="4" w:space="0"/>
              <w:right w:val="single" w:color="auto" w:sz="4" w:space="0"/>
            </w:tcBorders>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p>
        </w:tc>
      </w:tr>
      <w:tr>
        <w:tblPrEx>
          <w:tblCellMar>
            <w:top w:w="0" w:type="dxa"/>
            <w:left w:w="108" w:type="dxa"/>
            <w:bottom w:w="0" w:type="dxa"/>
            <w:right w:w="108" w:type="dxa"/>
          </w:tblCellMar>
        </w:tblPrEx>
        <w:trPr>
          <w:trHeight w:val="900" w:hRule="atLeast"/>
        </w:trPr>
        <w:tc>
          <w:tcPr>
            <w:tcW w:w="76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8</w:t>
            </w:r>
          </w:p>
        </w:tc>
        <w:tc>
          <w:tcPr>
            <w:tcW w:w="6160" w:type="dxa"/>
            <w:gridSpan w:val="2"/>
            <w:tcBorders>
              <w:top w:val="single" w:color="auto" w:sz="4" w:space="0"/>
              <w:left w:val="nil"/>
              <w:bottom w:val="single" w:color="auto" w:sz="4" w:space="0"/>
              <w:right w:val="single" w:color="000000"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螺纹连接管道变径时，采用异径接头；在管道弯头处不得采用补芯，当需要采用补芯时，三通上可用1个，四通上不应超过2个；公称直径大于50mm的管道不得采用活接头。</w:t>
            </w:r>
          </w:p>
        </w:tc>
        <w:tc>
          <w:tcPr>
            <w:tcW w:w="2876" w:type="dxa"/>
            <w:vMerge w:val="continue"/>
            <w:tcBorders>
              <w:top w:val="nil"/>
              <w:left w:val="single" w:color="auto" w:sz="4" w:space="0"/>
              <w:bottom w:val="single" w:color="000000" w:sz="4" w:space="0"/>
              <w:right w:val="single" w:color="auto" w:sz="4" w:space="0"/>
            </w:tcBorders>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p>
        </w:tc>
      </w:tr>
      <w:tr>
        <w:tblPrEx>
          <w:tblCellMar>
            <w:top w:w="0" w:type="dxa"/>
            <w:left w:w="108" w:type="dxa"/>
            <w:bottom w:w="0" w:type="dxa"/>
            <w:right w:w="108" w:type="dxa"/>
          </w:tblCellMar>
        </w:tblPrEx>
        <w:trPr>
          <w:trHeight w:val="600" w:hRule="atLeast"/>
        </w:trPr>
        <w:tc>
          <w:tcPr>
            <w:tcW w:w="76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9</w:t>
            </w:r>
          </w:p>
        </w:tc>
        <w:tc>
          <w:tcPr>
            <w:tcW w:w="6160" w:type="dxa"/>
            <w:gridSpan w:val="2"/>
            <w:tcBorders>
              <w:top w:val="single" w:color="auto" w:sz="4" w:space="0"/>
              <w:left w:val="nil"/>
              <w:bottom w:val="single" w:color="auto" w:sz="4" w:space="0"/>
              <w:right w:val="single" w:color="000000"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末端试水装置和试水阀的安装位置便于检查、试验，且有相应排水能力的排水设施。</w:t>
            </w:r>
          </w:p>
        </w:tc>
        <w:tc>
          <w:tcPr>
            <w:tcW w:w="2876" w:type="dxa"/>
            <w:vMerge w:val="continue"/>
            <w:tcBorders>
              <w:top w:val="nil"/>
              <w:left w:val="single" w:color="auto" w:sz="4" w:space="0"/>
              <w:bottom w:val="single" w:color="000000" w:sz="4" w:space="0"/>
              <w:right w:val="single" w:color="auto" w:sz="4" w:space="0"/>
            </w:tcBorders>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p>
        </w:tc>
      </w:tr>
      <w:tr>
        <w:tblPrEx>
          <w:tblCellMar>
            <w:top w:w="0" w:type="dxa"/>
            <w:left w:w="108" w:type="dxa"/>
            <w:bottom w:w="0" w:type="dxa"/>
            <w:right w:w="108" w:type="dxa"/>
          </w:tblCellMar>
        </w:tblPrEx>
        <w:trPr>
          <w:trHeight w:val="398" w:hRule="atLeast"/>
        </w:trPr>
        <w:tc>
          <w:tcPr>
            <w:tcW w:w="76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10</w:t>
            </w:r>
          </w:p>
        </w:tc>
        <w:tc>
          <w:tcPr>
            <w:tcW w:w="6160" w:type="dxa"/>
            <w:gridSpan w:val="2"/>
            <w:tcBorders>
              <w:top w:val="single" w:color="auto" w:sz="4" w:space="0"/>
              <w:left w:val="nil"/>
              <w:bottom w:val="single" w:color="auto" w:sz="4" w:space="0"/>
              <w:right w:val="single" w:color="000000"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路面拆除及沟槽开挖符合合同要求。</w:t>
            </w:r>
          </w:p>
        </w:tc>
        <w:tc>
          <w:tcPr>
            <w:tcW w:w="2876" w:type="dxa"/>
            <w:vMerge w:val="continue"/>
            <w:tcBorders>
              <w:top w:val="nil"/>
              <w:left w:val="single" w:color="auto" w:sz="4" w:space="0"/>
              <w:bottom w:val="single" w:color="000000" w:sz="4" w:space="0"/>
              <w:right w:val="single" w:color="auto" w:sz="4" w:space="0"/>
            </w:tcBorders>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p>
        </w:tc>
      </w:tr>
      <w:tr>
        <w:tblPrEx>
          <w:tblCellMar>
            <w:top w:w="0" w:type="dxa"/>
            <w:left w:w="108" w:type="dxa"/>
            <w:bottom w:w="0" w:type="dxa"/>
            <w:right w:w="108" w:type="dxa"/>
          </w:tblCellMar>
        </w:tblPrEx>
        <w:trPr>
          <w:trHeight w:val="600" w:hRule="atLeast"/>
        </w:trPr>
        <w:tc>
          <w:tcPr>
            <w:tcW w:w="76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11</w:t>
            </w:r>
          </w:p>
        </w:tc>
        <w:tc>
          <w:tcPr>
            <w:tcW w:w="6160" w:type="dxa"/>
            <w:gridSpan w:val="2"/>
            <w:tcBorders>
              <w:top w:val="single" w:color="auto" w:sz="4" w:space="0"/>
              <w:left w:val="nil"/>
              <w:bottom w:val="single" w:color="auto" w:sz="4" w:space="0"/>
              <w:right w:val="single" w:color="000000"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预埋管道各接点采用焊接连接，焊缝及其周围无沙眼、气孔、堆焊、裂缝、缺焊等情况。</w:t>
            </w:r>
          </w:p>
        </w:tc>
        <w:tc>
          <w:tcPr>
            <w:tcW w:w="2876" w:type="dxa"/>
            <w:vMerge w:val="continue"/>
            <w:tcBorders>
              <w:top w:val="nil"/>
              <w:left w:val="single" w:color="auto" w:sz="4" w:space="0"/>
              <w:bottom w:val="single" w:color="000000" w:sz="4" w:space="0"/>
              <w:right w:val="single" w:color="auto" w:sz="4" w:space="0"/>
            </w:tcBorders>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p>
        </w:tc>
      </w:tr>
      <w:tr>
        <w:tblPrEx>
          <w:tblCellMar>
            <w:top w:w="0" w:type="dxa"/>
            <w:left w:w="108" w:type="dxa"/>
            <w:bottom w:w="0" w:type="dxa"/>
            <w:right w:w="108" w:type="dxa"/>
          </w:tblCellMar>
        </w:tblPrEx>
        <w:trPr>
          <w:trHeight w:val="369" w:hRule="atLeast"/>
        </w:trPr>
        <w:tc>
          <w:tcPr>
            <w:tcW w:w="76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12</w:t>
            </w:r>
          </w:p>
        </w:tc>
        <w:tc>
          <w:tcPr>
            <w:tcW w:w="6160" w:type="dxa"/>
            <w:gridSpan w:val="2"/>
            <w:tcBorders>
              <w:top w:val="single" w:color="auto" w:sz="4" w:space="0"/>
              <w:left w:val="nil"/>
              <w:bottom w:val="single" w:color="auto" w:sz="4" w:space="0"/>
              <w:right w:val="single" w:color="000000"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整体安装美观。</w:t>
            </w:r>
          </w:p>
        </w:tc>
        <w:tc>
          <w:tcPr>
            <w:tcW w:w="2876" w:type="dxa"/>
            <w:vMerge w:val="continue"/>
            <w:tcBorders>
              <w:top w:val="nil"/>
              <w:left w:val="single" w:color="auto" w:sz="4" w:space="0"/>
              <w:bottom w:val="single" w:color="000000" w:sz="4" w:space="0"/>
              <w:right w:val="single" w:color="auto" w:sz="4" w:space="0"/>
            </w:tcBorders>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p>
        </w:tc>
      </w:tr>
      <w:tr>
        <w:tblPrEx>
          <w:tblCellMar>
            <w:top w:w="0" w:type="dxa"/>
            <w:left w:w="108" w:type="dxa"/>
            <w:bottom w:w="0" w:type="dxa"/>
            <w:right w:w="108" w:type="dxa"/>
          </w:tblCellMar>
        </w:tblPrEx>
        <w:trPr>
          <w:trHeight w:val="440" w:hRule="atLeast"/>
        </w:trPr>
        <w:tc>
          <w:tcPr>
            <w:tcW w:w="1960" w:type="dxa"/>
            <w:gridSpan w:val="2"/>
            <w:vMerge w:val="restart"/>
            <w:tcBorders>
              <w:top w:val="single" w:color="auto" w:sz="4" w:space="0"/>
              <w:left w:val="single" w:color="auto" w:sz="4" w:space="0"/>
              <w:bottom w:val="single" w:color="000000" w:sz="4" w:space="0"/>
              <w:right w:val="single" w:color="000000"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b/>
                <w:bCs/>
                <w:color w:val="000000"/>
                <w:sz w:val="22"/>
                <w:szCs w:val="22"/>
                <w:highlight w:val="none"/>
              </w:rPr>
            </w:pPr>
            <w:r>
              <w:rPr>
                <w:rFonts w:hint="eastAsia" w:ascii="宋体" w:hAnsi="宋体" w:eastAsia="宋体" w:cs="宋体"/>
                <w:b/>
                <w:bCs/>
                <w:color w:val="000000"/>
                <w:sz w:val="22"/>
                <w:szCs w:val="22"/>
                <w:highlight w:val="none"/>
              </w:rPr>
              <w:t>施工单位</w:t>
            </w:r>
          </w:p>
        </w:tc>
        <w:tc>
          <w:tcPr>
            <w:tcW w:w="496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施工人员：</w:t>
            </w:r>
          </w:p>
        </w:tc>
        <w:tc>
          <w:tcPr>
            <w:tcW w:w="2876"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 </w:t>
            </w:r>
          </w:p>
        </w:tc>
      </w:tr>
      <w:tr>
        <w:tblPrEx>
          <w:tblCellMar>
            <w:top w:w="0" w:type="dxa"/>
            <w:left w:w="108" w:type="dxa"/>
            <w:bottom w:w="0" w:type="dxa"/>
            <w:right w:w="108" w:type="dxa"/>
          </w:tblCellMar>
        </w:tblPrEx>
        <w:trPr>
          <w:trHeight w:val="405" w:hRule="atLeast"/>
        </w:trPr>
        <w:tc>
          <w:tcPr>
            <w:tcW w:w="1960" w:type="dxa"/>
            <w:gridSpan w:val="2"/>
            <w:vMerge w:val="continue"/>
            <w:tcBorders>
              <w:top w:val="single" w:color="auto" w:sz="4" w:space="0"/>
              <w:left w:val="single" w:color="auto" w:sz="4" w:space="0"/>
              <w:bottom w:val="single" w:color="000000" w:sz="4" w:space="0"/>
              <w:right w:val="single" w:color="000000" w:sz="4" w:space="0"/>
            </w:tcBorders>
            <w:vAlign w:val="center"/>
          </w:tcPr>
          <w:p>
            <w:pPr>
              <w:shd w:val="clear"/>
              <w:spacing w:before="0" w:after="0" w:afterAutospacing="0" w:line="240" w:lineRule="auto"/>
              <w:ind w:left="0" w:right="0" w:firstLine="0"/>
              <w:jc w:val="left"/>
              <w:rPr>
                <w:rFonts w:ascii="宋体" w:hAnsi="宋体" w:eastAsia="宋体" w:cs="宋体"/>
                <w:b/>
                <w:bCs/>
                <w:color w:val="000000"/>
                <w:sz w:val="22"/>
                <w:szCs w:val="22"/>
                <w:highlight w:val="none"/>
              </w:rPr>
            </w:pPr>
          </w:p>
        </w:tc>
        <w:tc>
          <w:tcPr>
            <w:tcW w:w="496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项目负责人：</w:t>
            </w:r>
          </w:p>
        </w:tc>
        <w:tc>
          <w:tcPr>
            <w:tcW w:w="2876"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 </w:t>
            </w:r>
          </w:p>
        </w:tc>
      </w:tr>
      <w:tr>
        <w:tblPrEx>
          <w:tblCellMar>
            <w:top w:w="0" w:type="dxa"/>
            <w:left w:w="108" w:type="dxa"/>
            <w:bottom w:w="0" w:type="dxa"/>
            <w:right w:w="108" w:type="dxa"/>
          </w:tblCellMar>
        </w:tblPrEx>
        <w:trPr>
          <w:trHeight w:val="358" w:hRule="atLeast"/>
        </w:trPr>
        <w:tc>
          <w:tcPr>
            <w:tcW w:w="1960" w:type="dxa"/>
            <w:gridSpan w:val="2"/>
            <w:vMerge w:val="restart"/>
            <w:tcBorders>
              <w:top w:val="single" w:color="auto" w:sz="4" w:space="0"/>
              <w:left w:val="single" w:color="auto" w:sz="4" w:space="0"/>
              <w:bottom w:val="single" w:color="000000" w:sz="4" w:space="0"/>
              <w:right w:val="single" w:color="000000"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b/>
                <w:bCs/>
                <w:color w:val="000000"/>
                <w:sz w:val="22"/>
                <w:szCs w:val="22"/>
                <w:highlight w:val="none"/>
              </w:rPr>
            </w:pPr>
            <w:r>
              <w:rPr>
                <w:rFonts w:hint="eastAsia" w:ascii="宋体" w:hAnsi="宋体" w:eastAsia="宋体" w:cs="宋体"/>
                <w:b/>
                <w:bCs/>
                <w:color w:val="000000"/>
                <w:sz w:val="22"/>
                <w:szCs w:val="22"/>
                <w:highlight w:val="none"/>
              </w:rPr>
              <w:t>检查单位</w:t>
            </w:r>
          </w:p>
        </w:tc>
        <w:tc>
          <w:tcPr>
            <w:tcW w:w="496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检查人员：</w:t>
            </w:r>
          </w:p>
        </w:tc>
        <w:tc>
          <w:tcPr>
            <w:tcW w:w="2876"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 </w:t>
            </w:r>
          </w:p>
        </w:tc>
      </w:tr>
      <w:tr>
        <w:tblPrEx>
          <w:tblCellMar>
            <w:top w:w="0" w:type="dxa"/>
            <w:left w:w="108" w:type="dxa"/>
            <w:bottom w:w="0" w:type="dxa"/>
            <w:right w:w="108" w:type="dxa"/>
          </w:tblCellMar>
        </w:tblPrEx>
        <w:trPr>
          <w:trHeight w:val="408" w:hRule="atLeast"/>
        </w:trPr>
        <w:tc>
          <w:tcPr>
            <w:tcW w:w="1960" w:type="dxa"/>
            <w:gridSpan w:val="2"/>
            <w:vMerge w:val="continue"/>
            <w:tcBorders>
              <w:top w:val="single" w:color="auto" w:sz="4" w:space="0"/>
              <w:left w:val="single" w:color="auto" w:sz="4" w:space="0"/>
              <w:bottom w:val="single" w:color="000000" w:sz="4" w:space="0"/>
              <w:right w:val="single" w:color="000000" w:sz="4" w:space="0"/>
            </w:tcBorders>
            <w:vAlign w:val="center"/>
          </w:tcPr>
          <w:p>
            <w:pPr>
              <w:shd w:val="clear"/>
              <w:spacing w:before="0" w:after="0" w:afterAutospacing="0" w:line="240" w:lineRule="auto"/>
              <w:ind w:left="0" w:right="0" w:firstLine="0"/>
              <w:jc w:val="left"/>
              <w:rPr>
                <w:rFonts w:ascii="宋体" w:hAnsi="宋体" w:eastAsia="宋体" w:cs="宋体"/>
                <w:b/>
                <w:bCs/>
                <w:color w:val="000000"/>
                <w:sz w:val="22"/>
                <w:szCs w:val="22"/>
                <w:highlight w:val="none"/>
              </w:rPr>
            </w:pPr>
          </w:p>
        </w:tc>
        <w:tc>
          <w:tcPr>
            <w:tcW w:w="496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工班长：</w:t>
            </w:r>
          </w:p>
        </w:tc>
        <w:tc>
          <w:tcPr>
            <w:tcW w:w="2876"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 </w:t>
            </w:r>
          </w:p>
        </w:tc>
      </w:tr>
      <w:tr>
        <w:tblPrEx>
          <w:tblCellMar>
            <w:top w:w="0" w:type="dxa"/>
            <w:left w:w="108" w:type="dxa"/>
            <w:bottom w:w="0" w:type="dxa"/>
            <w:right w:w="108" w:type="dxa"/>
          </w:tblCellMar>
        </w:tblPrEx>
        <w:trPr>
          <w:trHeight w:val="416" w:hRule="atLeast"/>
        </w:trPr>
        <w:tc>
          <w:tcPr>
            <w:tcW w:w="1960" w:type="dxa"/>
            <w:gridSpan w:val="2"/>
            <w:vMerge w:val="continue"/>
            <w:tcBorders>
              <w:top w:val="single" w:color="auto" w:sz="4" w:space="0"/>
              <w:left w:val="single" w:color="auto" w:sz="4" w:space="0"/>
              <w:bottom w:val="single" w:color="000000" w:sz="4" w:space="0"/>
              <w:right w:val="single" w:color="000000" w:sz="4" w:space="0"/>
            </w:tcBorders>
            <w:vAlign w:val="center"/>
          </w:tcPr>
          <w:p>
            <w:pPr>
              <w:shd w:val="clear"/>
              <w:spacing w:before="0" w:after="0" w:afterAutospacing="0" w:line="240" w:lineRule="auto"/>
              <w:ind w:left="0" w:right="0" w:firstLine="0"/>
              <w:jc w:val="left"/>
              <w:rPr>
                <w:rFonts w:ascii="宋体" w:hAnsi="宋体" w:eastAsia="宋体" w:cs="宋体"/>
                <w:b/>
                <w:bCs/>
                <w:color w:val="000000"/>
                <w:sz w:val="22"/>
                <w:szCs w:val="22"/>
                <w:highlight w:val="none"/>
              </w:rPr>
            </w:pPr>
          </w:p>
        </w:tc>
        <w:tc>
          <w:tcPr>
            <w:tcW w:w="496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技术主办：</w:t>
            </w:r>
          </w:p>
        </w:tc>
        <w:tc>
          <w:tcPr>
            <w:tcW w:w="2876"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 </w:t>
            </w:r>
          </w:p>
        </w:tc>
      </w:tr>
    </w:tbl>
    <w:p>
      <w:pPr>
        <w:shd w:val="clear"/>
        <w:spacing w:after="0" w:afterAutospacing="0"/>
        <w:ind w:left="0" w:firstLine="0"/>
        <w:rPr>
          <w:rFonts w:asciiTheme="minorEastAsia" w:hAnsiTheme="minorEastAsia" w:eastAsiaTheme="minorEastAsia"/>
          <w:b w:val="0"/>
          <w:sz w:val="21"/>
          <w:szCs w:val="21"/>
          <w:highlight w:val="none"/>
        </w:rPr>
        <w:sectPr>
          <w:pgSz w:w="11905" w:h="16838"/>
          <w:pgMar w:top="567" w:right="1134" w:bottom="567" w:left="1134" w:header="340" w:footer="567" w:gutter="0"/>
          <w:pgNumType w:fmt="decimal"/>
          <w:cols w:space="720" w:num="1"/>
          <w:titlePg/>
          <w:docGrid w:linePitch="319" w:charSpace="0"/>
        </w:sectPr>
      </w:pPr>
    </w:p>
    <w:p>
      <w:pPr>
        <w:shd w:val="clear"/>
        <w:spacing w:before="0" w:after="0" w:afterAutospacing="0" w:line="415" w:lineRule="auto"/>
        <w:ind w:left="0" w:right="-27" w:firstLine="0"/>
        <w:jc w:val="both"/>
        <w:outlineLvl w:val="1"/>
        <w:rPr>
          <w:rFonts w:cs="Times New Roman" w:asciiTheme="minorEastAsia" w:hAnsiTheme="minorEastAsia" w:eastAsiaTheme="minorEastAsia"/>
          <w:b w:val="0"/>
          <w:sz w:val="21"/>
          <w:szCs w:val="21"/>
          <w:highlight w:val="none"/>
          <w:lang w:val="en-US" w:eastAsia="zh-CN" w:bidi="ar-SA"/>
        </w:rPr>
      </w:pPr>
      <w:r>
        <w:rPr>
          <w:rFonts w:hint="eastAsia" w:cs="Times New Roman" w:asciiTheme="minorEastAsia" w:hAnsiTheme="minorEastAsia" w:eastAsiaTheme="minorEastAsia"/>
          <w:b w:val="0"/>
          <w:sz w:val="21"/>
          <w:szCs w:val="21"/>
          <w:highlight w:val="none"/>
          <w:lang w:val="en-US" w:eastAsia="zh-CN" w:bidi="ar-SA"/>
        </w:rPr>
        <w:t>附件4：喷淋管道试压记录报告</w:t>
      </w:r>
    </w:p>
    <w:p>
      <w:pPr>
        <w:keepNext/>
        <w:keepLines/>
        <w:widowControl w:val="0"/>
        <w:shd w:val="clear"/>
        <w:spacing w:before="0" w:after="120" w:afterAutospacing="0" w:line="240" w:lineRule="auto"/>
        <w:ind w:left="0" w:right="0" w:firstLine="0"/>
        <w:jc w:val="center"/>
        <w:outlineLvl w:val="9"/>
        <w:rPr>
          <w:rFonts w:ascii="宋体" w:hAnsi="宋体" w:eastAsia="宋体" w:cs="宋体"/>
          <w:sz w:val="38"/>
          <w:szCs w:val="38"/>
          <w:highlight w:val="none"/>
          <w:lang w:val="zh-TW" w:eastAsia="zh-TW" w:bidi="zh-TW"/>
        </w:rPr>
      </w:pPr>
      <w:r>
        <w:rPr>
          <w:rFonts w:ascii="宋体" w:hAnsi="宋体" w:eastAsia="宋体" w:cs="宋体"/>
          <w:color w:val="000000"/>
          <w:sz w:val="38"/>
          <w:szCs w:val="38"/>
          <w:highlight w:val="none"/>
          <w:lang w:val="zh-TW" w:eastAsia="zh-TW" w:bidi="zh-TW"/>
        </w:rPr>
        <w:t>自动喷水灭火系统</w:t>
      </w:r>
      <w:r>
        <w:rPr>
          <w:rFonts w:hint="eastAsia" w:ascii="宋体" w:hAnsi="宋体" w:eastAsia="宋体" w:cs="宋体"/>
          <w:color w:val="000000"/>
          <w:sz w:val="38"/>
          <w:szCs w:val="38"/>
          <w:highlight w:val="none"/>
          <w:lang w:val="zh-TW" w:eastAsia="zh-CN" w:bidi="zh-TW"/>
        </w:rPr>
        <w:t>管道</w:t>
      </w:r>
      <w:r>
        <w:rPr>
          <w:rFonts w:ascii="宋体" w:hAnsi="宋体" w:eastAsia="宋体" w:cs="宋体"/>
          <w:color w:val="000000"/>
          <w:sz w:val="38"/>
          <w:szCs w:val="38"/>
          <w:highlight w:val="none"/>
          <w:lang w:val="zh-TW" w:eastAsia="zh-TW" w:bidi="zh-TW"/>
        </w:rPr>
        <w:t>试压、</w:t>
      </w:r>
      <w:r>
        <w:rPr>
          <w:rFonts w:hint="eastAsia" w:ascii="宋体" w:hAnsi="宋体" w:eastAsia="宋体" w:cs="宋体"/>
          <w:color w:val="000000"/>
          <w:sz w:val="38"/>
          <w:szCs w:val="38"/>
          <w:highlight w:val="none"/>
          <w:lang w:val="en-US" w:eastAsia="zh-CN" w:bidi="zh-TW"/>
        </w:rPr>
        <w:t>严密性</w:t>
      </w:r>
      <w:r>
        <w:rPr>
          <w:rFonts w:ascii="宋体" w:hAnsi="宋体" w:eastAsia="宋体" w:cs="宋体"/>
          <w:color w:val="000000"/>
          <w:sz w:val="38"/>
          <w:szCs w:val="38"/>
          <w:highlight w:val="none"/>
          <w:lang w:val="zh-TW" w:eastAsia="zh-TW" w:bidi="zh-TW"/>
        </w:rPr>
        <w:t>试验记录</w:t>
      </w:r>
    </w:p>
    <w:p>
      <w:pPr>
        <w:widowControl w:val="0"/>
        <w:shd w:val="clear"/>
        <w:spacing w:before="0" w:after="0" w:afterAutospacing="0" w:line="240" w:lineRule="auto"/>
        <w:ind w:left="0" w:right="0" w:firstLine="0"/>
        <w:jc w:val="right"/>
        <w:rPr>
          <w:rFonts w:ascii="Times New Roman" w:hAnsi="Times New Roman" w:eastAsia="宋体" w:cs="Times New Roman"/>
          <w:sz w:val="20"/>
          <w:szCs w:val="20"/>
          <w:highlight w:val="none"/>
          <w:lang w:val="en-US" w:eastAsia="zh-CN" w:bidi="ar-SA"/>
        </w:rPr>
      </w:pPr>
      <w:r>
        <w:rPr>
          <w:rFonts w:ascii="宋体" w:hAnsi="宋体" w:eastAsia="宋体" w:cs="宋体"/>
          <w:color w:val="000000"/>
          <w:sz w:val="20"/>
          <w:szCs w:val="20"/>
          <w:highlight w:val="none"/>
          <w:lang w:val="zh-TW" w:eastAsia="zh-TW" w:bidi="zh-TW"/>
        </w:rPr>
        <w:t>编号：</w:t>
      </w:r>
      <w:r>
        <w:rPr>
          <w:rFonts w:hint="eastAsia" w:ascii="Times New Roman" w:hAnsi="Times New Roman" w:eastAsia="宋体" w:cs="Times New Roman"/>
          <w:color w:val="000000"/>
          <w:sz w:val="20"/>
          <w:szCs w:val="20"/>
          <w:highlight w:val="none"/>
          <w:lang w:val="en-US" w:eastAsia="zh-CN" w:bidi="en-US"/>
        </w:rPr>
        <w:t>03-16-001</w:t>
      </w:r>
    </w:p>
    <w:tbl>
      <w:tblPr>
        <w:tblStyle w:val="28"/>
        <w:tblW w:w="0" w:type="auto"/>
        <w:jc w:val="center"/>
        <w:tblLayout w:type="fixed"/>
        <w:tblCellMar>
          <w:top w:w="0" w:type="dxa"/>
          <w:left w:w="10" w:type="dxa"/>
          <w:bottom w:w="0" w:type="dxa"/>
          <w:right w:w="10" w:type="dxa"/>
        </w:tblCellMar>
      </w:tblPr>
      <w:tblGrid>
        <w:gridCol w:w="636"/>
        <w:gridCol w:w="1008"/>
        <w:gridCol w:w="3120"/>
        <w:gridCol w:w="420"/>
        <w:gridCol w:w="1620"/>
        <w:gridCol w:w="2892"/>
      </w:tblGrid>
      <w:tr>
        <w:tblPrEx>
          <w:tblCellMar>
            <w:top w:w="0" w:type="dxa"/>
            <w:left w:w="10" w:type="dxa"/>
            <w:bottom w:w="0" w:type="dxa"/>
            <w:right w:w="10" w:type="dxa"/>
          </w:tblCellMar>
        </w:tblPrEx>
        <w:trPr>
          <w:trHeight w:val="576" w:hRule="exact"/>
          <w:jc w:val="center"/>
        </w:trPr>
        <w:tc>
          <w:tcPr>
            <w:tcW w:w="1644" w:type="dxa"/>
            <w:gridSpan w:val="2"/>
            <w:tcBorders>
              <w:top w:val="single" w:color="auto" w:sz="4" w:space="0"/>
              <w:left w:val="single" w:color="auto" w:sz="4" w:space="0"/>
            </w:tcBorders>
            <w:shd w:val="clear" w:color="auto" w:fill="FFFFFF"/>
            <w:vAlign w:val="center"/>
          </w:tcPr>
          <w:p>
            <w:pPr>
              <w:widowControl w:val="0"/>
              <w:shd w:val="clear"/>
              <w:spacing w:before="0" w:after="0" w:afterAutospacing="0" w:line="240" w:lineRule="auto"/>
              <w:ind w:left="0" w:right="0" w:firstLine="180"/>
              <w:jc w:val="left"/>
              <w:rPr>
                <w:rFonts w:ascii="宋体" w:hAnsi="宋体" w:eastAsia="宋体" w:cs="宋体"/>
                <w:sz w:val="20"/>
                <w:szCs w:val="20"/>
                <w:highlight w:val="none"/>
                <w:lang w:val="zh-TW" w:eastAsia="zh-TW" w:bidi="zh-TW"/>
              </w:rPr>
            </w:pPr>
            <w:r>
              <w:rPr>
                <w:rFonts w:ascii="宋体" w:hAnsi="宋体" w:eastAsia="宋体" w:cs="宋体"/>
                <w:color w:val="000000"/>
                <w:sz w:val="20"/>
                <w:szCs w:val="20"/>
                <w:highlight w:val="none"/>
                <w:lang w:val="zh-TW" w:eastAsia="zh-TW" w:bidi="zh-TW"/>
              </w:rPr>
              <w:t>单位工程名称</w:t>
            </w:r>
          </w:p>
        </w:tc>
        <w:tc>
          <w:tcPr>
            <w:tcW w:w="3540" w:type="dxa"/>
            <w:gridSpan w:val="2"/>
            <w:tcBorders>
              <w:top w:val="single" w:color="auto" w:sz="4" w:space="0"/>
              <w:left w:val="single" w:color="auto" w:sz="4" w:space="0"/>
            </w:tcBorders>
            <w:shd w:val="clear" w:color="auto" w:fill="FFFFFF"/>
            <w:vAlign w:val="center"/>
          </w:tcPr>
          <w:p>
            <w:pPr>
              <w:widowControl w:val="0"/>
              <w:shd w:val="clear"/>
              <w:spacing w:before="0" w:after="0" w:afterAutospacing="0" w:line="240" w:lineRule="auto"/>
              <w:ind w:left="0" w:right="0" w:firstLine="0"/>
              <w:jc w:val="center"/>
              <w:rPr>
                <w:rFonts w:ascii="宋体" w:hAnsi="宋体" w:eastAsia="宋体" w:cs="宋体"/>
                <w:sz w:val="20"/>
                <w:szCs w:val="20"/>
                <w:highlight w:val="none"/>
                <w:lang w:val="zh-TW" w:eastAsia="zh-TW" w:bidi="zh-TW"/>
              </w:rPr>
            </w:pPr>
          </w:p>
        </w:tc>
        <w:tc>
          <w:tcPr>
            <w:tcW w:w="1620" w:type="dxa"/>
            <w:tcBorders>
              <w:top w:val="single" w:color="auto" w:sz="4" w:space="0"/>
              <w:left w:val="single" w:color="auto" w:sz="4" w:space="0"/>
            </w:tcBorders>
            <w:shd w:val="clear" w:color="auto" w:fill="FFFFFF"/>
            <w:vAlign w:val="center"/>
          </w:tcPr>
          <w:p>
            <w:pPr>
              <w:widowControl w:val="0"/>
              <w:shd w:val="clear"/>
              <w:spacing w:before="0" w:after="0" w:afterAutospacing="0" w:line="276" w:lineRule="exact"/>
              <w:ind w:left="0" w:right="0" w:firstLine="0"/>
              <w:jc w:val="center"/>
              <w:rPr>
                <w:rFonts w:ascii="宋体" w:hAnsi="宋体" w:eastAsia="宋体" w:cs="宋体"/>
                <w:sz w:val="20"/>
                <w:szCs w:val="20"/>
                <w:highlight w:val="none"/>
                <w:lang w:val="zh-TW" w:eastAsia="zh-TW" w:bidi="zh-TW"/>
              </w:rPr>
            </w:pPr>
            <w:r>
              <w:rPr>
                <w:rFonts w:ascii="宋体" w:hAnsi="宋体" w:eastAsia="宋体" w:cs="宋体"/>
                <w:color w:val="000000"/>
                <w:sz w:val="20"/>
                <w:szCs w:val="20"/>
                <w:highlight w:val="none"/>
                <w:lang w:val="zh-TW" w:eastAsia="zh-TW" w:bidi="zh-TW"/>
              </w:rPr>
              <w:t>分部（子分部） 工程名称</w:t>
            </w:r>
          </w:p>
        </w:tc>
        <w:tc>
          <w:tcPr>
            <w:tcW w:w="2892" w:type="dxa"/>
            <w:tcBorders>
              <w:top w:val="single" w:color="auto" w:sz="4" w:space="0"/>
              <w:left w:val="single" w:color="auto" w:sz="4" w:space="0"/>
              <w:right w:val="single" w:color="auto" w:sz="4" w:space="0"/>
            </w:tcBorders>
            <w:shd w:val="clear" w:color="auto" w:fill="FFFFFF"/>
            <w:vAlign w:val="center"/>
          </w:tcPr>
          <w:p>
            <w:pPr>
              <w:widowControl w:val="0"/>
              <w:shd w:val="clear"/>
              <w:spacing w:before="0" w:after="0" w:afterAutospacing="0" w:line="264" w:lineRule="exact"/>
              <w:ind w:left="0" w:right="0" w:firstLine="0"/>
              <w:jc w:val="center"/>
              <w:rPr>
                <w:rFonts w:ascii="宋体" w:hAnsi="宋体" w:eastAsia="宋体" w:cs="宋体"/>
                <w:sz w:val="20"/>
                <w:szCs w:val="20"/>
                <w:highlight w:val="none"/>
                <w:lang w:val="zh-TW" w:eastAsia="zh-CN" w:bidi="zh-TW"/>
              </w:rPr>
            </w:pPr>
          </w:p>
        </w:tc>
      </w:tr>
      <w:tr>
        <w:tblPrEx>
          <w:tblCellMar>
            <w:top w:w="0" w:type="dxa"/>
            <w:left w:w="10" w:type="dxa"/>
            <w:bottom w:w="0" w:type="dxa"/>
            <w:right w:w="10" w:type="dxa"/>
          </w:tblCellMar>
        </w:tblPrEx>
        <w:trPr>
          <w:trHeight w:val="468" w:hRule="exact"/>
          <w:jc w:val="center"/>
        </w:trPr>
        <w:tc>
          <w:tcPr>
            <w:tcW w:w="1644" w:type="dxa"/>
            <w:gridSpan w:val="2"/>
            <w:tcBorders>
              <w:top w:val="single" w:color="auto" w:sz="4" w:space="0"/>
              <w:left w:val="single" w:color="auto" w:sz="4" w:space="0"/>
            </w:tcBorders>
            <w:shd w:val="clear" w:color="auto" w:fill="FFFFFF"/>
            <w:vAlign w:val="center"/>
          </w:tcPr>
          <w:p>
            <w:pPr>
              <w:widowControl w:val="0"/>
              <w:shd w:val="clear"/>
              <w:spacing w:before="0" w:after="0" w:afterAutospacing="0" w:line="240" w:lineRule="auto"/>
              <w:ind w:left="0" w:right="0" w:firstLine="180"/>
              <w:jc w:val="left"/>
              <w:rPr>
                <w:rFonts w:ascii="宋体" w:hAnsi="宋体" w:eastAsia="宋体" w:cs="宋体"/>
                <w:sz w:val="20"/>
                <w:szCs w:val="20"/>
                <w:highlight w:val="none"/>
                <w:lang w:val="zh-TW" w:eastAsia="zh-TW" w:bidi="zh-TW"/>
              </w:rPr>
            </w:pPr>
            <w:r>
              <w:rPr>
                <w:rFonts w:ascii="宋体" w:hAnsi="宋体" w:eastAsia="宋体" w:cs="宋体"/>
                <w:color w:val="000000"/>
                <w:sz w:val="20"/>
                <w:szCs w:val="20"/>
                <w:highlight w:val="none"/>
                <w:lang w:val="zh-TW" w:eastAsia="zh-TW" w:bidi="zh-TW"/>
              </w:rPr>
              <w:t>分项工程名称</w:t>
            </w:r>
          </w:p>
        </w:tc>
        <w:tc>
          <w:tcPr>
            <w:tcW w:w="3540" w:type="dxa"/>
            <w:gridSpan w:val="2"/>
            <w:tcBorders>
              <w:top w:val="single" w:color="auto" w:sz="4" w:space="0"/>
              <w:left w:val="single" w:color="auto" w:sz="4" w:space="0"/>
            </w:tcBorders>
            <w:shd w:val="clear" w:color="auto" w:fill="FFFFFF"/>
            <w:vAlign w:val="center"/>
          </w:tcPr>
          <w:p>
            <w:pPr>
              <w:widowControl w:val="0"/>
              <w:shd w:val="clear"/>
              <w:spacing w:before="0" w:after="0" w:afterAutospacing="0" w:line="240" w:lineRule="auto"/>
              <w:ind w:left="0" w:right="0" w:firstLine="0"/>
              <w:jc w:val="center"/>
              <w:rPr>
                <w:rFonts w:ascii="宋体" w:hAnsi="宋体" w:eastAsia="宋体" w:cs="宋体"/>
                <w:sz w:val="20"/>
                <w:szCs w:val="20"/>
                <w:highlight w:val="none"/>
                <w:lang w:val="zh-TW" w:eastAsia="zh-CN" w:bidi="zh-TW"/>
              </w:rPr>
            </w:pPr>
          </w:p>
        </w:tc>
        <w:tc>
          <w:tcPr>
            <w:tcW w:w="1620" w:type="dxa"/>
            <w:tcBorders>
              <w:top w:val="single" w:color="auto" w:sz="4" w:space="0"/>
              <w:left w:val="single" w:color="auto" w:sz="4" w:space="0"/>
            </w:tcBorders>
            <w:shd w:val="clear" w:color="auto" w:fill="FFFFFF"/>
            <w:vAlign w:val="center"/>
          </w:tcPr>
          <w:p>
            <w:pPr>
              <w:widowControl w:val="0"/>
              <w:shd w:val="clear"/>
              <w:spacing w:before="0" w:after="0" w:afterAutospacing="0" w:line="240" w:lineRule="auto"/>
              <w:ind w:left="0" w:right="0" w:firstLine="0"/>
              <w:jc w:val="center"/>
              <w:rPr>
                <w:rFonts w:ascii="宋体" w:hAnsi="宋体" w:eastAsia="宋体" w:cs="宋体"/>
                <w:sz w:val="20"/>
                <w:szCs w:val="20"/>
                <w:highlight w:val="none"/>
                <w:lang w:val="zh-TW" w:eastAsia="zh-TW" w:bidi="zh-TW"/>
              </w:rPr>
            </w:pPr>
            <w:r>
              <w:rPr>
                <w:rFonts w:ascii="宋体" w:hAnsi="宋体" w:eastAsia="宋体" w:cs="宋体"/>
                <w:color w:val="000000"/>
                <w:sz w:val="20"/>
                <w:szCs w:val="20"/>
                <w:highlight w:val="none"/>
                <w:lang w:val="zh-TW" w:eastAsia="zh-TW" w:bidi="zh-TW"/>
              </w:rPr>
              <w:t>项目经理</w:t>
            </w:r>
          </w:p>
        </w:tc>
        <w:tc>
          <w:tcPr>
            <w:tcW w:w="2892" w:type="dxa"/>
            <w:tcBorders>
              <w:top w:val="single" w:color="auto" w:sz="4" w:space="0"/>
              <w:left w:val="single" w:color="auto" w:sz="4" w:space="0"/>
              <w:right w:val="single" w:color="auto" w:sz="4" w:space="0"/>
            </w:tcBorders>
            <w:shd w:val="clear" w:color="auto" w:fill="FFFFFF"/>
            <w:vAlign w:val="center"/>
          </w:tcPr>
          <w:p>
            <w:pPr>
              <w:widowControl w:val="0"/>
              <w:shd w:val="clear"/>
              <w:spacing w:before="0" w:after="0" w:afterAutospacing="0" w:line="240" w:lineRule="auto"/>
              <w:ind w:left="0" w:right="0" w:firstLine="0"/>
              <w:jc w:val="center"/>
              <w:rPr>
                <w:rFonts w:ascii="宋体" w:hAnsi="宋体" w:eastAsia="宋体" w:cs="宋体"/>
                <w:sz w:val="20"/>
                <w:szCs w:val="20"/>
                <w:highlight w:val="none"/>
                <w:lang w:val="zh-TW" w:eastAsia="zh-TW" w:bidi="zh-TW"/>
              </w:rPr>
            </w:pPr>
          </w:p>
        </w:tc>
      </w:tr>
      <w:tr>
        <w:tblPrEx>
          <w:tblCellMar>
            <w:top w:w="0" w:type="dxa"/>
            <w:left w:w="10" w:type="dxa"/>
            <w:bottom w:w="0" w:type="dxa"/>
            <w:right w:w="10" w:type="dxa"/>
          </w:tblCellMar>
        </w:tblPrEx>
        <w:trPr>
          <w:trHeight w:val="568" w:hRule="exact"/>
          <w:jc w:val="center"/>
        </w:trPr>
        <w:tc>
          <w:tcPr>
            <w:tcW w:w="1644" w:type="dxa"/>
            <w:gridSpan w:val="2"/>
            <w:tcBorders>
              <w:top w:val="single" w:color="auto" w:sz="4" w:space="0"/>
              <w:left w:val="single" w:color="auto" w:sz="4" w:space="0"/>
            </w:tcBorders>
            <w:shd w:val="clear" w:color="auto" w:fill="FFFFFF"/>
            <w:vAlign w:val="center"/>
          </w:tcPr>
          <w:p>
            <w:pPr>
              <w:widowControl w:val="0"/>
              <w:shd w:val="clear"/>
              <w:spacing w:before="0" w:after="0" w:afterAutospacing="0" w:line="216" w:lineRule="exact"/>
              <w:ind w:left="0" w:right="0" w:firstLine="0"/>
              <w:jc w:val="center"/>
              <w:rPr>
                <w:rFonts w:ascii="宋体" w:hAnsi="宋体" w:eastAsia="宋体" w:cs="宋体"/>
                <w:sz w:val="20"/>
                <w:szCs w:val="20"/>
                <w:highlight w:val="none"/>
                <w:lang w:val="zh-TW" w:eastAsia="zh-TW" w:bidi="zh-TW"/>
              </w:rPr>
            </w:pPr>
            <w:r>
              <w:rPr>
                <w:rFonts w:ascii="宋体" w:hAnsi="宋体" w:eastAsia="宋体" w:cs="宋体"/>
                <w:color w:val="000000"/>
                <w:sz w:val="20"/>
                <w:szCs w:val="20"/>
                <w:highlight w:val="none"/>
                <w:lang w:val="zh-TW" w:eastAsia="zh-TW" w:bidi="zh-TW"/>
              </w:rPr>
              <w:t>施工执行标准 名称及编号</w:t>
            </w:r>
          </w:p>
        </w:tc>
        <w:tc>
          <w:tcPr>
            <w:tcW w:w="8052" w:type="dxa"/>
            <w:gridSpan w:val="4"/>
            <w:tcBorders>
              <w:top w:val="single" w:color="auto" w:sz="4" w:space="0"/>
              <w:left w:val="single" w:color="auto" w:sz="4" w:space="0"/>
              <w:right w:val="single" w:color="auto" w:sz="4" w:space="0"/>
            </w:tcBorders>
            <w:shd w:val="clear" w:color="auto" w:fill="FFFFFF"/>
            <w:vAlign w:val="center"/>
          </w:tcPr>
          <w:p>
            <w:pPr>
              <w:widowControl w:val="0"/>
              <w:shd w:val="clear"/>
              <w:spacing w:before="80" w:after="0" w:afterAutospacing="0" w:line="240" w:lineRule="auto"/>
              <w:ind w:left="0" w:right="0" w:firstLine="0"/>
              <w:jc w:val="center"/>
              <w:rPr>
                <w:rFonts w:ascii="宋体" w:hAnsi="宋体" w:eastAsia="宋体" w:cs="宋体"/>
                <w:sz w:val="20"/>
                <w:szCs w:val="20"/>
                <w:highlight w:val="none"/>
                <w:lang w:val="zh-TW" w:eastAsia="zh-TW" w:bidi="zh-TW"/>
              </w:rPr>
            </w:pPr>
          </w:p>
        </w:tc>
      </w:tr>
      <w:tr>
        <w:tblPrEx>
          <w:tblCellMar>
            <w:top w:w="0" w:type="dxa"/>
            <w:left w:w="10" w:type="dxa"/>
            <w:bottom w:w="0" w:type="dxa"/>
            <w:right w:w="10" w:type="dxa"/>
          </w:tblCellMar>
        </w:tblPrEx>
        <w:trPr>
          <w:trHeight w:val="552" w:hRule="exact"/>
          <w:jc w:val="center"/>
        </w:trPr>
        <w:tc>
          <w:tcPr>
            <w:tcW w:w="1644" w:type="dxa"/>
            <w:gridSpan w:val="2"/>
            <w:tcBorders>
              <w:top w:val="single" w:color="auto" w:sz="4" w:space="0"/>
              <w:left w:val="single" w:color="auto" w:sz="4" w:space="0"/>
            </w:tcBorders>
            <w:shd w:val="clear" w:color="auto" w:fill="FFFFFF"/>
            <w:vAlign w:val="center"/>
          </w:tcPr>
          <w:p>
            <w:pPr>
              <w:widowControl w:val="0"/>
              <w:shd w:val="clear"/>
              <w:spacing w:before="0" w:after="0" w:afterAutospacing="0" w:line="276" w:lineRule="exact"/>
              <w:ind w:left="0" w:right="0" w:firstLine="0"/>
              <w:jc w:val="center"/>
              <w:rPr>
                <w:rFonts w:ascii="宋体" w:hAnsi="宋体" w:eastAsia="宋体" w:cs="宋体"/>
                <w:sz w:val="20"/>
                <w:szCs w:val="20"/>
                <w:highlight w:val="none"/>
                <w:lang w:val="zh-TW" w:eastAsia="zh-TW" w:bidi="zh-TW"/>
              </w:rPr>
            </w:pPr>
            <w:r>
              <w:rPr>
                <w:rFonts w:ascii="宋体" w:hAnsi="宋体" w:eastAsia="宋体" w:cs="宋体"/>
                <w:color w:val="000000"/>
                <w:sz w:val="20"/>
                <w:szCs w:val="20"/>
                <w:highlight w:val="none"/>
                <w:lang w:val="zh-TW" w:eastAsia="zh-TW" w:bidi="zh-TW"/>
              </w:rPr>
              <w:t>管道（设备） 名 称</w:t>
            </w:r>
          </w:p>
        </w:tc>
        <w:tc>
          <w:tcPr>
            <w:tcW w:w="8052" w:type="dxa"/>
            <w:gridSpan w:val="4"/>
            <w:tcBorders>
              <w:top w:val="single" w:color="auto" w:sz="4" w:space="0"/>
              <w:left w:val="single" w:color="auto" w:sz="4" w:space="0"/>
              <w:right w:val="single" w:color="auto" w:sz="4" w:space="0"/>
            </w:tcBorders>
            <w:shd w:val="clear" w:color="auto" w:fill="FFFFFF"/>
            <w:vAlign w:val="center"/>
          </w:tcPr>
          <w:p>
            <w:pPr>
              <w:widowControl w:val="0"/>
              <w:shd w:val="clear"/>
              <w:spacing w:before="0" w:after="0" w:afterAutospacing="0" w:line="240" w:lineRule="auto"/>
              <w:ind w:left="0" w:right="0" w:firstLine="0"/>
              <w:jc w:val="center"/>
              <w:rPr>
                <w:rFonts w:ascii="宋体" w:hAnsi="宋体" w:eastAsia="宋体" w:cs="宋体"/>
                <w:sz w:val="20"/>
                <w:szCs w:val="20"/>
                <w:highlight w:val="none"/>
                <w:lang w:val="zh-TW" w:eastAsia="zh-TW" w:bidi="zh-TW"/>
              </w:rPr>
            </w:pPr>
          </w:p>
        </w:tc>
      </w:tr>
      <w:tr>
        <w:tblPrEx>
          <w:tblCellMar>
            <w:top w:w="0" w:type="dxa"/>
            <w:left w:w="10" w:type="dxa"/>
            <w:bottom w:w="0" w:type="dxa"/>
            <w:right w:w="10" w:type="dxa"/>
          </w:tblCellMar>
        </w:tblPrEx>
        <w:trPr>
          <w:trHeight w:val="468" w:hRule="exact"/>
          <w:jc w:val="center"/>
        </w:trPr>
        <w:tc>
          <w:tcPr>
            <w:tcW w:w="1644" w:type="dxa"/>
            <w:gridSpan w:val="2"/>
            <w:tcBorders>
              <w:top w:val="single" w:color="auto" w:sz="4" w:space="0"/>
              <w:left w:val="single" w:color="auto" w:sz="4" w:space="0"/>
            </w:tcBorders>
            <w:shd w:val="clear" w:color="auto" w:fill="FFFFFF"/>
            <w:vAlign w:val="center"/>
          </w:tcPr>
          <w:p>
            <w:pPr>
              <w:widowControl w:val="0"/>
              <w:shd w:val="clear"/>
              <w:spacing w:before="0" w:after="0" w:afterAutospacing="0" w:line="240" w:lineRule="auto"/>
              <w:ind w:left="0" w:right="0" w:firstLine="0"/>
              <w:jc w:val="left"/>
              <w:rPr>
                <w:rFonts w:ascii="宋体" w:hAnsi="宋体" w:eastAsia="宋体" w:cs="宋体"/>
                <w:sz w:val="20"/>
                <w:szCs w:val="20"/>
                <w:highlight w:val="none"/>
                <w:lang w:val="zh-TW" w:eastAsia="zh-TW" w:bidi="zh-TW"/>
              </w:rPr>
            </w:pPr>
            <w:r>
              <w:rPr>
                <w:rFonts w:ascii="宋体" w:hAnsi="宋体" w:eastAsia="宋体" w:cs="宋体"/>
                <w:color w:val="000000"/>
                <w:sz w:val="20"/>
                <w:szCs w:val="20"/>
                <w:highlight w:val="none"/>
                <w:lang w:val="zh-TW" w:eastAsia="zh-TW" w:bidi="zh-TW"/>
              </w:rPr>
              <w:t>管道（设备）材质</w:t>
            </w:r>
          </w:p>
        </w:tc>
        <w:tc>
          <w:tcPr>
            <w:tcW w:w="3540" w:type="dxa"/>
            <w:gridSpan w:val="2"/>
            <w:tcBorders>
              <w:top w:val="single" w:color="auto" w:sz="4" w:space="0"/>
              <w:left w:val="single" w:color="auto" w:sz="4" w:space="0"/>
            </w:tcBorders>
            <w:shd w:val="clear" w:color="auto" w:fill="FFFFFF"/>
            <w:vAlign w:val="center"/>
          </w:tcPr>
          <w:p>
            <w:pPr>
              <w:widowControl w:val="0"/>
              <w:shd w:val="clear"/>
              <w:spacing w:before="0" w:after="0" w:afterAutospacing="0" w:line="240" w:lineRule="auto"/>
              <w:ind w:left="0" w:right="0" w:firstLine="0"/>
              <w:jc w:val="center"/>
              <w:rPr>
                <w:rFonts w:ascii="宋体" w:hAnsi="宋体" w:eastAsia="宋体" w:cs="宋体"/>
                <w:sz w:val="20"/>
                <w:szCs w:val="20"/>
                <w:highlight w:val="none"/>
                <w:lang w:val="zh-TW" w:eastAsia="zh-TW" w:bidi="zh-TW"/>
              </w:rPr>
            </w:pPr>
          </w:p>
        </w:tc>
        <w:tc>
          <w:tcPr>
            <w:tcW w:w="1620" w:type="dxa"/>
            <w:tcBorders>
              <w:top w:val="single" w:color="auto" w:sz="4" w:space="0"/>
              <w:left w:val="single" w:color="auto" w:sz="4" w:space="0"/>
            </w:tcBorders>
            <w:shd w:val="clear" w:color="auto" w:fill="FFFFFF"/>
            <w:vAlign w:val="center"/>
          </w:tcPr>
          <w:p>
            <w:pPr>
              <w:widowControl w:val="0"/>
              <w:shd w:val="clear"/>
              <w:spacing w:before="0" w:after="0" w:afterAutospacing="0" w:line="240" w:lineRule="auto"/>
              <w:ind w:left="0" w:right="0" w:firstLine="0"/>
              <w:jc w:val="center"/>
              <w:rPr>
                <w:rFonts w:ascii="宋体" w:hAnsi="宋体" w:eastAsia="宋体" w:cs="宋体"/>
                <w:sz w:val="20"/>
                <w:szCs w:val="20"/>
                <w:highlight w:val="none"/>
                <w:lang w:val="zh-TW" w:eastAsia="zh-TW" w:bidi="zh-TW"/>
              </w:rPr>
            </w:pPr>
            <w:r>
              <w:rPr>
                <w:rFonts w:ascii="宋体" w:hAnsi="宋体" w:eastAsia="宋体" w:cs="宋体"/>
                <w:color w:val="000000"/>
                <w:sz w:val="20"/>
                <w:szCs w:val="20"/>
                <w:highlight w:val="none"/>
                <w:lang w:val="zh-TW" w:eastAsia="zh-TW" w:bidi="zh-TW"/>
              </w:rPr>
              <w:t>环境温度</w:t>
            </w:r>
          </w:p>
        </w:tc>
        <w:tc>
          <w:tcPr>
            <w:tcW w:w="2892" w:type="dxa"/>
            <w:tcBorders>
              <w:top w:val="single" w:color="auto" w:sz="4" w:space="0"/>
              <w:left w:val="single" w:color="auto" w:sz="4" w:space="0"/>
              <w:right w:val="single" w:color="auto" w:sz="4" w:space="0"/>
            </w:tcBorders>
            <w:shd w:val="clear" w:color="auto" w:fill="FFFFFF"/>
            <w:vAlign w:val="center"/>
          </w:tcPr>
          <w:p>
            <w:pPr>
              <w:widowControl w:val="0"/>
              <w:shd w:val="clear"/>
              <w:spacing w:before="0" w:after="0" w:afterAutospacing="0" w:line="240" w:lineRule="auto"/>
              <w:ind w:left="0" w:right="0" w:firstLine="0"/>
              <w:jc w:val="center"/>
              <w:rPr>
                <w:rFonts w:ascii="宋体" w:hAnsi="宋体" w:eastAsia="宋体" w:cs="宋体"/>
                <w:sz w:val="20"/>
                <w:szCs w:val="20"/>
                <w:highlight w:val="none"/>
                <w:lang w:val="zh-TW" w:eastAsia="zh-TW" w:bidi="zh-TW"/>
              </w:rPr>
            </w:pPr>
          </w:p>
        </w:tc>
      </w:tr>
      <w:tr>
        <w:tblPrEx>
          <w:tblCellMar>
            <w:top w:w="0" w:type="dxa"/>
            <w:left w:w="10" w:type="dxa"/>
            <w:bottom w:w="0" w:type="dxa"/>
            <w:right w:w="10" w:type="dxa"/>
          </w:tblCellMar>
        </w:tblPrEx>
        <w:trPr>
          <w:trHeight w:val="468" w:hRule="exact"/>
          <w:jc w:val="center"/>
        </w:trPr>
        <w:tc>
          <w:tcPr>
            <w:tcW w:w="1644" w:type="dxa"/>
            <w:gridSpan w:val="2"/>
            <w:tcBorders>
              <w:top w:val="single" w:color="auto" w:sz="4" w:space="0"/>
              <w:left w:val="single" w:color="auto" w:sz="4" w:space="0"/>
            </w:tcBorders>
            <w:shd w:val="clear" w:color="auto" w:fill="FFFFFF"/>
            <w:vAlign w:val="center"/>
          </w:tcPr>
          <w:p>
            <w:pPr>
              <w:widowControl w:val="0"/>
              <w:shd w:val="clear"/>
              <w:spacing w:before="0" w:after="0" w:afterAutospacing="0" w:line="240" w:lineRule="auto"/>
              <w:ind w:left="0" w:right="0" w:firstLine="380"/>
              <w:jc w:val="left"/>
              <w:rPr>
                <w:rFonts w:ascii="宋体" w:hAnsi="宋体" w:eastAsia="宋体" w:cs="宋体"/>
                <w:sz w:val="20"/>
                <w:szCs w:val="20"/>
                <w:highlight w:val="none"/>
                <w:lang w:val="zh-TW" w:eastAsia="zh-TW" w:bidi="zh-TW"/>
              </w:rPr>
            </w:pPr>
            <w:r>
              <w:rPr>
                <w:rFonts w:ascii="宋体" w:hAnsi="宋体" w:eastAsia="宋体" w:cs="宋体"/>
                <w:color w:val="000000"/>
                <w:sz w:val="20"/>
                <w:szCs w:val="20"/>
                <w:highlight w:val="none"/>
                <w:lang w:val="zh-TW" w:eastAsia="zh-TW" w:bidi="zh-TW"/>
              </w:rPr>
              <w:t>试验介质</w:t>
            </w:r>
          </w:p>
        </w:tc>
        <w:tc>
          <w:tcPr>
            <w:tcW w:w="3540" w:type="dxa"/>
            <w:gridSpan w:val="2"/>
            <w:tcBorders>
              <w:top w:val="single" w:color="auto" w:sz="4" w:space="0"/>
              <w:left w:val="single" w:color="auto" w:sz="4" w:space="0"/>
            </w:tcBorders>
            <w:shd w:val="clear" w:color="auto" w:fill="FFFFFF"/>
            <w:vAlign w:val="center"/>
          </w:tcPr>
          <w:p>
            <w:pPr>
              <w:widowControl w:val="0"/>
              <w:shd w:val="clear"/>
              <w:spacing w:before="0" w:after="0" w:afterAutospacing="0" w:line="240" w:lineRule="auto"/>
              <w:ind w:left="0" w:right="0" w:firstLine="0"/>
              <w:jc w:val="center"/>
              <w:rPr>
                <w:rFonts w:ascii="宋体" w:hAnsi="宋体" w:eastAsia="宋体" w:cs="宋体"/>
                <w:sz w:val="20"/>
                <w:szCs w:val="20"/>
                <w:highlight w:val="none"/>
                <w:lang w:val="zh-TW" w:eastAsia="zh-TW" w:bidi="zh-TW"/>
              </w:rPr>
            </w:pPr>
          </w:p>
        </w:tc>
        <w:tc>
          <w:tcPr>
            <w:tcW w:w="1620" w:type="dxa"/>
            <w:tcBorders>
              <w:top w:val="single" w:color="auto" w:sz="4" w:space="0"/>
              <w:left w:val="single" w:color="auto" w:sz="4" w:space="0"/>
            </w:tcBorders>
            <w:shd w:val="clear" w:color="auto" w:fill="FFFFFF"/>
            <w:vAlign w:val="center"/>
          </w:tcPr>
          <w:p>
            <w:pPr>
              <w:widowControl w:val="0"/>
              <w:shd w:val="clear"/>
              <w:spacing w:before="0" w:after="0" w:afterAutospacing="0" w:line="240" w:lineRule="auto"/>
              <w:ind w:left="0" w:right="0" w:firstLine="0"/>
              <w:jc w:val="center"/>
              <w:rPr>
                <w:rFonts w:ascii="宋体" w:hAnsi="宋体" w:eastAsia="宋体" w:cs="宋体"/>
                <w:sz w:val="20"/>
                <w:szCs w:val="20"/>
                <w:highlight w:val="none"/>
                <w:lang w:val="zh-TW" w:eastAsia="zh-TW" w:bidi="zh-TW"/>
              </w:rPr>
            </w:pPr>
            <w:r>
              <w:rPr>
                <w:rFonts w:ascii="宋体" w:hAnsi="宋体" w:eastAsia="宋体" w:cs="宋体"/>
                <w:color w:val="000000"/>
                <w:sz w:val="20"/>
                <w:szCs w:val="20"/>
                <w:highlight w:val="none"/>
                <w:lang w:val="zh-TW" w:eastAsia="zh-TW" w:bidi="zh-TW"/>
              </w:rPr>
              <w:t>施工图号</w:t>
            </w:r>
          </w:p>
        </w:tc>
        <w:tc>
          <w:tcPr>
            <w:tcW w:w="2892" w:type="dxa"/>
            <w:tcBorders>
              <w:top w:val="single" w:color="auto" w:sz="4" w:space="0"/>
              <w:left w:val="single" w:color="auto" w:sz="4" w:space="0"/>
              <w:right w:val="single" w:color="auto" w:sz="4" w:space="0"/>
            </w:tcBorders>
            <w:shd w:val="clear" w:color="auto" w:fill="FFFFFF"/>
            <w:vAlign w:val="center"/>
          </w:tcPr>
          <w:p>
            <w:pPr>
              <w:widowControl w:val="0"/>
              <w:shd w:val="clear"/>
              <w:spacing w:before="0" w:after="0" w:afterAutospacing="0" w:line="240" w:lineRule="auto"/>
              <w:ind w:left="0" w:right="0" w:firstLine="0"/>
              <w:jc w:val="center"/>
              <w:rPr>
                <w:rFonts w:ascii="宋体" w:hAnsi="宋体" w:eastAsia="宋体" w:cs="宋体"/>
                <w:sz w:val="20"/>
                <w:szCs w:val="20"/>
                <w:highlight w:val="none"/>
                <w:lang w:val="en-US" w:eastAsia="zh-CN" w:bidi="zh-TW"/>
              </w:rPr>
            </w:pPr>
          </w:p>
        </w:tc>
      </w:tr>
      <w:tr>
        <w:tblPrEx>
          <w:tblCellMar>
            <w:top w:w="0" w:type="dxa"/>
            <w:left w:w="10" w:type="dxa"/>
            <w:bottom w:w="0" w:type="dxa"/>
            <w:right w:w="10" w:type="dxa"/>
          </w:tblCellMar>
        </w:tblPrEx>
        <w:trPr>
          <w:trHeight w:val="578" w:hRule="exact"/>
          <w:jc w:val="center"/>
        </w:trPr>
        <w:tc>
          <w:tcPr>
            <w:tcW w:w="1644" w:type="dxa"/>
            <w:gridSpan w:val="2"/>
            <w:tcBorders>
              <w:top w:val="single" w:color="auto" w:sz="4" w:space="0"/>
              <w:left w:val="single" w:color="auto" w:sz="4" w:space="0"/>
            </w:tcBorders>
            <w:shd w:val="clear" w:color="auto" w:fill="FFFFFF"/>
            <w:vAlign w:val="center"/>
          </w:tcPr>
          <w:p>
            <w:pPr>
              <w:widowControl w:val="0"/>
              <w:shd w:val="clear"/>
              <w:spacing w:before="0" w:after="0" w:afterAutospacing="0" w:line="240" w:lineRule="auto"/>
              <w:ind w:left="0" w:right="0" w:firstLine="380"/>
              <w:jc w:val="left"/>
              <w:rPr>
                <w:rFonts w:ascii="宋体" w:hAnsi="宋体" w:eastAsia="宋体" w:cs="宋体"/>
                <w:sz w:val="20"/>
                <w:szCs w:val="20"/>
                <w:highlight w:val="none"/>
                <w:lang w:val="zh-TW" w:eastAsia="zh-TW" w:bidi="zh-TW"/>
              </w:rPr>
            </w:pPr>
            <w:r>
              <w:rPr>
                <w:rFonts w:ascii="宋体" w:hAnsi="宋体" w:eastAsia="宋体" w:cs="宋体"/>
                <w:color w:val="000000"/>
                <w:sz w:val="20"/>
                <w:szCs w:val="20"/>
                <w:highlight w:val="none"/>
                <w:lang w:val="zh-TW" w:eastAsia="zh-TW" w:bidi="zh-TW"/>
              </w:rPr>
              <w:t>试验日期</w:t>
            </w:r>
          </w:p>
        </w:tc>
        <w:tc>
          <w:tcPr>
            <w:tcW w:w="3540" w:type="dxa"/>
            <w:gridSpan w:val="2"/>
            <w:tcBorders>
              <w:top w:val="single" w:color="auto" w:sz="4" w:space="0"/>
              <w:left w:val="single" w:color="auto" w:sz="4" w:space="0"/>
            </w:tcBorders>
            <w:shd w:val="clear" w:color="auto" w:fill="FFFFFF"/>
            <w:vAlign w:val="center"/>
          </w:tcPr>
          <w:p>
            <w:pPr>
              <w:widowControl w:val="0"/>
              <w:shd w:val="clear"/>
              <w:spacing w:before="0" w:after="0" w:afterAutospacing="0" w:line="240" w:lineRule="auto"/>
              <w:ind w:left="0" w:right="0" w:firstLine="0"/>
              <w:jc w:val="center"/>
              <w:rPr>
                <w:rFonts w:ascii="宋体" w:hAnsi="宋体" w:eastAsia="宋体" w:cs="宋体"/>
                <w:sz w:val="20"/>
                <w:szCs w:val="20"/>
                <w:highlight w:val="none"/>
                <w:lang w:val="zh-TW" w:eastAsia="zh-TW" w:bidi="zh-TW"/>
              </w:rPr>
            </w:pPr>
            <w:r>
              <w:rPr>
                <w:rFonts w:ascii="宋体" w:hAnsi="宋体" w:eastAsia="宋体" w:cs="宋体"/>
                <w:color w:val="000000"/>
                <w:sz w:val="20"/>
                <w:szCs w:val="20"/>
                <w:highlight w:val="none"/>
                <w:lang w:val="zh-TW" w:eastAsia="zh-TW" w:bidi="zh-TW"/>
              </w:rPr>
              <w:t>年</w:t>
            </w:r>
            <w:r>
              <w:rPr>
                <w:rFonts w:hint="eastAsia" w:ascii="宋体" w:hAnsi="宋体" w:eastAsia="宋体" w:cs="宋体"/>
                <w:sz w:val="20"/>
                <w:szCs w:val="20"/>
                <w:highlight w:val="none"/>
                <w:lang w:val="en-US" w:eastAsia="zh-CN" w:bidi="zh-TW"/>
              </w:rPr>
              <w:t xml:space="preserve">  </w:t>
            </w:r>
            <w:r>
              <w:rPr>
                <w:rFonts w:ascii="宋体" w:hAnsi="宋体" w:eastAsia="宋体" w:cs="宋体"/>
                <w:color w:val="000000"/>
                <w:sz w:val="20"/>
                <w:szCs w:val="20"/>
                <w:highlight w:val="none"/>
                <w:lang w:val="zh-TW" w:eastAsia="zh-TW" w:bidi="zh-TW"/>
              </w:rPr>
              <w:t>月</w:t>
            </w:r>
            <w:r>
              <w:rPr>
                <w:rFonts w:hint="eastAsia" w:ascii="宋体" w:hAnsi="宋体" w:eastAsia="宋体" w:cs="宋体"/>
                <w:sz w:val="20"/>
                <w:szCs w:val="20"/>
                <w:highlight w:val="none"/>
                <w:lang w:val="en-US" w:eastAsia="zh-CN" w:bidi="zh-TW"/>
              </w:rPr>
              <w:t xml:space="preserve">  </w:t>
            </w:r>
            <w:r>
              <w:rPr>
                <w:rFonts w:ascii="宋体" w:hAnsi="宋体" w:eastAsia="宋体" w:cs="宋体"/>
                <w:color w:val="000000"/>
                <w:sz w:val="20"/>
                <w:szCs w:val="20"/>
                <w:highlight w:val="none"/>
                <w:lang w:val="zh-TW" w:eastAsia="zh-TW" w:bidi="zh-TW"/>
              </w:rPr>
              <w:t>日</w:t>
            </w:r>
          </w:p>
        </w:tc>
        <w:tc>
          <w:tcPr>
            <w:tcW w:w="1620" w:type="dxa"/>
            <w:tcBorders>
              <w:top w:val="single" w:color="auto" w:sz="4" w:space="0"/>
              <w:left w:val="single" w:color="auto" w:sz="4" w:space="0"/>
            </w:tcBorders>
            <w:shd w:val="clear" w:color="auto" w:fill="FFFFFF"/>
            <w:vAlign w:val="center"/>
          </w:tcPr>
          <w:p>
            <w:pPr>
              <w:widowControl w:val="0"/>
              <w:shd w:val="clear"/>
              <w:spacing w:before="0" w:after="0" w:afterAutospacing="0" w:line="288" w:lineRule="exact"/>
              <w:ind w:left="0" w:right="0" w:firstLine="0"/>
              <w:jc w:val="center"/>
              <w:rPr>
                <w:rFonts w:ascii="宋体" w:hAnsi="宋体" w:eastAsia="宋体" w:cs="宋体"/>
                <w:sz w:val="20"/>
                <w:szCs w:val="20"/>
                <w:highlight w:val="none"/>
                <w:lang w:val="zh-TW" w:eastAsia="zh-TW" w:bidi="zh-TW"/>
              </w:rPr>
            </w:pPr>
            <w:r>
              <w:rPr>
                <w:rFonts w:hint="eastAsia" w:ascii="宋体" w:hAnsi="宋体" w:eastAsia="宋体" w:cs="宋体"/>
                <w:color w:val="000000"/>
                <w:sz w:val="20"/>
                <w:szCs w:val="20"/>
                <w:highlight w:val="none"/>
                <w:lang w:val="en-US" w:eastAsia="zh-CN" w:bidi="zh-TW"/>
              </w:rPr>
              <w:t xml:space="preserve"> </w:t>
            </w:r>
            <w:r>
              <w:rPr>
                <w:rFonts w:ascii="宋体" w:hAnsi="宋体" w:eastAsia="宋体" w:cs="宋体"/>
                <w:color w:val="000000"/>
                <w:sz w:val="20"/>
                <w:szCs w:val="20"/>
                <w:highlight w:val="none"/>
                <w:lang w:val="zh-TW" w:eastAsia="zh-TW" w:bidi="zh-TW"/>
              </w:rPr>
              <w:t>试验仪器型号、精度</w:t>
            </w:r>
          </w:p>
        </w:tc>
        <w:tc>
          <w:tcPr>
            <w:tcW w:w="2892" w:type="dxa"/>
            <w:tcBorders>
              <w:top w:val="single" w:color="auto" w:sz="4" w:space="0"/>
              <w:left w:val="single" w:color="auto" w:sz="4" w:space="0"/>
              <w:right w:val="single" w:color="auto" w:sz="4" w:space="0"/>
            </w:tcBorders>
            <w:shd w:val="clear" w:color="auto" w:fill="FFFFFF"/>
            <w:vAlign w:val="center"/>
          </w:tcPr>
          <w:p>
            <w:pPr>
              <w:widowControl w:val="0"/>
              <w:shd w:val="clear"/>
              <w:spacing w:before="0" w:after="0" w:afterAutospacing="0" w:line="240" w:lineRule="auto"/>
              <w:ind w:left="0" w:right="0" w:firstLine="0"/>
              <w:jc w:val="center"/>
              <w:rPr>
                <w:rFonts w:ascii="宋体" w:hAnsi="宋体" w:eastAsia="宋体" w:cs="宋体"/>
                <w:sz w:val="20"/>
                <w:szCs w:val="20"/>
                <w:highlight w:val="none"/>
                <w:lang w:val="zh-TW" w:eastAsia="zh-TW" w:bidi="zh-TW"/>
              </w:rPr>
            </w:pPr>
          </w:p>
        </w:tc>
      </w:tr>
      <w:tr>
        <w:tblPrEx>
          <w:tblCellMar>
            <w:top w:w="0" w:type="dxa"/>
            <w:left w:w="10" w:type="dxa"/>
            <w:bottom w:w="0" w:type="dxa"/>
            <w:right w:w="10" w:type="dxa"/>
          </w:tblCellMar>
        </w:tblPrEx>
        <w:trPr>
          <w:trHeight w:val="552" w:hRule="exact"/>
          <w:jc w:val="center"/>
        </w:trPr>
        <w:tc>
          <w:tcPr>
            <w:tcW w:w="9696" w:type="dxa"/>
            <w:gridSpan w:val="6"/>
            <w:tcBorders>
              <w:top w:val="single" w:color="auto" w:sz="4" w:space="0"/>
              <w:left w:val="single" w:color="auto" w:sz="4" w:space="0"/>
              <w:right w:val="single" w:color="auto" w:sz="4" w:space="0"/>
            </w:tcBorders>
            <w:shd w:val="clear" w:color="auto" w:fill="FFFFFF"/>
            <w:vAlign w:val="center"/>
          </w:tcPr>
          <w:p>
            <w:pPr>
              <w:widowControl w:val="0"/>
              <w:shd w:val="clear"/>
              <w:spacing w:before="0" w:after="0" w:afterAutospacing="0" w:line="240" w:lineRule="auto"/>
              <w:ind w:left="0" w:right="0" w:firstLine="0"/>
              <w:jc w:val="center"/>
              <w:rPr>
                <w:rFonts w:ascii="宋体" w:hAnsi="宋体" w:eastAsia="宋体" w:cs="宋体"/>
                <w:sz w:val="20"/>
                <w:szCs w:val="20"/>
                <w:highlight w:val="none"/>
                <w:lang w:val="zh-TW" w:eastAsia="zh-CN" w:bidi="zh-TW"/>
              </w:rPr>
            </w:pPr>
            <w:r>
              <w:rPr>
                <w:rFonts w:ascii="宋体" w:hAnsi="宋体" w:eastAsia="宋体" w:cs="宋体"/>
                <w:color w:val="000000"/>
                <w:sz w:val="20"/>
                <w:szCs w:val="20"/>
                <w:highlight w:val="none"/>
                <w:lang w:val="zh-TW" w:eastAsia="zh-TW" w:bidi="zh-TW"/>
              </w:rPr>
              <w:t>自动喷水灭火系统</w:t>
            </w:r>
            <w:r>
              <w:rPr>
                <w:rFonts w:hint="eastAsia" w:ascii="宋体" w:hAnsi="宋体" w:eastAsia="宋体" w:cs="宋体"/>
                <w:color w:val="000000"/>
                <w:sz w:val="20"/>
                <w:szCs w:val="20"/>
                <w:highlight w:val="none"/>
                <w:lang w:val="zh-TW" w:eastAsia="zh-CN" w:bidi="zh-TW"/>
              </w:rPr>
              <w:t>管道</w:t>
            </w:r>
            <w:r>
              <w:rPr>
                <w:rFonts w:ascii="宋体" w:hAnsi="宋体" w:eastAsia="宋体" w:cs="宋体"/>
                <w:color w:val="000000"/>
                <w:sz w:val="20"/>
                <w:szCs w:val="20"/>
                <w:highlight w:val="none"/>
                <w:lang w:val="zh-TW" w:eastAsia="zh-TW" w:bidi="zh-TW"/>
              </w:rPr>
              <w:t>试压</w:t>
            </w:r>
          </w:p>
        </w:tc>
      </w:tr>
      <w:tr>
        <w:tblPrEx>
          <w:tblCellMar>
            <w:top w:w="0" w:type="dxa"/>
            <w:left w:w="10" w:type="dxa"/>
            <w:bottom w:w="0" w:type="dxa"/>
            <w:right w:w="10" w:type="dxa"/>
          </w:tblCellMar>
        </w:tblPrEx>
        <w:trPr>
          <w:trHeight w:val="468" w:hRule="exact"/>
          <w:jc w:val="center"/>
        </w:trPr>
        <w:tc>
          <w:tcPr>
            <w:tcW w:w="1644" w:type="dxa"/>
            <w:gridSpan w:val="2"/>
            <w:tcBorders>
              <w:top w:val="single" w:color="auto" w:sz="4" w:space="0"/>
              <w:left w:val="single" w:color="auto" w:sz="4" w:space="0"/>
            </w:tcBorders>
            <w:shd w:val="clear" w:color="auto" w:fill="FFFFFF"/>
            <w:vAlign w:val="center"/>
          </w:tcPr>
          <w:p>
            <w:pPr>
              <w:widowControl w:val="0"/>
              <w:shd w:val="clear"/>
              <w:spacing w:before="0" w:after="0" w:afterAutospacing="0" w:line="240" w:lineRule="auto"/>
              <w:ind w:left="0" w:right="0" w:firstLine="380"/>
              <w:jc w:val="left"/>
              <w:rPr>
                <w:rFonts w:ascii="宋体" w:hAnsi="宋体" w:eastAsia="宋体" w:cs="宋体"/>
                <w:sz w:val="20"/>
                <w:szCs w:val="20"/>
                <w:highlight w:val="none"/>
                <w:lang w:val="zh-TW" w:eastAsia="zh-TW" w:bidi="zh-TW"/>
              </w:rPr>
            </w:pPr>
            <w:r>
              <w:rPr>
                <w:rFonts w:ascii="宋体" w:hAnsi="宋体" w:eastAsia="宋体" w:cs="宋体"/>
                <w:color w:val="000000"/>
                <w:sz w:val="20"/>
                <w:szCs w:val="20"/>
                <w:highlight w:val="none"/>
                <w:lang w:val="zh-TW" w:eastAsia="zh-TW" w:bidi="zh-TW"/>
              </w:rPr>
              <w:t>试验压力</w:t>
            </w:r>
          </w:p>
        </w:tc>
        <w:tc>
          <w:tcPr>
            <w:tcW w:w="3540" w:type="dxa"/>
            <w:gridSpan w:val="2"/>
            <w:tcBorders>
              <w:top w:val="single" w:color="auto" w:sz="4" w:space="0"/>
              <w:left w:val="single" w:color="auto" w:sz="4" w:space="0"/>
            </w:tcBorders>
            <w:shd w:val="clear" w:color="auto" w:fill="FFFFFF"/>
            <w:vAlign w:val="center"/>
          </w:tcPr>
          <w:p>
            <w:pPr>
              <w:widowControl w:val="0"/>
              <w:shd w:val="clear"/>
              <w:spacing w:before="0" w:after="0" w:afterAutospacing="0" w:line="240" w:lineRule="auto"/>
              <w:ind w:left="0" w:right="0" w:firstLine="0"/>
              <w:jc w:val="center"/>
              <w:rPr>
                <w:rFonts w:ascii="宋体" w:hAnsi="宋体" w:eastAsia="宋体" w:cs="宋体"/>
                <w:sz w:val="20"/>
                <w:szCs w:val="20"/>
                <w:highlight w:val="none"/>
                <w:lang w:val="zh-TW" w:eastAsia="zh-TW" w:bidi="zh-TW"/>
              </w:rPr>
            </w:pPr>
            <w:r>
              <w:rPr>
                <w:rFonts w:ascii="Times New Roman" w:hAnsi="Times New Roman" w:eastAsia="Times New Roman" w:cs="Times New Roman"/>
                <w:color w:val="000000"/>
                <w:sz w:val="20"/>
                <w:szCs w:val="20"/>
                <w:highlight w:val="none"/>
                <w:lang w:val="en-US" w:eastAsia="en-US" w:bidi="en-US"/>
              </w:rPr>
              <w:t>1.</w:t>
            </w:r>
            <w:r>
              <w:rPr>
                <w:rFonts w:hint="eastAsia" w:ascii="Times New Roman" w:hAnsi="Times New Roman" w:eastAsia="宋体" w:cs="Times New Roman"/>
                <w:color w:val="000000"/>
                <w:sz w:val="20"/>
                <w:szCs w:val="20"/>
                <w:highlight w:val="none"/>
                <w:lang w:val="en-US" w:eastAsia="zh-CN" w:bidi="en-US"/>
              </w:rPr>
              <w:t>6</w:t>
            </w:r>
            <w:r>
              <w:rPr>
                <w:rFonts w:ascii="Times New Roman" w:hAnsi="Times New Roman" w:eastAsia="Times New Roman" w:cs="Times New Roman"/>
                <w:color w:val="000000"/>
                <w:sz w:val="20"/>
                <w:szCs w:val="20"/>
                <w:highlight w:val="none"/>
                <w:lang w:val="en-US" w:eastAsia="en-US" w:bidi="en-US"/>
              </w:rPr>
              <w:t>MPa</w:t>
            </w:r>
          </w:p>
        </w:tc>
        <w:tc>
          <w:tcPr>
            <w:tcW w:w="1620" w:type="dxa"/>
            <w:tcBorders>
              <w:top w:val="single" w:color="auto" w:sz="4" w:space="0"/>
              <w:left w:val="single" w:color="auto" w:sz="4" w:space="0"/>
            </w:tcBorders>
            <w:shd w:val="clear" w:color="auto" w:fill="FFFFFF"/>
            <w:vAlign w:val="center"/>
          </w:tcPr>
          <w:p>
            <w:pPr>
              <w:widowControl w:val="0"/>
              <w:shd w:val="clear"/>
              <w:spacing w:before="0" w:after="0" w:afterAutospacing="0" w:line="240" w:lineRule="auto"/>
              <w:ind w:left="0" w:right="0" w:firstLine="0"/>
              <w:jc w:val="center"/>
              <w:rPr>
                <w:rFonts w:ascii="宋体" w:hAnsi="宋体" w:eastAsia="宋体" w:cs="宋体"/>
                <w:sz w:val="20"/>
                <w:szCs w:val="20"/>
                <w:highlight w:val="none"/>
                <w:lang w:val="zh-TW" w:eastAsia="zh-TW" w:bidi="zh-TW"/>
              </w:rPr>
            </w:pPr>
            <w:r>
              <w:rPr>
                <w:rFonts w:ascii="宋体" w:hAnsi="宋体" w:eastAsia="宋体" w:cs="宋体"/>
                <w:color w:val="000000"/>
                <w:sz w:val="20"/>
                <w:szCs w:val="20"/>
                <w:highlight w:val="none"/>
                <w:lang w:val="zh-TW" w:eastAsia="zh-TW" w:bidi="zh-TW"/>
              </w:rPr>
              <w:t>试验工作压力</w:t>
            </w:r>
          </w:p>
        </w:tc>
        <w:tc>
          <w:tcPr>
            <w:tcW w:w="2892" w:type="dxa"/>
            <w:tcBorders>
              <w:top w:val="single" w:color="auto" w:sz="4" w:space="0"/>
              <w:left w:val="single" w:color="auto" w:sz="4" w:space="0"/>
              <w:right w:val="single" w:color="auto" w:sz="4" w:space="0"/>
            </w:tcBorders>
            <w:shd w:val="clear" w:color="auto" w:fill="FFFFFF"/>
            <w:vAlign w:val="center"/>
          </w:tcPr>
          <w:p>
            <w:pPr>
              <w:widowControl w:val="0"/>
              <w:shd w:val="clear"/>
              <w:spacing w:before="0" w:after="0" w:afterAutospacing="0" w:line="240" w:lineRule="auto"/>
              <w:ind w:left="0" w:right="0" w:firstLine="0"/>
              <w:jc w:val="center"/>
              <w:rPr>
                <w:rFonts w:ascii="宋体" w:hAnsi="宋体" w:eastAsia="宋体" w:cs="宋体"/>
                <w:sz w:val="20"/>
                <w:szCs w:val="20"/>
                <w:highlight w:val="none"/>
                <w:lang w:val="zh-TW" w:eastAsia="zh-TW" w:bidi="zh-TW"/>
              </w:rPr>
            </w:pPr>
            <w:r>
              <w:rPr>
                <w:rFonts w:hint="eastAsia" w:ascii="Times New Roman" w:hAnsi="Times New Roman" w:eastAsia="Times New Roman" w:cs="Times New Roman"/>
                <w:color w:val="000000"/>
                <w:sz w:val="20"/>
                <w:szCs w:val="20"/>
                <w:highlight w:val="none"/>
                <w:lang w:val="en-US" w:eastAsia="zh-CN" w:bidi="en-US"/>
              </w:rPr>
              <w:t>0.8</w:t>
            </w:r>
            <w:r>
              <w:rPr>
                <w:rFonts w:ascii="Times New Roman" w:hAnsi="Times New Roman" w:eastAsia="Times New Roman" w:cs="Times New Roman"/>
                <w:color w:val="000000"/>
                <w:sz w:val="20"/>
                <w:szCs w:val="20"/>
                <w:highlight w:val="none"/>
                <w:lang w:val="en-US" w:eastAsia="en-US" w:bidi="en-US"/>
              </w:rPr>
              <w:t>MPa</w:t>
            </w:r>
          </w:p>
        </w:tc>
      </w:tr>
      <w:tr>
        <w:tblPrEx>
          <w:tblCellMar>
            <w:top w:w="0" w:type="dxa"/>
            <w:left w:w="10" w:type="dxa"/>
            <w:bottom w:w="0" w:type="dxa"/>
            <w:right w:w="10" w:type="dxa"/>
          </w:tblCellMar>
        </w:tblPrEx>
        <w:trPr>
          <w:trHeight w:val="456" w:hRule="exact"/>
          <w:jc w:val="center"/>
        </w:trPr>
        <w:tc>
          <w:tcPr>
            <w:tcW w:w="1644" w:type="dxa"/>
            <w:gridSpan w:val="2"/>
            <w:tcBorders>
              <w:top w:val="single" w:color="auto" w:sz="4" w:space="0"/>
              <w:left w:val="single" w:color="auto" w:sz="4" w:space="0"/>
            </w:tcBorders>
            <w:shd w:val="clear" w:color="auto" w:fill="FFFFFF"/>
            <w:vAlign w:val="center"/>
          </w:tcPr>
          <w:p>
            <w:pPr>
              <w:widowControl w:val="0"/>
              <w:shd w:val="clear"/>
              <w:spacing w:before="0" w:after="0" w:afterAutospacing="0" w:line="240" w:lineRule="auto"/>
              <w:ind w:left="0" w:right="0" w:firstLine="380"/>
              <w:jc w:val="left"/>
              <w:rPr>
                <w:rFonts w:ascii="宋体" w:hAnsi="宋体" w:eastAsia="宋体" w:cs="宋体"/>
                <w:sz w:val="20"/>
                <w:szCs w:val="20"/>
                <w:highlight w:val="none"/>
                <w:lang w:val="zh-TW" w:eastAsia="zh-TW" w:bidi="zh-TW"/>
              </w:rPr>
            </w:pPr>
            <w:r>
              <w:rPr>
                <w:rFonts w:ascii="宋体" w:hAnsi="宋体" w:eastAsia="宋体" w:cs="宋体"/>
                <w:color w:val="000000"/>
                <w:sz w:val="20"/>
                <w:szCs w:val="20"/>
                <w:highlight w:val="none"/>
                <w:lang w:val="zh-TW" w:eastAsia="zh-TW" w:bidi="zh-TW"/>
              </w:rPr>
              <w:t>持续时间</w:t>
            </w:r>
          </w:p>
        </w:tc>
        <w:tc>
          <w:tcPr>
            <w:tcW w:w="3540" w:type="dxa"/>
            <w:gridSpan w:val="2"/>
            <w:tcBorders>
              <w:top w:val="single" w:color="auto" w:sz="4" w:space="0"/>
              <w:left w:val="single" w:color="auto" w:sz="4" w:space="0"/>
            </w:tcBorders>
            <w:shd w:val="clear" w:color="auto" w:fill="FFFFFF"/>
            <w:vAlign w:val="center"/>
          </w:tcPr>
          <w:p>
            <w:pPr>
              <w:widowControl w:val="0"/>
              <w:shd w:val="clear"/>
              <w:spacing w:before="0" w:after="0" w:afterAutospacing="0" w:line="240" w:lineRule="auto"/>
              <w:ind w:left="0" w:right="0" w:firstLine="0"/>
              <w:jc w:val="center"/>
              <w:rPr>
                <w:rFonts w:ascii="宋体" w:hAnsi="宋体" w:eastAsia="宋体" w:cs="宋体"/>
                <w:sz w:val="20"/>
                <w:szCs w:val="20"/>
                <w:highlight w:val="none"/>
                <w:lang w:val="zh-TW" w:eastAsia="zh-TW" w:bidi="zh-TW"/>
              </w:rPr>
            </w:pPr>
            <w:r>
              <w:rPr>
                <w:rFonts w:hint="eastAsia" w:ascii="Times New Roman" w:hAnsi="Times New Roman" w:eastAsia="宋体" w:cs="Times New Roman"/>
                <w:color w:val="000000"/>
                <w:sz w:val="20"/>
                <w:szCs w:val="20"/>
                <w:highlight w:val="none"/>
                <w:lang w:val="en-US" w:eastAsia="zh-CN" w:bidi="en-US"/>
              </w:rPr>
              <w:t>30</w:t>
            </w:r>
            <w:r>
              <w:rPr>
                <w:rFonts w:ascii="Times New Roman" w:hAnsi="Times New Roman" w:eastAsia="Times New Roman" w:cs="Times New Roman"/>
                <w:color w:val="000000"/>
                <w:sz w:val="20"/>
                <w:szCs w:val="20"/>
                <w:highlight w:val="none"/>
                <w:lang w:val="en-US" w:eastAsia="en-US" w:bidi="en-US"/>
              </w:rPr>
              <w:t>min</w:t>
            </w:r>
          </w:p>
        </w:tc>
        <w:tc>
          <w:tcPr>
            <w:tcW w:w="1620" w:type="dxa"/>
            <w:tcBorders>
              <w:top w:val="single" w:color="auto" w:sz="4" w:space="0"/>
              <w:left w:val="single" w:color="auto" w:sz="4" w:space="0"/>
            </w:tcBorders>
            <w:shd w:val="clear" w:color="auto" w:fill="FFFFFF"/>
            <w:vAlign w:val="center"/>
          </w:tcPr>
          <w:p>
            <w:pPr>
              <w:widowControl w:val="0"/>
              <w:shd w:val="clear"/>
              <w:spacing w:before="0" w:after="0" w:afterAutospacing="0" w:line="240" w:lineRule="auto"/>
              <w:ind w:left="0" w:right="0" w:firstLine="0"/>
              <w:jc w:val="center"/>
              <w:rPr>
                <w:rFonts w:ascii="宋体" w:hAnsi="宋体" w:eastAsia="宋体" w:cs="宋体"/>
                <w:sz w:val="20"/>
                <w:szCs w:val="20"/>
                <w:highlight w:val="none"/>
                <w:lang w:val="zh-TW" w:eastAsia="zh-TW" w:bidi="zh-TW"/>
              </w:rPr>
            </w:pPr>
            <w:r>
              <w:rPr>
                <w:rFonts w:ascii="宋体" w:hAnsi="宋体" w:eastAsia="宋体" w:cs="宋体"/>
                <w:color w:val="000000"/>
                <w:sz w:val="20"/>
                <w:szCs w:val="20"/>
                <w:highlight w:val="none"/>
                <w:lang w:val="zh-TW" w:eastAsia="zh-TW" w:bidi="zh-TW"/>
              </w:rPr>
              <w:t>允许压力降</w:t>
            </w:r>
          </w:p>
        </w:tc>
        <w:tc>
          <w:tcPr>
            <w:tcW w:w="2892" w:type="dxa"/>
            <w:tcBorders>
              <w:top w:val="single" w:color="auto" w:sz="4" w:space="0"/>
              <w:left w:val="single" w:color="auto" w:sz="4" w:space="0"/>
              <w:right w:val="single" w:color="auto" w:sz="4" w:space="0"/>
            </w:tcBorders>
            <w:shd w:val="clear" w:color="auto" w:fill="FFFFFF"/>
            <w:vAlign w:val="center"/>
          </w:tcPr>
          <w:p>
            <w:pPr>
              <w:widowControl w:val="0"/>
              <w:shd w:val="clear"/>
              <w:spacing w:before="0" w:after="0" w:afterAutospacing="0" w:line="240" w:lineRule="auto"/>
              <w:ind w:left="0" w:right="0" w:firstLine="0"/>
              <w:jc w:val="center"/>
              <w:rPr>
                <w:rFonts w:ascii="宋体" w:hAnsi="宋体" w:eastAsia="宋体" w:cs="宋体"/>
                <w:sz w:val="20"/>
                <w:szCs w:val="20"/>
                <w:highlight w:val="none"/>
                <w:lang w:val="zh-TW" w:eastAsia="zh-TW" w:bidi="zh-TW"/>
              </w:rPr>
            </w:pPr>
            <w:r>
              <w:rPr>
                <w:rFonts w:ascii="Times New Roman" w:hAnsi="Times New Roman" w:eastAsia="Times New Roman" w:cs="Times New Roman"/>
                <w:color w:val="000000"/>
                <w:sz w:val="20"/>
                <w:szCs w:val="20"/>
                <w:highlight w:val="none"/>
                <w:lang w:val="en-US" w:eastAsia="en-US" w:bidi="en-US"/>
              </w:rPr>
              <w:t>0</w:t>
            </w:r>
            <w:r>
              <w:rPr>
                <w:rFonts w:hint="eastAsia" w:ascii="Times New Roman" w:hAnsi="Times New Roman" w:eastAsia="宋体" w:cs="Times New Roman"/>
                <w:color w:val="000000"/>
                <w:sz w:val="20"/>
                <w:szCs w:val="20"/>
                <w:highlight w:val="none"/>
                <w:lang w:val="en-US" w:eastAsia="zh-CN" w:bidi="en-US"/>
              </w:rPr>
              <w:t>.05</w:t>
            </w:r>
            <w:r>
              <w:rPr>
                <w:rFonts w:ascii="Times New Roman" w:hAnsi="Times New Roman" w:eastAsia="Times New Roman" w:cs="Times New Roman"/>
                <w:color w:val="000000"/>
                <w:sz w:val="20"/>
                <w:szCs w:val="20"/>
                <w:highlight w:val="none"/>
                <w:lang w:val="en-US" w:eastAsia="en-US" w:bidi="en-US"/>
              </w:rPr>
              <w:t>MPa</w:t>
            </w:r>
          </w:p>
        </w:tc>
      </w:tr>
      <w:tr>
        <w:tblPrEx>
          <w:tblCellMar>
            <w:top w:w="0" w:type="dxa"/>
            <w:left w:w="10" w:type="dxa"/>
            <w:bottom w:w="0" w:type="dxa"/>
            <w:right w:w="10" w:type="dxa"/>
          </w:tblCellMar>
        </w:tblPrEx>
        <w:trPr>
          <w:trHeight w:val="456" w:hRule="exact"/>
          <w:jc w:val="center"/>
        </w:trPr>
        <w:tc>
          <w:tcPr>
            <w:tcW w:w="9696" w:type="dxa"/>
            <w:gridSpan w:val="6"/>
            <w:tcBorders>
              <w:top w:val="single" w:color="auto" w:sz="4" w:space="0"/>
              <w:left w:val="single" w:color="auto" w:sz="4" w:space="0"/>
              <w:right w:val="single" w:color="auto" w:sz="4" w:space="0"/>
            </w:tcBorders>
            <w:shd w:val="clear" w:color="auto" w:fill="FFFFFF"/>
            <w:vAlign w:val="center"/>
          </w:tcPr>
          <w:p>
            <w:pPr>
              <w:widowControl w:val="0"/>
              <w:shd w:val="clear"/>
              <w:spacing w:before="0" w:after="0" w:afterAutospacing="0" w:line="240" w:lineRule="auto"/>
              <w:ind w:left="0" w:right="0" w:firstLine="0"/>
              <w:jc w:val="center"/>
              <w:rPr>
                <w:rFonts w:ascii="Times New Roman" w:hAnsi="Times New Roman" w:eastAsia="Times New Roman" w:cs="Times New Roman"/>
                <w:sz w:val="20"/>
                <w:szCs w:val="20"/>
                <w:highlight w:val="none"/>
                <w:lang w:val="en-US" w:eastAsia="zh-CN" w:bidi="en-US"/>
              </w:rPr>
            </w:pPr>
            <w:r>
              <w:rPr>
                <w:rFonts w:ascii="宋体" w:hAnsi="宋体" w:eastAsia="宋体" w:cs="宋体"/>
                <w:color w:val="000000"/>
                <w:sz w:val="20"/>
                <w:szCs w:val="20"/>
                <w:highlight w:val="none"/>
                <w:lang w:val="zh-TW" w:eastAsia="zh-TW" w:bidi="zh-TW"/>
              </w:rPr>
              <w:t>自动喷水灭火系统</w:t>
            </w:r>
            <w:r>
              <w:rPr>
                <w:rFonts w:hint="eastAsia" w:ascii="宋体" w:hAnsi="宋体" w:eastAsia="宋体" w:cs="宋体"/>
                <w:color w:val="000000"/>
                <w:sz w:val="20"/>
                <w:szCs w:val="20"/>
                <w:highlight w:val="none"/>
                <w:lang w:val="zh-TW" w:eastAsia="zh-CN" w:bidi="zh-TW"/>
              </w:rPr>
              <w:t>管道严密性试验</w:t>
            </w:r>
          </w:p>
        </w:tc>
      </w:tr>
      <w:tr>
        <w:tblPrEx>
          <w:tblCellMar>
            <w:top w:w="0" w:type="dxa"/>
            <w:left w:w="10" w:type="dxa"/>
            <w:bottom w:w="0" w:type="dxa"/>
            <w:right w:w="10" w:type="dxa"/>
          </w:tblCellMar>
        </w:tblPrEx>
        <w:trPr>
          <w:trHeight w:val="456" w:hRule="exact"/>
          <w:jc w:val="center"/>
        </w:trPr>
        <w:tc>
          <w:tcPr>
            <w:tcW w:w="1644" w:type="dxa"/>
            <w:gridSpan w:val="2"/>
            <w:tcBorders>
              <w:top w:val="single" w:color="auto" w:sz="4" w:space="0"/>
              <w:left w:val="single" w:color="auto" w:sz="4" w:space="0"/>
            </w:tcBorders>
            <w:shd w:val="clear" w:color="auto" w:fill="FFFFFF"/>
            <w:vAlign w:val="center"/>
          </w:tcPr>
          <w:p>
            <w:pPr>
              <w:widowControl w:val="0"/>
              <w:shd w:val="clear"/>
              <w:spacing w:before="0" w:after="0" w:afterAutospacing="0" w:line="240" w:lineRule="auto"/>
              <w:ind w:left="0" w:right="0" w:firstLine="380"/>
              <w:jc w:val="left"/>
              <w:rPr>
                <w:rFonts w:ascii="宋体" w:hAnsi="宋体" w:eastAsia="宋体" w:cs="宋体"/>
                <w:sz w:val="20"/>
                <w:szCs w:val="20"/>
                <w:highlight w:val="none"/>
                <w:lang w:val="zh-TW" w:eastAsia="zh-TW" w:bidi="zh-TW"/>
              </w:rPr>
            </w:pPr>
            <w:r>
              <w:rPr>
                <w:rFonts w:ascii="宋体" w:hAnsi="宋体" w:eastAsia="宋体" w:cs="宋体"/>
                <w:color w:val="000000"/>
                <w:sz w:val="20"/>
                <w:szCs w:val="20"/>
                <w:highlight w:val="none"/>
                <w:lang w:val="zh-TW" w:eastAsia="zh-TW" w:bidi="zh-TW"/>
              </w:rPr>
              <w:t>试验压力</w:t>
            </w:r>
          </w:p>
        </w:tc>
        <w:tc>
          <w:tcPr>
            <w:tcW w:w="3540" w:type="dxa"/>
            <w:gridSpan w:val="2"/>
            <w:tcBorders>
              <w:top w:val="single" w:color="auto" w:sz="4" w:space="0"/>
              <w:left w:val="single" w:color="auto" w:sz="4" w:space="0"/>
            </w:tcBorders>
            <w:shd w:val="clear" w:color="auto" w:fill="FFFFFF"/>
            <w:vAlign w:val="center"/>
          </w:tcPr>
          <w:p>
            <w:pPr>
              <w:widowControl w:val="0"/>
              <w:shd w:val="clear"/>
              <w:spacing w:before="0" w:after="0" w:afterAutospacing="0" w:line="240" w:lineRule="auto"/>
              <w:ind w:left="0" w:right="0" w:firstLine="0"/>
              <w:jc w:val="center"/>
              <w:rPr>
                <w:rFonts w:ascii="Times New Roman" w:hAnsi="Times New Roman" w:eastAsia="宋体" w:cs="Times New Roman"/>
                <w:sz w:val="20"/>
                <w:szCs w:val="20"/>
                <w:highlight w:val="none"/>
                <w:lang w:val="en-US" w:eastAsia="zh-CN" w:bidi="en-US"/>
              </w:rPr>
            </w:pPr>
            <w:r>
              <w:rPr>
                <w:rFonts w:hint="eastAsia" w:ascii="Times New Roman" w:hAnsi="Times New Roman" w:eastAsia="宋体" w:cs="Times New Roman"/>
                <w:color w:val="000000"/>
                <w:sz w:val="20"/>
                <w:szCs w:val="20"/>
                <w:highlight w:val="none"/>
                <w:lang w:val="en-US" w:eastAsia="zh-CN" w:bidi="en-US"/>
              </w:rPr>
              <w:t>0.4MPa</w:t>
            </w:r>
          </w:p>
        </w:tc>
        <w:tc>
          <w:tcPr>
            <w:tcW w:w="1620" w:type="dxa"/>
            <w:tcBorders>
              <w:top w:val="single" w:color="auto" w:sz="4" w:space="0"/>
              <w:left w:val="single" w:color="auto" w:sz="4" w:space="0"/>
            </w:tcBorders>
            <w:shd w:val="clear" w:color="auto" w:fill="FFFFFF"/>
            <w:vAlign w:val="center"/>
          </w:tcPr>
          <w:p>
            <w:pPr>
              <w:widowControl w:val="0"/>
              <w:shd w:val="clear"/>
              <w:spacing w:before="0" w:after="0" w:afterAutospacing="0" w:line="240" w:lineRule="auto"/>
              <w:ind w:left="0" w:right="0" w:firstLine="0"/>
              <w:jc w:val="center"/>
              <w:rPr>
                <w:rFonts w:ascii="宋体" w:hAnsi="宋体" w:eastAsia="宋体" w:cs="宋体"/>
                <w:sz w:val="20"/>
                <w:szCs w:val="20"/>
                <w:highlight w:val="none"/>
                <w:lang w:val="zh-TW" w:eastAsia="zh-TW" w:bidi="zh-TW"/>
              </w:rPr>
            </w:pPr>
            <w:r>
              <w:rPr>
                <w:rFonts w:ascii="宋体" w:hAnsi="宋体" w:eastAsia="宋体" w:cs="宋体"/>
                <w:color w:val="000000"/>
                <w:sz w:val="20"/>
                <w:szCs w:val="20"/>
                <w:highlight w:val="none"/>
                <w:lang w:val="zh-TW" w:eastAsia="zh-TW" w:bidi="zh-TW"/>
              </w:rPr>
              <w:t>允许压力降</w:t>
            </w:r>
          </w:p>
        </w:tc>
        <w:tc>
          <w:tcPr>
            <w:tcW w:w="2892" w:type="dxa"/>
            <w:tcBorders>
              <w:top w:val="single" w:color="auto" w:sz="4" w:space="0"/>
              <w:left w:val="single" w:color="auto" w:sz="4" w:space="0"/>
              <w:right w:val="single" w:color="auto" w:sz="4" w:space="0"/>
            </w:tcBorders>
            <w:shd w:val="clear" w:color="auto" w:fill="FFFFFF"/>
            <w:vAlign w:val="center"/>
          </w:tcPr>
          <w:p>
            <w:pPr>
              <w:widowControl w:val="0"/>
              <w:shd w:val="clear"/>
              <w:spacing w:before="0" w:after="0" w:afterAutospacing="0" w:line="240" w:lineRule="auto"/>
              <w:ind w:left="0" w:right="0" w:firstLine="0"/>
              <w:jc w:val="center"/>
              <w:rPr>
                <w:rFonts w:ascii="Times New Roman" w:hAnsi="Times New Roman" w:eastAsia="Times New Roman" w:cs="Times New Roman"/>
                <w:sz w:val="20"/>
                <w:szCs w:val="20"/>
                <w:highlight w:val="none"/>
                <w:lang w:val="en-US" w:eastAsia="en-US" w:bidi="en-US"/>
              </w:rPr>
            </w:pPr>
            <w:r>
              <w:rPr>
                <w:rFonts w:ascii="Times New Roman" w:hAnsi="Times New Roman" w:eastAsia="Times New Roman" w:cs="Times New Roman"/>
                <w:color w:val="000000"/>
                <w:sz w:val="20"/>
                <w:szCs w:val="20"/>
                <w:highlight w:val="none"/>
                <w:lang w:val="en-US" w:eastAsia="en-US" w:bidi="en-US"/>
              </w:rPr>
              <w:t>0MPa</w:t>
            </w:r>
          </w:p>
        </w:tc>
      </w:tr>
      <w:tr>
        <w:tblPrEx>
          <w:tblCellMar>
            <w:top w:w="0" w:type="dxa"/>
            <w:left w:w="10" w:type="dxa"/>
            <w:bottom w:w="0" w:type="dxa"/>
            <w:right w:w="10" w:type="dxa"/>
          </w:tblCellMar>
        </w:tblPrEx>
        <w:trPr>
          <w:trHeight w:val="456" w:hRule="exact"/>
          <w:jc w:val="center"/>
        </w:trPr>
        <w:tc>
          <w:tcPr>
            <w:tcW w:w="1644" w:type="dxa"/>
            <w:gridSpan w:val="2"/>
            <w:tcBorders>
              <w:top w:val="single" w:color="auto" w:sz="4" w:space="0"/>
              <w:left w:val="single" w:color="auto" w:sz="4" w:space="0"/>
            </w:tcBorders>
            <w:shd w:val="clear" w:color="auto" w:fill="FFFFFF"/>
            <w:vAlign w:val="center"/>
          </w:tcPr>
          <w:p>
            <w:pPr>
              <w:widowControl w:val="0"/>
              <w:shd w:val="clear"/>
              <w:spacing w:before="0" w:after="0" w:afterAutospacing="0" w:line="240" w:lineRule="auto"/>
              <w:ind w:left="0" w:right="0" w:firstLine="380"/>
              <w:jc w:val="left"/>
              <w:rPr>
                <w:rFonts w:ascii="宋体" w:hAnsi="宋体" w:eastAsia="宋体" w:cs="宋体"/>
                <w:sz w:val="20"/>
                <w:szCs w:val="20"/>
                <w:highlight w:val="none"/>
                <w:lang w:val="zh-TW" w:eastAsia="zh-TW" w:bidi="zh-TW"/>
              </w:rPr>
            </w:pPr>
            <w:r>
              <w:rPr>
                <w:rFonts w:ascii="宋体" w:hAnsi="宋体" w:eastAsia="宋体" w:cs="宋体"/>
                <w:color w:val="000000"/>
                <w:sz w:val="20"/>
                <w:szCs w:val="20"/>
                <w:highlight w:val="none"/>
                <w:lang w:val="zh-TW" w:eastAsia="zh-TW" w:bidi="zh-TW"/>
              </w:rPr>
              <w:t>持续时间</w:t>
            </w:r>
          </w:p>
        </w:tc>
        <w:tc>
          <w:tcPr>
            <w:tcW w:w="3540" w:type="dxa"/>
            <w:gridSpan w:val="2"/>
            <w:tcBorders>
              <w:top w:val="single" w:color="auto" w:sz="4" w:space="0"/>
              <w:left w:val="single" w:color="auto" w:sz="4" w:space="0"/>
            </w:tcBorders>
            <w:shd w:val="clear" w:color="auto" w:fill="FFFFFF"/>
            <w:vAlign w:val="center"/>
          </w:tcPr>
          <w:p>
            <w:pPr>
              <w:widowControl w:val="0"/>
              <w:shd w:val="clear"/>
              <w:spacing w:before="0" w:after="0" w:afterAutospacing="0" w:line="240" w:lineRule="auto"/>
              <w:ind w:left="0" w:right="0" w:firstLine="0"/>
              <w:jc w:val="center"/>
              <w:rPr>
                <w:rFonts w:ascii="Times New Roman" w:hAnsi="Times New Roman" w:eastAsia="宋体" w:cs="Times New Roman"/>
                <w:sz w:val="20"/>
                <w:szCs w:val="20"/>
                <w:highlight w:val="none"/>
                <w:lang w:val="en-US" w:eastAsia="zh-CN" w:bidi="en-US"/>
              </w:rPr>
            </w:pPr>
            <w:r>
              <w:rPr>
                <w:rFonts w:hint="eastAsia" w:ascii="Times New Roman" w:hAnsi="Times New Roman" w:eastAsia="宋体" w:cs="Times New Roman"/>
                <w:color w:val="000000"/>
                <w:sz w:val="20"/>
                <w:szCs w:val="20"/>
                <w:highlight w:val="none"/>
                <w:lang w:val="en-US" w:eastAsia="zh-CN" w:bidi="en-US"/>
              </w:rPr>
              <w:t>24h</w:t>
            </w:r>
          </w:p>
        </w:tc>
        <w:tc>
          <w:tcPr>
            <w:tcW w:w="1620" w:type="dxa"/>
            <w:tcBorders>
              <w:top w:val="single" w:color="auto" w:sz="4" w:space="0"/>
              <w:left w:val="single" w:color="auto" w:sz="4" w:space="0"/>
            </w:tcBorders>
            <w:shd w:val="clear" w:color="auto" w:fill="FFFFFF"/>
            <w:vAlign w:val="center"/>
          </w:tcPr>
          <w:p>
            <w:pPr>
              <w:widowControl w:val="0"/>
              <w:shd w:val="clear"/>
              <w:spacing w:before="0" w:after="0" w:afterAutospacing="0" w:line="240" w:lineRule="auto"/>
              <w:ind w:left="0" w:right="0" w:firstLine="0"/>
              <w:jc w:val="center"/>
              <w:rPr>
                <w:rFonts w:ascii="宋体" w:hAnsi="宋体" w:eastAsia="宋体" w:cs="宋体"/>
                <w:sz w:val="20"/>
                <w:szCs w:val="20"/>
                <w:highlight w:val="none"/>
                <w:lang w:val="en-US" w:eastAsia="zh-CN" w:bidi="zh-TW"/>
              </w:rPr>
            </w:pPr>
            <w:r>
              <w:rPr>
                <w:rFonts w:hint="eastAsia" w:ascii="宋体" w:hAnsi="宋体" w:eastAsia="宋体" w:cs="宋体"/>
                <w:color w:val="000000"/>
                <w:sz w:val="20"/>
                <w:szCs w:val="20"/>
                <w:highlight w:val="none"/>
                <w:lang w:val="en-US" w:eastAsia="zh-CN" w:bidi="zh-TW"/>
              </w:rPr>
              <w:t>/</w:t>
            </w:r>
          </w:p>
        </w:tc>
        <w:tc>
          <w:tcPr>
            <w:tcW w:w="2892" w:type="dxa"/>
            <w:tcBorders>
              <w:top w:val="single" w:color="auto" w:sz="4" w:space="0"/>
              <w:left w:val="single" w:color="auto" w:sz="4" w:space="0"/>
              <w:right w:val="single" w:color="auto" w:sz="4" w:space="0"/>
            </w:tcBorders>
            <w:shd w:val="clear" w:color="auto" w:fill="FFFFFF"/>
            <w:vAlign w:val="center"/>
          </w:tcPr>
          <w:p>
            <w:pPr>
              <w:widowControl w:val="0"/>
              <w:shd w:val="clear"/>
              <w:spacing w:before="0" w:after="0" w:afterAutospacing="0" w:line="240" w:lineRule="auto"/>
              <w:ind w:left="0" w:right="0" w:firstLine="0"/>
              <w:jc w:val="center"/>
              <w:rPr>
                <w:rFonts w:ascii="Times New Roman" w:hAnsi="Times New Roman" w:eastAsia="宋体" w:cs="Times New Roman"/>
                <w:sz w:val="20"/>
                <w:szCs w:val="20"/>
                <w:highlight w:val="none"/>
                <w:lang w:val="en-US" w:eastAsia="zh-CN" w:bidi="en-US"/>
              </w:rPr>
            </w:pPr>
            <w:r>
              <w:rPr>
                <w:rFonts w:hint="eastAsia" w:ascii="Times New Roman" w:hAnsi="Times New Roman" w:eastAsia="宋体" w:cs="Times New Roman"/>
                <w:color w:val="000000"/>
                <w:sz w:val="20"/>
                <w:szCs w:val="20"/>
                <w:highlight w:val="none"/>
                <w:lang w:val="en-US" w:eastAsia="zh-CN" w:bidi="en-US"/>
              </w:rPr>
              <w:t>/</w:t>
            </w:r>
          </w:p>
        </w:tc>
      </w:tr>
      <w:tr>
        <w:tblPrEx>
          <w:tblCellMar>
            <w:top w:w="0" w:type="dxa"/>
            <w:left w:w="10" w:type="dxa"/>
            <w:bottom w:w="0" w:type="dxa"/>
            <w:right w:w="10" w:type="dxa"/>
          </w:tblCellMar>
        </w:tblPrEx>
        <w:trPr>
          <w:trHeight w:val="1539" w:hRule="exact"/>
          <w:jc w:val="center"/>
        </w:trPr>
        <w:tc>
          <w:tcPr>
            <w:tcW w:w="636" w:type="dxa"/>
            <w:tcBorders>
              <w:top w:val="single" w:color="auto" w:sz="4" w:space="0"/>
              <w:left w:val="single" w:color="auto" w:sz="4" w:space="0"/>
            </w:tcBorders>
            <w:shd w:val="clear" w:color="auto" w:fill="FFFFFF"/>
            <w:vAlign w:val="center"/>
          </w:tcPr>
          <w:p>
            <w:pPr>
              <w:widowControl w:val="0"/>
              <w:shd w:val="clear"/>
              <w:spacing w:before="0" w:after="320" w:afterAutospacing="0" w:line="240" w:lineRule="auto"/>
              <w:ind w:left="200" w:right="0" w:firstLine="0"/>
              <w:jc w:val="both"/>
              <w:rPr>
                <w:rFonts w:ascii="宋体" w:hAnsi="宋体" w:eastAsia="宋体" w:cs="宋体"/>
                <w:sz w:val="16"/>
                <w:szCs w:val="16"/>
                <w:highlight w:val="none"/>
                <w:lang w:val="en-US" w:eastAsia="zh-CN" w:bidi="zh-TW"/>
              </w:rPr>
            </w:pPr>
            <w:r>
              <w:rPr>
                <w:rFonts w:ascii="宋体" w:hAnsi="宋体" w:eastAsia="宋体" w:cs="宋体"/>
                <w:color w:val="000000"/>
                <w:sz w:val="20"/>
                <w:szCs w:val="20"/>
                <w:highlight w:val="none"/>
                <w:lang w:val="zh-TW" w:eastAsia="zh-TW" w:bidi="zh-TW"/>
              </w:rPr>
              <w:t xml:space="preserve">试 验 </w:t>
            </w:r>
            <w:r>
              <w:rPr>
                <w:rFonts w:hint="eastAsia" w:ascii="宋体" w:hAnsi="宋体" w:eastAsia="宋体" w:cs="宋体"/>
                <w:color w:val="000000"/>
                <w:sz w:val="20"/>
                <w:szCs w:val="20"/>
                <w:highlight w:val="none"/>
                <w:lang w:val="zh-TW" w:eastAsia="zh-CN" w:bidi="zh-TW"/>
              </w:rPr>
              <w:t>过</w:t>
            </w:r>
            <w:r>
              <w:rPr>
                <w:rFonts w:hint="eastAsia" w:ascii="宋体" w:hAnsi="宋体" w:eastAsia="宋体" w:cs="宋体"/>
                <w:color w:val="000000"/>
                <w:sz w:val="20"/>
                <w:szCs w:val="20"/>
                <w:highlight w:val="none"/>
                <w:lang w:val="en-US" w:eastAsia="zh-CN" w:bidi="zh-TW"/>
              </w:rPr>
              <w:t xml:space="preserve"> </w:t>
            </w:r>
            <w:r>
              <w:rPr>
                <w:rFonts w:hint="eastAsia" w:ascii="宋体" w:hAnsi="宋体" w:eastAsia="宋体" w:cs="宋体"/>
                <w:color w:val="000000"/>
                <w:sz w:val="20"/>
                <w:szCs w:val="20"/>
                <w:highlight w:val="none"/>
                <w:lang w:val="zh-TW" w:eastAsia="zh-CN" w:bidi="zh-TW"/>
              </w:rPr>
              <w:t>程</w:t>
            </w:r>
          </w:p>
        </w:tc>
        <w:tc>
          <w:tcPr>
            <w:tcW w:w="9060" w:type="dxa"/>
            <w:gridSpan w:val="5"/>
            <w:tcBorders>
              <w:top w:val="single" w:color="auto" w:sz="4" w:space="0"/>
              <w:left w:val="single" w:color="auto" w:sz="4" w:space="0"/>
              <w:right w:val="single" w:color="auto" w:sz="4" w:space="0"/>
            </w:tcBorders>
            <w:shd w:val="clear" w:color="auto" w:fill="FFFFFF"/>
            <w:vAlign w:val="center"/>
          </w:tcPr>
          <w:p>
            <w:pPr>
              <w:widowControl w:val="0"/>
              <w:shd w:val="clear"/>
              <w:spacing w:before="0" w:after="0" w:afterAutospacing="0" w:line="468" w:lineRule="exact"/>
              <w:ind w:left="200" w:right="0" w:firstLine="360"/>
              <w:jc w:val="both"/>
              <w:rPr>
                <w:rFonts w:ascii="宋体" w:hAnsi="宋体" w:eastAsia="宋体" w:cs="宋体"/>
                <w:sz w:val="20"/>
                <w:szCs w:val="20"/>
                <w:highlight w:val="none"/>
                <w:lang w:val="zh-TW" w:eastAsia="zh-TW" w:bidi="zh-TW"/>
              </w:rPr>
            </w:pPr>
          </w:p>
        </w:tc>
      </w:tr>
      <w:tr>
        <w:tblPrEx>
          <w:tblCellMar>
            <w:top w:w="0" w:type="dxa"/>
            <w:left w:w="10" w:type="dxa"/>
            <w:bottom w:w="0" w:type="dxa"/>
            <w:right w:w="10" w:type="dxa"/>
          </w:tblCellMar>
        </w:tblPrEx>
        <w:trPr>
          <w:trHeight w:val="1487" w:hRule="exact"/>
          <w:jc w:val="center"/>
        </w:trPr>
        <w:tc>
          <w:tcPr>
            <w:tcW w:w="636" w:type="dxa"/>
            <w:tcBorders>
              <w:top w:val="single" w:color="auto" w:sz="4" w:space="0"/>
              <w:left w:val="single" w:color="auto" w:sz="4" w:space="0"/>
            </w:tcBorders>
            <w:shd w:val="clear" w:color="auto" w:fill="FFFFFF"/>
            <w:vAlign w:val="center"/>
          </w:tcPr>
          <w:p>
            <w:pPr>
              <w:widowControl w:val="0"/>
              <w:shd w:val="clear"/>
              <w:spacing w:before="0" w:after="0" w:afterAutospacing="0" w:line="276" w:lineRule="exact"/>
              <w:ind w:left="200" w:right="0" w:firstLine="0"/>
              <w:jc w:val="both"/>
              <w:rPr>
                <w:rFonts w:ascii="宋体" w:hAnsi="宋体" w:eastAsia="宋体" w:cs="宋体"/>
                <w:sz w:val="20"/>
                <w:szCs w:val="20"/>
                <w:highlight w:val="none"/>
                <w:lang w:val="zh-TW" w:eastAsia="zh-TW" w:bidi="zh-TW"/>
              </w:rPr>
            </w:pPr>
            <w:r>
              <w:rPr>
                <w:rFonts w:ascii="宋体" w:hAnsi="宋体" w:eastAsia="宋体" w:cs="宋体"/>
                <w:color w:val="000000"/>
                <w:sz w:val="20"/>
                <w:szCs w:val="20"/>
                <w:highlight w:val="none"/>
                <w:lang w:val="zh-TW" w:eastAsia="zh-TW" w:bidi="zh-TW"/>
              </w:rPr>
              <w:t>试 验 结 论</w:t>
            </w:r>
          </w:p>
        </w:tc>
        <w:tc>
          <w:tcPr>
            <w:tcW w:w="9060" w:type="dxa"/>
            <w:gridSpan w:val="5"/>
            <w:tcBorders>
              <w:top w:val="single" w:color="auto" w:sz="4" w:space="0"/>
              <w:left w:val="single" w:color="auto" w:sz="4" w:space="0"/>
              <w:right w:val="single" w:color="auto" w:sz="4" w:space="0"/>
            </w:tcBorders>
            <w:shd w:val="clear" w:color="auto" w:fill="FFFFFF"/>
            <w:vAlign w:val="center"/>
          </w:tcPr>
          <w:p>
            <w:pPr>
              <w:widowControl w:val="0"/>
              <w:shd w:val="clear"/>
              <w:spacing w:before="0" w:after="0" w:afterAutospacing="0" w:line="240" w:lineRule="auto"/>
              <w:ind w:left="0" w:right="0" w:firstLine="0"/>
              <w:jc w:val="center"/>
              <w:rPr>
                <w:rFonts w:ascii="宋体" w:hAnsi="宋体" w:eastAsia="宋体" w:cs="宋体"/>
                <w:sz w:val="20"/>
                <w:szCs w:val="20"/>
                <w:highlight w:val="none"/>
                <w:lang w:val="zh-TW" w:eastAsia="zh-TW" w:bidi="zh-TW"/>
              </w:rPr>
            </w:pPr>
          </w:p>
        </w:tc>
      </w:tr>
      <w:tr>
        <w:tblPrEx>
          <w:tblCellMar>
            <w:top w:w="0" w:type="dxa"/>
            <w:left w:w="10" w:type="dxa"/>
            <w:bottom w:w="0" w:type="dxa"/>
            <w:right w:w="10" w:type="dxa"/>
          </w:tblCellMar>
        </w:tblPrEx>
        <w:trPr>
          <w:trHeight w:val="2508" w:hRule="exact"/>
          <w:jc w:val="center"/>
        </w:trPr>
        <w:tc>
          <w:tcPr>
            <w:tcW w:w="636" w:type="dxa"/>
            <w:tcBorders>
              <w:top w:val="single" w:color="auto" w:sz="4" w:space="0"/>
              <w:left w:val="single" w:color="auto" w:sz="4" w:space="0"/>
              <w:bottom w:val="single" w:color="auto" w:sz="4" w:space="0"/>
            </w:tcBorders>
            <w:shd w:val="clear" w:color="auto" w:fill="FFFFFF"/>
            <w:vAlign w:val="center"/>
          </w:tcPr>
          <w:p>
            <w:pPr>
              <w:widowControl w:val="0"/>
              <w:shd w:val="clear"/>
              <w:spacing w:before="0" w:after="300" w:afterAutospacing="0" w:line="240" w:lineRule="auto"/>
              <w:ind w:left="0" w:right="0" w:firstLine="200"/>
              <w:jc w:val="left"/>
              <w:rPr>
                <w:rFonts w:ascii="宋体" w:hAnsi="宋体" w:eastAsia="宋体" w:cs="宋体"/>
                <w:sz w:val="20"/>
                <w:szCs w:val="20"/>
                <w:highlight w:val="none"/>
                <w:lang w:val="zh-TW" w:eastAsia="zh-TW" w:bidi="zh-TW"/>
              </w:rPr>
            </w:pPr>
            <w:r>
              <w:rPr>
                <w:rFonts w:ascii="宋体" w:hAnsi="宋体" w:eastAsia="宋体" w:cs="宋体"/>
                <w:color w:val="000000"/>
                <w:sz w:val="20"/>
                <w:szCs w:val="20"/>
                <w:highlight w:val="none"/>
                <w:lang w:val="zh-TW" w:eastAsia="zh-TW" w:bidi="zh-TW"/>
              </w:rPr>
              <w:t>验</w:t>
            </w:r>
          </w:p>
          <w:p>
            <w:pPr>
              <w:widowControl w:val="0"/>
              <w:shd w:val="clear"/>
              <w:spacing w:before="0" w:after="300" w:afterAutospacing="0" w:line="240" w:lineRule="auto"/>
              <w:ind w:left="0" w:right="0" w:firstLine="200"/>
              <w:jc w:val="left"/>
              <w:rPr>
                <w:rFonts w:ascii="宋体" w:hAnsi="宋体" w:eastAsia="宋体" w:cs="宋体"/>
                <w:sz w:val="20"/>
                <w:szCs w:val="20"/>
                <w:highlight w:val="none"/>
                <w:lang w:val="zh-TW" w:eastAsia="zh-TW" w:bidi="zh-TW"/>
              </w:rPr>
            </w:pPr>
            <w:r>
              <w:rPr>
                <w:rFonts w:ascii="宋体" w:hAnsi="宋体" w:eastAsia="宋体" w:cs="宋体"/>
                <w:color w:val="000000"/>
                <w:sz w:val="20"/>
                <w:szCs w:val="20"/>
                <w:highlight w:val="none"/>
                <w:lang w:val="zh-TW" w:eastAsia="zh-TW" w:bidi="zh-TW"/>
              </w:rPr>
              <w:t>收</w:t>
            </w:r>
          </w:p>
          <w:p>
            <w:pPr>
              <w:widowControl w:val="0"/>
              <w:shd w:val="clear"/>
              <w:spacing w:before="0" w:after="300" w:afterAutospacing="0" w:line="240" w:lineRule="auto"/>
              <w:ind w:left="0" w:right="0" w:firstLine="200"/>
              <w:jc w:val="left"/>
              <w:rPr>
                <w:rFonts w:ascii="宋体" w:hAnsi="宋体" w:eastAsia="宋体" w:cs="宋体"/>
                <w:sz w:val="20"/>
                <w:szCs w:val="20"/>
                <w:highlight w:val="none"/>
                <w:lang w:val="zh-TW" w:eastAsia="zh-TW" w:bidi="zh-TW"/>
              </w:rPr>
            </w:pPr>
            <w:r>
              <w:rPr>
                <w:rFonts w:ascii="宋体" w:hAnsi="宋体" w:eastAsia="宋体" w:cs="宋体"/>
                <w:color w:val="000000"/>
                <w:sz w:val="20"/>
                <w:szCs w:val="20"/>
                <w:highlight w:val="none"/>
                <w:lang w:val="zh-TW" w:eastAsia="zh-TW" w:bidi="zh-TW"/>
              </w:rPr>
              <w:t>结</w:t>
            </w:r>
          </w:p>
          <w:p>
            <w:pPr>
              <w:widowControl w:val="0"/>
              <w:shd w:val="clear"/>
              <w:spacing w:before="0" w:after="300" w:afterAutospacing="0" w:line="240" w:lineRule="auto"/>
              <w:ind w:left="0" w:right="0" w:firstLine="200"/>
              <w:jc w:val="left"/>
              <w:rPr>
                <w:rFonts w:ascii="宋体" w:hAnsi="宋体" w:eastAsia="宋体" w:cs="宋体"/>
                <w:sz w:val="20"/>
                <w:szCs w:val="20"/>
                <w:highlight w:val="none"/>
                <w:lang w:val="zh-TW" w:eastAsia="zh-TW" w:bidi="zh-TW"/>
              </w:rPr>
            </w:pPr>
            <w:r>
              <w:rPr>
                <w:rFonts w:ascii="宋体" w:hAnsi="宋体" w:eastAsia="宋体" w:cs="宋体"/>
                <w:color w:val="000000"/>
                <w:sz w:val="20"/>
                <w:szCs w:val="20"/>
                <w:highlight w:val="none"/>
                <w:lang w:val="zh-TW" w:eastAsia="zh-TW" w:bidi="zh-TW"/>
              </w:rPr>
              <w:t>论</w:t>
            </w:r>
          </w:p>
        </w:tc>
        <w:tc>
          <w:tcPr>
            <w:tcW w:w="4128" w:type="dxa"/>
            <w:gridSpan w:val="2"/>
            <w:tcBorders>
              <w:top w:val="single" w:color="auto" w:sz="4" w:space="0"/>
              <w:left w:val="single" w:color="auto" w:sz="4" w:space="0"/>
              <w:bottom w:val="single" w:color="auto" w:sz="4" w:space="0"/>
            </w:tcBorders>
            <w:shd w:val="clear" w:color="auto" w:fill="FFFFFF"/>
            <w:vAlign w:val="bottom"/>
          </w:tcPr>
          <w:p>
            <w:pPr>
              <w:widowControl w:val="0"/>
              <w:shd w:val="clear"/>
              <w:spacing w:before="0" w:after="40" w:afterAutospacing="0" w:line="240" w:lineRule="auto"/>
              <w:ind w:left="0" w:right="0" w:firstLine="200" w:firstLineChars="100"/>
              <w:jc w:val="left"/>
              <w:rPr>
                <w:rFonts w:ascii="宋体" w:hAnsi="宋体" w:eastAsia="宋体" w:cs="宋体"/>
                <w:sz w:val="20"/>
                <w:szCs w:val="20"/>
                <w:highlight w:val="none"/>
                <w:lang w:val="zh-TW" w:eastAsia="zh-CN" w:bidi="zh-TW"/>
              </w:rPr>
            </w:pPr>
            <w:r>
              <w:rPr>
                <w:rFonts w:ascii="宋体" w:hAnsi="宋体" w:eastAsia="宋体" w:cs="宋体"/>
                <w:color w:val="000000"/>
                <w:sz w:val="20"/>
                <w:szCs w:val="20"/>
                <w:highlight w:val="none"/>
                <w:lang w:val="zh-TW" w:eastAsia="zh-TW" w:bidi="zh-TW"/>
              </w:rPr>
              <w:t>施工单位</w:t>
            </w:r>
            <w:r>
              <w:rPr>
                <w:rFonts w:hint="eastAsia" w:ascii="宋体" w:hAnsi="宋体" w:eastAsia="宋体" w:cs="宋体"/>
                <w:color w:val="000000"/>
                <w:sz w:val="20"/>
                <w:szCs w:val="20"/>
                <w:highlight w:val="none"/>
                <w:lang w:val="zh-TW" w:eastAsia="zh-CN" w:bidi="zh-TW"/>
              </w:rPr>
              <w:t>：</w:t>
            </w:r>
            <w:r>
              <w:rPr>
                <w:rFonts w:ascii="宋体" w:hAnsi="宋体" w:eastAsia="宋体" w:cs="宋体"/>
                <w:sz w:val="20"/>
                <w:szCs w:val="20"/>
                <w:highlight w:val="none"/>
                <w:lang w:val="zh-TW" w:eastAsia="zh-CN" w:bidi="zh-TW"/>
              </w:rPr>
              <w:t xml:space="preserve"> </w:t>
            </w:r>
          </w:p>
          <w:p>
            <w:pPr>
              <w:widowControl w:val="0"/>
              <w:shd w:val="clear"/>
              <w:spacing w:before="0" w:after="40" w:afterAutospacing="0" w:line="240" w:lineRule="auto"/>
              <w:ind w:left="0" w:right="0" w:firstLine="0"/>
              <w:jc w:val="left"/>
              <w:rPr>
                <w:rFonts w:ascii="宋体" w:hAnsi="宋体" w:eastAsia="宋体" w:cs="宋体"/>
                <w:sz w:val="20"/>
                <w:szCs w:val="20"/>
                <w:highlight w:val="none"/>
                <w:lang w:val="zh-TW" w:eastAsia="zh-TW" w:bidi="zh-TW"/>
              </w:rPr>
            </w:pPr>
          </w:p>
          <w:p>
            <w:pPr>
              <w:widowControl w:val="0"/>
              <w:shd w:val="clear"/>
              <w:spacing w:before="0" w:after="260" w:afterAutospacing="0" w:line="240" w:lineRule="auto"/>
              <w:ind w:left="0" w:right="0" w:firstLine="200" w:firstLineChars="100"/>
              <w:jc w:val="left"/>
              <w:rPr>
                <w:rFonts w:ascii="宋体" w:hAnsi="宋体" w:eastAsia="宋体" w:cs="宋体"/>
                <w:sz w:val="20"/>
                <w:szCs w:val="20"/>
                <w:highlight w:val="none"/>
                <w:lang w:val="zh-TW" w:eastAsia="zh-TW" w:bidi="zh-TW"/>
              </w:rPr>
            </w:pPr>
            <w:r>
              <w:rPr>
                <w:rFonts w:ascii="宋体" w:hAnsi="宋体" w:eastAsia="宋体" w:cs="宋体"/>
                <w:color w:val="000000"/>
                <w:sz w:val="20"/>
                <w:szCs w:val="20"/>
                <w:highlight w:val="none"/>
                <w:lang w:val="zh-TW" w:eastAsia="zh-TW" w:bidi="zh-TW"/>
              </w:rPr>
              <w:t>项目专业质量检査员（签章）：</w:t>
            </w:r>
          </w:p>
          <w:p>
            <w:pPr>
              <w:widowControl w:val="0"/>
              <w:shd w:val="clear"/>
              <w:spacing w:before="0" w:after="220" w:afterAutospacing="0" w:line="240" w:lineRule="auto"/>
              <w:ind w:left="0" w:right="0" w:firstLine="200" w:firstLineChars="100"/>
              <w:jc w:val="left"/>
              <w:rPr>
                <w:rFonts w:ascii="宋体" w:hAnsi="宋体" w:eastAsia="宋体" w:cs="宋体"/>
                <w:sz w:val="20"/>
                <w:szCs w:val="20"/>
                <w:highlight w:val="none"/>
                <w:lang w:val="zh-TW" w:eastAsia="zh-TW" w:bidi="zh-TW"/>
              </w:rPr>
            </w:pPr>
            <w:r>
              <w:rPr>
                <w:rFonts w:ascii="宋体" w:hAnsi="宋体" w:eastAsia="宋体" w:cs="宋体"/>
                <w:color w:val="000000"/>
                <w:sz w:val="20"/>
                <w:szCs w:val="20"/>
                <w:highlight w:val="none"/>
                <w:lang w:val="zh-TW" w:eastAsia="zh-TW" w:bidi="zh-TW"/>
              </w:rPr>
              <w:t>项目专业技术负责人（签章）：</w:t>
            </w:r>
          </w:p>
          <w:p>
            <w:pPr>
              <w:widowControl w:val="0"/>
              <w:shd w:val="clear"/>
              <w:spacing w:before="0" w:after="220" w:afterAutospacing="0" w:line="240" w:lineRule="auto"/>
              <w:ind w:left="2520" w:right="0" w:firstLine="0"/>
              <w:jc w:val="left"/>
              <w:rPr>
                <w:rFonts w:ascii="宋体" w:hAnsi="宋体" w:eastAsia="宋体" w:cs="宋体"/>
                <w:sz w:val="20"/>
                <w:szCs w:val="20"/>
                <w:highlight w:val="none"/>
                <w:lang w:val="zh-TW" w:eastAsia="zh-TW" w:bidi="zh-TW"/>
              </w:rPr>
            </w:pPr>
            <w:r>
              <w:rPr>
                <w:rFonts w:ascii="宋体" w:hAnsi="宋体" w:eastAsia="宋体" w:cs="宋体"/>
                <w:color w:val="000000"/>
                <w:sz w:val="20"/>
                <w:szCs w:val="20"/>
                <w:highlight w:val="none"/>
                <w:lang w:val="zh-TW" w:eastAsia="zh-TW" w:bidi="zh-TW"/>
              </w:rPr>
              <w:t>年</w:t>
            </w:r>
            <w:r>
              <w:rPr>
                <w:rFonts w:hint="eastAsia" w:ascii="宋体" w:hAnsi="宋体" w:eastAsia="宋体" w:cs="宋体"/>
                <w:color w:val="000000"/>
                <w:sz w:val="20"/>
                <w:szCs w:val="20"/>
                <w:highlight w:val="none"/>
                <w:lang w:val="en-US" w:eastAsia="zh-CN" w:bidi="zh-TW"/>
              </w:rPr>
              <w:t xml:space="preserve">  </w:t>
            </w:r>
            <w:r>
              <w:rPr>
                <w:rFonts w:ascii="宋体" w:hAnsi="宋体" w:eastAsia="宋体" w:cs="宋体"/>
                <w:color w:val="000000"/>
                <w:sz w:val="20"/>
                <w:szCs w:val="20"/>
                <w:highlight w:val="none"/>
                <w:lang w:val="zh-TW" w:eastAsia="zh-TW" w:bidi="zh-TW"/>
              </w:rPr>
              <w:t xml:space="preserve"> 月 </w:t>
            </w:r>
            <w:r>
              <w:rPr>
                <w:rFonts w:hint="eastAsia" w:ascii="宋体" w:hAnsi="宋体" w:eastAsia="宋体" w:cs="宋体"/>
                <w:color w:val="000000"/>
                <w:sz w:val="20"/>
                <w:szCs w:val="20"/>
                <w:highlight w:val="none"/>
                <w:lang w:val="en-US" w:eastAsia="zh-CN" w:bidi="zh-TW"/>
              </w:rPr>
              <w:t xml:space="preserve">  </w:t>
            </w:r>
            <w:r>
              <w:rPr>
                <w:rFonts w:ascii="宋体" w:hAnsi="宋体" w:eastAsia="宋体" w:cs="宋体"/>
                <w:color w:val="000000"/>
                <w:sz w:val="20"/>
                <w:szCs w:val="20"/>
                <w:highlight w:val="none"/>
                <w:lang w:val="zh-TW" w:eastAsia="zh-TW" w:bidi="zh-TW"/>
              </w:rPr>
              <w:t>日</w:t>
            </w:r>
          </w:p>
        </w:tc>
        <w:tc>
          <w:tcPr>
            <w:tcW w:w="4932" w:type="dxa"/>
            <w:gridSpan w:val="3"/>
            <w:tcBorders>
              <w:top w:val="single" w:color="auto" w:sz="4" w:space="0"/>
              <w:left w:val="single" w:color="auto" w:sz="4" w:space="0"/>
              <w:bottom w:val="single" w:color="auto" w:sz="4" w:space="0"/>
              <w:right w:val="single" w:color="auto" w:sz="4" w:space="0"/>
            </w:tcBorders>
            <w:shd w:val="clear" w:color="auto" w:fill="FFFFFF"/>
            <w:vAlign w:val="bottom"/>
          </w:tcPr>
          <w:p>
            <w:pPr>
              <w:widowControl w:val="0"/>
              <w:shd w:val="clear"/>
              <w:spacing w:before="0" w:after="60" w:afterAutospacing="0" w:line="240" w:lineRule="auto"/>
              <w:ind w:left="0" w:right="0" w:firstLine="0"/>
              <w:jc w:val="left"/>
              <w:rPr>
                <w:rFonts w:ascii="宋体" w:hAnsi="宋体" w:eastAsia="宋体" w:cs="宋体"/>
                <w:sz w:val="20"/>
                <w:szCs w:val="20"/>
                <w:highlight w:val="none"/>
                <w:lang w:val="zh-TW" w:eastAsia="zh-TW" w:bidi="zh-TW"/>
              </w:rPr>
            </w:pPr>
            <w:r>
              <w:rPr>
                <w:rFonts w:hint="eastAsia" w:ascii="宋体" w:hAnsi="宋体" w:eastAsia="宋体" w:cs="宋体"/>
                <w:color w:val="000000"/>
                <w:sz w:val="20"/>
                <w:szCs w:val="20"/>
                <w:highlight w:val="none"/>
                <w:lang w:val="en-US" w:eastAsia="zh-CN" w:bidi="zh-TW"/>
              </w:rPr>
              <w:t>建设单位项目专业技术负责人</w:t>
            </w:r>
            <w:r>
              <w:rPr>
                <w:rFonts w:ascii="宋体" w:hAnsi="宋体" w:eastAsia="宋体" w:cs="宋体"/>
                <w:color w:val="000000"/>
                <w:sz w:val="20"/>
                <w:szCs w:val="20"/>
                <w:highlight w:val="none"/>
                <w:lang w:val="zh-TW" w:eastAsia="zh-TW" w:bidi="zh-TW"/>
              </w:rPr>
              <w:t>：</w:t>
            </w:r>
          </w:p>
          <w:p>
            <w:pPr>
              <w:widowControl w:val="0"/>
              <w:shd w:val="clear"/>
              <w:spacing w:before="0" w:after="660" w:afterAutospacing="0" w:line="240" w:lineRule="auto"/>
              <w:ind w:left="0" w:right="0" w:firstLine="0"/>
              <w:jc w:val="left"/>
              <w:rPr>
                <w:rFonts w:ascii="宋体" w:hAnsi="宋体" w:eastAsia="宋体" w:cs="宋体"/>
                <w:sz w:val="20"/>
                <w:szCs w:val="20"/>
                <w:highlight w:val="none"/>
                <w:lang w:val="zh-TW" w:eastAsia="zh-TW" w:bidi="zh-TW"/>
              </w:rPr>
            </w:pPr>
          </w:p>
          <w:p>
            <w:pPr>
              <w:widowControl w:val="0"/>
              <w:shd w:val="clear"/>
              <w:spacing w:before="0" w:after="360" w:afterAutospacing="0" w:line="240" w:lineRule="auto"/>
              <w:ind w:left="0" w:right="140" w:firstLine="0"/>
              <w:jc w:val="right"/>
              <w:rPr>
                <w:rFonts w:ascii="宋体" w:hAnsi="宋体" w:eastAsia="宋体" w:cs="宋体"/>
                <w:sz w:val="20"/>
                <w:szCs w:val="20"/>
                <w:highlight w:val="none"/>
                <w:lang w:val="zh-TW" w:eastAsia="zh-TW" w:bidi="zh-TW"/>
              </w:rPr>
            </w:pPr>
            <w:r>
              <w:rPr>
                <w:rFonts w:ascii="宋体" w:hAnsi="宋体" w:eastAsia="宋体" w:cs="宋体"/>
                <w:color w:val="000000"/>
                <w:sz w:val="20"/>
                <w:szCs w:val="20"/>
                <w:highlight w:val="none"/>
                <w:lang w:val="zh-TW" w:eastAsia="zh-TW" w:bidi="zh-TW"/>
              </w:rPr>
              <w:t>年</w:t>
            </w:r>
            <w:r>
              <w:rPr>
                <w:rFonts w:hint="eastAsia" w:ascii="宋体" w:hAnsi="宋体" w:eastAsia="宋体" w:cs="宋体"/>
                <w:color w:val="000000"/>
                <w:sz w:val="20"/>
                <w:szCs w:val="20"/>
                <w:highlight w:val="none"/>
                <w:lang w:val="en-US" w:eastAsia="zh-CN" w:bidi="zh-TW"/>
              </w:rPr>
              <w:t xml:space="preserve">  </w:t>
            </w:r>
            <w:r>
              <w:rPr>
                <w:rFonts w:ascii="宋体" w:hAnsi="宋体" w:eastAsia="宋体" w:cs="宋体"/>
                <w:color w:val="000000"/>
                <w:sz w:val="20"/>
                <w:szCs w:val="20"/>
                <w:highlight w:val="none"/>
                <w:lang w:val="zh-TW" w:eastAsia="zh-TW" w:bidi="zh-TW"/>
              </w:rPr>
              <w:t xml:space="preserve"> 月 </w:t>
            </w:r>
            <w:r>
              <w:rPr>
                <w:rFonts w:hint="eastAsia" w:ascii="宋体" w:hAnsi="宋体" w:eastAsia="宋体" w:cs="宋体"/>
                <w:color w:val="000000"/>
                <w:sz w:val="20"/>
                <w:szCs w:val="20"/>
                <w:highlight w:val="none"/>
                <w:lang w:val="en-US" w:eastAsia="zh-CN" w:bidi="zh-TW"/>
              </w:rPr>
              <w:t xml:space="preserve">  </w:t>
            </w:r>
            <w:r>
              <w:rPr>
                <w:rFonts w:ascii="宋体" w:hAnsi="宋体" w:eastAsia="宋体" w:cs="宋体"/>
                <w:color w:val="000000"/>
                <w:sz w:val="20"/>
                <w:szCs w:val="20"/>
                <w:highlight w:val="none"/>
                <w:lang w:val="zh-TW" w:eastAsia="zh-TW" w:bidi="zh-TW"/>
              </w:rPr>
              <w:t>日</w:t>
            </w:r>
          </w:p>
        </w:tc>
      </w:tr>
    </w:tbl>
    <w:p>
      <w:pPr>
        <w:shd w:val="clear"/>
        <w:spacing w:before="0" w:after="0" w:afterAutospacing="0"/>
        <w:ind w:left="0" w:firstLine="0"/>
        <w:outlineLvl w:val="1"/>
        <w:rPr>
          <w:rFonts w:cs="Times New Roman" w:asciiTheme="minorEastAsia" w:hAnsiTheme="minorEastAsia" w:eastAsiaTheme="minorEastAsia"/>
          <w:sz w:val="21"/>
          <w:szCs w:val="21"/>
          <w:highlight w:val="none"/>
        </w:rPr>
        <w:sectPr>
          <w:pgSz w:w="11905" w:h="16838"/>
          <w:pgMar w:top="567" w:right="1134" w:bottom="567" w:left="1134" w:header="340" w:footer="567" w:gutter="0"/>
          <w:pgNumType w:fmt="decimal"/>
          <w:cols w:space="720" w:num="1"/>
          <w:titlePg/>
          <w:docGrid w:linePitch="319" w:charSpace="0"/>
        </w:sectPr>
      </w:pPr>
    </w:p>
    <w:p>
      <w:pPr>
        <w:shd w:val="clear"/>
        <w:spacing w:before="0" w:after="0" w:afterAutospacing="0" w:line="360" w:lineRule="auto"/>
        <w:ind w:left="0" w:right="-27" w:firstLine="0"/>
        <w:jc w:val="both"/>
        <w:outlineLvl w:val="1"/>
        <w:rPr>
          <w:rFonts w:cs="Times New Roman" w:asciiTheme="minorEastAsia" w:hAnsiTheme="minorEastAsia" w:eastAsiaTheme="minorEastAsia"/>
          <w:sz w:val="21"/>
          <w:szCs w:val="21"/>
          <w:highlight w:val="none"/>
          <w:lang w:val="en-US" w:eastAsia="zh-CN" w:bidi="ar-SA"/>
        </w:rPr>
      </w:pPr>
      <w:r>
        <w:rPr>
          <w:rFonts w:hint="eastAsia" w:cs="Times New Roman" w:asciiTheme="minorEastAsia" w:hAnsiTheme="minorEastAsia" w:eastAsiaTheme="minorEastAsia"/>
          <w:sz w:val="21"/>
          <w:szCs w:val="21"/>
          <w:highlight w:val="none"/>
          <w:lang w:val="en-US" w:eastAsia="zh-CN" w:bidi="ar-SA"/>
        </w:rPr>
        <w:t>附件5：项目冲洗记录表</w:t>
      </w:r>
    </w:p>
    <w:tbl>
      <w:tblPr>
        <w:tblStyle w:val="28"/>
        <w:tblW w:w="9560" w:type="dxa"/>
        <w:tblInd w:w="93" w:type="dxa"/>
        <w:tblLayout w:type="autofit"/>
        <w:tblCellMar>
          <w:top w:w="0" w:type="dxa"/>
          <w:left w:w="108" w:type="dxa"/>
          <w:bottom w:w="0" w:type="dxa"/>
          <w:right w:w="108" w:type="dxa"/>
        </w:tblCellMar>
      </w:tblPr>
      <w:tblGrid>
        <w:gridCol w:w="760"/>
        <w:gridCol w:w="1200"/>
        <w:gridCol w:w="4960"/>
        <w:gridCol w:w="2640"/>
      </w:tblGrid>
      <w:tr>
        <w:tblPrEx>
          <w:tblCellMar>
            <w:top w:w="0" w:type="dxa"/>
            <w:left w:w="108" w:type="dxa"/>
            <w:bottom w:w="0" w:type="dxa"/>
            <w:right w:w="108" w:type="dxa"/>
          </w:tblCellMar>
        </w:tblPrEx>
        <w:trPr>
          <w:trHeight w:val="660" w:hRule="atLeast"/>
        </w:trPr>
        <w:tc>
          <w:tcPr>
            <w:tcW w:w="9560" w:type="dxa"/>
            <w:gridSpan w:val="4"/>
            <w:tcBorders>
              <w:top w:val="nil"/>
              <w:left w:val="nil"/>
              <w:bottom w:val="nil"/>
              <w:right w:val="nil"/>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b/>
                <w:bCs/>
                <w:color w:val="000000"/>
                <w:sz w:val="28"/>
                <w:szCs w:val="28"/>
                <w:highlight w:val="none"/>
              </w:rPr>
            </w:pPr>
            <w:r>
              <w:rPr>
                <w:rFonts w:hint="eastAsia" w:ascii="宋体" w:hAnsi="宋体" w:eastAsia="宋体" w:cs="宋体"/>
                <w:b/>
                <w:bCs/>
                <w:color w:val="000000"/>
                <w:sz w:val="28"/>
                <w:szCs w:val="28"/>
                <w:highlight w:val="none"/>
              </w:rPr>
              <w:t>自动喷水灭火系统管网冲洗记录表</w:t>
            </w:r>
          </w:p>
        </w:tc>
      </w:tr>
      <w:tr>
        <w:tblPrEx>
          <w:tblCellMar>
            <w:top w:w="0" w:type="dxa"/>
            <w:left w:w="108" w:type="dxa"/>
            <w:bottom w:w="0" w:type="dxa"/>
            <w:right w:w="108" w:type="dxa"/>
          </w:tblCellMar>
        </w:tblPrEx>
        <w:trPr>
          <w:trHeight w:val="1155" w:hRule="atLeast"/>
        </w:trPr>
        <w:tc>
          <w:tcPr>
            <w:tcW w:w="19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项目名称、编号及合同编号</w:t>
            </w:r>
          </w:p>
        </w:tc>
        <w:tc>
          <w:tcPr>
            <w:tcW w:w="7600"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项目名称:</w:t>
            </w:r>
            <w:r>
              <w:rPr>
                <w:rFonts w:hint="eastAsia" w:ascii="宋体" w:hAnsi="宋体" w:eastAsia="宋体" w:cs="宋体"/>
                <w:color w:val="000000"/>
                <w:sz w:val="22"/>
                <w:szCs w:val="22"/>
                <w:highlight w:val="none"/>
              </w:rPr>
              <w:br w:type="textWrapping"/>
            </w:r>
            <w:r>
              <w:rPr>
                <w:rFonts w:hint="eastAsia" w:ascii="宋体" w:hAnsi="宋体" w:eastAsia="宋体" w:cs="宋体"/>
                <w:color w:val="000000"/>
                <w:sz w:val="22"/>
                <w:szCs w:val="22"/>
                <w:highlight w:val="none"/>
              </w:rPr>
              <w:t>项目编号：</w:t>
            </w:r>
            <w:r>
              <w:rPr>
                <w:rFonts w:hint="eastAsia" w:ascii="宋体" w:hAnsi="宋体" w:eastAsia="宋体" w:cs="宋体"/>
                <w:color w:val="000000"/>
                <w:sz w:val="22"/>
                <w:szCs w:val="22"/>
                <w:highlight w:val="none"/>
              </w:rPr>
              <w:br w:type="textWrapping"/>
            </w:r>
            <w:r>
              <w:rPr>
                <w:rFonts w:hint="eastAsia" w:ascii="宋体" w:hAnsi="宋体" w:eastAsia="宋体" w:cs="宋体"/>
                <w:color w:val="000000"/>
                <w:sz w:val="22"/>
                <w:szCs w:val="22"/>
                <w:highlight w:val="none"/>
              </w:rPr>
              <w:t>合同编号：</w:t>
            </w:r>
          </w:p>
        </w:tc>
      </w:tr>
      <w:tr>
        <w:tblPrEx>
          <w:tblCellMar>
            <w:top w:w="0" w:type="dxa"/>
            <w:left w:w="108" w:type="dxa"/>
            <w:bottom w:w="0" w:type="dxa"/>
            <w:right w:w="108" w:type="dxa"/>
          </w:tblCellMar>
        </w:tblPrEx>
        <w:trPr>
          <w:trHeight w:val="499" w:hRule="atLeast"/>
        </w:trPr>
        <w:tc>
          <w:tcPr>
            <w:tcW w:w="196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项目地点</w:t>
            </w:r>
          </w:p>
        </w:tc>
        <w:tc>
          <w:tcPr>
            <w:tcW w:w="7600" w:type="dxa"/>
            <w:gridSpan w:val="2"/>
            <w:tcBorders>
              <w:top w:val="single" w:color="auto" w:sz="4" w:space="0"/>
              <w:left w:val="nil"/>
              <w:bottom w:val="single" w:color="auto" w:sz="4" w:space="0"/>
              <w:right w:val="single" w:color="000000"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w:t>
            </w:r>
          </w:p>
        </w:tc>
      </w:tr>
      <w:tr>
        <w:tblPrEx>
          <w:tblCellMar>
            <w:top w:w="0" w:type="dxa"/>
            <w:left w:w="108" w:type="dxa"/>
            <w:bottom w:w="0" w:type="dxa"/>
            <w:right w:w="108" w:type="dxa"/>
          </w:tblCellMar>
        </w:tblPrEx>
        <w:trPr>
          <w:trHeight w:val="499" w:hRule="atLeast"/>
        </w:trPr>
        <w:tc>
          <w:tcPr>
            <w:tcW w:w="196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施工单位</w:t>
            </w:r>
          </w:p>
        </w:tc>
        <w:tc>
          <w:tcPr>
            <w:tcW w:w="7600"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w:t>
            </w:r>
          </w:p>
        </w:tc>
      </w:tr>
      <w:tr>
        <w:tblPrEx>
          <w:tblCellMar>
            <w:top w:w="0" w:type="dxa"/>
            <w:left w:w="108" w:type="dxa"/>
            <w:bottom w:w="0" w:type="dxa"/>
            <w:right w:w="108" w:type="dxa"/>
          </w:tblCellMar>
        </w:tblPrEx>
        <w:trPr>
          <w:trHeight w:val="499" w:hRule="atLeast"/>
        </w:trPr>
        <w:tc>
          <w:tcPr>
            <w:tcW w:w="196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检查单位</w:t>
            </w:r>
          </w:p>
        </w:tc>
        <w:tc>
          <w:tcPr>
            <w:tcW w:w="7600"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w:t>
            </w:r>
          </w:p>
        </w:tc>
      </w:tr>
      <w:tr>
        <w:tblPrEx>
          <w:tblCellMar>
            <w:top w:w="0" w:type="dxa"/>
            <w:left w:w="108" w:type="dxa"/>
            <w:bottom w:w="0" w:type="dxa"/>
            <w:right w:w="108" w:type="dxa"/>
          </w:tblCellMar>
        </w:tblPrEx>
        <w:trPr>
          <w:trHeight w:val="499"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序号</w:t>
            </w:r>
          </w:p>
        </w:tc>
        <w:tc>
          <w:tcPr>
            <w:tcW w:w="6160"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检查内容</w:t>
            </w:r>
          </w:p>
        </w:tc>
        <w:tc>
          <w:tcPr>
            <w:tcW w:w="2640" w:type="dxa"/>
            <w:tcBorders>
              <w:top w:val="nil"/>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检查结果</w:t>
            </w:r>
          </w:p>
        </w:tc>
      </w:tr>
      <w:tr>
        <w:tblPrEx>
          <w:tblCellMar>
            <w:top w:w="0" w:type="dxa"/>
            <w:left w:w="108" w:type="dxa"/>
            <w:bottom w:w="0" w:type="dxa"/>
            <w:right w:w="108" w:type="dxa"/>
          </w:tblCellMar>
        </w:tblPrEx>
        <w:trPr>
          <w:trHeight w:val="600" w:hRule="atLeast"/>
        </w:trPr>
        <w:tc>
          <w:tcPr>
            <w:tcW w:w="76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1</w:t>
            </w:r>
          </w:p>
        </w:tc>
        <w:tc>
          <w:tcPr>
            <w:tcW w:w="6160"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冲洗水是否带有铁屑杂质</w:t>
            </w:r>
          </w:p>
        </w:tc>
        <w:tc>
          <w:tcPr>
            <w:tcW w:w="2640" w:type="dxa"/>
            <w:tcBorders>
              <w:top w:val="nil"/>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是</w:t>
            </w:r>
            <w:r>
              <w:rPr>
                <w:rFonts w:ascii="Wingdings 2" w:hAnsi="Wingdings 2" w:eastAsia="宋体" w:cs="宋体"/>
                <w:color w:val="000000"/>
                <w:sz w:val="22"/>
                <w:szCs w:val="22"/>
                <w:highlight w:val="none"/>
              </w:rPr>
              <w:t></w:t>
            </w:r>
            <w:r>
              <w:rPr>
                <w:rFonts w:hint="eastAsia" w:ascii="宋体" w:hAnsi="宋体" w:eastAsia="宋体" w:cs="宋体"/>
                <w:color w:val="000000"/>
                <w:sz w:val="22"/>
                <w:szCs w:val="22"/>
                <w:highlight w:val="none"/>
              </w:rPr>
              <w:t xml:space="preserve"> 否</w:t>
            </w:r>
            <w:r>
              <w:rPr>
                <w:rFonts w:ascii="Wingdings 2" w:hAnsi="Wingdings 2" w:eastAsia="宋体" w:cs="宋体"/>
                <w:color w:val="000000"/>
                <w:sz w:val="22"/>
                <w:szCs w:val="22"/>
                <w:highlight w:val="none"/>
              </w:rPr>
              <w:t></w:t>
            </w:r>
          </w:p>
        </w:tc>
      </w:tr>
      <w:tr>
        <w:tblPrEx>
          <w:tblCellMar>
            <w:top w:w="0" w:type="dxa"/>
            <w:left w:w="108" w:type="dxa"/>
            <w:bottom w:w="0" w:type="dxa"/>
            <w:right w:w="108" w:type="dxa"/>
          </w:tblCellMar>
        </w:tblPrEx>
        <w:trPr>
          <w:trHeight w:val="642" w:hRule="atLeast"/>
        </w:trPr>
        <w:tc>
          <w:tcPr>
            <w:tcW w:w="76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2</w:t>
            </w:r>
          </w:p>
        </w:tc>
        <w:tc>
          <w:tcPr>
            <w:tcW w:w="6160"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出口处水的颜色是否清澈透明</w:t>
            </w:r>
          </w:p>
        </w:tc>
        <w:tc>
          <w:tcPr>
            <w:tcW w:w="2640" w:type="dxa"/>
            <w:tcBorders>
              <w:top w:val="nil"/>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是</w:t>
            </w:r>
            <w:r>
              <w:rPr>
                <w:rFonts w:ascii="Wingdings 2" w:hAnsi="Wingdings 2" w:eastAsia="宋体" w:cs="宋体"/>
                <w:color w:val="000000"/>
                <w:sz w:val="22"/>
                <w:szCs w:val="22"/>
                <w:highlight w:val="none"/>
              </w:rPr>
              <w:t></w:t>
            </w:r>
            <w:r>
              <w:rPr>
                <w:rFonts w:hint="eastAsia" w:ascii="宋体" w:hAnsi="宋体" w:eastAsia="宋体" w:cs="宋体"/>
                <w:color w:val="000000"/>
                <w:sz w:val="22"/>
                <w:szCs w:val="22"/>
                <w:highlight w:val="none"/>
              </w:rPr>
              <w:t xml:space="preserve"> 否</w:t>
            </w:r>
            <w:r>
              <w:rPr>
                <w:rFonts w:ascii="Wingdings 2" w:hAnsi="Wingdings 2" w:eastAsia="宋体" w:cs="宋体"/>
                <w:color w:val="000000"/>
                <w:sz w:val="22"/>
                <w:szCs w:val="22"/>
                <w:highlight w:val="none"/>
              </w:rPr>
              <w:t></w:t>
            </w:r>
          </w:p>
        </w:tc>
      </w:tr>
      <w:tr>
        <w:tblPrEx>
          <w:tblCellMar>
            <w:top w:w="0" w:type="dxa"/>
            <w:left w:w="108" w:type="dxa"/>
            <w:bottom w:w="0" w:type="dxa"/>
            <w:right w:w="108" w:type="dxa"/>
          </w:tblCellMar>
        </w:tblPrEx>
        <w:trPr>
          <w:trHeight w:val="600" w:hRule="atLeast"/>
        </w:trPr>
        <w:tc>
          <w:tcPr>
            <w:tcW w:w="76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3</w:t>
            </w:r>
          </w:p>
        </w:tc>
        <w:tc>
          <w:tcPr>
            <w:tcW w:w="6160"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冲洗水流速、流量是否正常</w:t>
            </w:r>
          </w:p>
        </w:tc>
        <w:tc>
          <w:tcPr>
            <w:tcW w:w="2640" w:type="dxa"/>
            <w:tcBorders>
              <w:top w:val="nil"/>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是</w:t>
            </w:r>
            <w:r>
              <w:rPr>
                <w:rFonts w:ascii="Wingdings 2" w:hAnsi="Wingdings 2" w:eastAsia="宋体" w:cs="宋体"/>
                <w:color w:val="000000"/>
                <w:sz w:val="22"/>
                <w:szCs w:val="22"/>
                <w:highlight w:val="none"/>
              </w:rPr>
              <w:t></w:t>
            </w:r>
            <w:r>
              <w:rPr>
                <w:rFonts w:hint="eastAsia" w:ascii="宋体" w:hAnsi="宋体" w:eastAsia="宋体" w:cs="宋体"/>
                <w:color w:val="000000"/>
                <w:sz w:val="22"/>
                <w:szCs w:val="22"/>
                <w:highlight w:val="none"/>
              </w:rPr>
              <w:t xml:space="preserve"> 否</w:t>
            </w:r>
            <w:r>
              <w:rPr>
                <w:rFonts w:ascii="Wingdings 2" w:hAnsi="Wingdings 2" w:eastAsia="宋体" w:cs="宋体"/>
                <w:color w:val="000000"/>
                <w:sz w:val="22"/>
                <w:szCs w:val="22"/>
                <w:highlight w:val="none"/>
              </w:rPr>
              <w:t></w:t>
            </w:r>
          </w:p>
        </w:tc>
      </w:tr>
      <w:tr>
        <w:tblPrEx>
          <w:tblCellMar>
            <w:top w:w="0" w:type="dxa"/>
            <w:left w:w="108" w:type="dxa"/>
            <w:bottom w:w="0" w:type="dxa"/>
            <w:right w:w="108" w:type="dxa"/>
          </w:tblCellMar>
        </w:tblPrEx>
        <w:trPr>
          <w:trHeight w:val="600" w:hRule="atLeast"/>
        </w:trPr>
        <w:tc>
          <w:tcPr>
            <w:tcW w:w="1960" w:type="dxa"/>
            <w:gridSpan w:val="2"/>
            <w:vMerge w:val="restart"/>
            <w:tcBorders>
              <w:top w:val="single" w:color="auto" w:sz="4" w:space="0"/>
              <w:left w:val="single" w:color="auto" w:sz="4" w:space="0"/>
              <w:bottom w:val="single" w:color="000000" w:sz="4" w:space="0"/>
              <w:right w:val="single" w:color="000000"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b/>
                <w:bCs/>
                <w:color w:val="000000"/>
                <w:sz w:val="22"/>
                <w:szCs w:val="22"/>
                <w:highlight w:val="none"/>
              </w:rPr>
            </w:pPr>
            <w:r>
              <w:rPr>
                <w:rFonts w:hint="eastAsia" w:ascii="宋体" w:hAnsi="宋体" w:eastAsia="宋体" w:cs="宋体"/>
                <w:b/>
                <w:bCs/>
                <w:color w:val="000000"/>
                <w:sz w:val="22"/>
                <w:szCs w:val="22"/>
                <w:highlight w:val="none"/>
              </w:rPr>
              <w:t>施工单位</w:t>
            </w:r>
          </w:p>
        </w:tc>
        <w:tc>
          <w:tcPr>
            <w:tcW w:w="496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施工人员：</w:t>
            </w:r>
          </w:p>
        </w:tc>
        <w:tc>
          <w:tcPr>
            <w:tcW w:w="264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righ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w:t>
            </w:r>
          </w:p>
        </w:tc>
      </w:tr>
      <w:tr>
        <w:tblPrEx>
          <w:tblCellMar>
            <w:top w:w="0" w:type="dxa"/>
            <w:left w:w="108" w:type="dxa"/>
            <w:bottom w:w="0" w:type="dxa"/>
            <w:right w:w="108" w:type="dxa"/>
          </w:tblCellMar>
        </w:tblPrEx>
        <w:trPr>
          <w:trHeight w:val="600" w:hRule="atLeast"/>
        </w:trPr>
        <w:tc>
          <w:tcPr>
            <w:tcW w:w="1960" w:type="dxa"/>
            <w:gridSpan w:val="2"/>
            <w:vMerge w:val="continue"/>
            <w:tcBorders>
              <w:top w:val="single" w:color="auto" w:sz="4" w:space="0"/>
              <w:left w:val="single" w:color="auto" w:sz="4" w:space="0"/>
              <w:bottom w:val="single" w:color="000000" w:sz="4" w:space="0"/>
              <w:right w:val="single" w:color="000000" w:sz="4" w:space="0"/>
            </w:tcBorders>
            <w:vAlign w:val="center"/>
          </w:tcPr>
          <w:p>
            <w:pPr>
              <w:shd w:val="clear"/>
              <w:spacing w:before="0" w:after="0" w:afterAutospacing="0" w:line="240" w:lineRule="auto"/>
              <w:ind w:left="0" w:right="0" w:firstLine="0"/>
              <w:jc w:val="left"/>
              <w:rPr>
                <w:rFonts w:ascii="宋体" w:hAnsi="宋体" w:eastAsia="宋体" w:cs="宋体"/>
                <w:b/>
                <w:bCs/>
                <w:color w:val="000000"/>
                <w:sz w:val="22"/>
                <w:szCs w:val="22"/>
                <w:highlight w:val="none"/>
              </w:rPr>
            </w:pPr>
          </w:p>
        </w:tc>
        <w:tc>
          <w:tcPr>
            <w:tcW w:w="496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项目负责人：</w:t>
            </w:r>
          </w:p>
        </w:tc>
        <w:tc>
          <w:tcPr>
            <w:tcW w:w="264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righ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w:t>
            </w:r>
          </w:p>
        </w:tc>
      </w:tr>
      <w:tr>
        <w:tblPrEx>
          <w:tblCellMar>
            <w:top w:w="0" w:type="dxa"/>
            <w:left w:w="108" w:type="dxa"/>
            <w:bottom w:w="0" w:type="dxa"/>
            <w:right w:w="108" w:type="dxa"/>
          </w:tblCellMar>
        </w:tblPrEx>
        <w:trPr>
          <w:trHeight w:val="600" w:hRule="atLeast"/>
        </w:trPr>
        <w:tc>
          <w:tcPr>
            <w:tcW w:w="1960" w:type="dxa"/>
            <w:gridSpan w:val="2"/>
            <w:vMerge w:val="restart"/>
            <w:tcBorders>
              <w:top w:val="single" w:color="auto" w:sz="4" w:space="0"/>
              <w:left w:val="single" w:color="auto" w:sz="4" w:space="0"/>
              <w:bottom w:val="single" w:color="000000" w:sz="4" w:space="0"/>
              <w:right w:val="single" w:color="000000"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b/>
                <w:bCs/>
                <w:color w:val="000000"/>
                <w:sz w:val="22"/>
                <w:szCs w:val="22"/>
                <w:highlight w:val="none"/>
              </w:rPr>
            </w:pPr>
            <w:r>
              <w:rPr>
                <w:rFonts w:hint="eastAsia" w:ascii="宋体" w:hAnsi="宋体" w:eastAsia="宋体" w:cs="宋体"/>
                <w:b/>
                <w:bCs/>
                <w:color w:val="000000"/>
                <w:sz w:val="22"/>
                <w:szCs w:val="22"/>
                <w:highlight w:val="none"/>
              </w:rPr>
              <w:t>检查单位</w:t>
            </w:r>
          </w:p>
        </w:tc>
        <w:tc>
          <w:tcPr>
            <w:tcW w:w="496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检查人员：</w:t>
            </w:r>
          </w:p>
        </w:tc>
        <w:tc>
          <w:tcPr>
            <w:tcW w:w="264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righ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w:t>
            </w:r>
          </w:p>
        </w:tc>
      </w:tr>
      <w:tr>
        <w:tblPrEx>
          <w:tblCellMar>
            <w:top w:w="0" w:type="dxa"/>
            <w:left w:w="108" w:type="dxa"/>
            <w:bottom w:w="0" w:type="dxa"/>
            <w:right w:w="108" w:type="dxa"/>
          </w:tblCellMar>
        </w:tblPrEx>
        <w:trPr>
          <w:trHeight w:val="600" w:hRule="atLeast"/>
        </w:trPr>
        <w:tc>
          <w:tcPr>
            <w:tcW w:w="1960" w:type="dxa"/>
            <w:gridSpan w:val="2"/>
            <w:vMerge w:val="continue"/>
            <w:tcBorders>
              <w:top w:val="single" w:color="auto" w:sz="4" w:space="0"/>
              <w:left w:val="single" w:color="auto" w:sz="4" w:space="0"/>
              <w:bottom w:val="single" w:color="000000" w:sz="4" w:space="0"/>
              <w:right w:val="single" w:color="000000" w:sz="4" w:space="0"/>
            </w:tcBorders>
            <w:vAlign w:val="center"/>
          </w:tcPr>
          <w:p>
            <w:pPr>
              <w:shd w:val="clear"/>
              <w:spacing w:before="0" w:after="0" w:afterAutospacing="0" w:line="240" w:lineRule="auto"/>
              <w:ind w:left="0" w:right="0" w:firstLine="0"/>
              <w:jc w:val="left"/>
              <w:rPr>
                <w:rFonts w:ascii="宋体" w:hAnsi="宋体" w:eastAsia="宋体" w:cs="宋体"/>
                <w:b/>
                <w:bCs/>
                <w:color w:val="000000"/>
                <w:sz w:val="22"/>
                <w:szCs w:val="22"/>
                <w:highlight w:val="none"/>
              </w:rPr>
            </w:pPr>
          </w:p>
        </w:tc>
        <w:tc>
          <w:tcPr>
            <w:tcW w:w="496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工班长：</w:t>
            </w:r>
          </w:p>
        </w:tc>
        <w:tc>
          <w:tcPr>
            <w:tcW w:w="264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righ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w:t>
            </w:r>
          </w:p>
        </w:tc>
      </w:tr>
      <w:tr>
        <w:tblPrEx>
          <w:tblCellMar>
            <w:top w:w="0" w:type="dxa"/>
            <w:left w:w="108" w:type="dxa"/>
            <w:bottom w:w="0" w:type="dxa"/>
            <w:right w:w="108" w:type="dxa"/>
          </w:tblCellMar>
        </w:tblPrEx>
        <w:trPr>
          <w:trHeight w:val="600" w:hRule="atLeast"/>
        </w:trPr>
        <w:tc>
          <w:tcPr>
            <w:tcW w:w="1960" w:type="dxa"/>
            <w:gridSpan w:val="2"/>
            <w:vMerge w:val="continue"/>
            <w:tcBorders>
              <w:top w:val="single" w:color="auto" w:sz="4" w:space="0"/>
              <w:left w:val="single" w:color="auto" w:sz="4" w:space="0"/>
              <w:bottom w:val="single" w:color="000000" w:sz="4" w:space="0"/>
              <w:right w:val="single" w:color="000000" w:sz="4" w:space="0"/>
            </w:tcBorders>
            <w:vAlign w:val="center"/>
          </w:tcPr>
          <w:p>
            <w:pPr>
              <w:shd w:val="clear"/>
              <w:spacing w:before="0" w:after="0" w:afterAutospacing="0" w:line="240" w:lineRule="auto"/>
              <w:ind w:left="0" w:right="0" w:firstLine="0"/>
              <w:jc w:val="left"/>
              <w:rPr>
                <w:rFonts w:ascii="宋体" w:hAnsi="宋体" w:eastAsia="宋体" w:cs="宋体"/>
                <w:b/>
                <w:bCs/>
                <w:color w:val="000000"/>
                <w:sz w:val="22"/>
                <w:szCs w:val="22"/>
                <w:highlight w:val="none"/>
              </w:rPr>
            </w:pPr>
          </w:p>
        </w:tc>
        <w:tc>
          <w:tcPr>
            <w:tcW w:w="496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技术主办：</w:t>
            </w:r>
          </w:p>
        </w:tc>
        <w:tc>
          <w:tcPr>
            <w:tcW w:w="264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righ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w:t>
            </w:r>
          </w:p>
        </w:tc>
      </w:tr>
    </w:tbl>
    <w:p>
      <w:pPr>
        <w:shd w:val="clear"/>
        <w:spacing w:before="120" w:after="100" w:afterAutospacing="1" w:line="360" w:lineRule="auto"/>
        <w:ind w:left="0" w:right="-27" w:firstLine="0"/>
        <w:jc w:val="both"/>
        <w:rPr>
          <w:rFonts w:cs="Times New Roman" w:asciiTheme="minorEastAsia" w:hAnsiTheme="minorEastAsia" w:eastAsiaTheme="minorEastAsia"/>
          <w:sz w:val="21"/>
          <w:szCs w:val="21"/>
          <w:highlight w:val="none"/>
          <w:lang w:val="en-US" w:eastAsia="zh-CN" w:bidi="ar-SA"/>
        </w:rPr>
      </w:pPr>
    </w:p>
    <w:p>
      <w:pPr>
        <w:shd w:val="clear"/>
        <w:spacing w:before="120" w:after="100" w:afterAutospacing="1" w:line="360" w:lineRule="auto"/>
        <w:ind w:left="709" w:right="-27" w:hanging="709"/>
        <w:jc w:val="both"/>
        <w:rPr>
          <w:rFonts w:ascii="宋体" w:hAnsi="Courier New" w:eastAsia="宋体" w:cs="宋体"/>
          <w:sz w:val="20"/>
          <w:szCs w:val="20"/>
          <w:highlight w:val="none"/>
          <w:lang w:val="en-US" w:eastAsia="zh-CN" w:bidi="ar-SA"/>
        </w:rPr>
      </w:pPr>
      <w:r>
        <w:rPr>
          <w:rFonts w:ascii="宋体" w:hAnsi="Courier New" w:eastAsia="宋体" w:cs="宋体"/>
          <w:sz w:val="20"/>
          <w:szCs w:val="20"/>
          <w:highlight w:val="none"/>
          <w:lang w:val="en-US" w:eastAsia="zh-CN" w:bidi="ar-SA"/>
        </w:rPr>
        <w:br w:type="page"/>
      </w:r>
    </w:p>
    <w:p>
      <w:pPr>
        <w:shd w:val="clear"/>
        <w:spacing w:before="0" w:after="0" w:afterAutospacing="0" w:line="360" w:lineRule="auto"/>
        <w:ind w:left="0" w:right="-27" w:firstLine="0"/>
        <w:jc w:val="both"/>
        <w:outlineLvl w:val="1"/>
        <w:rPr>
          <w:rFonts w:cs="Times New Roman" w:asciiTheme="minorEastAsia" w:hAnsiTheme="minorEastAsia" w:eastAsiaTheme="minorEastAsia"/>
          <w:sz w:val="21"/>
          <w:szCs w:val="21"/>
          <w:highlight w:val="none"/>
          <w:lang w:val="en-US" w:eastAsia="zh-CN" w:bidi="ar-SA"/>
        </w:rPr>
      </w:pPr>
      <w:r>
        <w:rPr>
          <w:rFonts w:hint="eastAsia" w:cs="Times New Roman" w:asciiTheme="minorEastAsia" w:hAnsiTheme="minorEastAsia" w:eastAsiaTheme="minorEastAsia"/>
          <w:sz w:val="21"/>
          <w:szCs w:val="21"/>
          <w:highlight w:val="none"/>
          <w:lang w:val="en-US" w:eastAsia="zh-CN" w:bidi="ar-SA"/>
        </w:rPr>
        <w:t>附件6：项目管道防腐及隐蔽前工程检查表</w:t>
      </w:r>
    </w:p>
    <w:tbl>
      <w:tblPr>
        <w:tblStyle w:val="28"/>
        <w:tblW w:w="9660" w:type="dxa"/>
        <w:tblInd w:w="93" w:type="dxa"/>
        <w:tblLayout w:type="autofit"/>
        <w:tblCellMar>
          <w:top w:w="0" w:type="dxa"/>
          <w:left w:w="108" w:type="dxa"/>
          <w:bottom w:w="0" w:type="dxa"/>
          <w:right w:w="108" w:type="dxa"/>
        </w:tblCellMar>
      </w:tblPr>
      <w:tblGrid>
        <w:gridCol w:w="860"/>
        <w:gridCol w:w="700"/>
        <w:gridCol w:w="5420"/>
        <w:gridCol w:w="2680"/>
      </w:tblGrid>
      <w:tr>
        <w:tblPrEx>
          <w:tblCellMar>
            <w:top w:w="0" w:type="dxa"/>
            <w:left w:w="108" w:type="dxa"/>
            <w:bottom w:w="0" w:type="dxa"/>
            <w:right w:w="108" w:type="dxa"/>
          </w:tblCellMar>
        </w:tblPrEx>
        <w:trPr>
          <w:trHeight w:val="942" w:hRule="atLeast"/>
        </w:trPr>
        <w:tc>
          <w:tcPr>
            <w:tcW w:w="9660" w:type="dxa"/>
            <w:gridSpan w:val="4"/>
            <w:tcBorders>
              <w:top w:val="nil"/>
              <w:left w:val="nil"/>
              <w:bottom w:val="nil"/>
              <w:right w:val="nil"/>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b/>
                <w:bCs/>
                <w:color w:val="000000"/>
                <w:sz w:val="28"/>
                <w:szCs w:val="28"/>
                <w:highlight w:val="none"/>
              </w:rPr>
            </w:pPr>
            <w:r>
              <w:rPr>
                <w:rFonts w:hint="eastAsia" w:ascii="宋体" w:hAnsi="宋体" w:eastAsia="宋体" w:cs="宋体"/>
                <w:b/>
                <w:bCs/>
                <w:color w:val="000000"/>
                <w:sz w:val="28"/>
                <w:szCs w:val="28"/>
                <w:highlight w:val="none"/>
              </w:rPr>
              <w:t>项目管道防腐及隐蔽前工程检查表</w:t>
            </w:r>
          </w:p>
        </w:tc>
      </w:tr>
      <w:tr>
        <w:tblPrEx>
          <w:tblCellMar>
            <w:top w:w="0" w:type="dxa"/>
            <w:left w:w="108" w:type="dxa"/>
            <w:bottom w:w="0" w:type="dxa"/>
            <w:right w:w="108" w:type="dxa"/>
          </w:tblCellMar>
        </w:tblPrEx>
        <w:trPr>
          <w:trHeight w:val="1200" w:hRule="atLeast"/>
        </w:trPr>
        <w:tc>
          <w:tcPr>
            <w:tcW w:w="15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项目名称、编号及合同编号</w:t>
            </w:r>
          </w:p>
        </w:tc>
        <w:tc>
          <w:tcPr>
            <w:tcW w:w="8100"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项目名称:</w:t>
            </w:r>
            <w:r>
              <w:rPr>
                <w:rFonts w:hint="eastAsia" w:ascii="宋体" w:hAnsi="宋体" w:eastAsia="宋体" w:cs="宋体"/>
                <w:color w:val="000000"/>
                <w:sz w:val="22"/>
                <w:szCs w:val="22"/>
                <w:highlight w:val="none"/>
              </w:rPr>
              <w:br w:type="textWrapping"/>
            </w:r>
            <w:r>
              <w:rPr>
                <w:rFonts w:hint="eastAsia" w:ascii="宋体" w:hAnsi="宋体" w:eastAsia="宋体" w:cs="宋体"/>
                <w:color w:val="000000"/>
                <w:sz w:val="22"/>
                <w:szCs w:val="22"/>
                <w:highlight w:val="none"/>
              </w:rPr>
              <w:t>项目编号：</w:t>
            </w:r>
            <w:r>
              <w:rPr>
                <w:rFonts w:hint="eastAsia" w:ascii="宋体" w:hAnsi="宋体" w:eastAsia="宋体" w:cs="宋体"/>
                <w:color w:val="000000"/>
                <w:sz w:val="22"/>
                <w:szCs w:val="22"/>
                <w:highlight w:val="none"/>
              </w:rPr>
              <w:br w:type="textWrapping"/>
            </w:r>
            <w:r>
              <w:rPr>
                <w:rFonts w:hint="eastAsia" w:ascii="宋体" w:hAnsi="宋体" w:eastAsia="宋体" w:cs="宋体"/>
                <w:color w:val="000000"/>
                <w:sz w:val="22"/>
                <w:szCs w:val="22"/>
                <w:highlight w:val="none"/>
              </w:rPr>
              <w:t>合同编号：</w:t>
            </w:r>
          </w:p>
        </w:tc>
      </w:tr>
      <w:tr>
        <w:tblPrEx>
          <w:tblCellMar>
            <w:top w:w="0" w:type="dxa"/>
            <w:left w:w="108" w:type="dxa"/>
            <w:bottom w:w="0" w:type="dxa"/>
            <w:right w:w="108" w:type="dxa"/>
          </w:tblCellMar>
        </w:tblPrEx>
        <w:trPr>
          <w:trHeight w:val="799" w:hRule="atLeast"/>
        </w:trPr>
        <w:tc>
          <w:tcPr>
            <w:tcW w:w="156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项目地点</w:t>
            </w:r>
          </w:p>
        </w:tc>
        <w:tc>
          <w:tcPr>
            <w:tcW w:w="8100" w:type="dxa"/>
            <w:gridSpan w:val="2"/>
            <w:tcBorders>
              <w:top w:val="single" w:color="auto" w:sz="4" w:space="0"/>
              <w:left w:val="nil"/>
              <w:bottom w:val="single" w:color="auto" w:sz="4" w:space="0"/>
              <w:right w:val="single" w:color="000000"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w:t>
            </w:r>
          </w:p>
        </w:tc>
      </w:tr>
      <w:tr>
        <w:tblPrEx>
          <w:tblCellMar>
            <w:top w:w="0" w:type="dxa"/>
            <w:left w:w="108" w:type="dxa"/>
            <w:bottom w:w="0" w:type="dxa"/>
            <w:right w:w="108" w:type="dxa"/>
          </w:tblCellMar>
        </w:tblPrEx>
        <w:trPr>
          <w:trHeight w:val="799" w:hRule="atLeast"/>
        </w:trPr>
        <w:tc>
          <w:tcPr>
            <w:tcW w:w="156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施工单位</w:t>
            </w:r>
          </w:p>
        </w:tc>
        <w:tc>
          <w:tcPr>
            <w:tcW w:w="8100"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w:t>
            </w:r>
          </w:p>
        </w:tc>
      </w:tr>
      <w:tr>
        <w:tblPrEx>
          <w:tblCellMar>
            <w:top w:w="0" w:type="dxa"/>
            <w:left w:w="108" w:type="dxa"/>
            <w:bottom w:w="0" w:type="dxa"/>
            <w:right w:w="108" w:type="dxa"/>
          </w:tblCellMar>
        </w:tblPrEx>
        <w:trPr>
          <w:trHeight w:val="799" w:hRule="atLeast"/>
        </w:trPr>
        <w:tc>
          <w:tcPr>
            <w:tcW w:w="156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检查单位</w:t>
            </w:r>
          </w:p>
        </w:tc>
        <w:tc>
          <w:tcPr>
            <w:tcW w:w="8100"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w:t>
            </w:r>
          </w:p>
        </w:tc>
      </w:tr>
      <w:tr>
        <w:tblPrEx>
          <w:tblCellMar>
            <w:top w:w="0" w:type="dxa"/>
            <w:left w:w="108" w:type="dxa"/>
            <w:bottom w:w="0" w:type="dxa"/>
            <w:right w:w="108" w:type="dxa"/>
          </w:tblCellMar>
        </w:tblPrEx>
        <w:trPr>
          <w:trHeight w:val="799" w:hRule="atLeast"/>
        </w:trPr>
        <w:tc>
          <w:tcPr>
            <w:tcW w:w="15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质量控制资料</w:t>
            </w:r>
          </w:p>
        </w:tc>
        <w:tc>
          <w:tcPr>
            <w:tcW w:w="5420" w:type="dxa"/>
            <w:tcBorders>
              <w:top w:val="nil"/>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项目设施安装质量检查表、喷淋管道试压记录报告、项目冲洗记录表</w:t>
            </w:r>
          </w:p>
        </w:tc>
        <w:tc>
          <w:tcPr>
            <w:tcW w:w="268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是否完成   是</w:t>
            </w:r>
            <w:r>
              <w:rPr>
                <w:rFonts w:ascii="Wingdings 2" w:hAnsi="Wingdings 2" w:eastAsia="宋体" w:cs="宋体"/>
                <w:color w:val="000000"/>
                <w:sz w:val="22"/>
                <w:szCs w:val="22"/>
                <w:highlight w:val="none"/>
              </w:rPr>
              <w:t></w:t>
            </w:r>
            <w:r>
              <w:rPr>
                <w:rFonts w:hint="eastAsia" w:ascii="宋体" w:hAnsi="宋体" w:eastAsia="宋体" w:cs="宋体"/>
                <w:color w:val="000000"/>
                <w:sz w:val="22"/>
                <w:szCs w:val="22"/>
                <w:highlight w:val="none"/>
              </w:rPr>
              <w:t xml:space="preserve">   否</w:t>
            </w:r>
            <w:r>
              <w:rPr>
                <w:rFonts w:ascii="Wingdings 2" w:hAnsi="Wingdings 2" w:eastAsia="宋体" w:cs="宋体"/>
                <w:color w:val="000000"/>
                <w:sz w:val="22"/>
                <w:szCs w:val="22"/>
                <w:highlight w:val="none"/>
              </w:rPr>
              <w:t></w:t>
            </w:r>
          </w:p>
        </w:tc>
      </w:tr>
      <w:tr>
        <w:tblPrEx>
          <w:tblCellMar>
            <w:top w:w="0" w:type="dxa"/>
            <w:left w:w="108" w:type="dxa"/>
            <w:bottom w:w="0" w:type="dxa"/>
            <w:right w:w="108" w:type="dxa"/>
          </w:tblCellMar>
        </w:tblPrEx>
        <w:trPr>
          <w:trHeight w:val="799" w:hRule="atLeast"/>
        </w:trPr>
        <w:tc>
          <w:tcPr>
            <w:tcW w:w="860" w:type="dxa"/>
            <w:tcBorders>
              <w:top w:val="nil"/>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序号</w:t>
            </w:r>
          </w:p>
        </w:tc>
        <w:tc>
          <w:tcPr>
            <w:tcW w:w="6120"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检查内容</w:t>
            </w:r>
          </w:p>
        </w:tc>
        <w:tc>
          <w:tcPr>
            <w:tcW w:w="2680" w:type="dxa"/>
            <w:tcBorders>
              <w:top w:val="nil"/>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检查结果</w:t>
            </w:r>
          </w:p>
        </w:tc>
      </w:tr>
      <w:tr>
        <w:tblPrEx>
          <w:tblCellMar>
            <w:top w:w="0" w:type="dxa"/>
            <w:left w:w="108" w:type="dxa"/>
            <w:bottom w:w="0" w:type="dxa"/>
            <w:right w:w="108" w:type="dxa"/>
          </w:tblCellMar>
        </w:tblPrEx>
        <w:trPr>
          <w:trHeight w:val="799"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1</w:t>
            </w:r>
          </w:p>
        </w:tc>
        <w:tc>
          <w:tcPr>
            <w:tcW w:w="6120" w:type="dxa"/>
            <w:gridSpan w:val="2"/>
            <w:tcBorders>
              <w:top w:val="single" w:color="auto" w:sz="4" w:space="0"/>
              <w:left w:val="nil"/>
              <w:bottom w:val="single" w:color="auto" w:sz="4" w:space="0"/>
              <w:right w:val="single" w:color="000000"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埋地管道表面采用“三油两布”工艺（沥青—玻璃布-沥青—油漆—聚氯乙烯工业薄膜）做好防腐工作。</w:t>
            </w:r>
          </w:p>
        </w:tc>
        <w:tc>
          <w:tcPr>
            <w:tcW w:w="268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是</w:t>
            </w:r>
            <w:r>
              <w:rPr>
                <w:rFonts w:ascii="Wingdings 2" w:hAnsi="Wingdings 2" w:eastAsia="宋体" w:cs="宋体"/>
                <w:color w:val="000000"/>
                <w:sz w:val="22"/>
                <w:szCs w:val="22"/>
                <w:highlight w:val="none"/>
              </w:rPr>
              <w:t></w:t>
            </w:r>
            <w:r>
              <w:rPr>
                <w:rFonts w:hint="eastAsia" w:ascii="宋体" w:hAnsi="宋体" w:eastAsia="宋体" w:cs="宋体"/>
                <w:color w:val="000000"/>
                <w:sz w:val="22"/>
                <w:szCs w:val="22"/>
                <w:highlight w:val="none"/>
              </w:rPr>
              <w:t xml:space="preserve"> 否</w:t>
            </w:r>
            <w:r>
              <w:rPr>
                <w:rFonts w:ascii="Wingdings 2" w:hAnsi="Wingdings 2" w:eastAsia="宋体" w:cs="宋体"/>
                <w:color w:val="000000"/>
                <w:sz w:val="22"/>
                <w:szCs w:val="22"/>
                <w:highlight w:val="none"/>
              </w:rPr>
              <w:t></w:t>
            </w:r>
          </w:p>
        </w:tc>
      </w:tr>
      <w:tr>
        <w:tblPrEx>
          <w:tblCellMar>
            <w:top w:w="0" w:type="dxa"/>
            <w:left w:w="108" w:type="dxa"/>
            <w:bottom w:w="0" w:type="dxa"/>
            <w:right w:w="108" w:type="dxa"/>
          </w:tblCellMar>
        </w:tblPrEx>
        <w:trPr>
          <w:trHeight w:val="799"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2</w:t>
            </w:r>
          </w:p>
        </w:tc>
        <w:tc>
          <w:tcPr>
            <w:tcW w:w="6120" w:type="dxa"/>
            <w:gridSpan w:val="2"/>
            <w:tcBorders>
              <w:top w:val="single" w:color="auto" w:sz="4" w:space="0"/>
              <w:left w:val="nil"/>
              <w:bottom w:val="single" w:color="auto" w:sz="4" w:space="0"/>
              <w:right w:val="single" w:color="000000"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外管道及支架表面涂刷2道红丹防锈漆</w:t>
            </w:r>
          </w:p>
        </w:tc>
        <w:tc>
          <w:tcPr>
            <w:tcW w:w="268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是</w:t>
            </w:r>
            <w:r>
              <w:rPr>
                <w:rFonts w:ascii="Wingdings 2" w:hAnsi="Wingdings 2" w:eastAsia="宋体" w:cs="宋体"/>
                <w:color w:val="000000"/>
                <w:sz w:val="22"/>
                <w:szCs w:val="22"/>
                <w:highlight w:val="none"/>
              </w:rPr>
              <w:t></w:t>
            </w:r>
            <w:r>
              <w:rPr>
                <w:rFonts w:hint="eastAsia" w:ascii="宋体" w:hAnsi="宋体" w:eastAsia="宋体" w:cs="宋体"/>
                <w:color w:val="000000"/>
                <w:sz w:val="22"/>
                <w:szCs w:val="22"/>
                <w:highlight w:val="none"/>
              </w:rPr>
              <w:t xml:space="preserve"> 否</w:t>
            </w:r>
            <w:r>
              <w:rPr>
                <w:rFonts w:ascii="Wingdings 2" w:hAnsi="Wingdings 2" w:eastAsia="宋体" w:cs="宋体"/>
                <w:color w:val="000000"/>
                <w:sz w:val="22"/>
                <w:szCs w:val="22"/>
                <w:highlight w:val="none"/>
              </w:rPr>
              <w:t></w:t>
            </w:r>
          </w:p>
        </w:tc>
      </w:tr>
      <w:tr>
        <w:tblPrEx>
          <w:tblCellMar>
            <w:top w:w="0" w:type="dxa"/>
            <w:left w:w="108" w:type="dxa"/>
            <w:bottom w:w="0" w:type="dxa"/>
            <w:right w:w="108" w:type="dxa"/>
          </w:tblCellMar>
        </w:tblPrEx>
        <w:trPr>
          <w:trHeight w:val="799" w:hRule="atLeast"/>
        </w:trPr>
        <w:tc>
          <w:tcPr>
            <w:tcW w:w="1560" w:type="dxa"/>
            <w:gridSpan w:val="2"/>
            <w:vMerge w:val="restart"/>
            <w:tcBorders>
              <w:top w:val="single" w:color="auto" w:sz="4" w:space="0"/>
              <w:left w:val="single" w:color="auto" w:sz="4" w:space="0"/>
              <w:bottom w:val="single" w:color="000000" w:sz="4" w:space="0"/>
              <w:right w:val="single" w:color="000000"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b/>
                <w:bCs/>
                <w:color w:val="000000"/>
                <w:sz w:val="22"/>
                <w:szCs w:val="22"/>
                <w:highlight w:val="none"/>
              </w:rPr>
            </w:pPr>
            <w:r>
              <w:rPr>
                <w:rFonts w:hint="eastAsia" w:ascii="宋体" w:hAnsi="宋体" w:eastAsia="宋体" w:cs="宋体"/>
                <w:b/>
                <w:bCs/>
                <w:color w:val="000000"/>
                <w:sz w:val="22"/>
                <w:szCs w:val="22"/>
                <w:highlight w:val="none"/>
              </w:rPr>
              <w:t>施工单位</w:t>
            </w:r>
          </w:p>
        </w:tc>
        <w:tc>
          <w:tcPr>
            <w:tcW w:w="542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施工人员：</w:t>
            </w:r>
          </w:p>
        </w:tc>
        <w:tc>
          <w:tcPr>
            <w:tcW w:w="268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 </w:t>
            </w:r>
          </w:p>
        </w:tc>
      </w:tr>
      <w:tr>
        <w:tblPrEx>
          <w:tblCellMar>
            <w:top w:w="0" w:type="dxa"/>
            <w:left w:w="108" w:type="dxa"/>
            <w:bottom w:w="0" w:type="dxa"/>
            <w:right w:w="108" w:type="dxa"/>
          </w:tblCellMar>
        </w:tblPrEx>
        <w:trPr>
          <w:trHeight w:val="799" w:hRule="atLeast"/>
        </w:trPr>
        <w:tc>
          <w:tcPr>
            <w:tcW w:w="1560" w:type="dxa"/>
            <w:gridSpan w:val="2"/>
            <w:vMerge w:val="continue"/>
            <w:tcBorders>
              <w:top w:val="single" w:color="auto" w:sz="4" w:space="0"/>
              <w:left w:val="single" w:color="auto" w:sz="4" w:space="0"/>
              <w:bottom w:val="single" w:color="000000" w:sz="4" w:space="0"/>
              <w:right w:val="single" w:color="000000" w:sz="4" w:space="0"/>
            </w:tcBorders>
            <w:vAlign w:val="center"/>
          </w:tcPr>
          <w:p>
            <w:pPr>
              <w:shd w:val="clear"/>
              <w:spacing w:before="0" w:after="0" w:afterAutospacing="0" w:line="240" w:lineRule="auto"/>
              <w:ind w:left="0" w:right="0" w:firstLine="0"/>
              <w:jc w:val="left"/>
              <w:rPr>
                <w:rFonts w:ascii="宋体" w:hAnsi="宋体" w:eastAsia="宋体" w:cs="宋体"/>
                <w:b/>
                <w:bCs/>
                <w:color w:val="000000"/>
                <w:sz w:val="22"/>
                <w:szCs w:val="22"/>
                <w:highlight w:val="none"/>
              </w:rPr>
            </w:pPr>
          </w:p>
        </w:tc>
        <w:tc>
          <w:tcPr>
            <w:tcW w:w="542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项目负责人：</w:t>
            </w:r>
          </w:p>
        </w:tc>
        <w:tc>
          <w:tcPr>
            <w:tcW w:w="268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 </w:t>
            </w:r>
          </w:p>
        </w:tc>
      </w:tr>
      <w:tr>
        <w:tblPrEx>
          <w:tblCellMar>
            <w:top w:w="0" w:type="dxa"/>
            <w:left w:w="108" w:type="dxa"/>
            <w:bottom w:w="0" w:type="dxa"/>
            <w:right w:w="108" w:type="dxa"/>
          </w:tblCellMar>
        </w:tblPrEx>
        <w:trPr>
          <w:trHeight w:val="799" w:hRule="atLeast"/>
        </w:trPr>
        <w:tc>
          <w:tcPr>
            <w:tcW w:w="1560" w:type="dxa"/>
            <w:gridSpan w:val="2"/>
            <w:vMerge w:val="restart"/>
            <w:tcBorders>
              <w:top w:val="single" w:color="auto" w:sz="4" w:space="0"/>
              <w:left w:val="single" w:color="auto" w:sz="4" w:space="0"/>
              <w:bottom w:val="single" w:color="000000" w:sz="4" w:space="0"/>
              <w:right w:val="single" w:color="000000"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b/>
                <w:bCs/>
                <w:color w:val="000000"/>
                <w:sz w:val="22"/>
                <w:szCs w:val="22"/>
                <w:highlight w:val="none"/>
              </w:rPr>
            </w:pPr>
            <w:r>
              <w:rPr>
                <w:rFonts w:hint="eastAsia" w:ascii="宋体" w:hAnsi="宋体" w:eastAsia="宋体" w:cs="宋体"/>
                <w:b/>
                <w:bCs/>
                <w:color w:val="000000"/>
                <w:sz w:val="22"/>
                <w:szCs w:val="22"/>
                <w:highlight w:val="none"/>
              </w:rPr>
              <w:t>检查单位</w:t>
            </w:r>
          </w:p>
        </w:tc>
        <w:tc>
          <w:tcPr>
            <w:tcW w:w="542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检查人员：</w:t>
            </w:r>
          </w:p>
        </w:tc>
        <w:tc>
          <w:tcPr>
            <w:tcW w:w="268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 </w:t>
            </w:r>
          </w:p>
        </w:tc>
      </w:tr>
      <w:tr>
        <w:tblPrEx>
          <w:tblCellMar>
            <w:top w:w="0" w:type="dxa"/>
            <w:left w:w="108" w:type="dxa"/>
            <w:bottom w:w="0" w:type="dxa"/>
            <w:right w:w="108" w:type="dxa"/>
          </w:tblCellMar>
        </w:tblPrEx>
        <w:trPr>
          <w:trHeight w:val="799" w:hRule="atLeast"/>
        </w:trPr>
        <w:tc>
          <w:tcPr>
            <w:tcW w:w="1560" w:type="dxa"/>
            <w:gridSpan w:val="2"/>
            <w:vMerge w:val="continue"/>
            <w:tcBorders>
              <w:top w:val="single" w:color="auto" w:sz="4" w:space="0"/>
              <w:left w:val="single" w:color="auto" w:sz="4" w:space="0"/>
              <w:bottom w:val="single" w:color="000000" w:sz="4" w:space="0"/>
              <w:right w:val="single" w:color="000000" w:sz="4" w:space="0"/>
            </w:tcBorders>
            <w:vAlign w:val="center"/>
          </w:tcPr>
          <w:p>
            <w:pPr>
              <w:shd w:val="clear"/>
              <w:spacing w:before="0" w:after="0" w:afterAutospacing="0" w:line="240" w:lineRule="auto"/>
              <w:ind w:left="0" w:right="0" w:firstLine="0"/>
              <w:jc w:val="left"/>
              <w:rPr>
                <w:rFonts w:ascii="宋体" w:hAnsi="宋体" w:eastAsia="宋体" w:cs="宋体"/>
                <w:b/>
                <w:bCs/>
                <w:color w:val="000000"/>
                <w:sz w:val="22"/>
                <w:szCs w:val="22"/>
                <w:highlight w:val="none"/>
              </w:rPr>
            </w:pPr>
          </w:p>
        </w:tc>
        <w:tc>
          <w:tcPr>
            <w:tcW w:w="542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工班长：</w:t>
            </w:r>
          </w:p>
        </w:tc>
        <w:tc>
          <w:tcPr>
            <w:tcW w:w="268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 </w:t>
            </w:r>
          </w:p>
        </w:tc>
      </w:tr>
      <w:tr>
        <w:tblPrEx>
          <w:tblCellMar>
            <w:top w:w="0" w:type="dxa"/>
            <w:left w:w="108" w:type="dxa"/>
            <w:bottom w:w="0" w:type="dxa"/>
            <w:right w:w="108" w:type="dxa"/>
          </w:tblCellMar>
        </w:tblPrEx>
        <w:trPr>
          <w:trHeight w:val="799" w:hRule="atLeast"/>
        </w:trPr>
        <w:tc>
          <w:tcPr>
            <w:tcW w:w="1560" w:type="dxa"/>
            <w:gridSpan w:val="2"/>
            <w:vMerge w:val="continue"/>
            <w:tcBorders>
              <w:top w:val="single" w:color="auto" w:sz="4" w:space="0"/>
              <w:left w:val="single" w:color="auto" w:sz="4" w:space="0"/>
              <w:bottom w:val="single" w:color="000000" w:sz="4" w:space="0"/>
              <w:right w:val="single" w:color="000000" w:sz="4" w:space="0"/>
            </w:tcBorders>
            <w:vAlign w:val="center"/>
          </w:tcPr>
          <w:p>
            <w:pPr>
              <w:shd w:val="clear"/>
              <w:spacing w:before="0" w:after="0" w:afterAutospacing="0" w:line="240" w:lineRule="auto"/>
              <w:ind w:left="0" w:right="0" w:firstLine="0"/>
              <w:jc w:val="left"/>
              <w:rPr>
                <w:rFonts w:ascii="宋体" w:hAnsi="宋体" w:eastAsia="宋体" w:cs="宋体"/>
                <w:b/>
                <w:bCs/>
                <w:color w:val="000000"/>
                <w:sz w:val="22"/>
                <w:szCs w:val="22"/>
                <w:highlight w:val="none"/>
              </w:rPr>
            </w:pPr>
          </w:p>
        </w:tc>
        <w:tc>
          <w:tcPr>
            <w:tcW w:w="542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技术主办：</w:t>
            </w:r>
          </w:p>
        </w:tc>
        <w:tc>
          <w:tcPr>
            <w:tcW w:w="268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 </w:t>
            </w:r>
          </w:p>
        </w:tc>
      </w:tr>
    </w:tbl>
    <w:p>
      <w:pPr>
        <w:shd w:val="clear"/>
        <w:spacing w:before="120" w:after="100" w:afterAutospacing="1" w:line="360" w:lineRule="auto"/>
        <w:ind w:left="0" w:right="-27" w:firstLine="0"/>
        <w:jc w:val="both"/>
        <w:rPr>
          <w:rFonts w:cs="Times New Roman" w:asciiTheme="minorEastAsia" w:hAnsiTheme="minorEastAsia" w:eastAsiaTheme="minorEastAsia"/>
          <w:sz w:val="21"/>
          <w:szCs w:val="21"/>
          <w:highlight w:val="none"/>
          <w:lang w:val="en-US" w:eastAsia="zh-CN" w:bidi="ar-SA"/>
        </w:rPr>
      </w:pPr>
    </w:p>
    <w:p>
      <w:pPr>
        <w:shd w:val="clear"/>
        <w:spacing w:before="120" w:after="100" w:afterAutospacing="1" w:line="360" w:lineRule="auto"/>
        <w:ind w:left="709" w:right="-27" w:hanging="709"/>
        <w:jc w:val="both"/>
        <w:rPr>
          <w:rFonts w:ascii="宋体" w:hAnsi="Courier New" w:eastAsia="宋体" w:cs="宋体"/>
          <w:sz w:val="20"/>
          <w:szCs w:val="20"/>
          <w:highlight w:val="none"/>
          <w:lang w:val="en-US" w:eastAsia="zh-CN" w:bidi="ar-SA"/>
        </w:rPr>
      </w:pPr>
      <w:r>
        <w:rPr>
          <w:rFonts w:ascii="宋体" w:hAnsi="Courier New" w:eastAsia="宋体" w:cs="宋体"/>
          <w:sz w:val="20"/>
          <w:szCs w:val="20"/>
          <w:highlight w:val="none"/>
          <w:lang w:val="en-US" w:eastAsia="zh-CN" w:bidi="ar-SA"/>
        </w:rPr>
        <w:br w:type="page"/>
      </w:r>
    </w:p>
    <w:p>
      <w:pPr>
        <w:shd w:val="clear"/>
        <w:spacing w:before="0" w:after="0" w:afterAutospacing="0" w:line="415" w:lineRule="auto"/>
        <w:ind w:left="709" w:right="-27" w:hanging="709"/>
        <w:jc w:val="both"/>
        <w:outlineLvl w:val="1"/>
        <w:rPr>
          <w:rFonts w:cs="Times New Roman" w:asciiTheme="minorEastAsia" w:hAnsiTheme="minorEastAsia" w:eastAsiaTheme="minorEastAsia"/>
          <w:b w:val="0"/>
          <w:sz w:val="32"/>
          <w:szCs w:val="32"/>
          <w:highlight w:val="none"/>
          <w:lang w:val="en-US" w:eastAsia="zh-CN" w:bidi="ar-SA"/>
        </w:rPr>
      </w:pPr>
      <w:r>
        <w:rPr>
          <w:rFonts w:hint="eastAsia" w:cs="Times New Roman" w:asciiTheme="minorEastAsia" w:hAnsiTheme="minorEastAsia" w:eastAsiaTheme="minorEastAsia"/>
          <w:b w:val="0"/>
          <w:sz w:val="21"/>
          <w:szCs w:val="21"/>
          <w:highlight w:val="none"/>
          <w:lang w:val="en-US" w:eastAsia="zh-CN" w:bidi="ar-SA"/>
        </w:rPr>
        <w:t>附件7：项目隐蔽工程检查表</w:t>
      </w:r>
    </w:p>
    <w:tbl>
      <w:tblPr>
        <w:tblStyle w:val="28"/>
        <w:tblW w:w="9654" w:type="dxa"/>
        <w:tblInd w:w="93" w:type="dxa"/>
        <w:tblLayout w:type="autofit"/>
        <w:tblCellMar>
          <w:top w:w="0" w:type="dxa"/>
          <w:left w:w="108" w:type="dxa"/>
          <w:bottom w:w="0" w:type="dxa"/>
          <w:right w:w="108" w:type="dxa"/>
        </w:tblCellMar>
      </w:tblPr>
      <w:tblGrid>
        <w:gridCol w:w="860"/>
        <w:gridCol w:w="700"/>
        <w:gridCol w:w="5420"/>
        <w:gridCol w:w="2674"/>
      </w:tblGrid>
      <w:tr>
        <w:tblPrEx>
          <w:tblCellMar>
            <w:top w:w="0" w:type="dxa"/>
            <w:left w:w="108" w:type="dxa"/>
            <w:bottom w:w="0" w:type="dxa"/>
            <w:right w:w="108" w:type="dxa"/>
          </w:tblCellMar>
        </w:tblPrEx>
        <w:trPr>
          <w:trHeight w:val="692" w:hRule="atLeast"/>
        </w:trPr>
        <w:tc>
          <w:tcPr>
            <w:tcW w:w="9654" w:type="dxa"/>
            <w:gridSpan w:val="4"/>
            <w:tcBorders>
              <w:top w:val="nil"/>
              <w:left w:val="nil"/>
              <w:bottom w:val="nil"/>
              <w:right w:val="nil"/>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b/>
                <w:bCs/>
                <w:color w:val="000000"/>
                <w:sz w:val="28"/>
                <w:szCs w:val="28"/>
                <w:highlight w:val="none"/>
              </w:rPr>
            </w:pPr>
            <w:r>
              <w:rPr>
                <w:rFonts w:hint="eastAsia" w:ascii="宋体" w:hAnsi="宋体" w:eastAsia="宋体" w:cs="宋体"/>
                <w:b/>
                <w:bCs/>
                <w:color w:val="000000"/>
                <w:sz w:val="28"/>
                <w:szCs w:val="28"/>
                <w:highlight w:val="none"/>
              </w:rPr>
              <w:t>项目隐蔽工程检查表</w:t>
            </w:r>
          </w:p>
        </w:tc>
      </w:tr>
      <w:tr>
        <w:tblPrEx>
          <w:tblCellMar>
            <w:top w:w="0" w:type="dxa"/>
            <w:left w:w="108" w:type="dxa"/>
            <w:bottom w:w="0" w:type="dxa"/>
            <w:right w:w="108" w:type="dxa"/>
          </w:tblCellMar>
        </w:tblPrEx>
        <w:trPr>
          <w:trHeight w:val="899" w:hRule="atLeast"/>
        </w:trPr>
        <w:tc>
          <w:tcPr>
            <w:tcW w:w="15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项目名称、编号及合同编号</w:t>
            </w:r>
          </w:p>
        </w:tc>
        <w:tc>
          <w:tcPr>
            <w:tcW w:w="8094"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项目名称:</w:t>
            </w:r>
            <w:r>
              <w:rPr>
                <w:rFonts w:hint="eastAsia" w:ascii="宋体" w:hAnsi="宋体" w:eastAsia="宋体" w:cs="宋体"/>
                <w:color w:val="000000"/>
                <w:sz w:val="22"/>
                <w:szCs w:val="22"/>
                <w:highlight w:val="none"/>
              </w:rPr>
              <w:br w:type="textWrapping"/>
            </w:r>
            <w:r>
              <w:rPr>
                <w:rFonts w:hint="eastAsia" w:ascii="宋体" w:hAnsi="宋体" w:eastAsia="宋体" w:cs="宋体"/>
                <w:color w:val="000000"/>
                <w:sz w:val="22"/>
                <w:szCs w:val="22"/>
                <w:highlight w:val="none"/>
              </w:rPr>
              <w:t>项目编号：</w:t>
            </w:r>
            <w:r>
              <w:rPr>
                <w:rFonts w:hint="eastAsia" w:ascii="宋体" w:hAnsi="宋体" w:eastAsia="宋体" w:cs="宋体"/>
                <w:color w:val="000000"/>
                <w:sz w:val="22"/>
                <w:szCs w:val="22"/>
                <w:highlight w:val="none"/>
              </w:rPr>
              <w:br w:type="textWrapping"/>
            </w:r>
            <w:r>
              <w:rPr>
                <w:rFonts w:hint="eastAsia" w:ascii="宋体" w:hAnsi="宋体" w:eastAsia="宋体" w:cs="宋体"/>
                <w:color w:val="000000"/>
                <w:sz w:val="22"/>
                <w:szCs w:val="22"/>
                <w:highlight w:val="none"/>
              </w:rPr>
              <w:t>合同编号：</w:t>
            </w:r>
          </w:p>
        </w:tc>
      </w:tr>
      <w:tr>
        <w:tblPrEx>
          <w:tblCellMar>
            <w:top w:w="0" w:type="dxa"/>
            <w:left w:w="108" w:type="dxa"/>
            <w:bottom w:w="0" w:type="dxa"/>
            <w:right w:w="108" w:type="dxa"/>
          </w:tblCellMar>
        </w:tblPrEx>
        <w:trPr>
          <w:trHeight w:val="558" w:hRule="atLeast"/>
        </w:trPr>
        <w:tc>
          <w:tcPr>
            <w:tcW w:w="156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项目地点</w:t>
            </w:r>
          </w:p>
        </w:tc>
        <w:tc>
          <w:tcPr>
            <w:tcW w:w="8094" w:type="dxa"/>
            <w:gridSpan w:val="2"/>
            <w:tcBorders>
              <w:top w:val="single" w:color="auto" w:sz="4" w:space="0"/>
              <w:left w:val="nil"/>
              <w:bottom w:val="single" w:color="auto" w:sz="4" w:space="0"/>
              <w:right w:val="single" w:color="000000"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w:t>
            </w:r>
          </w:p>
        </w:tc>
      </w:tr>
      <w:tr>
        <w:tblPrEx>
          <w:tblCellMar>
            <w:top w:w="0" w:type="dxa"/>
            <w:left w:w="108" w:type="dxa"/>
            <w:bottom w:w="0" w:type="dxa"/>
            <w:right w:w="108" w:type="dxa"/>
          </w:tblCellMar>
        </w:tblPrEx>
        <w:trPr>
          <w:trHeight w:val="552" w:hRule="atLeast"/>
        </w:trPr>
        <w:tc>
          <w:tcPr>
            <w:tcW w:w="156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施工单位</w:t>
            </w:r>
          </w:p>
        </w:tc>
        <w:tc>
          <w:tcPr>
            <w:tcW w:w="8094"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w:t>
            </w:r>
          </w:p>
        </w:tc>
      </w:tr>
      <w:tr>
        <w:tblPrEx>
          <w:tblCellMar>
            <w:top w:w="0" w:type="dxa"/>
            <w:left w:w="108" w:type="dxa"/>
            <w:bottom w:w="0" w:type="dxa"/>
            <w:right w:w="108" w:type="dxa"/>
          </w:tblCellMar>
        </w:tblPrEx>
        <w:trPr>
          <w:trHeight w:val="560" w:hRule="atLeast"/>
        </w:trPr>
        <w:tc>
          <w:tcPr>
            <w:tcW w:w="156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检查单位</w:t>
            </w:r>
          </w:p>
        </w:tc>
        <w:tc>
          <w:tcPr>
            <w:tcW w:w="8094"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w:t>
            </w:r>
          </w:p>
        </w:tc>
      </w:tr>
      <w:tr>
        <w:tblPrEx>
          <w:tblCellMar>
            <w:top w:w="0" w:type="dxa"/>
            <w:left w:w="108" w:type="dxa"/>
            <w:bottom w:w="0" w:type="dxa"/>
            <w:right w:w="108" w:type="dxa"/>
          </w:tblCellMar>
        </w:tblPrEx>
        <w:trPr>
          <w:trHeight w:val="799" w:hRule="atLeast"/>
        </w:trPr>
        <w:tc>
          <w:tcPr>
            <w:tcW w:w="15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质量控制资料</w:t>
            </w:r>
          </w:p>
        </w:tc>
        <w:tc>
          <w:tcPr>
            <w:tcW w:w="5420" w:type="dxa"/>
            <w:tcBorders>
              <w:top w:val="nil"/>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项目设施安装质量检查表、喷淋管道试压记录报告、项目冲洗记录表、项目管道防腐及隐蔽前工程检查表</w:t>
            </w:r>
          </w:p>
        </w:tc>
        <w:tc>
          <w:tcPr>
            <w:tcW w:w="2674"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是否完成   是</w:t>
            </w:r>
            <w:r>
              <w:rPr>
                <w:rFonts w:ascii="Wingdings 2" w:hAnsi="Wingdings 2" w:eastAsia="宋体" w:cs="宋体"/>
                <w:color w:val="000000"/>
                <w:sz w:val="22"/>
                <w:szCs w:val="22"/>
                <w:highlight w:val="none"/>
              </w:rPr>
              <w:t></w:t>
            </w:r>
            <w:r>
              <w:rPr>
                <w:rFonts w:hint="eastAsia" w:ascii="宋体" w:hAnsi="宋体" w:eastAsia="宋体" w:cs="宋体"/>
                <w:color w:val="000000"/>
                <w:sz w:val="22"/>
                <w:szCs w:val="22"/>
                <w:highlight w:val="none"/>
              </w:rPr>
              <w:t xml:space="preserve">   否</w:t>
            </w:r>
            <w:r>
              <w:rPr>
                <w:rFonts w:ascii="Wingdings 2" w:hAnsi="Wingdings 2" w:eastAsia="宋体" w:cs="宋体"/>
                <w:color w:val="000000"/>
                <w:sz w:val="22"/>
                <w:szCs w:val="22"/>
                <w:highlight w:val="none"/>
              </w:rPr>
              <w:t></w:t>
            </w:r>
          </w:p>
        </w:tc>
      </w:tr>
      <w:tr>
        <w:tblPrEx>
          <w:tblCellMar>
            <w:top w:w="0" w:type="dxa"/>
            <w:left w:w="108" w:type="dxa"/>
            <w:bottom w:w="0" w:type="dxa"/>
            <w:right w:w="108" w:type="dxa"/>
          </w:tblCellMar>
        </w:tblPrEx>
        <w:trPr>
          <w:trHeight w:val="799" w:hRule="atLeast"/>
        </w:trPr>
        <w:tc>
          <w:tcPr>
            <w:tcW w:w="860" w:type="dxa"/>
            <w:tcBorders>
              <w:top w:val="nil"/>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序号</w:t>
            </w:r>
          </w:p>
        </w:tc>
        <w:tc>
          <w:tcPr>
            <w:tcW w:w="6120"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检查内容</w:t>
            </w:r>
          </w:p>
        </w:tc>
        <w:tc>
          <w:tcPr>
            <w:tcW w:w="2674" w:type="dxa"/>
            <w:tcBorders>
              <w:top w:val="nil"/>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检查结果</w:t>
            </w:r>
          </w:p>
        </w:tc>
      </w:tr>
      <w:tr>
        <w:tblPrEx>
          <w:tblCellMar>
            <w:top w:w="0" w:type="dxa"/>
            <w:left w:w="108" w:type="dxa"/>
            <w:bottom w:w="0" w:type="dxa"/>
            <w:right w:w="108" w:type="dxa"/>
          </w:tblCellMar>
        </w:tblPrEx>
        <w:trPr>
          <w:trHeight w:val="799"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1</w:t>
            </w:r>
          </w:p>
        </w:tc>
        <w:tc>
          <w:tcPr>
            <w:tcW w:w="6120" w:type="dxa"/>
            <w:gridSpan w:val="2"/>
            <w:tcBorders>
              <w:top w:val="single" w:color="auto" w:sz="4" w:space="0"/>
              <w:left w:val="nil"/>
              <w:bottom w:val="single" w:color="auto" w:sz="4" w:space="0"/>
              <w:right w:val="single" w:color="000000"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回填水泥稳定砂砾基层符合合同要求。</w:t>
            </w:r>
          </w:p>
        </w:tc>
        <w:tc>
          <w:tcPr>
            <w:tcW w:w="2674"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是</w:t>
            </w:r>
            <w:r>
              <w:rPr>
                <w:rFonts w:ascii="Wingdings 2" w:hAnsi="Wingdings 2" w:eastAsia="宋体" w:cs="宋体"/>
                <w:color w:val="000000"/>
                <w:sz w:val="22"/>
                <w:szCs w:val="22"/>
                <w:highlight w:val="none"/>
              </w:rPr>
              <w:t></w:t>
            </w:r>
            <w:r>
              <w:rPr>
                <w:rFonts w:hint="eastAsia" w:ascii="宋体" w:hAnsi="宋体" w:eastAsia="宋体" w:cs="宋体"/>
                <w:color w:val="000000"/>
                <w:sz w:val="22"/>
                <w:szCs w:val="22"/>
                <w:highlight w:val="none"/>
              </w:rPr>
              <w:t xml:space="preserve"> 否</w:t>
            </w:r>
            <w:r>
              <w:rPr>
                <w:rFonts w:ascii="Wingdings 2" w:hAnsi="Wingdings 2" w:eastAsia="宋体" w:cs="宋体"/>
                <w:color w:val="000000"/>
                <w:sz w:val="22"/>
                <w:szCs w:val="22"/>
                <w:highlight w:val="none"/>
              </w:rPr>
              <w:t></w:t>
            </w:r>
          </w:p>
        </w:tc>
      </w:tr>
      <w:tr>
        <w:tblPrEx>
          <w:tblCellMar>
            <w:top w:w="0" w:type="dxa"/>
            <w:left w:w="108" w:type="dxa"/>
            <w:bottom w:w="0" w:type="dxa"/>
            <w:right w:w="108" w:type="dxa"/>
          </w:tblCellMar>
        </w:tblPrEx>
        <w:trPr>
          <w:trHeight w:val="799"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2</w:t>
            </w:r>
          </w:p>
        </w:tc>
        <w:tc>
          <w:tcPr>
            <w:tcW w:w="6120" w:type="dxa"/>
            <w:gridSpan w:val="2"/>
            <w:tcBorders>
              <w:top w:val="single" w:color="auto" w:sz="4" w:space="0"/>
              <w:left w:val="nil"/>
              <w:bottom w:val="single" w:color="auto" w:sz="4" w:space="0"/>
              <w:right w:val="single" w:color="000000"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回填混凝土保护层符合合同要求。</w:t>
            </w:r>
          </w:p>
        </w:tc>
        <w:tc>
          <w:tcPr>
            <w:tcW w:w="2674"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是</w:t>
            </w:r>
            <w:r>
              <w:rPr>
                <w:rFonts w:ascii="Wingdings 2" w:hAnsi="Wingdings 2" w:eastAsia="宋体" w:cs="宋体"/>
                <w:color w:val="000000"/>
                <w:sz w:val="22"/>
                <w:szCs w:val="22"/>
                <w:highlight w:val="none"/>
              </w:rPr>
              <w:t></w:t>
            </w:r>
            <w:r>
              <w:rPr>
                <w:rFonts w:hint="eastAsia" w:ascii="宋体" w:hAnsi="宋体" w:eastAsia="宋体" w:cs="宋体"/>
                <w:color w:val="000000"/>
                <w:sz w:val="22"/>
                <w:szCs w:val="22"/>
                <w:highlight w:val="none"/>
              </w:rPr>
              <w:t xml:space="preserve"> 否</w:t>
            </w:r>
            <w:r>
              <w:rPr>
                <w:rFonts w:ascii="Wingdings 2" w:hAnsi="Wingdings 2" w:eastAsia="宋体" w:cs="宋体"/>
                <w:color w:val="000000"/>
                <w:sz w:val="22"/>
                <w:szCs w:val="22"/>
                <w:highlight w:val="none"/>
              </w:rPr>
              <w:t></w:t>
            </w:r>
          </w:p>
        </w:tc>
      </w:tr>
      <w:tr>
        <w:tblPrEx>
          <w:tblCellMar>
            <w:top w:w="0" w:type="dxa"/>
            <w:left w:w="108" w:type="dxa"/>
            <w:bottom w:w="0" w:type="dxa"/>
            <w:right w:w="108" w:type="dxa"/>
          </w:tblCellMar>
        </w:tblPrEx>
        <w:trPr>
          <w:trHeight w:val="799"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3</w:t>
            </w:r>
          </w:p>
        </w:tc>
        <w:tc>
          <w:tcPr>
            <w:tcW w:w="6120" w:type="dxa"/>
            <w:gridSpan w:val="2"/>
            <w:tcBorders>
              <w:top w:val="single" w:color="auto" w:sz="4" w:space="0"/>
              <w:left w:val="nil"/>
              <w:bottom w:val="single" w:color="auto" w:sz="4" w:space="0"/>
              <w:right w:val="single" w:color="000000"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路面硬化层符合合同要求。</w:t>
            </w:r>
          </w:p>
        </w:tc>
        <w:tc>
          <w:tcPr>
            <w:tcW w:w="2674"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是</w:t>
            </w:r>
            <w:r>
              <w:rPr>
                <w:rFonts w:ascii="Wingdings 2" w:hAnsi="Wingdings 2" w:eastAsia="宋体" w:cs="宋体"/>
                <w:color w:val="000000"/>
                <w:sz w:val="22"/>
                <w:szCs w:val="22"/>
                <w:highlight w:val="none"/>
              </w:rPr>
              <w:t></w:t>
            </w:r>
            <w:r>
              <w:rPr>
                <w:rFonts w:hint="eastAsia" w:ascii="宋体" w:hAnsi="宋体" w:eastAsia="宋体" w:cs="宋体"/>
                <w:color w:val="000000"/>
                <w:sz w:val="22"/>
                <w:szCs w:val="22"/>
                <w:highlight w:val="none"/>
              </w:rPr>
              <w:t xml:space="preserve"> 否</w:t>
            </w:r>
            <w:r>
              <w:rPr>
                <w:rFonts w:ascii="Wingdings 2" w:hAnsi="Wingdings 2" w:eastAsia="宋体" w:cs="宋体"/>
                <w:color w:val="000000"/>
                <w:sz w:val="22"/>
                <w:szCs w:val="22"/>
                <w:highlight w:val="none"/>
              </w:rPr>
              <w:t></w:t>
            </w:r>
          </w:p>
        </w:tc>
      </w:tr>
      <w:tr>
        <w:tblPrEx>
          <w:tblCellMar>
            <w:top w:w="0" w:type="dxa"/>
            <w:left w:w="108" w:type="dxa"/>
            <w:bottom w:w="0" w:type="dxa"/>
            <w:right w:w="108" w:type="dxa"/>
          </w:tblCellMar>
        </w:tblPrEx>
        <w:trPr>
          <w:trHeight w:val="799"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4</w:t>
            </w:r>
          </w:p>
        </w:tc>
        <w:tc>
          <w:tcPr>
            <w:tcW w:w="6120" w:type="dxa"/>
            <w:gridSpan w:val="2"/>
            <w:tcBorders>
              <w:top w:val="single" w:color="auto" w:sz="4" w:space="0"/>
              <w:left w:val="nil"/>
              <w:bottom w:val="single" w:color="auto" w:sz="4" w:space="0"/>
              <w:right w:val="single" w:color="000000"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中粒式沥青混凝土路面符合合同要求。</w:t>
            </w:r>
          </w:p>
        </w:tc>
        <w:tc>
          <w:tcPr>
            <w:tcW w:w="2674"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是</w:t>
            </w:r>
            <w:r>
              <w:rPr>
                <w:rFonts w:ascii="Wingdings 2" w:hAnsi="Wingdings 2" w:eastAsia="宋体" w:cs="宋体"/>
                <w:color w:val="000000"/>
                <w:sz w:val="22"/>
                <w:szCs w:val="22"/>
                <w:highlight w:val="none"/>
              </w:rPr>
              <w:t></w:t>
            </w:r>
            <w:r>
              <w:rPr>
                <w:rFonts w:hint="eastAsia" w:ascii="宋体" w:hAnsi="宋体" w:eastAsia="宋体" w:cs="宋体"/>
                <w:color w:val="000000"/>
                <w:sz w:val="22"/>
                <w:szCs w:val="22"/>
                <w:highlight w:val="none"/>
              </w:rPr>
              <w:t xml:space="preserve"> 否</w:t>
            </w:r>
            <w:r>
              <w:rPr>
                <w:rFonts w:ascii="Wingdings 2" w:hAnsi="Wingdings 2" w:eastAsia="宋体" w:cs="宋体"/>
                <w:color w:val="000000"/>
                <w:sz w:val="22"/>
                <w:szCs w:val="22"/>
                <w:highlight w:val="none"/>
              </w:rPr>
              <w:t></w:t>
            </w:r>
          </w:p>
        </w:tc>
      </w:tr>
      <w:tr>
        <w:tblPrEx>
          <w:tblCellMar>
            <w:top w:w="0" w:type="dxa"/>
            <w:left w:w="108" w:type="dxa"/>
            <w:bottom w:w="0" w:type="dxa"/>
            <w:right w:w="108" w:type="dxa"/>
          </w:tblCellMar>
        </w:tblPrEx>
        <w:trPr>
          <w:trHeight w:val="799"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5</w:t>
            </w:r>
          </w:p>
        </w:tc>
        <w:tc>
          <w:tcPr>
            <w:tcW w:w="6120" w:type="dxa"/>
            <w:gridSpan w:val="2"/>
            <w:tcBorders>
              <w:top w:val="single" w:color="auto" w:sz="4" w:space="0"/>
              <w:left w:val="nil"/>
              <w:bottom w:val="single" w:color="auto" w:sz="4" w:space="0"/>
              <w:right w:val="single" w:color="000000"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草坪及透水砖恢复符合合同要求。</w:t>
            </w:r>
          </w:p>
        </w:tc>
        <w:tc>
          <w:tcPr>
            <w:tcW w:w="2674"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是</w:t>
            </w:r>
            <w:r>
              <w:rPr>
                <w:rFonts w:ascii="Wingdings 2" w:hAnsi="Wingdings 2" w:eastAsia="宋体" w:cs="宋体"/>
                <w:color w:val="000000"/>
                <w:sz w:val="22"/>
                <w:szCs w:val="22"/>
                <w:highlight w:val="none"/>
              </w:rPr>
              <w:t></w:t>
            </w:r>
            <w:r>
              <w:rPr>
                <w:rFonts w:hint="eastAsia" w:ascii="宋体" w:hAnsi="宋体" w:eastAsia="宋体" w:cs="宋体"/>
                <w:color w:val="000000"/>
                <w:sz w:val="22"/>
                <w:szCs w:val="22"/>
                <w:highlight w:val="none"/>
              </w:rPr>
              <w:t xml:space="preserve"> 否</w:t>
            </w:r>
            <w:r>
              <w:rPr>
                <w:rFonts w:ascii="Wingdings 2" w:hAnsi="Wingdings 2" w:eastAsia="宋体" w:cs="宋体"/>
                <w:color w:val="000000"/>
                <w:sz w:val="22"/>
                <w:szCs w:val="22"/>
                <w:highlight w:val="none"/>
              </w:rPr>
              <w:t></w:t>
            </w:r>
          </w:p>
        </w:tc>
      </w:tr>
      <w:tr>
        <w:tblPrEx>
          <w:tblCellMar>
            <w:top w:w="0" w:type="dxa"/>
            <w:left w:w="108" w:type="dxa"/>
            <w:bottom w:w="0" w:type="dxa"/>
            <w:right w:w="108" w:type="dxa"/>
          </w:tblCellMar>
        </w:tblPrEx>
        <w:trPr>
          <w:trHeight w:val="632"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6</w:t>
            </w:r>
          </w:p>
        </w:tc>
        <w:tc>
          <w:tcPr>
            <w:tcW w:w="6120" w:type="dxa"/>
            <w:gridSpan w:val="2"/>
            <w:tcBorders>
              <w:top w:val="single" w:color="auto" w:sz="4" w:space="0"/>
              <w:left w:val="nil"/>
              <w:bottom w:val="single" w:color="auto" w:sz="4" w:space="0"/>
              <w:right w:val="single" w:color="000000"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整体恢复美观。</w:t>
            </w:r>
          </w:p>
        </w:tc>
        <w:tc>
          <w:tcPr>
            <w:tcW w:w="2674"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是</w:t>
            </w:r>
            <w:r>
              <w:rPr>
                <w:rFonts w:ascii="Wingdings 2" w:hAnsi="Wingdings 2" w:eastAsia="宋体" w:cs="宋体"/>
                <w:color w:val="000000"/>
                <w:sz w:val="22"/>
                <w:szCs w:val="22"/>
                <w:highlight w:val="none"/>
              </w:rPr>
              <w:t></w:t>
            </w:r>
            <w:r>
              <w:rPr>
                <w:rFonts w:hint="eastAsia" w:ascii="宋体" w:hAnsi="宋体" w:eastAsia="宋体" w:cs="宋体"/>
                <w:color w:val="000000"/>
                <w:sz w:val="22"/>
                <w:szCs w:val="22"/>
                <w:highlight w:val="none"/>
              </w:rPr>
              <w:t xml:space="preserve"> 否</w:t>
            </w:r>
            <w:r>
              <w:rPr>
                <w:rFonts w:ascii="Wingdings 2" w:hAnsi="Wingdings 2" w:eastAsia="宋体" w:cs="宋体"/>
                <w:color w:val="000000"/>
                <w:sz w:val="22"/>
                <w:szCs w:val="22"/>
                <w:highlight w:val="none"/>
              </w:rPr>
              <w:t></w:t>
            </w:r>
          </w:p>
        </w:tc>
      </w:tr>
      <w:tr>
        <w:tblPrEx>
          <w:tblCellMar>
            <w:top w:w="0" w:type="dxa"/>
            <w:left w:w="108" w:type="dxa"/>
            <w:bottom w:w="0" w:type="dxa"/>
            <w:right w:w="108" w:type="dxa"/>
          </w:tblCellMar>
        </w:tblPrEx>
        <w:trPr>
          <w:trHeight w:val="603" w:hRule="atLeast"/>
        </w:trPr>
        <w:tc>
          <w:tcPr>
            <w:tcW w:w="1560" w:type="dxa"/>
            <w:gridSpan w:val="2"/>
            <w:vMerge w:val="restart"/>
            <w:tcBorders>
              <w:top w:val="single" w:color="auto" w:sz="4" w:space="0"/>
              <w:left w:val="single" w:color="auto" w:sz="4" w:space="0"/>
              <w:bottom w:val="single" w:color="000000" w:sz="4" w:space="0"/>
              <w:right w:val="single" w:color="000000"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b/>
                <w:bCs/>
                <w:color w:val="000000"/>
                <w:sz w:val="22"/>
                <w:szCs w:val="22"/>
                <w:highlight w:val="none"/>
              </w:rPr>
            </w:pPr>
            <w:r>
              <w:rPr>
                <w:rFonts w:hint="eastAsia" w:ascii="宋体" w:hAnsi="宋体" w:eastAsia="宋体" w:cs="宋体"/>
                <w:b/>
                <w:bCs/>
                <w:color w:val="000000"/>
                <w:sz w:val="22"/>
                <w:szCs w:val="22"/>
                <w:highlight w:val="none"/>
              </w:rPr>
              <w:t>施工单位</w:t>
            </w:r>
          </w:p>
        </w:tc>
        <w:tc>
          <w:tcPr>
            <w:tcW w:w="542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施工人员：</w:t>
            </w:r>
          </w:p>
        </w:tc>
        <w:tc>
          <w:tcPr>
            <w:tcW w:w="2674"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 </w:t>
            </w:r>
          </w:p>
        </w:tc>
      </w:tr>
      <w:tr>
        <w:tblPrEx>
          <w:tblCellMar>
            <w:top w:w="0" w:type="dxa"/>
            <w:left w:w="108" w:type="dxa"/>
            <w:bottom w:w="0" w:type="dxa"/>
            <w:right w:w="108" w:type="dxa"/>
          </w:tblCellMar>
        </w:tblPrEx>
        <w:trPr>
          <w:trHeight w:val="644" w:hRule="atLeast"/>
        </w:trPr>
        <w:tc>
          <w:tcPr>
            <w:tcW w:w="1560" w:type="dxa"/>
            <w:gridSpan w:val="2"/>
            <w:vMerge w:val="continue"/>
            <w:tcBorders>
              <w:top w:val="single" w:color="auto" w:sz="4" w:space="0"/>
              <w:left w:val="single" w:color="auto" w:sz="4" w:space="0"/>
              <w:bottom w:val="single" w:color="000000" w:sz="4" w:space="0"/>
              <w:right w:val="single" w:color="000000" w:sz="4" w:space="0"/>
            </w:tcBorders>
            <w:vAlign w:val="center"/>
          </w:tcPr>
          <w:p>
            <w:pPr>
              <w:shd w:val="clear"/>
              <w:spacing w:before="0" w:after="0" w:afterAutospacing="0" w:line="240" w:lineRule="auto"/>
              <w:ind w:left="0" w:right="0" w:firstLine="0"/>
              <w:jc w:val="left"/>
              <w:rPr>
                <w:rFonts w:ascii="宋体" w:hAnsi="宋体" w:eastAsia="宋体" w:cs="宋体"/>
                <w:b/>
                <w:bCs/>
                <w:color w:val="000000"/>
                <w:sz w:val="22"/>
                <w:szCs w:val="22"/>
                <w:highlight w:val="none"/>
              </w:rPr>
            </w:pPr>
          </w:p>
        </w:tc>
        <w:tc>
          <w:tcPr>
            <w:tcW w:w="542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项目负责人：</w:t>
            </w:r>
          </w:p>
        </w:tc>
        <w:tc>
          <w:tcPr>
            <w:tcW w:w="2674"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 </w:t>
            </w:r>
          </w:p>
        </w:tc>
      </w:tr>
      <w:tr>
        <w:tblPrEx>
          <w:tblCellMar>
            <w:top w:w="0" w:type="dxa"/>
            <w:left w:w="108" w:type="dxa"/>
            <w:bottom w:w="0" w:type="dxa"/>
            <w:right w:w="108" w:type="dxa"/>
          </w:tblCellMar>
        </w:tblPrEx>
        <w:trPr>
          <w:trHeight w:val="683" w:hRule="atLeast"/>
        </w:trPr>
        <w:tc>
          <w:tcPr>
            <w:tcW w:w="1560" w:type="dxa"/>
            <w:gridSpan w:val="2"/>
            <w:vMerge w:val="restart"/>
            <w:tcBorders>
              <w:top w:val="single" w:color="auto" w:sz="4" w:space="0"/>
              <w:left w:val="single" w:color="auto" w:sz="4" w:space="0"/>
              <w:bottom w:val="single" w:color="000000" w:sz="4" w:space="0"/>
              <w:right w:val="single" w:color="000000"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b/>
                <w:bCs/>
                <w:color w:val="000000"/>
                <w:sz w:val="22"/>
                <w:szCs w:val="22"/>
                <w:highlight w:val="none"/>
              </w:rPr>
            </w:pPr>
            <w:r>
              <w:rPr>
                <w:rFonts w:hint="eastAsia" w:ascii="宋体" w:hAnsi="宋体" w:eastAsia="宋体" w:cs="宋体"/>
                <w:b/>
                <w:bCs/>
                <w:color w:val="000000"/>
                <w:sz w:val="22"/>
                <w:szCs w:val="22"/>
                <w:highlight w:val="none"/>
              </w:rPr>
              <w:t>检查单位</w:t>
            </w:r>
          </w:p>
        </w:tc>
        <w:tc>
          <w:tcPr>
            <w:tcW w:w="542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检查人员：</w:t>
            </w:r>
          </w:p>
        </w:tc>
        <w:tc>
          <w:tcPr>
            <w:tcW w:w="2674"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 </w:t>
            </w:r>
          </w:p>
        </w:tc>
      </w:tr>
      <w:tr>
        <w:tblPrEx>
          <w:tblCellMar>
            <w:top w:w="0" w:type="dxa"/>
            <w:left w:w="108" w:type="dxa"/>
            <w:bottom w:w="0" w:type="dxa"/>
            <w:right w:w="108" w:type="dxa"/>
          </w:tblCellMar>
        </w:tblPrEx>
        <w:trPr>
          <w:trHeight w:val="632" w:hRule="atLeast"/>
        </w:trPr>
        <w:tc>
          <w:tcPr>
            <w:tcW w:w="1560" w:type="dxa"/>
            <w:gridSpan w:val="2"/>
            <w:vMerge w:val="continue"/>
            <w:tcBorders>
              <w:top w:val="single" w:color="auto" w:sz="4" w:space="0"/>
              <w:left w:val="single" w:color="auto" w:sz="4" w:space="0"/>
              <w:bottom w:val="single" w:color="000000" w:sz="4" w:space="0"/>
              <w:right w:val="single" w:color="000000" w:sz="4" w:space="0"/>
            </w:tcBorders>
            <w:vAlign w:val="center"/>
          </w:tcPr>
          <w:p>
            <w:pPr>
              <w:shd w:val="clear"/>
              <w:spacing w:before="0" w:after="0" w:afterAutospacing="0" w:line="240" w:lineRule="auto"/>
              <w:ind w:left="0" w:right="0" w:firstLine="0"/>
              <w:jc w:val="left"/>
              <w:rPr>
                <w:rFonts w:ascii="宋体" w:hAnsi="宋体" w:eastAsia="宋体" w:cs="宋体"/>
                <w:b/>
                <w:bCs/>
                <w:color w:val="000000"/>
                <w:sz w:val="22"/>
                <w:szCs w:val="22"/>
                <w:highlight w:val="none"/>
              </w:rPr>
            </w:pPr>
          </w:p>
        </w:tc>
        <w:tc>
          <w:tcPr>
            <w:tcW w:w="542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工班长：</w:t>
            </w:r>
          </w:p>
        </w:tc>
        <w:tc>
          <w:tcPr>
            <w:tcW w:w="2674"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 </w:t>
            </w:r>
          </w:p>
        </w:tc>
      </w:tr>
      <w:tr>
        <w:tblPrEx>
          <w:tblCellMar>
            <w:top w:w="0" w:type="dxa"/>
            <w:left w:w="108" w:type="dxa"/>
            <w:bottom w:w="0" w:type="dxa"/>
            <w:right w:w="108" w:type="dxa"/>
          </w:tblCellMar>
        </w:tblPrEx>
        <w:trPr>
          <w:trHeight w:val="692" w:hRule="atLeast"/>
        </w:trPr>
        <w:tc>
          <w:tcPr>
            <w:tcW w:w="1560" w:type="dxa"/>
            <w:gridSpan w:val="2"/>
            <w:vMerge w:val="continue"/>
            <w:tcBorders>
              <w:top w:val="single" w:color="auto" w:sz="4" w:space="0"/>
              <w:left w:val="single" w:color="auto" w:sz="4" w:space="0"/>
              <w:bottom w:val="single" w:color="000000" w:sz="4" w:space="0"/>
              <w:right w:val="single" w:color="000000" w:sz="4" w:space="0"/>
            </w:tcBorders>
            <w:vAlign w:val="center"/>
          </w:tcPr>
          <w:p>
            <w:pPr>
              <w:shd w:val="clear"/>
              <w:spacing w:before="0" w:after="0" w:afterAutospacing="0" w:line="240" w:lineRule="auto"/>
              <w:ind w:left="0" w:right="0" w:firstLine="0"/>
              <w:jc w:val="left"/>
              <w:rPr>
                <w:rFonts w:ascii="宋体" w:hAnsi="宋体" w:eastAsia="宋体" w:cs="宋体"/>
                <w:b/>
                <w:bCs/>
                <w:color w:val="000000"/>
                <w:sz w:val="22"/>
                <w:szCs w:val="22"/>
                <w:highlight w:val="none"/>
              </w:rPr>
            </w:pPr>
          </w:p>
        </w:tc>
        <w:tc>
          <w:tcPr>
            <w:tcW w:w="542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技术主办：</w:t>
            </w:r>
          </w:p>
        </w:tc>
        <w:tc>
          <w:tcPr>
            <w:tcW w:w="2674"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 </w:t>
            </w:r>
          </w:p>
        </w:tc>
      </w:tr>
    </w:tbl>
    <w:p>
      <w:pPr>
        <w:shd w:val="clear"/>
        <w:spacing w:before="0" w:after="0" w:afterAutospacing="0" w:line="415" w:lineRule="auto"/>
        <w:ind w:left="0" w:right="-27" w:firstLine="0"/>
        <w:jc w:val="both"/>
        <w:outlineLvl w:val="1"/>
        <w:rPr>
          <w:rFonts w:cs="Times New Roman" w:asciiTheme="minorEastAsia" w:hAnsiTheme="minorEastAsia" w:eastAsiaTheme="minorEastAsia"/>
          <w:b w:val="0"/>
          <w:sz w:val="32"/>
          <w:szCs w:val="32"/>
          <w:highlight w:val="none"/>
          <w:lang w:val="en-US" w:eastAsia="zh-CN" w:bidi="ar-SA"/>
        </w:rPr>
      </w:pPr>
      <w:r>
        <w:rPr>
          <w:rFonts w:hint="eastAsia" w:cs="Times New Roman" w:asciiTheme="minorEastAsia" w:hAnsiTheme="minorEastAsia" w:eastAsiaTheme="minorEastAsia"/>
          <w:b w:val="0"/>
          <w:sz w:val="21"/>
          <w:szCs w:val="21"/>
          <w:highlight w:val="none"/>
          <w:lang w:val="en-US" w:eastAsia="zh-CN" w:bidi="ar-SA"/>
        </w:rPr>
        <w:t>附件8：项目使用功能测试记录表</w:t>
      </w:r>
    </w:p>
    <w:tbl>
      <w:tblPr>
        <w:tblStyle w:val="28"/>
        <w:tblW w:w="9720" w:type="dxa"/>
        <w:tblInd w:w="93" w:type="dxa"/>
        <w:tblLayout w:type="autofit"/>
        <w:tblCellMar>
          <w:top w:w="0" w:type="dxa"/>
          <w:left w:w="108" w:type="dxa"/>
          <w:bottom w:w="0" w:type="dxa"/>
          <w:right w:w="108" w:type="dxa"/>
        </w:tblCellMar>
      </w:tblPr>
      <w:tblGrid>
        <w:gridCol w:w="1740"/>
        <w:gridCol w:w="3000"/>
        <w:gridCol w:w="2320"/>
        <w:gridCol w:w="2660"/>
      </w:tblGrid>
      <w:tr>
        <w:tblPrEx>
          <w:tblCellMar>
            <w:top w:w="0" w:type="dxa"/>
            <w:left w:w="108" w:type="dxa"/>
            <w:bottom w:w="0" w:type="dxa"/>
            <w:right w:w="108" w:type="dxa"/>
          </w:tblCellMar>
        </w:tblPrEx>
        <w:trPr>
          <w:trHeight w:val="739" w:hRule="atLeast"/>
        </w:trPr>
        <w:tc>
          <w:tcPr>
            <w:tcW w:w="9720" w:type="dxa"/>
            <w:gridSpan w:val="4"/>
            <w:tcBorders>
              <w:top w:val="nil"/>
              <w:left w:val="nil"/>
              <w:bottom w:val="nil"/>
              <w:right w:val="nil"/>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b/>
                <w:bCs/>
                <w:color w:val="000000"/>
                <w:sz w:val="28"/>
                <w:szCs w:val="28"/>
                <w:highlight w:val="none"/>
              </w:rPr>
            </w:pPr>
            <w:r>
              <w:rPr>
                <w:rFonts w:hint="eastAsia" w:ascii="宋体" w:hAnsi="宋体" w:eastAsia="宋体" w:cs="宋体"/>
                <w:b/>
                <w:bCs/>
                <w:color w:val="000000"/>
                <w:sz w:val="28"/>
                <w:szCs w:val="28"/>
                <w:highlight w:val="none"/>
              </w:rPr>
              <w:t>项目使用功能测试记录表</w:t>
            </w:r>
          </w:p>
        </w:tc>
      </w:tr>
      <w:tr>
        <w:trPr>
          <w:trHeight w:val="1140" w:hRule="atLeast"/>
        </w:trPr>
        <w:tc>
          <w:tcPr>
            <w:tcW w:w="1740"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项目名称、编号及合同编号</w:t>
            </w:r>
          </w:p>
        </w:tc>
        <w:tc>
          <w:tcPr>
            <w:tcW w:w="7980" w:type="dxa"/>
            <w:gridSpan w:val="3"/>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项目名称:</w:t>
            </w:r>
            <w:r>
              <w:rPr>
                <w:rFonts w:hint="eastAsia" w:ascii="宋体" w:hAnsi="宋体" w:eastAsia="宋体" w:cs="宋体"/>
                <w:color w:val="000000"/>
                <w:sz w:val="22"/>
                <w:szCs w:val="22"/>
                <w:highlight w:val="none"/>
              </w:rPr>
              <w:br w:type="textWrapping"/>
            </w:r>
            <w:r>
              <w:rPr>
                <w:rFonts w:hint="eastAsia" w:ascii="宋体" w:hAnsi="宋体" w:eastAsia="宋体" w:cs="宋体"/>
                <w:color w:val="000000"/>
                <w:sz w:val="22"/>
                <w:szCs w:val="22"/>
                <w:highlight w:val="none"/>
              </w:rPr>
              <w:t>项目编号：</w:t>
            </w:r>
            <w:r>
              <w:rPr>
                <w:rFonts w:hint="eastAsia" w:ascii="宋体" w:hAnsi="宋体" w:eastAsia="宋体" w:cs="宋体"/>
                <w:color w:val="000000"/>
                <w:sz w:val="22"/>
                <w:szCs w:val="22"/>
                <w:highlight w:val="none"/>
              </w:rPr>
              <w:br w:type="textWrapping"/>
            </w:r>
            <w:r>
              <w:rPr>
                <w:rFonts w:hint="eastAsia" w:ascii="宋体" w:hAnsi="宋体" w:eastAsia="宋体" w:cs="宋体"/>
                <w:color w:val="000000"/>
                <w:sz w:val="22"/>
                <w:szCs w:val="22"/>
                <w:highlight w:val="none"/>
              </w:rPr>
              <w:t>合同编号：</w:t>
            </w:r>
          </w:p>
        </w:tc>
      </w:tr>
      <w:tr>
        <w:tblPrEx>
          <w:tblCellMar>
            <w:top w:w="0" w:type="dxa"/>
            <w:left w:w="108" w:type="dxa"/>
            <w:bottom w:w="0" w:type="dxa"/>
            <w:right w:w="108" w:type="dxa"/>
          </w:tblCellMar>
        </w:tblPrEx>
        <w:trPr>
          <w:trHeight w:val="499" w:hRule="atLeast"/>
        </w:trPr>
        <w:tc>
          <w:tcPr>
            <w:tcW w:w="1740" w:type="dxa"/>
            <w:tcBorders>
              <w:top w:val="nil"/>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项目地点</w:t>
            </w:r>
          </w:p>
        </w:tc>
        <w:tc>
          <w:tcPr>
            <w:tcW w:w="7980" w:type="dxa"/>
            <w:gridSpan w:val="3"/>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w:t>
            </w:r>
          </w:p>
        </w:tc>
      </w:tr>
      <w:tr>
        <w:tblPrEx>
          <w:tblCellMar>
            <w:top w:w="0" w:type="dxa"/>
            <w:left w:w="108" w:type="dxa"/>
            <w:bottom w:w="0" w:type="dxa"/>
            <w:right w:w="108" w:type="dxa"/>
          </w:tblCellMar>
        </w:tblPrEx>
        <w:trPr>
          <w:trHeight w:val="499" w:hRule="atLeast"/>
        </w:trPr>
        <w:tc>
          <w:tcPr>
            <w:tcW w:w="1740" w:type="dxa"/>
            <w:tcBorders>
              <w:top w:val="nil"/>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施工单位</w:t>
            </w:r>
          </w:p>
        </w:tc>
        <w:tc>
          <w:tcPr>
            <w:tcW w:w="7980" w:type="dxa"/>
            <w:gridSpan w:val="3"/>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w:t>
            </w:r>
          </w:p>
        </w:tc>
      </w:tr>
      <w:tr>
        <w:tblPrEx>
          <w:tblCellMar>
            <w:top w:w="0" w:type="dxa"/>
            <w:left w:w="108" w:type="dxa"/>
            <w:bottom w:w="0" w:type="dxa"/>
            <w:right w:w="108" w:type="dxa"/>
          </w:tblCellMar>
        </w:tblPrEx>
        <w:trPr>
          <w:trHeight w:val="499" w:hRule="atLeast"/>
        </w:trPr>
        <w:tc>
          <w:tcPr>
            <w:tcW w:w="1740" w:type="dxa"/>
            <w:tcBorders>
              <w:top w:val="nil"/>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检查单位</w:t>
            </w:r>
          </w:p>
        </w:tc>
        <w:tc>
          <w:tcPr>
            <w:tcW w:w="7980" w:type="dxa"/>
            <w:gridSpan w:val="3"/>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w:t>
            </w:r>
          </w:p>
        </w:tc>
      </w:tr>
      <w:tr>
        <w:trPr>
          <w:trHeight w:val="1140" w:hRule="atLeast"/>
        </w:trPr>
        <w:tc>
          <w:tcPr>
            <w:tcW w:w="174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质量控制资料</w:t>
            </w:r>
          </w:p>
        </w:tc>
        <w:tc>
          <w:tcPr>
            <w:tcW w:w="5320"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项目设施安装质量检查表、喷淋管道试压记录报告、项目冲洗记录表、项目管道防腐及隐蔽前工程检查表、项目隐蔽工程检查表</w:t>
            </w:r>
          </w:p>
        </w:tc>
        <w:tc>
          <w:tcPr>
            <w:tcW w:w="2660" w:type="dxa"/>
            <w:tcBorders>
              <w:top w:val="nil"/>
              <w:left w:val="nil"/>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是否完成   是</w:t>
            </w:r>
            <w:r>
              <w:rPr>
                <w:rFonts w:ascii="Wingdings 2" w:hAnsi="Wingdings 2" w:eastAsia="宋体" w:cs="宋体"/>
                <w:color w:val="000000"/>
                <w:sz w:val="22"/>
                <w:szCs w:val="22"/>
                <w:highlight w:val="none"/>
              </w:rPr>
              <w:t></w:t>
            </w:r>
            <w:r>
              <w:rPr>
                <w:rFonts w:hint="eastAsia" w:ascii="宋体" w:hAnsi="宋体" w:eastAsia="宋体" w:cs="宋体"/>
                <w:color w:val="000000"/>
                <w:sz w:val="22"/>
                <w:szCs w:val="22"/>
                <w:highlight w:val="none"/>
              </w:rPr>
              <w:t xml:space="preserve">   否</w:t>
            </w:r>
            <w:r>
              <w:rPr>
                <w:rFonts w:ascii="Wingdings 2" w:hAnsi="Wingdings 2" w:eastAsia="宋体" w:cs="宋体"/>
                <w:color w:val="000000"/>
                <w:sz w:val="22"/>
                <w:szCs w:val="22"/>
                <w:highlight w:val="none"/>
              </w:rPr>
              <w:t></w:t>
            </w:r>
          </w:p>
        </w:tc>
      </w:tr>
      <w:tr>
        <w:trPr>
          <w:trHeight w:val="499" w:hRule="atLeast"/>
        </w:trPr>
        <w:tc>
          <w:tcPr>
            <w:tcW w:w="1740" w:type="dxa"/>
            <w:tcBorders>
              <w:top w:val="nil"/>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序号</w:t>
            </w:r>
          </w:p>
        </w:tc>
        <w:tc>
          <w:tcPr>
            <w:tcW w:w="3000" w:type="dxa"/>
            <w:tcBorders>
              <w:top w:val="nil"/>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测试内容</w:t>
            </w:r>
          </w:p>
        </w:tc>
        <w:tc>
          <w:tcPr>
            <w:tcW w:w="4980"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测试结果</w:t>
            </w:r>
          </w:p>
        </w:tc>
      </w:tr>
      <w:tr>
        <w:tblPrEx>
          <w:tblCellMar>
            <w:top w:w="0" w:type="dxa"/>
            <w:left w:w="108" w:type="dxa"/>
            <w:bottom w:w="0" w:type="dxa"/>
            <w:right w:w="108" w:type="dxa"/>
          </w:tblCellMar>
        </w:tblPrEx>
        <w:trPr>
          <w:trHeight w:val="1279" w:hRule="atLeast"/>
        </w:trPr>
        <w:tc>
          <w:tcPr>
            <w:tcW w:w="174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1</w:t>
            </w:r>
          </w:p>
        </w:tc>
        <w:tc>
          <w:tcPr>
            <w:tcW w:w="3000" w:type="dxa"/>
            <w:tcBorders>
              <w:top w:val="nil"/>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使喷淋头受热，观察玻璃柱受热后是否破裂喷水。</w:t>
            </w:r>
          </w:p>
        </w:tc>
        <w:tc>
          <w:tcPr>
            <w:tcW w:w="4980"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w:t>
            </w:r>
          </w:p>
        </w:tc>
      </w:tr>
      <w:tr>
        <w:trPr>
          <w:trHeight w:val="1279" w:hRule="atLeast"/>
        </w:trPr>
        <w:tc>
          <w:tcPr>
            <w:tcW w:w="1740" w:type="dxa"/>
            <w:tcBorders>
              <w:top w:val="nil"/>
              <w:left w:val="single" w:color="auto" w:sz="4" w:space="0"/>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2</w:t>
            </w:r>
          </w:p>
        </w:tc>
        <w:tc>
          <w:tcPr>
            <w:tcW w:w="3000" w:type="dxa"/>
            <w:tcBorders>
              <w:top w:val="nil"/>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ascii="Times New Roman" w:hAnsi="Times New Roman" w:eastAsia="宋体" w:cs="Times New Roman"/>
                <w:highlight w:val="none"/>
              </w:rPr>
              <w:t>远程手动启动车位喷淋头，喷淋头玻璃柱是否破裂喷水。</w:t>
            </w:r>
          </w:p>
        </w:tc>
        <w:tc>
          <w:tcPr>
            <w:tcW w:w="4980" w:type="dxa"/>
            <w:gridSpan w:val="2"/>
            <w:tcBorders>
              <w:top w:val="single" w:color="auto" w:sz="4" w:space="0"/>
              <w:left w:val="nil"/>
              <w:bottom w:val="single" w:color="auto" w:sz="4" w:space="0"/>
              <w:right w:val="single" w:color="auto" w:sz="4" w:space="0"/>
            </w:tcBorders>
            <w:shd w:val="clear" w:color="auto" w:fill="auto"/>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p>
        </w:tc>
      </w:tr>
      <w:tr>
        <w:trPr>
          <w:trHeight w:val="600" w:hRule="atLeast"/>
        </w:trPr>
        <w:tc>
          <w:tcPr>
            <w:tcW w:w="1740" w:type="dxa"/>
            <w:vMerge w:val="restart"/>
            <w:tcBorders>
              <w:top w:val="nil"/>
              <w:left w:val="single" w:color="auto" w:sz="4" w:space="0"/>
              <w:bottom w:val="single" w:color="000000" w:sz="4" w:space="0"/>
              <w:right w:val="nil"/>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b/>
                <w:bCs/>
                <w:color w:val="000000"/>
                <w:sz w:val="22"/>
                <w:szCs w:val="22"/>
                <w:highlight w:val="none"/>
              </w:rPr>
            </w:pPr>
            <w:r>
              <w:rPr>
                <w:rFonts w:hint="eastAsia" w:ascii="宋体" w:hAnsi="宋体" w:eastAsia="宋体" w:cs="宋体"/>
                <w:b/>
                <w:bCs/>
                <w:color w:val="000000"/>
                <w:sz w:val="22"/>
                <w:szCs w:val="22"/>
                <w:highlight w:val="none"/>
              </w:rPr>
              <w:t>施工单位</w:t>
            </w:r>
          </w:p>
        </w:tc>
        <w:tc>
          <w:tcPr>
            <w:tcW w:w="3000" w:type="dxa"/>
            <w:tcBorders>
              <w:top w:val="nil"/>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施工人员：</w:t>
            </w:r>
          </w:p>
        </w:tc>
        <w:tc>
          <w:tcPr>
            <w:tcW w:w="4980" w:type="dxa"/>
            <w:gridSpan w:val="2"/>
            <w:tcBorders>
              <w:top w:val="single" w:color="auto" w:sz="4" w:space="0"/>
              <w:left w:val="nil"/>
              <w:bottom w:val="single" w:color="auto" w:sz="4" w:space="0"/>
              <w:right w:val="single" w:color="000000"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 </w:t>
            </w:r>
          </w:p>
        </w:tc>
      </w:tr>
      <w:tr>
        <w:tblPrEx>
          <w:tblCellMar>
            <w:top w:w="0" w:type="dxa"/>
            <w:left w:w="108" w:type="dxa"/>
            <w:bottom w:w="0" w:type="dxa"/>
            <w:right w:w="108" w:type="dxa"/>
          </w:tblCellMar>
        </w:tblPrEx>
        <w:trPr>
          <w:trHeight w:val="600" w:hRule="atLeast"/>
        </w:trPr>
        <w:tc>
          <w:tcPr>
            <w:tcW w:w="1740" w:type="dxa"/>
            <w:vMerge w:val="continue"/>
            <w:tcBorders>
              <w:top w:val="nil"/>
              <w:left w:val="single" w:color="auto" w:sz="4" w:space="0"/>
              <w:bottom w:val="single" w:color="000000" w:sz="4" w:space="0"/>
              <w:right w:val="nil"/>
            </w:tcBorders>
            <w:vAlign w:val="center"/>
          </w:tcPr>
          <w:p>
            <w:pPr>
              <w:shd w:val="clear"/>
              <w:spacing w:before="0" w:after="0" w:afterAutospacing="0" w:line="240" w:lineRule="auto"/>
              <w:ind w:left="0" w:right="0" w:firstLine="0"/>
              <w:jc w:val="left"/>
              <w:rPr>
                <w:rFonts w:ascii="宋体" w:hAnsi="宋体" w:eastAsia="宋体" w:cs="宋体"/>
                <w:b/>
                <w:bCs/>
                <w:color w:val="000000"/>
                <w:sz w:val="22"/>
                <w:szCs w:val="22"/>
                <w:highlight w:val="none"/>
              </w:rPr>
            </w:pPr>
          </w:p>
        </w:tc>
        <w:tc>
          <w:tcPr>
            <w:tcW w:w="3000" w:type="dxa"/>
            <w:tcBorders>
              <w:top w:val="nil"/>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项目负责人：</w:t>
            </w:r>
          </w:p>
        </w:tc>
        <w:tc>
          <w:tcPr>
            <w:tcW w:w="4980" w:type="dxa"/>
            <w:gridSpan w:val="2"/>
            <w:tcBorders>
              <w:top w:val="single" w:color="auto" w:sz="4" w:space="0"/>
              <w:left w:val="nil"/>
              <w:bottom w:val="single" w:color="auto" w:sz="4" w:space="0"/>
              <w:right w:val="single" w:color="000000"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 </w:t>
            </w:r>
          </w:p>
        </w:tc>
      </w:tr>
      <w:tr>
        <w:trPr>
          <w:trHeight w:val="600" w:hRule="atLeast"/>
        </w:trPr>
        <w:tc>
          <w:tcPr>
            <w:tcW w:w="1740" w:type="dxa"/>
            <w:vMerge w:val="restart"/>
            <w:tcBorders>
              <w:top w:val="nil"/>
              <w:left w:val="single" w:color="auto" w:sz="4" w:space="0"/>
              <w:bottom w:val="single" w:color="000000" w:sz="4" w:space="0"/>
              <w:right w:val="nil"/>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b/>
                <w:bCs/>
                <w:color w:val="000000"/>
                <w:sz w:val="22"/>
                <w:szCs w:val="22"/>
                <w:highlight w:val="none"/>
              </w:rPr>
            </w:pPr>
            <w:r>
              <w:rPr>
                <w:rFonts w:hint="eastAsia" w:ascii="宋体" w:hAnsi="宋体" w:eastAsia="宋体" w:cs="宋体"/>
                <w:b/>
                <w:bCs/>
                <w:color w:val="000000"/>
                <w:sz w:val="22"/>
                <w:szCs w:val="22"/>
                <w:highlight w:val="none"/>
              </w:rPr>
              <w:t>检查单位</w:t>
            </w:r>
          </w:p>
        </w:tc>
        <w:tc>
          <w:tcPr>
            <w:tcW w:w="3000" w:type="dxa"/>
            <w:tcBorders>
              <w:top w:val="nil"/>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检查人员：</w:t>
            </w:r>
          </w:p>
        </w:tc>
        <w:tc>
          <w:tcPr>
            <w:tcW w:w="4980" w:type="dxa"/>
            <w:gridSpan w:val="2"/>
            <w:tcBorders>
              <w:top w:val="single" w:color="auto" w:sz="4" w:space="0"/>
              <w:left w:val="nil"/>
              <w:bottom w:val="single" w:color="auto" w:sz="4" w:space="0"/>
              <w:right w:val="single" w:color="000000"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 </w:t>
            </w:r>
          </w:p>
        </w:tc>
      </w:tr>
      <w:tr>
        <w:trPr>
          <w:trHeight w:val="600" w:hRule="atLeast"/>
        </w:trPr>
        <w:tc>
          <w:tcPr>
            <w:tcW w:w="1740" w:type="dxa"/>
            <w:vMerge w:val="continue"/>
            <w:tcBorders>
              <w:top w:val="nil"/>
              <w:left w:val="single" w:color="auto" w:sz="4" w:space="0"/>
              <w:bottom w:val="single" w:color="000000" w:sz="4" w:space="0"/>
              <w:right w:val="nil"/>
            </w:tcBorders>
            <w:vAlign w:val="center"/>
          </w:tcPr>
          <w:p>
            <w:pPr>
              <w:shd w:val="clear"/>
              <w:spacing w:before="0" w:after="0" w:afterAutospacing="0" w:line="240" w:lineRule="auto"/>
              <w:ind w:left="0" w:right="0" w:firstLine="0"/>
              <w:jc w:val="left"/>
              <w:rPr>
                <w:rFonts w:ascii="宋体" w:hAnsi="宋体" w:eastAsia="宋体" w:cs="宋体"/>
                <w:b/>
                <w:bCs/>
                <w:color w:val="000000"/>
                <w:sz w:val="22"/>
                <w:szCs w:val="22"/>
                <w:highlight w:val="none"/>
              </w:rPr>
            </w:pPr>
          </w:p>
        </w:tc>
        <w:tc>
          <w:tcPr>
            <w:tcW w:w="3000" w:type="dxa"/>
            <w:tcBorders>
              <w:top w:val="nil"/>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工班长：</w:t>
            </w:r>
          </w:p>
        </w:tc>
        <w:tc>
          <w:tcPr>
            <w:tcW w:w="4980" w:type="dxa"/>
            <w:gridSpan w:val="2"/>
            <w:tcBorders>
              <w:top w:val="single" w:color="auto" w:sz="4" w:space="0"/>
              <w:left w:val="nil"/>
              <w:bottom w:val="single" w:color="auto" w:sz="4" w:space="0"/>
              <w:right w:val="single" w:color="000000"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 </w:t>
            </w:r>
          </w:p>
        </w:tc>
      </w:tr>
      <w:tr>
        <w:tblPrEx>
          <w:tblCellMar>
            <w:top w:w="0" w:type="dxa"/>
            <w:left w:w="108" w:type="dxa"/>
            <w:bottom w:w="0" w:type="dxa"/>
            <w:right w:w="108" w:type="dxa"/>
          </w:tblCellMar>
        </w:tblPrEx>
        <w:trPr>
          <w:trHeight w:val="600" w:hRule="atLeast"/>
        </w:trPr>
        <w:tc>
          <w:tcPr>
            <w:tcW w:w="1740" w:type="dxa"/>
            <w:vMerge w:val="continue"/>
            <w:tcBorders>
              <w:top w:val="nil"/>
              <w:left w:val="single" w:color="auto" w:sz="4" w:space="0"/>
              <w:bottom w:val="single" w:color="000000" w:sz="4" w:space="0"/>
              <w:right w:val="nil"/>
            </w:tcBorders>
            <w:vAlign w:val="center"/>
          </w:tcPr>
          <w:p>
            <w:pPr>
              <w:shd w:val="clear"/>
              <w:spacing w:before="0" w:after="0" w:afterAutospacing="0" w:line="240" w:lineRule="auto"/>
              <w:ind w:left="0" w:right="0" w:firstLine="0"/>
              <w:jc w:val="left"/>
              <w:rPr>
                <w:rFonts w:ascii="宋体" w:hAnsi="宋体" w:eastAsia="宋体" w:cs="宋体"/>
                <w:b/>
                <w:bCs/>
                <w:color w:val="000000"/>
                <w:sz w:val="22"/>
                <w:szCs w:val="22"/>
                <w:highlight w:val="none"/>
              </w:rPr>
            </w:pPr>
          </w:p>
        </w:tc>
        <w:tc>
          <w:tcPr>
            <w:tcW w:w="3000" w:type="dxa"/>
            <w:tcBorders>
              <w:top w:val="nil"/>
              <w:left w:val="single" w:color="auto" w:sz="4" w:space="0"/>
              <w:bottom w:val="single" w:color="auto" w:sz="4" w:space="0"/>
              <w:right w:val="single" w:color="auto" w:sz="4" w:space="0"/>
            </w:tcBorders>
            <w:shd w:val="clear" w:color="auto" w:fill="auto"/>
            <w:noWrap/>
            <w:vAlign w:val="center"/>
          </w:tcPr>
          <w:p>
            <w:pPr>
              <w:shd w:val="clear"/>
              <w:spacing w:before="0" w:after="0" w:afterAutospacing="0" w:line="240" w:lineRule="auto"/>
              <w:ind w:left="0" w:right="0" w:firstLine="0"/>
              <w:jc w:val="left"/>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技术主办：</w:t>
            </w:r>
          </w:p>
        </w:tc>
        <w:tc>
          <w:tcPr>
            <w:tcW w:w="4980" w:type="dxa"/>
            <w:gridSpan w:val="2"/>
            <w:tcBorders>
              <w:top w:val="single" w:color="auto" w:sz="4" w:space="0"/>
              <w:left w:val="nil"/>
              <w:bottom w:val="single" w:color="auto" w:sz="4" w:space="0"/>
              <w:right w:val="single" w:color="000000" w:sz="4" w:space="0"/>
            </w:tcBorders>
            <w:shd w:val="clear" w:color="auto" w:fill="auto"/>
            <w:noWrap/>
            <w:vAlign w:val="center"/>
          </w:tcPr>
          <w:p>
            <w:pPr>
              <w:shd w:val="clear"/>
              <w:spacing w:before="0" w:after="0" w:afterAutospacing="0" w:line="240" w:lineRule="auto"/>
              <w:ind w:left="0" w:right="0" w:firstLine="0"/>
              <w:jc w:val="cente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年    月    日 </w:t>
            </w:r>
          </w:p>
        </w:tc>
      </w:tr>
    </w:tbl>
    <w:p>
      <w:pPr>
        <w:shd w:val="clear"/>
        <w:spacing w:before="120" w:after="100" w:afterAutospacing="1" w:line="360" w:lineRule="auto"/>
        <w:ind w:left="709" w:right="-27" w:hanging="709"/>
        <w:jc w:val="both"/>
        <w:rPr>
          <w:rFonts w:ascii="宋体" w:hAnsi="Courier New" w:eastAsia="宋体" w:cs="宋体"/>
          <w:sz w:val="20"/>
          <w:szCs w:val="20"/>
          <w:highlight w:val="none"/>
          <w:lang w:val="en-US" w:eastAsia="zh-CN" w:bidi="ar-SA"/>
        </w:rPr>
      </w:pPr>
    </w:p>
    <w:p>
      <w:pPr>
        <w:shd w:val="clear"/>
        <w:spacing w:before="120" w:after="100" w:afterAutospacing="1" w:line="360" w:lineRule="auto"/>
        <w:ind w:left="709" w:right="-27" w:hanging="709"/>
        <w:jc w:val="both"/>
        <w:rPr>
          <w:rFonts w:ascii="宋体" w:hAnsi="Courier New" w:eastAsia="宋体" w:cs="宋体"/>
          <w:sz w:val="20"/>
          <w:szCs w:val="20"/>
          <w:highlight w:val="none"/>
          <w:lang w:val="en-US" w:eastAsia="zh-CN" w:bidi="ar-SA"/>
        </w:rPr>
      </w:pPr>
      <w:r>
        <w:rPr>
          <w:rFonts w:ascii="宋体" w:hAnsi="Courier New" w:eastAsia="宋体" w:cs="宋体"/>
          <w:sz w:val="20"/>
          <w:szCs w:val="20"/>
          <w:highlight w:val="none"/>
          <w:lang w:val="en-US" w:eastAsia="zh-CN" w:bidi="ar-SA"/>
        </w:rPr>
        <w:br w:type="page"/>
      </w:r>
      <w:r>
        <w:rPr>
          <w:rFonts w:hint="eastAsia" w:cs="Times New Roman" w:asciiTheme="minorEastAsia" w:hAnsiTheme="minorEastAsia" w:eastAsiaTheme="minorEastAsia"/>
          <w:sz w:val="21"/>
          <w:szCs w:val="21"/>
          <w:highlight w:val="none"/>
          <w:lang w:val="en-US" w:eastAsia="zh-CN" w:bidi="ar-SA"/>
        </w:rPr>
        <w:t>附件9：委外项目实体工程作业质、量、进度现场验收表</w:t>
      </w:r>
    </w:p>
    <w:p>
      <w:pPr>
        <w:shd w:val="clear"/>
        <w:spacing w:line="500" w:lineRule="exact"/>
        <w:jc w:val="center"/>
        <w:rPr>
          <w:rFonts w:ascii="宋体" w:hAnsi="宋体" w:eastAsia="宋体" w:cs="Times New Roman"/>
          <w:b/>
          <w:bCs/>
          <w:sz w:val="32"/>
          <w:szCs w:val="32"/>
          <w:highlight w:val="none"/>
        </w:rPr>
      </w:pPr>
      <w:r>
        <w:rPr>
          <w:rFonts w:hint="eastAsia" w:ascii="宋体" w:hAnsi="宋体" w:eastAsia="宋体" w:cs="Times New Roman"/>
          <w:b/>
          <w:bCs/>
          <w:sz w:val="32"/>
          <w:szCs w:val="32"/>
          <w:highlight w:val="none"/>
        </w:rPr>
        <w:t>委外项目实体工程作业质、量、进度现场验收表</w:t>
      </w:r>
    </w:p>
    <w:p>
      <w:pPr>
        <w:shd w:val="clear"/>
        <w:spacing w:line="500" w:lineRule="exact"/>
        <w:jc w:val="left"/>
        <w:rPr>
          <w:rFonts w:ascii="宋体" w:hAnsi="宋体" w:eastAsia="宋体" w:cs="Times New Roman"/>
          <w:b/>
          <w:bCs/>
          <w:sz w:val="24"/>
          <w:highlight w:val="none"/>
        </w:rPr>
      </w:pPr>
      <w:r>
        <w:rPr>
          <w:rFonts w:hint="eastAsia" w:ascii="宋体" w:hAnsi="宋体" w:eastAsia="宋体" w:cs="Times New Roman"/>
          <w:b/>
          <w:bCs/>
          <w:sz w:val="24"/>
          <w:highlight w:val="none"/>
        </w:rPr>
        <w:t>计价类型：                                       编号：</w:t>
      </w:r>
      <w:r>
        <w:rPr>
          <w:rFonts w:hint="eastAsia" w:ascii="宋体" w:hAnsi="宋体" w:eastAsia="宋体" w:cs="Times New Roman"/>
          <w:color w:val="000000"/>
          <w:sz w:val="28"/>
          <w:szCs w:val="30"/>
          <w:highlight w:val="none"/>
        </w:rPr>
        <w:t xml:space="preserve"> </w:t>
      </w:r>
    </w:p>
    <w:tbl>
      <w:tblPr>
        <w:tblStyle w:val="28"/>
        <w:tblW w:w="9781" w:type="dxa"/>
        <w:tblInd w:w="-3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35"/>
        <w:gridCol w:w="1842"/>
        <w:gridCol w:w="2268"/>
        <w:gridCol w:w="2127"/>
        <w:gridCol w:w="24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2" w:hRule="atLeast"/>
        </w:trPr>
        <w:tc>
          <w:tcPr>
            <w:tcW w:w="2977" w:type="dxa"/>
            <w:gridSpan w:val="2"/>
            <w:tcBorders>
              <w:top w:val="single" w:color="auto" w:sz="12" w:space="0"/>
              <w:left w:val="single" w:color="auto" w:sz="12" w:space="0"/>
              <w:bottom w:val="single" w:color="auto" w:sz="6" w:space="0"/>
              <w:right w:val="single" w:color="auto" w:sz="6" w:space="0"/>
            </w:tcBorders>
            <w:vAlign w:val="center"/>
          </w:tcPr>
          <w:p>
            <w:pPr>
              <w:shd w:val="clear"/>
              <w:spacing w:line="500" w:lineRule="exact"/>
              <w:jc w:val="center"/>
              <w:rPr>
                <w:rFonts w:ascii="宋体" w:hAnsi="宋体" w:eastAsia="宋体" w:cs="Times New Roman"/>
                <w:b/>
                <w:highlight w:val="none"/>
              </w:rPr>
            </w:pPr>
            <w:r>
              <w:rPr>
                <w:rFonts w:hint="eastAsia" w:ascii="宋体" w:hAnsi="宋体" w:eastAsia="宋体" w:cs="Times New Roman"/>
                <w:b/>
                <w:highlight w:val="none"/>
              </w:rPr>
              <w:t>合同名称</w:t>
            </w:r>
          </w:p>
        </w:tc>
        <w:tc>
          <w:tcPr>
            <w:tcW w:w="2268" w:type="dxa"/>
            <w:tcBorders>
              <w:top w:val="single" w:color="auto" w:sz="12" w:space="0"/>
              <w:left w:val="single" w:color="auto" w:sz="6" w:space="0"/>
              <w:bottom w:val="single" w:color="auto" w:sz="6" w:space="0"/>
              <w:right w:val="single" w:color="auto" w:sz="6" w:space="0"/>
            </w:tcBorders>
            <w:vAlign w:val="center"/>
          </w:tcPr>
          <w:p>
            <w:pPr>
              <w:widowControl w:val="0"/>
              <w:shd w:val="clear"/>
              <w:spacing w:line="240" w:lineRule="atLeast"/>
              <w:jc w:val="left"/>
              <w:rPr>
                <w:rFonts w:ascii="宋体" w:hAnsi="宋体" w:eastAsia="宋体" w:cs="Times New Roman"/>
                <w:highlight w:val="none"/>
              </w:rPr>
            </w:pPr>
          </w:p>
        </w:tc>
        <w:tc>
          <w:tcPr>
            <w:tcW w:w="2127" w:type="dxa"/>
            <w:tcBorders>
              <w:top w:val="single" w:color="auto" w:sz="12" w:space="0"/>
              <w:left w:val="single" w:color="auto" w:sz="6" w:space="0"/>
              <w:bottom w:val="single" w:color="auto" w:sz="6" w:space="0"/>
              <w:right w:val="single" w:color="auto" w:sz="6" w:space="0"/>
            </w:tcBorders>
            <w:vAlign w:val="center"/>
          </w:tcPr>
          <w:p>
            <w:pPr>
              <w:shd w:val="clear"/>
              <w:spacing w:line="500" w:lineRule="exact"/>
              <w:jc w:val="center"/>
              <w:rPr>
                <w:rFonts w:ascii="宋体" w:hAnsi="宋体" w:eastAsia="宋体" w:cs="Times New Roman"/>
                <w:b/>
                <w:highlight w:val="none"/>
              </w:rPr>
            </w:pPr>
            <w:r>
              <w:rPr>
                <w:rFonts w:hint="eastAsia" w:ascii="宋体" w:hAnsi="宋体" w:eastAsia="宋体" w:cs="Times New Roman"/>
                <w:b/>
                <w:highlight w:val="none"/>
              </w:rPr>
              <w:t>合同编号</w:t>
            </w:r>
          </w:p>
        </w:tc>
        <w:tc>
          <w:tcPr>
            <w:tcW w:w="2409" w:type="dxa"/>
            <w:tcBorders>
              <w:top w:val="single" w:color="auto" w:sz="12" w:space="0"/>
              <w:left w:val="single" w:color="auto" w:sz="6" w:space="0"/>
              <w:bottom w:val="single" w:color="auto" w:sz="6" w:space="0"/>
              <w:right w:val="single" w:color="auto" w:sz="12" w:space="0"/>
            </w:tcBorders>
            <w:vAlign w:val="center"/>
          </w:tcPr>
          <w:p>
            <w:pPr>
              <w:shd w:val="clear"/>
              <w:spacing w:line="240" w:lineRule="auto"/>
              <w:jc w:val="center"/>
              <w:rPr>
                <w:rFonts w:ascii="宋体" w:hAnsi="宋体" w:eastAsia="宋体" w:cs="Times New Roman"/>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4" w:hRule="atLeast"/>
        </w:trPr>
        <w:tc>
          <w:tcPr>
            <w:tcW w:w="2977" w:type="dxa"/>
            <w:gridSpan w:val="2"/>
            <w:tcBorders>
              <w:top w:val="single" w:color="auto" w:sz="6" w:space="0"/>
              <w:left w:val="single" w:color="auto" w:sz="12" w:space="0"/>
              <w:bottom w:val="single" w:color="auto" w:sz="6" w:space="0"/>
              <w:right w:val="single" w:color="auto" w:sz="6" w:space="0"/>
            </w:tcBorders>
            <w:vAlign w:val="center"/>
          </w:tcPr>
          <w:p>
            <w:pPr>
              <w:shd w:val="clear"/>
              <w:spacing w:line="500" w:lineRule="exact"/>
              <w:jc w:val="center"/>
              <w:rPr>
                <w:rFonts w:ascii="宋体" w:hAnsi="宋体" w:eastAsia="宋体" w:cs="Times New Roman"/>
                <w:b/>
                <w:highlight w:val="none"/>
              </w:rPr>
            </w:pPr>
            <w:r>
              <w:rPr>
                <w:rFonts w:hint="eastAsia" w:ascii="宋体" w:hAnsi="宋体" w:eastAsia="宋体" w:cs="Times New Roman"/>
                <w:b/>
                <w:highlight w:val="none"/>
              </w:rPr>
              <w:t>承包商</w:t>
            </w:r>
          </w:p>
        </w:tc>
        <w:tc>
          <w:tcPr>
            <w:tcW w:w="2268" w:type="dxa"/>
            <w:tcBorders>
              <w:top w:val="single" w:color="auto" w:sz="6" w:space="0"/>
              <w:left w:val="single" w:color="auto" w:sz="6" w:space="0"/>
              <w:bottom w:val="single" w:color="auto" w:sz="6" w:space="0"/>
              <w:right w:val="single" w:color="auto" w:sz="6" w:space="0"/>
            </w:tcBorders>
            <w:vAlign w:val="center"/>
          </w:tcPr>
          <w:p>
            <w:pPr>
              <w:widowControl w:val="0"/>
              <w:shd w:val="clear"/>
              <w:spacing w:line="240" w:lineRule="atLeast"/>
              <w:jc w:val="center"/>
              <w:rPr>
                <w:rFonts w:ascii="宋体" w:hAnsi="宋体" w:eastAsia="宋体" w:cs="Times New Roman"/>
                <w:highlight w:val="none"/>
              </w:rPr>
            </w:pPr>
          </w:p>
        </w:tc>
        <w:tc>
          <w:tcPr>
            <w:tcW w:w="2127" w:type="dxa"/>
            <w:tcBorders>
              <w:top w:val="single" w:color="auto" w:sz="6" w:space="0"/>
              <w:left w:val="single" w:color="auto" w:sz="6" w:space="0"/>
              <w:bottom w:val="single" w:color="auto" w:sz="6" w:space="0"/>
              <w:right w:val="single" w:color="auto" w:sz="6" w:space="0"/>
            </w:tcBorders>
            <w:vAlign w:val="center"/>
          </w:tcPr>
          <w:p>
            <w:pPr>
              <w:shd w:val="clear"/>
              <w:jc w:val="center"/>
              <w:rPr>
                <w:rFonts w:ascii="宋体" w:hAnsi="宋体" w:eastAsia="宋体" w:cs="Times New Roman"/>
                <w:b/>
                <w:highlight w:val="none"/>
              </w:rPr>
            </w:pPr>
            <w:r>
              <w:rPr>
                <w:rFonts w:hint="eastAsia" w:ascii="宋体" w:hAnsi="宋体" w:eastAsia="宋体" w:cs="Times New Roman"/>
                <w:b/>
                <w:highlight w:val="none"/>
              </w:rPr>
              <w:t>完成作业时间</w:t>
            </w:r>
          </w:p>
        </w:tc>
        <w:tc>
          <w:tcPr>
            <w:tcW w:w="2409" w:type="dxa"/>
            <w:tcBorders>
              <w:top w:val="single" w:color="auto" w:sz="6" w:space="0"/>
              <w:left w:val="single" w:color="auto" w:sz="6" w:space="0"/>
              <w:bottom w:val="single" w:color="auto" w:sz="6" w:space="0"/>
              <w:right w:val="single" w:color="auto" w:sz="12" w:space="0"/>
            </w:tcBorders>
            <w:vAlign w:val="center"/>
          </w:tcPr>
          <w:p>
            <w:pPr>
              <w:shd w:val="clear"/>
              <w:spacing w:line="240" w:lineRule="atLeast"/>
              <w:jc w:val="center"/>
              <w:rPr>
                <w:rFonts w:ascii="宋体" w:hAnsi="宋体" w:eastAsia="宋体" w:cs="Times New Roman"/>
                <w:highlight w:val="none"/>
              </w:rPr>
            </w:pPr>
            <w:r>
              <w:rPr>
                <w:rFonts w:hint="eastAsia" w:ascii="宋体" w:hAnsi="宋体" w:eastAsia="宋体" w:cs="Times New Roman"/>
                <w:highlight w:val="none"/>
              </w:rPr>
              <w:t xml:space="preserve">    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135" w:type="dxa"/>
            <w:vMerge w:val="restart"/>
            <w:tcBorders>
              <w:top w:val="single" w:color="auto" w:sz="4" w:space="0"/>
              <w:left w:val="single" w:color="auto" w:sz="12" w:space="0"/>
              <w:right w:val="single" w:color="auto" w:sz="6" w:space="0"/>
            </w:tcBorders>
            <w:textDirection w:val="tbRlV"/>
            <w:vAlign w:val="center"/>
          </w:tcPr>
          <w:p>
            <w:pPr>
              <w:shd w:val="clear"/>
              <w:spacing w:line="500" w:lineRule="exact"/>
              <w:ind w:left="822"/>
              <w:jc w:val="center"/>
              <w:rPr>
                <w:rFonts w:ascii="宋体" w:hAnsi="宋体" w:eastAsia="宋体" w:cs="Times New Roman"/>
                <w:b/>
                <w:highlight w:val="none"/>
              </w:rPr>
            </w:pPr>
            <w:r>
              <w:rPr>
                <w:rFonts w:hint="eastAsia" w:ascii="宋体" w:hAnsi="宋体" w:eastAsia="宋体" w:cs="Times New Roman"/>
                <w:b/>
                <w:highlight w:val="none"/>
              </w:rPr>
              <w:t>项  目  执  行  情  况</w:t>
            </w:r>
          </w:p>
        </w:tc>
        <w:tc>
          <w:tcPr>
            <w:tcW w:w="1842" w:type="dxa"/>
            <w:tcBorders>
              <w:top w:val="single" w:color="auto" w:sz="6" w:space="0"/>
              <w:left w:val="single" w:color="auto" w:sz="6" w:space="0"/>
              <w:bottom w:val="single" w:color="auto" w:sz="4" w:space="0"/>
              <w:right w:val="single" w:color="auto" w:sz="6" w:space="0"/>
            </w:tcBorders>
            <w:vAlign w:val="center"/>
          </w:tcPr>
          <w:p>
            <w:pPr>
              <w:shd w:val="clear"/>
              <w:jc w:val="center"/>
              <w:rPr>
                <w:rFonts w:ascii="宋体" w:hAnsi="宋体" w:eastAsia="宋体" w:cs="Times New Roman"/>
                <w:b/>
                <w:highlight w:val="none"/>
              </w:rPr>
            </w:pPr>
            <w:r>
              <w:rPr>
                <w:rFonts w:hint="eastAsia" w:ascii="宋体" w:hAnsi="宋体" w:eastAsia="宋体" w:cs="Times New Roman"/>
                <w:b/>
                <w:highlight w:val="none"/>
              </w:rPr>
              <w:t>作业量情况</w:t>
            </w:r>
          </w:p>
        </w:tc>
        <w:tc>
          <w:tcPr>
            <w:tcW w:w="6804" w:type="dxa"/>
            <w:gridSpan w:val="3"/>
            <w:tcBorders>
              <w:top w:val="single" w:color="auto" w:sz="6" w:space="0"/>
              <w:left w:val="single" w:color="auto" w:sz="6" w:space="0"/>
              <w:bottom w:val="single" w:color="auto" w:sz="4" w:space="0"/>
              <w:right w:val="single" w:color="auto" w:sz="12" w:space="0"/>
            </w:tcBorders>
          </w:tcPr>
          <w:p>
            <w:pPr>
              <w:widowControl w:val="0"/>
              <w:shd w:val="clear"/>
              <w:spacing w:line="240" w:lineRule="atLeast"/>
              <w:ind w:firstLine="420" w:firstLineChars="200"/>
              <w:jc w:val="left"/>
              <w:rPr>
                <w:rFonts w:ascii="宋体" w:hAnsi="宋体" w:eastAsia="宋体" w:cs="Times New Roman"/>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56" w:hRule="atLeast"/>
        </w:trPr>
        <w:tc>
          <w:tcPr>
            <w:tcW w:w="1135" w:type="dxa"/>
            <w:vMerge w:val="continue"/>
            <w:tcBorders>
              <w:left w:val="single" w:color="auto" w:sz="12" w:space="0"/>
              <w:right w:val="single" w:color="auto" w:sz="6" w:space="0"/>
            </w:tcBorders>
            <w:vAlign w:val="center"/>
          </w:tcPr>
          <w:p>
            <w:pPr>
              <w:shd w:val="clear"/>
              <w:spacing w:line="500" w:lineRule="exact"/>
              <w:jc w:val="left"/>
              <w:rPr>
                <w:rFonts w:ascii="宋体" w:hAnsi="宋体" w:eastAsia="宋体" w:cs="Times New Roman"/>
                <w:b/>
                <w:highlight w:val="none"/>
              </w:rPr>
            </w:pPr>
          </w:p>
        </w:tc>
        <w:tc>
          <w:tcPr>
            <w:tcW w:w="1842" w:type="dxa"/>
            <w:tcBorders>
              <w:top w:val="single" w:color="auto" w:sz="6" w:space="0"/>
              <w:left w:val="single" w:color="auto" w:sz="6" w:space="0"/>
              <w:bottom w:val="single" w:color="auto" w:sz="4" w:space="0"/>
              <w:right w:val="single" w:color="auto" w:sz="6" w:space="0"/>
            </w:tcBorders>
            <w:vAlign w:val="center"/>
          </w:tcPr>
          <w:p>
            <w:pPr>
              <w:shd w:val="clear"/>
              <w:spacing w:line="500" w:lineRule="exact"/>
              <w:jc w:val="center"/>
              <w:rPr>
                <w:rFonts w:ascii="宋体" w:hAnsi="宋体" w:eastAsia="宋体" w:cs="Times New Roman"/>
                <w:b/>
                <w:highlight w:val="none"/>
              </w:rPr>
            </w:pPr>
            <w:r>
              <w:rPr>
                <w:rFonts w:hint="eastAsia" w:ascii="宋体" w:hAnsi="宋体" w:eastAsia="宋体" w:cs="Times New Roman"/>
                <w:b/>
                <w:highlight w:val="none"/>
              </w:rPr>
              <w:t>作业完成情况</w:t>
            </w:r>
          </w:p>
        </w:tc>
        <w:tc>
          <w:tcPr>
            <w:tcW w:w="6804" w:type="dxa"/>
            <w:gridSpan w:val="3"/>
            <w:tcBorders>
              <w:top w:val="single" w:color="auto" w:sz="6" w:space="0"/>
              <w:left w:val="single" w:color="auto" w:sz="6" w:space="0"/>
              <w:bottom w:val="single" w:color="auto" w:sz="4" w:space="0"/>
              <w:right w:val="single" w:color="auto" w:sz="12" w:space="0"/>
            </w:tcBorders>
          </w:tcPr>
          <w:p>
            <w:pPr>
              <w:widowControl w:val="0"/>
              <w:shd w:val="clear"/>
              <w:spacing w:line="240" w:lineRule="atLeast"/>
              <w:ind w:firstLine="420" w:firstLineChars="200"/>
              <w:jc w:val="left"/>
              <w:rPr>
                <w:rFonts w:ascii="宋体" w:hAnsi="宋体" w:eastAsia="宋体" w:cs="Times New Roman"/>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3" w:hRule="atLeast"/>
        </w:trPr>
        <w:tc>
          <w:tcPr>
            <w:tcW w:w="1135" w:type="dxa"/>
            <w:vMerge w:val="continue"/>
            <w:tcBorders>
              <w:left w:val="single" w:color="auto" w:sz="12" w:space="0"/>
              <w:right w:val="single" w:color="auto" w:sz="6" w:space="0"/>
            </w:tcBorders>
            <w:vAlign w:val="center"/>
          </w:tcPr>
          <w:p>
            <w:pPr>
              <w:shd w:val="clear"/>
              <w:spacing w:line="500" w:lineRule="exact"/>
              <w:jc w:val="left"/>
              <w:rPr>
                <w:rFonts w:ascii="宋体" w:hAnsi="宋体" w:eastAsia="宋体" w:cs="Times New Roman"/>
                <w:b/>
                <w:highlight w:val="none"/>
              </w:rPr>
            </w:pPr>
          </w:p>
        </w:tc>
        <w:tc>
          <w:tcPr>
            <w:tcW w:w="1842" w:type="dxa"/>
            <w:tcBorders>
              <w:top w:val="single" w:color="auto" w:sz="6" w:space="0"/>
              <w:left w:val="single" w:color="auto" w:sz="6" w:space="0"/>
              <w:bottom w:val="single" w:color="auto" w:sz="4" w:space="0"/>
              <w:right w:val="single" w:color="auto" w:sz="6" w:space="0"/>
            </w:tcBorders>
            <w:vAlign w:val="center"/>
          </w:tcPr>
          <w:p>
            <w:pPr>
              <w:shd w:val="clear"/>
              <w:spacing w:line="500" w:lineRule="exact"/>
              <w:jc w:val="center"/>
              <w:rPr>
                <w:rFonts w:ascii="宋体" w:hAnsi="宋体" w:eastAsia="宋体" w:cs="Times New Roman"/>
                <w:b/>
                <w:highlight w:val="none"/>
              </w:rPr>
            </w:pPr>
            <w:r>
              <w:rPr>
                <w:rFonts w:hint="eastAsia" w:ascii="宋体" w:hAnsi="宋体" w:eastAsia="宋体" w:cs="Times New Roman"/>
                <w:b/>
                <w:highlight w:val="none"/>
              </w:rPr>
              <w:t>项目评价情况</w:t>
            </w:r>
          </w:p>
        </w:tc>
        <w:tc>
          <w:tcPr>
            <w:tcW w:w="6804" w:type="dxa"/>
            <w:gridSpan w:val="3"/>
            <w:tcBorders>
              <w:top w:val="single" w:color="auto" w:sz="6" w:space="0"/>
              <w:left w:val="single" w:color="auto" w:sz="6" w:space="0"/>
              <w:bottom w:val="single" w:color="auto" w:sz="4" w:space="0"/>
              <w:right w:val="single" w:color="auto" w:sz="12" w:space="0"/>
            </w:tcBorders>
            <w:vAlign w:val="center"/>
          </w:tcPr>
          <w:p>
            <w:pPr>
              <w:shd w:val="clear"/>
              <w:ind w:firstLine="422" w:firstLineChars="200"/>
              <w:rPr>
                <w:rFonts w:ascii="宋体" w:hAnsi="宋体" w:eastAsia="宋体" w:cs="Times New Roman"/>
                <w:b/>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3" w:hRule="atLeast"/>
        </w:trPr>
        <w:tc>
          <w:tcPr>
            <w:tcW w:w="1135" w:type="dxa"/>
            <w:vMerge w:val="continue"/>
            <w:tcBorders>
              <w:left w:val="single" w:color="auto" w:sz="12" w:space="0"/>
              <w:right w:val="single" w:color="auto" w:sz="6" w:space="0"/>
            </w:tcBorders>
            <w:vAlign w:val="center"/>
          </w:tcPr>
          <w:p>
            <w:pPr>
              <w:shd w:val="clear"/>
              <w:spacing w:line="500" w:lineRule="exact"/>
              <w:jc w:val="left"/>
              <w:rPr>
                <w:rFonts w:ascii="宋体" w:hAnsi="宋体" w:eastAsia="宋体" w:cs="Times New Roman"/>
                <w:b/>
                <w:highlight w:val="none"/>
              </w:rPr>
            </w:pPr>
          </w:p>
        </w:tc>
        <w:tc>
          <w:tcPr>
            <w:tcW w:w="1842" w:type="dxa"/>
            <w:tcBorders>
              <w:top w:val="single" w:color="auto" w:sz="6" w:space="0"/>
              <w:left w:val="single" w:color="auto" w:sz="6" w:space="0"/>
              <w:bottom w:val="single" w:color="auto" w:sz="4" w:space="0"/>
              <w:right w:val="single" w:color="auto" w:sz="6" w:space="0"/>
            </w:tcBorders>
            <w:vAlign w:val="center"/>
          </w:tcPr>
          <w:p>
            <w:pPr>
              <w:shd w:val="clear"/>
              <w:spacing w:line="500" w:lineRule="exact"/>
              <w:jc w:val="center"/>
              <w:rPr>
                <w:rFonts w:ascii="宋体" w:hAnsi="宋体" w:eastAsia="宋体" w:cs="Times New Roman"/>
                <w:b/>
                <w:highlight w:val="none"/>
              </w:rPr>
            </w:pPr>
            <w:r>
              <w:rPr>
                <w:rFonts w:hint="eastAsia" w:ascii="宋体" w:hAnsi="宋体" w:eastAsia="宋体" w:cs="Times New Roman"/>
                <w:b/>
                <w:highlight w:val="none"/>
              </w:rPr>
              <w:t>作业安全质量</w:t>
            </w:r>
          </w:p>
        </w:tc>
        <w:tc>
          <w:tcPr>
            <w:tcW w:w="6804" w:type="dxa"/>
            <w:gridSpan w:val="3"/>
            <w:tcBorders>
              <w:top w:val="single" w:color="auto" w:sz="6" w:space="0"/>
              <w:left w:val="single" w:color="auto" w:sz="6" w:space="0"/>
              <w:bottom w:val="single" w:color="auto" w:sz="4" w:space="0"/>
              <w:right w:val="single" w:color="auto" w:sz="12" w:space="0"/>
            </w:tcBorders>
          </w:tcPr>
          <w:p>
            <w:pPr>
              <w:shd w:val="clear"/>
              <w:spacing w:before="0" w:after="160" w:afterAutospacing="0" w:line="500" w:lineRule="exact"/>
              <w:ind w:left="0" w:right="0" w:firstLine="420" w:firstLineChars="200"/>
              <w:jc w:val="left"/>
              <w:rPr>
                <w:rFonts w:ascii="宋体" w:hAnsi="宋体" w:eastAsia="宋体" w:cs="Times New Roman"/>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3" w:hRule="atLeast"/>
        </w:trPr>
        <w:tc>
          <w:tcPr>
            <w:tcW w:w="1135" w:type="dxa"/>
            <w:vMerge w:val="continue"/>
            <w:tcBorders>
              <w:left w:val="single" w:color="auto" w:sz="12" w:space="0"/>
              <w:right w:val="single" w:color="auto" w:sz="6" w:space="0"/>
            </w:tcBorders>
            <w:vAlign w:val="center"/>
          </w:tcPr>
          <w:p>
            <w:pPr>
              <w:shd w:val="clear"/>
              <w:spacing w:line="500" w:lineRule="exact"/>
              <w:jc w:val="left"/>
              <w:rPr>
                <w:rFonts w:ascii="宋体" w:hAnsi="宋体" w:eastAsia="宋体" w:cs="Times New Roman"/>
                <w:b/>
                <w:highlight w:val="none"/>
              </w:rPr>
            </w:pPr>
          </w:p>
        </w:tc>
        <w:tc>
          <w:tcPr>
            <w:tcW w:w="1842" w:type="dxa"/>
            <w:tcBorders>
              <w:top w:val="single" w:color="auto" w:sz="4" w:space="0"/>
              <w:left w:val="single" w:color="auto" w:sz="6" w:space="0"/>
              <w:bottom w:val="single" w:color="auto" w:sz="6" w:space="0"/>
              <w:right w:val="single" w:color="auto" w:sz="6" w:space="0"/>
            </w:tcBorders>
            <w:vAlign w:val="center"/>
          </w:tcPr>
          <w:p>
            <w:pPr>
              <w:shd w:val="clear"/>
              <w:spacing w:line="500" w:lineRule="exact"/>
              <w:jc w:val="center"/>
              <w:rPr>
                <w:rFonts w:ascii="宋体" w:hAnsi="宋体" w:eastAsia="宋体" w:cs="Times New Roman"/>
                <w:b/>
                <w:highlight w:val="none"/>
              </w:rPr>
            </w:pPr>
            <w:r>
              <w:rPr>
                <w:rFonts w:hint="eastAsia" w:ascii="宋体" w:hAnsi="宋体" w:eastAsia="宋体" w:cs="Times New Roman"/>
                <w:b/>
                <w:highlight w:val="none"/>
              </w:rPr>
              <w:t>违约处罚情况</w:t>
            </w:r>
          </w:p>
        </w:tc>
        <w:tc>
          <w:tcPr>
            <w:tcW w:w="6804" w:type="dxa"/>
            <w:gridSpan w:val="3"/>
            <w:tcBorders>
              <w:top w:val="single" w:color="auto" w:sz="4" w:space="0"/>
              <w:left w:val="single" w:color="auto" w:sz="6" w:space="0"/>
              <w:bottom w:val="single" w:color="auto" w:sz="6" w:space="0"/>
              <w:right w:val="single" w:color="auto" w:sz="12" w:space="0"/>
            </w:tcBorders>
          </w:tcPr>
          <w:p>
            <w:pPr>
              <w:shd w:val="clear"/>
              <w:spacing w:before="0" w:after="160" w:afterAutospacing="0" w:line="500" w:lineRule="exact"/>
              <w:ind w:left="0" w:right="0" w:firstLine="420" w:firstLineChars="200"/>
              <w:jc w:val="left"/>
              <w:rPr>
                <w:rFonts w:ascii="宋体" w:hAnsi="宋体" w:eastAsia="宋体" w:cs="Times New Roman"/>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3" w:hRule="atLeast"/>
        </w:trPr>
        <w:tc>
          <w:tcPr>
            <w:tcW w:w="1135" w:type="dxa"/>
            <w:vMerge w:val="continue"/>
            <w:tcBorders>
              <w:left w:val="single" w:color="auto" w:sz="12" w:space="0"/>
              <w:right w:val="single" w:color="auto" w:sz="6" w:space="0"/>
            </w:tcBorders>
            <w:vAlign w:val="center"/>
          </w:tcPr>
          <w:p>
            <w:pPr>
              <w:shd w:val="clear"/>
              <w:spacing w:line="500" w:lineRule="exact"/>
              <w:jc w:val="left"/>
              <w:rPr>
                <w:rFonts w:ascii="宋体" w:hAnsi="宋体" w:eastAsia="宋体" w:cs="Times New Roman"/>
                <w:b/>
                <w:highlight w:val="none"/>
              </w:rPr>
            </w:pPr>
          </w:p>
        </w:tc>
        <w:tc>
          <w:tcPr>
            <w:tcW w:w="1842" w:type="dxa"/>
            <w:tcBorders>
              <w:top w:val="single" w:color="auto" w:sz="4" w:space="0"/>
              <w:left w:val="single" w:color="auto" w:sz="6" w:space="0"/>
              <w:bottom w:val="single" w:color="auto" w:sz="4" w:space="0"/>
              <w:right w:val="single" w:color="auto" w:sz="6" w:space="0"/>
            </w:tcBorders>
            <w:vAlign w:val="center"/>
          </w:tcPr>
          <w:p>
            <w:pPr>
              <w:shd w:val="clear"/>
              <w:spacing w:line="500" w:lineRule="exact"/>
              <w:jc w:val="center"/>
              <w:rPr>
                <w:rFonts w:ascii="宋体" w:hAnsi="宋体" w:eastAsia="宋体" w:cs="Times New Roman"/>
                <w:b/>
                <w:highlight w:val="none"/>
              </w:rPr>
            </w:pPr>
            <w:r>
              <w:rPr>
                <w:rFonts w:hint="eastAsia" w:ascii="宋体" w:hAnsi="宋体" w:eastAsia="宋体" w:cs="Times New Roman"/>
                <w:b/>
                <w:highlight w:val="none"/>
              </w:rPr>
              <w:t>承包商总结</w:t>
            </w:r>
          </w:p>
        </w:tc>
        <w:tc>
          <w:tcPr>
            <w:tcW w:w="6804" w:type="dxa"/>
            <w:gridSpan w:val="3"/>
            <w:tcBorders>
              <w:top w:val="single" w:color="auto" w:sz="4" w:space="0"/>
              <w:left w:val="single" w:color="auto" w:sz="6" w:space="0"/>
              <w:bottom w:val="single" w:color="auto" w:sz="4" w:space="0"/>
              <w:right w:val="single" w:color="auto" w:sz="12" w:space="0"/>
            </w:tcBorders>
          </w:tcPr>
          <w:p>
            <w:pPr>
              <w:widowControl w:val="0"/>
              <w:shd w:val="clear"/>
              <w:spacing w:line="240" w:lineRule="atLeast"/>
              <w:ind w:firstLine="420" w:firstLineChars="200"/>
              <w:jc w:val="left"/>
              <w:rPr>
                <w:rFonts w:ascii="宋体" w:hAnsi="宋体" w:eastAsia="宋体" w:cs="宋体"/>
                <w:bCs/>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977" w:type="dxa"/>
            <w:gridSpan w:val="2"/>
            <w:tcBorders>
              <w:left w:val="single" w:color="auto" w:sz="12" w:space="0"/>
              <w:right w:val="single" w:color="auto" w:sz="6" w:space="0"/>
            </w:tcBorders>
            <w:vAlign w:val="center"/>
          </w:tcPr>
          <w:p>
            <w:pPr>
              <w:shd w:val="clear"/>
              <w:spacing w:line="276" w:lineRule="auto"/>
              <w:jc w:val="center"/>
              <w:rPr>
                <w:rFonts w:ascii="宋体" w:hAnsi="宋体" w:eastAsia="宋体" w:cs="Times New Roman"/>
                <w:b/>
                <w:highlight w:val="none"/>
              </w:rPr>
            </w:pPr>
            <w:r>
              <w:rPr>
                <w:rFonts w:hint="eastAsia" w:ascii="宋体" w:hAnsi="宋体" w:eastAsia="宋体" w:cs="Times New Roman"/>
                <w:b/>
                <w:color w:val="000000"/>
                <w:highlight w:val="none"/>
              </w:rPr>
              <w:t>工班长</w:t>
            </w:r>
          </w:p>
        </w:tc>
        <w:tc>
          <w:tcPr>
            <w:tcW w:w="6804" w:type="dxa"/>
            <w:gridSpan w:val="3"/>
            <w:tcBorders>
              <w:top w:val="single" w:color="auto" w:sz="4" w:space="0"/>
              <w:left w:val="single" w:color="auto" w:sz="6" w:space="0"/>
              <w:bottom w:val="single" w:color="auto" w:sz="4" w:space="0"/>
              <w:right w:val="single" w:color="auto" w:sz="12" w:space="0"/>
            </w:tcBorders>
            <w:vAlign w:val="bottom"/>
          </w:tcPr>
          <w:p>
            <w:pPr>
              <w:shd w:val="clear"/>
              <w:wordWrap w:val="0"/>
              <w:spacing w:line="276" w:lineRule="auto"/>
              <w:jc w:val="right"/>
              <w:rPr>
                <w:rFonts w:ascii="宋体" w:hAnsi="宋体" w:eastAsia="宋体" w:cs="Times New Roman"/>
                <w:kern w:val="2"/>
                <w:highlight w:val="none"/>
              </w:rPr>
            </w:pPr>
            <w:r>
              <w:rPr>
                <w:rFonts w:hint="eastAsia" w:ascii="宋体" w:hAnsi="宋体" w:eastAsia="宋体" w:cs="Times New Roman"/>
                <w:color w:val="000000"/>
                <w:highlight w:val="none"/>
              </w:rPr>
              <w:t xml:space="preserve">年    月    日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977" w:type="dxa"/>
            <w:gridSpan w:val="2"/>
            <w:tcBorders>
              <w:left w:val="single" w:color="auto" w:sz="12" w:space="0"/>
              <w:right w:val="single" w:color="auto" w:sz="6" w:space="0"/>
            </w:tcBorders>
            <w:vAlign w:val="center"/>
          </w:tcPr>
          <w:p>
            <w:pPr>
              <w:shd w:val="clear"/>
              <w:spacing w:line="276" w:lineRule="auto"/>
              <w:jc w:val="center"/>
              <w:rPr>
                <w:rFonts w:ascii="宋体" w:hAnsi="宋体" w:eastAsia="宋体" w:cs="Times New Roman"/>
                <w:b/>
                <w:highlight w:val="none"/>
              </w:rPr>
            </w:pPr>
            <w:r>
              <w:rPr>
                <w:rFonts w:hint="eastAsia" w:ascii="宋体" w:hAnsi="宋体" w:eastAsia="宋体" w:cs="Times New Roman"/>
                <w:b/>
                <w:color w:val="000000"/>
                <w:highlight w:val="none"/>
              </w:rPr>
              <w:t>技术主办</w:t>
            </w:r>
          </w:p>
        </w:tc>
        <w:tc>
          <w:tcPr>
            <w:tcW w:w="6804" w:type="dxa"/>
            <w:gridSpan w:val="3"/>
            <w:tcBorders>
              <w:top w:val="single" w:color="auto" w:sz="4" w:space="0"/>
              <w:left w:val="single" w:color="auto" w:sz="6" w:space="0"/>
              <w:bottom w:val="single" w:color="auto" w:sz="4" w:space="0"/>
              <w:right w:val="single" w:color="auto" w:sz="12" w:space="0"/>
            </w:tcBorders>
            <w:vAlign w:val="bottom"/>
          </w:tcPr>
          <w:p>
            <w:pPr>
              <w:shd w:val="clear"/>
              <w:wordWrap w:val="0"/>
              <w:spacing w:line="276" w:lineRule="auto"/>
              <w:jc w:val="right"/>
              <w:rPr>
                <w:rFonts w:ascii="宋体" w:hAnsi="宋体" w:eastAsia="宋体" w:cs="Times New Roman"/>
                <w:kern w:val="2"/>
                <w:highlight w:val="none"/>
              </w:rPr>
            </w:pPr>
            <w:r>
              <w:rPr>
                <w:rFonts w:hint="eastAsia" w:ascii="宋体" w:hAnsi="宋体" w:eastAsia="宋体" w:cs="Times New Roman"/>
                <w:color w:val="000000"/>
                <w:highlight w:val="none"/>
              </w:rPr>
              <w:t xml:space="preserve">年    月    日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977" w:type="dxa"/>
            <w:gridSpan w:val="2"/>
            <w:tcBorders>
              <w:left w:val="single" w:color="auto" w:sz="12" w:space="0"/>
              <w:right w:val="single" w:color="auto" w:sz="6" w:space="0"/>
            </w:tcBorders>
            <w:vAlign w:val="center"/>
          </w:tcPr>
          <w:p>
            <w:pPr>
              <w:shd w:val="clear"/>
              <w:spacing w:line="276" w:lineRule="auto"/>
              <w:jc w:val="center"/>
              <w:rPr>
                <w:rFonts w:ascii="宋体" w:hAnsi="宋体" w:eastAsia="宋体" w:cs="Times New Roman"/>
                <w:b/>
                <w:highlight w:val="none"/>
              </w:rPr>
            </w:pPr>
            <w:r>
              <w:rPr>
                <w:rFonts w:hint="eastAsia" w:ascii="宋体" w:hAnsi="宋体" w:eastAsia="宋体" w:cs="Times New Roman"/>
                <w:b/>
                <w:color w:val="000000"/>
                <w:highlight w:val="none"/>
              </w:rPr>
              <w:t>部门主管</w:t>
            </w:r>
          </w:p>
        </w:tc>
        <w:tc>
          <w:tcPr>
            <w:tcW w:w="6804" w:type="dxa"/>
            <w:gridSpan w:val="3"/>
            <w:tcBorders>
              <w:top w:val="single" w:color="auto" w:sz="4" w:space="0"/>
              <w:left w:val="single" w:color="auto" w:sz="6" w:space="0"/>
              <w:bottom w:val="single" w:color="auto" w:sz="4" w:space="0"/>
              <w:right w:val="single" w:color="auto" w:sz="12" w:space="0"/>
            </w:tcBorders>
            <w:vAlign w:val="bottom"/>
          </w:tcPr>
          <w:p>
            <w:pPr>
              <w:shd w:val="clear"/>
              <w:wordWrap w:val="0"/>
              <w:spacing w:line="276" w:lineRule="auto"/>
              <w:jc w:val="right"/>
              <w:rPr>
                <w:rFonts w:ascii="宋体" w:hAnsi="宋体" w:eastAsia="宋体" w:cs="Times New Roman"/>
                <w:kern w:val="2"/>
                <w:highlight w:val="none"/>
              </w:rPr>
            </w:pPr>
            <w:r>
              <w:rPr>
                <w:rFonts w:hint="eastAsia" w:ascii="宋体" w:hAnsi="宋体" w:eastAsia="宋体" w:cs="Times New Roman"/>
                <w:color w:val="000000"/>
                <w:highlight w:val="none"/>
              </w:rPr>
              <w:t xml:space="preserve">年    月    日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977" w:type="dxa"/>
            <w:gridSpan w:val="2"/>
            <w:tcBorders>
              <w:left w:val="single" w:color="auto" w:sz="12" w:space="0"/>
              <w:bottom w:val="single" w:color="auto" w:sz="4" w:space="0"/>
              <w:right w:val="single" w:color="auto" w:sz="6" w:space="0"/>
            </w:tcBorders>
            <w:vAlign w:val="center"/>
          </w:tcPr>
          <w:p>
            <w:pPr>
              <w:shd w:val="clear"/>
              <w:spacing w:line="276" w:lineRule="auto"/>
              <w:jc w:val="center"/>
              <w:rPr>
                <w:rFonts w:ascii="宋体" w:hAnsi="宋体" w:eastAsia="宋体" w:cs="Times New Roman"/>
                <w:b/>
                <w:highlight w:val="none"/>
              </w:rPr>
            </w:pPr>
            <w:r>
              <w:rPr>
                <w:rFonts w:hint="eastAsia" w:ascii="宋体" w:hAnsi="宋体" w:eastAsia="宋体" w:cs="Times New Roman"/>
                <w:b/>
                <w:color w:val="000000"/>
                <w:highlight w:val="none"/>
              </w:rPr>
              <w:t>部门负责人</w:t>
            </w:r>
          </w:p>
        </w:tc>
        <w:tc>
          <w:tcPr>
            <w:tcW w:w="6804" w:type="dxa"/>
            <w:gridSpan w:val="3"/>
            <w:tcBorders>
              <w:top w:val="single" w:color="auto" w:sz="4" w:space="0"/>
              <w:left w:val="single" w:color="auto" w:sz="6" w:space="0"/>
              <w:bottom w:val="single" w:color="auto" w:sz="6" w:space="0"/>
              <w:right w:val="single" w:color="auto" w:sz="12" w:space="0"/>
            </w:tcBorders>
            <w:vAlign w:val="bottom"/>
          </w:tcPr>
          <w:p>
            <w:pPr>
              <w:shd w:val="clear"/>
              <w:wordWrap w:val="0"/>
              <w:spacing w:line="276" w:lineRule="auto"/>
              <w:jc w:val="right"/>
              <w:rPr>
                <w:rFonts w:ascii="宋体" w:hAnsi="宋体" w:eastAsia="宋体" w:cs="Times New Roman"/>
                <w:kern w:val="2"/>
                <w:highlight w:val="none"/>
              </w:rPr>
            </w:pPr>
            <w:r>
              <w:rPr>
                <w:rFonts w:hint="eastAsia" w:ascii="宋体" w:hAnsi="宋体" w:eastAsia="宋体" w:cs="Times New Roman"/>
                <w:color w:val="000000"/>
                <w:highlight w:val="none"/>
              </w:rPr>
              <w:t xml:space="preserve">年    月    日   </w:t>
            </w:r>
          </w:p>
        </w:tc>
      </w:tr>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tbl>
    <w:p>
      <w:pPr>
        <w:shd w:val="clear"/>
        <w:snapToGrid w:val="0"/>
        <w:ind w:right="0" w:firstLine="0"/>
        <w:jc w:val="left"/>
        <w:outlineLvl w:val="0"/>
        <w:rPr>
          <w:rFonts w:ascii="宋体" w:hAnsi="宋体"/>
          <w:b/>
          <w:highlight w:val="none"/>
        </w:rPr>
      </w:pPr>
    </w:p>
    <w:p>
      <w:pPr>
        <w:pStyle w:val="2"/>
        <w:pageBreakBefore/>
        <w:shd w:val="clear"/>
        <w:ind w:right="-57" w:firstLine="0"/>
        <w:jc w:val="center"/>
        <w:outlineLvl w:val="0"/>
        <w:rPr>
          <w:rStyle w:val="42"/>
          <w:rFonts w:ascii="宋体" w:hAnsi="宋体" w:eastAsia="宋体"/>
          <w:highlight w:val="none"/>
        </w:rPr>
      </w:pPr>
      <w:bookmarkStart w:id="2156" w:name="_Toc17186"/>
      <w:bookmarkStart w:id="2157" w:name="_Toc14104"/>
      <w:bookmarkStart w:id="2158" w:name="_Toc147"/>
      <w:bookmarkStart w:id="2159" w:name="_Toc6090"/>
      <w:bookmarkStart w:id="2160" w:name="_Toc22547"/>
      <w:bookmarkStart w:id="2161" w:name="_Toc1104"/>
      <w:bookmarkStart w:id="2162" w:name="_Toc3174"/>
      <w:bookmarkStart w:id="2163" w:name="_Toc5008"/>
      <w:bookmarkStart w:id="2164" w:name="_Toc9329"/>
      <w:bookmarkStart w:id="2165" w:name="_Toc21231"/>
      <w:bookmarkStart w:id="2166" w:name="_Toc4284"/>
      <w:bookmarkStart w:id="2167" w:name="_Toc1777"/>
      <w:bookmarkStart w:id="2168" w:name="_Toc26286"/>
      <w:bookmarkStart w:id="2169" w:name="_Toc3551"/>
      <w:bookmarkStart w:id="2170" w:name="_Toc531"/>
      <w:bookmarkStart w:id="2171" w:name="_Toc25750691"/>
      <w:bookmarkStart w:id="2172" w:name="_Toc14738"/>
      <w:bookmarkStart w:id="2173" w:name="_Toc25908"/>
      <w:r>
        <w:rPr>
          <w:rStyle w:val="42"/>
          <w:rFonts w:hint="eastAsia" w:ascii="宋体" w:hAnsi="宋体" w:eastAsia="宋体"/>
          <w:highlight w:val="none"/>
        </w:rPr>
        <w:t>第六章评分办法</w:t>
      </w:r>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p>
    <w:p>
      <w:pPr>
        <w:shd w:val="clear"/>
        <w:spacing w:before="0" w:after="0" w:afterAutospacing="0"/>
        <w:ind w:left="0" w:right="0" w:firstLine="562" w:firstLineChars="200"/>
        <w:outlineLvl w:val="1"/>
        <w:rPr>
          <w:rFonts w:ascii="宋体" w:hAnsi="宋体" w:cs="Arial"/>
          <w:b/>
          <w:bCs/>
          <w:sz w:val="28"/>
          <w:szCs w:val="28"/>
          <w:highlight w:val="none"/>
        </w:rPr>
      </w:pPr>
      <w:bookmarkStart w:id="2174" w:name="_Toc25750692"/>
      <w:r>
        <w:rPr>
          <w:rFonts w:hint="eastAsia" w:ascii="宋体" w:hAnsi="宋体" w:cs="Arial"/>
          <w:b/>
          <w:bCs/>
          <w:sz w:val="28"/>
          <w:szCs w:val="28"/>
          <w:highlight w:val="none"/>
        </w:rPr>
        <w:t>一、评审原则</w:t>
      </w:r>
      <w:bookmarkEnd w:id="2174"/>
    </w:p>
    <w:p>
      <w:pPr>
        <w:shd w:val="clear"/>
        <w:spacing w:before="0" w:after="0" w:afterAutospacing="0"/>
        <w:ind w:left="0" w:right="0" w:firstLine="420" w:firstLineChars="200"/>
        <w:rPr>
          <w:rFonts w:ascii="宋体" w:hAnsi="宋体" w:cs="Arial"/>
          <w:highlight w:val="none"/>
        </w:rPr>
      </w:pPr>
      <w:r>
        <w:rPr>
          <w:rFonts w:ascii="宋体" w:hAnsi="宋体" w:cs="Arial"/>
          <w:highlight w:val="none"/>
        </w:rPr>
        <w:t>1.1</w:t>
      </w:r>
      <w:r>
        <w:rPr>
          <w:rFonts w:hint="eastAsia" w:ascii="宋体" w:hAnsi="宋体" w:cs="Arial"/>
          <w:bCs/>
          <w:highlight w:val="none"/>
        </w:rPr>
        <w:t>评审委员会成员构成：本项目由</w:t>
      </w:r>
      <w:r>
        <w:rPr>
          <w:rFonts w:ascii="宋体" w:hAnsi="宋体"/>
          <w:highlight w:val="none"/>
        </w:rPr>
        <w:t>南宁轨道交通</w:t>
      </w:r>
      <w:r>
        <w:rPr>
          <w:rFonts w:hint="eastAsia" w:ascii="宋体" w:hAnsi="宋体"/>
          <w:highlight w:val="none"/>
        </w:rPr>
        <w:t>运营</w:t>
      </w:r>
      <w:r>
        <w:rPr>
          <w:rFonts w:ascii="宋体" w:hAnsi="宋体"/>
          <w:highlight w:val="none"/>
        </w:rPr>
        <w:t>有限公司</w:t>
      </w:r>
      <w:r>
        <w:rPr>
          <w:rFonts w:hint="eastAsia" w:ascii="宋体" w:hAnsi="宋体" w:cs="Arial"/>
          <w:bCs/>
          <w:highlight w:val="none"/>
        </w:rPr>
        <w:t>5人及以上单数组成评审小组，对比选申请文件按评审标准进行评审。</w:t>
      </w:r>
    </w:p>
    <w:p>
      <w:pPr>
        <w:shd w:val="clear"/>
        <w:spacing w:before="0" w:after="0" w:afterAutospacing="0"/>
        <w:ind w:left="0" w:right="0" w:firstLine="420" w:firstLineChars="200"/>
        <w:rPr>
          <w:rFonts w:ascii="宋体" w:hAnsi="宋体" w:cs="Arial"/>
          <w:highlight w:val="none"/>
        </w:rPr>
      </w:pPr>
      <w:r>
        <w:rPr>
          <w:rFonts w:ascii="宋体" w:hAnsi="宋体" w:cs="Arial"/>
          <w:highlight w:val="none"/>
        </w:rPr>
        <w:t>1.2</w:t>
      </w:r>
      <w:r>
        <w:rPr>
          <w:rFonts w:hint="eastAsia" w:ascii="宋体" w:hAnsi="宋体" w:cs="Arial"/>
          <w:bCs/>
          <w:highlight w:val="none"/>
        </w:rPr>
        <w:t>评审依据：评审委员会以比选文件、比选申请文件为评审依据。</w:t>
      </w:r>
    </w:p>
    <w:p>
      <w:pPr>
        <w:shd w:val="clear"/>
        <w:spacing w:before="0" w:after="0" w:afterAutospacing="0"/>
        <w:ind w:left="0" w:right="0" w:firstLine="420" w:firstLineChars="200"/>
        <w:rPr>
          <w:rFonts w:ascii="宋体" w:hAnsi="宋体" w:cs="Arial"/>
          <w:bCs/>
          <w:highlight w:val="none"/>
        </w:rPr>
      </w:pPr>
      <w:r>
        <w:rPr>
          <w:rFonts w:ascii="宋体" w:hAnsi="宋体" w:cs="Arial"/>
          <w:highlight w:val="none"/>
        </w:rPr>
        <w:t>1.3</w:t>
      </w:r>
      <w:r>
        <w:rPr>
          <w:rFonts w:hint="eastAsia" w:ascii="宋体" w:hAnsi="宋体" w:cs="Arial"/>
          <w:bCs/>
          <w:highlight w:val="none"/>
        </w:rPr>
        <w:t>评审方式：以封闭方式进行。</w:t>
      </w:r>
    </w:p>
    <w:p>
      <w:pPr>
        <w:shd w:val="clear"/>
        <w:spacing w:before="0" w:after="0" w:afterAutospacing="0"/>
        <w:ind w:left="0" w:right="0" w:firstLine="562" w:firstLineChars="200"/>
        <w:outlineLvl w:val="1"/>
        <w:rPr>
          <w:rFonts w:ascii="宋体" w:hAnsi="宋体" w:cs="Arial"/>
          <w:b/>
          <w:highlight w:val="none"/>
        </w:rPr>
      </w:pPr>
      <w:bookmarkStart w:id="2175" w:name="_Toc29000"/>
      <w:bookmarkStart w:id="2176" w:name="_Toc11240"/>
      <w:bookmarkStart w:id="2177" w:name="_Toc25750693"/>
      <w:bookmarkStart w:id="2178" w:name="_Toc15880"/>
      <w:bookmarkStart w:id="2179" w:name="_Toc5136"/>
      <w:bookmarkStart w:id="2180" w:name="_Toc478566177"/>
      <w:r>
        <w:rPr>
          <w:rFonts w:hint="eastAsia" w:ascii="宋体" w:hAnsi="宋体" w:cs="Arial"/>
          <w:b/>
          <w:bCs/>
          <w:sz w:val="28"/>
          <w:szCs w:val="28"/>
          <w:highlight w:val="none"/>
        </w:rPr>
        <w:t>二、评定方法</w:t>
      </w:r>
      <w:bookmarkEnd w:id="2175"/>
      <w:bookmarkEnd w:id="2176"/>
      <w:bookmarkEnd w:id="2177"/>
      <w:bookmarkEnd w:id="2178"/>
      <w:bookmarkEnd w:id="2179"/>
      <w:bookmarkEnd w:id="2180"/>
    </w:p>
    <w:p>
      <w:pPr>
        <w:shd w:val="clear"/>
        <w:spacing w:before="0" w:after="0" w:afterAutospacing="0"/>
        <w:ind w:left="0" w:right="0" w:firstLine="420" w:firstLineChars="200"/>
        <w:rPr>
          <w:rFonts w:ascii="宋体" w:hAnsi="宋体" w:cs="Arial"/>
          <w:highlight w:val="none"/>
        </w:rPr>
      </w:pPr>
      <w:r>
        <w:rPr>
          <w:rFonts w:hint="eastAsia" w:ascii="宋体" w:hAnsi="宋体" w:cs="Arial"/>
          <w:highlight w:val="none"/>
        </w:rPr>
        <w:t>2.1对资格性和符合性检查合格的比选申请文件，采用</w:t>
      </w:r>
      <w:r>
        <w:rPr>
          <w:rFonts w:hint="eastAsia" w:ascii="宋体" w:hAnsi="宋体" w:cs="Arial"/>
          <w:b/>
          <w:bCs/>
          <w:highlight w:val="none"/>
        </w:rPr>
        <w:t>综合评估法</w:t>
      </w:r>
      <w:r>
        <w:rPr>
          <w:rFonts w:hint="eastAsia" w:ascii="宋体" w:hAnsi="宋体" w:cs="Arial"/>
          <w:highlight w:val="none"/>
        </w:rPr>
        <w:t>进行评审。</w:t>
      </w:r>
    </w:p>
    <w:p>
      <w:pPr>
        <w:shd w:val="clear"/>
        <w:spacing w:before="0" w:after="0" w:afterAutospacing="0"/>
        <w:ind w:left="0" w:right="0" w:firstLine="420" w:firstLineChars="200"/>
        <w:rPr>
          <w:rFonts w:ascii="宋体" w:hAnsi="宋体" w:cs="Arial"/>
          <w:highlight w:val="none"/>
        </w:rPr>
      </w:pPr>
      <w:r>
        <w:rPr>
          <w:rFonts w:hint="eastAsia" w:ascii="宋体" w:hAnsi="宋体" w:cs="Arial"/>
          <w:highlight w:val="none"/>
        </w:rPr>
        <w:t>2.2评审委员会将依照本比选文件相关规定对质量和服务均能满足实质性响应要求的比选申请人</w:t>
      </w:r>
      <w:r>
        <w:rPr>
          <w:rFonts w:ascii="宋体" w:hAnsi="宋体"/>
          <w:highlight w:val="none"/>
        </w:rPr>
        <w:t>综合评分按照由高到低的顺序进行排序</w:t>
      </w:r>
      <w:r>
        <w:rPr>
          <w:rFonts w:hint="eastAsia" w:ascii="宋体" w:hAnsi="宋体" w:cs="Arial"/>
          <w:highlight w:val="none"/>
        </w:rPr>
        <w:t>，并编写评审报告。</w:t>
      </w:r>
    </w:p>
    <w:p>
      <w:pPr>
        <w:shd w:val="clear"/>
        <w:spacing w:before="0" w:after="0" w:afterAutospacing="0"/>
        <w:ind w:left="0" w:right="0" w:firstLine="420" w:firstLineChars="200"/>
        <w:rPr>
          <w:rFonts w:ascii="宋体" w:hAnsi="宋体" w:cs="Arial"/>
          <w:highlight w:val="none"/>
        </w:rPr>
      </w:pPr>
      <w:r>
        <w:rPr>
          <w:rFonts w:hint="eastAsia" w:ascii="宋体" w:hAnsi="宋体" w:cs="Arial"/>
          <w:highlight w:val="none"/>
        </w:rPr>
        <w:t>2.3若比选申请人的综合得分相等时，技术评分高者优先；技术评分也相等的，比选报价评分高者优先，比选报价评分也相等的，以评审委</w:t>
      </w:r>
      <w:r>
        <w:rPr>
          <w:rFonts w:hint="eastAsia" w:ascii="宋体" w:hAnsi="宋体"/>
          <w:highlight w:val="none"/>
        </w:rPr>
        <w:t>员会记名投票的方式按少数服从多数的原则决定其排名顺序。</w:t>
      </w:r>
    </w:p>
    <w:p>
      <w:pPr>
        <w:shd w:val="clear"/>
        <w:spacing w:before="0" w:after="0" w:afterAutospacing="0"/>
        <w:ind w:left="707" w:leftChars="267" w:right="0" w:hanging="146" w:hangingChars="52"/>
        <w:rPr>
          <w:rFonts w:ascii="宋体" w:hAnsi="宋体" w:cs="Arial"/>
          <w:b/>
          <w:bCs/>
          <w:sz w:val="28"/>
          <w:szCs w:val="28"/>
          <w:highlight w:val="none"/>
        </w:rPr>
      </w:pPr>
      <w:r>
        <w:rPr>
          <w:rFonts w:hint="eastAsia" w:ascii="宋体" w:hAnsi="宋体" w:cs="Arial"/>
          <w:b/>
          <w:bCs/>
          <w:sz w:val="28"/>
          <w:szCs w:val="28"/>
          <w:highlight w:val="none"/>
        </w:rPr>
        <w:t>三、评审流程</w:t>
      </w:r>
    </w:p>
    <w:p>
      <w:pPr>
        <w:shd w:val="clear"/>
        <w:tabs>
          <w:tab w:val="left" w:pos="567"/>
        </w:tabs>
        <w:spacing w:before="0" w:after="0" w:afterAutospacing="0"/>
        <w:ind w:left="422" w:right="0" w:firstLine="0"/>
        <w:rPr>
          <w:rFonts w:ascii="宋体" w:hAnsi="宋体"/>
          <w:b/>
          <w:highlight w:val="none"/>
        </w:rPr>
      </w:pPr>
      <w:r>
        <w:rPr>
          <w:rFonts w:hint="eastAsia" w:ascii="宋体" w:hAnsi="宋体"/>
          <w:b/>
          <w:highlight w:val="none"/>
        </w:rPr>
        <w:t>3.1资格审查</w:t>
      </w:r>
    </w:p>
    <w:p>
      <w:pPr>
        <w:shd w:val="clear"/>
        <w:spacing w:before="0" w:after="0" w:afterAutospacing="0"/>
        <w:ind w:left="0" w:right="0" w:firstLine="420" w:firstLineChars="200"/>
        <w:rPr>
          <w:rFonts w:ascii="宋体" w:hAnsi="宋体"/>
          <w:highlight w:val="none"/>
        </w:rPr>
      </w:pPr>
      <w:r>
        <w:rPr>
          <w:rFonts w:hint="eastAsia" w:ascii="宋体" w:hAnsi="宋体"/>
          <w:highlight w:val="none"/>
        </w:rPr>
        <w:t>资格审查采用定性评审法，审查比选申请人是否符合法律、法规、规章及比选文件对企业资质、业绩和其他强制性标准，是否处于正常的经营状况等情况。</w:t>
      </w:r>
    </w:p>
    <w:p>
      <w:pPr>
        <w:shd w:val="clear"/>
        <w:spacing w:before="0" w:after="0" w:afterAutospacing="0"/>
        <w:ind w:left="0" w:right="0" w:firstLine="420" w:firstLineChars="200"/>
        <w:rPr>
          <w:rFonts w:ascii="宋体" w:hAnsi="宋体"/>
          <w:highlight w:val="none"/>
        </w:rPr>
      </w:pPr>
      <w:r>
        <w:rPr>
          <w:rFonts w:hint="eastAsia" w:ascii="宋体" w:hAnsi="宋体"/>
          <w:highlight w:val="none"/>
        </w:rPr>
        <w:t>在本阶段不符合任何一项资格评审标准的比选申请人将被比选人拒绝，不得进入下一阶段的评审。评审标准详见附表一《资格审查表》。</w:t>
      </w:r>
    </w:p>
    <w:p>
      <w:pPr>
        <w:shd w:val="clear"/>
        <w:tabs>
          <w:tab w:val="left" w:pos="567"/>
        </w:tabs>
        <w:spacing w:before="0" w:after="0" w:afterAutospacing="0"/>
        <w:ind w:left="422" w:right="0" w:firstLine="0"/>
        <w:rPr>
          <w:rFonts w:ascii="宋体" w:hAnsi="宋体"/>
          <w:b/>
          <w:highlight w:val="none"/>
        </w:rPr>
      </w:pPr>
      <w:r>
        <w:rPr>
          <w:rFonts w:hint="eastAsia" w:ascii="宋体" w:hAnsi="宋体"/>
          <w:b/>
          <w:highlight w:val="none"/>
        </w:rPr>
        <w:t>3.2初步评审</w:t>
      </w:r>
    </w:p>
    <w:p>
      <w:pPr>
        <w:shd w:val="clear"/>
        <w:tabs>
          <w:tab w:val="left" w:pos="851"/>
        </w:tabs>
        <w:spacing w:before="0" w:after="0" w:afterAutospacing="0"/>
        <w:ind w:left="0" w:right="0" w:firstLine="420" w:firstLineChars="200"/>
        <w:rPr>
          <w:rFonts w:hAnsi="宋体"/>
          <w:highlight w:val="none"/>
        </w:rPr>
      </w:pPr>
      <w:r>
        <w:rPr>
          <w:rFonts w:hint="eastAsia" w:hAnsi="宋体"/>
          <w:highlight w:val="none"/>
        </w:rPr>
        <w:t>（1）评审委员会将对比选申请文件的实质性内容进行初步评审，判定其内容是否真实、完整，是否满足比选文件要求并在实质性内容上予以响应。</w:t>
      </w:r>
    </w:p>
    <w:p>
      <w:pPr>
        <w:shd w:val="clear"/>
        <w:tabs>
          <w:tab w:val="left" w:pos="851"/>
        </w:tabs>
        <w:spacing w:before="0" w:after="0" w:afterAutospacing="0"/>
        <w:ind w:left="0" w:right="0" w:firstLine="420" w:firstLineChars="200"/>
        <w:rPr>
          <w:rFonts w:hAnsi="宋体"/>
          <w:highlight w:val="none"/>
        </w:rPr>
      </w:pPr>
      <w:r>
        <w:rPr>
          <w:rFonts w:hint="eastAsia" w:hAnsi="宋体"/>
          <w:highlight w:val="none"/>
        </w:rPr>
        <w:t>（2）如果比选申请文件实质性不响应比选文件的要求和条件的，评审委员会将判定为重大偏差并作否决比选申请处理，并且不允许比选申请人通过修正或撤销其不符要求的差异或保留，使之成为具有响应性的比选申请文件。</w:t>
      </w:r>
    </w:p>
    <w:p>
      <w:pPr>
        <w:shd w:val="clear"/>
        <w:tabs>
          <w:tab w:val="left" w:pos="851"/>
        </w:tabs>
        <w:spacing w:before="0" w:after="0" w:afterAutospacing="0"/>
        <w:ind w:left="0" w:right="0" w:firstLine="420" w:firstLineChars="200"/>
        <w:rPr>
          <w:rFonts w:ascii="宋体" w:hAnsi="宋体"/>
          <w:highlight w:val="none"/>
        </w:rPr>
      </w:pPr>
      <w:r>
        <w:rPr>
          <w:rFonts w:hint="eastAsia" w:hAnsi="宋体"/>
          <w:highlight w:val="none"/>
        </w:rPr>
        <w:t>（3）</w:t>
      </w:r>
      <w:r>
        <w:rPr>
          <w:highlight w:val="none"/>
        </w:rPr>
        <w:t>评审委员会</w:t>
      </w:r>
      <w:r>
        <w:rPr>
          <w:rFonts w:hAnsi="宋体"/>
          <w:highlight w:val="none"/>
        </w:rPr>
        <w:t>根据</w:t>
      </w:r>
      <w:r>
        <w:rPr>
          <w:rFonts w:hint="eastAsia" w:hAnsi="宋体"/>
          <w:highlight w:val="none"/>
        </w:rPr>
        <w:t>比选</w:t>
      </w:r>
      <w:r>
        <w:rPr>
          <w:rFonts w:hAnsi="宋体"/>
          <w:highlight w:val="none"/>
        </w:rPr>
        <w:t>文件的要求对</w:t>
      </w:r>
      <w:r>
        <w:rPr>
          <w:rFonts w:hint="eastAsia" w:hAnsi="宋体"/>
          <w:highlight w:val="none"/>
        </w:rPr>
        <w:t>比选申请</w:t>
      </w:r>
      <w:r>
        <w:rPr>
          <w:rFonts w:hAnsi="宋体"/>
          <w:highlight w:val="none"/>
        </w:rPr>
        <w:t>人进行</w:t>
      </w:r>
      <w:r>
        <w:rPr>
          <w:rFonts w:hint="eastAsia" w:hAnsi="宋体"/>
          <w:highlight w:val="none"/>
        </w:rPr>
        <w:t>符合性</w:t>
      </w:r>
      <w:r>
        <w:rPr>
          <w:rFonts w:hAnsi="宋体"/>
          <w:highlight w:val="none"/>
        </w:rPr>
        <w:t>评审，未通过</w:t>
      </w:r>
      <w:r>
        <w:rPr>
          <w:rFonts w:hint="eastAsia" w:hAnsi="宋体"/>
          <w:highlight w:val="none"/>
        </w:rPr>
        <w:t>符合性</w:t>
      </w:r>
      <w:r>
        <w:rPr>
          <w:rFonts w:hAnsi="宋体"/>
          <w:highlight w:val="none"/>
        </w:rPr>
        <w:t>评审的</w:t>
      </w:r>
      <w:r>
        <w:rPr>
          <w:rFonts w:hint="eastAsia" w:hAnsi="宋体"/>
          <w:highlight w:val="none"/>
        </w:rPr>
        <w:t>比选申请</w:t>
      </w:r>
      <w:r>
        <w:rPr>
          <w:rFonts w:hAnsi="宋体"/>
          <w:highlight w:val="none"/>
        </w:rPr>
        <w:t>人不得进入下一阶段的评审。评审</w:t>
      </w:r>
      <w:r>
        <w:rPr>
          <w:rFonts w:hint="eastAsia" w:hAnsi="宋体"/>
          <w:highlight w:val="none"/>
        </w:rPr>
        <w:t>标准</w:t>
      </w:r>
      <w:r>
        <w:rPr>
          <w:rFonts w:hAnsi="宋体"/>
          <w:highlight w:val="none"/>
        </w:rPr>
        <w:t>见附表二《</w:t>
      </w:r>
      <w:r>
        <w:rPr>
          <w:rFonts w:hint="eastAsia" w:hAnsi="宋体"/>
          <w:highlight w:val="none"/>
        </w:rPr>
        <w:t>符合性</w:t>
      </w:r>
      <w:r>
        <w:rPr>
          <w:rFonts w:hAnsi="宋体"/>
          <w:highlight w:val="none"/>
        </w:rPr>
        <w:t>评审表》。</w:t>
      </w:r>
    </w:p>
    <w:p>
      <w:pPr>
        <w:shd w:val="clear"/>
        <w:tabs>
          <w:tab w:val="left" w:pos="851"/>
          <w:tab w:val="left" w:pos="1134"/>
        </w:tabs>
        <w:spacing w:before="0" w:after="0" w:afterAutospacing="0"/>
        <w:ind w:left="422" w:right="0" w:firstLine="0"/>
        <w:rPr>
          <w:rFonts w:ascii="宋体" w:hAnsi="宋体"/>
          <w:b/>
          <w:highlight w:val="none"/>
        </w:rPr>
      </w:pPr>
      <w:r>
        <w:rPr>
          <w:rFonts w:hint="eastAsia" w:ascii="宋体" w:hAnsi="宋体"/>
          <w:b/>
          <w:highlight w:val="none"/>
        </w:rPr>
        <w:t>3.3详细评审</w:t>
      </w:r>
    </w:p>
    <w:p>
      <w:pPr>
        <w:shd w:val="clear"/>
        <w:tabs>
          <w:tab w:val="left" w:pos="851"/>
          <w:tab w:val="left" w:pos="1134"/>
        </w:tabs>
        <w:spacing w:before="0" w:after="0" w:afterAutospacing="0"/>
        <w:ind w:left="420" w:right="0" w:firstLine="0"/>
        <w:rPr>
          <w:rFonts w:ascii="宋体" w:hAnsi="宋体"/>
          <w:highlight w:val="none"/>
        </w:rPr>
      </w:pPr>
      <w:r>
        <w:rPr>
          <w:rFonts w:hint="eastAsia" w:ascii="宋体" w:hAnsi="宋体"/>
          <w:highlight w:val="none"/>
        </w:rPr>
        <w:t>3.3.1分值构成：技术分60分，报价分40分。</w:t>
      </w:r>
    </w:p>
    <w:p>
      <w:pPr>
        <w:shd w:val="clear"/>
        <w:spacing w:before="0" w:after="0" w:afterAutospacing="0"/>
        <w:ind w:left="0" w:right="0" w:firstLine="420" w:firstLineChars="200"/>
        <w:rPr>
          <w:rFonts w:ascii="宋体" w:hAnsi="宋体"/>
          <w:highlight w:val="none"/>
        </w:rPr>
      </w:pPr>
      <w:r>
        <w:rPr>
          <w:rFonts w:hint="eastAsia" w:ascii="宋体" w:hAnsi="宋体"/>
          <w:highlight w:val="none"/>
        </w:rPr>
        <w:t>3.3.2经初步评审合格的比选文件，评审委员会应当根据比选文件确定的评比标准和方法，首先对技术文件进行评审与比较，技术文件按得分由高到低的顺序选择5家比选单位进入商务文件评审阶段，如有与第5家得分相同的，则一并进入商务文件评审阶段，如参加比选单位不足5家（含5家），则通过资格审查、初步评审的全部比选人进入商务文件评审阶段。其次，评审委员会对比选人的比选报价进行价格评审。评审内容详见附表三《技术文件评审标准表》、附表四《比选报价评分表》（得分出现小数点，保留小数点后二位，第三位小数四舍五入）</w:t>
      </w:r>
    </w:p>
    <w:p>
      <w:pPr>
        <w:shd w:val="clear"/>
        <w:tabs>
          <w:tab w:val="left" w:pos="851"/>
          <w:tab w:val="left" w:pos="1134"/>
        </w:tabs>
        <w:spacing w:before="0" w:after="0" w:afterAutospacing="0"/>
        <w:ind w:left="420" w:right="0" w:firstLine="0"/>
        <w:rPr>
          <w:rFonts w:ascii="宋体" w:hAnsi="宋体"/>
          <w:highlight w:val="none"/>
        </w:rPr>
      </w:pPr>
      <w:r>
        <w:rPr>
          <w:rFonts w:hint="eastAsia" w:ascii="宋体" w:hAnsi="宋体"/>
          <w:highlight w:val="none"/>
        </w:rPr>
        <w:t>3.3.3确定评比价格的原则如下：</w:t>
      </w:r>
    </w:p>
    <w:p>
      <w:pPr>
        <w:shd w:val="clear"/>
        <w:tabs>
          <w:tab w:val="left" w:pos="851"/>
        </w:tabs>
        <w:spacing w:before="0" w:after="0" w:afterAutospacing="0"/>
        <w:ind w:left="0" w:right="0" w:firstLine="420" w:firstLineChars="200"/>
        <w:rPr>
          <w:rFonts w:hAnsi="宋体"/>
          <w:highlight w:val="none"/>
        </w:rPr>
      </w:pPr>
      <w:r>
        <w:rPr>
          <w:rFonts w:hint="eastAsia" w:hAnsi="宋体"/>
          <w:highlight w:val="none"/>
        </w:rPr>
        <w:t>（1）评比总价以不含税比选报价为基准；</w:t>
      </w:r>
    </w:p>
    <w:p>
      <w:pPr>
        <w:shd w:val="clear"/>
        <w:tabs>
          <w:tab w:val="left" w:pos="851"/>
        </w:tabs>
        <w:spacing w:before="0" w:after="0" w:afterAutospacing="0"/>
        <w:ind w:left="0" w:right="0" w:firstLine="420" w:firstLineChars="200"/>
        <w:rPr>
          <w:rFonts w:hAnsi="宋体"/>
          <w:highlight w:val="none"/>
        </w:rPr>
      </w:pPr>
      <w:r>
        <w:rPr>
          <w:rFonts w:hint="eastAsia" w:hAnsi="宋体"/>
          <w:highlight w:val="none"/>
        </w:rPr>
        <w:t>（2）比选报价大写金额与小写金额不一致的，以大写金额为准；总价金额与依据单价计算出的结果不一致的，以单价金额为准修正总价，但单价金额小数点有明显错误的除外；</w:t>
      </w:r>
    </w:p>
    <w:p>
      <w:pPr>
        <w:shd w:val="clear"/>
        <w:tabs>
          <w:tab w:val="left" w:pos="851"/>
        </w:tabs>
        <w:spacing w:before="0" w:after="0" w:afterAutospacing="0"/>
        <w:ind w:left="0" w:right="0" w:firstLine="420" w:firstLineChars="200"/>
        <w:rPr>
          <w:rFonts w:hAnsi="宋体"/>
          <w:highlight w:val="none"/>
        </w:rPr>
      </w:pPr>
      <w:r>
        <w:rPr>
          <w:rFonts w:hint="eastAsia" w:hAnsi="宋体"/>
          <w:highlight w:val="none"/>
        </w:rPr>
        <w:t>（3）比选报价清单如有漏项视为比选无效；</w:t>
      </w:r>
    </w:p>
    <w:p>
      <w:pPr>
        <w:shd w:val="clear"/>
        <w:tabs>
          <w:tab w:val="left" w:pos="851"/>
        </w:tabs>
        <w:spacing w:before="0" w:after="0" w:afterAutospacing="0"/>
        <w:ind w:left="0" w:right="0" w:firstLine="420" w:firstLineChars="200"/>
        <w:rPr>
          <w:rFonts w:hAnsi="宋体"/>
          <w:highlight w:val="none"/>
        </w:rPr>
      </w:pPr>
      <w:r>
        <w:rPr>
          <w:rFonts w:hint="eastAsia" w:hAnsi="宋体"/>
          <w:highlight w:val="none"/>
        </w:rPr>
        <w:t>（4）按上述（2）条规则对比选报价进行修正。修正后的总价若高于比选报价，则</w:t>
      </w:r>
      <w:r>
        <w:rPr>
          <w:rFonts w:hint="eastAsia" w:ascii="宋体" w:hAnsi="宋体"/>
          <w:highlight w:val="none"/>
        </w:rPr>
        <w:t>中选</w:t>
      </w:r>
      <w:r>
        <w:rPr>
          <w:rFonts w:hint="eastAsia" w:hAnsi="宋体"/>
          <w:highlight w:val="none"/>
        </w:rPr>
        <w:t>价以比选报价为准，评比报价以修正后的总价为准；修正后的总价若低于比选报价，则</w:t>
      </w:r>
      <w:r>
        <w:rPr>
          <w:rFonts w:hint="eastAsia" w:ascii="宋体" w:hAnsi="宋体"/>
          <w:highlight w:val="none"/>
        </w:rPr>
        <w:t>中选</w:t>
      </w:r>
      <w:r>
        <w:rPr>
          <w:rFonts w:hint="eastAsia" w:hAnsi="宋体"/>
          <w:highlight w:val="none"/>
        </w:rPr>
        <w:t>价以修正后总价为准，评比报价以比选报价为准。如比选人不接受按以上规则确定的评比报价和</w:t>
      </w:r>
      <w:r>
        <w:rPr>
          <w:rFonts w:hint="eastAsia" w:ascii="宋体" w:hAnsi="宋体"/>
          <w:highlight w:val="none"/>
        </w:rPr>
        <w:t>中选</w:t>
      </w:r>
      <w:r>
        <w:rPr>
          <w:rFonts w:hint="eastAsia" w:hAnsi="宋体"/>
          <w:highlight w:val="none"/>
        </w:rPr>
        <w:t>价，则其比选将被拒绝。</w:t>
      </w:r>
    </w:p>
    <w:p>
      <w:pPr>
        <w:shd w:val="clear"/>
        <w:spacing w:before="0" w:after="0" w:afterAutospacing="0"/>
        <w:ind w:left="0" w:right="0" w:firstLine="420" w:firstLineChars="200"/>
        <w:rPr>
          <w:rFonts w:ascii="宋体" w:hAnsi="宋体"/>
          <w:highlight w:val="none"/>
        </w:rPr>
      </w:pPr>
      <w:r>
        <w:rPr>
          <w:rFonts w:hint="eastAsia" w:hAnsi="宋体"/>
          <w:highlight w:val="none"/>
        </w:rPr>
        <w:t>（5）在评比过程中，评审委员会发现比选人的报价明显低于其他比选报价，使得其比选报价可能低于其个别成本的，应当要求该比选人作出书面说明并提供相关证明材料。比选人不能合理说明或</w:t>
      </w:r>
      <w:r>
        <w:rPr>
          <w:rFonts w:hint="eastAsia" w:ascii="宋体" w:hAnsi="宋体"/>
          <w:highlight w:val="none"/>
        </w:rPr>
        <w:t>者不能提供相关证明材料的，由评审委员会认定该比选人以低于成本报价竞选，其比选将被否决。</w:t>
      </w:r>
    </w:p>
    <w:p>
      <w:pPr>
        <w:shd w:val="clear"/>
        <w:spacing w:before="0" w:after="0" w:afterAutospacing="0"/>
        <w:ind w:left="0" w:right="0" w:firstLine="420" w:firstLineChars="200"/>
        <w:rPr>
          <w:rFonts w:ascii="宋体" w:hAnsi="宋体"/>
          <w:highlight w:val="none"/>
        </w:rPr>
      </w:pPr>
      <w:r>
        <w:rPr>
          <w:rFonts w:hint="eastAsia" w:ascii="宋体" w:hAnsi="宋体"/>
          <w:highlight w:val="none"/>
        </w:rPr>
        <w:t>3.3.4评审委员会对进入商务文件评审阶段比选人的技术评审、报价评审的分数进行综合，将进入商务文件评审的各比选人综合评分按照由高到低的顺序进行排序，选出排名前1~3名的比选人为中选候选人（见附表五）。</w:t>
      </w:r>
    </w:p>
    <w:p>
      <w:pPr>
        <w:shd w:val="clear"/>
        <w:tabs>
          <w:tab w:val="left" w:pos="851"/>
          <w:tab w:val="left" w:pos="1134"/>
        </w:tabs>
        <w:spacing w:before="0" w:after="0" w:afterAutospacing="0"/>
        <w:ind w:left="422" w:right="0" w:firstLine="0"/>
        <w:rPr>
          <w:rFonts w:ascii="宋体" w:hAnsi="宋体"/>
          <w:highlight w:val="none"/>
        </w:rPr>
      </w:pPr>
      <w:r>
        <w:rPr>
          <w:rFonts w:hint="eastAsia" w:ascii="宋体" w:hAnsi="宋体"/>
          <w:highlight w:val="none"/>
        </w:rPr>
        <w:t>3.3.5评审委员会经评审，认为所有比选都不符合必选文件要求的，可以否决所有比选。所有比选被否决后，应当依法重新比选。如果评审委员会根据本章的规定作否决比选处理后，有效比选不足三个的，则评审委员会可以将所有有效比选按最终得分由高至低的次序作为中选候选人向比选人推荐。</w:t>
      </w:r>
    </w:p>
    <w:p>
      <w:pPr>
        <w:shd w:val="clear"/>
        <w:tabs>
          <w:tab w:val="left" w:pos="851"/>
          <w:tab w:val="left" w:pos="1134"/>
        </w:tabs>
        <w:spacing w:before="0" w:after="0" w:afterAutospacing="0"/>
        <w:ind w:left="422" w:right="0" w:firstLine="0"/>
        <w:rPr>
          <w:rFonts w:ascii="宋体" w:hAnsi="宋体"/>
          <w:b/>
          <w:highlight w:val="none"/>
        </w:rPr>
      </w:pPr>
      <w:r>
        <w:rPr>
          <w:rFonts w:hint="eastAsia" w:ascii="宋体" w:hAnsi="宋体"/>
          <w:b/>
          <w:highlight w:val="none"/>
        </w:rPr>
        <w:t>3.3.6评审结果</w:t>
      </w:r>
    </w:p>
    <w:p>
      <w:pPr>
        <w:shd w:val="clear"/>
        <w:tabs>
          <w:tab w:val="left" w:pos="851"/>
        </w:tabs>
        <w:spacing w:before="0" w:after="0" w:afterAutospacing="0"/>
        <w:ind w:left="0" w:right="0" w:firstLine="420" w:firstLineChars="200"/>
        <w:rPr>
          <w:rFonts w:ascii="宋体" w:hAnsi="宋体"/>
          <w:highlight w:val="none"/>
        </w:rPr>
      </w:pPr>
      <w:r>
        <w:rPr>
          <w:rFonts w:hint="eastAsia" w:ascii="宋体" w:hAnsi="宋体"/>
          <w:highlight w:val="none"/>
        </w:rPr>
        <w:t>通过价格评审计算出比选申请人的实际评审总价，填写《比选申请评审表》（见附表六），由评审委员会根据通过资格审查及符合性评审的比选申请人</w:t>
      </w:r>
      <w:r>
        <w:rPr>
          <w:rFonts w:ascii="宋体" w:hAnsi="宋体"/>
          <w:highlight w:val="none"/>
        </w:rPr>
        <w:t>综合评分按照由高到低的顺序进行排序</w:t>
      </w:r>
      <w:r>
        <w:rPr>
          <w:rFonts w:hint="eastAsia" w:ascii="宋体" w:hAnsi="宋体" w:cs="Arial"/>
          <w:highlight w:val="none"/>
        </w:rPr>
        <w:t>提出</w:t>
      </w:r>
      <w:r>
        <w:rPr>
          <w:rFonts w:ascii="宋体" w:hAnsi="宋体" w:cs="Arial"/>
          <w:highlight w:val="none"/>
        </w:rPr>
        <w:t>1-3</w:t>
      </w:r>
      <w:r>
        <w:rPr>
          <w:rFonts w:hint="eastAsia" w:ascii="宋体" w:hAnsi="宋体" w:cs="Arial"/>
          <w:highlight w:val="none"/>
        </w:rPr>
        <w:t>名中选候选人，并编写评审报告。</w:t>
      </w:r>
    </w:p>
    <w:p>
      <w:pPr>
        <w:shd w:val="clear"/>
        <w:tabs>
          <w:tab w:val="left" w:pos="567"/>
        </w:tabs>
        <w:spacing w:before="0" w:after="0" w:afterAutospacing="0"/>
        <w:ind w:left="422" w:right="0" w:firstLine="0"/>
        <w:rPr>
          <w:rFonts w:ascii="宋体" w:hAnsi="宋体"/>
          <w:b/>
          <w:highlight w:val="none"/>
        </w:rPr>
      </w:pPr>
      <w:r>
        <w:rPr>
          <w:rFonts w:hint="eastAsia" w:ascii="宋体" w:hAnsi="宋体"/>
          <w:b/>
          <w:highlight w:val="none"/>
        </w:rPr>
        <w:t>3.4</w:t>
      </w:r>
      <w:r>
        <w:rPr>
          <w:rFonts w:ascii="宋体" w:hAnsi="宋体"/>
          <w:b/>
          <w:highlight w:val="none"/>
        </w:rPr>
        <w:t>澄清或补正</w:t>
      </w:r>
    </w:p>
    <w:p>
      <w:pPr>
        <w:shd w:val="clear"/>
        <w:tabs>
          <w:tab w:val="left" w:pos="851"/>
          <w:tab w:val="left" w:pos="1134"/>
        </w:tabs>
        <w:spacing w:before="0" w:after="0" w:afterAutospacing="0"/>
        <w:ind w:left="420" w:right="0" w:firstLine="0"/>
        <w:rPr>
          <w:rFonts w:ascii="宋体" w:hAnsi="宋体"/>
          <w:highlight w:val="none"/>
        </w:rPr>
      </w:pPr>
      <w:r>
        <w:rPr>
          <w:rFonts w:hint="eastAsia" w:ascii="宋体" w:hAnsi="宋体"/>
          <w:highlight w:val="none"/>
        </w:rPr>
        <w:t>3.4.1在评审阶段，评审委员会认为必要时，可书面通知比选申请人要求其澄清或补正比选申请文件中的问题，或者要求其补充某些资料。对此，比选申请人不得拒绝。</w:t>
      </w:r>
    </w:p>
    <w:p>
      <w:pPr>
        <w:shd w:val="clear"/>
        <w:tabs>
          <w:tab w:val="left" w:pos="851"/>
          <w:tab w:val="left" w:pos="1134"/>
        </w:tabs>
        <w:spacing w:before="0" w:after="0" w:afterAutospacing="0"/>
        <w:ind w:left="420" w:right="0" w:firstLine="0"/>
        <w:rPr>
          <w:rFonts w:ascii="宋体" w:hAnsi="宋体"/>
          <w:highlight w:val="none"/>
        </w:rPr>
      </w:pPr>
      <w:r>
        <w:rPr>
          <w:rFonts w:hint="eastAsia" w:ascii="宋体" w:hAnsi="宋体"/>
          <w:highlight w:val="none"/>
        </w:rPr>
        <w:t>3.4.2</w:t>
      </w:r>
      <w:r>
        <w:rPr>
          <w:rFonts w:ascii="宋体" w:hAnsi="宋体"/>
          <w:highlight w:val="none"/>
        </w:rPr>
        <w:t>比选申请人须以书面形式提供澄清或补正文件，经评审委员会确认方可作为比选申请文件的组成部分。</w:t>
      </w:r>
    </w:p>
    <w:p>
      <w:pPr>
        <w:shd w:val="clear"/>
        <w:tabs>
          <w:tab w:val="left" w:pos="851"/>
          <w:tab w:val="left" w:pos="1134"/>
        </w:tabs>
        <w:spacing w:before="0" w:after="0" w:afterAutospacing="0"/>
        <w:ind w:left="420" w:right="0" w:firstLine="0"/>
        <w:rPr>
          <w:rFonts w:ascii="宋体" w:hAnsi="宋体"/>
          <w:highlight w:val="none"/>
        </w:rPr>
      </w:pPr>
      <w:r>
        <w:rPr>
          <w:rFonts w:hint="eastAsia" w:ascii="宋体" w:hAnsi="宋体"/>
          <w:highlight w:val="none"/>
        </w:rPr>
        <w:t>3.4.3</w:t>
      </w:r>
      <w:r>
        <w:rPr>
          <w:rFonts w:ascii="宋体" w:hAnsi="宋体"/>
          <w:highlight w:val="none"/>
        </w:rPr>
        <w:t>比选申请人能够合理说明或提供有效证明资料的，评审委员会将予以采信，取消该疑问事项及对应的比选申请报价偏差；不能合理说明或者不能提供有效证明材料的，评审委员会将不予采信，该疑问事项及对应的比选申请报价偏差将确认成立，但其比选申请总价保持不变。</w:t>
      </w:r>
    </w:p>
    <w:p>
      <w:pPr>
        <w:shd w:val="clear"/>
        <w:tabs>
          <w:tab w:val="left" w:pos="851"/>
          <w:tab w:val="left" w:pos="1134"/>
        </w:tabs>
        <w:spacing w:before="0" w:after="0" w:afterAutospacing="0"/>
        <w:ind w:left="420" w:right="0" w:firstLine="0"/>
        <w:rPr>
          <w:rFonts w:ascii="宋体" w:hAnsi="宋体"/>
          <w:highlight w:val="none"/>
        </w:rPr>
      </w:pPr>
      <w:r>
        <w:rPr>
          <w:rFonts w:hint="eastAsia" w:ascii="宋体" w:hAnsi="宋体"/>
          <w:highlight w:val="none"/>
        </w:rPr>
        <w:t>3.4.4</w:t>
      </w:r>
      <w:r>
        <w:rPr>
          <w:rFonts w:ascii="宋体" w:hAnsi="宋体"/>
          <w:highlight w:val="none"/>
        </w:rPr>
        <w:t>如果评审委员会对比选申请人提交的澄清、说明或补正依然存有疑问，可以对比选申请人进一步质疑。比选申请人应当相应地进一步澄清、说明或补正，直至评审委员会认为全部质疑得到解答。</w:t>
      </w:r>
    </w:p>
    <w:p>
      <w:pPr>
        <w:shd w:val="clear"/>
        <w:tabs>
          <w:tab w:val="left" w:pos="851"/>
          <w:tab w:val="left" w:pos="1134"/>
        </w:tabs>
        <w:spacing w:before="0" w:after="0" w:afterAutospacing="0"/>
        <w:ind w:left="420" w:right="0" w:firstLine="0"/>
        <w:rPr>
          <w:rFonts w:ascii="宋体" w:hAnsi="宋体"/>
          <w:highlight w:val="none"/>
        </w:rPr>
      </w:pPr>
      <w:r>
        <w:rPr>
          <w:rFonts w:hint="eastAsia" w:ascii="宋体" w:hAnsi="宋体"/>
          <w:highlight w:val="none"/>
        </w:rPr>
        <w:t>3.4.5</w:t>
      </w:r>
      <w:r>
        <w:rPr>
          <w:rFonts w:ascii="宋体" w:hAnsi="宋体"/>
          <w:highlight w:val="none"/>
        </w:rPr>
        <w:t>比选申请人不得借澄清或补正问题的机会，与比选人及评审委员会私下接触或对原比选申请价和内容提出修改，但在评审中进行的初步修正，则不在此列。比选人不接受比选申请人主动提出的对比选申请文件的澄清或补正。</w:t>
      </w:r>
    </w:p>
    <w:p>
      <w:pPr>
        <w:shd w:val="clear"/>
        <w:spacing w:before="0" w:after="0" w:afterAutospacing="0"/>
        <w:ind w:left="0" w:right="0" w:firstLine="422" w:firstLineChars="200"/>
        <w:rPr>
          <w:rFonts w:ascii="宋体" w:hAnsi="宋体"/>
          <w:b/>
          <w:highlight w:val="none"/>
        </w:rPr>
      </w:pPr>
      <w:r>
        <w:rPr>
          <w:rFonts w:hint="eastAsia" w:ascii="宋体" w:hAnsi="宋体"/>
          <w:b/>
          <w:highlight w:val="none"/>
        </w:rPr>
        <w:t>3.5</w:t>
      </w:r>
      <w:r>
        <w:rPr>
          <w:rFonts w:ascii="宋体" w:hAnsi="宋体"/>
          <w:b/>
          <w:highlight w:val="none"/>
        </w:rPr>
        <w:t>评审报告</w:t>
      </w:r>
    </w:p>
    <w:p>
      <w:pPr>
        <w:shd w:val="clear"/>
        <w:tabs>
          <w:tab w:val="left" w:pos="993"/>
          <w:tab w:val="left" w:pos="1134"/>
        </w:tabs>
        <w:spacing w:before="0" w:after="0" w:afterAutospacing="0"/>
        <w:ind w:left="0" w:right="0" w:firstLine="420" w:firstLineChars="200"/>
        <w:rPr>
          <w:rFonts w:ascii="宋体" w:hAnsi="宋体"/>
          <w:highlight w:val="none"/>
        </w:rPr>
      </w:pPr>
      <w:r>
        <w:rPr>
          <w:rFonts w:hint="eastAsia" w:ascii="宋体" w:hAnsi="宋体"/>
          <w:highlight w:val="none"/>
        </w:rPr>
        <w:t>（</w:t>
      </w:r>
      <w:r>
        <w:rPr>
          <w:rFonts w:ascii="宋体" w:hAnsi="宋体"/>
          <w:highlight w:val="none"/>
        </w:rPr>
        <w:t>1</w:t>
      </w:r>
      <w:r>
        <w:rPr>
          <w:rFonts w:hint="eastAsia" w:ascii="宋体" w:hAnsi="宋体"/>
          <w:highlight w:val="none"/>
        </w:rPr>
        <w:t>）评审委员会应根据评审情况和结果，向比选人提交评审报告。评审报告由评审委员会成员起草，按少数服从多数的原则通过。评审委员会全体成员应在评审报告上签字确认，评审专家如有保留意见可以在评审报告中阐明</w:t>
      </w:r>
      <w:r>
        <w:rPr>
          <w:rFonts w:ascii="宋体" w:hAnsi="宋体"/>
          <w:highlight w:val="none"/>
        </w:rPr>
        <w:t>。</w:t>
      </w:r>
    </w:p>
    <w:p>
      <w:pPr>
        <w:shd w:val="clear"/>
        <w:tabs>
          <w:tab w:val="left" w:pos="851"/>
          <w:tab w:val="left" w:pos="993"/>
        </w:tabs>
        <w:spacing w:before="0" w:after="0" w:afterAutospacing="0"/>
        <w:ind w:left="0" w:right="0" w:firstLine="420" w:firstLineChars="200"/>
        <w:rPr>
          <w:rFonts w:ascii="宋体" w:hAnsi="宋体"/>
          <w:highlight w:val="none"/>
        </w:rPr>
      </w:pPr>
      <w:r>
        <w:rPr>
          <w:rFonts w:hint="eastAsia" w:ascii="宋体" w:hAnsi="宋体"/>
          <w:highlight w:val="none"/>
        </w:rPr>
        <w:t>（</w:t>
      </w:r>
      <w:r>
        <w:rPr>
          <w:rFonts w:ascii="宋体" w:hAnsi="宋体"/>
          <w:highlight w:val="none"/>
        </w:rPr>
        <w:t>2</w:t>
      </w:r>
      <w:r>
        <w:rPr>
          <w:rFonts w:hint="eastAsia" w:ascii="宋体" w:hAnsi="宋体"/>
          <w:highlight w:val="none"/>
        </w:rPr>
        <w:t>）评审委员会根据报价按由低到高的顺序进行排序。</w:t>
      </w:r>
      <w:r>
        <w:rPr>
          <w:rFonts w:ascii="宋体" w:hAnsi="宋体"/>
          <w:highlight w:val="none"/>
        </w:rPr>
        <w:t>并在评审报告中</w:t>
      </w:r>
      <w:r>
        <w:rPr>
          <w:rFonts w:hint="eastAsia" w:ascii="宋体" w:hAnsi="宋体"/>
          <w:highlight w:val="none"/>
        </w:rPr>
        <w:t>推荐报价最低的比选申请人为第一中选候选人，推荐第二低者为第二中选候选人，第三低者为第三中选候选人。如果有</w:t>
      </w:r>
      <w:r>
        <w:rPr>
          <w:rFonts w:ascii="宋体" w:hAnsi="宋体"/>
          <w:highlight w:val="none"/>
        </w:rPr>
        <w:t>2</w:t>
      </w:r>
      <w:r>
        <w:rPr>
          <w:rFonts w:hint="eastAsia" w:ascii="宋体" w:hAnsi="宋体"/>
          <w:highlight w:val="none"/>
        </w:rPr>
        <w:t>个或</w:t>
      </w:r>
      <w:r>
        <w:rPr>
          <w:rFonts w:ascii="宋体" w:hAnsi="宋体"/>
          <w:highlight w:val="none"/>
        </w:rPr>
        <w:t>2</w:t>
      </w:r>
      <w:r>
        <w:rPr>
          <w:rFonts w:hint="eastAsia" w:ascii="宋体" w:hAnsi="宋体"/>
          <w:highlight w:val="none"/>
        </w:rPr>
        <w:t>个以上的比选申请人报价相同的，以评审委员会记名投票的方式按少数服从多数的原则决定其排名顺序。</w:t>
      </w:r>
    </w:p>
    <w:p>
      <w:pPr>
        <w:shd w:val="clear"/>
        <w:spacing w:before="0" w:after="0" w:afterAutospacing="0"/>
        <w:ind w:left="0" w:right="0" w:firstLine="422" w:firstLineChars="200"/>
        <w:rPr>
          <w:rFonts w:ascii="宋体" w:hAnsi="宋体"/>
          <w:b/>
          <w:highlight w:val="none"/>
        </w:rPr>
      </w:pPr>
      <w:r>
        <w:rPr>
          <w:rFonts w:hint="eastAsia" w:ascii="宋体" w:hAnsi="宋体"/>
          <w:b/>
          <w:highlight w:val="none"/>
        </w:rPr>
        <w:t>3.6</w:t>
      </w:r>
      <w:r>
        <w:rPr>
          <w:rFonts w:ascii="宋体" w:hAnsi="宋体"/>
          <w:b/>
          <w:highlight w:val="none"/>
        </w:rPr>
        <w:t>否决比选申请条件</w:t>
      </w:r>
    </w:p>
    <w:p>
      <w:pPr>
        <w:shd w:val="clear"/>
        <w:spacing w:before="0" w:after="0" w:afterAutospacing="0"/>
        <w:ind w:left="0" w:right="0" w:firstLine="420" w:firstLineChars="200"/>
        <w:rPr>
          <w:rFonts w:ascii="宋体" w:hAnsi="宋体"/>
          <w:highlight w:val="none"/>
        </w:rPr>
      </w:pPr>
      <w:r>
        <w:rPr>
          <w:rFonts w:ascii="宋体" w:hAnsi="宋体"/>
          <w:highlight w:val="none"/>
        </w:rPr>
        <w:t>比选申请文件有下列情形之一的，评审委员会应按否决比选申请处理：</w:t>
      </w:r>
    </w:p>
    <w:p>
      <w:pPr>
        <w:shd w:val="clear"/>
        <w:tabs>
          <w:tab w:val="left" w:pos="1276"/>
        </w:tabs>
        <w:spacing w:before="0" w:after="0" w:afterAutospacing="0"/>
        <w:ind w:left="0" w:right="0" w:firstLine="422" w:firstLineChars="200"/>
        <w:jc w:val="left"/>
        <w:rPr>
          <w:rFonts w:ascii="宋体" w:hAnsi="宋体"/>
          <w:b/>
          <w:highlight w:val="none"/>
        </w:rPr>
      </w:pPr>
      <w:r>
        <w:rPr>
          <w:rFonts w:hint="eastAsia" w:ascii="宋体" w:hAnsi="宋体"/>
          <w:b/>
          <w:highlight w:val="none"/>
        </w:rPr>
        <w:t>（1）不符合附表一《资格审查表》规定的；</w:t>
      </w:r>
    </w:p>
    <w:p>
      <w:pPr>
        <w:shd w:val="clear"/>
        <w:tabs>
          <w:tab w:val="left" w:pos="1276"/>
        </w:tabs>
        <w:spacing w:before="0" w:after="0" w:afterAutospacing="0"/>
        <w:ind w:left="0" w:right="0" w:firstLine="422" w:firstLineChars="200"/>
        <w:jc w:val="left"/>
        <w:rPr>
          <w:rFonts w:ascii="宋体" w:hAnsi="宋体"/>
          <w:b/>
          <w:highlight w:val="none"/>
        </w:rPr>
      </w:pPr>
      <w:r>
        <w:rPr>
          <w:rFonts w:hint="eastAsia" w:ascii="宋体" w:hAnsi="宋体"/>
          <w:b/>
          <w:highlight w:val="none"/>
        </w:rPr>
        <w:t>（2）不符合附表二《符合性评审表》规定的；</w:t>
      </w:r>
    </w:p>
    <w:p>
      <w:pPr>
        <w:shd w:val="clear"/>
        <w:tabs>
          <w:tab w:val="left" w:pos="1276"/>
        </w:tabs>
        <w:spacing w:before="0" w:after="0" w:afterAutospacing="0"/>
        <w:ind w:left="0" w:right="0" w:firstLine="422" w:firstLineChars="200"/>
        <w:jc w:val="left"/>
        <w:rPr>
          <w:rFonts w:ascii="宋体" w:hAnsi="宋体"/>
          <w:b/>
          <w:highlight w:val="none"/>
        </w:rPr>
      </w:pPr>
      <w:r>
        <w:rPr>
          <w:rFonts w:hint="eastAsia" w:ascii="宋体" w:hAnsi="宋体"/>
          <w:b/>
          <w:highlight w:val="none"/>
        </w:rPr>
        <w:t>（3）法定代表人未按规定出具授权委托书的(采用委托代理人形式的)；</w:t>
      </w:r>
    </w:p>
    <w:p>
      <w:pPr>
        <w:shd w:val="clear"/>
        <w:tabs>
          <w:tab w:val="left" w:pos="1276"/>
        </w:tabs>
        <w:spacing w:before="0" w:after="0" w:afterAutospacing="0"/>
        <w:ind w:left="0" w:right="0" w:firstLine="422" w:firstLineChars="200"/>
        <w:jc w:val="left"/>
        <w:rPr>
          <w:rFonts w:ascii="宋体" w:hAnsi="宋体"/>
          <w:b/>
          <w:highlight w:val="none"/>
        </w:rPr>
      </w:pPr>
      <w:r>
        <w:rPr>
          <w:rFonts w:hint="eastAsia" w:ascii="宋体" w:hAnsi="宋体"/>
          <w:b/>
          <w:highlight w:val="none"/>
        </w:rPr>
        <w:t>（4）在比选申请文件中有虚假文件和/或资料的；</w:t>
      </w:r>
    </w:p>
    <w:p>
      <w:pPr>
        <w:shd w:val="clear"/>
        <w:tabs>
          <w:tab w:val="left" w:pos="1276"/>
        </w:tabs>
        <w:spacing w:before="0" w:after="0" w:afterAutospacing="0"/>
        <w:ind w:left="0" w:right="0" w:firstLine="422" w:firstLineChars="200"/>
        <w:jc w:val="left"/>
        <w:rPr>
          <w:rFonts w:ascii="宋体" w:hAnsi="宋体"/>
          <w:b/>
          <w:highlight w:val="none"/>
        </w:rPr>
      </w:pPr>
      <w:r>
        <w:rPr>
          <w:rFonts w:hint="eastAsia" w:ascii="宋体" w:hAnsi="宋体"/>
          <w:b/>
          <w:highlight w:val="none"/>
        </w:rPr>
        <w:t>（5）比选申请文件中附有比选人不能接受的条件；</w:t>
      </w:r>
    </w:p>
    <w:p>
      <w:pPr>
        <w:shd w:val="clear"/>
        <w:tabs>
          <w:tab w:val="left" w:pos="1276"/>
        </w:tabs>
        <w:spacing w:before="0" w:after="0" w:afterAutospacing="0"/>
        <w:ind w:left="0" w:right="0" w:firstLine="422" w:firstLineChars="200"/>
        <w:jc w:val="left"/>
        <w:rPr>
          <w:rFonts w:ascii="宋体" w:hAnsi="宋体"/>
          <w:b/>
          <w:highlight w:val="none"/>
        </w:rPr>
      </w:pPr>
      <w:r>
        <w:rPr>
          <w:rFonts w:hint="eastAsia" w:ascii="宋体" w:hAnsi="宋体"/>
          <w:b/>
          <w:highlight w:val="none"/>
        </w:rPr>
        <w:t>（6）比选申请文件实质上不响应比选文件的要求的；</w:t>
      </w:r>
    </w:p>
    <w:p>
      <w:pPr>
        <w:shd w:val="clear"/>
        <w:tabs>
          <w:tab w:val="left" w:pos="1276"/>
        </w:tabs>
        <w:spacing w:before="0" w:after="0" w:afterAutospacing="0"/>
        <w:ind w:left="0" w:right="0" w:firstLine="422" w:firstLineChars="200"/>
        <w:jc w:val="left"/>
        <w:rPr>
          <w:rFonts w:ascii="宋体" w:hAnsi="宋体"/>
          <w:b/>
          <w:highlight w:val="none"/>
        </w:rPr>
      </w:pPr>
      <w:r>
        <w:rPr>
          <w:rFonts w:hint="eastAsia" w:ascii="宋体" w:hAnsi="宋体"/>
          <w:b/>
          <w:highlight w:val="none"/>
        </w:rPr>
        <w:t xml:space="preserve">（7）比选申请人以经评审委员会评审认定为低于成本的报价竞标； </w:t>
      </w:r>
    </w:p>
    <w:p>
      <w:pPr>
        <w:shd w:val="clear"/>
        <w:tabs>
          <w:tab w:val="left" w:pos="1276"/>
        </w:tabs>
        <w:spacing w:before="0" w:after="0" w:afterAutospacing="0"/>
        <w:ind w:left="0" w:right="0" w:firstLine="422" w:firstLineChars="200"/>
        <w:jc w:val="left"/>
        <w:rPr>
          <w:rFonts w:ascii="宋体" w:hAnsi="宋体"/>
          <w:b/>
          <w:highlight w:val="none"/>
        </w:rPr>
      </w:pPr>
      <w:r>
        <w:rPr>
          <w:rFonts w:hint="eastAsia" w:ascii="宋体" w:hAnsi="宋体"/>
          <w:b/>
          <w:highlight w:val="none"/>
        </w:rPr>
        <w:t>（8）比选申请人扰乱会场秩序，经劝阻仍然无理取闹的；</w:t>
      </w:r>
    </w:p>
    <w:p>
      <w:pPr>
        <w:shd w:val="clear"/>
        <w:tabs>
          <w:tab w:val="left" w:pos="1276"/>
        </w:tabs>
        <w:spacing w:before="0" w:after="0" w:afterAutospacing="0"/>
        <w:ind w:left="0" w:right="0" w:firstLine="422" w:firstLineChars="200"/>
        <w:jc w:val="left"/>
        <w:rPr>
          <w:rFonts w:ascii="宋体" w:hAnsi="宋体"/>
          <w:b/>
          <w:highlight w:val="none"/>
        </w:rPr>
      </w:pPr>
      <w:r>
        <w:rPr>
          <w:rFonts w:hint="eastAsia" w:ascii="宋体" w:hAnsi="宋体"/>
          <w:b/>
          <w:highlight w:val="none"/>
        </w:rPr>
        <w:t>（9）比选申请人未能按照评审委员会要求，对其比选申请文件进行澄清、说明和补正的；</w:t>
      </w:r>
    </w:p>
    <w:p>
      <w:pPr>
        <w:shd w:val="clear"/>
        <w:tabs>
          <w:tab w:val="left" w:pos="1276"/>
        </w:tabs>
        <w:spacing w:before="0" w:after="0" w:afterAutospacing="0"/>
        <w:ind w:left="0" w:right="0" w:firstLine="422" w:firstLineChars="200"/>
        <w:jc w:val="left"/>
        <w:rPr>
          <w:rFonts w:ascii="宋体" w:hAnsi="宋体"/>
          <w:b/>
          <w:highlight w:val="none"/>
        </w:rPr>
      </w:pPr>
      <w:r>
        <w:rPr>
          <w:rFonts w:hint="eastAsia" w:ascii="宋体" w:hAnsi="宋体"/>
          <w:b/>
          <w:highlight w:val="none"/>
        </w:rPr>
        <w:t>（</w:t>
      </w:r>
      <w:r>
        <w:rPr>
          <w:rFonts w:hint="eastAsia" w:ascii="宋体" w:hAnsi="宋体"/>
          <w:b/>
          <w:highlight w:val="none"/>
          <w:lang w:val="en-US" w:eastAsia="zh-CN"/>
        </w:rPr>
        <w:t>10</w:t>
      </w:r>
      <w:r>
        <w:rPr>
          <w:rFonts w:hint="eastAsia" w:ascii="宋体" w:hAnsi="宋体"/>
          <w:b/>
          <w:highlight w:val="none"/>
        </w:rPr>
        <w:t>）比选申请人以他人的名义比选申请、串通比选申请、以行贿手段谋取中选或者以其他弄虚作假方式比选申请的。</w:t>
      </w:r>
    </w:p>
    <w:p>
      <w:pPr>
        <w:shd w:val="clear"/>
        <w:tabs>
          <w:tab w:val="left" w:pos="1276"/>
        </w:tabs>
        <w:spacing w:before="0" w:after="0"/>
        <w:ind w:left="420" w:right="0" w:firstLine="0"/>
        <w:jc w:val="left"/>
        <w:rPr>
          <w:rFonts w:ascii="宋体" w:hAnsi="宋体"/>
          <w:b/>
          <w:highlight w:val="none"/>
        </w:rPr>
        <w:sectPr>
          <w:pgSz w:w="11905" w:h="16838"/>
          <w:pgMar w:top="1418" w:right="1418" w:bottom="1304" w:left="1418" w:header="454" w:footer="567" w:gutter="0"/>
          <w:pgNumType w:fmt="decimal"/>
          <w:cols w:space="720" w:num="1"/>
          <w:docGrid w:linePitch="312" w:charSpace="0"/>
        </w:sectPr>
      </w:pPr>
    </w:p>
    <w:p>
      <w:pPr>
        <w:pStyle w:val="4"/>
        <w:shd w:val="clear"/>
        <w:spacing w:after="0" w:line="360" w:lineRule="auto"/>
        <w:ind w:right="-57" w:firstLine="0"/>
        <w:rPr>
          <w:sz w:val="21"/>
          <w:szCs w:val="21"/>
          <w:highlight w:val="none"/>
        </w:rPr>
      </w:pPr>
      <w:bookmarkStart w:id="2181" w:name="_Toc414290583"/>
      <w:bookmarkStart w:id="2182" w:name="_Toc19557"/>
      <w:bookmarkStart w:id="2183" w:name="_Toc29923"/>
      <w:bookmarkStart w:id="2184" w:name="_Toc29245"/>
      <w:bookmarkStart w:id="2185" w:name="_Toc23314"/>
      <w:bookmarkStart w:id="2186" w:name="_Toc434"/>
      <w:bookmarkStart w:id="2187" w:name="_Toc16364"/>
      <w:bookmarkStart w:id="2188" w:name="_Toc9189"/>
      <w:bookmarkStart w:id="2189" w:name="_Toc28404"/>
      <w:bookmarkStart w:id="2190" w:name="_Toc492478849"/>
      <w:bookmarkStart w:id="2191" w:name="_Toc27271"/>
      <w:bookmarkStart w:id="2192" w:name="_Toc22464"/>
      <w:bookmarkStart w:id="2193" w:name="_Toc18096"/>
      <w:bookmarkStart w:id="2194" w:name="_Toc10968"/>
      <w:bookmarkStart w:id="2195" w:name="_Toc9730"/>
      <w:bookmarkStart w:id="2196" w:name="_Toc15224"/>
      <w:bookmarkStart w:id="2197" w:name="_Toc15073"/>
      <w:bookmarkStart w:id="2198" w:name="_Toc9588"/>
      <w:bookmarkStart w:id="2199" w:name="_Toc31611"/>
      <w:bookmarkStart w:id="2200" w:name="_Toc25750694"/>
      <w:r>
        <w:rPr>
          <w:rFonts w:hint="eastAsia"/>
          <w:sz w:val="21"/>
          <w:szCs w:val="21"/>
          <w:highlight w:val="none"/>
        </w:rPr>
        <w:t>附表一 资格审查表</w:t>
      </w:r>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p>
    <w:p>
      <w:pPr>
        <w:shd w:val="clear"/>
        <w:snapToGrid w:val="0"/>
        <w:spacing w:before="0" w:line="360" w:lineRule="exact"/>
        <w:ind w:left="420" w:right="240" w:firstLine="0"/>
        <w:jc w:val="center"/>
        <w:rPr>
          <w:rFonts w:ascii="宋体" w:hAnsi="宋体"/>
          <w:b/>
          <w:sz w:val="24"/>
          <w:szCs w:val="24"/>
          <w:highlight w:val="none"/>
        </w:rPr>
      </w:pPr>
      <w:r>
        <w:rPr>
          <w:rFonts w:hint="eastAsia" w:ascii="宋体" w:hAnsi="宋体"/>
          <w:b/>
          <w:sz w:val="24"/>
          <w:szCs w:val="24"/>
          <w:highlight w:val="none"/>
        </w:rPr>
        <w:t>资格审查表</w:t>
      </w:r>
    </w:p>
    <w:tbl>
      <w:tblPr>
        <w:tblStyle w:val="28"/>
        <w:tblW w:w="970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37"/>
        <w:gridCol w:w="820"/>
        <w:gridCol w:w="3129"/>
        <w:gridCol w:w="1379"/>
        <w:gridCol w:w="1094"/>
        <w:gridCol w:w="284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37" w:hRule="atLeast"/>
          <w:tblHeader/>
          <w:jc w:val="center"/>
        </w:trPr>
        <w:tc>
          <w:tcPr>
            <w:tcW w:w="437" w:type="dxa"/>
            <w:vAlign w:val="center"/>
          </w:tcPr>
          <w:p>
            <w:pPr>
              <w:shd w:val="clear"/>
              <w:spacing w:before="0" w:after="0" w:afterAutospacing="0" w:line="240" w:lineRule="auto"/>
              <w:ind w:left="0" w:right="0" w:firstLine="0"/>
              <w:jc w:val="center"/>
              <w:rPr>
                <w:rFonts w:ascii="宋体" w:hAnsi="宋体"/>
                <w:highlight w:val="none"/>
              </w:rPr>
            </w:pPr>
            <w:r>
              <w:rPr>
                <w:rFonts w:hint="eastAsia" w:ascii="宋体" w:hAnsi="宋体"/>
                <w:highlight w:val="none"/>
              </w:rPr>
              <w:t>序号</w:t>
            </w:r>
          </w:p>
        </w:tc>
        <w:tc>
          <w:tcPr>
            <w:tcW w:w="820" w:type="dxa"/>
            <w:vAlign w:val="center"/>
          </w:tcPr>
          <w:p>
            <w:pPr>
              <w:shd w:val="clear"/>
              <w:spacing w:before="0" w:after="0" w:afterAutospacing="0" w:line="240" w:lineRule="auto"/>
              <w:ind w:left="0" w:right="0" w:firstLine="0"/>
              <w:jc w:val="center"/>
              <w:rPr>
                <w:rFonts w:ascii="宋体" w:hAnsi="宋体"/>
                <w:highlight w:val="none"/>
              </w:rPr>
            </w:pPr>
            <w:r>
              <w:rPr>
                <w:rFonts w:hint="eastAsia" w:ascii="宋体" w:hAnsi="宋体"/>
                <w:highlight w:val="none"/>
              </w:rPr>
              <w:t>项目内容</w:t>
            </w:r>
          </w:p>
        </w:tc>
        <w:tc>
          <w:tcPr>
            <w:tcW w:w="3129" w:type="dxa"/>
            <w:vAlign w:val="center"/>
          </w:tcPr>
          <w:p>
            <w:pPr>
              <w:shd w:val="clear"/>
              <w:spacing w:before="0" w:after="0" w:afterAutospacing="0" w:line="240" w:lineRule="auto"/>
              <w:ind w:left="0" w:right="0" w:firstLine="0"/>
              <w:jc w:val="center"/>
              <w:rPr>
                <w:rFonts w:ascii="宋体" w:hAnsi="宋体"/>
                <w:highlight w:val="none"/>
              </w:rPr>
            </w:pPr>
            <w:r>
              <w:rPr>
                <w:rFonts w:hint="eastAsia" w:ascii="宋体" w:hAnsi="宋体"/>
                <w:highlight w:val="none"/>
              </w:rPr>
              <w:t>合格条件标准</w:t>
            </w:r>
          </w:p>
        </w:tc>
        <w:tc>
          <w:tcPr>
            <w:tcW w:w="1379" w:type="dxa"/>
            <w:vAlign w:val="center"/>
          </w:tcPr>
          <w:p>
            <w:pPr>
              <w:shd w:val="clear"/>
              <w:spacing w:before="0" w:after="0" w:afterAutospacing="0" w:line="240" w:lineRule="auto"/>
              <w:ind w:left="0" w:right="0" w:firstLine="0"/>
              <w:jc w:val="center"/>
              <w:rPr>
                <w:rFonts w:ascii="宋体" w:hAnsi="宋体"/>
                <w:highlight w:val="none"/>
              </w:rPr>
            </w:pPr>
            <w:r>
              <w:rPr>
                <w:rFonts w:hint="eastAsia" w:ascii="宋体" w:hAnsi="宋体"/>
                <w:highlight w:val="none"/>
              </w:rPr>
              <w:t>评审依据</w:t>
            </w:r>
          </w:p>
        </w:tc>
        <w:tc>
          <w:tcPr>
            <w:tcW w:w="1094" w:type="dxa"/>
            <w:vAlign w:val="center"/>
          </w:tcPr>
          <w:p>
            <w:pPr>
              <w:shd w:val="clear"/>
              <w:spacing w:before="0" w:after="0" w:afterAutospacing="0" w:line="240" w:lineRule="auto"/>
              <w:ind w:left="0" w:right="0" w:firstLine="0"/>
              <w:jc w:val="center"/>
              <w:rPr>
                <w:rFonts w:ascii="宋体" w:hAnsi="宋体"/>
                <w:highlight w:val="none"/>
              </w:rPr>
            </w:pPr>
            <w:r>
              <w:rPr>
                <w:rFonts w:hint="eastAsia" w:ascii="宋体" w:hAnsi="宋体"/>
                <w:highlight w:val="none"/>
              </w:rPr>
              <w:t>评审结果（合格</w:t>
            </w:r>
            <w:r>
              <w:rPr>
                <w:rFonts w:ascii="宋体" w:hAnsi="宋体"/>
                <w:highlight w:val="none"/>
              </w:rPr>
              <w:t>/</w:t>
            </w:r>
            <w:r>
              <w:rPr>
                <w:rFonts w:hint="eastAsia" w:ascii="宋体" w:hAnsi="宋体"/>
                <w:highlight w:val="none"/>
              </w:rPr>
              <w:t>不合格）</w:t>
            </w:r>
          </w:p>
        </w:tc>
        <w:tc>
          <w:tcPr>
            <w:tcW w:w="2844" w:type="dxa"/>
            <w:vAlign w:val="center"/>
          </w:tcPr>
          <w:p>
            <w:pPr>
              <w:shd w:val="clear"/>
              <w:spacing w:before="0" w:after="0" w:afterAutospacing="0" w:line="240" w:lineRule="auto"/>
              <w:ind w:left="0" w:right="0" w:firstLine="0"/>
              <w:jc w:val="center"/>
              <w:rPr>
                <w:rFonts w:ascii="宋体" w:hAnsi="宋体"/>
                <w:highlight w:val="none"/>
              </w:rPr>
            </w:pPr>
            <w:r>
              <w:rPr>
                <w:rFonts w:hint="eastAsia" w:ascii="宋体" w:hAnsi="宋体"/>
                <w:highlight w:val="none"/>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690" w:hRule="atLeast"/>
          <w:jc w:val="center"/>
        </w:trPr>
        <w:tc>
          <w:tcPr>
            <w:tcW w:w="437" w:type="dxa"/>
            <w:vAlign w:val="center"/>
          </w:tcPr>
          <w:p>
            <w:pPr>
              <w:shd w:val="clear"/>
              <w:spacing w:before="0" w:after="0" w:afterAutospacing="0"/>
              <w:ind w:left="0" w:right="0" w:firstLine="0"/>
              <w:rPr>
                <w:rFonts w:ascii="宋体" w:hAnsi="宋体"/>
                <w:highlight w:val="none"/>
              </w:rPr>
            </w:pPr>
            <w:r>
              <w:rPr>
                <w:rFonts w:ascii="宋体" w:hAnsi="宋体"/>
                <w:highlight w:val="none"/>
              </w:rPr>
              <w:t>1</w:t>
            </w:r>
          </w:p>
        </w:tc>
        <w:tc>
          <w:tcPr>
            <w:tcW w:w="820" w:type="dxa"/>
            <w:vAlign w:val="center"/>
          </w:tcPr>
          <w:p>
            <w:pPr>
              <w:shd w:val="clear"/>
              <w:spacing w:before="0" w:after="0" w:afterAutospacing="0"/>
              <w:ind w:left="0" w:right="0" w:firstLine="0"/>
              <w:rPr>
                <w:rFonts w:ascii="宋体" w:hAnsi="宋体"/>
                <w:highlight w:val="none"/>
              </w:rPr>
            </w:pPr>
            <w:r>
              <w:rPr>
                <w:rFonts w:hint="eastAsia" w:ascii="宋体" w:hAnsi="宋体"/>
                <w:highlight w:val="none"/>
              </w:rPr>
              <w:t>身份证明材料</w:t>
            </w:r>
          </w:p>
        </w:tc>
        <w:tc>
          <w:tcPr>
            <w:tcW w:w="3129" w:type="dxa"/>
            <w:vAlign w:val="center"/>
          </w:tcPr>
          <w:p>
            <w:pPr>
              <w:shd w:val="clear"/>
              <w:spacing w:before="0" w:after="0" w:afterAutospacing="0"/>
              <w:ind w:left="0" w:right="0" w:firstLine="0"/>
              <w:rPr>
                <w:rFonts w:ascii="宋体" w:hAnsi="宋体"/>
                <w:highlight w:val="none"/>
              </w:rPr>
            </w:pPr>
            <w:r>
              <w:rPr>
                <w:rFonts w:hint="eastAsia" w:ascii="宋体" w:hAnsi="宋体"/>
                <w:highlight w:val="none"/>
              </w:rPr>
              <w:t>法定代表人授权书及法定代表人资格证明书（如无授权时，只需提供法定代表人资格证明书）、法定代表人及被授权人身份证复印件。</w:t>
            </w:r>
          </w:p>
        </w:tc>
        <w:tc>
          <w:tcPr>
            <w:tcW w:w="1379" w:type="dxa"/>
            <w:vAlign w:val="center"/>
          </w:tcPr>
          <w:p>
            <w:pPr>
              <w:shd w:val="clear"/>
              <w:spacing w:before="0" w:after="0" w:afterAutospacing="0"/>
              <w:ind w:left="0" w:right="0" w:firstLine="0"/>
              <w:rPr>
                <w:rFonts w:ascii="宋体" w:hAnsi="宋体"/>
                <w:highlight w:val="none"/>
              </w:rPr>
            </w:pPr>
            <w:r>
              <w:rPr>
                <w:rFonts w:hint="eastAsia" w:ascii="宋体" w:hAnsi="宋体"/>
                <w:highlight w:val="none"/>
              </w:rPr>
              <w:t>法定代表人授权书，法定代表人资格证明书和身份证复印件</w:t>
            </w:r>
          </w:p>
        </w:tc>
        <w:tc>
          <w:tcPr>
            <w:tcW w:w="1094" w:type="dxa"/>
            <w:vAlign w:val="center"/>
          </w:tcPr>
          <w:p>
            <w:pPr>
              <w:shd w:val="clear"/>
              <w:spacing w:before="0" w:after="0" w:afterAutospacing="0"/>
              <w:ind w:left="0" w:right="0" w:firstLine="0"/>
              <w:rPr>
                <w:rFonts w:ascii="宋体" w:hAnsi="宋体"/>
                <w:highlight w:val="none"/>
              </w:rPr>
            </w:pPr>
          </w:p>
        </w:tc>
        <w:tc>
          <w:tcPr>
            <w:tcW w:w="2844" w:type="dxa"/>
            <w:vAlign w:val="center"/>
          </w:tcPr>
          <w:p>
            <w:pPr>
              <w:shd w:val="clear"/>
              <w:spacing w:before="0" w:after="0" w:afterAutospacing="0"/>
              <w:ind w:left="0" w:right="0" w:firstLine="0"/>
              <w:rPr>
                <w:rFonts w:ascii="宋体" w:hAnsi="宋体"/>
                <w:highlight w:val="none"/>
              </w:rPr>
            </w:pPr>
            <w:r>
              <w:rPr>
                <w:rFonts w:hint="eastAsia" w:ascii="宋体" w:hAnsi="宋体"/>
                <w:highlight w:val="none"/>
              </w:rPr>
              <w:t>提供法定代表人授权书及法定代表人资格证明书（如无授权时，只需提供法定代表人资格证明书），法人及被授权人身份证复印件加盖公章。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806" w:hRule="atLeast"/>
          <w:jc w:val="center"/>
        </w:trPr>
        <w:tc>
          <w:tcPr>
            <w:tcW w:w="437" w:type="dxa"/>
            <w:vAlign w:val="center"/>
          </w:tcPr>
          <w:p>
            <w:pPr>
              <w:shd w:val="clear"/>
              <w:spacing w:before="0" w:after="0" w:afterAutospacing="0"/>
              <w:ind w:left="0" w:right="0" w:firstLine="0"/>
              <w:rPr>
                <w:rFonts w:ascii="宋体" w:hAnsi="宋体"/>
                <w:highlight w:val="none"/>
              </w:rPr>
            </w:pPr>
            <w:r>
              <w:rPr>
                <w:rFonts w:ascii="宋体" w:hAnsi="宋体"/>
                <w:highlight w:val="none"/>
              </w:rPr>
              <w:t>2</w:t>
            </w:r>
          </w:p>
        </w:tc>
        <w:tc>
          <w:tcPr>
            <w:tcW w:w="820" w:type="dxa"/>
            <w:vAlign w:val="center"/>
          </w:tcPr>
          <w:p>
            <w:pPr>
              <w:shd w:val="clear"/>
              <w:spacing w:before="0" w:after="0" w:afterAutospacing="0"/>
              <w:ind w:left="0" w:right="0" w:firstLine="0"/>
              <w:rPr>
                <w:rFonts w:ascii="宋体" w:hAnsi="宋体"/>
                <w:highlight w:val="none"/>
              </w:rPr>
            </w:pPr>
            <w:r>
              <w:rPr>
                <w:rFonts w:hint="eastAsia" w:ascii="宋体" w:hAnsi="宋体"/>
                <w:highlight w:val="none"/>
              </w:rPr>
              <w:t>比选申请人资格</w:t>
            </w:r>
          </w:p>
        </w:tc>
        <w:tc>
          <w:tcPr>
            <w:tcW w:w="3129" w:type="dxa"/>
            <w:vAlign w:val="center"/>
          </w:tcPr>
          <w:p>
            <w:pPr>
              <w:shd w:val="clear"/>
              <w:spacing w:before="0" w:after="0" w:afterAutospacing="0"/>
              <w:ind w:left="0" w:right="0" w:firstLine="0"/>
              <w:rPr>
                <w:rFonts w:ascii="宋体" w:hAnsi="宋体"/>
                <w:highlight w:val="none"/>
              </w:rPr>
            </w:pPr>
            <w:r>
              <w:rPr>
                <w:rFonts w:hint="eastAsia" w:ascii="宋体" w:hAnsi="宋体"/>
                <w:highlight w:val="none"/>
              </w:rPr>
              <w:t>比选申请人为中华人民共和国境内依法设立的法人或其他组织（若以分公司名义参与比选申请，必须出具总公司授权参与的证明。）</w:t>
            </w:r>
          </w:p>
        </w:tc>
        <w:tc>
          <w:tcPr>
            <w:tcW w:w="1379" w:type="dxa"/>
            <w:vAlign w:val="center"/>
          </w:tcPr>
          <w:p>
            <w:pPr>
              <w:shd w:val="clear"/>
              <w:spacing w:before="0" w:after="0" w:afterAutospacing="0"/>
              <w:ind w:left="0" w:right="0" w:firstLine="0"/>
              <w:rPr>
                <w:rFonts w:ascii="宋体" w:hAnsi="宋体"/>
                <w:highlight w:val="none"/>
              </w:rPr>
            </w:pPr>
            <w:r>
              <w:rPr>
                <w:rFonts w:hint="eastAsia" w:ascii="宋体" w:hAnsi="宋体"/>
                <w:highlight w:val="none"/>
              </w:rPr>
              <w:t>营业执照副本或事业单位法人证书等证明文件</w:t>
            </w:r>
          </w:p>
        </w:tc>
        <w:tc>
          <w:tcPr>
            <w:tcW w:w="1094" w:type="dxa"/>
            <w:vAlign w:val="center"/>
          </w:tcPr>
          <w:p>
            <w:pPr>
              <w:shd w:val="clear"/>
              <w:spacing w:before="0" w:after="0" w:afterAutospacing="0"/>
              <w:ind w:left="0" w:right="0" w:firstLine="0"/>
              <w:rPr>
                <w:rFonts w:ascii="宋体" w:hAnsi="宋体"/>
                <w:highlight w:val="none"/>
              </w:rPr>
            </w:pPr>
          </w:p>
        </w:tc>
        <w:tc>
          <w:tcPr>
            <w:tcW w:w="2844" w:type="dxa"/>
            <w:vAlign w:val="center"/>
          </w:tcPr>
          <w:p>
            <w:pPr>
              <w:shd w:val="clear"/>
              <w:spacing w:before="0" w:after="0" w:afterAutospacing="0"/>
              <w:ind w:left="0" w:right="0" w:firstLine="0"/>
              <w:rPr>
                <w:rFonts w:ascii="宋体" w:hAnsi="宋体"/>
                <w:highlight w:val="none"/>
              </w:rPr>
            </w:pPr>
            <w:r>
              <w:rPr>
                <w:rFonts w:hint="eastAsia" w:ascii="宋体" w:hAnsi="宋体"/>
                <w:highlight w:val="none"/>
              </w:rPr>
              <w:t>比选申请人有效的营业执照或事业单位法人证书复印件等证明文件，并加盖公章。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806" w:hRule="atLeast"/>
          <w:jc w:val="center"/>
        </w:trPr>
        <w:tc>
          <w:tcPr>
            <w:tcW w:w="437" w:type="dxa"/>
            <w:vAlign w:val="center"/>
          </w:tcPr>
          <w:p>
            <w:pPr>
              <w:shd w:val="clear"/>
              <w:spacing w:before="0" w:after="0" w:afterAutospacing="0"/>
              <w:ind w:left="0" w:right="0" w:firstLine="0"/>
              <w:rPr>
                <w:rFonts w:ascii="宋体" w:hAnsi="宋体"/>
                <w:highlight w:val="none"/>
              </w:rPr>
            </w:pPr>
            <w:r>
              <w:rPr>
                <w:rFonts w:hint="eastAsia" w:ascii="宋体" w:hAnsi="宋体"/>
                <w:highlight w:val="none"/>
              </w:rPr>
              <w:t>3</w:t>
            </w:r>
          </w:p>
        </w:tc>
        <w:tc>
          <w:tcPr>
            <w:tcW w:w="820" w:type="dxa"/>
            <w:vAlign w:val="center"/>
          </w:tcPr>
          <w:p>
            <w:pPr>
              <w:shd w:val="clear"/>
              <w:spacing w:before="0" w:after="0" w:afterAutospacing="0"/>
              <w:ind w:left="0" w:right="0" w:firstLine="0"/>
              <w:jc w:val="both"/>
              <w:rPr>
                <w:rFonts w:hint="eastAsia"/>
                <w:highlight w:val="none"/>
              </w:rPr>
            </w:pPr>
            <w:r>
              <w:rPr>
                <w:rFonts w:hint="eastAsia" w:ascii="宋体" w:hAnsi="宋体"/>
                <w:highlight w:val="none"/>
              </w:rPr>
              <w:t>业绩证明</w:t>
            </w:r>
          </w:p>
        </w:tc>
        <w:tc>
          <w:tcPr>
            <w:tcW w:w="3129" w:type="dxa"/>
            <w:vAlign w:val="top"/>
          </w:tcPr>
          <w:p>
            <w:pPr>
              <w:shd w:val="clear"/>
              <w:spacing w:before="0" w:after="0" w:afterAutospacing="0"/>
              <w:ind w:left="0" w:right="0" w:firstLine="0"/>
              <w:jc w:val="both"/>
              <w:rPr>
                <w:rFonts w:hint="eastAsia" w:eastAsia="宋体"/>
                <w:highlight w:val="none"/>
                <w:lang w:eastAsia="zh-CN"/>
              </w:rPr>
            </w:pPr>
            <w:r>
              <w:rPr>
                <w:rFonts w:hint="eastAsia"/>
                <w:highlight w:val="none"/>
              </w:rPr>
              <w:t>比选申请人自2018年1月1日（备注：近5年）至投标截止时间前至少承接过1项合同金额不少于10万元的消防设施安装项目</w:t>
            </w:r>
            <w:r>
              <w:rPr>
                <w:rFonts w:hint="eastAsia"/>
                <w:highlight w:val="none"/>
                <w:lang w:eastAsia="zh-CN"/>
              </w:rPr>
              <w:t>。</w:t>
            </w:r>
          </w:p>
        </w:tc>
        <w:tc>
          <w:tcPr>
            <w:tcW w:w="1379" w:type="dxa"/>
            <w:vAlign w:val="center"/>
          </w:tcPr>
          <w:p>
            <w:pPr>
              <w:shd w:val="clear"/>
              <w:spacing w:before="0" w:after="0" w:afterAutospacing="0"/>
              <w:ind w:left="0" w:right="0" w:firstLine="0"/>
              <w:rPr>
                <w:rFonts w:ascii="宋体" w:hAnsi="宋体"/>
                <w:highlight w:val="none"/>
              </w:rPr>
            </w:pPr>
            <w:r>
              <w:rPr>
                <w:rFonts w:hint="eastAsia" w:ascii="宋体" w:hAnsi="宋体"/>
                <w:highlight w:val="none"/>
              </w:rPr>
              <w:t>相应的业绩证明材料</w:t>
            </w:r>
          </w:p>
        </w:tc>
        <w:tc>
          <w:tcPr>
            <w:tcW w:w="1094" w:type="dxa"/>
            <w:vAlign w:val="center"/>
          </w:tcPr>
          <w:p>
            <w:pPr>
              <w:shd w:val="clear"/>
              <w:spacing w:before="0" w:after="0" w:afterAutospacing="0"/>
              <w:ind w:left="0" w:right="0" w:firstLine="0"/>
              <w:rPr>
                <w:rFonts w:ascii="宋体" w:hAnsi="宋体"/>
                <w:highlight w:val="none"/>
              </w:rPr>
            </w:pPr>
          </w:p>
        </w:tc>
        <w:tc>
          <w:tcPr>
            <w:tcW w:w="2844" w:type="dxa"/>
            <w:vAlign w:val="center"/>
          </w:tcPr>
          <w:p>
            <w:pPr>
              <w:shd w:val="clear"/>
              <w:spacing w:before="0" w:after="0" w:afterAutospacing="0"/>
              <w:ind w:left="0" w:right="0" w:firstLine="0"/>
              <w:rPr>
                <w:rFonts w:ascii="宋体" w:hAnsi="宋体"/>
                <w:highlight w:val="none"/>
              </w:rPr>
            </w:pPr>
            <w:r>
              <w:rPr>
                <w:rFonts w:hint="eastAsia" w:ascii="宋体" w:hAnsi="宋体"/>
                <w:highlight w:val="none"/>
              </w:rPr>
              <w:t>提供相应的业绩证明材料：中标通知书，复印件加盖比选申请人公章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35" w:hRule="atLeast"/>
          <w:jc w:val="center"/>
        </w:trPr>
        <w:tc>
          <w:tcPr>
            <w:tcW w:w="437" w:type="dxa"/>
            <w:vAlign w:val="center"/>
          </w:tcPr>
          <w:p>
            <w:pPr>
              <w:shd w:val="clear"/>
              <w:spacing w:before="0" w:after="0" w:afterAutospacing="0"/>
              <w:ind w:left="0" w:right="0" w:firstLine="0"/>
              <w:rPr>
                <w:rFonts w:ascii="宋体" w:hAnsi="宋体"/>
                <w:highlight w:val="none"/>
              </w:rPr>
            </w:pPr>
            <w:r>
              <w:rPr>
                <w:rFonts w:hint="eastAsia" w:ascii="宋体" w:hAnsi="宋体"/>
                <w:highlight w:val="none"/>
              </w:rPr>
              <w:t>4</w:t>
            </w:r>
          </w:p>
        </w:tc>
        <w:tc>
          <w:tcPr>
            <w:tcW w:w="820" w:type="dxa"/>
            <w:vAlign w:val="center"/>
          </w:tcPr>
          <w:p>
            <w:pPr>
              <w:shd w:val="clear"/>
              <w:spacing w:before="0" w:after="0" w:afterAutospacing="0"/>
              <w:ind w:left="0" w:right="0" w:firstLine="0"/>
              <w:rPr>
                <w:rFonts w:hint="default" w:ascii="宋体" w:hAnsi="宋体" w:eastAsia="宋体"/>
                <w:highlight w:val="none"/>
                <w:lang w:val="en-US" w:eastAsia="zh-CN"/>
              </w:rPr>
            </w:pPr>
            <w:r>
              <w:rPr>
                <w:rFonts w:hint="eastAsia" w:ascii="宋体" w:hAnsi="宋体"/>
                <w:highlight w:val="none"/>
                <w:lang w:val="en-US" w:eastAsia="zh-CN"/>
              </w:rPr>
              <w:t>资质证书</w:t>
            </w:r>
          </w:p>
        </w:tc>
        <w:tc>
          <w:tcPr>
            <w:tcW w:w="3129" w:type="dxa"/>
            <w:vAlign w:val="center"/>
          </w:tcPr>
          <w:p>
            <w:pPr>
              <w:shd w:val="clear"/>
              <w:spacing w:before="0" w:after="0" w:afterAutospacing="0"/>
              <w:ind w:left="0" w:right="0" w:firstLine="0"/>
              <w:rPr>
                <w:rFonts w:ascii="宋体" w:hAnsi="宋体"/>
                <w:highlight w:val="none"/>
              </w:rPr>
            </w:pPr>
            <w:r>
              <w:rPr>
                <w:rFonts w:hint="eastAsia"/>
                <w:highlight w:val="none"/>
                <w:lang w:val="en-US" w:eastAsia="zh-CN"/>
              </w:rPr>
              <w:t>比选申请人应具有消防设施工程专业承包二级或以上资质。</w:t>
            </w:r>
          </w:p>
        </w:tc>
        <w:tc>
          <w:tcPr>
            <w:tcW w:w="1379" w:type="dxa"/>
            <w:vAlign w:val="center"/>
          </w:tcPr>
          <w:p>
            <w:pPr>
              <w:shd w:val="clear"/>
              <w:spacing w:before="0" w:after="0" w:afterAutospacing="0"/>
              <w:ind w:left="0" w:right="0" w:firstLine="0"/>
              <w:rPr>
                <w:rFonts w:hint="default" w:ascii="宋体" w:hAnsi="宋体" w:eastAsia="宋体"/>
                <w:highlight w:val="none"/>
                <w:lang w:val="en-US" w:eastAsia="zh-CN"/>
              </w:rPr>
            </w:pPr>
            <w:r>
              <w:rPr>
                <w:rFonts w:hint="eastAsia" w:ascii="宋体" w:hAnsi="宋体"/>
                <w:highlight w:val="none"/>
                <w:lang w:val="en-US" w:eastAsia="zh-CN"/>
              </w:rPr>
              <w:t>资质证书复印件</w:t>
            </w:r>
          </w:p>
        </w:tc>
        <w:tc>
          <w:tcPr>
            <w:tcW w:w="1094" w:type="dxa"/>
            <w:vAlign w:val="center"/>
          </w:tcPr>
          <w:p>
            <w:pPr>
              <w:shd w:val="clear"/>
              <w:spacing w:before="0" w:after="0" w:afterAutospacing="0"/>
              <w:ind w:left="0" w:right="0" w:firstLine="0"/>
              <w:rPr>
                <w:rFonts w:ascii="宋体" w:hAnsi="宋体"/>
                <w:highlight w:val="none"/>
              </w:rPr>
            </w:pPr>
          </w:p>
        </w:tc>
        <w:tc>
          <w:tcPr>
            <w:tcW w:w="2844" w:type="dxa"/>
            <w:vAlign w:val="center"/>
          </w:tcPr>
          <w:p>
            <w:pPr>
              <w:shd w:val="clear"/>
              <w:spacing w:before="0" w:after="0" w:afterAutospacing="0"/>
              <w:ind w:left="0" w:right="0" w:firstLine="0"/>
              <w:rPr>
                <w:rFonts w:hint="default" w:ascii="宋体" w:hAnsi="宋体" w:eastAsia="宋体"/>
                <w:highlight w:val="none"/>
                <w:lang w:val="en-US" w:eastAsia="zh-CN"/>
              </w:rPr>
            </w:pPr>
            <w:r>
              <w:rPr>
                <w:rFonts w:hint="eastAsia" w:ascii="宋体" w:hAnsi="宋体"/>
                <w:highlight w:val="none"/>
                <w:lang w:val="en-US" w:eastAsia="zh-CN"/>
              </w:rPr>
              <w:t>比选申请人有效的资质证书复印件（加盖公章）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970" w:hRule="atLeast"/>
          <w:jc w:val="center"/>
        </w:trPr>
        <w:tc>
          <w:tcPr>
            <w:tcW w:w="437" w:type="dxa"/>
            <w:vAlign w:val="center"/>
          </w:tcPr>
          <w:p>
            <w:pPr>
              <w:shd w:val="clear"/>
              <w:spacing w:before="0" w:after="0" w:afterAutospacing="0"/>
              <w:ind w:left="0" w:right="0" w:firstLine="0"/>
              <w:rPr>
                <w:rFonts w:hint="eastAsia" w:ascii="宋体" w:hAnsi="宋体" w:eastAsia="宋体"/>
                <w:highlight w:val="none"/>
                <w:lang w:val="en-US" w:eastAsia="zh-CN"/>
              </w:rPr>
            </w:pPr>
            <w:r>
              <w:rPr>
                <w:rFonts w:hint="eastAsia" w:ascii="宋体" w:hAnsi="宋体"/>
                <w:highlight w:val="none"/>
                <w:lang w:val="en-US" w:eastAsia="zh-CN"/>
              </w:rPr>
              <w:t>5</w:t>
            </w:r>
          </w:p>
        </w:tc>
        <w:tc>
          <w:tcPr>
            <w:tcW w:w="820" w:type="dxa"/>
            <w:vAlign w:val="center"/>
          </w:tcPr>
          <w:p>
            <w:pPr>
              <w:shd w:val="clear"/>
              <w:spacing w:before="0" w:after="0" w:afterAutospacing="0"/>
              <w:ind w:left="0" w:leftChars="0" w:right="0" w:rightChars="0" w:firstLine="0" w:firstLineChars="0"/>
              <w:rPr>
                <w:rFonts w:hint="eastAsia" w:ascii="宋体" w:hAnsi="宋体" w:eastAsia="宋体" w:cs="Times New Roman"/>
                <w:sz w:val="21"/>
                <w:szCs w:val="21"/>
                <w:highlight w:val="none"/>
                <w:lang w:val="en-US" w:eastAsia="zh-CN" w:bidi="ar-SA"/>
              </w:rPr>
            </w:pPr>
            <w:r>
              <w:rPr>
                <w:rFonts w:hint="eastAsia" w:ascii="宋体" w:hAnsi="宋体"/>
                <w:highlight w:val="none"/>
              </w:rPr>
              <w:t>承诺书</w:t>
            </w:r>
          </w:p>
        </w:tc>
        <w:tc>
          <w:tcPr>
            <w:tcW w:w="3129" w:type="dxa"/>
            <w:vAlign w:val="center"/>
          </w:tcPr>
          <w:p>
            <w:pPr>
              <w:shd w:val="clear"/>
              <w:spacing w:before="0" w:after="0" w:afterAutospacing="0"/>
              <w:ind w:left="0" w:leftChars="0" w:right="0" w:rightChars="0" w:firstLine="0" w:firstLineChars="0"/>
              <w:rPr>
                <w:rFonts w:hint="eastAsia" w:ascii="宋体" w:hAnsi="宋体" w:eastAsia="宋体" w:cs="Times New Roman"/>
                <w:sz w:val="21"/>
                <w:szCs w:val="21"/>
                <w:highlight w:val="none"/>
                <w:lang w:val="en-US" w:eastAsia="zh-CN" w:bidi="ar-SA"/>
              </w:rPr>
            </w:pPr>
            <w:r>
              <w:rPr>
                <w:rFonts w:hint="eastAsia" w:ascii="宋体" w:hAnsi="宋体"/>
                <w:highlight w:val="none"/>
              </w:rPr>
              <w:t>比选申请人没有处于行政主管部门或业主取消比选申请资格的处罚期内，且没有被责令停业，财产被接管、破产状态；比选申请截止日前</w:t>
            </w:r>
            <w:r>
              <w:rPr>
                <w:rFonts w:ascii="宋体" w:hAnsi="宋体"/>
                <w:highlight w:val="none"/>
              </w:rPr>
              <w:t>3</w:t>
            </w:r>
            <w:r>
              <w:rPr>
                <w:rFonts w:hint="eastAsia" w:ascii="宋体" w:hAnsi="宋体"/>
                <w:highlight w:val="none"/>
              </w:rPr>
              <w:t>年内没有骗取中选、严重违约或重大质量安全责任事故的情况。</w:t>
            </w:r>
          </w:p>
        </w:tc>
        <w:tc>
          <w:tcPr>
            <w:tcW w:w="1379" w:type="dxa"/>
            <w:vAlign w:val="center"/>
          </w:tcPr>
          <w:p>
            <w:pPr>
              <w:shd w:val="clear"/>
              <w:spacing w:before="0" w:after="0" w:afterAutospacing="0"/>
              <w:ind w:left="0" w:leftChars="0" w:right="0" w:rightChars="0" w:firstLine="0" w:firstLineChars="0"/>
              <w:rPr>
                <w:rFonts w:hint="eastAsia" w:ascii="宋体" w:hAnsi="宋体" w:eastAsia="宋体" w:cs="Times New Roman"/>
                <w:sz w:val="21"/>
                <w:szCs w:val="21"/>
                <w:highlight w:val="none"/>
                <w:lang w:val="en-US" w:eastAsia="zh-CN" w:bidi="ar-SA"/>
              </w:rPr>
            </w:pPr>
            <w:r>
              <w:rPr>
                <w:rFonts w:hint="eastAsia" w:ascii="宋体" w:hAnsi="宋体"/>
                <w:highlight w:val="none"/>
              </w:rPr>
              <w:t>承诺书原件</w:t>
            </w:r>
          </w:p>
        </w:tc>
        <w:tc>
          <w:tcPr>
            <w:tcW w:w="1094" w:type="dxa"/>
            <w:vAlign w:val="center"/>
          </w:tcPr>
          <w:p>
            <w:pPr>
              <w:shd w:val="clear"/>
              <w:spacing w:before="0" w:after="0" w:afterAutospacing="0"/>
              <w:ind w:left="0" w:leftChars="0" w:right="0" w:rightChars="0" w:firstLine="0" w:firstLineChars="0"/>
              <w:rPr>
                <w:rFonts w:ascii="宋体" w:hAnsi="宋体" w:eastAsia="宋体" w:cs="Times New Roman"/>
                <w:sz w:val="21"/>
                <w:szCs w:val="21"/>
                <w:highlight w:val="none"/>
                <w:lang w:val="en-US" w:eastAsia="zh-CN" w:bidi="ar-SA"/>
              </w:rPr>
            </w:pPr>
          </w:p>
        </w:tc>
        <w:tc>
          <w:tcPr>
            <w:tcW w:w="2844" w:type="dxa"/>
            <w:vAlign w:val="center"/>
          </w:tcPr>
          <w:p>
            <w:pPr>
              <w:shd w:val="clear"/>
              <w:spacing w:before="0" w:after="0" w:afterAutospacing="0"/>
              <w:ind w:left="0" w:right="0" w:firstLine="0"/>
              <w:rPr>
                <w:rFonts w:ascii="宋体" w:hAnsi="宋体"/>
                <w:highlight w:val="none"/>
              </w:rPr>
            </w:pPr>
            <w:r>
              <w:rPr>
                <w:rFonts w:hint="eastAsia" w:ascii="宋体" w:hAnsi="宋体"/>
                <w:highlight w:val="none"/>
              </w:rPr>
              <w:t>按规定格式提供承诺书</w:t>
            </w:r>
          </w:p>
          <w:p>
            <w:pPr>
              <w:shd w:val="clear"/>
              <w:spacing w:before="0" w:after="0" w:afterAutospacing="0"/>
              <w:ind w:left="0" w:leftChars="0" w:right="0" w:rightChars="0" w:firstLine="0" w:firstLineChars="0"/>
              <w:rPr>
                <w:rFonts w:ascii="宋体" w:hAnsi="宋体" w:eastAsia="宋体" w:cs="Times New Roman"/>
                <w:sz w:val="21"/>
                <w:szCs w:val="21"/>
                <w:highlight w:val="none"/>
                <w:lang w:val="en-US" w:eastAsia="zh-CN" w:bidi="ar-SA"/>
              </w:rPr>
            </w:pPr>
          </w:p>
        </w:tc>
      </w:tr>
    </w:tbl>
    <w:p>
      <w:pPr>
        <w:shd w:val="clear"/>
        <w:snapToGrid w:val="0"/>
        <w:spacing w:before="0" w:after="0" w:afterAutospacing="0" w:line="240" w:lineRule="auto"/>
        <w:ind w:left="0" w:right="0" w:firstLine="0"/>
        <w:rPr>
          <w:rFonts w:ascii="宋体" w:hAnsi="宋体"/>
          <w:b/>
          <w:highlight w:val="none"/>
        </w:rPr>
      </w:pPr>
      <w:r>
        <w:rPr>
          <w:rFonts w:hint="eastAsia" w:ascii="宋体" w:hAnsi="宋体"/>
          <w:b/>
          <w:highlight w:val="none"/>
        </w:rPr>
        <w:t>注：</w:t>
      </w:r>
    </w:p>
    <w:p>
      <w:pPr>
        <w:shd w:val="clear"/>
        <w:snapToGrid w:val="0"/>
        <w:spacing w:before="0" w:after="0" w:afterAutospacing="0" w:line="240" w:lineRule="auto"/>
        <w:ind w:left="0" w:right="0" w:firstLine="0"/>
        <w:rPr>
          <w:rFonts w:ascii="宋体" w:hAnsi="宋体"/>
          <w:b/>
          <w:highlight w:val="none"/>
        </w:rPr>
      </w:pPr>
      <w:r>
        <w:rPr>
          <w:rFonts w:hint="eastAsia" w:ascii="宋体" w:hAnsi="宋体"/>
          <w:b/>
          <w:highlight w:val="none"/>
        </w:rPr>
        <w:t>1.以上所有证明资料原件备查。</w:t>
      </w:r>
    </w:p>
    <w:p>
      <w:pPr>
        <w:shd w:val="clear"/>
        <w:snapToGrid w:val="0"/>
        <w:spacing w:before="0" w:after="0" w:afterAutospacing="0" w:line="240" w:lineRule="auto"/>
        <w:ind w:left="0" w:right="0" w:firstLine="0"/>
        <w:rPr>
          <w:rFonts w:ascii="宋体" w:hAnsi="宋体"/>
          <w:b/>
          <w:highlight w:val="none"/>
        </w:rPr>
      </w:pPr>
      <w:r>
        <w:rPr>
          <w:rFonts w:hint="eastAsia" w:ascii="宋体" w:hAnsi="宋体"/>
          <w:b/>
          <w:highlight w:val="none"/>
        </w:rPr>
        <w:t>2.比选申请人如未通过上述资格审查，则作比选申请被否决处理并不得进入下一阶段评审。</w:t>
      </w:r>
    </w:p>
    <w:p>
      <w:pPr>
        <w:pStyle w:val="4"/>
        <w:shd w:val="clear"/>
        <w:spacing w:after="0" w:line="360" w:lineRule="auto"/>
        <w:ind w:right="-57" w:firstLine="0"/>
        <w:rPr>
          <w:sz w:val="24"/>
          <w:szCs w:val="24"/>
          <w:highlight w:val="none"/>
        </w:rPr>
      </w:pPr>
      <w:r>
        <w:rPr>
          <w:rFonts w:ascii="宋体" w:hAnsi="宋体"/>
          <w:highlight w:val="none"/>
        </w:rPr>
        <w:br w:type="page"/>
      </w:r>
      <w:bookmarkStart w:id="2201" w:name="_Toc25750695"/>
      <w:bookmarkStart w:id="2202" w:name="_Toc5811"/>
      <w:bookmarkStart w:id="2203" w:name="_Toc1459"/>
      <w:bookmarkStart w:id="2204" w:name="_Toc31487"/>
      <w:bookmarkStart w:id="2205" w:name="_Toc12983557"/>
      <w:bookmarkStart w:id="2206" w:name="_Toc5737"/>
      <w:bookmarkStart w:id="2207" w:name="_Toc6102"/>
      <w:bookmarkStart w:id="2208" w:name="_Toc12984826"/>
      <w:bookmarkStart w:id="2209" w:name="_Toc22635"/>
      <w:bookmarkStart w:id="2210" w:name="_Toc25123"/>
      <w:bookmarkStart w:id="2211" w:name="_Toc191"/>
      <w:bookmarkStart w:id="2212" w:name="_Toc3409"/>
      <w:bookmarkStart w:id="2213" w:name="_Toc8945"/>
      <w:bookmarkStart w:id="2214" w:name="_Toc7852"/>
      <w:bookmarkStart w:id="2215" w:name="_Toc29670"/>
      <w:bookmarkStart w:id="2216" w:name="_Toc9343"/>
      <w:bookmarkStart w:id="2217" w:name="_Toc19299"/>
      <w:bookmarkStart w:id="2218" w:name="_Toc15103"/>
      <w:bookmarkStart w:id="2219" w:name="_Toc492478850"/>
      <w:bookmarkStart w:id="2220" w:name="_Toc20215"/>
      <w:bookmarkStart w:id="2221" w:name="_Toc6612"/>
      <w:r>
        <w:rPr>
          <w:sz w:val="21"/>
          <w:szCs w:val="21"/>
          <w:highlight w:val="none"/>
        </w:rPr>
        <w:t>附表二</w:t>
      </w:r>
      <w:r>
        <w:rPr>
          <w:rFonts w:hint="eastAsia"/>
          <w:sz w:val="21"/>
          <w:szCs w:val="21"/>
          <w:highlight w:val="none"/>
        </w:rPr>
        <w:t xml:space="preserve"> 符合性</w:t>
      </w:r>
      <w:r>
        <w:rPr>
          <w:sz w:val="21"/>
          <w:szCs w:val="21"/>
          <w:highlight w:val="none"/>
        </w:rPr>
        <w:t>评审表</w:t>
      </w:r>
      <w:bookmarkEnd w:id="2201"/>
    </w:p>
    <w:p>
      <w:pPr>
        <w:shd w:val="clear"/>
        <w:spacing w:before="0"/>
        <w:ind w:right="0" w:firstLine="0"/>
        <w:jc w:val="center"/>
        <w:rPr>
          <w:b/>
          <w:sz w:val="24"/>
          <w:szCs w:val="24"/>
          <w:highlight w:val="none"/>
        </w:rPr>
      </w:pPr>
      <w:r>
        <w:rPr>
          <w:rFonts w:hint="eastAsia" w:hAnsi="宋体"/>
          <w:b/>
          <w:sz w:val="24"/>
          <w:szCs w:val="24"/>
          <w:highlight w:val="none"/>
        </w:rPr>
        <w:t>符合性</w:t>
      </w:r>
      <w:r>
        <w:rPr>
          <w:rFonts w:hAnsi="宋体"/>
          <w:b/>
          <w:sz w:val="24"/>
          <w:szCs w:val="24"/>
          <w:highlight w:val="none"/>
        </w:rPr>
        <w:t>评审表</w:t>
      </w:r>
    </w:p>
    <w:tbl>
      <w:tblPr>
        <w:tblStyle w:val="28"/>
        <w:tblW w:w="900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6096"/>
        <w:gridCol w:w="1134"/>
        <w:gridCol w:w="109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02" w:hRule="atLeast"/>
          <w:tblHeader/>
          <w:jc w:val="center"/>
        </w:trPr>
        <w:tc>
          <w:tcPr>
            <w:tcW w:w="675" w:type="dxa"/>
            <w:tcBorders>
              <w:top w:val="single" w:color="auto" w:sz="12" w:space="0"/>
            </w:tcBorders>
            <w:vAlign w:val="center"/>
          </w:tcPr>
          <w:p>
            <w:pPr>
              <w:shd w:val="clear"/>
              <w:ind w:left="0" w:firstLine="0"/>
              <w:rPr>
                <w:highlight w:val="none"/>
              </w:rPr>
            </w:pPr>
            <w:r>
              <w:rPr>
                <w:highlight w:val="none"/>
              </w:rPr>
              <w:t>序号</w:t>
            </w:r>
          </w:p>
        </w:tc>
        <w:tc>
          <w:tcPr>
            <w:tcW w:w="6096" w:type="dxa"/>
            <w:tcBorders>
              <w:top w:val="single" w:color="auto" w:sz="12" w:space="0"/>
            </w:tcBorders>
            <w:vAlign w:val="center"/>
          </w:tcPr>
          <w:p>
            <w:pPr>
              <w:shd w:val="clear"/>
              <w:ind w:left="0" w:firstLine="0"/>
              <w:rPr>
                <w:highlight w:val="none"/>
              </w:rPr>
            </w:pPr>
            <w:r>
              <w:rPr>
                <w:rFonts w:hint="eastAsia"/>
                <w:highlight w:val="none"/>
              </w:rPr>
              <w:t>评审项目</w:t>
            </w:r>
          </w:p>
        </w:tc>
        <w:tc>
          <w:tcPr>
            <w:tcW w:w="1134" w:type="dxa"/>
            <w:tcBorders>
              <w:top w:val="single" w:color="auto" w:sz="12" w:space="0"/>
            </w:tcBorders>
          </w:tcPr>
          <w:p>
            <w:pPr>
              <w:shd w:val="clear"/>
              <w:ind w:left="0" w:firstLine="0"/>
              <w:rPr>
                <w:highlight w:val="none"/>
              </w:rPr>
            </w:pPr>
            <w:r>
              <w:rPr>
                <w:rFonts w:hint="eastAsia"/>
                <w:highlight w:val="none"/>
              </w:rPr>
              <w:t>评审结果</w:t>
            </w:r>
          </w:p>
        </w:tc>
        <w:tc>
          <w:tcPr>
            <w:tcW w:w="1098" w:type="dxa"/>
            <w:tcBorders>
              <w:top w:val="single" w:color="auto" w:sz="12" w:space="0"/>
            </w:tcBorders>
            <w:vAlign w:val="center"/>
          </w:tcPr>
          <w:p>
            <w:pPr>
              <w:shd w:val="clear"/>
              <w:ind w:left="0" w:firstLine="0"/>
              <w:rPr>
                <w:highlight w:val="none"/>
              </w:rPr>
            </w:pPr>
            <w:r>
              <w:rPr>
                <w:rFonts w:hint="eastAsia"/>
                <w:highlight w:val="none"/>
              </w:rPr>
              <w:t>结论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23" w:hRule="atLeast"/>
          <w:jc w:val="center"/>
        </w:trPr>
        <w:tc>
          <w:tcPr>
            <w:tcW w:w="675" w:type="dxa"/>
            <w:vAlign w:val="center"/>
          </w:tcPr>
          <w:p>
            <w:pPr>
              <w:shd w:val="clear"/>
              <w:ind w:left="0" w:firstLine="0"/>
              <w:jc w:val="center"/>
              <w:rPr>
                <w:highlight w:val="none"/>
              </w:rPr>
            </w:pPr>
            <w:r>
              <w:rPr>
                <w:highlight w:val="none"/>
              </w:rPr>
              <w:t>1</w:t>
            </w:r>
          </w:p>
        </w:tc>
        <w:tc>
          <w:tcPr>
            <w:tcW w:w="6096" w:type="dxa"/>
            <w:vAlign w:val="center"/>
          </w:tcPr>
          <w:p>
            <w:pPr>
              <w:shd w:val="clear"/>
              <w:ind w:left="0" w:firstLine="0"/>
              <w:rPr>
                <w:highlight w:val="none"/>
              </w:rPr>
            </w:pPr>
            <w:r>
              <w:rPr>
                <w:rFonts w:hint="eastAsia"/>
                <w:highlight w:val="none"/>
              </w:rPr>
              <w:t>比选申请文件按规定签署和盖章</w:t>
            </w:r>
          </w:p>
        </w:tc>
        <w:tc>
          <w:tcPr>
            <w:tcW w:w="1134" w:type="dxa"/>
          </w:tcPr>
          <w:p>
            <w:pPr>
              <w:shd w:val="clear"/>
              <w:ind w:left="0" w:firstLine="0"/>
              <w:rPr>
                <w:highlight w:val="none"/>
              </w:rPr>
            </w:pPr>
          </w:p>
        </w:tc>
        <w:tc>
          <w:tcPr>
            <w:tcW w:w="1098" w:type="dxa"/>
            <w:vMerge w:val="restart"/>
            <w:vAlign w:val="center"/>
          </w:tcPr>
          <w:p>
            <w:pPr>
              <w:shd w:val="clear"/>
              <w:ind w:left="0" w:firstLine="0"/>
              <w:rPr>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648" w:hRule="atLeast"/>
          <w:jc w:val="center"/>
        </w:trPr>
        <w:tc>
          <w:tcPr>
            <w:tcW w:w="675" w:type="dxa"/>
            <w:vAlign w:val="center"/>
          </w:tcPr>
          <w:p>
            <w:pPr>
              <w:shd w:val="clear"/>
              <w:ind w:left="0" w:firstLine="0"/>
              <w:jc w:val="center"/>
              <w:rPr>
                <w:highlight w:val="none"/>
              </w:rPr>
            </w:pPr>
            <w:r>
              <w:rPr>
                <w:highlight w:val="none"/>
              </w:rPr>
              <w:t>2</w:t>
            </w:r>
          </w:p>
        </w:tc>
        <w:tc>
          <w:tcPr>
            <w:tcW w:w="6096" w:type="dxa"/>
            <w:vAlign w:val="center"/>
          </w:tcPr>
          <w:p>
            <w:pPr>
              <w:shd w:val="clear"/>
              <w:ind w:left="0" w:firstLine="0"/>
              <w:rPr>
                <w:highlight w:val="none"/>
              </w:rPr>
            </w:pPr>
            <w:r>
              <w:rPr>
                <w:rFonts w:hint="eastAsia"/>
                <w:highlight w:val="none"/>
              </w:rPr>
              <w:t>比选申请文件的实质性内容按规定填写、内容齐全的；（按比选文件第四章节规定格式填写的）</w:t>
            </w:r>
          </w:p>
        </w:tc>
        <w:tc>
          <w:tcPr>
            <w:tcW w:w="1134" w:type="dxa"/>
          </w:tcPr>
          <w:p>
            <w:pPr>
              <w:shd w:val="clear"/>
              <w:ind w:left="0" w:firstLine="0"/>
              <w:rPr>
                <w:highlight w:val="none"/>
              </w:rPr>
            </w:pPr>
          </w:p>
        </w:tc>
        <w:tc>
          <w:tcPr>
            <w:tcW w:w="1098" w:type="dxa"/>
            <w:vMerge w:val="continue"/>
            <w:vAlign w:val="center"/>
          </w:tcPr>
          <w:p>
            <w:pPr>
              <w:shd w:val="clear"/>
              <w:ind w:left="0" w:firstLine="0"/>
              <w:rPr>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648" w:hRule="atLeast"/>
          <w:jc w:val="center"/>
        </w:trPr>
        <w:tc>
          <w:tcPr>
            <w:tcW w:w="675" w:type="dxa"/>
            <w:vAlign w:val="center"/>
          </w:tcPr>
          <w:p>
            <w:pPr>
              <w:shd w:val="clear"/>
              <w:ind w:left="0" w:firstLine="0"/>
              <w:jc w:val="center"/>
              <w:rPr>
                <w:highlight w:val="none"/>
              </w:rPr>
            </w:pPr>
            <w:r>
              <w:rPr>
                <w:rFonts w:hint="eastAsia"/>
                <w:highlight w:val="none"/>
              </w:rPr>
              <w:t>3</w:t>
            </w:r>
          </w:p>
        </w:tc>
        <w:tc>
          <w:tcPr>
            <w:tcW w:w="6096" w:type="dxa"/>
            <w:vAlign w:val="center"/>
          </w:tcPr>
          <w:p>
            <w:pPr>
              <w:shd w:val="clear"/>
              <w:ind w:left="0" w:firstLine="0"/>
              <w:rPr>
                <w:highlight w:val="none"/>
              </w:rPr>
            </w:pPr>
            <w:r>
              <w:rPr>
                <w:rFonts w:hint="eastAsia"/>
                <w:highlight w:val="none"/>
              </w:rPr>
              <w:t>投标人在资格审查文件或技术文件中未透露有关报价的信息</w:t>
            </w:r>
          </w:p>
        </w:tc>
        <w:tc>
          <w:tcPr>
            <w:tcW w:w="1134" w:type="dxa"/>
          </w:tcPr>
          <w:p>
            <w:pPr>
              <w:shd w:val="clear"/>
              <w:ind w:left="0" w:firstLine="0"/>
              <w:rPr>
                <w:highlight w:val="none"/>
              </w:rPr>
            </w:pPr>
          </w:p>
        </w:tc>
        <w:tc>
          <w:tcPr>
            <w:tcW w:w="1098" w:type="dxa"/>
            <w:vMerge w:val="continue"/>
            <w:vAlign w:val="center"/>
          </w:tcPr>
          <w:p>
            <w:pPr>
              <w:shd w:val="clear"/>
              <w:ind w:left="0" w:firstLine="0"/>
              <w:rPr>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37" w:hRule="atLeast"/>
          <w:jc w:val="center"/>
        </w:trPr>
        <w:tc>
          <w:tcPr>
            <w:tcW w:w="675" w:type="dxa"/>
            <w:vAlign w:val="center"/>
          </w:tcPr>
          <w:p>
            <w:pPr>
              <w:shd w:val="clear"/>
              <w:ind w:left="0" w:firstLine="0"/>
              <w:jc w:val="center"/>
              <w:rPr>
                <w:highlight w:val="none"/>
              </w:rPr>
            </w:pPr>
            <w:r>
              <w:rPr>
                <w:rFonts w:hint="eastAsia"/>
                <w:highlight w:val="none"/>
              </w:rPr>
              <w:t>4</w:t>
            </w:r>
          </w:p>
        </w:tc>
        <w:tc>
          <w:tcPr>
            <w:tcW w:w="6096" w:type="dxa"/>
            <w:vAlign w:val="center"/>
          </w:tcPr>
          <w:p>
            <w:pPr>
              <w:shd w:val="clear"/>
              <w:ind w:left="0" w:firstLine="0"/>
              <w:rPr>
                <w:highlight w:val="none"/>
              </w:rPr>
            </w:pPr>
            <w:r>
              <w:rPr>
                <w:rFonts w:hint="eastAsia"/>
                <w:highlight w:val="none"/>
              </w:rPr>
              <w:t>在比选申请文件中无虚假文件或资料的</w:t>
            </w:r>
          </w:p>
        </w:tc>
        <w:tc>
          <w:tcPr>
            <w:tcW w:w="1134" w:type="dxa"/>
          </w:tcPr>
          <w:p>
            <w:pPr>
              <w:shd w:val="clear"/>
              <w:ind w:left="0" w:firstLine="0"/>
              <w:rPr>
                <w:highlight w:val="none"/>
              </w:rPr>
            </w:pPr>
          </w:p>
        </w:tc>
        <w:tc>
          <w:tcPr>
            <w:tcW w:w="1098" w:type="dxa"/>
            <w:vMerge w:val="continue"/>
            <w:vAlign w:val="center"/>
          </w:tcPr>
          <w:p>
            <w:pPr>
              <w:shd w:val="clear"/>
              <w:ind w:left="0" w:firstLine="0"/>
              <w:rPr>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70" w:hRule="atLeast"/>
          <w:jc w:val="center"/>
        </w:trPr>
        <w:tc>
          <w:tcPr>
            <w:tcW w:w="675" w:type="dxa"/>
            <w:vAlign w:val="center"/>
          </w:tcPr>
          <w:p>
            <w:pPr>
              <w:shd w:val="clear"/>
              <w:ind w:left="0" w:firstLine="0"/>
              <w:jc w:val="center"/>
              <w:rPr>
                <w:highlight w:val="none"/>
              </w:rPr>
            </w:pPr>
            <w:r>
              <w:rPr>
                <w:rFonts w:hint="eastAsia"/>
                <w:highlight w:val="none"/>
              </w:rPr>
              <w:t>5</w:t>
            </w:r>
          </w:p>
        </w:tc>
        <w:tc>
          <w:tcPr>
            <w:tcW w:w="6096" w:type="dxa"/>
            <w:vAlign w:val="center"/>
          </w:tcPr>
          <w:p>
            <w:pPr>
              <w:shd w:val="clear"/>
              <w:ind w:left="0" w:firstLine="0"/>
              <w:rPr>
                <w:highlight w:val="none"/>
              </w:rPr>
            </w:pPr>
            <w:r>
              <w:rPr>
                <w:rFonts w:hint="eastAsia"/>
                <w:highlight w:val="none"/>
              </w:rPr>
              <w:t>技术部分响应、偏离情况说明无负偏离的</w:t>
            </w:r>
          </w:p>
        </w:tc>
        <w:tc>
          <w:tcPr>
            <w:tcW w:w="1134" w:type="dxa"/>
            <w:tcBorders>
              <w:bottom w:val="single" w:color="auto" w:sz="4" w:space="0"/>
            </w:tcBorders>
          </w:tcPr>
          <w:p>
            <w:pPr>
              <w:shd w:val="clear"/>
              <w:ind w:left="0" w:firstLine="0"/>
              <w:rPr>
                <w:highlight w:val="none"/>
              </w:rPr>
            </w:pPr>
          </w:p>
        </w:tc>
        <w:tc>
          <w:tcPr>
            <w:tcW w:w="1098" w:type="dxa"/>
            <w:vMerge w:val="continue"/>
            <w:vAlign w:val="center"/>
          </w:tcPr>
          <w:p>
            <w:pPr>
              <w:shd w:val="clear"/>
              <w:ind w:left="0" w:firstLine="0"/>
              <w:rPr>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70" w:hRule="atLeast"/>
          <w:jc w:val="center"/>
        </w:trPr>
        <w:tc>
          <w:tcPr>
            <w:tcW w:w="675" w:type="dxa"/>
            <w:vAlign w:val="center"/>
          </w:tcPr>
          <w:p>
            <w:pPr>
              <w:shd w:val="clear"/>
              <w:ind w:left="0" w:firstLine="0"/>
              <w:jc w:val="center"/>
              <w:rPr>
                <w:highlight w:val="none"/>
              </w:rPr>
            </w:pPr>
            <w:r>
              <w:rPr>
                <w:rFonts w:hint="eastAsia"/>
                <w:highlight w:val="none"/>
              </w:rPr>
              <w:t>6</w:t>
            </w:r>
          </w:p>
        </w:tc>
        <w:tc>
          <w:tcPr>
            <w:tcW w:w="6096" w:type="dxa"/>
            <w:vAlign w:val="center"/>
          </w:tcPr>
          <w:p>
            <w:pPr>
              <w:shd w:val="clear"/>
              <w:ind w:left="0" w:firstLine="0"/>
              <w:rPr>
                <w:highlight w:val="none"/>
              </w:rPr>
            </w:pPr>
            <w:r>
              <w:rPr>
                <w:rFonts w:hint="eastAsia"/>
                <w:highlight w:val="none"/>
              </w:rPr>
              <w:t>商务响应表无负偏离的</w:t>
            </w:r>
          </w:p>
        </w:tc>
        <w:tc>
          <w:tcPr>
            <w:tcW w:w="1134" w:type="dxa"/>
            <w:tcBorders>
              <w:bottom w:val="single" w:color="auto" w:sz="4" w:space="0"/>
            </w:tcBorders>
          </w:tcPr>
          <w:p>
            <w:pPr>
              <w:shd w:val="clear"/>
              <w:ind w:left="0" w:firstLine="0"/>
              <w:rPr>
                <w:highlight w:val="none"/>
              </w:rPr>
            </w:pPr>
          </w:p>
        </w:tc>
        <w:tc>
          <w:tcPr>
            <w:tcW w:w="1098" w:type="dxa"/>
            <w:vMerge w:val="continue"/>
            <w:vAlign w:val="center"/>
          </w:tcPr>
          <w:p>
            <w:pPr>
              <w:shd w:val="clear"/>
              <w:ind w:left="0" w:firstLine="0"/>
              <w:rPr>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53" w:hRule="atLeast"/>
          <w:jc w:val="center"/>
        </w:trPr>
        <w:tc>
          <w:tcPr>
            <w:tcW w:w="675" w:type="dxa"/>
            <w:vAlign w:val="center"/>
          </w:tcPr>
          <w:p>
            <w:pPr>
              <w:shd w:val="clear"/>
              <w:ind w:left="0" w:firstLine="0"/>
              <w:jc w:val="center"/>
              <w:rPr>
                <w:highlight w:val="none"/>
              </w:rPr>
            </w:pPr>
            <w:r>
              <w:rPr>
                <w:rFonts w:hint="eastAsia"/>
                <w:highlight w:val="none"/>
              </w:rPr>
              <w:t>7</w:t>
            </w:r>
          </w:p>
        </w:tc>
        <w:tc>
          <w:tcPr>
            <w:tcW w:w="6096" w:type="dxa"/>
            <w:vAlign w:val="center"/>
          </w:tcPr>
          <w:p>
            <w:pPr>
              <w:shd w:val="clear"/>
              <w:ind w:left="0" w:firstLine="0"/>
              <w:rPr>
                <w:highlight w:val="none"/>
              </w:rPr>
            </w:pPr>
            <w:r>
              <w:rPr>
                <w:rFonts w:hint="eastAsia" w:hAnsi="宋体"/>
                <w:highlight w:val="none"/>
              </w:rPr>
              <w:t>比选申请文件按比选文件要求提供按期完成承诺书的</w:t>
            </w:r>
          </w:p>
        </w:tc>
        <w:tc>
          <w:tcPr>
            <w:tcW w:w="1134" w:type="dxa"/>
            <w:tcBorders>
              <w:top w:val="single" w:color="auto" w:sz="4" w:space="0"/>
            </w:tcBorders>
          </w:tcPr>
          <w:p>
            <w:pPr>
              <w:shd w:val="clear"/>
              <w:ind w:left="0" w:firstLine="0"/>
              <w:rPr>
                <w:highlight w:val="none"/>
              </w:rPr>
            </w:pPr>
          </w:p>
        </w:tc>
        <w:tc>
          <w:tcPr>
            <w:tcW w:w="1098" w:type="dxa"/>
            <w:vMerge w:val="continue"/>
            <w:vAlign w:val="center"/>
          </w:tcPr>
          <w:p>
            <w:pPr>
              <w:shd w:val="clear"/>
              <w:ind w:left="0" w:firstLine="0"/>
              <w:rPr>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53" w:hRule="atLeast"/>
          <w:jc w:val="center"/>
        </w:trPr>
        <w:tc>
          <w:tcPr>
            <w:tcW w:w="675" w:type="dxa"/>
            <w:vAlign w:val="center"/>
          </w:tcPr>
          <w:p>
            <w:pPr>
              <w:shd w:val="clear"/>
              <w:ind w:left="0" w:firstLine="0"/>
              <w:jc w:val="center"/>
              <w:rPr>
                <w:highlight w:val="none"/>
              </w:rPr>
            </w:pPr>
            <w:r>
              <w:rPr>
                <w:rFonts w:hint="eastAsia"/>
                <w:highlight w:val="none"/>
              </w:rPr>
              <w:t>8</w:t>
            </w:r>
          </w:p>
        </w:tc>
        <w:tc>
          <w:tcPr>
            <w:tcW w:w="6096" w:type="dxa"/>
            <w:vAlign w:val="center"/>
          </w:tcPr>
          <w:p>
            <w:pPr>
              <w:shd w:val="clear"/>
              <w:ind w:left="0" w:firstLine="0"/>
              <w:rPr>
                <w:rFonts w:hAnsi="宋体"/>
                <w:highlight w:val="none"/>
              </w:rPr>
            </w:pPr>
            <w:r>
              <w:rPr>
                <w:rFonts w:hint="eastAsia" w:hAnsi="宋体"/>
                <w:highlight w:val="none"/>
              </w:rPr>
              <w:t>比选申请文件按比选文件要求提供售后服务承诺书的</w:t>
            </w:r>
          </w:p>
        </w:tc>
        <w:tc>
          <w:tcPr>
            <w:tcW w:w="1134" w:type="dxa"/>
            <w:tcBorders>
              <w:top w:val="single" w:color="auto" w:sz="4" w:space="0"/>
            </w:tcBorders>
          </w:tcPr>
          <w:p>
            <w:pPr>
              <w:shd w:val="clear"/>
              <w:ind w:left="0" w:firstLine="0"/>
              <w:rPr>
                <w:highlight w:val="none"/>
              </w:rPr>
            </w:pPr>
          </w:p>
        </w:tc>
        <w:tc>
          <w:tcPr>
            <w:tcW w:w="1098" w:type="dxa"/>
            <w:vMerge w:val="continue"/>
            <w:vAlign w:val="center"/>
          </w:tcPr>
          <w:p>
            <w:pPr>
              <w:shd w:val="clear"/>
              <w:ind w:left="0" w:firstLine="0"/>
              <w:rPr>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37" w:hRule="atLeast"/>
          <w:jc w:val="center"/>
        </w:trPr>
        <w:tc>
          <w:tcPr>
            <w:tcW w:w="675" w:type="dxa"/>
            <w:vAlign w:val="center"/>
          </w:tcPr>
          <w:p>
            <w:pPr>
              <w:shd w:val="clear"/>
              <w:ind w:left="0" w:firstLine="0"/>
              <w:jc w:val="center"/>
              <w:rPr>
                <w:highlight w:val="none"/>
              </w:rPr>
            </w:pPr>
            <w:r>
              <w:rPr>
                <w:rFonts w:hint="eastAsia"/>
                <w:highlight w:val="none"/>
              </w:rPr>
              <w:t>9</w:t>
            </w:r>
          </w:p>
        </w:tc>
        <w:tc>
          <w:tcPr>
            <w:tcW w:w="6096" w:type="dxa"/>
            <w:vAlign w:val="center"/>
          </w:tcPr>
          <w:p>
            <w:pPr>
              <w:shd w:val="clear"/>
              <w:ind w:left="0" w:firstLine="0"/>
              <w:rPr>
                <w:highlight w:val="none"/>
              </w:rPr>
            </w:pPr>
            <w:r>
              <w:rPr>
                <w:rFonts w:hint="eastAsia"/>
                <w:highlight w:val="none"/>
              </w:rPr>
              <w:t>无比选文件、法律、法规规定的其他否决比选申请条件</w:t>
            </w:r>
          </w:p>
        </w:tc>
        <w:tc>
          <w:tcPr>
            <w:tcW w:w="1134" w:type="dxa"/>
          </w:tcPr>
          <w:p>
            <w:pPr>
              <w:shd w:val="clear"/>
              <w:ind w:left="0" w:firstLine="0"/>
              <w:rPr>
                <w:highlight w:val="none"/>
              </w:rPr>
            </w:pPr>
          </w:p>
        </w:tc>
        <w:tc>
          <w:tcPr>
            <w:tcW w:w="1098" w:type="dxa"/>
            <w:vMerge w:val="continue"/>
            <w:vAlign w:val="center"/>
          </w:tcPr>
          <w:p>
            <w:pPr>
              <w:shd w:val="clear"/>
              <w:ind w:left="0" w:firstLine="0"/>
              <w:rPr>
                <w:highlight w:val="none"/>
              </w:rPr>
            </w:pPr>
          </w:p>
        </w:tc>
      </w:tr>
    </w:tbl>
    <w:p>
      <w:pPr>
        <w:shd w:val="clear"/>
        <w:spacing w:before="0" w:after="0" w:afterAutospacing="0"/>
        <w:ind w:left="0" w:right="0" w:firstLine="0"/>
        <w:jc w:val="left"/>
        <w:rPr>
          <w:sz w:val="24"/>
          <w:szCs w:val="24"/>
          <w:highlight w:val="none"/>
        </w:rPr>
      </w:pPr>
      <w:r>
        <w:rPr>
          <w:rFonts w:hAnsi="宋体"/>
          <w:highlight w:val="none"/>
        </w:rPr>
        <w:t>注：</w:t>
      </w:r>
      <w:r>
        <w:rPr>
          <w:rFonts w:hint="eastAsia" w:hAnsi="宋体"/>
          <w:highlight w:val="none"/>
        </w:rPr>
        <w:t>1.</w:t>
      </w:r>
      <w:r>
        <w:rPr>
          <w:rFonts w:hAnsi="宋体"/>
          <w:highlight w:val="none"/>
        </w:rPr>
        <w:t>评审结果填写合格打</w:t>
      </w:r>
      <w:r>
        <w:rPr>
          <w:highlight w:val="none"/>
        </w:rPr>
        <w:t>√</w:t>
      </w:r>
      <w:r>
        <w:rPr>
          <w:rFonts w:hAnsi="宋体"/>
          <w:highlight w:val="none"/>
        </w:rPr>
        <w:t>，不合格打</w:t>
      </w:r>
      <w:r>
        <w:rPr>
          <w:highlight w:val="none"/>
        </w:rPr>
        <w:t>×</w:t>
      </w:r>
      <w:r>
        <w:rPr>
          <w:rFonts w:hAnsi="宋体"/>
          <w:highlight w:val="none"/>
        </w:rPr>
        <w:t>，凡评审结果有一项不合格者，结论为不通过。</w:t>
      </w:r>
    </w:p>
    <w:p>
      <w:pPr>
        <w:shd w:val="clear"/>
        <w:spacing w:before="0"/>
        <w:ind w:right="0" w:firstLine="0"/>
        <w:jc w:val="center"/>
        <w:rPr>
          <w:rFonts w:hAnsi="宋体"/>
          <w:b/>
          <w:sz w:val="24"/>
          <w:szCs w:val="24"/>
          <w:highlight w:val="none"/>
        </w:rPr>
      </w:pPr>
    </w:p>
    <w:p>
      <w:pPr>
        <w:shd w:val="clear"/>
        <w:spacing w:before="0"/>
        <w:ind w:right="0" w:firstLine="0"/>
        <w:jc w:val="center"/>
        <w:rPr>
          <w:highlight w:val="none"/>
        </w:rPr>
        <w:sectPr>
          <w:footerReference r:id="rId15" w:type="default"/>
          <w:pgSz w:w="11905" w:h="16838"/>
          <w:pgMar w:top="1418" w:right="1418" w:bottom="1418" w:left="1418" w:header="454" w:footer="567" w:gutter="0"/>
          <w:pgNumType w:fmt="decimal"/>
          <w:cols w:space="720" w:num="1"/>
          <w:docGrid w:linePitch="319" w:charSpace="0"/>
        </w:sectPr>
      </w:pPr>
    </w:p>
    <w:p>
      <w:pPr>
        <w:pStyle w:val="4"/>
        <w:shd w:val="clear"/>
        <w:rPr>
          <w:sz w:val="21"/>
          <w:szCs w:val="21"/>
          <w:highlight w:val="none"/>
        </w:rPr>
      </w:pPr>
      <w:bookmarkStart w:id="2222" w:name="_Toc47864324"/>
      <w:r>
        <w:rPr>
          <w:rFonts w:hint="eastAsia"/>
          <w:sz w:val="21"/>
          <w:szCs w:val="21"/>
          <w:highlight w:val="none"/>
        </w:rPr>
        <w:t>附表三 技术文件评分标准表</w:t>
      </w:r>
      <w:bookmarkEnd w:id="2222"/>
    </w:p>
    <w:p>
      <w:pPr>
        <w:shd w:val="clear"/>
        <w:jc w:val="center"/>
        <w:rPr>
          <w:b/>
          <w:bCs/>
          <w:highlight w:val="none"/>
        </w:rPr>
      </w:pPr>
      <w:bookmarkStart w:id="2223" w:name="_Toc47864325"/>
      <w:r>
        <w:rPr>
          <w:rFonts w:hint="eastAsia"/>
          <w:b/>
          <w:bCs/>
          <w:highlight w:val="none"/>
        </w:rPr>
        <w:t>技术文件评分标准表</w:t>
      </w:r>
      <w:bookmarkEnd w:id="2223"/>
    </w:p>
    <w:tbl>
      <w:tblPr>
        <w:tblStyle w:val="28"/>
        <w:tblW w:w="100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
        <w:gridCol w:w="1260"/>
        <w:gridCol w:w="1255"/>
        <w:gridCol w:w="6001"/>
        <w:gridCol w:w="1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522" w:type="dxa"/>
            <w:vAlign w:val="center"/>
          </w:tcPr>
          <w:p>
            <w:pPr>
              <w:widowControl w:val="0"/>
              <w:shd w:val="clear"/>
              <w:spacing w:before="0" w:after="0" w:afterAutospacing="0" w:line="276" w:lineRule="auto"/>
              <w:ind w:left="0" w:right="0" w:firstLine="0"/>
              <w:jc w:val="center"/>
              <w:rPr>
                <w:rFonts w:ascii="宋体" w:hAnsi="宋体"/>
                <w:b/>
                <w:bCs/>
                <w:kern w:val="2"/>
                <w:highlight w:val="none"/>
              </w:rPr>
            </w:pPr>
            <w:r>
              <w:rPr>
                <w:rFonts w:ascii="宋体" w:hAnsi="宋体"/>
                <w:b/>
                <w:bCs/>
                <w:kern w:val="2"/>
                <w:highlight w:val="none"/>
              </w:rPr>
              <w:t>序号</w:t>
            </w:r>
          </w:p>
        </w:tc>
        <w:tc>
          <w:tcPr>
            <w:tcW w:w="1260" w:type="dxa"/>
            <w:vAlign w:val="center"/>
          </w:tcPr>
          <w:p>
            <w:pPr>
              <w:widowControl w:val="0"/>
              <w:shd w:val="clear"/>
              <w:spacing w:before="0" w:after="0" w:afterAutospacing="0" w:line="276" w:lineRule="auto"/>
              <w:ind w:left="0" w:right="0" w:firstLine="0"/>
              <w:jc w:val="center"/>
              <w:rPr>
                <w:rFonts w:ascii="宋体" w:hAnsi="宋体"/>
                <w:b/>
                <w:bCs/>
                <w:kern w:val="2"/>
                <w:highlight w:val="none"/>
              </w:rPr>
            </w:pPr>
            <w:r>
              <w:rPr>
                <w:rFonts w:hint="eastAsia" w:ascii="宋体" w:hAnsi="宋体"/>
                <w:b/>
                <w:bCs/>
                <w:kern w:val="2"/>
                <w:highlight w:val="none"/>
              </w:rPr>
              <w:t>评审内容及分值</w:t>
            </w:r>
          </w:p>
        </w:tc>
        <w:tc>
          <w:tcPr>
            <w:tcW w:w="1255" w:type="dxa"/>
            <w:vAlign w:val="center"/>
          </w:tcPr>
          <w:p>
            <w:pPr>
              <w:widowControl w:val="0"/>
              <w:shd w:val="clear"/>
              <w:spacing w:before="0" w:after="0" w:afterAutospacing="0" w:line="276" w:lineRule="auto"/>
              <w:ind w:left="0" w:right="0" w:firstLine="0"/>
              <w:jc w:val="center"/>
              <w:rPr>
                <w:rFonts w:ascii="宋体" w:hAnsi="宋体"/>
                <w:b/>
                <w:bCs/>
                <w:kern w:val="2"/>
                <w:highlight w:val="none"/>
              </w:rPr>
            </w:pPr>
            <w:r>
              <w:rPr>
                <w:rFonts w:ascii="宋体" w:hAnsi="宋体"/>
                <w:b/>
                <w:bCs/>
                <w:kern w:val="2"/>
                <w:highlight w:val="none"/>
              </w:rPr>
              <w:t>标准分</w:t>
            </w:r>
          </w:p>
        </w:tc>
        <w:tc>
          <w:tcPr>
            <w:tcW w:w="6001" w:type="dxa"/>
            <w:vAlign w:val="center"/>
          </w:tcPr>
          <w:p>
            <w:pPr>
              <w:widowControl w:val="0"/>
              <w:shd w:val="clear"/>
              <w:spacing w:before="0" w:after="0" w:afterAutospacing="0" w:line="276" w:lineRule="auto"/>
              <w:ind w:left="0" w:right="0" w:firstLine="0"/>
              <w:jc w:val="center"/>
              <w:rPr>
                <w:rFonts w:ascii="宋体" w:hAnsi="宋体"/>
                <w:b/>
                <w:bCs/>
                <w:kern w:val="2"/>
                <w:highlight w:val="none"/>
              </w:rPr>
            </w:pPr>
            <w:r>
              <w:rPr>
                <w:rFonts w:hint="eastAsia" w:ascii="宋体" w:hAnsi="宋体"/>
                <w:b/>
                <w:bCs/>
                <w:kern w:val="2"/>
                <w:highlight w:val="none"/>
              </w:rPr>
              <w:t>评审标准</w:t>
            </w:r>
          </w:p>
        </w:tc>
        <w:tc>
          <w:tcPr>
            <w:tcW w:w="1051" w:type="dxa"/>
            <w:vAlign w:val="center"/>
          </w:tcPr>
          <w:p>
            <w:pPr>
              <w:widowControl w:val="0"/>
              <w:shd w:val="clear"/>
              <w:spacing w:before="0" w:after="0" w:afterAutospacing="0" w:line="276" w:lineRule="auto"/>
              <w:ind w:left="0" w:right="0" w:firstLine="0"/>
              <w:jc w:val="center"/>
              <w:rPr>
                <w:rFonts w:ascii="宋体" w:hAnsi="宋体"/>
                <w:b/>
                <w:bCs/>
                <w:kern w:val="2"/>
                <w:highlight w:val="none"/>
              </w:rPr>
            </w:pPr>
            <w:r>
              <w:rPr>
                <w:rFonts w:hint="eastAsia" w:ascii="宋体" w:hAnsi="宋体"/>
                <w:b/>
                <w:bCs/>
                <w:kern w:val="2"/>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522" w:type="dxa"/>
            <w:vMerge w:val="restart"/>
            <w:vAlign w:val="center"/>
          </w:tcPr>
          <w:p>
            <w:pPr>
              <w:widowControl w:val="0"/>
              <w:shd w:val="clear"/>
              <w:spacing w:before="0" w:after="0" w:afterAutospacing="0" w:line="276" w:lineRule="auto"/>
              <w:ind w:left="0" w:right="0" w:firstLine="0"/>
              <w:jc w:val="center"/>
              <w:rPr>
                <w:rFonts w:ascii="宋体" w:hAnsi="宋体"/>
                <w:bCs/>
                <w:kern w:val="2"/>
                <w:highlight w:val="none"/>
              </w:rPr>
            </w:pPr>
            <w:r>
              <w:rPr>
                <w:rFonts w:hint="eastAsia" w:ascii="宋体" w:hAnsi="宋体"/>
                <w:bCs/>
                <w:kern w:val="2"/>
                <w:highlight w:val="none"/>
              </w:rPr>
              <w:t>1</w:t>
            </w:r>
          </w:p>
        </w:tc>
        <w:tc>
          <w:tcPr>
            <w:tcW w:w="1260" w:type="dxa"/>
            <w:vMerge w:val="restart"/>
            <w:vAlign w:val="center"/>
          </w:tcPr>
          <w:p>
            <w:pPr>
              <w:widowControl w:val="0"/>
              <w:shd w:val="clear"/>
              <w:spacing w:before="0" w:after="0" w:afterAutospacing="0" w:line="276" w:lineRule="auto"/>
              <w:ind w:left="0" w:right="0" w:firstLine="0"/>
              <w:rPr>
                <w:rFonts w:ascii="宋体" w:hAnsi="宋体"/>
                <w:bCs/>
                <w:kern w:val="2"/>
                <w:highlight w:val="none"/>
              </w:rPr>
            </w:pPr>
            <w:r>
              <w:rPr>
                <w:rFonts w:hint="eastAsia" w:ascii="宋体" w:hAnsi="宋体" w:cs="宋体"/>
                <w:highlight w:val="none"/>
              </w:rPr>
              <w:t>施工进度保证措施（满分20分）</w:t>
            </w:r>
          </w:p>
        </w:tc>
        <w:tc>
          <w:tcPr>
            <w:tcW w:w="1255" w:type="dxa"/>
            <w:vAlign w:val="center"/>
          </w:tcPr>
          <w:p>
            <w:pPr>
              <w:shd w:val="clear"/>
              <w:snapToGrid w:val="0"/>
              <w:spacing w:line="288" w:lineRule="auto"/>
              <w:jc w:val="center"/>
              <w:rPr>
                <w:rFonts w:ascii="宋体" w:hAnsi="宋体"/>
                <w:highlight w:val="none"/>
              </w:rPr>
            </w:pPr>
            <w:r>
              <w:rPr>
                <w:rFonts w:hint="eastAsia" w:ascii="宋体" w:hAnsi="宋体"/>
                <w:bCs/>
                <w:kern w:val="2"/>
                <w:highlight w:val="none"/>
              </w:rPr>
              <w:t>16</w:t>
            </w:r>
            <w:r>
              <w:rPr>
                <w:rFonts w:ascii="宋体" w:hAnsi="宋体"/>
                <w:bCs/>
                <w:kern w:val="2"/>
                <w:highlight w:val="none"/>
              </w:rPr>
              <w:t>＜</w:t>
            </w:r>
            <w:r>
              <w:rPr>
                <w:rFonts w:hint="eastAsia" w:ascii="宋体" w:hAnsi="宋体"/>
                <w:bCs/>
                <w:kern w:val="2"/>
                <w:highlight w:val="none"/>
              </w:rPr>
              <w:t>m≤20</w:t>
            </w:r>
          </w:p>
        </w:tc>
        <w:tc>
          <w:tcPr>
            <w:tcW w:w="6001" w:type="dxa"/>
            <w:vAlign w:val="center"/>
          </w:tcPr>
          <w:p>
            <w:pPr>
              <w:widowControl w:val="0"/>
              <w:shd w:val="clear"/>
              <w:spacing w:before="0" w:after="0" w:afterAutospacing="0" w:line="276" w:lineRule="auto"/>
              <w:ind w:left="0" w:right="0" w:firstLine="0"/>
              <w:jc w:val="both"/>
              <w:rPr>
                <w:rFonts w:ascii="宋体" w:hAnsi="宋体"/>
                <w:bCs/>
                <w:kern w:val="2"/>
                <w:highlight w:val="none"/>
              </w:rPr>
            </w:pPr>
            <w:r>
              <w:rPr>
                <w:rFonts w:hint="eastAsia" w:ascii="宋体" w:hAnsi="宋体"/>
                <w:bCs/>
                <w:kern w:val="2"/>
                <w:highlight w:val="none"/>
              </w:rPr>
              <w:t>施工进度分解很准确、完整，计划编制科学、合理，关键节点控制保证措施有力、合理、可行性强，工期少于60天。</w:t>
            </w:r>
          </w:p>
        </w:tc>
        <w:tc>
          <w:tcPr>
            <w:tcW w:w="1051" w:type="dxa"/>
            <w:vMerge w:val="restart"/>
            <w:vAlign w:val="center"/>
          </w:tcPr>
          <w:p>
            <w:pPr>
              <w:widowControl w:val="0"/>
              <w:shd w:val="clear"/>
              <w:spacing w:before="0" w:after="0" w:afterAutospacing="0" w:line="276" w:lineRule="auto"/>
              <w:ind w:left="0" w:right="0" w:firstLine="0"/>
              <w:jc w:val="center"/>
              <w:rPr>
                <w:rFonts w:ascii="宋体" w:hAnsi="宋体"/>
                <w:kern w:val="2"/>
                <w:highlight w:val="none"/>
              </w:rPr>
            </w:pPr>
          </w:p>
          <w:p>
            <w:pPr>
              <w:widowControl w:val="0"/>
              <w:shd w:val="clear"/>
              <w:spacing w:before="0" w:after="0" w:afterAutospacing="0" w:line="276" w:lineRule="auto"/>
              <w:ind w:left="0" w:right="0" w:firstLine="0"/>
              <w:jc w:val="center"/>
              <w:rPr>
                <w:rFonts w:ascii="宋体" w:hAnsi="宋体"/>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522" w:type="dxa"/>
            <w:vMerge w:val="continue"/>
            <w:vAlign w:val="center"/>
          </w:tcPr>
          <w:p>
            <w:pPr>
              <w:widowControl w:val="0"/>
              <w:shd w:val="clear"/>
              <w:spacing w:before="0" w:after="0" w:afterAutospacing="0" w:line="276" w:lineRule="auto"/>
              <w:ind w:left="0" w:right="0" w:firstLine="0"/>
              <w:jc w:val="center"/>
              <w:rPr>
                <w:rFonts w:ascii="宋体" w:hAnsi="宋体"/>
                <w:bCs/>
                <w:kern w:val="2"/>
                <w:highlight w:val="none"/>
              </w:rPr>
            </w:pPr>
          </w:p>
        </w:tc>
        <w:tc>
          <w:tcPr>
            <w:tcW w:w="1260" w:type="dxa"/>
            <w:vMerge w:val="continue"/>
            <w:vAlign w:val="center"/>
          </w:tcPr>
          <w:p>
            <w:pPr>
              <w:widowControl w:val="0"/>
              <w:shd w:val="clear"/>
              <w:spacing w:before="0" w:after="0" w:afterAutospacing="0" w:line="276" w:lineRule="auto"/>
              <w:ind w:left="0" w:right="0" w:firstLine="0"/>
              <w:jc w:val="center"/>
              <w:rPr>
                <w:rFonts w:ascii="宋体" w:hAnsi="宋体"/>
                <w:bCs/>
                <w:kern w:val="2"/>
                <w:highlight w:val="none"/>
              </w:rPr>
            </w:pPr>
          </w:p>
        </w:tc>
        <w:tc>
          <w:tcPr>
            <w:tcW w:w="1255" w:type="dxa"/>
            <w:vAlign w:val="center"/>
          </w:tcPr>
          <w:p>
            <w:pPr>
              <w:shd w:val="clear"/>
              <w:snapToGrid w:val="0"/>
              <w:spacing w:line="288" w:lineRule="auto"/>
              <w:jc w:val="center"/>
              <w:rPr>
                <w:rFonts w:ascii="宋体" w:hAnsi="宋体"/>
                <w:highlight w:val="none"/>
              </w:rPr>
            </w:pPr>
            <w:r>
              <w:rPr>
                <w:rFonts w:hint="eastAsia" w:ascii="宋体" w:hAnsi="宋体"/>
                <w:bCs/>
                <w:kern w:val="2"/>
                <w:highlight w:val="none"/>
              </w:rPr>
              <w:t>12</w:t>
            </w:r>
            <w:r>
              <w:rPr>
                <w:rFonts w:ascii="宋体" w:hAnsi="宋体"/>
                <w:bCs/>
                <w:kern w:val="2"/>
                <w:highlight w:val="none"/>
              </w:rPr>
              <w:t>＜</w:t>
            </w:r>
            <w:r>
              <w:rPr>
                <w:rFonts w:hint="eastAsia" w:ascii="宋体" w:hAnsi="宋体"/>
                <w:bCs/>
                <w:kern w:val="2"/>
                <w:highlight w:val="none"/>
              </w:rPr>
              <w:t>m≤16</w:t>
            </w:r>
          </w:p>
        </w:tc>
        <w:tc>
          <w:tcPr>
            <w:tcW w:w="6001" w:type="dxa"/>
            <w:vAlign w:val="center"/>
          </w:tcPr>
          <w:p>
            <w:pPr>
              <w:widowControl w:val="0"/>
              <w:shd w:val="clear"/>
              <w:spacing w:before="0" w:after="0" w:afterAutospacing="0" w:line="276" w:lineRule="auto"/>
              <w:ind w:left="0" w:right="0" w:firstLine="0"/>
              <w:jc w:val="both"/>
              <w:rPr>
                <w:rFonts w:ascii="宋体" w:hAnsi="宋体"/>
                <w:bCs/>
                <w:kern w:val="2"/>
                <w:highlight w:val="none"/>
              </w:rPr>
            </w:pPr>
            <w:r>
              <w:rPr>
                <w:rFonts w:hint="eastAsia" w:ascii="宋体" w:hAnsi="宋体"/>
                <w:bCs/>
                <w:kern w:val="2"/>
                <w:highlight w:val="none"/>
              </w:rPr>
              <w:t>施工进度分解较清晰、准确度一般、完整性一般，计划编制合理性一般，关键节点控制保证措施合理性和可行性一般，工期为60天。</w:t>
            </w:r>
          </w:p>
        </w:tc>
        <w:tc>
          <w:tcPr>
            <w:tcW w:w="1051" w:type="dxa"/>
            <w:vMerge w:val="continue"/>
            <w:vAlign w:val="center"/>
          </w:tcPr>
          <w:p>
            <w:pPr>
              <w:widowControl w:val="0"/>
              <w:shd w:val="clear"/>
              <w:spacing w:before="0" w:after="0" w:afterAutospacing="0" w:line="276" w:lineRule="auto"/>
              <w:ind w:left="0" w:right="0" w:firstLine="0"/>
              <w:jc w:val="center"/>
              <w:rPr>
                <w:rFonts w:ascii="宋体" w:hAnsi="宋体"/>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522" w:type="dxa"/>
            <w:vMerge w:val="continue"/>
            <w:vAlign w:val="center"/>
          </w:tcPr>
          <w:p>
            <w:pPr>
              <w:widowControl w:val="0"/>
              <w:shd w:val="clear"/>
              <w:spacing w:before="0" w:after="0" w:afterAutospacing="0" w:line="276" w:lineRule="auto"/>
              <w:ind w:left="0" w:right="0" w:firstLine="0"/>
              <w:jc w:val="center"/>
              <w:rPr>
                <w:rFonts w:ascii="宋体" w:hAnsi="宋体"/>
                <w:bCs/>
                <w:kern w:val="2"/>
                <w:highlight w:val="none"/>
              </w:rPr>
            </w:pPr>
          </w:p>
        </w:tc>
        <w:tc>
          <w:tcPr>
            <w:tcW w:w="1260" w:type="dxa"/>
            <w:vMerge w:val="continue"/>
            <w:vAlign w:val="center"/>
          </w:tcPr>
          <w:p>
            <w:pPr>
              <w:widowControl w:val="0"/>
              <w:shd w:val="clear"/>
              <w:spacing w:before="0" w:after="0" w:afterAutospacing="0" w:line="276" w:lineRule="auto"/>
              <w:ind w:left="0" w:right="0" w:firstLine="0"/>
              <w:jc w:val="center"/>
              <w:rPr>
                <w:rFonts w:ascii="宋体" w:hAnsi="宋体"/>
                <w:bCs/>
                <w:kern w:val="2"/>
                <w:highlight w:val="none"/>
              </w:rPr>
            </w:pPr>
          </w:p>
        </w:tc>
        <w:tc>
          <w:tcPr>
            <w:tcW w:w="1255" w:type="dxa"/>
            <w:vAlign w:val="center"/>
          </w:tcPr>
          <w:p>
            <w:pPr>
              <w:shd w:val="clear"/>
              <w:snapToGrid w:val="0"/>
              <w:spacing w:line="288" w:lineRule="auto"/>
              <w:jc w:val="center"/>
              <w:rPr>
                <w:rFonts w:ascii="宋体" w:hAnsi="宋体"/>
                <w:highlight w:val="none"/>
              </w:rPr>
            </w:pPr>
            <w:r>
              <w:rPr>
                <w:rFonts w:hint="eastAsia" w:ascii="宋体" w:hAnsi="宋体"/>
                <w:bCs/>
                <w:kern w:val="2"/>
                <w:highlight w:val="none"/>
              </w:rPr>
              <w:t>0&lt;m≤12</w:t>
            </w:r>
          </w:p>
        </w:tc>
        <w:tc>
          <w:tcPr>
            <w:tcW w:w="6001" w:type="dxa"/>
            <w:vAlign w:val="center"/>
          </w:tcPr>
          <w:p>
            <w:pPr>
              <w:widowControl w:val="0"/>
              <w:shd w:val="clear"/>
              <w:spacing w:before="0" w:after="0" w:afterAutospacing="0" w:line="276" w:lineRule="auto"/>
              <w:ind w:left="0" w:right="0" w:firstLine="0"/>
              <w:jc w:val="both"/>
              <w:rPr>
                <w:rFonts w:ascii="宋体" w:hAnsi="宋体"/>
                <w:bCs/>
                <w:kern w:val="2"/>
                <w:highlight w:val="none"/>
              </w:rPr>
            </w:pPr>
            <w:r>
              <w:rPr>
                <w:rFonts w:hint="eastAsia" w:ascii="宋体" w:hAnsi="宋体"/>
                <w:bCs/>
                <w:kern w:val="2"/>
                <w:highlight w:val="none"/>
              </w:rPr>
              <w:t>可行性差、不准确、不完整，对本项目不了解，工期超过60天</w:t>
            </w:r>
          </w:p>
        </w:tc>
        <w:tc>
          <w:tcPr>
            <w:tcW w:w="1051" w:type="dxa"/>
            <w:vMerge w:val="continue"/>
            <w:vAlign w:val="center"/>
          </w:tcPr>
          <w:p>
            <w:pPr>
              <w:widowControl w:val="0"/>
              <w:shd w:val="clear"/>
              <w:spacing w:before="0" w:after="0" w:afterAutospacing="0" w:line="276" w:lineRule="auto"/>
              <w:ind w:left="0" w:right="0" w:firstLine="0"/>
              <w:jc w:val="center"/>
              <w:rPr>
                <w:rFonts w:ascii="宋体" w:hAnsi="宋体"/>
                <w:bCs/>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522" w:type="dxa"/>
            <w:vMerge w:val="restart"/>
            <w:vAlign w:val="center"/>
          </w:tcPr>
          <w:p>
            <w:pPr>
              <w:widowControl w:val="0"/>
              <w:shd w:val="clear"/>
              <w:spacing w:before="0" w:after="0" w:afterAutospacing="0" w:line="276" w:lineRule="auto"/>
              <w:ind w:left="0" w:right="0" w:firstLine="0"/>
              <w:jc w:val="center"/>
              <w:rPr>
                <w:rFonts w:ascii="宋体" w:hAnsi="宋体"/>
                <w:bCs/>
                <w:kern w:val="2"/>
                <w:highlight w:val="none"/>
              </w:rPr>
            </w:pPr>
            <w:r>
              <w:rPr>
                <w:rFonts w:hint="eastAsia" w:ascii="宋体" w:hAnsi="宋体"/>
                <w:bCs/>
                <w:kern w:val="2"/>
                <w:highlight w:val="none"/>
              </w:rPr>
              <w:t>2</w:t>
            </w:r>
          </w:p>
        </w:tc>
        <w:tc>
          <w:tcPr>
            <w:tcW w:w="1260" w:type="dxa"/>
            <w:vMerge w:val="restart"/>
            <w:vAlign w:val="center"/>
          </w:tcPr>
          <w:p>
            <w:pPr>
              <w:widowControl w:val="0"/>
              <w:shd w:val="clear"/>
              <w:spacing w:before="0" w:after="0" w:afterAutospacing="0" w:line="276" w:lineRule="auto"/>
              <w:ind w:left="0" w:right="0" w:firstLine="0"/>
              <w:jc w:val="center"/>
              <w:rPr>
                <w:rFonts w:ascii="宋体" w:hAnsi="宋体"/>
                <w:bCs/>
                <w:kern w:val="2"/>
                <w:highlight w:val="none"/>
              </w:rPr>
            </w:pPr>
            <w:r>
              <w:rPr>
                <w:rFonts w:hint="eastAsia" w:ascii="宋体" w:hAnsi="宋体"/>
                <w:bCs/>
                <w:kern w:val="2"/>
                <w:highlight w:val="none"/>
              </w:rPr>
              <w:t>施工质量保证措施（满分15分）</w:t>
            </w:r>
          </w:p>
        </w:tc>
        <w:tc>
          <w:tcPr>
            <w:tcW w:w="1255" w:type="dxa"/>
            <w:vAlign w:val="center"/>
          </w:tcPr>
          <w:p>
            <w:pPr>
              <w:widowControl w:val="0"/>
              <w:shd w:val="clear"/>
              <w:spacing w:before="0" w:after="0" w:afterAutospacing="0" w:line="276" w:lineRule="auto"/>
              <w:ind w:left="0" w:right="0" w:firstLine="0"/>
              <w:jc w:val="center"/>
              <w:rPr>
                <w:rFonts w:ascii="宋体" w:hAnsi="宋体"/>
                <w:bCs/>
                <w:kern w:val="2"/>
                <w:highlight w:val="none"/>
              </w:rPr>
            </w:pPr>
            <w:r>
              <w:rPr>
                <w:rFonts w:hint="eastAsia" w:ascii="宋体" w:hAnsi="宋体"/>
                <w:highlight w:val="none"/>
              </w:rPr>
              <w:t>12</w:t>
            </w:r>
            <w:r>
              <w:rPr>
                <w:rFonts w:ascii="宋体" w:hAnsi="宋体"/>
                <w:highlight w:val="none"/>
              </w:rPr>
              <w:t>＜</w:t>
            </w:r>
            <w:r>
              <w:rPr>
                <w:rFonts w:hint="eastAsia" w:ascii="宋体" w:hAnsi="宋体"/>
                <w:highlight w:val="none"/>
              </w:rPr>
              <w:t>m≤15</w:t>
            </w:r>
          </w:p>
        </w:tc>
        <w:tc>
          <w:tcPr>
            <w:tcW w:w="6001" w:type="dxa"/>
            <w:vAlign w:val="center"/>
          </w:tcPr>
          <w:p>
            <w:pPr>
              <w:widowControl w:val="0"/>
              <w:shd w:val="clear"/>
              <w:spacing w:before="0" w:after="0" w:afterAutospacing="0" w:line="276" w:lineRule="auto"/>
              <w:ind w:left="0" w:right="0" w:firstLine="0"/>
              <w:jc w:val="both"/>
              <w:rPr>
                <w:rFonts w:ascii="宋体" w:hAnsi="宋体"/>
                <w:bCs/>
                <w:kern w:val="2"/>
                <w:highlight w:val="none"/>
              </w:rPr>
            </w:pPr>
            <w:r>
              <w:rPr>
                <w:rFonts w:hint="eastAsia" w:ascii="宋体" w:hAnsi="宋体"/>
                <w:bCs/>
                <w:kern w:val="2"/>
                <w:highlight w:val="none"/>
              </w:rPr>
              <w:t>对项目关键技术、工艺有深入的表述，对重点、难点有先进合理的施工措施并有可行的安全措施，对管道支架选材、制作及管道防腐工艺等解决方案完整、经济、安全、切实可行，措施得力。</w:t>
            </w:r>
          </w:p>
        </w:tc>
        <w:tc>
          <w:tcPr>
            <w:tcW w:w="1051" w:type="dxa"/>
            <w:vMerge w:val="restart"/>
            <w:vAlign w:val="center"/>
          </w:tcPr>
          <w:p>
            <w:pPr>
              <w:widowControl w:val="0"/>
              <w:shd w:val="clear"/>
              <w:spacing w:before="0" w:after="0" w:afterAutospacing="0" w:line="276" w:lineRule="auto"/>
              <w:ind w:left="0" w:right="0" w:firstLine="0"/>
              <w:jc w:val="center"/>
              <w:rPr>
                <w:rFonts w:ascii="宋体" w:hAnsi="宋体"/>
                <w:kern w:val="2"/>
                <w:highlight w:val="none"/>
              </w:rPr>
            </w:pPr>
          </w:p>
          <w:p>
            <w:pPr>
              <w:widowControl w:val="0"/>
              <w:shd w:val="clear"/>
              <w:spacing w:before="0" w:after="0" w:afterAutospacing="0" w:line="276" w:lineRule="auto"/>
              <w:ind w:left="0" w:right="0" w:firstLine="0"/>
              <w:jc w:val="center"/>
              <w:rPr>
                <w:rFonts w:ascii="宋体" w:hAnsi="宋体"/>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522" w:type="dxa"/>
            <w:vMerge w:val="continue"/>
            <w:vAlign w:val="center"/>
          </w:tcPr>
          <w:p>
            <w:pPr>
              <w:widowControl w:val="0"/>
              <w:shd w:val="clear"/>
              <w:spacing w:before="0" w:after="0" w:afterAutospacing="0" w:line="276" w:lineRule="auto"/>
              <w:ind w:left="0" w:right="0" w:firstLine="0"/>
              <w:jc w:val="center"/>
              <w:rPr>
                <w:rFonts w:ascii="宋体" w:hAnsi="宋体"/>
                <w:bCs/>
                <w:kern w:val="2"/>
                <w:highlight w:val="none"/>
              </w:rPr>
            </w:pPr>
          </w:p>
        </w:tc>
        <w:tc>
          <w:tcPr>
            <w:tcW w:w="1260" w:type="dxa"/>
            <w:vMerge w:val="continue"/>
            <w:vAlign w:val="center"/>
          </w:tcPr>
          <w:p>
            <w:pPr>
              <w:widowControl w:val="0"/>
              <w:shd w:val="clear"/>
              <w:spacing w:before="0" w:after="0" w:afterAutospacing="0" w:line="276" w:lineRule="auto"/>
              <w:ind w:left="0" w:right="0" w:firstLine="0"/>
              <w:jc w:val="center"/>
              <w:rPr>
                <w:rFonts w:ascii="宋体" w:hAnsi="宋体"/>
                <w:bCs/>
                <w:kern w:val="2"/>
                <w:highlight w:val="none"/>
              </w:rPr>
            </w:pPr>
          </w:p>
        </w:tc>
        <w:tc>
          <w:tcPr>
            <w:tcW w:w="1255" w:type="dxa"/>
            <w:vAlign w:val="center"/>
          </w:tcPr>
          <w:p>
            <w:pPr>
              <w:widowControl w:val="0"/>
              <w:shd w:val="clear"/>
              <w:spacing w:before="0" w:after="0" w:afterAutospacing="0" w:line="276" w:lineRule="auto"/>
              <w:ind w:left="0" w:right="0" w:firstLine="0"/>
              <w:jc w:val="center"/>
              <w:rPr>
                <w:rFonts w:ascii="宋体" w:hAnsi="宋体"/>
                <w:bCs/>
                <w:kern w:val="2"/>
                <w:highlight w:val="none"/>
              </w:rPr>
            </w:pPr>
            <w:r>
              <w:rPr>
                <w:rFonts w:hint="eastAsia" w:ascii="宋体" w:hAnsi="宋体"/>
                <w:highlight w:val="none"/>
              </w:rPr>
              <w:t>9</w:t>
            </w:r>
            <w:r>
              <w:rPr>
                <w:rFonts w:ascii="宋体" w:hAnsi="宋体"/>
                <w:highlight w:val="none"/>
              </w:rPr>
              <w:t>＜</w:t>
            </w:r>
            <w:r>
              <w:rPr>
                <w:rFonts w:hint="eastAsia" w:ascii="宋体" w:hAnsi="宋体"/>
                <w:highlight w:val="none"/>
              </w:rPr>
              <w:t>m≤12</w:t>
            </w:r>
          </w:p>
        </w:tc>
        <w:tc>
          <w:tcPr>
            <w:tcW w:w="6001" w:type="dxa"/>
            <w:vAlign w:val="center"/>
          </w:tcPr>
          <w:p>
            <w:pPr>
              <w:widowControl w:val="0"/>
              <w:shd w:val="clear"/>
              <w:spacing w:before="0" w:after="0" w:afterAutospacing="0" w:line="276" w:lineRule="auto"/>
              <w:ind w:left="0" w:right="0" w:firstLine="0"/>
              <w:jc w:val="both"/>
              <w:rPr>
                <w:rFonts w:ascii="宋体" w:hAnsi="宋体"/>
                <w:bCs/>
                <w:kern w:val="2"/>
                <w:highlight w:val="none"/>
              </w:rPr>
            </w:pPr>
            <w:r>
              <w:rPr>
                <w:rFonts w:hint="eastAsia" w:ascii="宋体" w:hAnsi="宋体"/>
                <w:bCs/>
                <w:kern w:val="2"/>
                <w:highlight w:val="none"/>
              </w:rPr>
              <w:t>对项目关键技术、工艺有表述，对重点、难点有合理的施工措施和可行性一般的安全措施，解决方案较完整、安全、经济性一般，可行性一般。</w:t>
            </w:r>
          </w:p>
        </w:tc>
        <w:tc>
          <w:tcPr>
            <w:tcW w:w="1051" w:type="dxa"/>
            <w:vMerge w:val="continue"/>
            <w:vAlign w:val="center"/>
          </w:tcPr>
          <w:p>
            <w:pPr>
              <w:widowControl w:val="0"/>
              <w:shd w:val="clear"/>
              <w:spacing w:before="0" w:after="0" w:afterAutospacing="0" w:line="276" w:lineRule="auto"/>
              <w:ind w:left="0" w:right="0" w:firstLine="0"/>
              <w:jc w:val="center"/>
              <w:rPr>
                <w:rFonts w:ascii="宋体" w:hAnsi="宋体"/>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522" w:type="dxa"/>
            <w:vMerge w:val="continue"/>
            <w:vAlign w:val="center"/>
          </w:tcPr>
          <w:p>
            <w:pPr>
              <w:widowControl w:val="0"/>
              <w:shd w:val="clear"/>
              <w:spacing w:before="0" w:after="0" w:afterAutospacing="0" w:line="276" w:lineRule="auto"/>
              <w:ind w:left="0" w:right="0" w:firstLine="0"/>
              <w:jc w:val="center"/>
              <w:rPr>
                <w:rFonts w:ascii="宋体" w:hAnsi="宋体"/>
                <w:bCs/>
                <w:kern w:val="2"/>
                <w:highlight w:val="none"/>
              </w:rPr>
            </w:pPr>
          </w:p>
        </w:tc>
        <w:tc>
          <w:tcPr>
            <w:tcW w:w="1260" w:type="dxa"/>
            <w:vMerge w:val="continue"/>
            <w:vAlign w:val="center"/>
          </w:tcPr>
          <w:p>
            <w:pPr>
              <w:widowControl w:val="0"/>
              <w:shd w:val="clear"/>
              <w:spacing w:before="0" w:after="0" w:afterAutospacing="0" w:line="276" w:lineRule="auto"/>
              <w:ind w:left="0" w:right="0" w:firstLine="0"/>
              <w:jc w:val="center"/>
              <w:rPr>
                <w:rFonts w:ascii="宋体" w:hAnsi="宋体"/>
                <w:bCs/>
                <w:kern w:val="2"/>
                <w:highlight w:val="none"/>
              </w:rPr>
            </w:pPr>
          </w:p>
        </w:tc>
        <w:tc>
          <w:tcPr>
            <w:tcW w:w="1255" w:type="dxa"/>
            <w:vAlign w:val="center"/>
          </w:tcPr>
          <w:p>
            <w:pPr>
              <w:widowControl w:val="0"/>
              <w:shd w:val="clear"/>
              <w:spacing w:before="0" w:after="0" w:afterAutospacing="0" w:line="276" w:lineRule="auto"/>
              <w:ind w:left="0" w:right="0" w:firstLine="0"/>
              <w:jc w:val="center"/>
              <w:rPr>
                <w:rFonts w:ascii="宋体" w:hAnsi="宋体"/>
                <w:bCs/>
                <w:kern w:val="2"/>
                <w:highlight w:val="none"/>
              </w:rPr>
            </w:pPr>
            <w:r>
              <w:rPr>
                <w:rFonts w:hint="eastAsia" w:ascii="宋体" w:hAnsi="宋体"/>
                <w:highlight w:val="none"/>
              </w:rPr>
              <w:t>0&lt;m≤9</w:t>
            </w:r>
          </w:p>
        </w:tc>
        <w:tc>
          <w:tcPr>
            <w:tcW w:w="6001" w:type="dxa"/>
            <w:vAlign w:val="center"/>
          </w:tcPr>
          <w:p>
            <w:pPr>
              <w:widowControl w:val="0"/>
              <w:shd w:val="clear"/>
              <w:spacing w:before="0" w:after="0" w:afterAutospacing="0" w:line="276" w:lineRule="auto"/>
              <w:ind w:left="0" w:right="0" w:firstLine="0"/>
              <w:jc w:val="both"/>
              <w:rPr>
                <w:rFonts w:ascii="宋体" w:hAnsi="宋体"/>
                <w:bCs/>
                <w:kern w:val="2"/>
                <w:highlight w:val="none"/>
              </w:rPr>
            </w:pPr>
            <w:r>
              <w:rPr>
                <w:rFonts w:hint="eastAsia" w:ascii="宋体" w:hAnsi="宋体"/>
                <w:bCs/>
                <w:kern w:val="2"/>
                <w:highlight w:val="none"/>
              </w:rPr>
              <w:t>可行性差、不完整、</w:t>
            </w:r>
            <w:r>
              <w:rPr>
                <w:rFonts w:ascii="宋体" w:hAnsi="宋体"/>
                <w:bCs/>
                <w:kern w:val="2"/>
                <w:highlight w:val="none"/>
              </w:rPr>
              <w:t>不经济</w:t>
            </w:r>
            <w:r>
              <w:rPr>
                <w:rFonts w:hint="eastAsia" w:ascii="宋体" w:hAnsi="宋体"/>
                <w:bCs/>
                <w:kern w:val="2"/>
                <w:highlight w:val="none"/>
              </w:rPr>
              <w:t>，对本项目不了解。</w:t>
            </w:r>
          </w:p>
        </w:tc>
        <w:tc>
          <w:tcPr>
            <w:tcW w:w="1051" w:type="dxa"/>
            <w:vMerge w:val="continue"/>
            <w:vAlign w:val="center"/>
          </w:tcPr>
          <w:p>
            <w:pPr>
              <w:widowControl w:val="0"/>
              <w:shd w:val="clear"/>
              <w:spacing w:before="0" w:after="0" w:afterAutospacing="0" w:line="276" w:lineRule="auto"/>
              <w:ind w:left="0" w:right="0" w:firstLine="0"/>
              <w:jc w:val="center"/>
              <w:rPr>
                <w:rFonts w:ascii="宋体" w:hAnsi="宋体"/>
                <w:bCs/>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522" w:type="dxa"/>
            <w:vMerge w:val="restart"/>
            <w:vAlign w:val="center"/>
          </w:tcPr>
          <w:p>
            <w:pPr>
              <w:widowControl w:val="0"/>
              <w:shd w:val="clear"/>
              <w:spacing w:before="0" w:after="0" w:afterAutospacing="0" w:line="276" w:lineRule="auto"/>
              <w:ind w:left="0" w:right="0" w:firstLine="0"/>
              <w:jc w:val="center"/>
              <w:rPr>
                <w:rFonts w:ascii="宋体" w:hAnsi="宋体"/>
                <w:bCs/>
                <w:kern w:val="2"/>
                <w:highlight w:val="none"/>
              </w:rPr>
            </w:pPr>
            <w:r>
              <w:rPr>
                <w:rFonts w:hint="eastAsia" w:ascii="宋体" w:hAnsi="宋体"/>
                <w:bCs/>
                <w:kern w:val="2"/>
                <w:highlight w:val="none"/>
              </w:rPr>
              <w:t>3</w:t>
            </w:r>
          </w:p>
        </w:tc>
        <w:tc>
          <w:tcPr>
            <w:tcW w:w="1260" w:type="dxa"/>
            <w:vMerge w:val="restart"/>
            <w:vAlign w:val="center"/>
          </w:tcPr>
          <w:p>
            <w:pPr>
              <w:widowControl w:val="0"/>
              <w:shd w:val="clear"/>
              <w:spacing w:before="0" w:after="0" w:afterAutospacing="0" w:line="276" w:lineRule="auto"/>
              <w:ind w:left="0" w:right="0" w:firstLine="0"/>
              <w:jc w:val="center"/>
              <w:rPr>
                <w:rFonts w:ascii="宋体" w:hAnsi="宋体"/>
                <w:bCs/>
                <w:kern w:val="2"/>
                <w:highlight w:val="none"/>
              </w:rPr>
            </w:pPr>
            <w:r>
              <w:rPr>
                <w:rFonts w:hint="eastAsia" w:ascii="宋体" w:hAnsi="宋体" w:cs="宋体"/>
                <w:highlight w:val="none"/>
              </w:rPr>
              <w:t>安全生产和文明施工保证措施（满分10分）</w:t>
            </w:r>
          </w:p>
        </w:tc>
        <w:tc>
          <w:tcPr>
            <w:tcW w:w="1255" w:type="dxa"/>
            <w:vAlign w:val="center"/>
          </w:tcPr>
          <w:p>
            <w:pPr>
              <w:widowControl w:val="0"/>
              <w:shd w:val="clear"/>
              <w:spacing w:before="0" w:after="0" w:afterAutospacing="0" w:line="276" w:lineRule="auto"/>
              <w:ind w:left="0" w:right="0" w:firstLine="0"/>
              <w:jc w:val="center"/>
              <w:rPr>
                <w:rFonts w:ascii="宋体" w:hAnsi="宋体"/>
                <w:bCs/>
                <w:kern w:val="2"/>
                <w:highlight w:val="none"/>
              </w:rPr>
            </w:pPr>
            <w:r>
              <w:rPr>
                <w:rFonts w:hint="eastAsia" w:ascii="宋体" w:hAnsi="宋体"/>
                <w:bCs/>
                <w:kern w:val="2"/>
                <w:highlight w:val="none"/>
              </w:rPr>
              <w:t>8</w:t>
            </w:r>
            <w:r>
              <w:rPr>
                <w:rFonts w:ascii="宋体" w:hAnsi="宋体"/>
                <w:bCs/>
                <w:kern w:val="2"/>
                <w:highlight w:val="none"/>
              </w:rPr>
              <w:t>＜</w:t>
            </w:r>
            <w:r>
              <w:rPr>
                <w:rFonts w:hint="eastAsia" w:ascii="宋体" w:hAnsi="宋体"/>
                <w:bCs/>
                <w:kern w:val="2"/>
                <w:highlight w:val="none"/>
              </w:rPr>
              <w:t>m≤10</w:t>
            </w:r>
          </w:p>
        </w:tc>
        <w:tc>
          <w:tcPr>
            <w:tcW w:w="6001" w:type="dxa"/>
            <w:vAlign w:val="center"/>
          </w:tcPr>
          <w:p>
            <w:pPr>
              <w:widowControl w:val="0"/>
              <w:shd w:val="clear"/>
              <w:spacing w:before="0" w:after="0" w:afterAutospacing="0" w:line="276" w:lineRule="auto"/>
              <w:ind w:left="0" w:right="0" w:firstLine="0"/>
              <w:jc w:val="both"/>
              <w:rPr>
                <w:rFonts w:ascii="宋体" w:hAnsi="宋体"/>
                <w:bCs/>
                <w:kern w:val="2"/>
                <w:highlight w:val="none"/>
              </w:rPr>
            </w:pPr>
            <w:r>
              <w:rPr>
                <w:rFonts w:hint="eastAsia" w:ascii="宋体" w:hAnsi="宋体"/>
                <w:bCs/>
                <w:kern w:val="2"/>
                <w:highlight w:val="none"/>
              </w:rPr>
              <w:t>针对项目特点，有具体、完整、可行的安全生产和文明施工保证措施，如：轨行区范围不能进行施工作业、涉及动火类作业的防护措施等，措施科学合理、可行性强、完整性好。</w:t>
            </w:r>
          </w:p>
        </w:tc>
        <w:tc>
          <w:tcPr>
            <w:tcW w:w="1051" w:type="dxa"/>
            <w:vMerge w:val="restart"/>
            <w:vAlign w:val="center"/>
          </w:tcPr>
          <w:p>
            <w:pPr>
              <w:widowControl w:val="0"/>
              <w:shd w:val="clear"/>
              <w:spacing w:before="0" w:after="0" w:afterAutospacing="0" w:line="276" w:lineRule="auto"/>
              <w:ind w:left="0" w:right="0" w:firstLine="0"/>
              <w:jc w:val="center"/>
              <w:rPr>
                <w:rFonts w:ascii="宋体" w:hAnsi="宋体"/>
                <w:kern w:val="2"/>
                <w:highlight w:val="none"/>
              </w:rPr>
            </w:pPr>
          </w:p>
          <w:p>
            <w:pPr>
              <w:widowControl w:val="0"/>
              <w:shd w:val="clear"/>
              <w:spacing w:before="0" w:after="0" w:afterAutospacing="0" w:line="276" w:lineRule="auto"/>
              <w:ind w:left="0" w:right="0" w:firstLine="0"/>
              <w:jc w:val="center"/>
              <w:rPr>
                <w:rFonts w:ascii="宋体" w:hAnsi="宋体"/>
                <w:kern w:val="2"/>
                <w:highlight w:val="none"/>
              </w:rPr>
            </w:pPr>
          </w:p>
          <w:p>
            <w:pPr>
              <w:widowControl w:val="0"/>
              <w:shd w:val="clear"/>
              <w:spacing w:before="0" w:after="0" w:afterAutospacing="0" w:line="276" w:lineRule="auto"/>
              <w:ind w:left="0" w:right="0" w:firstLine="0"/>
              <w:jc w:val="center"/>
              <w:rPr>
                <w:rFonts w:ascii="宋体" w:hAnsi="宋体"/>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522" w:type="dxa"/>
            <w:vMerge w:val="continue"/>
            <w:vAlign w:val="center"/>
          </w:tcPr>
          <w:p>
            <w:pPr>
              <w:widowControl w:val="0"/>
              <w:shd w:val="clear"/>
              <w:spacing w:before="0" w:after="0" w:afterAutospacing="0" w:line="276" w:lineRule="auto"/>
              <w:ind w:left="0" w:right="0" w:firstLine="0"/>
              <w:jc w:val="center"/>
              <w:rPr>
                <w:rFonts w:ascii="宋体" w:hAnsi="宋体"/>
                <w:bCs/>
                <w:kern w:val="2"/>
                <w:highlight w:val="none"/>
              </w:rPr>
            </w:pPr>
          </w:p>
        </w:tc>
        <w:tc>
          <w:tcPr>
            <w:tcW w:w="1260" w:type="dxa"/>
            <w:vMerge w:val="continue"/>
            <w:vAlign w:val="center"/>
          </w:tcPr>
          <w:p>
            <w:pPr>
              <w:widowControl w:val="0"/>
              <w:shd w:val="clear"/>
              <w:spacing w:before="0" w:after="0" w:afterAutospacing="0" w:line="276" w:lineRule="auto"/>
              <w:ind w:left="0" w:right="0" w:firstLine="0"/>
              <w:jc w:val="center"/>
              <w:rPr>
                <w:rFonts w:ascii="宋体" w:hAnsi="宋体"/>
                <w:bCs/>
                <w:kern w:val="2"/>
                <w:highlight w:val="none"/>
              </w:rPr>
            </w:pPr>
          </w:p>
        </w:tc>
        <w:tc>
          <w:tcPr>
            <w:tcW w:w="1255" w:type="dxa"/>
            <w:vAlign w:val="center"/>
          </w:tcPr>
          <w:p>
            <w:pPr>
              <w:widowControl w:val="0"/>
              <w:shd w:val="clear"/>
              <w:spacing w:before="0" w:after="0" w:afterAutospacing="0" w:line="276" w:lineRule="auto"/>
              <w:ind w:left="0" w:right="0" w:firstLine="0"/>
              <w:jc w:val="center"/>
              <w:rPr>
                <w:rFonts w:ascii="宋体" w:hAnsi="宋体"/>
                <w:bCs/>
                <w:kern w:val="2"/>
                <w:highlight w:val="none"/>
              </w:rPr>
            </w:pPr>
            <w:r>
              <w:rPr>
                <w:rFonts w:hint="eastAsia" w:ascii="宋体" w:hAnsi="宋体"/>
                <w:bCs/>
                <w:kern w:val="2"/>
                <w:highlight w:val="none"/>
              </w:rPr>
              <w:t>6</w:t>
            </w:r>
            <w:r>
              <w:rPr>
                <w:rFonts w:ascii="宋体" w:hAnsi="宋体"/>
                <w:bCs/>
                <w:kern w:val="2"/>
                <w:highlight w:val="none"/>
              </w:rPr>
              <w:t>＜</w:t>
            </w:r>
            <w:r>
              <w:rPr>
                <w:rFonts w:hint="eastAsia" w:ascii="宋体" w:hAnsi="宋体"/>
                <w:bCs/>
                <w:kern w:val="2"/>
                <w:highlight w:val="none"/>
              </w:rPr>
              <w:t>m≤8</w:t>
            </w:r>
          </w:p>
        </w:tc>
        <w:tc>
          <w:tcPr>
            <w:tcW w:w="6001" w:type="dxa"/>
            <w:vAlign w:val="center"/>
          </w:tcPr>
          <w:p>
            <w:pPr>
              <w:shd w:val="clear"/>
              <w:snapToGrid w:val="0"/>
              <w:spacing w:line="288" w:lineRule="auto"/>
              <w:jc w:val="both"/>
              <w:rPr>
                <w:rFonts w:ascii="宋体" w:hAnsi="宋体"/>
                <w:highlight w:val="none"/>
              </w:rPr>
            </w:pPr>
            <w:r>
              <w:rPr>
                <w:rFonts w:hint="eastAsia" w:ascii="宋体" w:hAnsi="宋体"/>
                <w:highlight w:val="none"/>
              </w:rPr>
              <w:t>针对项目特点，有具体、完整、可行的安全生产和文明施工保证措施，措施合理性一般、可行性一般、完整性一般。</w:t>
            </w:r>
          </w:p>
        </w:tc>
        <w:tc>
          <w:tcPr>
            <w:tcW w:w="1051" w:type="dxa"/>
            <w:vMerge w:val="continue"/>
            <w:vAlign w:val="center"/>
          </w:tcPr>
          <w:p>
            <w:pPr>
              <w:widowControl w:val="0"/>
              <w:shd w:val="clear"/>
              <w:spacing w:before="0" w:after="0" w:afterAutospacing="0" w:line="276" w:lineRule="auto"/>
              <w:ind w:left="0" w:right="0" w:firstLine="0"/>
              <w:jc w:val="center"/>
              <w:rPr>
                <w:rFonts w:ascii="宋体" w:hAnsi="宋体"/>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522" w:type="dxa"/>
            <w:vMerge w:val="continue"/>
            <w:vAlign w:val="center"/>
          </w:tcPr>
          <w:p>
            <w:pPr>
              <w:widowControl w:val="0"/>
              <w:shd w:val="clear"/>
              <w:spacing w:before="0" w:after="0" w:afterAutospacing="0" w:line="276" w:lineRule="auto"/>
              <w:ind w:left="0" w:right="0" w:firstLine="0"/>
              <w:jc w:val="center"/>
              <w:rPr>
                <w:rFonts w:ascii="宋体" w:hAnsi="宋体"/>
                <w:bCs/>
                <w:kern w:val="2"/>
                <w:highlight w:val="none"/>
              </w:rPr>
            </w:pPr>
          </w:p>
        </w:tc>
        <w:tc>
          <w:tcPr>
            <w:tcW w:w="1260" w:type="dxa"/>
            <w:vMerge w:val="continue"/>
            <w:vAlign w:val="center"/>
          </w:tcPr>
          <w:p>
            <w:pPr>
              <w:widowControl w:val="0"/>
              <w:shd w:val="clear"/>
              <w:spacing w:before="0" w:after="0" w:afterAutospacing="0" w:line="276" w:lineRule="auto"/>
              <w:ind w:left="0" w:right="0" w:firstLine="0"/>
              <w:jc w:val="center"/>
              <w:rPr>
                <w:rFonts w:ascii="宋体" w:hAnsi="宋体"/>
                <w:bCs/>
                <w:kern w:val="2"/>
                <w:highlight w:val="none"/>
              </w:rPr>
            </w:pPr>
          </w:p>
        </w:tc>
        <w:tc>
          <w:tcPr>
            <w:tcW w:w="1255" w:type="dxa"/>
            <w:vAlign w:val="center"/>
          </w:tcPr>
          <w:p>
            <w:pPr>
              <w:widowControl w:val="0"/>
              <w:shd w:val="clear"/>
              <w:spacing w:before="0" w:after="0" w:afterAutospacing="0" w:line="276" w:lineRule="auto"/>
              <w:ind w:left="0" w:right="0" w:firstLine="0"/>
              <w:jc w:val="center"/>
              <w:rPr>
                <w:rFonts w:ascii="宋体" w:hAnsi="宋体"/>
                <w:bCs/>
                <w:kern w:val="2"/>
                <w:highlight w:val="none"/>
              </w:rPr>
            </w:pPr>
            <w:r>
              <w:rPr>
                <w:rFonts w:hint="eastAsia" w:ascii="宋体" w:hAnsi="宋体"/>
                <w:bCs/>
                <w:kern w:val="2"/>
                <w:highlight w:val="none"/>
              </w:rPr>
              <w:t>0&lt;m≤6</w:t>
            </w:r>
          </w:p>
        </w:tc>
        <w:tc>
          <w:tcPr>
            <w:tcW w:w="6001" w:type="dxa"/>
            <w:vAlign w:val="center"/>
          </w:tcPr>
          <w:p>
            <w:pPr>
              <w:shd w:val="clear"/>
              <w:snapToGrid w:val="0"/>
              <w:spacing w:line="288" w:lineRule="auto"/>
              <w:jc w:val="both"/>
              <w:rPr>
                <w:rFonts w:ascii="宋体" w:hAnsi="宋体"/>
                <w:highlight w:val="none"/>
              </w:rPr>
            </w:pPr>
            <w:r>
              <w:rPr>
                <w:rFonts w:hint="eastAsia" w:ascii="宋体" w:hAnsi="宋体"/>
                <w:highlight w:val="none"/>
              </w:rPr>
              <w:t>措施不合理、</w:t>
            </w:r>
            <w:r>
              <w:rPr>
                <w:rFonts w:hint="eastAsia" w:ascii="宋体" w:hAnsi="宋体" w:cs="Arial"/>
                <w:highlight w:val="none"/>
              </w:rPr>
              <w:t>可行性差、不完整，对本项目不了解</w:t>
            </w:r>
            <w:r>
              <w:rPr>
                <w:rFonts w:hint="eastAsia" w:ascii="宋体" w:hAnsi="宋体"/>
                <w:highlight w:val="none"/>
              </w:rPr>
              <w:t>。</w:t>
            </w:r>
          </w:p>
        </w:tc>
        <w:tc>
          <w:tcPr>
            <w:tcW w:w="1051" w:type="dxa"/>
            <w:vMerge w:val="continue"/>
            <w:vAlign w:val="center"/>
          </w:tcPr>
          <w:p>
            <w:pPr>
              <w:widowControl w:val="0"/>
              <w:shd w:val="clear"/>
              <w:spacing w:before="0" w:after="0" w:afterAutospacing="0" w:line="276" w:lineRule="auto"/>
              <w:ind w:left="0" w:right="0" w:firstLine="0"/>
              <w:jc w:val="center"/>
              <w:rPr>
                <w:rFonts w:ascii="宋体" w:hAnsi="宋体"/>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522" w:type="dxa"/>
            <w:vMerge w:val="restart"/>
            <w:vAlign w:val="center"/>
          </w:tcPr>
          <w:p>
            <w:pPr>
              <w:widowControl w:val="0"/>
              <w:shd w:val="clear"/>
              <w:spacing w:before="0" w:after="0" w:afterAutospacing="0" w:line="276" w:lineRule="auto"/>
              <w:ind w:left="0" w:right="0" w:firstLine="0"/>
              <w:jc w:val="center"/>
              <w:rPr>
                <w:rFonts w:ascii="宋体" w:hAnsi="宋体"/>
                <w:bCs/>
                <w:kern w:val="2"/>
                <w:highlight w:val="none"/>
              </w:rPr>
            </w:pPr>
            <w:r>
              <w:rPr>
                <w:rFonts w:hint="eastAsia" w:ascii="宋体" w:hAnsi="宋体"/>
                <w:bCs/>
                <w:kern w:val="2"/>
                <w:highlight w:val="none"/>
              </w:rPr>
              <w:t>4</w:t>
            </w:r>
          </w:p>
        </w:tc>
        <w:tc>
          <w:tcPr>
            <w:tcW w:w="1260" w:type="dxa"/>
            <w:vMerge w:val="restart"/>
            <w:vAlign w:val="center"/>
          </w:tcPr>
          <w:p>
            <w:pPr>
              <w:widowControl w:val="0"/>
              <w:shd w:val="clear"/>
              <w:spacing w:before="0" w:after="0" w:afterAutospacing="0" w:line="276" w:lineRule="auto"/>
              <w:ind w:left="0" w:right="0" w:firstLine="0"/>
              <w:rPr>
                <w:rFonts w:ascii="宋体" w:hAnsi="宋体"/>
                <w:bCs/>
                <w:kern w:val="2"/>
                <w:highlight w:val="none"/>
              </w:rPr>
            </w:pPr>
            <w:r>
              <w:rPr>
                <w:rFonts w:hint="eastAsia" w:ascii="宋体" w:hAnsi="宋体"/>
                <w:highlight w:val="none"/>
              </w:rPr>
              <w:t>现场管理及管理制度</w:t>
            </w:r>
            <w:r>
              <w:rPr>
                <w:rFonts w:hint="eastAsia" w:ascii="宋体" w:hAnsi="宋体" w:cs="宋体"/>
                <w:highlight w:val="none"/>
              </w:rPr>
              <w:t>（满分</w:t>
            </w:r>
            <w:r>
              <w:rPr>
                <w:rFonts w:ascii="宋体" w:hAnsi="宋体" w:cs="宋体"/>
                <w:highlight w:val="none"/>
              </w:rPr>
              <w:t>10</w:t>
            </w:r>
            <w:r>
              <w:rPr>
                <w:rFonts w:hint="eastAsia" w:ascii="宋体" w:hAnsi="宋体" w:cs="宋体"/>
                <w:highlight w:val="none"/>
              </w:rPr>
              <w:t>分）</w:t>
            </w:r>
          </w:p>
        </w:tc>
        <w:tc>
          <w:tcPr>
            <w:tcW w:w="1255" w:type="dxa"/>
            <w:vAlign w:val="center"/>
          </w:tcPr>
          <w:p>
            <w:pPr>
              <w:shd w:val="clear"/>
              <w:snapToGrid w:val="0"/>
              <w:spacing w:line="288" w:lineRule="auto"/>
              <w:jc w:val="center"/>
              <w:rPr>
                <w:rFonts w:ascii="宋体" w:hAnsi="宋体"/>
                <w:highlight w:val="none"/>
              </w:rPr>
            </w:pPr>
            <w:r>
              <w:rPr>
                <w:rFonts w:ascii="宋体" w:hAnsi="宋体"/>
                <w:highlight w:val="none"/>
              </w:rPr>
              <w:t>8＜</w:t>
            </w:r>
            <w:r>
              <w:rPr>
                <w:rFonts w:hint="eastAsia" w:ascii="宋体" w:hAnsi="宋体"/>
                <w:highlight w:val="none"/>
              </w:rPr>
              <w:t>m≤</w:t>
            </w:r>
            <w:r>
              <w:rPr>
                <w:rFonts w:ascii="宋体" w:hAnsi="宋体"/>
                <w:highlight w:val="none"/>
              </w:rPr>
              <w:t>10</w:t>
            </w:r>
          </w:p>
        </w:tc>
        <w:tc>
          <w:tcPr>
            <w:tcW w:w="6001" w:type="dxa"/>
            <w:vAlign w:val="center"/>
          </w:tcPr>
          <w:p>
            <w:pPr>
              <w:keepNext w:val="0"/>
              <w:keepLines w:val="0"/>
              <w:pageBreakBefore w:val="0"/>
              <w:widowControl/>
              <w:shd w:val="clear"/>
              <w:kinsoku/>
              <w:wordWrap/>
              <w:overflowPunct/>
              <w:topLinePunct w:val="0"/>
              <w:autoSpaceDE/>
              <w:autoSpaceDN/>
              <w:bidi w:val="0"/>
              <w:adjustRightInd/>
              <w:snapToGrid/>
              <w:ind w:left="0" w:right="0" w:firstLine="0"/>
              <w:textAlignment w:val="auto"/>
              <w:rPr>
                <w:rFonts w:ascii="宋体" w:hAnsi="宋体" w:cs="Arial"/>
                <w:color w:val="000000" w:themeColor="text1"/>
                <w:highlight w:val="none"/>
              </w:rPr>
            </w:pPr>
            <w:r>
              <w:rPr>
                <w:rFonts w:hint="eastAsia" w:ascii="宋体" w:hAnsi="宋体"/>
                <w:color w:val="000000" w:themeColor="text1"/>
                <w:highlight w:val="none"/>
              </w:rPr>
              <w:t>完善的公司管理制度、针对本项目特点制定的现场管理的保障方案、与建设单位的沟通质量控制等措施。如：材料不得堆放在场段的道路，影响正常的通行，以及成品保护措施等。</w:t>
            </w:r>
          </w:p>
        </w:tc>
        <w:tc>
          <w:tcPr>
            <w:tcW w:w="1051" w:type="dxa"/>
            <w:vMerge w:val="restart"/>
            <w:vAlign w:val="center"/>
          </w:tcPr>
          <w:p>
            <w:pPr>
              <w:widowControl w:val="0"/>
              <w:shd w:val="clear"/>
              <w:spacing w:before="0" w:after="0" w:afterAutospacing="0" w:line="276" w:lineRule="auto"/>
              <w:ind w:left="0" w:right="0" w:firstLine="0"/>
              <w:jc w:val="center"/>
              <w:rPr>
                <w:rFonts w:ascii="宋体" w:hAnsi="宋体"/>
                <w:bCs/>
                <w:kern w:val="2"/>
                <w:highlight w:val="none"/>
              </w:rPr>
            </w:pPr>
          </w:p>
          <w:p>
            <w:pPr>
              <w:widowControl w:val="0"/>
              <w:shd w:val="clear"/>
              <w:spacing w:before="0" w:after="0" w:afterAutospacing="0" w:line="276" w:lineRule="auto"/>
              <w:ind w:left="0" w:right="0" w:firstLine="0"/>
              <w:jc w:val="center"/>
              <w:rPr>
                <w:rFonts w:ascii="宋体" w:hAnsi="宋体"/>
                <w:bCs/>
                <w:kern w:val="2"/>
                <w:highlight w:val="none"/>
              </w:rPr>
            </w:pPr>
          </w:p>
          <w:p>
            <w:pPr>
              <w:widowControl w:val="0"/>
              <w:shd w:val="clear"/>
              <w:spacing w:before="0" w:after="0" w:afterAutospacing="0" w:line="276" w:lineRule="auto"/>
              <w:ind w:left="0" w:right="0" w:firstLine="0"/>
              <w:jc w:val="center"/>
              <w:rPr>
                <w:rFonts w:ascii="宋体" w:hAnsi="宋体"/>
                <w:bCs/>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522" w:type="dxa"/>
            <w:vMerge w:val="continue"/>
            <w:vAlign w:val="center"/>
          </w:tcPr>
          <w:p>
            <w:pPr>
              <w:widowControl w:val="0"/>
              <w:shd w:val="clear"/>
              <w:spacing w:before="0" w:after="0" w:afterAutospacing="0" w:line="276" w:lineRule="auto"/>
              <w:ind w:left="0" w:right="0" w:firstLine="0"/>
              <w:jc w:val="center"/>
              <w:rPr>
                <w:rFonts w:ascii="宋体" w:hAnsi="宋体"/>
                <w:bCs/>
                <w:kern w:val="2"/>
                <w:highlight w:val="none"/>
              </w:rPr>
            </w:pPr>
          </w:p>
        </w:tc>
        <w:tc>
          <w:tcPr>
            <w:tcW w:w="1260" w:type="dxa"/>
            <w:vMerge w:val="continue"/>
            <w:vAlign w:val="center"/>
          </w:tcPr>
          <w:p>
            <w:pPr>
              <w:widowControl w:val="0"/>
              <w:shd w:val="clear"/>
              <w:spacing w:before="0" w:after="0" w:afterAutospacing="0" w:line="276" w:lineRule="auto"/>
              <w:ind w:left="0" w:right="0" w:firstLine="0"/>
              <w:jc w:val="center"/>
              <w:rPr>
                <w:rFonts w:ascii="宋体" w:hAnsi="宋体"/>
                <w:bCs/>
                <w:kern w:val="2"/>
                <w:highlight w:val="none"/>
              </w:rPr>
            </w:pPr>
          </w:p>
        </w:tc>
        <w:tc>
          <w:tcPr>
            <w:tcW w:w="1255" w:type="dxa"/>
            <w:vAlign w:val="center"/>
          </w:tcPr>
          <w:p>
            <w:pPr>
              <w:shd w:val="clear"/>
              <w:snapToGrid w:val="0"/>
              <w:spacing w:line="288" w:lineRule="auto"/>
              <w:jc w:val="center"/>
              <w:rPr>
                <w:rFonts w:ascii="宋体" w:hAnsi="宋体"/>
                <w:highlight w:val="none"/>
              </w:rPr>
            </w:pPr>
            <w:r>
              <w:rPr>
                <w:rFonts w:ascii="宋体" w:hAnsi="宋体"/>
                <w:highlight w:val="none"/>
              </w:rPr>
              <w:t>6＜</w:t>
            </w:r>
            <w:r>
              <w:rPr>
                <w:rFonts w:hint="eastAsia" w:ascii="宋体" w:hAnsi="宋体"/>
                <w:highlight w:val="none"/>
              </w:rPr>
              <w:t>m≤</w:t>
            </w:r>
            <w:r>
              <w:rPr>
                <w:rFonts w:ascii="宋体" w:hAnsi="宋体"/>
                <w:highlight w:val="none"/>
              </w:rPr>
              <w:t>8</w:t>
            </w:r>
          </w:p>
        </w:tc>
        <w:tc>
          <w:tcPr>
            <w:tcW w:w="6001" w:type="dxa"/>
            <w:vAlign w:val="center"/>
          </w:tcPr>
          <w:p>
            <w:pPr>
              <w:keepNext w:val="0"/>
              <w:keepLines w:val="0"/>
              <w:pageBreakBefore w:val="0"/>
              <w:widowControl/>
              <w:shd w:val="clear"/>
              <w:kinsoku/>
              <w:wordWrap/>
              <w:overflowPunct/>
              <w:topLinePunct w:val="0"/>
              <w:autoSpaceDE/>
              <w:autoSpaceDN/>
              <w:bidi w:val="0"/>
              <w:adjustRightInd/>
              <w:snapToGrid/>
              <w:ind w:left="0" w:right="0" w:firstLine="0"/>
              <w:textAlignment w:val="auto"/>
              <w:rPr>
                <w:rFonts w:ascii="宋体" w:hAnsi="宋体" w:cs="Arial"/>
                <w:color w:val="000000" w:themeColor="text1"/>
                <w:highlight w:val="none"/>
              </w:rPr>
            </w:pPr>
            <w:r>
              <w:rPr>
                <w:rFonts w:hint="eastAsia" w:ascii="宋体" w:hAnsi="宋体"/>
                <w:color w:val="000000" w:themeColor="text1"/>
                <w:highlight w:val="none"/>
              </w:rPr>
              <w:t>有相关的公司管理制度，针对本项目特点制定的现场管理的保障方案、与建设单位的沟通质量控制等措施完整性</w:t>
            </w:r>
            <w:r>
              <w:rPr>
                <w:rFonts w:ascii="宋体" w:hAnsi="宋体"/>
                <w:color w:val="000000" w:themeColor="text1"/>
                <w:highlight w:val="none"/>
              </w:rPr>
              <w:t>一般</w:t>
            </w:r>
            <w:r>
              <w:rPr>
                <w:rFonts w:hint="eastAsia" w:ascii="宋体" w:hAnsi="宋体"/>
                <w:color w:val="000000" w:themeColor="text1"/>
                <w:highlight w:val="none"/>
              </w:rPr>
              <w:t>、可行性</w:t>
            </w:r>
            <w:r>
              <w:rPr>
                <w:rFonts w:ascii="宋体" w:hAnsi="宋体"/>
                <w:color w:val="000000" w:themeColor="text1"/>
                <w:highlight w:val="none"/>
              </w:rPr>
              <w:t>一般</w:t>
            </w:r>
            <w:r>
              <w:rPr>
                <w:rFonts w:hint="eastAsia" w:ascii="宋体" w:hAnsi="宋体"/>
                <w:color w:val="000000" w:themeColor="text1"/>
                <w:highlight w:val="none"/>
              </w:rPr>
              <w:t>。</w:t>
            </w:r>
          </w:p>
        </w:tc>
        <w:tc>
          <w:tcPr>
            <w:tcW w:w="1051" w:type="dxa"/>
            <w:vMerge w:val="continue"/>
            <w:vAlign w:val="center"/>
          </w:tcPr>
          <w:p>
            <w:pPr>
              <w:widowControl w:val="0"/>
              <w:shd w:val="clear"/>
              <w:spacing w:before="0" w:after="0" w:afterAutospacing="0" w:line="276" w:lineRule="auto"/>
              <w:ind w:left="0" w:right="0" w:firstLine="0"/>
              <w:jc w:val="center"/>
              <w:rPr>
                <w:rFonts w:ascii="宋体" w:hAnsi="宋体"/>
                <w:bCs/>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522" w:type="dxa"/>
            <w:vMerge w:val="continue"/>
            <w:vAlign w:val="center"/>
          </w:tcPr>
          <w:p>
            <w:pPr>
              <w:widowControl w:val="0"/>
              <w:shd w:val="clear"/>
              <w:spacing w:before="0" w:after="0" w:afterAutospacing="0" w:line="276" w:lineRule="auto"/>
              <w:ind w:left="0" w:right="0" w:firstLine="0"/>
              <w:jc w:val="center"/>
              <w:rPr>
                <w:rFonts w:ascii="宋体" w:hAnsi="宋体"/>
                <w:bCs/>
                <w:kern w:val="2"/>
                <w:highlight w:val="none"/>
              </w:rPr>
            </w:pPr>
          </w:p>
        </w:tc>
        <w:tc>
          <w:tcPr>
            <w:tcW w:w="1260" w:type="dxa"/>
            <w:vMerge w:val="continue"/>
            <w:vAlign w:val="center"/>
          </w:tcPr>
          <w:p>
            <w:pPr>
              <w:widowControl w:val="0"/>
              <w:shd w:val="clear"/>
              <w:spacing w:before="0" w:after="0" w:afterAutospacing="0" w:line="276" w:lineRule="auto"/>
              <w:ind w:left="0" w:right="0" w:firstLine="0"/>
              <w:jc w:val="center"/>
              <w:rPr>
                <w:rFonts w:ascii="宋体" w:hAnsi="宋体"/>
                <w:bCs/>
                <w:kern w:val="2"/>
                <w:highlight w:val="none"/>
              </w:rPr>
            </w:pPr>
          </w:p>
        </w:tc>
        <w:tc>
          <w:tcPr>
            <w:tcW w:w="1255" w:type="dxa"/>
            <w:vAlign w:val="center"/>
          </w:tcPr>
          <w:p>
            <w:pPr>
              <w:shd w:val="clear"/>
              <w:snapToGrid w:val="0"/>
              <w:spacing w:line="288" w:lineRule="auto"/>
              <w:jc w:val="center"/>
              <w:rPr>
                <w:rFonts w:ascii="宋体" w:hAnsi="宋体"/>
                <w:highlight w:val="none"/>
              </w:rPr>
            </w:pPr>
            <w:r>
              <w:rPr>
                <w:rFonts w:hint="eastAsia" w:ascii="宋体" w:hAnsi="宋体"/>
                <w:highlight w:val="none"/>
              </w:rPr>
              <w:t>0&lt;m≤</w:t>
            </w:r>
            <w:r>
              <w:rPr>
                <w:rFonts w:ascii="宋体" w:hAnsi="宋体"/>
                <w:highlight w:val="none"/>
              </w:rPr>
              <w:t>6</w:t>
            </w:r>
          </w:p>
        </w:tc>
        <w:tc>
          <w:tcPr>
            <w:tcW w:w="6001" w:type="dxa"/>
            <w:vAlign w:val="center"/>
          </w:tcPr>
          <w:p>
            <w:pPr>
              <w:shd w:val="clear"/>
              <w:snapToGrid w:val="0"/>
              <w:spacing w:line="288" w:lineRule="auto"/>
              <w:jc w:val="both"/>
              <w:rPr>
                <w:rFonts w:ascii="宋体" w:hAnsi="宋体" w:cs="Arial"/>
                <w:color w:val="000000" w:themeColor="text1"/>
                <w:highlight w:val="none"/>
              </w:rPr>
            </w:pPr>
            <w:r>
              <w:rPr>
                <w:rFonts w:hint="eastAsia" w:ascii="宋体" w:hAnsi="宋体"/>
                <w:color w:val="000000" w:themeColor="text1"/>
                <w:highlight w:val="none"/>
              </w:rPr>
              <w:t>管理制度不完善</w:t>
            </w:r>
            <w:r>
              <w:rPr>
                <w:rFonts w:ascii="宋体" w:hAnsi="宋体"/>
                <w:color w:val="000000" w:themeColor="text1"/>
                <w:highlight w:val="none"/>
              </w:rPr>
              <w:t>，</w:t>
            </w:r>
            <w:r>
              <w:rPr>
                <w:rFonts w:hint="eastAsia" w:ascii="宋体" w:hAnsi="宋体"/>
                <w:color w:val="000000" w:themeColor="text1"/>
                <w:highlight w:val="none"/>
              </w:rPr>
              <w:t>措施不完整、</w:t>
            </w:r>
            <w:r>
              <w:rPr>
                <w:rFonts w:hint="eastAsia" w:ascii="宋体" w:hAnsi="宋体" w:cs="Arial"/>
                <w:color w:val="000000" w:themeColor="text1"/>
                <w:highlight w:val="none"/>
              </w:rPr>
              <w:t>可行性差，对本项目不了解</w:t>
            </w:r>
            <w:r>
              <w:rPr>
                <w:rFonts w:hint="eastAsia" w:ascii="宋体" w:hAnsi="宋体"/>
                <w:color w:val="000000" w:themeColor="text1"/>
                <w:highlight w:val="none"/>
              </w:rPr>
              <w:t>。</w:t>
            </w:r>
          </w:p>
        </w:tc>
        <w:tc>
          <w:tcPr>
            <w:tcW w:w="1051" w:type="dxa"/>
            <w:vMerge w:val="continue"/>
            <w:vAlign w:val="center"/>
          </w:tcPr>
          <w:p>
            <w:pPr>
              <w:widowControl w:val="0"/>
              <w:shd w:val="clear"/>
              <w:spacing w:before="0" w:after="0" w:afterAutospacing="0" w:line="276" w:lineRule="auto"/>
              <w:ind w:left="0" w:right="0" w:firstLine="0"/>
              <w:jc w:val="center"/>
              <w:rPr>
                <w:rFonts w:ascii="宋体" w:hAnsi="宋体"/>
                <w:bCs/>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522" w:type="dxa"/>
            <w:vAlign w:val="center"/>
          </w:tcPr>
          <w:p>
            <w:pPr>
              <w:widowControl w:val="0"/>
              <w:shd w:val="clear"/>
              <w:spacing w:before="0" w:after="0" w:afterAutospacing="0" w:line="276" w:lineRule="auto"/>
              <w:ind w:left="0" w:right="0" w:firstLine="0"/>
              <w:jc w:val="center"/>
              <w:rPr>
                <w:rFonts w:ascii="宋体" w:hAnsi="宋体"/>
                <w:bCs/>
                <w:kern w:val="2"/>
                <w:highlight w:val="none"/>
              </w:rPr>
            </w:pPr>
            <w:r>
              <w:rPr>
                <w:rFonts w:hint="eastAsia" w:ascii="宋体" w:hAnsi="宋体"/>
                <w:bCs/>
                <w:kern w:val="2"/>
                <w:highlight w:val="none"/>
              </w:rPr>
              <w:t>5</w:t>
            </w:r>
          </w:p>
        </w:tc>
        <w:tc>
          <w:tcPr>
            <w:tcW w:w="1260" w:type="dxa"/>
            <w:vAlign w:val="center"/>
          </w:tcPr>
          <w:p>
            <w:pPr>
              <w:widowControl w:val="0"/>
              <w:shd w:val="clear"/>
              <w:snapToGrid w:val="0"/>
              <w:spacing w:line="276" w:lineRule="auto"/>
              <w:ind w:left="0" w:firstLine="0"/>
              <w:rPr>
                <w:rFonts w:ascii="宋体" w:hAnsi="宋体"/>
                <w:bCs/>
                <w:kern w:val="2"/>
                <w:highlight w:val="none"/>
              </w:rPr>
            </w:pPr>
            <w:r>
              <w:rPr>
                <w:rFonts w:hint="eastAsia" w:ascii="宋体" w:hAnsi="宋体"/>
                <w:bCs/>
                <w:kern w:val="2"/>
                <w:highlight w:val="none"/>
              </w:rPr>
              <w:t>企业业绩（满分5分）</w:t>
            </w:r>
          </w:p>
        </w:tc>
        <w:tc>
          <w:tcPr>
            <w:tcW w:w="1255" w:type="dxa"/>
            <w:vAlign w:val="center"/>
          </w:tcPr>
          <w:p>
            <w:pPr>
              <w:widowControl w:val="0"/>
              <w:shd w:val="clear"/>
              <w:spacing w:before="0" w:after="0" w:afterAutospacing="0" w:line="276" w:lineRule="auto"/>
              <w:ind w:left="0" w:right="0" w:firstLine="0"/>
              <w:jc w:val="center"/>
              <w:rPr>
                <w:rFonts w:hint="eastAsia" w:ascii="宋体" w:hAnsi="宋体" w:eastAsia="宋体"/>
                <w:bCs/>
                <w:kern w:val="2"/>
                <w:highlight w:val="none"/>
                <w:lang w:eastAsia="zh-CN"/>
              </w:rPr>
            </w:pPr>
            <w:r>
              <w:rPr>
                <w:rFonts w:hint="eastAsia" w:ascii="宋体" w:hAnsi="宋体"/>
                <w:highlight w:val="none"/>
              </w:rPr>
              <w:t>0&lt;m≤</w:t>
            </w:r>
            <w:r>
              <w:rPr>
                <w:rFonts w:hint="eastAsia" w:ascii="宋体" w:hAnsi="宋体"/>
                <w:highlight w:val="none"/>
                <w:lang w:val="en-US" w:eastAsia="zh-CN"/>
              </w:rPr>
              <w:t>5</w:t>
            </w:r>
          </w:p>
        </w:tc>
        <w:tc>
          <w:tcPr>
            <w:tcW w:w="6001" w:type="dxa"/>
            <w:vAlign w:val="center"/>
          </w:tcPr>
          <w:p>
            <w:pPr>
              <w:widowControl w:val="0"/>
              <w:shd w:val="clear"/>
              <w:snapToGrid w:val="0"/>
              <w:spacing w:line="276" w:lineRule="auto"/>
              <w:ind w:left="0" w:firstLine="0"/>
              <w:jc w:val="both"/>
              <w:rPr>
                <w:rFonts w:ascii="宋体" w:hAnsi="宋体"/>
                <w:bCs/>
                <w:kern w:val="2"/>
                <w:highlight w:val="none"/>
              </w:rPr>
            </w:pPr>
            <w:r>
              <w:rPr>
                <w:rFonts w:hint="eastAsia" w:ascii="宋体" w:hAnsi="宋体"/>
                <w:bCs/>
                <w:kern w:val="2"/>
                <w:highlight w:val="none"/>
              </w:rPr>
              <w:t>每提供一项金额不低于十万元消防设备设施安装</w:t>
            </w:r>
            <w:r>
              <w:rPr>
                <w:rFonts w:ascii="宋体" w:hAnsi="宋体"/>
                <w:bCs/>
                <w:kern w:val="2"/>
                <w:highlight w:val="none"/>
              </w:rPr>
              <w:t>类似范围</w:t>
            </w:r>
            <w:r>
              <w:rPr>
                <w:rFonts w:hint="eastAsia" w:ascii="宋体" w:hAnsi="宋体"/>
                <w:bCs/>
                <w:kern w:val="2"/>
                <w:highlight w:val="none"/>
              </w:rPr>
              <w:t>的业绩得2.5分，最多得5分。</w:t>
            </w:r>
          </w:p>
        </w:tc>
        <w:tc>
          <w:tcPr>
            <w:tcW w:w="1051" w:type="dxa"/>
            <w:vAlign w:val="center"/>
          </w:tcPr>
          <w:p>
            <w:pPr>
              <w:widowControl w:val="0"/>
              <w:shd w:val="clear"/>
              <w:spacing w:before="0" w:after="0" w:afterAutospacing="0" w:line="276" w:lineRule="auto"/>
              <w:ind w:left="0" w:right="0" w:firstLine="0"/>
              <w:jc w:val="center"/>
              <w:rPr>
                <w:rFonts w:ascii="宋体" w:hAnsi="宋体"/>
                <w:bCs/>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782" w:type="dxa"/>
            <w:gridSpan w:val="2"/>
            <w:vAlign w:val="center"/>
          </w:tcPr>
          <w:p>
            <w:pPr>
              <w:widowControl w:val="0"/>
              <w:shd w:val="clear"/>
              <w:spacing w:before="0" w:after="0" w:afterAutospacing="0" w:line="276" w:lineRule="auto"/>
              <w:ind w:left="0" w:right="0" w:firstLine="0"/>
              <w:jc w:val="center"/>
              <w:rPr>
                <w:rFonts w:ascii="宋体" w:hAnsi="宋体"/>
                <w:bCs/>
                <w:kern w:val="2"/>
                <w:highlight w:val="none"/>
              </w:rPr>
            </w:pPr>
            <w:r>
              <w:rPr>
                <w:rFonts w:ascii="宋体" w:hAnsi="宋体"/>
                <w:bCs/>
                <w:kern w:val="2"/>
                <w:highlight w:val="none"/>
              </w:rPr>
              <w:t>技术</w:t>
            </w:r>
            <w:r>
              <w:rPr>
                <w:rFonts w:hint="eastAsia" w:ascii="宋体" w:hAnsi="宋体"/>
                <w:bCs/>
                <w:kern w:val="2"/>
                <w:highlight w:val="none"/>
              </w:rPr>
              <w:t>评审总分</w:t>
            </w:r>
          </w:p>
        </w:tc>
        <w:tc>
          <w:tcPr>
            <w:tcW w:w="1255" w:type="dxa"/>
            <w:vAlign w:val="center"/>
          </w:tcPr>
          <w:p>
            <w:pPr>
              <w:widowControl w:val="0"/>
              <w:shd w:val="clear"/>
              <w:spacing w:before="0" w:after="0" w:afterAutospacing="0" w:line="276" w:lineRule="auto"/>
              <w:ind w:left="0" w:right="0" w:firstLine="0"/>
              <w:jc w:val="center"/>
              <w:rPr>
                <w:rFonts w:ascii="宋体" w:hAnsi="宋体"/>
                <w:bCs/>
                <w:kern w:val="2"/>
                <w:highlight w:val="none"/>
              </w:rPr>
            </w:pPr>
            <w:r>
              <w:rPr>
                <w:rFonts w:hint="eastAsia" w:ascii="宋体" w:hAnsi="宋体"/>
                <w:bCs/>
                <w:kern w:val="2"/>
                <w:highlight w:val="none"/>
              </w:rPr>
              <w:t>60</w:t>
            </w:r>
            <w:r>
              <w:rPr>
                <w:rFonts w:ascii="宋体" w:hAnsi="宋体"/>
                <w:kern w:val="2"/>
                <w:highlight w:val="none"/>
              </w:rPr>
              <w:t>分</w:t>
            </w:r>
          </w:p>
        </w:tc>
        <w:tc>
          <w:tcPr>
            <w:tcW w:w="7052" w:type="dxa"/>
            <w:gridSpan w:val="2"/>
            <w:vAlign w:val="center"/>
          </w:tcPr>
          <w:p>
            <w:pPr>
              <w:widowControl w:val="0"/>
              <w:shd w:val="clear"/>
              <w:spacing w:before="0" w:after="0" w:afterAutospacing="0" w:line="276" w:lineRule="auto"/>
              <w:ind w:left="0" w:right="0" w:firstLine="0"/>
              <w:rPr>
                <w:rFonts w:ascii="宋体" w:hAnsi="宋体"/>
                <w:kern w:val="2"/>
                <w:highlight w:val="none"/>
              </w:rPr>
            </w:pPr>
          </w:p>
        </w:tc>
      </w:tr>
    </w:tbl>
    <w:p>
      <w:pPr>
        <w:shd w:val="clear"/>
        <w:spacing w:before="0"/>
        <w:ind w:right="0" w:firstLine="0"/>
        <w:jc w:val="center"/>
        <w:rPr>
          <w:highlight w:val="none"/>
        </w:rPr>
        <w:sectPr>
          <w:pgSz w:w="11905" w:h="16838"/>
          <w:pgMar w:top="1418" w:right="1418" w:bottom="1418" w:left="1418" w:header="454" w:footer="567" w:gutter="0"/>
          <w:pgNumType w:fmt="decimal"/>
          <w:cols w:space="720" w:num="1"/>
          <w:docGrid w:linePitch="319" w:charSpace="0"/>
        </w:sectPr>
      </w:pPr>
    </w:p>
    <w:p>
      <w:pPr>
        <w:pStyle w:val="4"/>
        <w:shd w:val="clear"/>
        <w:rPr>
          <w:sz w:val="21"/>
          <w:szCs w:val="21"/>
          <w:highlight w:val="none"/>
        </w:rPr>
      </w:pPr>
      <w:bookmarkStart w:id="2224" w:name="_Toc47864326"/>
      <w:r>
        <w:rPr>
          <w:rFonts w:hint="eastAsia"/>
          <w:sz w:val="21"/>
          <w:szCs w:val="21"/>
          <w:highlight w:val="none"/>
        </w:rPr>
        <w:t xml:space="preserve">附表四 </w:t>
      </w:r>
      <w:r>
        <w:rPr>
          <w:sz w:val="21"/>
          <w:szCs w:val="21"/>
          <w:highlight w:val="none"/>
        </w:rPr>
        <w:t xml:space="preserve"> </w:t>
      </w:r>
      <w:r>
        <w:rPr>
          <w:rFonts w:hint="eastAsia"/>
          <w:sz w:val="21"/>
          <w:szCs w:val="21"/>
          <w:highlight w:val="none"/>
        </w:rPr>
        <w:t>比选报价评分表</w:t>
      </w:r>
      <w:bookmarkEnd w:id="2224"/>
    </w:p>
    <w:p>
      <w:pPr>
        <w:widowControl w:val="0"/>
        <w:shd w:val="clear"/>
        <w:spacing w:before="0" w:after="0" w:afterAutospacing="0"/>
        <w:ind w:left="0" w:right="0" w:firstLine="0"/>
        <w:jc w:val="center"/>
        <w:rPr>
          <w:rFonts w:ascii="宋体" w:hAnsi="宋体"/>
          <w:kern w:val="2"/>
          <w:highlight w:val="none"/>
        </w:rPr>
      </w:pPr>
      <w:r>
        <w:rPr>
          <w:rFonts w:hint="eastAsia" w:ascii="Calibri" w:hAnsi="宋体"/>
          <w:b/>
          <w:kern w:val="2"/>
          <w:sz w:val="24"/>
          <w:szCs w:val="24"/>
          <w:highlight w:val="none"/>
        </w:rPr>
        <w:t>比选报价评分表</w:t>
      </w:r>
    </w:p>
    <w:tbl>
      <w:tblPr>
        <w:tblStyle w:val="28"/>
        <w:tblpPr w:leftFromText="180" w:rightFromText="180" w:vertAnchor="page" w:horzAnchor="margin" w:tblpXSpec="center" w:tblpY="3045"/>
        <w:tblW w:w="96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104"/>
        <w:gridCol w:w="3032"/>
        <w:gridCol w:w="2977"/>
        <w:gridCol w:w="1129"/>
        <w:gridCol w:w="7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7" w:hRule="atLeast"/>
          <w:tblHeader/>
          <w:jc w:val="center"/>
        </w:trPr>
        <w:tc>
          <w:tcPr>
            <w:tcW w:w="650" w:type="dxa"/>
            <w:vAlign w:val="center"/>
          </w:tcPr>
          <w:p>
            <w:pPr>
              <w:widowControl w:val="0"/>
              <w:shd w:val="clear"/>
              <w:spacing w:before="0" w:after="0" w:afterAutospacing="0" w:line="240" w:lineRule="auto"/>
              <w:ind w:left="0" w:right="0" w:firstLine="0"/>
              <w:jc w:val="center"/>
              <w:rPr>
                <w:rFonts w:ascii="宋体" w:hAnsi="宋体"/>
                <w:b/>
                <w:kern w:val="2"/>
                <w:highlight w:val="none"/>
              </w:rPr>
            </w:pPr>
            <w:r>
              <w:rPr>
                <w:rFonts w:ascii="宋体" w:hAnsi="宋体"/>
                <w:b/>
                <w:kern w:val="2"/>
                <w:highlight w:val="none"/>
              </w:rPr>
              <w:t>序号</w:t>
            </w:r>
          </w:p>
        </w:tc>
        <w:tc>
          <w:tcPr>
            <w:tcW w:w="1104" w:type="dxa"/>
            <w:vAlign w:val="center"/>
          </w:tcPr>
          <w:p>
            <w:pPr>
              <w:widowControl w:val="0"/>
              <w:shd w:val="clear"/>
              <w:spacing w:before="0" w:after="0" w:afterAutospacing="0" w:line="240" w:lineRule="auto"/>
              <w:ind w:left="0" w:right="0" w:firstLine="0"/>
              <w:jc w:val="center"/>
              <w:rPr>
                <w:rFonts w:ascii="宋体" w:hAnsi="宋体"/>
                <w:b/>
                <w:kern w:val="2"/>
                <w:highlight w:val="none"/>
              </w:rPr>
            </w:pPr>
            <w:r>
              <w:rPr>
                <w:rFonts w:ascii="宋体" w:hAnsi="宋体"/>
                <w:b/>
                <w:kern w:val="2"/>
                <w:highlight w:val="none"/>
              </w:rPr>
              <w:t>项目</w:t>
            </w:r>
          </w:p>
        </w:tc>
        <w:tc>
          <w:tcPr>
            <w:tcW w:w="3032" w:type="dxa"/>
            <w:vAlign w:val="center"/>
          </w:tcPr>
          <w:p>
            <w:pPr>
              <w:widowControl w:val="0"/>
              <w:shd w:val="clear"/>
              <w:spacing w:before="0" w:after="0" w:afterAutospacing="0" w:line="240" w:lineRule="auto"/>
              <w:ind w:left="0" w:right="0" w:firstLine="0"/>
              <w:jc w:val="center"/>
              <w:rPr>
                <w:rFonts w:ascii="宋体" w:hAnsi="宋体"/>
                <w:b/>
                <w:kern w:val="2"/>
                <w:highlight w:val="none"/>
              </w:rPr>
            </w:pPr>
            <w:r>
              <w:rPr>
                <w:rFonts w:hint="eastAsia" w:ascii="宋体" w:hAnsi="宋体"/>
                <w:b/>
                <w:kern w:val="2"/>
                <w:highlight w:val="none"/>
              </w:rPr>
              <w:t>基准价</w:t>
            </w:r>
          </w:p>
        </w:tc>
        <w:tc>
          <w:tcPr>
            <w:tcW w:w="2977" w:type="dxa"/>
            <w:vAlign w:val="center"/>
          </w:tcPr>
          <w:p>
            <w:pPr>
              <w:widowControl w:val="0"/>
              <w:shd w:val="clear"/>
              <w:spacing w:before="0" w:after="0" w:afterAutospacing="0" w:line="240" w:lineRule="auto"/>
              <w:ind w:left="0" w:right="0" w:firstLine="0"/>
              <w:jc w:val="center"/>
              <w:rPr>
                <w:rFonts w:ascii="宋体" w:hAnsi="宋体"/>
                <w:b/>
                <w:kern w:val="2"/>
                <w:highlight w:val="none"/>
              </w:rPr>
            </w:pPr>
            <w:r>
              <w:rPr>
                <w:rFonts w:ascii="宋体" w:hAnsi="宋体"/>
                <w:b/>
                <w:kern w:val="2"/>
                <w:highlight w:val="none"/>
              </w:rPr>
              <w:t>评分标准</w:t>
            </w:r>
          </w:p>
        </w:tc>
        <w:tc>
          <w:tcPr>
            <w:tcW w:w="1129" w:type="dxa"/>
            <w:vAlign w:val="center"/>
          </w:tcPr>
          <w:p>
            <w:pPr>
              <w:widowControl w:val="0"/>
              <w:shd w:val="clear"/>
              <w:spacing w:before="0" w:after="0" w:afterAutospacing="0" w:line="240" w:lineRule="auto"/>
              <w:ind w:left="0" w:right="0" w:firstLine="0"/>
              <w:jc w:val="center"/>
              <w:rPr>
                <w:rFonts w:ascii="宋体" w:hAnsi="宋体"/>
                <w:b/>
                <w:kern w:val="2"/>
                <w:highlight w:val="none"/>
              </w:rPr>
            </w:pPr>
            <w:r>
              <w:rPr>
                <w:rFonts w:ascii="宋体" w:hAnsi="宋体"/>
                <w:b/>
                <w:kern w:val="2"/>
                <w:highlight w:val="none"/>
              </w:rPr>
              <w:t>分值</w:t>
            </w:r>
          </w:p>
        </w:tc>
        <w:tc>
          <w:tcPr>
            <w:tcW w:w="708" w:type="dxa"/>
            <w:vAlign w:val="center"/>
          </w:tcPr>
          <w:p>
            <w:pPr>
              <w:widowControl w:val="0"/>
              <w:shd w:val="clear"/>
              <w:spacing w:before="0" w:after="0" w:afterAutospacing="0" w:line="240" w:lineRule="auto"/>
              <w:ind w:left="0" w:right="0" w:firstLine="0"/>
              <w:jc w:val="center"/>
              <w:rPr>
                <w:rFonts w:ascii="宋体" w:hAnsi="宋体"/>
                <w:b/>
                <w:kern w:val="2"/>
                <w:highlight w:val="none"/>
              </w:rPr>
            </w:pPr>
            <w:r>
              <w:rPr>
                <w:rFonts w:ascii="宋体" w:hAnsi="宋体"/>
                <w:b/>
                <w:kern w:val="2"/>
                <w:highlight w:val="none"/>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54" w:hRule="exact"/>
          <w:jc w:val="center"/>
        </w:trPr>
        <w:tc>
          <w:tcPr>
            <w:tcW w:w="650" w:type="dxa"/>
            <w:vAlign w:val="center"/>
          </w:tcPr>
          <w:p>
            <w:pPr>
              <w:widowControl w:val="0"/>
              <w:shd w:val="clear"/>
              <w:spacing w:before="0" w:after="0" w:afterAutospacing="0" w:line="240" w:lineRule="auto"/>
              <w:ind w:left="0" w:right="0" w:firstLine="0"/>
              <w:jc w:val="center"/>
              <w:rPr>
                <w:rFonts w:ascii="宋体" w:hAnsi="宋体"/>
                <w:kern w:val="2"/>
                <w:highlight w:val="none"/>
              </w:rPr>
            </w:pPr>
            <w:r>
              <w:rPr>
                <w:rFonts w:hint="eastAsia" w:ascii="宋体" w:hAnsi="宋体"/>
                <w:kern w:val="2"/>
                <w:highlight w:val="none"/>
              </w:rPr>
              <w:t>1</w:t>
            </w:r>
          </w:p>
        </w:tc>
        <w:tc>
          <w:tcPr>
            <w:tcW w:w="1104" w:type="dxa"/>
            <w:vAlign w:val="center"/>
          </w:tcPr>
          <w:p>
            <w:pPr>
              <w:widowControl w:val="0"/>
              <w:shd w:val="clear"/>
              <w:spacing w:before="0" w:after="0" w:afterAutospacing="0"/>
              <w:ind w:left="0" w:right="0" w:firstLine="0"/>
              <w:jc w:val="left"/>
              <w:rPr>
                <w:rFonts w:ascii="宋体" w:hAnsi="宋体"/>
                <w:kern w:val="2"/>
                <w:highlight w:val="none"/>
              </w:rPr>
            </w:pPr>
            <w:r>
              <w:rPr>
                <w:rFonts w:hint="eastAsia" w:ascii="宋体" w:hAnsi="宋体"/>
                <w:kern w:val="2"/>
                <w:highlight w:val="none"/>
              </w:rPr>
              <w:t>比选报价</w:t>
            </w:r>
          </w:p>
        </w:tc>
        <w:tc>
          <w:tcPr>
            <w:tcW w:w="3032" w:type="dxa"/>
            <w:vAlign w:val="center"/>
          </w:tcPr>
          <w:p>
            <w:pPr>
              <w:widowControl w:val="0"/>
              <w:shd w:val="clear"/>
              <w:snapToGrid w:val="0"/>
              <w:ind w:left="0" w:firstLine="0"/>
              <w:jc w:val="left"/>
              <w:rPr>
                <w:rFonts w:ascii="宋体" w:hAnsi="宋体"/>
                <w:b/>
                <w:kern w:val="2"/>
                <w:highlight w:val="none"/>
              </w:rPr>
            </w:pPr>
            <w:r>
              <w:rPr>
                <w:rFonts w:hint="eastAsia" w:ascii="宋体" w:hAnsi="宋体"/>
                <w:b/>
                <w:kern w:val="2"/>
                <w:highlight w:val="none"/>
              </w:rPr>
              <w:t>进入商务文件评审的比选申请</w:t>
            </w:r>
            <w:r>
              <w:rPr>
                <w:rFonts w:hint="eastAsia" w:ascii="宋体" w:hAnsi="宋体"/>
                <w:b/>
                <w:kern w:val="2"/>
                <w:highlight w:val="none"/>
              </w:rPr>
              <w:br w:type="textWrapping"/>
            </w:r>
            <w:r>
              <w:rPr>
                <w:rFonts w:hint="eastAsia" w:ascii="宋体" w:hAnsi="宋体"/>
                <w:b/>
                <w:kern w:val="2"/>
                <w:highlight w:val="none"/>
              </w:rPr>
              <w:t>人才能进行价格分评审。</w:t>
            </w:r>
          </w:p>
          <w:p>
            <w:pPr>
              <w:widowControl w:val="0"/>
              <w:shd w:val="clear"/>
              <w:spacing w:before="0" w:after="0" w:afterAutospacing="0"/>
              <w:ind w:left="0" w:right="0" w:firstLine="420" w:firstLineChars="200"/>
              <w:jc w:val="left"/>
              <w:rPr>
                <w:rFonts w:ascii="宋体" w:hAnsi="宋体"/>
                <w:kern w:val="2"/>
                <w:highlight w:val="none"/>
              </w:rPr>
            </w:pPr>
            <w:r>
              <w:rPr>
                <w:rFonts w:hint="eastAsia" w:ascii="宋体" w:hAnsi="宋体" w:cs="宋体"/>
                <w:kern w:val="2"/>
                <w:szCs w:val="24"/>
                <w:highlight w:val="none"/>
              </w:rPr>
              <w:t>以</w:t>
            </w:r>
            <w:r>
              <w:rPr>
                <w:rFonts w:hint="eastAsia" w:ascii="宋体" w:hAnsi="宋体"/>
                <w:kern w:val="2"/>
                <w:highlight w:val="none"/>
              </w:rPr>
              <w:t>进入商务文件评审、</w:t>
            </w:r>
            <w:r>
              <w:rPr>
                <w:rFonts w:hint="eastAsia" w:ascii="宋体" w:hAnsi="宋体" w:cs="宋体"/>
                <w:kern w:val="2"/>
                <w:szCs w:val="24"/>
                <w:highlight w:val="none"/>
              </w:rPr>
              <w:t>满足比选文件要求且评比报价最低的报价为评比基准价。</w:t>
            </w:r>
          </w:p>
        </w:tc>
        <w:tc>
          <w:tcPr>
            <w:tcW w:w="2977" w:type="dxa"/>
            <w:vAlign w:val="center"/>
          </w:tcPr>
          <w:p>
            <w:pPr>
              <w:widowControl w:val="0"/>
              <w:shd w:val="clear"/>
              <w:spacing w:before="0" w:after="0" w:afterAutospacing="0"/>
              <w:ind w:left="0" w:right="0" w:firstLine="420" w:firstLineChars="200"/>
              <w:jc w:val="left"/>
              <w:rPr>
                <w:rFonts w:ascii="宋体" w:hAnsi="宋体"/>
                <w:kern w:val="2"/>
                <w:highlight w:val="none"/>
              </w:rPr>
            </w:pPr>
            <w:r>
              <w:rPr>
                <w:rFonts w:hint="eastAsia" w:ascii="宋体" w:hAnsi="宋体" w:cs="宋体"/>
                <w:kern w:val="2"/>
                <w:szCs w:val="24"/>
                <w:highlight w:val="none"/>
              </w:rPr>
              <w:t>等于评比基准价的价格分为满分40分。其他</w:t>
            </w:r>
            <w:r>
              <w:rPr>
                <w:rFonts w:hint="eastAsia" w:ascii="宋体" w:hAnsi="宋体"/>
                <w:kern w:val="2"/>
                <w:highlight w:val="none"/>
              </w:rPr>
              <w:t>进入商务文件评审</w:t>
            </w:r>
            <w:r>
              <w:rPr>
                <w:rFonts w:hint="eastAsia" w:ascii="宋体" w:hAnsi="宋体" w:cs="宋体"/>
                <w:kern w:val="2"/>
                <w:szCs w:val="24"/>
                <w:highlight w:val="none"/>
              </w:rPr>
              <w:t>比选人的价格分统一按照下列公式计算：</w:t>
            </w:r>
            <w:r>
              <w:rPr>
                <w:rFonts w:hint="eastAsia" w:ascii="Calibri" w:hAnsi="宋体"/>
                <w:kern w:val="2"/>
                <w:szCs w:val="24"/>
                <w:highlight w:val="none"/>
              </w:rPr>
              <w:t>某比选人价格分＝评比基准价/</w:t>
            </w:r>
            <w:r>
              <w:rPr>
                <w:rFonts w:hint="eastAsia" w:ascii="宋体" w:hAnsi="宋体"/>
                <w:kern w:val="2"/>
                <w:highlight w:val="none"/>
              </w:rPr>
              <w:t>进入商务文件评审的</w:t>
            </w:r>
            <w:r>
              <w:rPr>
                <w:rFonts w:hint="eastAsia" w:ascii="Calibri" w:hAnsi="宋体"/>
                <w:kern w:val="2"/>
                <w:szCs w:val="24"/>
                <w:highlight w:val="none"/>
              </w:rPr>
              <w:t>某比选人评比报价×40分。</w:t>
            </w:r>
          </w:p>
        </w:tc>
        <w:tc>
          <w:tcPr>
            <w:tcW w:w="1129" w:type="dxa"/>
            <w:vAlign w:val="center"/>
          </w:tcPr>
          <w:p>
            <w:pPr>
              <w:widowControl w:val="0"/>
              <w:shd w:val="clear"/>
              <w:spacing w:before="0" w:after="0" w:afterAutospacing="0"/>
              <w:ind w:left="0" w:right="0" w:firstLine="0"/>
              <w:rPr>
                <w:rFonts w:ascii="宋体" w:hAnsi="宋体"/>
                <w:kern w:val="2"/>
                <w:highlight w:val="none"/>
              </w:rPr>
            </w:pPr>
            <w:r>
              <w:rPr>
                <w:rFonts w:ascii="宋体" w:hAnsi="宋体"/>
                <w:kern w:val="2"/>
                <w:highlight w:val="none"/>
              </w:rPr>
              <w:t>0</w:t>
            </w:r>
            <w:r>
              <w:rPr>
                <w:rFonts w:hint="eastAsia" w:ascii="宋体" w:hAnsi="宋体"/>
                <w:kern w:val="2"/>
                <w:highlight w:val="none"/>
              </w:rPr>
              <w:t>≤</w:t>
            </w:r>
            <w:r>
              <w:rPr>
                <w:rFonts w:ascii="宋体" w:hAnsi="宋体"/>
                <w:kern w:val="2"/>
                <w:highlight w:val="none"/>
              </w:rPr>
              <w:t>m</w:t>
            </w:r>
            <w:r>
              <w:rPr>
                <w:rFonts w:hint="eastAsia" w:ascii="宋体" w:hAnsi="宋体"/>
                <w:kern w:val="2"/>
                <w:highlight w:val="none"/>
              </w:rPr>
              <w:t>≤40</w:t>
            </w:r>
          </w:p>
        </w:tc>
        <w:tc>
          <w:tcPr>
            <w:tcW w:w="708" w:type="dxa"/>
            <w:vAlign w:val="center"/>
          </w:tcPr>
          <w:p>
            <w:pPr>
              <w:widowControl w:val="0"/>
              <w:shd w:val="clear"/>
              <w:spacing w:before="0" w:after="0" w:afterAutospacing="0"/>
              <w:ind w:left="0" w:right="0" w:firstLine="420" w:firstLineChars="200"/>
              <w:rPr>
                <w:rFonts w:ascii="宋体" w:hAnsi="宋体"/>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46" w:hRule="exact"/>
          <w:jc w:val="center"/>
        </w:trPr>
        <w:tc>
          <w:tcPr>
            <w:tcW w:w="1754" w:type="dxa"/>
            <w:gridSpan w:val="2"/>
          </w:tcPr>
          <w:p>
            <w:pPr>
              <w:widowControl w:val="0"/>
              <w:shd w:val="clear"/>
              <w:spacing w:before="0" w:after="0" w:afterAutospacing="0"/>
              <w:ind w:left="0" w:right="0" w:firstLine="420" w:firstLineChars="200"/>
              <w:rPr>
                <w:rFonts w:ascii="宋体" w:hAnsi="宋体"/>
                <w:kern w:val="2"/>
                <w:highlight w:val="none"/>
              </w:rPr>
            </w:pPr>
          </w:p>
        </w:tc>
        <w:tc>
          <w:tcPr>
            <w:tcW w:w="3032" w:type="dxa"/>
          </w:tcPr>
          <w:p>
            <w:pPr>
              <w:widowControl w:val="0"/>
              <w:shd w:val="clear"/>
              <w:spacing w:before="0" w:after="0" w:afterAutospacing="0"/>
              <w:ind w:left="0" w:right="0" w:firstLine="420" w:firstLineChars="200"/>
              <w:rPr>
                <w:rFonts w:ascii="宋体" w:hAnsi="宋体"/>
                <w:kern w:val="2"/>
                <w:highlight w:val="none"/>
              </w:rPr>
            </w:pPr>
          </w:p>
        </w:tc>
        <w:tc>
          <w:tcPr>
            <w:tcW w:w="2977" w:type="dxa"/>
            <w:vAlign w:val="center"/>
          </w:tcPr>
          <w:p>
            <w:pPr>
              <w:widowControl w:val="0"/>
              <w:shd w:val="clear"/>
              <w:spacing w:before="0" w:after="0" w:afterAutospacing="0" w:line="240" w:lineRule="auto"/>
              <w:ind w:left="0" w:right="0" w:firstLine="0"/>
              <w:jc w:val="center"/>
              <w:rPr>
                <w:rFonts w:ascii="宋体" w:hAnsi="宋体"/>
                <w:kern w:val="2"/>
                <w:highlight w:val="none"/>
              </w:rPr>
            </w:pPr>
            <w:r>
              <w:rPr>
                <w:rFonts w:hint="eastAsia" w:ascii="宋体" w:hAnsi="宋体"/>
                <w:kern w:val="2"/>
                <w:highlight w:val="none"/>
              </w:rPr>
              <w:t>40</w:t>
            </w:r>
          </w:p>
        </w:tc>
        <w:tc>
          <w:tcPr>
            <w:tcW w:w="1129" w:type="dxa"/>
            <w:vAlign w:val="center"/>
          </w:tcPr>
          <w:p>
            <w:pPr>
              <w:widowControl w:val="0"/>
              <w:shd w:val="clear"/>
              <w:spacing w:before="0" w:after="0" w:afterAutospacing="0"/>
              <w:ind w:left="0" w:right="0" w:firstLine="420" w:firstLineChars="200"/>
              <w:jc w:val="center"/>
              <w:rPr>
                <w:rFonts w:ascii="宋体" w:hAnsi="宋体"/>
                <w:kern w:val="2"/>
                <w:highlight w:val="none"/>
              </w:rPr>
            </w:pPr>
          </w:p>
        </w:tc>
        <w:tc>
          <w:tcPr>
            <w:tcW w:w="708" w:type="dxa"/>
          </w:tcPr>
          <w:p>
            <w:pPr>
              <w:widowControl w:val="0"/>
              <w:shd w:val="clear"/>
              <w:spacing w:before="0" w:after="0" w:afterAutospacing="0"/>
              <w:ind w:left="0" w:right="0" w:firstLine="420" w:firstLineChars="200"/>
              <w:rPr>
                <w:rFonts w:ascii="宋体" w:hAnsi="宋体"/>
                <w:kern w:val="2"/>
                <w:highlight w:val="none"/>
              </w:rPr>
            </w:pPr>
          </w:p>
        </w:tc>
      </w:tr>
    </w:tbl>
    <w:p>
      <w:pPr>
        <w:widowControl w:val="0"/>
        <w:shd w:val="clear"/>
        <w:spacing w:before="0" w:after="0" w:afterAutospacing="0"/>
        <w:ind w:left="869" w:leftChars="414" w:right="0" w:firstLine="2433" w:firstLineChars="1159"/>
        <w:rPr>
          <w:rFonts w:ascii="宋体" w:hAnsi="宋体"/>
          <w:kern w:val="2"/>
          <w:highlight w:val="none"/>
        </w:rPr>
      </w:pPr>
    </w:p>
    <w:p>
      <w:pPr>
        <w:widowControl w:val="0"/>
        <w:shd w:val="clear"/>
        <w:spacing w:before="0" w:after="0" w:afterAutospacing="0"/>
        <w:ind w:left="0" w:right="0" w:firstLine="0"/>
        <w:rPr>
          <w:rFonts w:ascii="Calibri" w:hAnsi="宋体"/>
          <w:bCs/>
          <w:kern w:val="2"/>
          <w:highlight w:val="none"/>
        </w:rPr>
        <w:sectPr>
          <w:headerReference r:id="rId16" w:type="default"/>
          <w:footerReference r:id="rId17" w:type="default"/>
          <w:pgSz w:w="11905" w:h="16838"/>
          <w:pgMar w:top="1418" w:right="1418" w:bottom="1304" w:left="1418" w:header="454" w:footer="567" w:gutter="0"/>
          <w:pgNumType w:fmt="decimal"/>
          <w:cols w:space="720" w:num="1"/>
          <w:docGrid w:linePitch="312" w:charSpace="0"/>
        </w:sectPr>
      </w:pPr>
      <w:r>
        <w:rPr>
          <w:rFonts w:hint="eastAsia" w:ascii="Calibri" w:hAnsi="宋体"/>
          <w:bCs/>
          <w:kern w:val="2"/>
          <w:highlight w:val="none"/>
        </w:rPr>
        <w:t>注：比选报价如有修正，需填写附表《比选报价修正表》并由比选人代表签字确认。</w:t>
      </w:r>
    </w:p>
    <w:p>
      <w:pPr>
        <w:widowControl w:val="0"/>
        <w:shd w:val="clear"/>
        <w:spacing w:before="0" w:after="0" w:afterAutospacing="0"/>
        <w:ind w:left="0" w:right="0" w:firstLine="0"/>
        <w:rPr>
          <w:rFonts w:ascii="Calibri" w:hAnsi="宋体"/>
          <w:bCs/>
          <w:kern w:val="2"/>
          <w:highlight w:val="none"/>
        </w:rPr>
      </w:pPr>
    </w:p>
    <w:p>
      <w:pPr>
        <w:pStyle w:val="4"/>
        <w:shd w:val="clear"/>
        <w:ind w:left="0" w:firstLine="0"/>
        <w:rPr>
          <w:sz w:val="21"/>
          <w:szCs w:val="21"/>
          <w:highlight w:val="none"/>
        </w:rPr>
      </w:pPr>
      <w:bookmarkStart w:id="2225" w:name="_Toc47864327"/>
      <w:bookmarkStart w:id="2226" w:name="_Toc474847277"/>
      <w:r>
        <w:rPr>
          <w:sz w:val="21"/>
          <w:szCs w:val="21"/>
          <w:highlight w:val="none"/>
        </w:rPr>
        <w:t>附表</w:t>
      </w:r>
      <w:r>
        <w:rPr>
          <w:rFonts w:hint="eastAsia"/>
          <w:sz w:val="21"/>
          <w:szCs w:val="21"/>
          <w:highlight w:val="none"/>
        </w:rPr>
        <w:t xml:space="preserve">五 </w:t>
      </w:r>
      <w:r>
        <w:rPr>
          <w:sz w:val="21"/>
          <w:szCs w:val="21"/>
          <w:highlight w:val="none"/>
        </w:rPr>
        <w:t xml:space="preserve"> 综合</w:t>
      </w:r>
      <w:r>
        <w:rPr>
          <w:rFonts w:hint="eastAsia"/>
          <w:sz w:val="21"/>
          <w:szCs w:val="21"/>
          <w:highlight w:val="none"/>
        </w:rPr>
        <w:t>评审</w:t>
      </w:r>
      <w:r>
        <w:rPr>
          <w:sz w:val="21"/>
          <w:szCs w:val="21"/>
          <w:highlight w:val="none"/>
        </w:rPr>
        <w:t>得分表</w:t>
      </w:r>
      <w:bookmarkEnd w:id="2225"/>
      <w:bookmarkEnd w:id="2226"/>
    </w:p>
    <w:p>
      <w:pPr>
        <w:shd w:val="clear"/>
        <w:jc w:val="center"/>
        <w:rPr>
          <w:b/>
          <w:bCs/>
          <w:sz w:val="24"/>
          <w:szCs w:val="24"/>
          <w:highlight w:val="none"/>
        </w:rPr>
      </w:pPr>
      <w:r>
        <w:rPr>
          <w:b/>
          <w:bCs/>
          <w:sz w:val="24"/>
          <w:szCs w:val="24"/>
          <w:highlight w:val="none"/>
        </w:rPr>
        <w:t>综合</w:t>
      </w:r>
      <w:r>
        <w:rPr>
          <w:rFonts w:hint="eastAsia"/>
          <w:b/>
          <w:bCs/>
          <w:sz w:val="24"/>
          <w:szCs w:val="24"/>
          <w:highlight w:val="none"/>
        </w:rPr>
        <w:t>评审</w:t>
      </w:r>
      <w:r>
        <w:rPr>
          <w:b/>
          <w:bCs/>
          <w:sz w:val="24"/>
          <w:szCs w:val="24"/>
          <w:highlight w:val="none"/>
        </w:rPr>
        <w:t>得分表</w:t>
      </w:r>
    </w:p>
    <w:tbl>
      <w:tblPr>
        <w:tblStyle w:val="28"/>
        <w:tblW w:w="850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64"/>
        <w:gridCol w:w="2607"/>
        <w:gridCol w:w="2016"/>
        <w:gridCol w:w="29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233" w:hRule="atLeast"/>
          <w:jc w:val="center"/>
        </w:trPr>
        <w:tc>
          <w:tcPr>
            <w:tcW w:w="964" w:type="dxa"/>
            <w:vAlign w:val="center"/>
          </w:tcPr>
          <w:p>
            <w:pPr>
              <w:widowControl w:val="0"/>
              <w:shd w:val="clear"/>
              <w:spacing w:before="0" w:after="0" w:afterAutospacing="0" w:line="240" w:lineRule="auto"/>
              <w:ind w:left="0" w:right="0" w:firstLine="0"/>
              <w:jc w:val="center"/>
              <w:rPr>
                <w:rFonts w:ascii="宋体" w:hAnsi="宋体"/>
                <w:kern w:val="2"/>
                <w:highlight w:val="none"/>
              </w:rPr>
            </w:pPr>
            <w:r>
              <w:rPr>
                <w:rFonts w:ascii="宋体" w:hAnsi="宋体"/>
                <w:kern w:val="2"/>
                <w:highlight w:val="none"/>
              </w:rPr>
              <w:t>序号</w:t>
            </w:r>
          </w:p>
        </w:tc>
        <w:tc>
          <w:tcPr>
            <w:tcW w:w="2607" w:type="dxa"/>
            <w:vAlign w:val="center"/>
          </w:tcPr>
          <w:p>
            <w:pPr>
              <w:widowControl w:val="0"/>
              <w:shd w:val="clear"/>
              <w:spacing w:before="0" w:after="0" w:afterAutospacing="0" w:line="240" w:lineRule="auto"/>
              <w:ind w:left="0" w:right="0" w:firstLine="0"/>
              <w:jc w:val="center"/>
              <w:rPr>
                <w:rFonts w:ascii="宋体" w:hAnsi="宋体"/>
                <w:kern w:val="2"/>
                <w:highlight w:val="none"/>
              </w:rPr>
            </w:pPr>
            <w:r>
              <w:rPr>
                <w:rFonts w:ascii="宋体" w:hAnsi="宋体"/>
                <w:kern w:val="2"/>
                <w:highlight w:val="none"/>
              </w:rPr>
              <w:t>项　目</w:t>
            </w:r>
          </w:p>
        </w:tc>
        <w:tc>
          <w:tcPr>
            <w:tcW w:w="2016" w:type="dxa"/>
            <w:vAlign w:val="center"/>
          </w:tcPr>
          <w:p>
            <w:pPr>
              <w:widowControl w:val="0"/>
              <w:shd w:val="clear"/>
              <w:spacing w:before="0" w:after="0" w:afterAutospacing="0" w:line="240" w:lineRule="auto"/>
              <w:ind w:left="0" w:right="0" w:firstLine="0"/>
              <w:jc w:val="center"/>
              <w:rPr>
                <w:rFonts w:ascii="宋体" w:hAnsi="宋体"/>
                <w:kern w:val="2"/>
                <w:highlight w:val="none"/>
              </w:rPr>
            </w:pPr>
            <w:r>
              <w:rPr>
                <w:rFonts w:hint="eastAsia" w:ascii="宋体" w:hAnsi="宋体"/>
                <w:kern w:val="2"/>
                <w:highlight w:val="none"/>
              </w:rPr>
              <w:t>满分</w:t>
            </w:r>
          </w:p>
        </w:tc>
        <w:tc>
          <w:tcPr>
            <w:tcW w:w="2916" w:type="dxa"/>
            <w:vAlign w:val="center"/>
          </w:tcPr>
          <w:p>
            <w:pPr>
              <w:widowControl w:val="0"/>
              <w:shd w:val="clear"/>
              <w:spacing w:before="0" w:after="0" w:afterAutospacing="0" w:line="240" w:lineRule="auto"/>
              <w:ind w:left="0" w:right="0" w:firstLine="0"/>
              <w:jc w:val="center"/>
              <w:rPr>
                <w:rFonts w:ascii="宋体" w:hAnsi="宋体"/>
                <w:kern w:val="2"/>
                <w:highlight w:val="none"/>
              </w:rPr>
            </w:pPr>
            <w:r>
              <w:rPr>
                <w:rFonts w:ascii="宋体" w:hAnsi="宋体"/>
                <w:kern w:val="2"/>
                <w:highlight w:val="none"/>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233" w:hRule="atLeast"/>
          <w:jc w:val="center"/>
        </w:trPr>
        <w:tc>
          <w:tcPr>
            <w:tcW w:w="964" w:type="dxa"/>
            <w:vAlign w:val="center"/>
          </w:tcPr>
          <w:p>
            <w:pPr>
              <w:widowControl w:val="0"/>
              <w:shd w:val="clear"/>
              <w:spacing w:before="0" w:after="0" w:afterAutospacing="0" w:line="240" w:lineRule="auto"/>
              <w:ind w:left="0" w:right="0" w:firstLine="0"/>
              <w:jc w:val="center"/>
              <w:rPr>
                <w:rFonts w:ascii="宋体" w:hAnsi="宋体"/>
                <w:kern w:val="2"/>
                <w:highlight w:val="none"/>
              </w:rPr>
            </w:pPr>
            <w:r>
              <w:rPr>
                <w:rFonts w:hint="eastAsia" w:ascii="宋体" w:hAnsi="宋体"/>
                <w:kern w:val="2"/>
                <w:highlight w:val="none"/>
              </w:rPr>
              <w:t>1</w:t>
            </w:r>
          </w:p>
        </w:tc>
        <w:tc>
          <w:tcPr>
            <w:tcW w:w="2607" w:type="dxa"/>
            <w:vAlign w:val="center"/>
          </w:tcPr>
          <w:p>
            <w:pPr>
              <w:widowControl w:val="0"/>
              <w:shd w:val="clear"/>
              <w:spacing w:before="0" w:after="0" w:afterAutospacing="0" w:line="240" w:lineRule="auto"/>
              <w:ind w:left="0" w:right="0" w:firstLine="0"/>
              <w:jc w:val="center"/>
              <w:rPr>
                <w:rFonts w:ascii="宋体" w:hAnsi="宋体"/>
                <w:kern w:val="2"/>
                <w:highlight w:val="none"/>
              </w:rPr>
            </w:pPr>
            <w:r>
              <w:rPr>
                <w:rFonts w:ascii="宋体" w:hAnsi="宋体"/>
                <w:kern w:val="2"/>
                <w:highlight w:val="none"/>
              </w:rPr>
              <w:t>技术</w:t>
            </w:r>
            <w:r>
              <w:rPr>
                <w:rFonts w:hint="eastAsia" w:ascii="宋体" w:hAnsi="宋体"/>
                <w:kern w:val="2"/>
                <w:highlight w:val="none"/>
              </w:rPr>
              <w:t>文件</w:t>
            </w:r>
            <w:r>
              <w:rPr>
                <w:rFonts w:ascii="宋体" w:hAnsi="宋体"/>
                <w:kern w:val="2"/>
                <w:highlight w:val="none"/>
              </w:rPr>
              <w:t>得分</w:t>
            </w:r>
          </w:p>
        </w:tc>
        <w:tc>
          <w:tcPr>
            <w:tcW w:w="2016" w:type="dxa"/>
            <w:vAlign w:val="center"/>
          </w:tcPr>
          <w:p>
            <w:pPr>
              <w:widowControl w:val="0"/>
              <w:shd w:val="clear"/>
              <w:spacing w:before="0" w:after="0" w:afterAutospacing="0" w:line="240" w:lineRule="auto"/>
              <w:ind w:left="0" w:right="0" w:firstLine="0"/>
              <w:jc w:val="center"/>
              <w:rPr>
                <w:rFonts w:ascii="宋体" w:hAnsi="宋体"/>
                <w:kern w:val="2"/>
                <w:highlight w:val="none"/>
              </w:rPr>
            </w:pPr>
            <w:r>
              <w:rPr>
                <w:rFonts w:hint="eastAsia" w:ascii="宋体" w:hAnsi="宋体"/>
                <w:kern w:val="2"/>
                <w:highlight w:val="none"/>
              </w:rPr>
              <w:t>60</w:t>
            </w:r>
          </w:p>
        </w:tc>
        <w:tc>
          <w:tcPr>
            <w:tcW w:w="2916" w:type="dxa"/>
            <w:vAlign w:val="center"/>
          </w:tcPr>
          <w:p>
            <w:pPr>
              <w:widowControl w:val="0"/>
              <w:shd w:val="clear"/>
              <w:spacing w:before="0" w:after="0" w:afterAutospacing="0" w:line="240" w:lineRule="auto"/>
              <w:ind w:left="0" w:right="0" w:firstLine="420" w:firstLineChars="200"/>
              <w:jc w:val="center"/>
              <w:rPr>
                <w:rFonts w:ascii="宋体" w:hAnsi="宋体"/>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233" w:hRule="atLeast"/>
          <w:jc w:val="center"/>
        </w:trPr>
        <w:tc>
          <w:tcPr>
            <w:tcW w:w="964" w:type="dxa"/>
            <w:vAlign w:val="center"/>
          </w:tcPr>
          <w:p>
            <w:pPr>
              <w:widowControl w:val="0"/>
              <w:shd w:val="clear"/>
              <w:spacing w:before="0" w:after="0" w:afterAutospacing="0" w:line="240" w:lineRule="auto"/>
              <w:ind w:left="0" w:right="0" w:firstLine="0"/>
              <w:jc w:val="center"/>
              <w:rPr>
                <w:rFonts w:ascii="宋体" w:hAnsi="宋体"/>
                <w:kern w:val="2"/>
                <w:highlight w:val="none"/>
              </w:rPr>
            </w:pPr>
            <w:r>
              <w:rPr>
                <w:rFonts w:hint="eastAsia" w:ascii="宋体" w:hAnsi="宋体"/>
                <w:kern w:val="2"/>
                <w:highlight w:val="none"/>
              </w:rPr>
              <w:t>2</w:t>
            </w:r>
          </w:p>
        </w:tc>
        <w:tc>
          <w:tcPr>
            <w:tcW w:w="2607" w:type="dxa"/>
            <w:vAlign w:val="center"/>
          </w:tcPr>
          <w:p>
            <w:pPr>
              <w:widowControl w:val="0"/>
              <w:shd w:val="clear"/>
              <w:spacing w:before="0" w:after="0" w:afterAutospacing="0" w:line="240" w:lineRule="auto"/>
              <w:ind w:left="0" w:right="0" w:firstLine="0"/>
              <w:jc w:val="center"/>
              <w:rPr>
                <w:rFonts w:ascii="宋体" w:hAnsi="宋体"/>
                <w:kern w:val="2"/>
                <w:highlight w:val="none"/>
              </w:rPr>
            </w:pPr>
            <w:r>
              <w:rPr>
                <w:rFonts w:hint="eastAsia" w:ascii="宋体" w:hAnsi="宋体"/>
                <w:kern w:val="2"/>
                <w:highlight w:val="none"/>
              </w:rPr>
              <w:t>比选报价得分</w:t>
            </w:r>
          </w:p>
        </w:tc>
        <w:tc>
          <w:tcPr>
            <w:tcW w:w="2016" w:type="dxa"/>
            <w:vAlign w:val="center"/>
          </w:tcPr>
          <w:p>
            <w:pPr>
              <w:widowControl w:val="0"/>
              <w:shd w:val="clear"/>
              <w:spacing w:before="0" w:after="0" w:afterAutospacing="0" w:line="240" w:lineRule="auto"/>
              <w:ind w:left="0" w:right="0" w:firstLine="0"/>
              <w:jc w:val="center"/>
              <w:rPr>
                <w:rFonts w:ascii="宋体" w:hAnsi="宋体"/>
                <w:kern w:val="2"/>
                <w:highlight w:val="none"/>
              </w:rPr>
            </w:pPr>
            <w:r>
              <w:rPr>
                <w:rFonts w:hint="eastAsia" w:ascii="宋体" w:hAnsi="宋体"/>
                <w:kern w:val="2"/>
                <w:highlight w:val="none"/>
              </w:rPr>
              <w:t>40</w:t>
            </w:r>
          </w:p>
        </w:tc>
        <w:tc>
          <w:tcPr>
            <w:tcW w:w="2916" w:type="dxa"/>
            <w:vAlign w:val="center"/>
          </w:tcPr>
          <w:p>
            <w:pPr>
              <w:widowControl w:val="0"/>
              <w:shd w:val="clear"/>
              <w:spacing w:before="0" w:after="0" w:afterAutospacing="0" w:line="240" w:lineRule="auto"/>
              <w:ind w:left="0" w:right="0" w:firstLine="420" w:firstLineChars="200"/>
              <w:jc w:val="center"/>
              <w:rPr>
                <w:rFonts w:ascii="宋体" w:hAnsi="宋体"/>
                <w:kern w:val="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233" w:hRule="atLeast"/>
          <w:jc w:val="center"/>
        </w:trPr>
        <w:tc>
          <w:tcPr>
            <w:tcW w:w="5587" w:type="dxa"/>
            <w:gridSpan w:val="3"/>
            <w:vAlign w:val="center"/>
          </w:tcPr>
          <w:p>
            <w:pPr>
              <w:widowControl w:val="0"/>
              <w:shd w:val="clear"/>
              <w:spacing w:before="0" w:after="0" w:afterAutospacing="0" w:line="240" w:lineRule="auto"/>
              <w:ind w:left="0" w:right="0" w:firstLine="0"/>
              <w:jc w:val="center"/>
              <w:rPr>
                <w:rFonts w:ascii="宋体" w:hAnsi="宋体"/>
                <w:kern w:val="2"/>
                <w:highlight w:val="none"/>
              </w:rPr>
            </w:pPr>
            <w:r>
              <w:rPr>
                <w:rFonts w:ascii="宋体" w:hAnsi="宋体"/>
                <w:kern w:val="2"/>
                <w:highlight w:val="none"/>
              </w:rPr>
              <w:t>最终得分（合计）</w:t>
            </w:r>
          </w:p>
        </w:tc>
        <w:tc>
          <w:tcPr>
            <w:tcW w:w="2916" w:type="dxa"/>
            <w:vAlign w:val="center"/>
          </w:tcPr>
          <w:p>
            <w:pPr>
              <w:widowControl w:val="0"/>
              <w:shd w:val="clear"/>
              <w:spacing w:before="0" w:after="0" w:afterAutospacing="0" w:line="240" w:lineRule="auto"/>
              <w:ind w:left="0" w:right="0" w:firstLine="420" w:firstLineChars="200"/>
              <w:jc w:val="center"/>
              <w:rPr>
                <w:rFonts w:ascii="宋体" w:hAnsi="宋体"/>
                <w:kern w:val="2"/>
                <w:highlight w:val="none"/>
              </w:rPr>
            </w:pPr>
          </w:p>
        </w:tc>
      </w:tr>
    </w:tbl>
    <w:p>
      <w:pPr>
        <w:widowControl w:val="0"/>
        <w:shd w:val="clear"/>
        <w:spacing w:before="0" w:after="0" w:afterAutospacing="0"/>
        <w:ind w:left="0" w:right="0" w:firstLine="0"/>
        <w:rPr>
          <w:rFonts w:ascii="Calibri" w:hAnsi="宋体"/>
          <w:bCs/>
          <w:kern w:val="2"/>
          <w:highlight w:val="none"/>
        </w:rPr>
        <w:sectPr>
          <w:pgSz w:w="11905" w:h="16838"/>
          <w:pgMar w:top="1418" w:right="1418" w:bottom="1304" w:left="1418" w:header="454" w:footer="567" w:gutter="0"/>
          <w:pgNumType w:fmt="decimal"/>
          <w:cols w:space="720" w:num="1"/>
          <w:docGrid w:linePitch="312" w:charSpace="0"/>
        </w:sectPr>
      </w:pPr>
    </w:p>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p>
      <w:pPr>
        <w:pStyle w:val="4"/>
        <w:shd w:val="clear"/>
        <w:spacing w:after="0" w:line="360" w:lineRule="auto"/>
        <w:ind w:right="-57" w:firstLine="0"/>
        <w:rPr>
          <w:b w:val="0"/>
          <w:highlight w:val="none"/>
        </w:rPr>
      </w:pPr>
      <w:bookmarkStart w:id="2227" w:name="_Toc10414"/>
      <w:bookmarkStart w:id="2228" w:name="_Toc27431"/>
      <w:bookmarkStart w:id="2229" w:name="_Toc32725"/>
      <w:bookmarkStart w:id="2230" w:name="_Toc20211"/>
      <w:bookmarkStart w:id="2231" w:name="_Toc10654"/>
      <w:bookmarkStart w:id="2232" w:name="_Toc6932"/>
      <w:bookmarkStart w:id="2233" w:name="_Toc4223"/>
      <w:bookmarkStart w:id="2234" w:name="_Toc1145"/>
      <w:bookmarkStart w:id="2235" w:name="_Toc492478858"/>
      <w:bookmarkStart w:id="2236" w:name="_Toc11048"/>
      <w:bookmarkStart w:id="2237" w:name="_Toc9220"/>
      <w:bookmarkStart w:id="2238" w:name="_Toc8803"/>
      <w:bookmarkStart w:id="2239" w:name="_Toc22896"/>
      <w:bookmarkStart w:id="2240" w:name="_Toc22594"/>
      <w:bookmarkStart w:id="2241" w:name="_Toc414290588"/>
      <w:bookmarkStart w:id="2242" w:name="_Toc24793"/>
      <w:bookmarkStart w:id="2243" w:name="_Toc21541"/>
      <w:bookmarkStart w:id="2244" w:name="_Toc6960"/>
      <w:bookmarkStart w:id="2245" w:name="_Toc1480"/>
      <w:r>
        <w:rPr>
          <w:rFonts w:hint="eastAsia"/>
          <w:sz w:val="21"/>
          <w:szCs w:val="21"/>
          <w:highlight w:val="none"/>
        </w:rPr>
        <w:t>附表六</w:t>
      </w:r>
      <w:r>
        <w:rPr>
          <w:sz w:val="21"/>
          <w:szCs w:val="21"/>
          <w:highlight w:val="none"/>
        </w:rPr>
        <w:t xml:space="preserve"> </w:t>
      </w:r>
      <w:r>
        <w:rPr>
          <w:rFonts w:hint="eastAsia"/>
          <w:sz w:val="21"/>
          <w:szCs w:val="21"/>
          <w:highlight w:val="none"/>
        </w:rPr>
        <w:t>比选申请价格评审表</w:t>
      </w:r>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p>
    <w:p>
      <w:pPr>
        <w:shd w:val="clear"/>
        <w:spacing w:before="159"/>
        <w:ind w:right="-57" w:firstLine="0"/>
        <w:jc w:val="center"/>
        <w:rPr>
          <w:rFonts w:ascii="宋体" w:hAnsi="宋体"/>
          <w:b/>
          <w:sz w:val="28"/>
          <w:szCs w:val="28"/>
          <w:highlight w:val="none"/>
        </w:rPr>
      </w:pPr>
      <w:r>
        <w:rPr>
          <w:rFonts w:hint="eastAsia" w:ascii="宋体" w:hAnsi="宋体"/>
          <w:b/>
          <w:sz w:val="28"/>
          <w:szCs w:val="28"/>
          <w:highlight w:val="none"/>
        </w:rPr>
        <w:t>比选申请价格评审表</w:t>
      </w:r>
    </w:p>
    <w:tbl>
      <w:tblPr>
        <w:tblStyle w:val="28"/>
        <w:tblW w:w="1385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9"/>
        <w:gridCol w:w="2370"/>
        <w:gridCol w:w="2552"/>
        <w:gridCol w:w="2410"/>
        <w:gridCol w:w="2551"/>
        <w:gridCol w:w="30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6" w:hRule="atLeast"/>
          <w:jc w:val="center"/>
        </w:trPr>
        <w:tc>
          <w:tcPr>
            <w:tcW w:w="959" w:type="dxa"/>
            <w:tcBorders>
              <w:left w:val="single" w:color="auto" w:sz="4" w:space="0"/>
              <w:bottom w:val="single" w:color="auto" w:sz="4" w:space="0"/>
              <w:right w:val="single" w:color="auto" w:sz="4" w:space="0"/>
            </w:tcBorders>
            <w:vAlign w:val="center"/>
          </w:tcPr>
          <w:p>
            <w:pPr>
              <w:shd w:val="clear"/>
              <w:ind w:left="0" w:firstLine="0"/>
              <w:rPr>
                <w:rFonts w:ascii="宋体" w:hAnsi="宋体"/>
                <w:highlight w:val="none"/>
              </w:rPr>
            </w:pPr>
            <w:r>
              <w:rPr>
                <w:rFonts w:hint="eastAsia" w:ascii="宋体" w:hAnsi="宋体"/>
                <w:highlight w:val="none"/>
              </w:rPr>
              <w:t>序号</w:t>
            </w:r>
          </w:p>
        </w:tc>
        <w:tc>
          <w:tcPr>
            <w:tcW w:w="2370" w:type="dxa"/>
            <w:tcBorders>
              <w:left w:val="single" w:color="auto" w:sz="4" w:space="0"/>
              <w:bottom w:val="single" w:color="auto" w:sz="4" w:space="0"/>
              <w:right w:val="single" w:color="auto" w:sz="4" w:space="0"/>
            </w:tcBorders>
            <w:vAlign w:val="center"/>
          </w:tcPr>
          <w:p>
            <w:pPr>
              <w:shd w:val="clear"/>
              <w:ind w:left="0" w:firstLine="0"/>
              <w:rPr>
                <w:rFonts w:ascii="宋体" w:hAnsi="宋体"/>
                <w:highlight w:val="none"/>
              </w:rPr>
            </w:pPr>
            <w:r>
              <w:rPr>
                <w:rFonts w:hint="eastAsia" w:ascii="宋体" w:hAnsi="宋体"/>
                <w:highlight w:val="none"/>
              </w:rPr>
              <w:t>比选申请人名称</w:t>
            </w:r>
          </w:p>
        </w:tc>
        <w:tc>
          <w:tcPr>
            <w:tcW w:w="2552" w:type="dxa"/>
            <w:tcBorders>
              <w:left w:val="single" w:color="auto" w:sz="4" w:space="0"/>
              <w:bottom w:val="single" w:color="auto" w:sz="4" w:space="0"/>
              <w:right w:val="single" w:color="auto" w:sz="4" w:space="0"/>
            </w:tcBorders>
            <w:vAlign w:val="center"/>
          </w:tcPr>
          <w:p>
            <w:pPr>
              <w:shd w:val="clear"/>
              <w:ind w:left="0" w:firstLine="0"/>
              <w:rPr>
                <w:rFonts w:ascii="宋体" w:hAnsi="宋体"/>
                <w:highlight w:val="none"/>
              </w:rPr>
            </w:pPr>
            <w:r>
              <w:rPr>
                <w:rFonts w:hint="eastAsia" w:ascii="宋体" w:hAnsi="宋体"/>
                <w:highlight w:val="none"/>
              </w:rPr>
              <w:t>修正前比选申请报价</w:t>
            </w:r>
          </w:p>
        </w:tc>
        <w:tc>
          <w:tcPr>
            <w:tcW w:w="2410" w:type="dxa"/>
            <w:tcBorders>
              <w:top w:val="single" w:color="auto" w:sz="4" w:space="0"/>
              <w:left w:val="single" w:color="auto" w:sz="4" w:space="0"/>
              <w:bottom w:val="single" w:color="auto" w:sz="4" w:space="0"/>
              <w:right w:val="single" w:color="auto" w:sz="4" w:space="0"/>
            </w:tcBorders>
            <w:vAlign w:val="center"/>
          </w:tcPr>
          <w:p>
            <w:pPr>
              <w:shd w:val="clear"/>
              <w:ind w:left="0" w:firstLine="0"/>
              <w:rPr>
                <w:rFonts w:ascii="宋体" w:hAnsi="宋体"/>
                <w:highlight w:val="none"/>
              </w:rPr>
            </w:pPr>
            <w:r>
              <w:rPr>
                <w:rFonts w:hint="eastAsia" w:ascii="宋体" w:hAnsi="宋体"/>
                <w:highlight w:val="none"/>
              </w:rPr>
              <w:t>是否有修正</w:t>
            </w:r>
          </w:p>
        </w:tc>
        <w:tc>
          <w:tcPr>
            <w:tcW w:w="2551" w:type="dxa"/>
            <w:tcBorders>
              <w:top w:val="single" w:color="auto" w:sz="4" w:space="0"/>
              <w:left w:val="single" w:color="auto" w:sz="4" w:space="0"/>
              <w:bottom w:val="single" w:color="auto" w:sz="4" w:space="0"/>
              <w:right w:val="single" w:color="auto" w:sz="4" w:space="0"/>
            </w:tcBorders>
            <w:vAlign w:val="center"/>
          </w:tcPr>
          <w:p>
            <w:pPr>
              <w:shd w:val="clear"/>
              <w:ind w:left="0" w:firstLine="0"/>
              <w:rPr>
                <w:rFonts w:ascii="宋体" w:hAnsi="宋体"/>
                <w:highlight w:val="none"/>
              </w:rPr>
            </w:pPr>
            <w:r>
              <w:rPr>
                <w:rFonts w:hint="eastAsia" w:ascii="宋体" w:hAnsi="宋体"/>
                <w:highlight w:val="none"/>
              </w:rPr>
              <w:t>评审价（元）</w:t>
            </w:r>
          </w:p>
        </w:tc>
        <w:tc>
          <w:tcPr>
            <w:tcW w:w="3016" w:type="dxa"/>
            <w:tcBorders>
              <w:top w:val="single" w:color="auto" w:sz="4" w:space="0"/>
              <w:left w:val="single" w:color="auto" w:sz="4" w:space="0"/>
              <w:bottom w:val="single" w:color="auto" w:sz="4" w:space="0"/>
              <w:right w:val="single" w:color="auto" w:sz="4" w:space="0"/>
            </w:tcBorders>
            <w:vAlign w:val="center"/>
          </w:tcPr>
          <w:p>
            <w:pPr>
              <w:shd w:val="clear"/>
              <w:ind w:left="0" w:firstLine="0"/>
              <w:jc w:val="center"/>
              <w:rPr>
                <w:rFonts w:ascii="宋体" w:hAnsi="宋体"/>
                <w:highlight w:val="none"/>
              </w:rPr>
            </w:pPr>
            <w:r>
              <w:rPr>
                <w:rFonts w:hint="eastAsia" w:ascii="宋体" w:hAnsi="宋体"/>
                <w:highlight w:val="none"/>
              </w:rPr>
              <w:t>排名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59" w:type="dxa"/>
            <w:tcBorders>
              <w:left w:val="single" w:color="auto" w:sz="4" w:space="0"/>
              <w:right w:val="single" w:color="auto" w:sz="4" w:space="0"/>
            </w:tcBorders>
            <w:vAlign w:val="center"/>
          </w:tcPr>
          <w:p>
            <w:pPr>
              <w:shd w:val="clear"/>
              <w:ind w:left="0" w:firstLine="0"/>
              <w:rPr>
                <w:rFonts w:ascii="宋体" w:hAnsi="宋体"/>
                <w:highlight w:val="none"/>
              </w:rPr>
            </w:pPr>
          </w:p>
        </w:tc>
        <w:tc>
          <w:tcPr>
            <w:tcW w:w="2370" w:type="dxa"/>
            <w:tcBorders>
              <w:left w:val="single" w:color="auto" w:sz="4" w:space="0"/>
              <w:right w:val="single" w:color="auto" w:sz="4" w:space="0"/>
            </w:tcBorders>
            <w:vAlign w:val="center"/>
          </w:tcPr>
          <w:p>
            <w:pPr>
              <w:shd w:val="clear"/>
              <w:ind w:left="0" w:firstLine="0"/>
              <w:rPr>
                <w:rFonts w:ascii="宋体" w:hAnsi="宋体"/>
                <w:highlight w:val="none"/>
              </w:rPr>
            </w:pPr>
          </w:p>
        </w:tc>
        <w:tc>
          <w:tcPr>
            <w:tcW w:w="2552" w:type="dxa"/>
            <w:tcBorders>
              <w:left w:val="single" w:color="auto" w:sz="4" w:space="0"/>
              <w:right w:val="single" w:color="auto" w:sz="4" w:space="0"/>
            </w:tcBorders>
            <w:vAlign w:val="center"/>
          </w:tcPr>
          <w:p>
            <w:pPr>
              <w:shd w:val="clear"/>
              <w:ind w:left="0" w:firstLine="0"/>
              <w:rPr>
                <w:rFonts w:ascii="宋体" w:hAnsi="宋体"/>
                <w:highlight w:val="none"/>
              </w:rPr>
            </w:pPr>
          </w:p>
        </w:tc>
        <w:tc>
          <w:tcPr>
            <w:tcW w:w="2410" w:type="dxa"/>
            <w:tcBorders>
              <w:top w:val="single" w:color="auto" w:sz="4" w:space="0"/>
              <w:left w:val="single" w:color="auto" w:sz="4" w:space="0"/>
              <w:bottom w:val="single" w:color="auto" w:sz="4" w:space="0"/>
              <w:right w:val="single" w:color="auto" w:sz="4" w:space="0"/>
            </w:tcBorders>
          </w:tcPr>
          <w:p>
            <w:pPr>
              <w:shd w:val="clear"/>
              <w:ind w:left="0" w:firstLine="0"/>
              <w:rPr>
                <w:rFonts w:ascii="宋体" w:hAnsi="宋体"/>
                <w:highlight w:val="none"/>
              </w:rPr>
            </w:pPr>
          </w:p>
        </w:tc>
        <w:tc>
          <w:tcPr>
            <w:tcW w:w="2551" w:type="dxa"/>
            <w:tcBorders>
              <w:top w:val="single" w:color="auto" w:sz="4" w:space="0"/>
              <w:left w:val="single" w:color="auto" w:sz="4" w:space="0"/>
              <w:bottom w:val="single" w:color="auto" w:sz="4" w:space="0"/>
              <w:right w:val="single" w:color="auto" w:sz="4" w:space="0"/>
            </w:tcBorders>
          </w:tcPr>
          <w:p>
            <w:pPr>
              <w:shd w:val="clear"/>
              <w:ind w:left="0" w:firstLine="0"/>
              <w:rPr>
                <w:rFonts w:ascii="宋体" w:hAnsi="宋体"/>
                <w:highlight w:val="none"/>
              </w:rPr>
            </w:pPr>
          </w:p>
        </w:tc>
        <w:tc>
          <w:tcPr>
            <w:tcW w:w="3016" w:type="dxa"/>
            <w:tcBorders>
              <w:top w:val="single" w:color="auto" w:sz="4" w:space="0"/>
              <w:left w:val="single" w:color="auto" w:sz="4" w:space="0"/>
              <w:bottom w:val="single" w:color="auto" w:sz="4" w:space="0"/>
              <w:right w:val="single" w:color="auto" w:sz="4" w:space="0"/>
            </w:tcBorders>
          </w:tcPr>
          <w:p>
            <w:pPr>
              <w:shd w:val="clear"/>
              <w:ind w:left="0" w:firstLine="0"/>
              <w:rPr>
                <w:rFonts w:ascii="宋体" w:hAnsi="宋体"/>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jc w:val="center"/>
        </w:trPr>
        <w:tc>
          <w:tcPr>
            <w:tcW w:w="959" w:type="dxa"/>
            <w:tcBorders>
              <w:left w:val="single" w:color="auto" w:sz="4" w:space="0"/>
              <w:bottom w:val="single" w:color="auto" w:sz="4" w:space="0"/>
              <w:right w:val="single" w:color="auto" w:sz="4" w:space="0"/>
            </w:tcBorders>
            <w:vAlign w:val="center"/>
          </w:tcPr>
          <w:p>
            <w:pPr>
              <w:shd w:val="clear"/>
              <w:ind w:left="0" w:firstLine="0"/>
              <w:rPr>
                <w:rFonts w:ascii="宋体" w:hAnsi="宋体"/>
                <w:highlight w:val="none"/>
              </w:rPr>
            </w:pPr>
          </w:p>
        </w:tc>
        <w:tc>
          <w:tcPr>
            <w:tcW w:w="2370" w:type="dxa"/>
            <w:tcBorders>
              <w:left w:val="single" w:color="auto" w:sz="4" w:space="0"/>
              <w:bottom w:val="single" w:color="auto" w:sz="4" w:space="0"/>
              <w:right w:val="single" w:color="auto" w:sz="4" w:space="0"/>
            </w:tcBorders>
            <w:vAlign w:val="center"/>
          </w:tcPr>
          <w:p>
            <w:pPr>
              <w:shd w:val="clear"/>
              <w:ind w:left="0" w:firstLine="0"/>
              <w:rPr>
                <w:rFonts w:ascii="宋体" w:hAnsi="宋体"/>
                <w:highlight w:val="none"/>
              </w:rPr>
            </w:pPr>
          </w:p>
        </w:tc>
        <w:tc>
          <w:tcPr>
            <w:tcW w:w="2552" w:type="dxa"/>
            <w:tcBorders>
              <w:left w:val="single" w:color="auto" w:sz="4" w:space="0"/>
              <w:bottom w:val="single" w:color="auto" w:sz="4" w:space="0"/>
              <w:right w:val="single" w:color="auto" w:sz="4" w:space="0"/>
            </w:tcBorders>
            <w:vAlign w:val="center"/>
          </w:tcPr>
          <w:p>
            <w:pPr>
              <w:shd w:val="clear"/>
              <w:ind w:left="0" w:firstLine="0"/>
              <w:rPr>
                <w:rFonts w:ascii="宋体" w:hAnsi="宋体"/>
                <w:highlight w:val="none"/>
              </w:rPr>
            </w:pPr>
          </w:p>
        </w:tc>
        <w:tc>
          <w:tcPr>
            <w:tcW w:w="2410" w:type="dxa"/>
            <w:tcBorders>
              <w:top w:val="single" w:color="auto" w:sz="4" w:space="0"/>
              <w:left w:val="single" w:color="auto" w:sz="4" w:space="0"/>
              <w:bottom w:val="single" w:color="auto" w:sz="4" w:space="0"/>
              <w:right w:val="single" w:color="auto" w:sz="4" w:space="0"/>
            </w:tcBorders>
            <w:vAlign w:val="center"/>
          </w:tcPr>
          <w:p>
            <w:pPr>
              <w:shd w:val="clear"/>
              <w:ind w:left="0" w:firstLine="0"/>
              <w:rPr>
                <w:rFonts w:ascii="宋体" w:hAnsi="宋体"/>
                <w:highlight w:val="none"/>
              </w:rPr>
            </w:pPr>
          </w:p>
        </w:tc>
        <w:tc>
          <w:tcPr>
            <w:tcW w:w="2551" w:type="dxa"/>
            <w:tcBorders>
              <w:top w:val="single" w:color="auto" w:sz="4" w:space="0"/>
              <w:left w:val="single" w:color="auto" w:sz="4" w:space="0"/>
              <w:bottom w:val="single" w:color="auto" w:sz="4" w:space="0"/>
              <w:right w:val="single" w:color="auto" w:sz="4" w:space="0"/>
            </w:tcBorders>
            <w:vAlign w:val="center"/>
          </w:tcPr>
          <w:p>
            <w:pPr>
              <w:shd w:val="clear"/>
              <w:ind w:left="0" w:firstLine="0"/>
              <w:rPr>
                <w:rFonts w:ascii="宋体" w:hAnsi="宋体"/>
                <w:highlight w:val="none"/>
              </w:rPr>
            </w:pPr>
          </w:p>
        </w:tc>
        <w:tc>
          <w:tcPr>
            <w:tcW w:w="3016" w:type="dxa"/>
            <w:tcBorders>
              <w:top w:val="single" w:color="auto" w:sz="4" w:space="0"/>
              <w:left w:val="single" w:color="auto" w:sz="4" w:space="0"/>
              <w:bottom w:val="single" w:color="auto" w:sz="4" w:space="0"/>
              <w:right w:val="single" w:color="auto" w:sz="4" w:space="0"/>
            </w:tcBorders>
            <w:vAlign w:val="center"/>
          </w:tcPr>
          <w:p>
            <w:pPr>
              <w:shd w:val="clear"/>
              <w:ind w:left="0" w:firstLine="0"/>
              <w:rPr>
                <w:rFonts w:ascii="宋体" w:hAnsi="宋体"/>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59" w:type="dxa"/>
            <w:tcBorders>
              <w:left w:val="single" w:color="auto" w:sz="4" w:space="0"/>
              <w:right w:val="single" w:color="auto" w:sz="4" w:space="0"/>
            </w:tcBorders>
            <w:vAlign w:val="center"/>
          </w:tcPr>
          <w:p>
            <w:pPr>
              <w:shd w:val="clear"/>
              <w:ind w:left="0" w:firstLine="0"/>
              <w:rPr>
                <w:rFonts w:ascii="宋体" w:hAnsi="宋体"/>
                <w:highlight w:val="none"/>
              </w:rPr>
            </w:pPr>
          </w:p>
        </w:tc>
        <w:tc>
          <w:tcPr>
            <w:tcW w:w="2370" w:type="dxa"/>
            <w:tcBorders>
              <w:left w:val="single" w:color="auto" w:sz="4" w:space="0"/>
              <w:right w:val="single" w:color="auto" w:sz="4" w:space="0"/>
            </w:tcBorders>
            <w:vAlign w:val="center"/>
          </w:tcPr>
          <w:p>
            <w:pPr>
              <w:shd w:val="clear"/>
              <w:ind w:left="0" w:firstLine="0"/>
              <w:rPr>
                <w:rFonts w:ascii="宋体" w:hAnsi="宋体"/>
                <w:highlight w:val="none"/>
              </w:rPr>
            </w:pPr>
          </w:p>
        </w:tc>
        <w:tc>
          <w:tcPr>
            <w:tcW w:w="2552" w:type="dxa"/>
            <w:tcBorders>
              <w:left w:val="single" w:color="auto" w:sz="4" w:space="0"/>
              <w:right w:val="single" w:color="auto" w:sz="4" w:space="0"/>
            </w:tcBorders>
            <w:vAlign w:val="center"/>
          </w:tcPr>
          <w:p>
            <w:pPr>
              <w:shd w:val="clear"/>
              <w:ind w:left="0" w:firstLine="0"/>
              <w:rPr>
                <w:rFonts w:ascii="宋体" w:hAnsi="宋体"/>
                <w:highlight w:val="none"/>
              </w:rPr>
            </w:pPr>
          </w:p>
        </w:tc>
        <w:tc>
          <w:tcPr>
            <w:tcW w:w="2410" w:type="dxa"/>
            <w:tcBorders>
              <w:top w:val="single" w:color="auto" w:sz="4" w:space="0"/>
              <w:left w:val="single" w:color="auto" w:sz="4" w:space="0"/>
              <w:bottom w:val="single" w:color="auto" w:sz="4" w:space="0"/>
              <w:right w:val="single" w:color="auto" w:sz="4" w:space="0"/>
            </w:tcBorders>
            <w:vAlign w:val="center"/>
          </w:tcPr>
          <w:p>
            <w:pPr>
              <w:shd w:val="clear"/>
              <w:ind w:left="0" w:firstLine="0"/>
              <w:rPr>
                <w:rFonts w:ascii="宋体" w:hAnsi="宋体"/>
                <w:highlight w:val="none"/>
              </w:rPr>
            </w:pPr>
          </w:p>
        </w:tc>
        <w:tc>
          <w:tcPr>
            <w:tcW w:w="2551" w:type="dxa"/>
            <w:tcBorders>
              <w:top w:val="single" w:color="auto" w:sz="4" w:space="0"/>
              <w:left w:val="single" w:color="auto" w:sz="4" w:space="0"/>
              <w:bottom w:val="single" w:color="auto" w:sz="4" w:space="0"/>
              <w:right w:val="single" w:color="auto" w:sz="4" w:space="0"/>
            </w:tcBorders>
            <w:vAlign w:val="center"/>
          </w:tcPr>
          <w:p>
            <w:pPr>
              <w:shd w:val="clear"/>
              <w:ind w:left="0" w:firstLine="0"/>
              <w:rPr>
                <w:rFonts w:ascii="宋体" w:hAnsi="宋体"/>
                <w:highlight w:val="none"/>
              </w:rPr>
            </w:pPr>
          </w:p>
        </w:tc>
        <w:tc>
          <w:tcPr>
            <w:tcW w:w="3016" w:type="dxa"/>
            <w:tcBorders>
              <w:top w:val="single" w:color="auto" w:sz="4" w:space="0"/>
              <w:left w:val="single" w:color="auto" w:sz="4" w:space="0"/>
              <w:bottom w:val="single" w:color="auto" w:sz="4" w:space="0"/>
              <w:right w:val="single" w:color="auto" w:sz="4" w:space="0"/>
            </w:tcBorders>
            <w:vAlign w:val="center"/>
          </w:tcPr>
          <w:p>
            <w:pPr>
              <w:shd w:val="clear"/>
              <w:ind w:left="0" w:firstLine="0"/>
              <w:rPr>
                <w:rFonts w:ascii="宋体" w:hAnsi="宋体"/>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59" w:type="dxa"/>
            <w:tcBorders>
              <w:left w:val="single" w:color="auto" w:sz="4" w:space="0"/>
              <w:right w:val="single" w:color="auto" w:sz="4" w:space="0"/>
            </w:tcBorders>
            <w:vAlign w:val="center"/>
          </w:tcPr>
          <w:p>
            <w:pPr>
              <w:shd w:val="clear"/>
              <w:ind w:left="0" w:firstLine="0"/>
              <w:rPr>
                <w:rFonts w:ascii="宋体" w:hAnsi="宋体"/>
                <w:highlight w:val="none"/>
              </w:rPr>
            </w:pPr>
          </w:p>
        </w:tc>
        <w:tc>
          <w:tcPr>
            <w:tcW w:w="2370" w:type="dxa"/>
            <w:tcBorders>
              <w:left w:val="single" w:color="auto" w:sz="4" w:space="0"/>
              <w:right w:val="single" w:color="auto" w:sz="4" w:space="0"/>
            </w:tcBorders>
            <w:vAlign w:val="center"/>
          </w:tcPr>
          <w:p>
            <w:pPr>
              <w:shd w:val="clear"/>
              <w:ind w:left="0" w:firstLine="0"/>
              <w:rPr>
                <w:rFonts w:ascii="宋体" w:hAnsi="宋体"/>
                <w:highlight w:val="none"/>
              </w:rPr>
            </w:pPr>
          </w:p>
        </w:tc>
        <w:tc>
          <w:tcPr>
            <w:tcW w:w="2552" w:type="dxa"/>
            <w:tcBorders>
              <w:left w:val="single" w:color="auto" w:sz="4" w:space="0"/>
              <w:right w:val="single" w:color="auto" w:sz="4" w:space="0"/>
            </w:tcBorders>
            <w:vAlign w:val="center"/>
          </w:tcPr>
          <w:p>
            <w:pPr>
              <w:shd w:val="clear"/>
              <w:ind w:left="0" w:firstLine="0"/>
              <w:rPr>
                <w:rFonts w:ascii="宋体" w:hAnsi="宋体"/>
                <w:highlight w:val="none"/>
              </w:rPr>
            </w:pPr>
          </w:p>
        </w:tc>
        <w:tc>
          <w:tcPr>
            <w:tcW w:w="2410" w:type="dxa"/>
            <w:tcBorders>
              <w:top w:val="single" w:color="auto" w:sz="4" w:space="0"/>
              <w:left w:val="single" w:color="auto" w:sz="4" w:space="0"/>
              <w:bottom w:val="single" w:color="auto" w:sz="4" w:space="0"/>
              <w:right w:val="single" w:color="auto" w:sz="4" w:space="0"/>
            </w:tcBorders>
            <w:vAlign w:val="center"/>
          </w:tcPr>
          <w:p>
            <w:pPr>
              <w:shd w:val="clear"/>
              <w:ind w:left="0" w:firstLine="0"/>
              <w:rPr>
                <w:rFonts w:ascii="宋体" w:hAnsi="宋体"/>
                <w:highlight w:val="none"/>
              </w:rPr>
            </w:pPr>
          </w:p>
        </w:tc>
        <w:tc>
          <w:tcPr>
            <w:tcW w:w="2551" w:type="dxa"/>
            <w:tcBorders>
              <w:top w:val="single" w:color="auto" w:sz="4" w:space="0"/>
              <w:left w:val="single" w:color="auto" w:sz="4" w:space="0"/>
              <w:bottom w:val="single" w:color="auto" w:sz="4" w:space="0"/>
              <w:right w:val="single" w:color="auto" w:sz="4" w:space="0"/>
            </w:tcBorders>
            <w:vAlign w:val="center"/>
          </w:tcPr>
          <w:p>
            <w:pPr>
              <w:shd w:val="clear"/>
              <w:ind w:left="0" w:firstLine="0"/>
              <w:rPr>
                <w:rFonts w:ascii="宋体" w:hAnsi="宋体"/>
                <w:highlight w:val="none"/>
              </w:rPr>
            </w:pPr>
          </w:p>
        </w:tc>
        <w:tc>
          <w:tcPr>
            <w:tcW w:w="3016" w:type="dxa"/>
            <w:tcBorders>
              <w:top w:val="single" w:color="auto" w:sz="4" w:space="0"/>
              <w:left w:val="single" w:color="auto" w:sz="4" w:space="0"/>
              <w:bottom w:val="single" w:color="auto" w:sz="4" w:space="0"/>
              <w:right w:val="single" w:color="auto" w:sz="4" w:space="0"/>
            </w:tcBorders>
            <w:vAlign w:val="center"/>
          </w:tcPr>
          <w:p>
            <w:pPr>
              <w:shd w:val="clear"/>
              <w:ind w:left="0" w:firstLine="0"/>
              <w:rPr>
                <w:rFonts w:ascii="宋体" w:hAnsi="宋体"/>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59" w:type="dxa"/>
            <w:tcBorders>
              <w:left w:val="single" w:color="auto" w:sz="4" w:space="0"/>
              <w:right w:val="single" w:color="auto" w:sz="4" w:space="0"/>
            </w:tcBorders>
            <w:vAlign w:val="center"/>
          </w:tcPr>
          <w:p>
            <w:pPr>
              <w:shd w:val="clear"/>
              <w:ind w:left="0" w:firstLine="0"/>
              <w:rPr>
                <w:rFonts w:ascii="宋体" w:hAnsi="宋体"/>
                <w:highlight w:val="none"/>
              </w:rPr>
            </w:pPr>
          </w:p>
        </w:tc>
        <w:tc>
          <w:tcPr>
            <w:tcW w:w="2370" w:type="dxa"/>
            <w:tcBorders>
              <w:left w:val="single" w:color="auto" w:sz="4" w:space="0"/>
              <w:right w:val="single" w:color="auto" w:sz="4" w:space="0"/>
            </w:tcBorders>
            <w:vAlign w:val="center"/>
          </w:tcPr>
          <w:p>
            <w:pPr>
              <w:shd w:val="clear"/>
              <w:ind w:left="0" w:firstLine="0"/>
              <w:rPr>
                <w:rFonts w:ascii="宋体" w:hAnsi="宋体"/>
                <w:highlight w:val="none"/>
              </w:rPr>
            </w:pPr>
          </w:p>
        </w:tc>
        <w:tc>
          <w:tcPr>
            <w:tcW w:w="2552" w:type="dxa"/>
            <w:tcBorders>
              <w:left w:val="single" w:color="auto" w:sz="4" w:space="0"/>
              <w:right w:val="single" w:color="auto" w:sz="4" w:space="0"/>
            </w:tcBorders>
            <w:vAlign w:val="center"/>
          </w:tcPr>
          <w:p>
            <w:pPr>
              <w:shd w:val="clear"/>
              <w:ind w:left="0" w:firstLine="0"/>
              <w:rPr>
                <w:rFonts w:ascii="宋体" w:hAnsi="宋体"/>
                <w:highlight w:val="none"/>
              </w:rPr>
            </w:pPr>
          </w:p>
        </w:tc>
        <w:tc>
          <w:tcPr>
            <w:tcW w:w="2410" w:type="dxa"/>
            <w:tcBorders>
              <w:top w:val="single" w:color="auto" w:sz="4" w:space="0"/>
              <w:left w:val="single" w:color="auto" w:sz="4" w:space="0"/>
              <w:bottom w:val="single" w:color="auto" w:sz="4" w:space="0"/>
              <w:right w:val="single" w:color="auto" w:sz="4" w:space="0"/>
            </w:tcBorders>
            <w:vAlign w:val="center"/>
          </w:tcPr>
          <w:p>
            <w:pPr>
              <w:shd w:val="clear"/>
              <w:ind w:left="0" w:firstLine="0"/>
              <w:rPr>
                <w:rFonts w:ascii="宋体" w:hAnsi="宋体"/>
                <w:highlight w:val="none"/>
              </w:rPr>
            </w:pPr>
          </w:p>
        </w:tc>
        <w:tc>
          <w:tcPr>
            <w:tcW w:w="2551" w:type="dxa"/>
            <w:tcBorders>
              <w:top w:val="single" w:color="auto" w:sz="4" w:space="0"/>
              <w:left w:val="single" w:color="auto" w:sz="4" w:space="0"/>
              <w:bottom w:val="single" w:color="auto" w:sz="4" w:space="0"/>
              <w:right w:val="single" w:color="auto" w:sz="4" w:space="0"/>
            </w:tcBorders>
            <w:vAlign w:val="center"/>
          </w:tcPr>
          <w:p>
            <w:pPr>
              <w:shd w:val="clear"/>
              <w:ind w:left="0" w:firstLine="0"/>
              <w:rPr>
                <w:rFonts w:ascii="宋体" w:hAnsi="宋体"/>
                <w:highlight w:val="none"/>
              </w:rPr>
            </w:pPr>
          </w:p>
        </w:tc>
        <w:tc>
          <w:tcPr>
            <w:tcW w:w="3016" w:type="dxa"/>
            <w:tcBorders>
              <w:top w:val="single" w:color="auto" w:sz="4" w:space="0"/>
              <w:left w:val="single" w:color="auto" w:sz="4" w:space="0"/>
              <w:bottom w:val="single" w:color="auto" w:sz="4" w:space="0"/>
              <w:right w:val="single" w:color="auto" w:sz="4" w:space="0"/>
            </w:tcBorders>
            <w:vAlign w:val="center"/>
          </w:tcPr>
          <w:p>
            <w:pPr>
              <w:shd w:val="clear"/>
              <w:ind w:left="0" w:firstLine="0"/>
              <w:rPr>
                <w:rFonts w:ascii="宋体" w:hAnsi="宋体"/>
                <w:highlight w:val="none"/>
              </w:rPr>
            </w:pPr>
          </w:p>
        </w:tc>
      </w:tr>
    </w:tbl>
    <w:p>
      <w:pPr>
        <w:shd w:val="clear"/>
        <w:spacing w:before="0" w:after="0" w:afterAutospacing="0"/>
        <w:ind w:left="0" w:right="0" w:firstLine="0"/>
        <w:jc w:val="left"/>
        <w:rPr>
          <w:rFonts w:ascii="宋体" w:hAnsi="宋体"/>
          <w:highlight w:val="none"/>
        </w:rPr>
      </w:pPr>
      <w:r>
        <w:rPr>
          <w:rFonts w:hint="eastAsia" w:ascii="宋体" w:hAnsi="宋体"/>
          <w:highlight w:val="none"/>
        </w:rPr>
        <w:t>注：</w:t>
      </w:r>
    </w:p>
    <w:p>
      <w:pPr>
        <w:shd w:val="clear"/>
        <w:spacing w:before="0" w:after="0" w:afterAutospacing="0"/>
        <w:ind w:left="0" w:right="0" w:firstLine="0"/>
        <w:jc w:val="left"/>
        <w:rPr>
          <w:rFonts w:ascii="宋体" w:hAnsi="宋体"/>
          <w:highlight w:val="none"/>
        </w:rPr>
      </w:pPr>
      <w:r>
        <w:rPr>
          <w:rFonts w:hint="eastAsia" w:ascii="宋体" w:hAnsi="宋体"/>
          <w:highlight w:val="none"/>
        </w:rPr>
        <w:t>1.如有修正，</w:t>
      </w:r>
      <w:r>
        <w:rPr>
          <w:rFonts w:hint="eastAsia" w:hAnsi="宋体"/>
          <w:highlight w:val="none"/>
        </w:rPr>
        <w:t>评审委员会</w:t>
      </w:r>
      <w:r>
        <w:rPr>
          <w:rFonts w:hint="eastAsia" w:ascii="宋体" w:hAnsi="宋体"/>
          <w:highlight w:val="none"/>
        </w:rPr>
        <w:t>需填写附表《比选申请报价修正表》并由比选申请人代表签字确认；如无修正，评审价=比选申请报价。</w:t>
      </w:r>
    </w:p>
    <w:p>
      <w:pPr>
        <w:shd w:val="clear"/>
        <w:spacing w:before="0" w:after="0" w:afterAutospacing="0"/>
        <w:ind w:left="0" w:right="0" w:firstLine="0"/>
        <w:jc w:val="left"/>
        <w:rPr>
          <w:rFonts w:ascii="宋体" w:hAnsi="宋体"/>
          <w:highlight w:val="none"/>
        </w:rPr>
      </w:pPr>
      <w:r>
        <w:rPr>
          <w:rFonts w:hint="eastAsia" w:ascii="宋体" w:hAnsi="宋体"/>
          <w:highlight w:val="none"/>
        </w:rPr>
        <w:t>2.修正后的总价若高于比选申请报价，则中选价以比选申请报价为准，评审总价以修正后的总价为准；修正后的总价若低于比选申请报价，则中选价以修正后总价为准，评审总价以比选申请报价为准。如比选申请人不接受按以上规则确定的评审总价和中选价，则其比选申请将被拒绝。</w:t>
      </w:r>
    </w:p>
    <w:p>
      <w:pPr>
        <w:shd w:val="clear"/>
        <w:spacing w:before="0" w:after="0"/>
        <w:ind w:left="420" w:right="0" w:firstLine="0"/>
        <w:jc w:val="left"/>
        <w:rPr>
          <w:rFonts w:ascii="宋体" w:hAnsi="宋体"/>
          <w:highlight w:val="none"/>
        </w:rPr>
      </w:pPr>
    </w:p>
    <w:p>
      <w:pPr>
        <w:shd w:val="clear"/>
        <w:spacing w:before="0" w:after="0"/>
        <w:ind w:left="420" w:right="0" w:firstLine="0"/>
        <w:jc w:val="left"/>
        <w:rPr>
          <w:rFonts w:ascii="宋体" w:hAnsi="宋体"/>
          <w:highlight w:val="none"/>
        </w:rPr>
      </w:pPr>
    </w:p>
    <w:p>
      <w:pPr>
        <w:shd w:val="clear"/>
        <w:spacing w:before="0" w:after="0"/>
        <w:ind w:left="420" w:right="0" w:firstLine="0"/>
        <w:jc w:val="left"/>
        <w:rPr>
          <w:rFonts w:ascii="宋体" w:hAnsi="宋体"/>
          <w:highlight w:val="none"/>
        </w:rPr>
      </w:pPr>
    </w:p>
    <w:p>
      <w:pPr>
        <w:shd w:val="clear"/>
        <w:spacing w:before="0" w:after="0"/>
        <w:ind w:left="0" w:right="0" w:firstLine="0"/>
        <w:jc w:val="left"/>
        <w:rPr>
          <w:rFonts w:ascii="宋体" w:hAnsi="宋体"/>
          <w:highlight w:val="none"/>
        </w:rPr>
      </w:pPr>
    </w:p>
    <w:p>
      <w:pPr>
        <w:shd w:val="clear"/>
        <w:spacing w:before="159"/>
        <w:ind w:right="-57" w:firstLine="0"/>
        <w:jc w:val="center"/>
        <w:rPr>
          <w:rFonts w:ascii="宋体" w:hAnsi="宋体"/>
          <w:b/>
          <w:sz w:val="28"/>
          <w:szCs w:val="28"/>
          <w:highlight w:val="none"/>
        </w:rPr>
      </w:pPr>
      <w:r>
        <w:rPr>
          <w:rFonts w:hint="eastAsia" w:ascii="宋体" w:hAnsi="宋体"/>
          <w:b/>
          <w:sz w:val="28"/>
          <w:szCs w:val="28"/>
          <w:highlight w:val="none"/>
        </w:rPr>
        <w:t>附表：比选申请报价修正表</w:t>
      </w:r>
    </w:p>
    <w:tbl>
      <w:tblPr>
        <w:tblStyle w:val="28"/>
        <w:tblW w:w="1388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45"/>
        <w:gridCol w:w="3474"/>
        <w:gridCol w:w="3872"/>
        <w:gridCol w:w="43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bottom w:val="single" w:color="auto" w:sz="4" w:space="0"/>
              <w:right w:val="single" w:color="auto" w:sz="4" w:space="0"/>
            </w:tcBorders>
            <w:vAlign w:val="center"/>
          </w:tcPr>
          <w:p>
            <w:pPr>
              <w:shd w:val="clear"/>
              <w:spacing w:before="0" w:line="240" w:lineRule="auto"/>
              <w:ind w:right="0" w:firstLine="0"/>
              <w:jc w:val="center"/>
              <w:rPr>
                <w:rFonts w:ascii="宋体" w:hAnsi="宋体"/>
                <w:b/>
                <w:sz w:val="24"/>
                <w:szCs w:val="24"/>
                <w:highlight w:val="none"/>
              </w:rPr>
            </w:pPr>
            <w:r>
              <w:rPr>
                <w:rFonts w:hint="eastAsia" w:ascii="宋体" w:hAnsi="宋体"/>
                <w:b/>
                <w:sz w:val="24"/>
                <w:szCs w:val="24"/>
                <w:highlight w:val="none"/>
              </w:rPr>
              <w:t>编号</w:t>
            </w:r>
          </w:p>
        </w:tc>
        <w:tc>
          <w:tcPr>
            <w:tcW w:w="3474" w:type="dxa"/>
            <w:tcBorders>
              <w:left w:val="single" w:color="auto" w:sz="4" w:space="0"/>
              <w:bottom w:val="single" w:color="auto" w:sz="4" w:space="0"/>
              <w:right w:val="single" w:color="auto" w:sz="4" w:space="0"/>
            </w:tcBorders>
            <w:vAlign w:val="center"/>
          </w:tcPr>
          <w:p>
            <w:pPr>
              <w:shd w:val="clear"/>
              <w:spacing w:before="0" w:line="240" w:lineRule="auto"/>
              <w:ind w:right="0" w:firstLine="0"/>
              <w:jc w:val="center"/>
              <w:rPr>
                <w:rFonts w:ascii="宋体" w:hAnsi="宋体"/>
                <w:b/>
                <w:sz w:val="24"/>
                <w:szCs w:val="24"/>
                <w:highlight w:val="none"/>
              </w:rPr>
            </w:pPr>
            <w:r>
              <w:rPr>
                <w:rFonts w:hint="eastAsia" w:ascii="宋体" w:hAnsi="宋体"/>
                <w:b/>
                <w:sz w:val="24"/>
                <w:szCs w:val="24"/>
                <w:highlight w:val="none"/>
              </w:rPr>
              <w:t>修正项目</w:t>
            </w:r>
          </w:p>
        </w:tc>
        <w:tc>
          <w:tcPr>
            <w:tcW w:w="3872" w:type="dxa"/>
            <w:tcBorders>
              <w:left w:val="single" w:color="auto" w:sz="4" w:space="0"/>
              <w:bottom w:val="single" w:color="auto" w:sz="4" w:space="0"/>
              <w:right w:val="single" w:color="auto" w:sz="4" w:space="0"/>
            </w:tcBorders>
            <w:vAlign w:val="center"/>
          </w:tcPr>
          <w:p>
            <w:pPr>
              <w:shd w:val="clear"/>
              <w:spacing w:before="0" w:line="240" w:lineRule="auto"/>
              <w:ind w:right="0" w:firstLine="0"/>
              <w:jc w:val="center"/>
              <w:rPr>
                <w:rFonts w:ascii="宋体" w:hAnsi="宋体"/>
                <w:b/>
                <w:sz w:val="24"/>
                <w:szCs w:val="24"/>
                <w:highlight w:val="none"/>
              </w:rPr>
            </w:pPr>
            <w:r>
              <w:rPr>
                <w:rFonts w:hint="eastAsia" w:ascii="宋体" w:hAnsi="宋体"/>
                <w:b/>
                <w:sz w:val="24"/>
                <w:szCs w:val="24"/>
                <w:highlight w:val="none"/>
              </w:rPr>
              <w:t>修正前比选申请报价</w:t>
            </w:r>
          </w:p>
        </w:tc>
        <w:tc>
          <w:tcPr>
            <w:tcW w:w="4389" w:type="dxa"/>
            <w:tcBorders>
              <w:top w:val="single" w:color="auto" w:sz="4" w:space="0"/>
              <w:left w:val="single" w:color="auto" w:sz="4" w:space="0"/>
              <w:bottom w:val="single" w:color="auto" w:sz="4" w:space="0"/>
              <w:right w:val="single" w:color="auto" w:sz="4" w:space="0"/>
            </w:tcBorders>
            <w:vAlign w:val="center"/>
          </w:tcPr>
          <w:p>
            <w:pPr>
              <w:shd w:val="clear"/>
              <w:spacing w:before="0" w:line="240" w:lineRule="auto"/>
              <w:ind w:right="0" w:firstLine="0"/>
              <w:jc w:val="center"/>
              <w:rPr>
                <w:rFonts w:ascii="宋体" w:hAnsi="宋体"/>
                <w:b/>
                <w:sz w:val="24"/>
                <w:szCs w:val="24"/>
                <w:highlight w:val="none"/>
              </w:rPr>
            </w:pPr>
            <w:r>
              <w:rPr>
                <w:rFonts w:hint="eastAsia" w:ascii="宋体" w:hAnsi="宋体"/>
                <w:b/>
                <w:sz w:val="24"/>
                <w:szCs w:val="24"/>
                <w:highlight w:val="none"/>
              </w:rPr>
              <w:t>修正后比选申请报价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hd w:val="clear"/>
              <w:spacing w:before="0" w:line="240" w:lineRule="auto"/>
              <w:ind w:right="0" w:firstLine="0"/>
              <w:jc w:val="center"/>
              <w:rPr>
                <w:rFonts w:ascii="宋体" w:hAnsi="宋体"/>
                <w:highlight w:val="none"/>
              </w:rPr>
            </w:pPr>
          </w:p>
        </w:tc>
        <w:tc>
          <w:tcPr>
            <w:tcW w:w="3474" w:type="dxa"/>
            <w:tcBorders>
              <w:left w:val="single" w:color="auto" w:sz="4" w:space="0"/>
              <w:right w:val="single" w:color="auto" w:sz="4" w:space="0"/>
            </w:tcBorders>
            <w:vAlign w:val="center"/>
          </w:tcPr>
          <w:p>
            <w:pPr>
              <w:shd w:val="clear"/>
              <w:spacing w:before="0" w:line="240" w:lineRule="auto"/>
              <w:ind w:right="0" w:firstLine="0"/>
              <w:jc w:val="left"/>
              <w:rPr>
                <w:rFonts w:ascii="宋体" w:hAnsi="宋体"/>
                <w:highlight w:val="none"/>
              </w:rPr>
            </w:pPr>
          </w:p>
        </w:tc>
        <w:tc>
          <w:tcPr>
            <w:tcW w:w="3872" w:type="dxa"/>
            <w:tcBorders>
              <w:left w:val="single" w:color="auto" w:sz="4" w:space="0"/>
              <w:right w:val="single" w:color="auto" w:sz="4" w:space="0"/>
            </w:tcBorders>
            <w:vAlign w:val="center"/>
          </w:tcPr>
          <w:p>
            <w:pPr>
              <w:shd w:val="clear"/>
              <w:spacing w:before="0" w:line="240" w:lineRule="auto"/>
              <w:ind w:right="0" w:firstLine="0"/>
              <w:rPr>
                <w:rFonts w:ascii="宋体" w:hAnsi="宋体"/>
                <w:highlight w:val="none"/>
              </w:rPr>
            </w:pPr>
          </w:p>
        </w:tc>
        <w:tc>
          <w:tcPr>
            <w:tcW w:w="4389" w:type="dxa"/>
            <w:tcBorders>
              <w:top w:val="single" w:color="auto" w:sz="4" w:space="0"/>
              <w:left w:val="single" w:color="auto" w:sz="4" w:space="0"/>
              <w:bottom w:val="single" w:color="auto" w:sz="4" w:space="0"/>
              <w:right w:val="single" w:color="auto" w:sz="4" w:space="0"/>
            </w:tcBorders>
          </w:tcPr>
          <w:p>
            <w:pPr>
              <w:shd w:val="clear"/>
              <w:spacing w:before="0" w:line="240" w:lineRule="auto"/>
              <w:ind w:right="0" w:firstLine="0"/>
              <w:rPr>
                <w:rFonts w:ascii="宋体" w:hAnsi="宋体" w:cs="宋体"/>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hd w:val="clear"/>
              <w:spacing w:before="0" w:line="240" w:lineRule="auto"/>
              <w:ind w:right="0" w:firstLine="0"/>
              <w:jc w:val="center"/>
              <w:rPr>
                <w:rFonts w:ascii="宋体" w:hAnsi="宋体"/>
                <w:highlight w:val="none"/>
              </w:rPr>
            </w:pPr>
          </w:p>
        </w:tc>
        <w:tc>
          <w:tcPr>
            <w:tcW w:w="3474" w:type="dxa"/>
            <w:tcBorders>
              <w:left w:val="single" w:color="auto" w:sz="4" w:space="0"/>
              <w:right w:val="single" w:color="auto" w:sz="4" w:space="0"/>
            </w:tcBorders>
            <w:vAlign w:val="center"/>
          </w:tcPr>
          <w:p>
            <w:pPr>
              <w:shd w:val="clear"/>
              <w:spacing w:before="0" w:line="240" w:lineRule="auto"/>
              <w:ind w:right="0" w:firstLine="0"/>
              <w:jc w:val="left"/>
              <w:rPr>
                <w:rFonts w:ascii="宋体" w:hAnsi="宋体" w:cs="宋体"/>
                <w:highlight w:val="none"/>
              </w:rPr>
            </w:pPr>
          </w:p>
        </w:tc>
        <w:tc>
          <w:tcPr>
            <w:tcW w:w="3872" w:type="dxa"/>
            <w:tcBorders>
              <w:left w:val="single" w:color="auto" w:sz="4" w:space="0"/>
              <w:right w:val="single" w:color="auto" w:sz="4" w:space="0"/>
            </w:tcBorders>
            <w:vAlign w:val="center"/>
          </w:tcPr>
          <w:p>
            <w:pPr>
              <w:shd w:val="clear"/>
              <w:spacing w:before="0" w:line="240" w:lineRule="auto"/>
              <w:ind w:right="0" w:firstLine="0"/>
              <w:jc w:val="center"/>
              <w:rPr>
                <w:rFonts w:ascii="宋体" w:hAnsi="宋体" w:cs="宋体"/>
                <w:highlight w:val="none"/>
              </w:rPr>
            </w:pPr>
          </w:p>
        </w:tc>
        <w:tc>
          <w:tcPr>
            <w:tcW w:w="4389" w:type="dxa"/>
            <w:tcBorders>
              <w:top w:val="single" w:color="auto" w:sz="4" w:space="0"/>
              <w:left w:val="single" w:color="auto" w:sz="4" w:space="0"/>
              <w:bottom w:val="single" w:color="auto" w:sz="4" w:space="0"/>
              <w:right w:val="single" w:color="auto" w:sz="4" w:space="0"/>
            </w:tcBorders>
            <w:vAlign w:val="center"/>
          </w:tcPr>
          <w:p>
            <w:pPr>
              <w:shd w:val="clear"/>
              <w:spacing w:before="0" w:line="240" w:lineRule="auto"/>
              <w:ind w:right="0" w:firstLine="0"/>
              <w:rPr>
                <w:rFonts w:ascii="宋体" w:hAnsi="宋体" w:cs="宋体"/>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hd w:val="clear"/>
              <w:spacing w:before="0" w:line="240" w:lineRule="auto"/>
              <w:ind w:right="0" w:firstLine="0"/>
              <w:jc w:val="center"/>
              <w:rPr>
                <w:rFonts w:ascii="宋体" w:hAnsi="宋体"/>
                <w:highlight w:val="none"/>
              </w:rPr>
            </w:pPr>
          </w:p>
        </w:tc>
        <w:tc>
          <w:tcPr>
            <w:tcW w:w="3474" w:type="dxa"/>
            <w:tcBorders>
              <w:left w:val="single" w:color="auto" w:sz="4" w:space="0"/>
              <w:right w:val="single" w:color="auto" w:sz="4" w:space="0"/>
            </w:tcBorders>
            <w:vAlign w:val="center"/>
          </w:tcPr>
          <w:p>
            <w:pPr>
              <w:shd w:val="clear"/>
              <w:spacing w:before="0" w:line="240" w:lineRule="auto"/>
              <w:ind w:right="0" w:firstLine="0"/>
              <w:jc w:val="left"/>
              <w:rPr>
                <w:rFonts w:ascii="宋体" w:hAnsi="宋体" w:cs="宋体"/>
                <w:highlight w:val="none"/>
              </w:rPr>
            </w:pPr>
          </w:p>
        </w:tc>
        <w:tc>
          <w:tcPr>
            <w:tcW w:w="3872" w:type="dxa"/>
            <w:tcBorders>
              <w:left w:val="single" w:color="auto" w:sz="4" w:space="0"/>
              <w:right w:val="single" w:color="auto" w:sz="4" w:space="0"/>
            </w:tcBorders>
            <w:vAlign w:val="center"/>
          </w:tcPr>
          <w:p>
            <w:pPr>
              <w:shd w:val="clear"/>
              <w:spacing w:before="0" w:line="240" w:lineRule="auto"/>
              <w:ind w:right="0" w:firstLine="0"/>
              <w:jc w:val="center"/>
              <w:rPr>
                <w:rFonts w:ascii="宋体" w:hAnsi="宋体" w:cs="宋体"/>
                <w:highlight w:val="none"/>
              </w:rPr>
            </w:pPr>
          </w:p>
        </w:tc>
        <w:tc>
          <w:tcPr>
            <w:tcW w:w="4389" w:type="dxa"/>
            <w:tcBorders>
              <w:top w:val="single" w:color="auto" w:sz="4" w:space="0"/>
              <w:left w:val="single" w:color="auto" w:sz="4" w:space="0"/>
              <w:bottom w:val="single" w:color="auto" w:sz="4" w:space="0"/>
              <w:right w:val="single" w:color="auto" w:sz="4" w:space="0"/>
            </w:tcBorders>
            <w:vAlign w:val="center"/>
          </w:tcPr>
          <w:p>
            <w:pPr>
              <w:shd w:val="clear"/>
              <w:spacing w:before="0" w:line="240" w:lineRule="auto"/>
              <w:ind w:right="0" w:firstLine="0"/>
              <w:rPr>
                <w:rFonts w:ascii="宋体" w:hAnsi="宋体"/>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hd w:val="clear"/>
              <w:spacing w:before="0" w:line="240" w:lineRule="auto"/>
              <w:ind w:right="0" w:firstLine="0"/>
              <w:jc w:val="center"/>
              <w:rPr>
                <w:rFonts w:ascii="宋体" w:hAnsi="宋体"/>
                <w:highlight w:val="none"/>
              </w:rPr>
            </w:pPr>
          </w:p>
        </w:tc>
        <w:tc>
          <w:tcPr>
            <w:tcW w:w="3474" w:type="dxa"/>
            <w:tcBorders>
              <w:left w:val="single" w:color="auto" w:sz="4" w:space="0"/>
              <w:right w:val="single" w:color="auto" w:sz="4" w:space="0"/>
            </w:tcBorders>
            <w:vAlign w:val="center"/>
          </w:tcPr>
          <w:p>
            <w:pPr>
              <w:shd w:val="clear"/>
              <w:spacing w:before="0" w:line="240" w:lineRule="auto"/>
              <w:ind w:right="0" w:firstLine="0"/>
              <w:jc w:val="left"/>
              <w:rPr>
                <w:rFonts w:ascii="宋体" w:hAnsi="宋体" w:cs="宋体"/>
                <w:highlight w:val="none"/>
              </w:rPr>
            </w:pPr>
          </w:p>
        </w:tc>
        <w:tc>
          <w:tcPr>
            <w:tcW w:w="3872" w:type="dxa"/>
            <w:tcBorders>
              <w:left w:val="single" w:color="auto" w:sz="4" w:space="0"/>
              <w:right w:val="single" w:color="auto" w:sz="4" w:space="0"/>
            </w:tcBorders>
            <w:vAlign w:val="center"/>
          </w:tcPr>
          <w:p>
            <w:pPr>
              <w:shd w:val="clear"/>
              <w:spacing w:before="0" w:line="240" w:lineRule="auto"/>
              <w:ind w:right="0" w:firstLine="0"/>
              <w:jc w:val="center"/>
              <w:rPr>
                <w:rFonts w:ascii="宋体" w:hAnsi="宋体" w:cs="宋体"/>
                <w:highlight w:val="none"/>
              </w:rPr>
            </w:pPr>
          </w:p>
        </w:tc>
        <w:tc>
          <w:tcPr>
            <w:tcW w:w="4389" w:type="dxa"/>
            <w:tcBorders>
              <w:top w:val="single" w:color="auto" w:sz="4" w:space="0"/>
              <w:left w:val="single" w:color="auto" w:sz="4" w:space="0"/>
              <w:bottom w:val="single" w:color="auto" w:sz="4" w:space="0"/>
              <w:right w:val="single" w:color="auto" w:sz="4" w:space="0"/>
            </w:tcBorders>
            <w:vAlign w:val="center"/>
          </w:tcPr>
          <w:p>
            <w:pPr>
              <w:shd w:val="clear"/>
              <w:spacing w:before="0" w:line="240" w:lineRule="auto"/>
              <w:ind w:right="0" w:firstLine="0"/>
              <w:rPr>
                <w:rFonts w:ascii="宋体" w:hAnsi="宋体"/>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hd w:val="clear"/>
              <w:spacing w:before="0" w:line="240" w:lineRule="auto"/>
              <w:ind w:right="0" w:firstLine="0"/>
              <w:jc w:val="center"/>
              <w:rPr>
                <w:rFonts w:ascii="宋体" w:hAnsi="宋体"/>
                <w:highlight w:val="none"/>
              </w:rPr>
            </w:pPr>
          </w:p>
        </w:tc>
        <w:tc>
          <w:tcPr>
            <w:tcW w:w="3474" w:type="dxa"/>
            <w:tcBorders>
              <w:left w:val="single" w:color="auto" w:sz="4" w:space="0"/>
              <w:right w:val="single" w:color="auto" w:sz="4" w:space="0"/>
            </w:tcBorders>
            <w:vAlign w:val="center"/>
          </w:tcPr>
          <w:p>
            <w:pPr>
              <w:shd w:val="clear"/>
              <w:spacing w:before="0" w:line="240" w:lineRule="auto"/>
              <w:ind w:right="0" w:firstLine="0"/>
              <w:jc w:val="center"/>
              <w:rPr>
                <w:rFonts w:ascii="宋体" w:hAnsi="宋体"/>
                <w:highlight w:val="none"/>
              </w:rPr>
            </w:pPr>
          </w:p>
        </w:tc>
        <w:tc>
          <w:tcPr>
            <w:tcW w:w="3872" w:type="dxa"/>
            <w:tcBorders>
              <w:left w:val="single" w:color="auto" w:sz="4" w:space="0"/>
              <w:right w:val="single" w:color="auto" w:sz="4" w:space="0"/>
            </w:tcBorders>
            <w:vAlign w:val="center"/>
          </w:tcPr>
          <w:p>
            <w:pPr>
              <w:shd w:val="clear"/>
              <w:spacing w:before="0" w:line="240" w:lineRule="auto"/>
              <w:ind w:right="0" w:firstLine="0"/>
              <w:jc w:val="left"/>
              <w:rPr>
                <w:rFonts w:ascii="宋体" w:hAnsi="宋体"/>
                <w:b/>
                <w:sz w:val="24"/>
                <w:szCs w:val="24"/>
                <w:highlight w:val="none"/>
              </w:rPr>
            </w:pPr>
          </w:p>
        </w:tc>
        <w:tc>
          <w:tcPr>
            <w:tcW w:w="4389" w:type="dxa"/>
            <w:tcBorders>
              <w:top w:val="single" w:color="auto" w:sz="4" w:space="0"/>
              <w:left w:val="single" w:color="auto" w:sz="4" w:space="0"/>
              <w:bottom w:val="single" w:color="auto" w:sz="4" w:space="0"/>
              <w:right w:val="single" w:color="auto" w:sz="4" w:space="0"/>
            </w:tcBorders>
            <w:vAlign w:val="center"/>
          </w:tcPr>
          <w:p>
            <w:pPr>
              <w:shd w:val="clear"/>
              <w:spacing w:before="0" w:line="240" w:lineRule="auto"/>
              <w:ind w:right="0" w:firstLine="0"/>
              <w:jc w:val="left"/>
              <w:rPr>
                <w:rFonts w:ascii="宋体" w:hAnsi="宋体" w:cs="宋体"/>
                <w:b/>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hd w:val="clear"/>
              <w:spacing w:before="0" w:line="240" w:lineRule="auto"/>
              <w:ind w:right="0"/>
              <w:jc w:val="left"/>
              <w:rPr>
                <w:rFonts w:ascii="宋体" w:hAnsi="宋体"/>
                <w:b/>
                <w:sz w:val="24"/>
                <w:szCs w:val="24"/>
                <w:highlight w:val="none"/>
              </w:rPr>
            </w:pPr>
            <w:r>
              <w:rPr>
                <w:rFonts w:hint="eastAsia" w:ascii="宋体" w:hAnsi="宋体"/>
                <w:b/>
                <w:sz w:val="24"/>
                <w:szCs w:val="24"/>
                <w:highlight w:val="none"/>
              </w:rPr>
              <w:t>修正前比选申请报价总价：</w:t>
            </w:r>
          </w:p>
        </w:tc>
        <w:tc>
          <w:tcPr>
            <w:tcW w:w="11735" w:type="dxa"/>
            <w:gridSpan w:val="3"/>
            <w:tcBorders>
              <w:left w:val="single" w:color="auto" w:sz="4" w:space="0"/>
              <w:right w:val="single" w:color="auto" w:sz="4" w:space="0"/>
            </w:tcBorders>
            <w:vAlign w:val="center"/>
          </w:tcPr>
          <w:p>
            <w:pPr>
              <w:shd w:val="clear"/>
              <w:spacing w:before="0" w:line="240" w:lineRule="auto"/>
              <w:ind w:right="0" w:firstLine="0"/>
              <w:rPr>
                <w:rFonts w:ascii="宋体" w:hAnsi="宋体" w:cs="宋体"/>
                <w:b/>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hd w:val="clear"/>
              <w:spacing w:before="0" w:line="240" w:lineRule="auto"/>
              <w:ind w:right="0"/>
              <w:rPr>
                <w:rFonts w:ascii="宋体" w:hAnsi="宋体"/>
                <w:b/>
                <w:sz w:val="24"/>
                <w:szCs w:val="24"/>
                <w:highlight w:val="none"/>
              </w:rPr>
            </w:pPr>
            <w:r>
              <w:rPr>
                <w:rFonts w:hint="eastAsia" w:ascii="宋体" w:hAnsi="宋体"/>
                <w:b/>
                <w:sz w:val="24"/>
                <w:szCs w:val="24"/>
                <w:highlight w:val="none"/>
              </w:rPr>
              <w:t>修正后比选申请报价总价：</w:t>
            </w:r>
          </w:p>
        </w:tc>
        <w:tc>
          <w:tcPr>
            <w:tcW w:w="11735" w:type="dxa"/>
            <w:gridSpan w:val="3"/>
            <w:tcBorders>
              <w:left w:val="single" w:color="auto" w:sz="4" w:space="0"/>
              <w:right w:val="single" w:color="auto" w:sz="4" w:space="0"/>
            </w:tcBorders>
            <w:vAlign w:val="center"/>
          </w:tcPr>
          <w:p>
            <w:pPr>
              <w:shd w:val="clear"/>
              <w:spacing w:before="0" w:line="240" w:lineRule="auto"/>
              <w:ind w:right="0" w:firstLine="0"/>
              <w:rPr>
                <w:rFonts w:ascii="宋体" w:hAnsi="宋体" w:cs="宋体"/>
                <w:b/>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hd w:val="clear"/>
              <w:spacing w:before="0" w:line="240" w:lineRule="auto"/>
              <w:ind w:right="0"/>
              <w:rPr>
                <w:rFonts w:ascii="宋体" w:hAnsi="宋体"/>
                <w:b/>
                <w:sz w:val="24"/>
                <w:szCs w:val="24"/>
                <w:highlight w:val="none"/>
              </w:rPr>
            </w:pPr>
            <w:r>
              <w:rPr>
                <w:rFonts w:hint="eastAsia" w:ascii="宋体" w:hAnsi="宋体"/>
                <w:b/>
                <w:sz w:val="24"/>
                <w:szCs w:val="24"/>
                <w:highlight w:val="none"/>
              </w:rPr>
              <w:t>比选申请人名称</w:t>
            </w:r>
          </w:p>
        </w:tc>
        <w:tc>
          <w:tcPr>
            <w:tcW w:w="11735" w:type="dxa"/>
            <w:gridSpan w:val="3"/>
            <w:tcBorders>
              <w:left w:val="single" w:color="auto" w:sz="4" w:space="0"/>
              <w:right w:val="single" w:color="auto" w:sz="4" w:space="0"/>
            </w:tcBorders>
            <w:vAlign w:val="center"/>
          </w:tcPr>
          <w:p>
            <w:pPr>
              <w:shd w:val="clear"/>
              <w:spacing w:before="0" w:line="240" w:lineRule="auto"/>
              <w:ind w:right="0" w:firstLine="0"/>
              <w:rPr>
                <w:rFonts w:ascii="宋体" w:hAnsi="宋体" w:cs="宋体"/>
                <w:b/>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hd w:val="clear"/>
              <w:spacing w:before="0" w:line="240" w:lineRule="auto"/>
              <w:ind w:right="0"/>
              <w:rPr>
                <w:rFonts w:ascii="宋体" w:hAnsi="宋体"/>
                <w:b/>
                <w:sz w:val="24"/>
                <w:szCs w:val="24"/>
                <w:highlight w:val="none"/>
              </w:rPr>
            </w:pPr>
            <w:r>
              <w:rPr>
                <w:rFonts w:hint="eastAsia" w:ascii="宋体" w:hAnsi="宋体"/>
                <w:b/>
                <w:sz w:val="24"/>
                <w:szCs w:val="24"/>
                <w:highlight w:val="none"/>
              </w:rPr>
              <w:t>比选申请人声明</w:t>
            </w:r>
          </w:p>
        </w:tc>
        <w:tc>
          <w:tcPr>
            <w:tcW w:w="11735" w:type="dxa"/>
            <w:gridSpan w:val="3"/>
            <w:tcBorders>
              <w:left w:val="single" w:color="auto" w:sz="4" w:space="0"/>
              <w:right w:val="single" w:color="auto" w:sz="4" w:space="0"/>
            </w:tcBorders>
            <w:vAlign w:val="center"/>
          </w:tcPr>
          <w:p>
            <w:pPr>
              <w:shd w:val="clear"/>
              <w:spacing w:before="0" w:line="240" w:lineRule="auto"/>
              <w:ind w:right="0" w:firstLine="0"/>
              <w:rPr>
                <w:rFonts w:ascii="宋体" w:hAnsi="宋体"/>
                <w:b/>
                <w:sz w:val="24"/>
                <w:szCs w:val="24"/>
                <w:highlight w:val="none"/>
              </w:rPr>
            </w:pPr>
            <w:r>
              <w:rPr>
                <w:rFonts w:hint="eastAsia" w:ascii="宋体" w:hAnsi="宋体" w:cs="宋体"/>
                <w:b/>
                <w:sz w:val="24"/>
                <w:szCs w:val="24"/>
                <w:highlight w:val="none"/>
              </w:rPr>
              <w:t>我单位（</w:t>
            </w:r>
            <w:r>
              <w:rPr>
                <w:rFonts w:ascii="宋体" w:hAnsi="宋体"/>
                <w:b/>
                <w:sz w:val="44"/>
                <w:szCs w:val="44"/>
                <w:highlight w:val="none"/>
              </w:rPr>
              <w:t>□</w:t>
            </w:r>
            <w:r>
              <w:rPr>
                <w:rFonts w:hint="eastAsia" w:ascii="宋体" w:hAnsi="宋体" w:cs="宋体"/>
                <w:b/>
                <w:sz w:val="24"/>
                <w:szCs w:val="24"/>
                <w:highlight w:val="none"/>
              </w:rPr>
              <w:t>接受</w:t>
            </w:r>
            <w:r>
              <w:rPr>
                <w:rFonts w:ascii="宋体" w:hAnsi="宋体"/>
                <w:b/>
                <w:sz w:val="44"/>
                <w:szCs w:val="44"/>
                <w:highlight w:val="none"/>
              </w:rPr>
              <w:t>□</w:t>
            </w:r>
            <w:r>
              <w:rPr>
                <w:rFonts w:ascii="宋体" w:hAnsi="宋体"/>
                <w:b/>
                <w:sz w:val="24"/>
                <w:szCs w:val="24"/>
                <w:highlight w:val="none"/>
              </w:rPr>
              <w:t>不接受</w:t>
            </w:r>
            <w:r>
              <w:rPr>
                <w:rFonts w:hint="eastAsia" w:ascii="宋体" w:hAnsi="宋体"/>
                <w:b/>
                <w:sz w:val="24"/>
                <w:szCs w:val="24"/>
                <w:highlight w:val="none"/>
              </w:rPr>
              <w:t>）本评审办法第3.3款价格评审确定的评审总价和中选价。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hd w:val="clear"/>
              <w:spacing w:before="0" w:line="240" w:lineRule="auto"/>
              <w:ind w:right="0"/>
              <w:rPr>
                <w:rFonts w:ascii="宋体" w:hAnsi="宋体"/>
                <w:b/>
                <w:sz w:val="24"/>
                <w:szCs w:val="24"/>
                <w:highlight w:val="none"/>
              </w:rPr>
            </w:pPr>
            <w:r>
              <w:rPr>
                <w:rFonts w:hint="eastAsia" w:ascii="宋体" w:hAnsi="宋体"/>
                <w:b/>
                <w:sz w:val="24"/>
                <w:szCs w:val="24"/>
                <w:highlight w:val="none"/>
              </w:rPr>
              <w:t>比选申请人代表签字</w:t>
            </w:r>
          </w:p>
        </w:tc>
        <w:tc>
          <w:tcPr>
            <w:tcW w:w="11735" w:type="dxa"/>
            <w:gridSpan w:val="3"/>
            <w:tcBorders>
              <w:left w:val="single" w:color="auto" w:sz="4" w:space="0"/>
              <w:right w:val="single" w:color="auto" w:sz="4" w:space="0"/>
            </w:tcBorders>
            <w:vAlign w:val="center"/>
          </w:tcPr>
          <w:p>
            <w:pPr>
              <w:shd w:val="clear"/>
              <w:spacing w:before="0" w:line="240" w:lineRule="auto"/>
              <w:ind w:right="0" w:firstLine="0"/>
              <w:rPr>
                <w:rFonts w:ascii="宋体" w:hAnsi="宋体" w:cs="宋体"/>
                <w:b/>
                <w:sz w:val="24"/>
                <w:szCs w:val="24"/>
                <w:highlight w:val="none"/>
              </w:rPr>
            </w:pPr>
          </w:p>
          <w:p>
            <w:pPr>
              <w:shd w:val="clear"/>
              <w:spacing w:before="0" w:line="240" w:lineRule="auto"/>
              <w:ind w:right="0" w:firstLine="0"/>
              <w:rPr>
                <w:rFonts w:ascii="宋体" w:hAnsi="宋体" w:cs="宋体"/>
                <w:b/>
                <w:sz w:val="24"/>
                <w:szCs w:val="24"/>
                <w:highlight w:val="none"/>
              </w:rPr>
            </w:pPr>
            <w:r>
              <w:rPr>
                <w:rFonts w:hint="eastAsia" w:ascii="宋体" w:hAnsi="宋体" w:cs="宋体"/>
                <w:b/>
                <w:sz w:val="24"/>
                <w:szCs w:val="24"/>
                <w:highlight w:val="none"/>
              </w:rPr>
              <w:t xml:space="preserve">                                                                     日期：    年  月   日</w:t>
            </w:r>
          </w:p>
        </w:tc>
      </w:tr>
    </w:tbl>
    <w:p>
      <w:pPr>
        <w:shd w:val="clear"/>
        <w:spacing w:before="0" w:after="0"/>
        <w:ind w:left="420" w:right="0" w:firstLine="0"/>
        <w:jc w:val="left"/>
        <w:rPr>
          <w:rFonts w:ascii="宋体" w:hAnsi="宋体"/>
          <w:highlight w:val="none"/>
        </w:rPr>
      </w:pPr>
      <w:r>
        <w:rPr>
          <w:rFonts w:hint="eastAsia" w:ascii="宋体" w:hAnsi="宋体"/>
          <w:highlight w:val="none"/>
        </w:rPr>
        <w:t>注：修正后的总价若高于比选申请报价，则中选价以比选申请报价为准，评审总价以修正后的总价为准；修正后的总价若低于比选申请报价，则中选价以修正后总价为准，评审总价以比选申请报价为准。如比选申请人不接受按以上规则确定的评审总价和中选价，则其比选申请将被拒绝。</w:t>
      </w:r>
    </w:p>
    <w:sectPr>
      <w:headerReference r:id="rId18" w:type="default"/>
      <w:pgSz w:w="16838" w:h="11905" w:orient="landscape"/>
      <w:pgMar w:top="1417" w:right="1417" w:bottom="1417" w:left="1417" w:header="454" w:footer="567" w:gutter="0"/>
      <w:pgNumType w:fmt="decimal"/>
      <w:cols w:space="720" w:num="1"/>
      <w:docGrid w:linePitch="31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方正小标宋简体">
    <w:panose1 w:val="02010601030101010101"/>
    <w:charset w:val="86"/>
    <w:family w:val="auto"/>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sz w:val="18"/>
      </w:rPr>
    </w:pPr>
    <w:r>
      <w:rPr>
        <w:sz w:val="18"/>
      </w:rPr>
      <w:pict>
        <v:shape id="_x0000_s4098" o:spid="_x0000_s4098"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16"/>
                  <w:jc w:val="center"/>
                </w:pPr>
                <w:r>
                  <w:fldChar w:fldCharType="begin"/>
                </w:r>
                <w:r>
                  <w:instrText xml:space="preserve">PAGE   \* MERGEFORMAT</w:instrText>
                </w:r>
                <w:r>
                  <w:fldChar w:fldCharType="separate"/>
                </w:r>
                <w:r>
                  <w:rPr>
                    <w:lang w:val="zh-CN"/>
                  </w:rPr>
                  <w:t>56</w:t>
                </w:r>
                <w:r>
                  <w:rPr>
                    <w:lang w:val="zh-CN"/>
                  </w:rPr>
                  <w:fldChar w:fldCharType="end"/>
                </w:r>
              </w:p>
            </w:txbxContent>
          </v:textbox>
        </v:shape>
      </w:pict>
    </w:r>
  </w:p>
  <w:sdt>
    <w:sdtPr>
      <w:id w:val="-1078750833"/>
    </w:sdtPr>
    <w:sdtContent>
      <w:p>
        <w:pPr>
          <w:pStyle w:val="16"/>
          <w:jc w:val="center"/>
          <w:rPr>
            <w:lang w:val="zh-CN"/>
          </w:rPr>
        </w:pPr>
      </w:p>
      <w:p>
        <w:pPr>
          <w:pStyle w:val="16"/>
          <w:jc w:val="both"/>
        </w:pPr>
      </w:p>
    </w:sdtContent>
  </w:sdt>
  <w:p>
    <w:pPr>
      <w:pStyle w:val="17"/>
      <w:pBdr>
        <w:bottom w:val="none" w:color="auto" w:sz="0" w:space="0"/>
      </w:pBdr>
      <w:tabs>
        <w:tab w:val="right" w:pos="8728"/>
        <w:tab w:val="clear" w:pos="4153"/>
        <w:tab w:val="clear" w:pos="8306"/>
      </w:tabs>
      <w:ind w:left="0" w:right="343" w:firstLine="0"/>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tabs>
        <w:tab w:val="right" w:pos="8728"/>
        <w:tab w:val="clear" w:pos="4153"/>
        <w:tab w:val="clear" w:pos="8306"/>
      </w:tabs>
      <w:ind w:left="0" w:right="343" w:firstLine="0"/>
      <w:jc w:val="both"/>
    </w:pPr>
    <w:r>
      <w:rPr>
        <w:sz w:val="18"/>
      </w:rPr>
      <w:pict>
        <v:shape id="_x0000_s4099" o:spid="_x0000_s4099"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3</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tabs>
        <w:tab w:val="right" w:pos="8728"/>
        <w:tab w:val="clear" w:pos="4153"/>
        <w:tab w:val="clear" w:pos="8306"/>
      </w:tabs>
      <w:ind w:left="0" w:right="343" w:firstLine="0"/>
      <w:jc w:val="both"/>
    </w:pPr>
    <w:r>
      <w:rPr>
        <w:sz w:val="18"/>
      </w:rPr>
      <w:pict>
        <v:shape id="_x0000_s4100" o:spid="_x0000_s4100"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4</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w:rPr>
        <w:sz w:val="18"/>
      </w:rPr>
      <w:pict>
        <v:shape id="_x0000_s4101" o:spid="_x0000_s4101"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sdt>
                <w:sdtPr>
                  <w:id w:val="-1212964078"/>
                </w:sdtPr>
                <w:sdtContent>
                  <w:p>
                    <w:pPr>
                      <w:pStyle w:val="16"/>
                      <w:jc w:val="center"/>
                    </w:pPr>
                    <w:r>
                      <w:fldChar w:fldCharType="begin"/>
                    </w:r>
                    <w:r>
                      <w:instrText xml:space="preserve">PAGE   \* MERGEFORMAT</w:instrText>
                    </w:r>
                    <w:r>
                      <w:fldChar w:fldCharType="separate"/>
                    </w:r>
                    <w:r>
                      <w:rPr>
                        <w:lang w:val="zh-CN"/>
                      </w:rPr>
                      <w:t>56</w:t>
                    </w:r>
                    <w:r>
                      <w:rPr>
                        <w:lang w:val="zh-CN"/>
                      </w:rPr>
                      <w:fldChar w:fldCharType="end"/>
                    </w:r>
                  </w:p>
                </w:sdtContent>
              </w:sdt>
              <w:p>
                <w:pPr>
                  <w:pStyle w:val="2"/>
                </w:pPr>
              </w:p>
            </w:txbxContent>
          </v:textbox>
        </v:shape>
      </w:pict>
    </w:r>
  </w:p>
  <w:p>
    <w:pPr>
      <w:pStyle w:val="17"/>
      <w:pBdr>
        <w:bottom w:val="none" w:color="auto" w:sz="0" w:space="0"/>
      </w:pBdr>
      <w:tabs>
        <w:tab w:val="right" w:pos="8728"/>
        <w:tab w:val="clear" w:pos="4153"/>
        <w:tab w:val="clear" w:pos="8306"/>
      </w:tabs>
      <w:ind w:left="0" w:right="343" w:firstLine="0"/>
      <w:jc w:val="both"/>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eastAsia="宋体" w:cs="Times New Roman"/>
        <w:sz w:val="21"/>
        <w:szCs w:val="21"/>
        <w:lang w:val="en-US" w:eastAsia="zh-CN" w:bidi="ar-SA"/>
      </w:rPr>
      <w:id w:val="-248587610"/>
      <w:docPartObj>
        <w:docPartGallery w:val="autotext"/>
      </w:docPartObj>
    </w:sdtPr>
    <w:sdtEndPr>
      <w:rPr>
        <w:rFonts w:ascii="Times New Roman" w:hAnsi="Times New Roman" w:eastAsia="宋体" w:cs="Times New Roman"/>
        <w:sz w:val="18"/>
        <w:szCs w:val="18"/>
        <w:lang w:val="en-US" w:eastAsia="zh-CN" w:bidi="ar-SA"/>
      </w:rPr>
    </w:sdtEndPr>
    <w:sdtContent>
      <w:p>
        <w:pPr>
          <w:snapToGrid w:val="0"/>
          <w:spacing w:before="120" w:after="100" w:afterAutospacing="1" w:line="360" w:lineRule="auto"/>
          <w:ind w:left="709" w:right="-27" w:hanging="709"/>
          <w:jc w:val="center"/>
          <w:rPr>
            <w:rFonts w:ascii="Times New Roman" w:hAnsi="Times New Roman" w:eastAsia="宋体" w:cs="Times New Roman"/>
            <w:sz w:val="18"/>
            <w:szCs w:val="18"/>
            <w:lang w:val="en-US" w:eastAsia="zh-CN" w:bidi="ar-SA"/>
          </w:rPr>
        </w:pPr>
        <w:r>
          <w:rPr>
            <w:rFonts w:ascii="Times New Roman" w:hAnsi="Times New Roman" w:eastAsia="宋体" w:cs="Times New Roman"/>
            <w:sz w:val="18"/>
            <w:szCs w:val="18"/>
            <w:lang w:val="en-US" w:eastAsia="zh-CN" w:bidi="ar-SA"/>
          </w:rPr>
          <w:fldChar w:fldCharType="begin"/>
        </w:r>
        <w:r>
          <w:rPr>
            <w:rFonts w:ascii="Times New Roman" w:hAnsi="Times New Roman" w:eastAsia="宋体" w:cs="Times New Roman"/>
            <w:sz w:val="18"/>
            <w:szCs w:val="18"/>
            <w:lang w:val="en-US" w:eastAsia="zh-CN" w:bidi="ar-SA"/>
          </w:rPr>
          <w:instrText xml:space="preserve">PAGE   \* MERGEFORMAT</w:instrText>
        </w:r>
        <w:r>
          <w:rPr>
            <w:rFonts w:ascii="Times New Roman" w:hAnsi="Times New Roman" w:eastAsia="宋体" w:cs="Times New Roman"/>
            <w:sz w:val="18"/>
            <w:szCs w:val="18"/>
            <w:lang w:val="en-US" w:eastAsia="zh-CN" w:bidi="ar-SA"/>
          </w:rPr>
          <w:fldChar w:fldCharType="separate"/>
        </w:r>
        <w:r>
          <w:rPr>
            <w:rFonts w:ascii="Times New Roman" w:hAnsi="Times New Roman" w:eastAsia="宋体" w:cs="Times New Roman"/>
            <w:sz w:val="18"/>
            <w:szCs w:val="18"/>
            <w:lang w:val="zh-CN" w:eastAsia="zh-CN" w:bidi="ar-SA"/>
          </w:rPr>
          <w:t>37</w:t>
        </w:r>
        <w:r>
          <w:rPr>
            <w:rFonts w:ascii="Times New Roman" w:hAnsi="Times New Roman" w:eastAsia="宋体" w:cs="Times New Roman"/>
            <w:sz w:val="18"/>
            <w:szCs w:val="18"/>
            <w:lang w:val="en-US" w:eastAsia="zh-CN" w:bidi="ar-SA"/>
          </w:rPr>
          <w:fldChar w:fldCharType="end"/>
        </w:r>
      </w:p>
    </w:sdtContent>
  </w:sdt>
  <w:p>
    <w:pPr>
      <w:snapToGrid w:val="0"/>
      <w:spacing w:before="120" w:after="100" w:afterAutospacing="1" w:line="360" w:lineRule="auto"/>
      <w:ind w:left="709" w:right="-27" w:hanging="709"/>
      <w:jc w:val="left"/>
      <w:rPr>
        <w:rFonts w:ascii="Times New Roman" w:hAnsi="Times New Roman" w:eastAsia="宋体" w:cs="Times New Roman"/>
        <w:sz w:val="18"/>
        <w:szCs w:val="18"/>
        <w:lang w:val="en-US" w:eastAsia="zh-CN" w:bidi="ar-S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before="0"/>
      <w:ind w:right="-57" w:firstLine="0"/>
      <w:jc w:val="center"/>
    </w:pPr>
    <w:r>
      <w:rPr>
        <w:sz w:val="20"/>
      </w:rPr>
      <w:pict>
        <v:shape id="文本框 6" o:spid="_x0000_s4102"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weight="0.5pt"/>
          <v:imagedata o:title=""/>
          <o:lock v:ext="edit" aspectratio="f"/>
          <v:textbox inset="0mm,0mm,0mm,0mm" style="mso-fit-shape-to-text:t;">
            <w:txbxContent>
              <w:p>
                <w:r>
                  <w:fldChar w:fldCharType="begin"/>
                </w:r>
                <w:r>
                  <w:instrText xml:space="preserve">PAGE  \* MERGEFORMAT</w:instrText>
                </w:r>
                <w:r>
                  <w:fldChar w:fldCharType="separate"/>
                </w:r>
                <w:r>
                  <w:t>61</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before="0"/>
      <w:ind w:right="-57" w:firstLine="0"/>
      <w:jc w:val="center"/>
    </w:pPr>
    <w:r>
      <w:rPr>
        <w:sz w:val="20"/>
      </w:rPr>
      <w:pict>
        <v:shape id="_x0000_s4103" o:spid="_x0000_s4103"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weight="0.5pt"/>
          <v:imagedata o:title=""/>
          <o:lock v:ext="edit" aspectratio="f"/>
          <v:textbox inset="0mm,0mm,0mm,0mm" style="mso-fit-shape-to-text:t;">
            <w:txbxContent>
              <w:p>
                <w:r>
                  <w:rPr>
                    <w:rFonts w:hint="eastAsia"/>
                  </w:rPr>
                  <w:fldChar w:fldCharType="begin"/>
                </w:r>
                <w:r>
                  <w:rPr>
                    <w:rFonts w:hint="eastAsia"/>
                  </w:rPr>
                  <w:instrText xml:space="preserve">PAGE  \* MERGEFORMAT</w:instrText>
                </w:r>
                <w:r>
                  <w:rPr>
                    <w:rFonts w:hint="eastAsia"/>
                  </w:rPr>
                  <w:fldChar w:fldCharType="separate"/>
                </w:r>
                <w:r>
                  <w:t>77</w:t>
                </w:r>
                <w:r>
                  <w:rPr>
                    <w:rFonts w:hint="eastAsia"/>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tabs>
        <w:tab w:val="left" w:pos="2847"/>
        <w:tab w:val="left" w:pos="3510"/>
        <w:tab w:val="left" w:pos="4002"/>
        <w:tab w:val="clear" w:pos="4153"/>
        <w:tab w:val="clear" w:pos="8306"/>
      </w:tabs>
      <w:jc w:val="both"/>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spacing w:before="0"/>
      <w:ind w:right="-57" w:firstLine="0"/>
      <w:jc w:val="both"/>
      <w:rPr>
        <w:rFonts w:ascii="宋体" w:hAnsi="宋体"/>
        <w:color w:val="000000"/>
        <w:sz w:val="15"/>
        <w:szCs w:val="15"/>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spacing w:before="0"/>
      <w:ind w:right="-57" w:firstLine="0"/>
      <w:jc w:val="both"/>
      <w:rPr>
        <w:rFonts w:ascii="宋体" w:hAnsi="宋体"/>
        <w:color w:val="000000"/>
        <w:sz w:val="15"/>
        <w:szCs w:val="15"/>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000000" w:sz="6" w:space="1"/>
      </w:pBdr>
      <w:snapToGrid w:val="0"/>
      <w:spacing w:before="120" w:after="100" w:afterAutospacing="1" w:line="360" w:lineRule="auto"/>
      <w:ind w:left="709" w:right="-27" w:hanging="709"/>
      <w:jc w:val="center"/>
      <w:rPr>
        <w:rFonts w:ascii="Times New Roman" w:hAnsi="Times New Roman" w:eastAsia="宋体" w:cs="Times New Roman"/>
        <w:sz w:val="18"/>
        <w:szCs w:val="18"/>
        <w:lang w:val="en-US" w:eastAsia="zh-CN" w:bidi="ar-S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ind w:right="-57" w:firstLine="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ind w:right="-57"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FC2A88"/>
    <w:multiLevelType w:val="singleLevel"/>
    <w:tmpl w:val="90FC2A88"/>
    <w:lvl w:ilvl="0" w:tentative="0">
      <w:start w:val="6"/>
      <w:numFmt w:val="decimal"/>
      <w:suff w:val="nothing"/>
      <w:lvlText w:val="%1、"/>
      <w:lvlJc w:val="left"/>
    </w:lvl>
  </w:abstractNum>
  <w:abstractNum w:abstractNumId="1">
    <w:nsid w:val="BDE1120E"/>
    <w:multiLevelType w:val="multilevel"/>
    <w:tmpl w:val="BDE1120E"/>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pStyle w:val="3"/>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2">
    <w:nsid w:val="DEECD395"/>
    <w:multiLevelType w:val="singleLevel"/>
    <w:tmpl w:val="DEECD395"/>
    <w:lvl w:ilvl="0" w:tentative="0">
      <w:start w:val="1"/>
      <w:numFmt w:val="decimal"/>
      <w:suff w:val="nothing"/>
      <w:lvlText w:val="（%1）"/>
      <w:lvlJc w:val="left"/>
    </w:lvl>
  </w:abstractNum>
  <w:abstractNum w:abstractNumId="3">
    <w:nsid w:val="1764C26E"/>
    <w:multiLevelType w:val="singleLevel"/>
    <w:tmpl w:val="1764C26E"/>
    <w:lvl w:ilvl="0" w:tentative="0">
      <w:start w:val="2"/>
      <w:numFmt w:val="chineseCounting"/>
      <w:suff w:val="nothing"/>
      <w:lvlText w:val="%1、"/>
      <w:lvlJc w:val="left"/>
      <w:rPr>
        <w:rFonts w:hint="eastAsia"/>
      </w:rPr>
    </w:lvl>
  </w:abstractNum>
  <w:abstractNum w:abstractNumId="4">
    <w:nsid w:val="2F000000"/>
    <w:multiLevelType w:val="multilevel"/>
    <w:tmpl w:val="2F000000"/>
    <w:lvl w:ilvl="0" w:tentative="0">
      <w:start w:val="2"/>
      <w:numFmt w:val="decimal"/>
      <w:suff w:val="nothing"/>
      <w:lvlText w:val="%1、"/>
      <w:lvlJc w:val="left"/>
    </w:lvl>
    <w:lvl w:ilvl="1" w:tentative="0">
      <w:start w:val="2"/>
      <w:numFmt w:val="decimal"/>
      <w:suff w:val="nothing"/>
      <w:lvlText w:val="%1、"/>
      <w:lvlJc w:val="left"/>
    </w:lvl>
    <w:lvl w:ilvl="2" w:tentative="0">
      <w:start w:val="2"/>
      <w:numFmt w:val="decimal"/>
      <w:suff w:val="nothing"/>
      <w:lvlText w:val="%1、"/>
      <w:lvlJc w:val="left"/>
    </w:lvl>
    <w:lvl w:ilvl="3" w:tentative="0">
      <w:start w:val="2"/>
      <w:numFmt w:val="decimal"/>
      <w:suff w:val="nothing"/>
      <w:lvlText w:val="%1、"/>
      <w:lvlJc w:val="left"/>
    </w:lvl>
    <w:lvl w:ilvl="4" w:tentative="0">
      <w:start w:val="2"/>
      <w:numFmt w:val="decimal"/>
      <w:suff w:val="nothing"/>
      <w:lvlText w:val="%1、"/>
      <w:lvlJc w:val="left"/>
    </w:lvl>
    <w:lvl w:ilvl="5" w:tentative="0">
      <w:start w:val="2"/>
      <w:numFmt w:val="decimal"/>
      <w:suff w:val="nothing"/>
      <w:lvlText w:val="%1、"/>
      <w:lvlJc w:val="left"/>
    </w:lvl>
    <w:lvl w:ilvl="6" w:tentative="0">
      <w:start w:val="2"/>
      <w:numFmt w:val="decimal"/>
      <w:suff w:val="nothing"/>
      <w:lvlText w:val="%1、"/>
      <w:lvlJc w:val="left"/>
    </w:lvl>
    <w:lvl w:ilvl="7" w:tentative="0">
      <w:start w:val="2"/>
      <w:numFmt w:val="decimal"/>
      <w:suff w:val="nothing"/>
      <w:lvlText w:val="%1、"/>
      <w:lvlJc w:val="left"/>
    </w:lvl>
    <w:lvl w:ilvl="8" w:tentative="0">
      <w:start w:val="2"/>
      <w:numFmt w:val="decimal"/>
      <w:suff w:val="nothing"/>
      <w:lvlText w:val="%1、"/>
      <w:lvlJc w:val="left"/>
    </w:lvl>
  </w:abstractNum>
  <w:abstractNum w:abstractNumId="5">
    <w:nsid w:val="2F000001"/>
    <w:multiLevelType w:val="multilevel"/>
    <w:tmpl w:val="2F000001"/>
    <w:lvl w:ilvl="0" w:tentative="0">
      <w:start w:val="18"/>
      <w:numFmt w:val="decimal"/>
      <w:suff w:val="space"/>
      <w:lvlText w:val="%1."/>
      <w:lvlJc w:val="left"/>
    </w:lvl>
    <w:lvl w:ilvl="1" w:tentative="0">
      <w:start w:val="18"/>
      <w:numFmt w:val="decimal"/>
      <w:suff w:val="space"/>
      <w:lvlText w:val="%1."/>
      <w:lvlJc w:val="left"/>
    </w:lvl>
    <w:lvl w:ilvl="2" w:tentative="0">
      <w:start w:val="18"/>
      <w:numFmt w:val="decimal"/>
      <w:suff w:val="space"/>
      <w:lvlText w:val="%1."/>
      <w:lvlJc w:val="left"/>
    </w:lvl>
    <w:lvl w:ilvl="3" w:tentative="0">
      <w:start w:val="18"/>
      <w:numFmt w:val="decimal"/>
      <w:suff w:val="space"/>
      <w:lvlText w:val="%1."/>
      <w:lvlJc w:val="left"/>
    </w:lvl>
    <w:lvl w:ilvl="4" w:tentative="0">
      <w:start w:val="18"/>
      <w:numFmt w:val="decimal"/>
      <w:suff w:val="space"/>
      <w:lvlText w:val="%1."/>
      <w:lvlJc w:val="left"/>
    </w:lvl>
    <w:lvl w:ilvl="5" w:tentative="0">
      <w:start w:val="18"/>
      <w:numFmt w:val="decimal"/>
      <w:suff w:val="space"/>
      <w:lvlText w:val="%1."/>
      <w:lvlJc w:val="left"/>
    </w:lvl>
    <w:lvl w:ilvl="6" w:tentative="0">
      <w:start w:val="18"/>
      <w:numFmt w:val="decimal"/>
      <w:suff w:val="space"/>
      <w:lvlText w:val="%1."/>
      <w:lvlJc w:val="left"/>
    </w:lvl>
    <w:lvl w:ilvl="7" w:tentative="0">
      <w:start w:val="18"/>
      <w:numFmt w:val="decimal"/>
      <w:suff w:val="space"/>
      <w:lvlText w:val="%1."/>
      <w:lvlJc w:val="left"/>
    </w:lvl>
    <w:lvl w:ilvl="8" w:tentative="0">
      <w:start w:val="18"/>
      <w:numFmt w:val="decimal"/>
      <w:suff w:val="space"/>
      <w:lvlText w:val="%1."/>
      <w:lvlJc w:val="left"/>
    </w:lvl>
  </w:abstractNum>
  <w:abstractNum w:abstractNumId="6">
    <w:nsid w:val="2F000002"/>
    <w:multiLevelType w:val="multilevel"/>
    <w:tmpl w:val="2F000002"/>
    <w:lvl w:ilvl="0" w:tentative="0">
      <w:start w:val="13"/>
      <w:numFmt w:val="decimal"/>
      <w:suff w:val="space"/>
      <w:lvlText w:val="%1."/>
      <w:lvlJc w:val="left"/>
    </w:lvl>
    <w:lvl w:ilvl="1" w:tentative="0">
      <w:start w:val="13"/>
      <w:numFmt w:val="decimal"/>
      <w:suff w:val="space"/>
      <w:lvlText w:val="%1."/>
      <w:lvlJc w:val="left"/>
    </w:lvl>
    <w:lvl w:ilvl="2" w:tentative="0">
      <w:start w:val="13"/>
      <w:numFmt w:val="decimal"/>
      <w:suff w:val="space"/>
      <w:lvlText w:val="%1."/>
      <w:lvlJc w:val="left"/>
    </w:lvl>
    <w:lvl w:ilvl="3" w:tentative="0">
      <w:start w:val="13"/>
      <w:numFmt w:val="decimal"/>
      <w:suff w:val="space"/>
      <w:lvlText w:val="%1."/>
      <w:lvlJc w:val="left"/>
    </w:lvl>
    <w:lvl w:ilvl="4" w:tentative="0">
      <w:start w:val="13"/>
      <w:numFmt w:val="decimal"/>
      <w:suff w:val="space"/>
      <w:lvlText w:val="%1."/>
      <w:lvlJc w:val="left"/>
    </w:lvl>
    <w:lvl w:ilvl="5" w:tentative="0">
      <w:start w:val="13"/>
      <w:numFmt w:val="decimal"/>
      <w:suff w:val="space"/>
      <w:lvlText w:val="%1."/>
      <w:lvlJc w:val="left"/>
    </w:lvl>
    <w:lvl w:ilvl="6" w:tentative="0">
      <w:start w:val="13"/>
      <w:numFmt w:val="decimal"/>
      <w:suff w:val="space"/>
      <w:lvlText w:val="%1."/>
      <w:lvlJc w:val="left"/>
    </w:lvl>
    <w:lvl w:ilvl="7" w:tentative="0">
      <w:start w:val="13"/>
      <w:numFmt w:val="decimal"/>
      <w:suff w:val="space"/>
      <w:lvlText w:val="%1."/>
      <w:lvlJc w:val="left"/>
    </w:lvl>
    <w:lvl w:ilvl="8" w:tentative="0">
      <w:start w:val="13"/>
      <w:numFmt w:val="decimal"/>
      <w:suff w:val="space"/>
      <w:lvlText w:val="%1."/>
      <w:lvlJc w:val="left"/>
    </w:lvl>
  </w:abstractNum>
  <w:abstractNum w:abstractNumId="7">
    <w:nsid w:val="2F000005"/>
    <w:multiLevelType w:val="multilevel"/>
    <w:tmpl w:val="2F000005"/>
    <w:lvl w:ilvl="0" w:tentative="0">
      <w:start w:val="1"/>
      <w:numFmt w:val="decimal"/>
      <w:lvlText w:val="%1."/>
      <w:lvlJc w:val="left"/>
      <w:pPr>
        <w:tabs>
          <w:tab w:val="left" w:pos="1134"/>
        </w:tabs>
        <w:ind w:left="1134" w:hanging="1134"/>
      </w:pPr>
      <w:rPr>
        <w:rFonts w:hint="eastAsia" w:cs="Times New Roman"/>
      </w:rPr>
    </w:lvl>
    <w:lvl w:ilvl="1" w:tentative="0">
      <w:start w:val="1"/>
      <w:numFmt w:val="decimal"/>
      <w:lvlText w:val="5.%2"/>
      <w:lvlJc w:val="left"/>
      <w:pPr>
        <w:tabs>
          <w:tab w:val="left" w:pos="1134"/>
        </w:tabs>
        <w:ind w:left="1134" w:hanging="1134"/>
      </w:pPr>
      <w:rPr>
        <w:rFonts w:hint="eastAsia" w:cs="Times New Roman"/>
      </w:rPr>
    </w:lvl>
    <w:lvl w:ilvl="2" w:tentative="0">
      <w:start w:val="0"/>
      <w:numFmt w:val="bullet"/>
      <w:lvlText w:val=""/>
      <w:lvlJc w:val="left"/>
      <w:pPr>
        <w:tabs>
          <w:tab w:val="left" w:pos="360"/>
        </w:tabs>
        <w:ind w:firstLine="0"/>
      </w:pPr>
      <w:rPr>
        <w:rFonts w:hint="eastAsia" w:cs="Times New Roman"/>
      </w:rPr>
    </w:lvl>
    <w:lvl w:ilvl="3" w:tentative="0">
      <w:start w:val="0"/>
      <w:numFmt w:val="bullet"/>
      <w:lvlText w:val=""/>
      <w:lvlJc w:val="left"/>
      <w:pPr>
        <w:tabs>
          <w:tab w:val="left" w:pos="360"/>
        </w:tabs>
        <w:ind w:firstLine="0"/>
      </w:pPr>
      <w:rPr>
        <w:rFonts w:hint="eastAsia" w:cs="Times New Roman"/>
      </w:rPr>
    </w:lvl>
    <w:lvl w:ilvl="4" w:tentative="0">
      <w:start w:val="0"/>
      <w:numFmt w:val="bullet"/>
      <w:lvlText w:val=""/>
      <w:lvlJc w:val="left"/>
      <w:pPr>
        <w:tabs>
          <w:tab w:val="left" w:pos="360"/>
        </w:tabs>
        <w:ind w:firstLine="0"/>
      </w:pPr>
      <w:rPr>
        <w:rFonts w:hint="eastAsia" w:cs="Times New Roman"/>
      </w:rPr>
    </w:lvl>
    <w:lvl w:ilvl="5" w:tentative="0">
      <w:start w:val="0"/>
      <w:numFmt w:val="bullet"/>
      <w:lvlText w:val=""/>
      <w:lvlJc w:val="left"/>
      <w:pPr>
        <w:tabs>
          <w:tab w:val="left" w:pos="360"/>
        </w:tabs>
        <w:ind w:firstLine="0"/>
      </w:pPr>
      <w:rPr>
        <w:rFonts w:hint="eastAsia" w:cs="Times New Roman"/>
      </w:rPr>
    </w:lvl>
    <w:lvl w:ilvl="6" w:tentative="0">
      <w:start w:val="0"/>
      <w:numFmt w:val="bullet"/>
      <w:lvlText w:val=""/>
      <w:lvlJc w:val="left"/>
      <w:pPr>
        <w:tabs>
          <w:tab w:val="left" w:pos="360"/>
        </w:tabs>
        <w:ind w:firstLine="0"/>
      </w:pPr>
      <w:rPr>
        <w:rFonts w:hint="eastAsia" w:cs="Times New Roman"/>
      </w:rPr>
    </w:lvl>
    <w:lvl w:ilvl="7" w:tentative="0">
      <w:start w:val="0"/>
      <w:numFmt w:val="bullet"/>
      <w:lvlText w:val=""/>
      <w:lvlJc w:val="left"/>
      <w:pPr>
        <w:tabs>
          <w:tab w:val="left" w:pos="360"/>
        </w:tabs>
        <w:ind w:firstLine="0"/>
      </w:pPr>
      <w:rPr>
        <w:rFonts w:hint="eastAsia" w:cs="Times New Roman"/>
      </w:rPr>
    </w:lvl>
    <w:lvl w:ilvl="8" w:tentative="0">
      <w:start w:val="0"/>
      <w:numFmt w:val="bullet"/>
      <w:lvlText w:val=""/>
      <w:lvlJc w:val="left"/>
      <w:pPr>
        <w:tabs>
          <w:tab w:val="left" w:pos="360"/>
        </w:tabs>
        <w:ind w:firstLine="0"/>
      </w:pPr>
      <w:rPr>
        <w:rFonts w:hint="eastAsia" w:cs="Times New Roman"/>
      </w:rPr>
    </w:lvl>
  </w:abstractNum>
  <w:abstractNum w:abstractNumId="8">
    <w:nsid w:val="2F000009"/>
    <w:multiLevelType w:val="multilevel"/>
    <w:tmpl w:val="2F000009"/>
    <w:lvl w:ilvl="0" w:tentative="0">
      <w:start w:val="1"/>
      <w:numFmt w:val="decimal"/>
      <w:lvlText w:val="%1"/>
      <w:lvlJc w:val="left"/>
      <w:pPr>
        <w:tabs>
          <w:tab w:val="left" w:pos="540"/>
        </w:tabs>
        <w:ind w:left="540" w:hanging="540"/>
      </w:pPr>
      <w:rPr>
        <w:rFonts w:hint="eastAsia" w:cs="Times New Roman"/>
      </w:rPr>
    </w:lvl>
    <w:lvl w:ilvl="1" w:tentative="0">
      <w:start w:val="1"/>
      <w:numFmt w:val="decimal"/>
      <w:lvlText w:val="%1.%2"/>
      <w:lvlJc w:val="left"/>
      <w:pPr>
        <w:tabs>
          <w:tab w:val="left" w:pos="1134"/>
        </w:tabs>
        <w:ind w:left="1134" w:hanging="1134"/>
      </w:pPr>
      <w:rPr>
        <w:rFonts w:hint="eastAsia" w:cs="Times New Roman"/>
      </w:rPr>
    </w:lvl>
    <w:lvl w:ilvl="2" w:tentative="0">
      <w:start w:val="1"/>
      <w:numFmt w:val="decimal"/>
      <w:lvlText w:val="%1.%2.%3"/>
      <w:lvlJc w:val="left"/>
      <w:pPr>
        <w:tabs>
          <w:tab w:val="left" w:pos="1134"/>
        </w:tabs>
        <w:ind w:left="1134" w:hanging="1134"/>
      </w:pPr>
      <w:rPr>
        <w:rFonts w:hint="eastAsia" w:cs="Times New Roman"/>
      </w:rPr>
    </w:lvl>
    <w:lvl w:ilvl="3" w:tentative="0">
      <w:start w:val="1"/>
      <w:numFmt w:val="decimal"/>
      <w:lvlText w:val="%1.%2.%3.%4"/>
      <w:lvlJc w:val="left"/>
      <w:pPr>
        <w:tabs>
          <w:tab w:val="left" w:pos="720"/>
        </w:tabs>
        <w:ind w:left="720" w:hanging="720"/>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9">
    <w:nsid w:val="2F000011"/>
    <w:multiLevelType w:val="multilevel"/>
    <w:tmpl w:val="2F000011"/>
    <w:lvl w:ilvl="0" w:tentative="0">
      <w:start w:val="1"/>
      <w:numFmt w:val="chineseCountingThousand"/>
      <w:lvlText w:val="第%1章"/>
      <w:lvlJc w:val="left"/>
      <w:pPr>
        <w:tabs>
          <w:tab w:val="left" w:pos="1134"/>
        </w:tabs>
        <w:ind w:left="1134" w:hanging="1134"/>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0">
    <w:nsid w:val="2F000016"/>
    <w:multiLevelType w:val="multilevel"/>
    <w:tmpl w:val="2F000016"/>
    <w:lvl w:ilvl="0" w:tentative="0">
      <w:start w:val="8"/>
      <w:numFmt w:val="decimal"/>
      <w:lvlText w:val="%1"/>
      <w:lvlJc w:val="left"/>
      <w:pPr>
        <w:tabs>
          <w:tab w:val="left" w:pos="720"/>
        </w:tabs>
        <w:ind w:left="720" w:hanging="720"/>
      </w:pPr>
      <w:rPr>
        <w:rFonts w:hint="default"/>
      </w:rPr>
    </w:lvl>
    <w:lvl w:ilvl="1" w:tentative="0">
      <w:start w:val="1"/>
      <w:numFmt w:val="decimal"/>
      <w:lvlText w:val="A%2"/>
      <w:lvlJc w:val="left"/>
      <w:pPr>
        <w:tabs>
          <w:tab w:val="left" w:pos="567"/>
        </w:tabs>
        <w:ind w:left="567" w:hanging="567"/>
      </w:pPr>
      <w:rPr>
        <w:rFonts w:hint="eastAsia"/>
        <w:b/>
        <w:i w:val="0"/>
        <w:sz w:val="21"/>
        <w:szCs w:val="21"/>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11">
    <w:nsid w:val="2F000017"/>
    <w:multiLevelType w:val="multilevel"/>
    <w:tmpl w:val="2F000017"/>
    <w:lvl w:ilvl="0" w:tentative="0">
      <w:start w:val="4"/>
      <w:numFmt w:val="decimal"/>
      <w:lvlText w:val="%1"/>
      <w:lvlJc w:val="left"/>
      <w:pPr>
        <w:tabs>
          <w:tab w:val="left" w:pos="540"/>
        </w:tabs>
        <w:ind w:left="540" w:hanging="540"/>
      </w:pPr>
      <w:rPr>
        <w:rFonts w:hint="eastAsia" w:cs="Times New Roman"/>
      </w:rPr>
    </w:lvl>
    <w:lvl w:ilvl="1" w:tentative="0">
      <w:start w:val="1"/>
      <w:numFmt w:val="decimal"/>
      <w:lvlText w:val="%1.%2"/>
      <w:lvlJc w:val="left"/>
      <w:pPr>
        <w:tabs>
          <w:tab w:val="left" w:pos="1560"/>
        </w:tabs>
        <w:ind w:left="1560" w:hanging="1134"/>
      </w:pPr>
      <w:rPr>
        <w:rFonts w:hint="eastAsia" w:cs="Times New Roman"/>
      </w:rPr>
    </w:lvl>
    <w:lvl w:ilvl="2" w:tentative="0">
      <w:start w:val="1"/>
      <w:numFmt w:val="decimal"/>
      <w:lvlText w:val="%1.%2.%3"/>
      <w:lvlJc w:val="left"/>
      <w:pPr>
        <w:tabs>
          <w:tab w:val="left" w:pos="1134"/>
        </w:tabs>
        <w:ind w:left="1134" w:hanging="1134"/>
      </w:pPr>
      <w:rPr>
        <w:rFonts w:hint="eastAsia" w:cs="Times New Roman"/>
      </w:rPr>
    </w:lvl>
    <w:lvl w:ilvl="3" w:tentative="0">
      <w:start w:val="1"/>
      <w:numFmt w:val="decimal"/>
      <w:lvlText w:val="%1.%2.%3.%4"/>
      <w:lvlJc w:val="left"/>
      <w:pPr>
        <w:tabs>
          <w:tab w:val="left" w:pos="1134"/>
        </w:tabs>
        <w:ind w:left="1134" w:hanging="1134"/>
      </w:pPr>
      <w:rPr>
        <w:rFonts w:hint="eastAsia" w:cs="Times New Roman"/>
      </w:rPr>
    </w:lvl>
    <w:lvl w:ilvl="4" w:tentative="0">
      <w:start w:val="1"/>
      <w:numFmt w:val="decimal"/>
      <w:lvlText w:val="%1.%2.%3.%4.%5"/>
      <w:lvlJc w:val="left"/>
      <w:pPr>
        <w:tabs>
          <w:tab w:val="left" w:pos="1080"/>
        </w:tabs>
        <w:ind w:left="1080" w:hanging="1080"/>
      </w:pPr>
      <w:rPr>
        <w:rFonts w:hint="eastAsia" w:cs="Times New Roman"/>
      </w:rPr>
    </w:lvl>
    <w:lvl w:ilvl="5" w:tentative="0">
      <w:start w:val="1"/>
      <w:numFmt w:val="decimal"/>
      <w:lvlText w:val="%1.%2.%3.%4.%5.%6"/>
      <w:lvlJc w:val="left"/>
      <w:pPr>
        <w:tabs>
          <w:tab w:val="left" w:pos="1080"/>
        </w:tabs>
        <w:ind w:left="1080" w:hanging="1080"/>
      </w:pPr>
      <w:rPr>
        <w:rFonts w:hint="eastAsia" w:cs="Times New Roman"/>
      </w:rPr>
    </w:lvl>
    <w:lvl w:ilvl="6" w:tentative="0">
      <w:start w:val="1"/>
      <w:numFmt w:val="decimal"/>
      <w:lvlText w:val="%1.%2.%3.%4.%5.%6.%7"/>
      <w:lvlJc w:val="left"/>
      <w:pPr>
        <w:tabs>
          <w:tab w:val="left" w:pos="1440"/>
        </w:tabs>
        <w:ind w:left="1440" w:hanging="1440"/>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800"/>
        </w:tabs>
        <w:ind w:left="1800" w:hanging="1800"/>
      </w:pPr>
      <w:rPr>
        <w:rFonts w:hint="eastAsia" w:cs="Times New Roman"/>
      </w:rPr>
    </w:lvl>
  </w:abstractNum>
  <w:abstractNum w:abstractNumId="12">
    <w:nsid w:val="2F00001A"/>
    <w:multiLevelType w:val="multilevel"/>
    <w:tmpl w:val="2F00001A"/>
    <w:lvl w:ilvl="0" w:tentative="0">
      <w:start w:val="1"/>
      <w:numFmt w:val="decimal"/>
      <w:lvlText w:val="6.%1"/>
      <w:lvlJc w:val="left"/>
      <w:pPr>
        <w:tabs>
          <w:tab w:val="left" w:pos="1134"/>
        </w:tabs>
        <w:ind w:left="1134" w:hanging="1134"/>
      </w:pPr>
      <w:rPr>
        <w:rFonts w:hint="eastAsia" w:cs="Times New Roman"/>
      </w:rPr>
    </w:lvl>
    <w:lvl w:ilvl="1" w:tentative="0">
      <w:start w:val="1"/>
      <w:numFmt w:val="decimal"/>
      <w:lvlText w:val="7.%2"/>
      <w:lvlJc w:val="left"/>
      <w:pPr>
        <w:tabs>
          <w:tab w:val="left" w:pos="1134"/>
        </w:tabs>
        <w:ind w:left="1134" w:hanging="1134"/>
      </w:pPr>
      <w:rPr>
        <w:rFonts w:hint="eastAsia" w:ascii="宋体" w:hAnsi="宋体" w:eastAsia="宋体" w:cs="Times New Roman"/>
        <w:b w:val="0"/>
        <w:i w:val="0"/>
        <w:sz w:val="21"/>
        <w:szCs w:val="21"/>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3">
    <w:nsid w:val="2F000029"/>
    <w:multiLevelType w:val="multilevel"/>
    <w:tmpl w:val="2F000029"/>
    <w:lvl w:ilvl="0" w:tentative="0">
      <w:start w:val="34"/>
      <w:numFmt w:val="decimal"/>
      <w:suff w:val="space"/>
      <w:lvlText w:val="%1."/>
      <w:lvlJc w:val="left"/>
    </w:lvl>
    <w:lvl w:ilvl="1" w:tentative="0">
      <w:start w:val="34"/>
      <w:numFmt w:val="decimal"/>
      <w:suff w:val="space"/>
      <w:lvlText w:val="%1."/>
      <w:lvlJc w:val="left"/>
    </w:lvl>
    <w:lvl w:ilvl="2" w:tentative="0">
      <w:start w:val="34"/>
      <w:numFmt w:val="decimal"/>
      <w:suff w:val="space"/>
      <w:lvlText w:val="%1."/>
      <w:lvlJc w:val="left"/>
    </w:lvl>
    <w:lvl w:ilvl="3" w:tentative="0">
      <w:start w:val="34"/>
      <w:numFmt w:val="decimal"/>
      <w:suff w:val="space"/>
      <w:lvlText w:val="%1."/>
      <w:lvlJc w:val="left"/>
    </w:lvl>
    <w:lvl w:ilvl="4" w:tentative="0">
      <w:start w:val="34"/>
      <w:numFmt w:val="decimal"/>
      <w:suff w:val="space"/>
      <w:lvlText w:val="%1."/>
      <w:lvlJc w:val="left"/>
    </w:lvl>
    <w:lvl w:ilvl="5" w:tentative="0">
      <w:start w:val="34"/>
      <w:numFmt w:val="decimal"/>
      <w:suff w:val="space"/>
      <w:lvlText w:val="%1."/>
      <w:lvlJc w:val="left"/>
    </w:lvl>
    <w:lvl w:ilvl="6" w:tentative="0">
      <w:start w:val="34"/>
      <w:numFmt w:val="decimal"/>
      <w:suff w:val="space"/>
      <w:lvlText w:val="%1."/>
      <w:lvlJc w:val="left"/>
    </w:lvl>
    <w:lvl w:ilvl="7" w:tentative="0">
      <w:start w:val="34"/>
      <w:numFmt w:val="decimal"/>
      <w:suff w:val="space"/>
      <w:lvlText w:val="%1."/>
      <w:lvlJc w:val="left"/>
    </w:lvl>
    <w:lvl w:ilvl="8" w:tentative="0">
      <w:start w:val="34"/>
      <w:numFmt w:val="decimal"/>
      <w:suff w:val="space"/>
      <w:lvlText w:val="%1."/>
      <w:lvlJc w:val="left"/>
    </w:lvl>
  </w:abstractNum>
  <w:abstractNum w:abstractNumId="14">
    <w:nsid w:val="2F00003B"/>
    <w:multiLevelType w:val="multilevel"/>
    <w:tmpl w:val="2F00003B"/>
    <w:lvl w:ilvl="0" w:tentative="0">
      <w:start w:val="23"/>
      <w:numFmt w:val="decimal"/>
      <w:suff w:val="space"/>
      <w:lvlText w:val="%1."/>
      <w:lvlJc w:val="left"/>
    </w:lvl>
    <w:lvl w:ilvl="1" w:tentative="0">
      <w:start w:val="23"/>
      <w:numFmt w:val="decimal"/>
      <w:suff w:val="space"/>
      <w:lvlText w:val="%1."/>
      <w:lvlJc w:val="left"/>
    </w:lvl>
    <w:lvl w:ilvl="2" w:tentative="0">
      <w:start w:val="23"/>
      <w:numFmt w:val="decimal"/>
      <w:suff w:val="space"/>
      <w:lvlText w:val="%1."/>
      <w:lvlJc w:val="left"/>
    </w:lvl>
    <w:lvl w:ilvl="3" w:tentative="0">
      <w:start w:val="23"/>
      <w:numFmt w:val="decimal"/>
      <w:suff w:val="space"/>
      <w:lvlText w:val="%1."/>
      <w:lvlJc w:val="left"/>
    </w:lvl>
    <w:lvl w:ilvl="4" w:tentative="0">
      <w:start w:val="23"/>
      <w:numFmt w:val="decimal"/>
      <w:suff w:val="space"/>
      <w:lvlText w:val="%1."/>
      <w:lvlJc w:val="left"/>
    </w:lvl>
    <w:lvl w:ilvl="5" w:tentative="0">
      <w:start w:val="23"/>
      <w:numFmt w:val="decimal"/>
      <w:suff w:val="space"/>
      <w:lvlText w:val="%1."/>
      <w:lvlJc w:val="left"/>
    </w:lvl>
    <w:lvl w:ilvl="6" w:tentative="0">
      <w:start w:val="23"/>
      <w:numFmt w:val="decimal"/>
      <w:suff w:val="space"/>
      <w:lvlText w:val="%1."/>
      <w:lvlJc w:val="left"/>
    </w:lvl>
    <w:lvl w:ilvl="7" w:tentative="0">
      <w:start w:val="23"/>
      <w:numFmt w:val="decimal"/>
      <w:suff w:val="space"/>
      <w:lvlText w:val="%1."/>
      <w:lvlJc w:val="left"/>
    </w:lvl>
    <w:lvl w:ilvl="8" w:tentative="0">
      <w:start w:val="23"/>
      <w:numFmt w:val="decimal"/>
      <w:suff w:val="space"/>
      <w:lvlText w:val="%1."/>
      <w:lvlJc w:val="left"/>
    </w:lvl>
  </w:abstractNum>
  <w:abstractNum w:abstractNumId="15">
    <w:nsid w:val="2F000045"/>
    <w:multiLevelType w:val="multilevel"/>
    <w:tmpl w:val="2F000045"/>
    <w:lvl w:ilvl="0" w:tentative="0">
      <w:start w:val="9"/>
      <w:numFmt w:val="decimal"/>
      <w:suff w:val="space"/>
      <w:lvlText w:val="%1."/>
      <w:lvlJc w:val="left"/>
    </w:lvl>
    <w:lvl w:ilvl="1" w:tentative="0">
      <w:start w:val="9"/>
      <w:numFmt w:val="decimal"/>
      <w:suff w:val="space"/>
      <w:lvlText w:val="%1."/>
      <w:lvlJc w:val="left"/>
    </w:lvl>
    <w:lvl w:ilvl="2" w:tentative="0">
      <w:start w:val="9"/>
      <w:numFmt w:val="decimal"/>
      <w:suff w:val="space"/>
      <w:lvlText w:val="%1."/>
      <w:lvlJc w:val="left"/>
    </w:lvl>
    <w:lvl w:ilvl="3" w:tentative="0">
      <w:start w:val="9"/>
      <w:numFmt w:val="decimal"/>
      <w:suff w:val="space"/>
      <w:lvlText w:val="%1."/>
      <w:lvlJc w:val="left"/>
    </w:lvl>
    <w:lvl w:ilvl="4" w:tentative="0">
      <w:start w:val="9"/>
      <w:numFmt w:val="decimal"/>
      <w:suff w:val="space"/>
      <w:lvlText w:val="%1."/>
      <w:lvlJc w:val="left"/>
    </w:lvl>
    <w:lvl w:ilvl="5" w:tentative="0">
      <w:start w:val="9"/>
      <w:numFmt w:val="decimal"/>
      <w:suff w:val="space"/>
      <w:lvlText w:val="%1."/>
      <w:lvlJc w:val="left"/>
    </w:lvl>
    <w:lvl w:ilvl="6" w:tentative="0">
      <w:start w:val="9"/>
      <w:numFmt w:val="decimal"/>
      <w:suff w:val="space"/>
      <w:lvlText w:val="%1."/>
      <w:lvlJc w:val="left"/>
    </w:lvl>
    <w:lvl w:ilvl="7" w:tentative="0">
      <w:start w:val="9"/>
      <w:numFmt w:val="decimal"/>
      <w:suff w:val="space"/>
      <w:lvlText w:val="%1."/>
      <w:lvlJc w:val="left"/>
    </w:lvl>
    <w:lvl w:ilvl="8" w:tentative="0">
      <w:start w:val="9"/>
      <w:numFmt w:val="decimal"/>
      <w:suff w:val="space"/>
      <w:lvlText w:val="%1."/>
      <w:lvlJc w:val="left"/>
    </w:lvl>
  </w:abstractNum>
  <w:abstractNum w:abstractNumId="16">
    <w:nsid w:val="4BFE1D08"/>
    <w:multiLevelType w:val="singleLevel"/>
    <w:tmpl w:val="4BFE1D08"/>
    <w:lvl w:ilvl="0" w:tentative="0">
      <w:start w:val="6"/>
      <w:numFmt w:val="chineseCounting"/>
      <w:suff w:val="nothing"/>
      <w:lvlText w:val="%1、"/>
      <w:lvlJc w:val="left"/>
      <w:rPr>
        <w:rFonts w:hint="eastAsia"/>
      </w:rPr>
    </w:lvl>
  </w:abstractNum>
  <w:abstractNum w:abstractNumId="17">
    <w:nsid w:val="7119DD87"/>
    <w:multiLevelType w:val="singleLevel"/>
    <w:tmpl w:val="7119DD87"/>
    <w:lvl w:ilvl="0" w:tentative="0">
      <w:start w:val="18"/>
      <w:numFmt w:val="decimal"/>
      <w:suff w:val="space"/>
      <w:lvlText w:val="%1."/>
      <w:lvlJc w:val="left"/>
    </w:lvl>
  </w:abstractNum>
  <w:num w:numId="1">
    <w:abstractNumId w:val="1"/>
  </w:num>
  <w:num w:numId="2">
    <w:abstractNumId w:val="9"/>
  </w:num>
  <w:num w:numId="3">
    <w:abstractNumId w:val="15"/>
  </w:num>
  <w:num w:numId="4">
    <w:abstractNumId w:val="6"/>
  </w:num>
  <w:num w:numId="5">
    <w:abstractNumId w:val="5"/>
  </w:num>
  <w:num w:numId="6">
    <w:abstractNumId w:val="14"/>
  </w:num>
  <w:num w:numId="7">
    <w:abstractNumId w:val="13"/>
  </w:num>
  <w:num w:numId="8">
    <w:abstractNumId w:val="3"/>
  </w:num>
  <w:num w:numId="9">
    <w:abstractNumId w:val="8"/>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7"/>
  </w:num>
  <w:num w:numId="13">
    <w:abstractNumId w:val="12"/>
  </w:num>
  <w:num w:numId="14">
    <w:abstractNumId w:val="17"/>
  </w:num>
  <w:num w:numId="15">
    <w:abstractNumId w:val="16"/>
  </w:num>
  <w:num w:numId="16">
    <w:abstractNumId w:val="10"/>
  </w:num>
  <w:num w:numId="17">
    <w:abstractNumId w:val="4"/>
  </w:num>
  <w:num w:numId="18">
    <w:abstractNumId w:val="2"/>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balanceSingleByteDoubleByteWidth/>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jlmNTI0ZWQ5MjFmZDhmOTA3NDEwOTQxNDcyZTJhNmEifQ=="/>
  </w:docVars>
  <w:rsids>
    <w:rsidRoot w:val="00172A27"/>
    <w:rsid w:val="000000F2"/>
    <w:rsid w:val="00000139"/>
    <w:rsid w:val="000045EA"/>
    <w:rsid w:val="00007C3F"/>
    <w:rsid w:val="000143B4"/>
    <w:rsid w:val="00015B06"/>
    <w:rsid w:val="00022F88"/>
    <w:rsid w:val="00030F30"/>
    <w:rsid w:val="00034829"/>
    <w:rsid w:val="000437E6"/>
    <w:rsid w:val="00043E88"/>
    <w:rsid w:val="00050898"/>
    <w:rsid w:val="0005200D"/>
    <w:rsid w:val="000522E5"/>
    <w:rsid w:val="00052A18"/>
    <w:rsid w:val="00070470"/>
    <w:rsid w:val="00074337"/>
    <w:rsid w:val="00081A9B"/>
    <w:rsid w:val="0008222E"/>
    <w:rsid w:val="00092270"/>
    <w:rsid w:val="0009493E"/>
    <w:rsid w:val="00095B78"/>
    <w:rsid w:val="000A0870"/>
    <w:rsid w:val="000A1767"/>
    <w:rsid w:val="000A49C9"/>
    <w:rsid w:val="000B34C7"/>
    <w:rsid w:val="000B5BA2"/>
    <w:rsid w:val="000C1668"/>
    <w:rsid w:val="000C1D2F"/>
    <w:rsid w:val="000C20C1"/>
    <w:rsid w:val="000C32A2"/>
    <w:rsid w:val="000C53FF"/>
    <w:rsid w:val="000C56A1"/>
    <w:rsid w:val="000C68D6"/>
    <w:rsid w:val="000D2B9F"/>
    <w:rsid w:val="000D3045"/>
    <w:rsid w:val="000D6403"/>
    <w:rsid w:val="000E072A"/>
    <w:rsid w:val="000E7DA5"/>
    <w:rsid w:val="000F56F5"/>
    <w:rsid w:val="000F5E28"/>
    <w:rsid w:val="000F6EB3"/>
    <w:rsid w:val="00100517"/>
    <w:rsid w:val="0011106B"/>
    <w:rsid w:val="0011296C"/>
    <w:rsid w:val="001207B4"/>
    <w:rsid w:val="00126FBA"/>
    <w:rsid w:val="001315CE"/>
    <w:rsid w:val="00133A8C"/>
    <w:rsid w:val="00135B62"/>
    <w:rsid w:val="00135C49"/>
    <w:rsid w:val="00136FF6"/>
    <w:rsid w:val="00141670"/>
    <w:rsid w:val="001445DC"/>
    <w:rsid w:val="001520D4"/>
    <w:rsid w:val="0015296D"/>
    <w:rsid w:val="00155FD4"/>
    <w:rsid w:val="0017175E"/>
    <w:rsid w:val="00180594"/>
    <w:rsid w:val="00183519"/>
    <w:rsid w:val="00186A28"/>
    <w:rsid w:val="001A37D3"/>
    <w:rsid w:val="001A3FCA"/>
    <w:rsid w:val="001B0893"/>
    <w:rsid w:val="001C0C50"/>
    <w:rsid w:val="001E0151"/>
    <w:rsid w:val="001E0D82"/>
    <w:rsid w:val="001E0D93"/>
    <w:rsid w:val="001E5985"/>
    <w:rsid w:val="001E5F4A"/>
    <w:rsid w:val="002030F5"/>
    <w:rsid w:val="002041A6"/>
    <w:rsid w:val="00206D2E"/>
    <w:rsid w:val="00210D44"/>
    <w:rsid w:val="00212AF9"/>
    <w:rsid w:val="00226768"/>
    <w:rsid w:val="00226771"/>
    <w:rsid w:val="00226B2E"/>
    <w:rsid w:val="00226D0E"/>
    <w:rsid w:val="00237A98"/>
    <w:rsid w:val="0024287B"/>
    <w:rsid w:val="002441F7"/>
    <w:rsid w:val="0024741B"/>
    <w:rsid w:val="00261C93"/>
    <w:rsid w:val="00265564"/>
    <w:rsid w:val="00272F80"/>
    <w:rsid w:val="0027764C"/>
    <w:rsid w:val="00281893"/>
    <w:rsid w:val="0028366D"/>
    <w:rsid w:val="00296707"/>
    <w:rsid w:val="002A20A0"/>
    <w:rsid w:val="002B1394"/>
    <w:rsid w:val="002C556E"/>
    <w:rsid w:val="002C5B0F"/>
    <w:rsid w:val="002D23D9"/>
    <w:rsid w:val="002D2720"/>
    <w:rsid w:val="002D2931"/>
    <w:rsid w:val="002D6D0E"/>
    <w:rsid w:val="002E190D"/>
    <w:rsid w:val="002E6BE3"/>
    <w:rsid w:val="003166B6"/>
    <w:rsid w:val="00316E03"/>
    <w:rsid w:val="003207F4"/>
    <w:rsid w:val="00320BB7"/>
    <w:rsid w:val="00330D78"/>
    <w:rsid w:val="003354EE"/>
    <w:rsid w:val="00337C6A"/>
    <w:rsid w:val="003464E7"/>
    <w:rsid w:val="00353318"/>
    <w:rsid w:val="00354E36"/>
    <w:rsid w:val="003568E4"/>
    <w:rsid w:val="00361313"/>
    <w:rsid w:val="0036732D"/>
    <w:rsid w:val="003706A5"/>
    <w:rsid w:val="003712A4"/>
    <w:rsid w:val="00383573"/>
    <w:rsid w:val="00393EBC"/>
    <w:rsid w:val="00394D2C"/>
    <w:rsid w:val="00395A23"/>
    <w:rsid w:val="003976F0"/>
    <w:rsid w:val="003A0C71"/>
    <w:rsid w:val="003A170B"/>
    <w:rsid w:val="003A286A"/>
    <w:rsid w:val="003A7F1A"/>
    <w:rsid w:val="003B097F"/>
    <w:rsid w:val="003B2656"/>
    <w:rsid w:val="003B3099"/>
    <w:rsid w:val="003B43D3"/>
    <w:rsid w:val="003B6BE9"/>
    <w:rsid w:val="003C312A"/>
    <w:rsid w:val="003C4653"/>
    <w:rsid w:val="003D0404"/>
    <w:rsid w:val="003D0506"/>
    <w:rsid w:val="003D3A75"/>
    <w:rsid w:val="003D6118"/>
    <w:rsid w:val="003E454F"/>
    <w:rsid w:val="003E6DFB"/>
    <w:rsid w:val="003F2270"/>
    <w:rsid w:val="003F746F"/>
    <w:rsid w:val="004043A2"/>
    <w:rsid w:val="004117BD"/>
    <w:rsid w:val="00412A48"/>
    <w:rsid w:val="00414B71"/>
    <w:rsid w:val="00417574"/>
    <w:rsid w:val="004215F1"/>
    <w:rsid w:val="0042215D"/>
    <w:rsid w:val="0043285C"/>
    <w:rsid w:val="00436E82"/>
    <w:rsid w:val="00440F9A"/>
    <w:rsid w:val="00443ADE"/>
    <w:rsid w:val="0044418D"/>
    <w:rsid w:val="004518D2"/>
    <w:rsid w:val="0045479E"/>
    <w:rsid w:val="004632AA"/>
    <w:rsid w:val="00476FBE"/>
    <w:rsid w:val="00483264"/>
    <w:rsid w:val="004A0C16"/>
    <w:rsid w:val="004A0D30"/>
    <w:rsid w:val="004B1E96"/>
    <w:rsid w:val="004B508D"/>
    <w:rsid w:val="004B62C0"/>
    <w:rsid w:val="004B6350"/>
    <w:rsid w:val="004C09AF"/>
    <w:rsid w:val="004C7017"/>
    <w:rsid w:val="004D03B0"/>
    <w:rsid w:val="004D1018"/>
    <w:rsid w:val="004D449E"/>
    <w:rsid w:val="004D4C3A"/>
    <w:rsid w:val="004E12DE"/>
    <w:rsid w:val="004F6E95"/>
    <w:rsid w:val="00500C4A"/>
    <w:rsid w:val="00505261"/>
    <w:rsid w:val="00510E4D"/>
    <w:rsid w:val="00512701"/>
    <w:rsid w:val="00512A45"/>
    <w:rsid w:val="0052634A"/>
    <w:rsid w:val="00532363"/>
    <w:rsid w:val="00537390"/>
    <w:rsid w:val="00541401"/>
    <w:rsid w:val="005418DB"/>
    <w:rsid w:val="0054269C"/>
    <w:rsid w:val="005448AD"/>
    <w:rsid w:val="00545844"/>
    <w:rsid w:val="00560A31"/>
    <w:rsid w:val="00562190"/>
    <w:rsid w:val="00564C20"/>
    <w:rsid w:val="00571D43"/>
    <w:rsid w:val="00574C3B"/>
    <w:rsid w:val="00575AB8"/>
    <w:rsid w:val="0057690D"/>
    <w:rsid w:val="00587B70"/>
    <w:rsid w:val="005A1A6A"/>
    <w:rsid w:val="005A2E67"/>
    <w:rsid w:val="005A5B47"/>
    <w:rsid w:val="005B01E0"/>
    <w:rsid w:val="005B2E43"/>
    <w:rsid w:val="005B439E"/>
    <w:rsid w:val="005C0AA6"/>
    <w:rsid w:val="005C5B0E"/>
    <w:rsid w:val="005D0BB2"/>
    <w:rsid w:val="005D30DE"/>
    <w:rsid w:val="005E5912"/>
    <w:rsid w:val="005F2A05"/>
    <w:rsid w:val="005F2C46"/>
    <w:rsid w:val="005F5B89"/>
    <w:rsid w:val="00606397"/>
    <w:rsid w:val="006173A4"/>
    <w:rsid w:val="00622520"/>
    <w:rsid w:val="006279E7"/>
    <w:rsid w:val="00634596"/>
    <w:rsid w:val="006425FA"/>
    <w:rsid w:val="00642B95"/>
    <w:rsid w:val="00647559"/>
    <w:rsid w:val="006523EB"/>
    <w:rsid w:val="00653C14"/>
    <w:rsid w:val="0065460D"/>
    <w:rsid w:val="0066001D"/>
    <w:rsid w:val="006679DC"/>
    <w:rsid w:val="00670400"/>
    <w:rsid w:val="006724B7"/>
    <w:rsid w:val="00672F69"/>
    <w:rsid w:val="00677925"/>
    <w:rsid w:val="00677A8A"/>
    <w:rsid w:val="00681391"/>
    <w:rsid w:val="006922EC"/>
    <w:rsid w:val="00692666"/>
    <w:rsid w:val="00695EDE"/>
    <w:rsid w:val="006A23E9"/>
    <w:rsid w:val="006A2F07"/>
    <w:rsid w:val="006A4D72"/>
    <w:rsid w:val="006A543A"/>
    <w:rsid w:val="006B46DE"/>
    <w:rsid w:val="006B6F3C"/>
    <w:rsid w:val="006C2D0C"/>
    <w:rsid w:val="006C4DC3"/>
    <w:rsid w:val="006C77CD"/>
    <w:rsid w:val="006E1C8A"/>
    <w:rsid w:val="006F48AD"/>
    <w:rsid w:val="006F56A7"/>
    <w:rsid w:val="006F629E"/>
    <w:rsid w:val="007032FC"/>
    <w:rsid w:val="00703D29"/>
    <w:rsid w:val="00703F0B"/>
    <w:rsid w:val="007076B1"/>
    <w:rsid w:val="0071330B"/>
    <w:rsid w:val="00722F66"/>
    <w:rsid w:val="00722FCE"/>
    <w:rsid w:val="007258A2"/>
    <w:rsid w:val="00733600"/>
    <w:rsid w:val="007339A9"/>
    <w:rsid w:val="007345D7"/>
    <w:rsid w:val="00735BD4"/>
    <w:rsid w:val="00737A61"/>
    <w:rsid w:val="00741B8D"/>
    <w:rsid w:val="00746901"/>
    <w:rsid w:val="00750C92"/>
    <w:rsid w:val="00751CDD"/>
    <w:rsid w:val="00753178"/>
    <w:rsid w:val="00754FB0"/>
    <w:rsid w:val="00756CAA"/>
    <w:rsid w:val="00762CB8"/>
    <w:rsid w:val="0077088A"/>
    <w:rsid w:val="00785F88"/>
    <w:rsid w:val="00786B37"/>
    <w:rsid w:val="00792362"/>
    <w:rsid w:val="007A04DC"/>
    <w:rsid w:val="007A287A"/>
    <w:rsid w:val="007A2EB0"/>
    <w:rsid w:val="007B04FF"/>
    <w:rsid w:val="007B6DA0"/>
    <w:rsid w:val="007C15ED"/>
    <w:rsid w:val="007C19AE"/>
    <w:rsid w:val="007C2CCC"/>
    <w:rsid w:val="007C337F"/>
    <w:rsid w:val="007D0888"/>
    <w:rsid w:val="007D2FAE"/>
    <w:rsid w:val="007D399D"/>
    <w:rsid w:val="007D59AF"/>
    <w:rsid w:val="007D7DEB"/>
    <w:rsid w:val="007F0619"/>
    <w:rsid w:val="007F28DB"/>
    <w:rsid w:val="007F4345"/>
    <w:rsid w:val="00803C1E"/>
    <w:rsid w:val="00804954"/>
    <w:rsid w:val="00810B98"/>
    <w:rsid w:val="0081164E"/>
    <w:rsid w:val="00816129"/>
    <w:rsid w:val="008177BD"/>
    <w:rsid w:val="00824189"/>
    <w:rsid w:val="008252F0"/>
    <w:rsid w:val="00826EBD"/>
    <w:rsid w:val="0083053A"/>
    <w:rsid w:val="0083668C"/>
    <w:rsid w:val="00840E0D"/>
    <w:rsid w:val="008461E9"/>
    <w:rsid w:val="008475AA"/>
    <w:rsid w:val="00856873"/>
    <w:rsid w:val="00860F02"/>
    <w:rsid w:val="00861912"/>
    <w:rsid w:val="008657A4"/>
    <w:rsid w:val="0086730C"/>
    <w:rsid w:val="0088026D"/>
    <w:rsid w:val="00881EB7"/>
    <w:rsid w:val="008821BC"/>
    <w:rsid w:val="00884884"/>
    <w:rsid w:val="0088570D"/>
    <w:rsid w:val="00887902"/>
    <w:rsid w:val="00891420"/>
    <w:rsid w:val="00895FBB"/>
    <w:rsid w:val="008A0C18"/>
    <w:rsid w:val="008A1E1B"/>
    <w:rsid w:val="008B0302"/>
    <w:rsid w:val="008B224C"/>
    <w:rsid w:val="008C2226"/>
    <w:rsid w:val="008C77F8"/>
    <w:rsid w:val="008D2976"/>
    <w:rsid w:val="008E500C"/>
    <w:rsid w:val="008F2A48"/>
    <w:rsid w:val="008F720F"/>
    <w:rsid w:val="009021F6"/>
    <w:rsid w:val="00902910"/>
    <w:rsid w:val="00904592"/>
    <w:rsid w:val="00906D34"/>
    <w:rsid w:val="009120C7"/>
    <w:rsid w:val="009123C5"/>
    <w:rsid w:val="00916179"/>
    <w:rsid w:val="00917615"/>
    <w:rsid w:val="00921A28"/>
    <w:rsid w:val="00925337"/>
    <w:rsid w:val="00931174"/>
    <w:rsid w:val="00937B1F"/>
    <w:rsid w:val="0094110B"/>
    <w:rsid w:val="00944B82"/>
    <w:rsid w:val="00945006"/>
    <w:rsid w:val="00956B31"/>
    <w:rsid w:val="00956FA8"/>
    <w:rsid w:val="00957AA0"/>
    <w:rsid w:val="009604CB"/>
    <w:rsid w:val="00961F4A"/>
    <w:rsid w:val="00965538"/>
    <w:rsid w:val="0097464F"/>
    <w:rsid w:val="00984BFB"/>
    <w:rsid w:val="00991B49"/>
    <w:rsid w:val="00995A55"/>
    <w:rsid w:val="009A7B76"/>
    <w:rsid w:val="009B0988"/>
    <w:rsid w:val="009B61ED"/>
    <w:rsid w:val="009C5DF4"/>
    <w:rsid w:val="009D3453"/>
    <w:rsid w:val="009E1329"/>
    <w:rsid w:val="009E28E5"/>
    <w:rsid w:val="009E4CE3"/>
    <w:rsid w:val="009F214A"/>
    <w:rsid w:val="009F374F"/>
    <w:rsid w:val="009F588C"/>
    <w:rsid w:val="00A02C14"/>
    <w:rsid w:val="00A03373"/>
    <w:rsid w:val="00A04FA9"/>
    <w:rsid w:val="00A05ECF"/>
    <w:rsid w:val="00A11C51"/>
    <w:rsid w:val="00A1337E"/>
    <w:rsid w:val="00A249A4"/>
    <w:rsid w:val="00A2528E"/>
    <w:rsid w:val="00A34C49"/>
    <w:rsid w:val="00A461C1"/>
    <w:rsid w:val="00A54F86"/>
    <w:rsid w:val="00A63392"/>
    <w:rsid w:val="00A64309"/>
    <w:rsid w:val="00A722C5"/>
    <w:rsid w:val="00A754B0"/>
    <w:rsid w:val="00A859DC"/>
    <w:rsid w:val="00A872DA"/>
    <w:rsid w:val="00A9122E"/>
    <w:rsid w:val="00A91F36"/>
    <w:rsid w:val="00A93A7F"/>
    <w:rsid w:val="00AA0FB3"/>
    <w:rsid w:val="00AB688B"/>
    <w:rsid w:val="00AB6B27"/>
    <w:rsid w:val="00AD6B25"/>
    <w:rsid w:val="00AD6ED0"/>
    <w:rsid w:val="00AE2C17"/>
    <w:rsid w:val="00AE5333"/>
    <w:rsid w:val="00AE6F3C"/>
    <w:rsid w:val="00AF196A"/>
    <w:rsid w:val="00AF54E1"/>
    <w:rsid w:val="00B04E81"/>
    <w:rsid w:val="00B14E6B"/>
    <w:rsid w:val="00B16089"/>
    <w:rsid w:val="00B23000"/>
    <w:rsid w:val="00B266B6"/>
    <w:rsid w:val="00B31CA2"/>
    <w:rsid w:val="00B457D5"/>
    <w:rsid w:val="00B47764"/>
    <w:rsid w:val="00B4784E"/>
    <w:rsid w:val="00B52D63"/>
    <w:rsid w:val="00B62476"/>
    <w:rsid w:val="00B80D2F"/>
    <w:rsid w:val="00B82E58"/>
    <w:rsid w:val="00B863CD"/>
    <w:rsid w:val="00B90EB4"/>
    <w:rsid w:val="00B97802"/>
    <w:rsid w:val="00BA0E5D"/>
    <w:rsid w:val="00BA3124"/>
    <w:rsid w:val="00BA37AA"/>
    <w:rsid w:val="00BA55B3"/>
    <w:rsid w:val="00BB2B84"/>
    <w:rsid w:val="00BB5E15"/>
    <w:rsid w:val="00BD389A"/>
    <w:rsid w:val="00BE2F9C"/>
    <w:rsid w:val="00BE3C13"/>
    <w:rsid w:val="00BF3812"/>
    <w:rsid w:val="00BF4099"/>
    <w:rsid w:val="00C07A4F"/>
    <w:rsid w:val="00C07AF6"/>
    <w:rsid w:val="00C13489"/>
    <w:rsid w:val="00C244BA"/>
    <w:rsid w:val="00C254EC"/>
    <w:rsid w:val="00C25AD7"/>
    <w:rsid w:val="00C27155"/>
    <w:rsid w:val="00C31620"/>
    <w:rsid w:val="00C3605A"/>
    <w:rsid w:val="00C4070E"/>
    <w:rsid w:val="00C46538"/>
    <w:rsid w:val="00C46568"/>
    <w:rsid w:val="00C47488"/>
    <w:rsid w:val="00C519A3"/>
    <w:rsid w:val="00C524FA"/>
    <w:rsid w:val="00C557E5"/>
    <w:rsid w:val="00C61DF1"/>
    <w:rsid w:val="00C636A8"/>
    <w:rsid w:val="00C649A3"/>
    <w:rsid w:val="00C64C38"/>
    <w:rsid w:val="00C64D53"/>
    <w:rsid w:val="00C6664C"/>
    <w:rsid w:val="00C716E6"/>
    <w:rsid w:val="00C7432E"/>
    <w:rsid w:val="00C76FE6"/>
    <w:rsid w:val="00C8124B"/>
    <w:rsid w:val="00C85D99"/>
    <w:rsid w:val="00C91765"/>
    <w:rsid w:val="00CA3F44"/>
    <w:rsid w:val="00CA48A6"/>
    <w:rsid w:val="00CA4DB7"/>
    <w:rsid w:val="00CA4EDA"/>
    <w:rsid w:val="00CA6CAC"/>
    <w:rsid w:val="00CB3033"/>
    <w:rsid w:val="00CB3C9F"/>
    <w:rsid w:val="00CB5F47"/>
    <w:rsid w:val="00CC0FA9"/>
    <w:rsid w:val="00CC18DB"/>
    <w:rsid w:val="00CC1C15"/>
    <w:rsid w:val="00CC46A2"/>
    <w:rsid w:val="00CC5B47"/>
    <w:rsid w:val="00CC6D92"/>
    <w:rsid w:val="00CD04A5"/>
    <w:rsid w:val="00CD0CA9"/>
    <w:rsid w:val="00CD7D67"/>
    <w:rsid w:val="00CE01EF"/>
    <w:rsid w:val="00CF001A"/>
    <w:rsid w:val="00CF355D"/>
    <w:rsid w:val="00D0134F"/>
    <w:rsid w:val="00D0202D"/>
    <w:rsid w:val="00D14665"/>
    <w:rsid w:val="00D14E99"/>
    <w:rsid w:val="00D1571D"/>
    <w:rsid w:val="00D21E36"/>
    <w:rsid w:val="00D2321E"/>
    <w:rsid w:val="00D23492"/>
    <w:rsid w:val="00D263E3"/>
    <w:rsid w:val="00D26520"/>
    <w:rsid w:val="00D277F8"/>
    <w:rsid w:val="00D300DD"/>
    <w:rsid w:val="00D44F13"/>
    <w:rsid w:val="00D479CD"/>
    <w:rsid w:val="00D728AB"/>
    <w:rsid w:val="00D74E9C"/>
    <w:rsid w:val="00D829D0"/>
    <w:rsid w:val="00D841A1"/>
    <w:rsid w:val="00D84F11"/>
    <w:rsid w:val="00D92C17"/>
    <w:rsid w:val="00D930BB"/>
    <w:rsid w:val="00D932AD"/>
    <w:rsid w:val="00D93779"/>
    <w:rsid w:val="00D95A48"/>
    <w:rsid w:val="00D95A4C"/>
    <w:rsid w:val="00DB181C"/>
    <w:rsid w:val="00DE249D"/>
    <w:rsid w:val="00DE77B9"/>
    <w:rsid w:val="00E02431"/>
    <w:rsid w:val="00E03C51"/>
    <w:rsid w:val="00E11081"/>
    <w:rsid w:val="00E22781"/>
    <w:rsid w:val="00E255AC"/>
    <w:rsid w:val="00E26053"/>
    <w:rsid w:val="00E312D2"/>
    <w:rsid w:val="00E33009"/>
    <w:rsid w:val="00E3415B"/>
    <w:rsid w:val="00E42EAA"/>
    <w:rsid w:val="00E43660"/>
    <w:rsid w:val="00E449D8"/>
    <w:rsid w:val="00E45D74"/>
    <w:rsid w:val="00E51F99"/>
    <w:rsid w:val="00E52414"/>
    <w:rsid w:val="00E55177"/>
    <w:rsid w:val="00E57591"/>
    <w:rsid w:val="00E61A2E"/>
    <w:rsid w:val="00E653F5"/>
    <w:rsid w:val="00E72F1F"/>
    <w:rsid w:val="00E763ED"/>
    <w:rsid w:val="00E7730D"/>
    <w:rsid w:val="00E86025"/>
    <w:rsid w:val="00E8709E"/>
    <w:rsid w:val="00E93BCC"/>
    <w:rsid w:val="00E9439E"/>
    <w:rsid w:val="00E96E54"/>
    <w:rsid w:val="00EA11E5"/>
    <w:rsid w:val="00EA1ED7"/>
    <w:rsid w:val="00EA5C66"/>
    <w:rsid w:val="00EB0C24"/>
    <w:rsid w:val="00EB1FD4"/>
    <w:rsid w:val="00EC2D7B"/>
    <w:rsid w:val="00EC7653"/>
    <w:rsid w:val="00ED5241"/>
    <w:rsid w:val="00ED64CD"/>
    <w:rsid w:val="00ED7DBB"/>
    <w:rsid w:val="00EE5896"/>
    <w:rsid w:val="00EE6E83"/>
    <w:rsid w:val="00EF1B09"/>
    <w:rsid w:val="00EF20F4"/>
    <w:rsid w:val="00EF2D43"/>
    <w:rsid w:val="00EF2D68"/>
    <w:rsid w:val="00EF5BD9"/>
    <w:rsid w:val="00EF6456"/>
    <w:rsid w:val="00F06631"/>
    <w:rsid w:val="00F115E5"/>
    <w:rsid w:val="00F121C0"/>
    <w:rsid w:val="00F1492D"/>
    <w:rsid w:val="00F2140E"/>
    <w:rsid w:val="00F275D0"/>
    <w:rsid w:val="00F331FE"/>
    <w:rsid w:val="00F344D6"/>
    <w:rsid w:val="00F35244"/>
    <w:rsid w:val="00F37250"/>
    <w:rsid w:val="00F3752A"/>
    <w:rsid w:val="00F40FBF"/>
    <w:rsid w:val="00F41ABA"/>
    <w:rsid w:val="00F43D41"/>
    <w:rsid w:val="00F502E0"/>
    <w:rsid w:val="00F52871"/>
    <w:rsid w:val="00F52F5A"/>
    <w:rsid w:val="00F56501"/>
    <w:rsid w:val="00F603CC"/>
    <w:rsid w:val="00F74EBD"/>
    <w:rsid w:val="00F82ADB"/>
    <w:rsid w:val="00F831B3"/>
    <w:rsid w:val="00F838F2"/>
    <w:rsid w:val="00F86B8B"/>
    <w:rsid w:val="00F8733F"/>
    <w:rsid w:val="00F94057"/>
    <w:rsid w:val="00FB3AAB"/>
    <w:rsid w:val="00FC02B4"/>
    <w:rsid w:val="00FD1370"/>
    <w:rsid w:val="00FD2133"/>
    <w:rsid w:val="00FD4263"/>
    <w:rsid w:val="00FD5F55"/>
    <w:rsid w:val="00FE3364"/>
    <w:rsid w:val="00FE6711"/>
    <w:rsid w:val="00FF2D5E"/>
    <w:rsid w:val="00FF3FB5"/>
    <w:rsid w:val="00FF5A2F"/>
    <w:rsid w:val="01066A48"/>
    <w:rsid w:val="014A102B"/>
    <w:rsid w:val="015B6D94"/>
    <w:rsid w:val="01AE77C6"/>
    <w:rsid w:val="01D37CDA"/>
    <w:rsid w:val="01D46B46"/>
    <w:rsid w:val="01FC2DC5"/>
    <w:rsid w:val="023A2E4D"/>
    <w:rsid w:val="024E4B4B"/>
    <w:rsid w:val="02DE23BD"/>
    <w:rsid w:val="02EB239A"/>
    <w:rsid w:val="03300892"/>
    <w:rsid w:val="035C615D"/>
    <w:rsid w:val="039B5B6E"/>
    <w:rsid w:val="03C076C5"/>
    <w:rsid w:val="03E03B25"/>
    <w:rsid w:val="04337DB5"/>
    <w:rsid w:val="045D72C7"/>
    <w:rsid w:val="048E122E"/>
    <w:rsid w:val="049820AD"/>
    <w:rsid w:val="04A647CA"/>
    <w:rsid w:val="04FA4B16"/>
    <w:rsid w:val="05474323"/>
    <w:rsid w:val="0578316B"/>
    <w:rsid w:val="057E5747"/>
    <w:rsid w:val="058332A7"/>
    <w:rsid w:val="05A536B6"/>
    <w:rsid w:val="05DB51F8"/>
    <w:rsid w:val="05E714FD"/>
    <w:rsid w:val="05F92040"/>
    <w:rsid w:val="06020126"/>
    <w:rsid w:val="06110369"/>
    <w:rsid w:val="068F2DD8"/>
    <w:rsid w:val="06E46DD6"/>
    <w:rsid w:val="07100621"/>
    <w:rsid w:val="07246CC9"/>
    <w:rsid w:val="075F5104"/>
    <w:rsid w:val="07723089"/>
    <w:rsid w:val="078A03D3"/>
    <w:rsid w:val="07ED1622"/>
    <w:rsid w:val="07F12200"/>
    <w:rsid w:val="08002443"/>
    <w:rsid w:val="080A1514"/>
    <w:rsid w:val="082A66E0"/>
    <w:rsid w:val="08320A23"/>
    <w:rsid w:val="08404F36"/>
    <w:rsid w:val="084263AD"/>
    <w:rsid w:val="08850B9A"/>
    <w:rsid w:val="08856DEC"/>
    <w:rsid w:val="088C6F74"/>
    <w:rsid w:val="088F7BF4"/>
    <w:rsid w:val="09092DE7"/>
    <w:rsid w:val="0955726C"/>
    <w:rsid w:val="097C01EF"/>
    <w:rsid w:val="09C53944"/>
    <w:rsid w:val="09E6624A"/>
    <w:rsid w:val="09E76999"/>
    <w:rsid w:val="09E813E1"/>
    <w:rsid w:val="0A28211A"/>
    <w:rsid w:val="0A4D56E8"/>
    <w:rsid w:val="0A5F1209"/>
    <w:rsid w:val="0A8E6753"/>
    <w:rsid w:val="0B0C0DCC"/>
    <w:rsid w:val="0B7078E0"/>
    <w:rsid w:val="0B927856"/>
    <w:rsid w:val="0BAC331A"/>
    <w:rsid w:val="0C7B653C"/>
    <w:rsid w:val="0CA27F6D"/>
    <w:rsid w:val="0CEB6DF6"/>
    <w:rsid w:val="0D0F4ED6"/>
    <w:rsid w:val="0D460BF6"/>
    <w:rsid w:val="0D8458C4"/>
    <w:rsid w:val="0D914DEA"/>
    <w:rsid w:val="0D9755F8"/>
    <w:rsid w:val="0DB02216"/>
    <w:rsid w:val="0DD405FA"/>
    <w:rsid w:val="0DE545B5"/>
    <w:rsid w:val="0E060087"/>
    <w:rsid w:val="0E912047"/>
    <w:rsid w:val="0ECA7307"/>
    <w:rsid w:val="0EF56D77"/>
    <w:rsid w:val="0F242EBB"/>
    <w:rsid w:val="0F3D21CF"/>
    <w:rsid w:val="0F621C35"/>
    <w:rsid w:val="0FCB77DB"/>
    <w:rsid w:val="0FE22E8A"/>
    <w:rsid w:val="0FF00FEF"/>
    <w:rsid w:val="0FF56606"/>
    <w:rsid w:val="10AC760C"/>
    <w:rsid w:val="10D26B5E"/>
    <w:rsid w:val="11254CC9"/>
    <w:rsid w:val="114C41A1"/>
    <w:rsid w:val="116A6B7F"/>
    <w:rsid w:val="11B161BA"/>
    <w:rsid w:val="11D50CC6"/>
    <w:rsid w:val="11D87F8D"/>
    <w:rsid w:val="11DD37F5"/>
    <w:rsid w:val="12064A78"/>
    <w:rsid w:val="12241424"/>
    <w:rsid w:val="125B4CDA"/>
    <w:rsid w:val="127E158D"/>
    <w:rsid w:val="1288550F"/>
    <w:rsid w:val="12A14823"/>
    <w:rsid w:val="12AD2E79"/>
    <w:rsid w:val="12E017EF"/>
    <w:rsid w:val="13474D18"/>
    <w:rsid w:val="134A0A16"/>
    <w:rsid w:val="136E2957"/>
    <w:rsid w:val="142F43C4"/>
    <w:rsid w:val="14451667"/>
    <w:rsid w:val="1457788F"/>
    <w:rsid w:val="147D6BCA"/>
    <w:rsid w:val="14C36CD2"/>
    <w:rsid w:val="14F41582"/>
    <w:rsid w:val="15155054"/>
    <w:rsid w:val="15336BA3"/>
    <w:rsid w:val="153E45AB"/>
    <w:rsid w:val="1542409B"/>
    <w:rsid w:val="15453B8B"/>
    <w:rsid w:val="154E6DC7"/>
    <w:rsid w:val="159F1212"/>
    <w:rsid w:val="15EF151B"/>
    <w:rsid w:val="16157A01"/>
    <w:rsid w:val="165F1FF7"/>
    <w:rsid w:val="166167A3"/>
    <w:rsid w:val="16E6314C"/>
    <w:rsid w:val="17606B7B"/>
    <w:rsid w:val="17793FC0"/>
    <w:rsid w:val="18374C5F"/>
    <w:rsid w:val="1838227D"/>
    <w:rsid w:val="18544E28"/>
    <w:rsid w:val="18581E27"/>
    <w:rsid w:val="185F6D12"/>
    <w:rsid w:val="18C272A1"/>
    <w:rsid w:val="18CD2A5B"/>
    <w:rsid w:val="192B4E46"/>
    <w:rsid w:val="199450E1"/>
    <w:rsid w:val="19A8705E"/>
    <w:rsid w:val="19B74155"/>
    <w:rsid w:val="19EC040D"/>
    <w:rsid w:val="19FE2B58"/>
    <w:rsid w:val="1A3A7A37"/>
    <w:rsid w:val="1A444411"/>
    <w:rsid w:val="1A626F8D"/>
    <w:rsid w:val="1B3202CF"/>
    <w:rsid w:val="1B5508A0"/>
    <w:rsid w:val="1B5E7755"/>
    <w:rsid w:val="1B7C7BDB"/>
    <w:rsid w:val="1BC21057"/>
    <w:rsid w:val="1BD73063"/>
    <w:rsid w:val="1BF44D9F"/>
    <w:rsid w:val="1C1F5136"/>
    <w:rsid w:val="1C6307D1"/>
    <w:rsid w:val="1C8651B5"/>
    <w:rsid w:val="1C8C6544"/>
    <w:rsid w:val="1C9D42AD"/>
    <w:rsid w:val="1CBB0BC6"/>
    <w:rsid w:val="1CF2284B"/>
    <w:rsid w:val="1D1F1166"/>
    <w:rsid w:val="1D801C31"/>
    <w:rsid w:val="1D9B4C90"/>
    <w:rsid w:val="1DB775F0"/>
    <w:rsid w:val="1DC6338F"/>
    <w:rsid w:val="1E780B2E"/>
    <w:rsid w:val="1EB853CE"/>
    <w:rsid w:val="1EDF295B"/>
    <w:rsid w:val="1F0D396C"/>
    <w:rsid w:val="1F15637C"/>
    <w:rsid w:val="1F343953"/>
    <w:rsid w:val="1F4D3D68"/>
    <w:rsid w:val="1F833C2E"/>
    <w:rsid w:val="1F841F36"/>
    <w:rsid w:val="1FD71884"/>
    <w:rsid w:val="1FDB0EFC"/>
    <w:rsid w:val="1FE44472"/>
    <w:rsid w:val="1FF70178"/>
    <w:rsid w:val="1FF82F2B"/>
    <w:rsid w:val="20362A4E"/>
    <w:rsid w:val="2059498F"/>
    <w:rsid w:val="207F1B87"/>
    <w:rsid w:val="209A3C32"/>
    <w:rsid w:val="20CE712B"/>
    <w:rsid w:val="20D373A8"/>
    <w:rsid w:val="212A7703"/>
    <w:rsid w:val="2164183D"/>
    <w:rsid w:val="21BF6A73"/>
    <w:rsid w:val="220B3A67"/>
    <w:rsid w:val="22104F6C"/>
    <w:rsid w:val="221E5B12"/>
    <w:rsid w:val="22574EFE"/>
    <w:rsid w:val="22916662"/>
    <w:rsid w:val="22C24A6D"/>
    <w:rsid w:val="23007E1A"/>
    <w:rsid w:val="2309444A"/>
    <w:rsid w:val="231828DF"/>
    <w:rsid w:val="23250B58"/>
    <w:rsid w:val="233C21E3"/>
    <w:rsid w:val="23B26890"/>
    <w:rsid w:val="23E635C8"/>
    <w:rsid w:val="24013925"/>
    <w:rsid w:val="24082954"/>
    <w:rsid w:val="24340B9E"/>
    <w:rsid w:val="2441521A"/>
    <w:rsid w:val="245636BF"/>
    <w:rsid w:val="245A4C34"/>
    <w:rsid w:val="246F652F"/>
    <w:rsid w:val="24AE34FB"/>
    <w:rsid w:val="24C83E91"/>
    <w:rsid w:val="24D8103B"/>
    <w:rsid w:val="24D869DB"/>
    <w:rsid w:val="252A06A8"/>
    <w:rsid w:val="25445C0D"/>
    <w:rsid w:val="254634F6"/>
    <w:rsid w:val="25905E1A"/>
    <w:rsid w:val="25C12DBA"/>
    <w:rsid w:val="261E020C"/>
    <w:rsid w:val="261F38B3"/>
    <w:rsid w:val="2649240C"/>
    <w:rsid w:val="26662D4A"/>
    <w:rsid w:val="2667722A"/>
    <w:rsid w:val="268362C1"/>
    <w:rsid w:val="2685028B"/>
    <w:rsid w:val="26D1527F"/>
    <w:rsid w:val="26E825C8"/>
    <w:rsid w:val="27113197"/>
    <w:rsid w:val="27550961"/>
    <w:rsid w:val="27716A62"/>
    <w:rsid w:val="278F0C96"/>
    <w:rsid w:val="27C71777"/>
    <w:rsid w:val="27FC27CF"/>
    <w:rsid w:val="28180C8B"/>
    <w:rsid w:val="282B4E63"/>
    <w:rsid w:val="28584124"/>
    <w:rsid w:val="285901F0"/>
    <w:rsid w:val="289A78F2"/>
    <w:rsid w:val="28AE0E79"/>
    <w:rsid w:val="28B1556C"/>
    <w:rsid w:val="28E765AF"/>
    <w:rsid w:val="29B449E4"/>
    <w:rsid w:val="29F55AB0"/>
    <w:rsid w:val="2A4C2E6E"/>
    <w:rsid w:val="2A7C19A5"/>
    <w:rsid w:val="2A7F1496"/>
    <w:rsid w:val="2AC375D4"/>
    <w:rsid w:val="2ACA0963"/>
    <w:rsid w:val="2AEA4B61"/>
    <w:rsid w:val="2B2037DE"/>
    <w:rsid w:val="2B61738D"/>
    <w:rsid w:val="2B65243A"/>
    <w:rsid w:val="2B667F60"/>
    <w:rsid w:val="2B676FC2"/>
    <w:rsid w:val="2BD1187D"/>
    <w:rsid w:val="2C0B1233"/>
    <w:rsid w:val="2C4748C9"/>
    <w:rsid w:val="2C7C7A3B"/>
    <w:rsid w:val="2CDD0461"/>
    <w:rsid w:val="2D3C366E"/>
    <w:rsid w:val="2D4331C7"/>
    <w:rsid w:val="2D512530"/>
    <w:rsid w:val="2D5A4AE2"/>
    <w:rsid w:val="2D7B23E8"/>
    <w:rsid w:val="2DB66923"/>
    <w:rsid w:val="2E5D389C"/>
    <w:rsid w:val="2E6764C9"/>
    <w:rsid w:val="2E960B5C"/>
    <w:rsid w:val="2EBD433B"/>
    <w:rsid w:val="2EE30245"/>
    <w:rsid w:val="2F175402"/>
    <w:rsid w:val="2F972DDE"/>
    <w:rsid w:val="2FD96482"/>
    <w:rsid w:val="303F2EE9"/>
    <w:rsid w:val="30607673"/>
    <w:rsid w:val="30801AC4"/>
    <w:rsid w:val="30913CD1"/>
    <w:rsid w:val="31132938"/>
    <w:rsid w:val="313D5889"/>
    <w:rsid w:val="316136A3"/>
    <w:rsid w:val="316F5DC0"/>
    <w:rsid w:val="31A55DA1"/>
    <w:rsid w:val="31C561C1"/>
    <w:rsid w:val="320C360F"/>
    <w:rsid w:val="32222E32"/>
    <w:rsid w:val="325035D5"/>
    <w:rsid w:val="32696CB3"/>
    <w:rsid w:val="32B53CA7"/>
    <w:rsid w:val="32D560F7"/>
    <w:rsid w:val="32F12805"/>
    <w:rsid w:val="33572FB0"/>
    <w:rsid w:val="33D26ADA"/>
    <w:rsid w:val="33E83C08"/>
    <w:rsid w:val="33F24A86"/>
    <w:rsid w:val="342804A8"/>
    <w:rsid w:val="343C3F54"/>
    <w:rsid w:val="347D48DE"/>
    <w:rsid w:val="347E456C"/>
    <w:rsid w:val="34A044E2"/>
    <w:rsid w:val="34B1049E"/>
    <w:rsid w:val="34C75F13"/>
    <w:rsid w:val="352E1AEE"/>
    <w:rsid w:val="356B4AF0"/>
    <w:rsid w:val="356B689E"/>
    <w:rsid w:val="3587247F"/>
    <w:rsid w:val="359A7184"/>
    <w:rsid w:val="35CA5CBB"/>
    <w:rsid w:val="36266C69"/>
    <w:rsid w:val="366F0610"/>
    <w:rsid w:val="36745C27"/>
    <w:rsid w:val="36F32FEF"/>
    <w:rsid w:val="37054AD1"/>
    <w:rsid w:val="372F1B4E"/>
    <w:rsid w:val="37555A58"/>
    <w:rsid w:val="37870C0D"/>
    <w:rsid w:val="37955E55"/>
    <w:rsid w:val="37C73884"/>
    <w:rsid w:val="37CD1A92"/>
    <w:rsid w:val="37DE4B11"/>
    <w:rsid w:val="380F026E"/>
    <w:rsid w:val="382D2F86"/>
    <w:rsid w:val="382F62A9"/>
    <w:rsid w:val="38364FE0"/>
    <w:rsid w:val="38482EC7"/>
    <w:rsid w:val="38E70932"/>
    <w:rsid w:val="39194863"/>
    <w:rsid w:val="39317DFF"/>
    <w:rsid w:val="3A105517"/>
    <w:rsid w:val="3A15327D"/>
    <w:rsid w:val="3A192D6D"/>
    <w:rsid w:val="3A2D05C6"/>
    <w:rsid w:val="3A7E0F12"/>
    <w:rsid w:val="3AA0348E"/>
    <w:rsid w:val="3AEC50AC"/>
    <w:rsid w:val="3B162817"/>
    <w:rsid w:val="3B212AA2"/>
    <w:rsid w:val="3B6C511E"/>
    <w:rsid w:val="3B701BDC"/>
    <w:rsid w:val="3BC431AC"/>
    <w:rsid w:val="3BE06D42"/>
    <w:rsid w:val="3BFD6B23"/>
    <w:rsid w:val="3C124EA3"/>
    <w:rsid w:val="3C6D3843"/>
    <w:rsid w:val="3C9A5CBB"/>
    <w:rsid w:val="3CA9347D"/>
    <w:rsid w:val="3CD72A6B"/>
    <w:rsid w:val="3D5619DA"/>
    <w:rsid w:val="3D5B5962"/>
    <w:rsid w:val="3D70539A"/>
    <w:rsid w:val="3DE970EF"/>
    <w:rsid w:val="3E037B92"/>
    <w:rsid w:val="3E3F2FBE"/>
    <w:rsid w:val="3E497999"/>
    <w:rsid w:val="3E6D3399"/>
    <w:rsid w:val="3EBC016B"/>
    <w:rsid w:val="3EBD534C"/>
    <w:rsid w:val="3EC95A9A"/>
    <w:rsid w:val="3ED2798E"/>
    <w:rsid w:val="3F1A0FBD"/>
    <w:rsid w:val="3F3C12AC"/>
    <w:rsid w:val="3F4F65FA"/>
    <w:rsid w:val="3F5E56C6"/>
    <w:rsid w:val="3F601B4E"/>
    <w:rsid w:val="3F854A01"/>
    <w:rsid w:val="3F980BD8"/>
    <w:rsid w:val="40152228"/>
    <w:rsid w:val="40185875"/>
    <w:rsid w:val="406B3DDC"/>
    <w:rsid w:val="40D529D3"/>
    <w:rsid w:val="40D57DED"/>
    <w:rsid w:val="40EF4858"/>
    <w:rsid w:val="41006A35"/>
    <w:rsid w:val="414032D5"/>
    <w:rsid w:val="41856F3A"/>
    <w:rsid w:val="41C452AF"/>
    <w:rsid w:val="41D35EF7"/>
    <w:rsid w:val="420A48B3"/>
    <w:rsid w:val="42A42918"/>
    <w:rsid w:val="42BA2C13"/>
    <w:rsid w:val="42C25D59"/>
    <w:rsid w:val="436D4129"/>
    <w:rsid w:val="43D1290A"/>
    <w:rsid w:val="43F932B4"/>
    <w:rsid w:val="43FE4D82"/>
    <w:rsid w:val="440C3D53"/>
    <w:rsid w:val="445F7F16"/>
    <w:rsid w:val="447D0F6A"/>
    <w:rsid w:val="44DD0E3B"/>
    <w:rsid w:val="451707F1"/>
    <w:rsid w:val="455C4DA2"/>
    <w:rsid w:val="45F4468E"/>
    <w:rsid w:val="45FF375F"/>
    <w:rsid w:val="461B1B5D"/>
    <w:rsid w:val="46733F54"/>
    <w:rsid w:val="46B502C1"/>
    <w:rsid w:val="46F012F9"/>
    <w:rsid w:val="46F54AD7"/>
    <w:rsid w:val="46FD7572"/>
    <w:rsid w:val="477B5067"/>
    <w:rsid w:val="47A16A4D"/>
    <w:rsid w:val="47A633EB"/>
    <w:rsid w:val="47A86347"/>
    <w:rsid w:val="47F95FEE"/>
    <w:rsid w:val="4860425D"/>
    <w:rsid w:val="486423C4"/>
    <w:rsid w:val="486D73A7"/>
    <w:rsid w:val="487D6BBD"/>
    <w:rsid w:val="48BD520B"/>
    <w:rsid w:val="48D569F9"/>
    <w:rsid w:val="490F00DF"/>
    <w:rsid w:val="49101BF7"/>
    <w:rsid w:val="495F3B00"/>
    <w:rsid w:val="49687BB3"/>
    <w:rsid w:val="496F0BFB"/>
    <w:rsid w:val="49AD1724"/>
    <w:rsid w:val="49B303BC"/>
    <w:rsid w:val="4A072690"/>
    <w:rsid w:val="4A183041"/>
    <w:rsid w:val="4A4C6847"/>
    <w:rsid w:val="4A653DAC"/>
    <w:rsid w:val="4A791606"/>
    <w:rsid w:val="4A993A56"/>
    <w:rsid w:val="4AA23FC0"/>
    <w:rsid w:val="4ADB0864"/>
    <w:rsid w:val="4AEE5B50"/>
    <w:rsid w:val="4B2E51AA"/>
    <w:rsid w:val="4B5A31E5"/>
    <w:rsid w:val="4B7426A6"/>
    <w:rsid w:val="4B7C315C"/>
    <w:rsid w:val="4B851C65"/>
    <w:rsid w:val="4B893ACB"/>
    <w:rsid w:val="4B904E59"/>
    <w:rsid w:val="4BEA78CB"/>
    <w:rsid w:val="4C1B1639"/>
    <w:rsid w:val="4C3E58C4"/>
    <w:rsid w:val="4C4503C8"/>
    <w:rsid w:val="4C7C5E4E"/>
    <w:rsid w:val="4CCA7EF7"/>
    <w:rsid w:val="4CD46FC7"/>
    <w:rsid w:val="4D0A29E9"/>
    <w:rsid w:val="4D2515D1"/>
    <w:rsid w:val="4D6754DA"/>
    <w:rsid w:val="4D7E765F"/>
    <w:rsid w:val="4D943B05"/>
    <w:rsid w:val="4DA77A79"/>
    <w:rsid w:val="4E002804"/>
    <w:rsid w:val="4EF37BD9"/>
    <w:rsid w:val="4F5166AD"/>
    <w:rsid w:val="4F672375"/>
    <w:rsid w:val="4F6818EC"/>
    <w:rsid w:val="4F6A4AE3"/>
    <w:rsid w:val="4FCC21D8"/>
    <w:rsid w:val="4FFC2ABD"/>
    <w:rsid w:val="505446A7"/>
    <w:rsid w:val="506968FB"/>
    <w:rsid w:val="50C51101"/>
    <w:rsid w:val="50D75E4F"/>
    <w:rsid w:val="513424C7"/>
    <w:rsid w:val="518B5B88"/>
    <w:rsid w:val="519136D9"/>
    <w:rsid w:val="51BE3C46"/>
    <w:rsid w:val="51C969CF"/>
    <w:rsid w:val="525C3CE7"/>
    <w:rsid w:val="525E6860"/>
    <w:rsid w:val="526B5CD8"/>
    <w:rsid w:val="528D3EA0"/>
    <w:rsid w:val="52AB3F0E"/>
    <w:rsid w:val="52C61160"/>
    <w:rsid w:val="530C12BE"/>
    <w:rsid w:val="535D1AC5"/>
    <w:rsid w:val="53FC12DE"/>
    <w:rsid w:val="53FF492A"/>
    <w:rsid w:val="540E7126"/>
    <w:rsid w:val="54104D89"/>
    <w:rsid w:val="541969E6"/>
    <w:rsid w:val="545000DE"/>
    <w:rsid w:val="54933CA6"/>
    <w:rsid w:val="54A656ED"/>
    <w:rsid w:val="54B90F7D"/>
    <w:rsid w:val="55320D2F"/>
    <w:rsid w:val="55521AC9"/>
    <w:rsid w:val="555C7B5A"/>
    <w:rsid w:val="558C7A4D"/>
    <w:rsid w:val="55971D20"/>
    <w:rsid w:val="55E646B3"/>
    <w:rsid w:val="55F14235"/>
    <w:rsid w:val="56466840"/>
    <w:rsid w:val="56772E9D"/>
    <w:rsid w:val="567A298E"/>
    <w:rsid w:val="56954A0E"/>
    <w:rsid w:val="56B539C6"/>
    <w:rsid w:val="56CF0F2B"/>
    <w:rsid w:val="57142DD0"/>
    <w:rsid w:val="57364B06"/>
    <w:rsid w:val="57925AB5"/>
    <w:rsid w:val="57A31A70"/>
    <w:rsid w:val="583176C1"/>
    <w:rsid w:val="5935077A"/>
    <w:rsid w:val="594C6863"/>
    <w:rsid w:val="59613991"/>
    <w:rsid w:val="597A73EC"/>
    <w:rsid w:val="59C70970"/>
    <w:rsid w:val="59F91E1B"/>
    <w:rsid w:val="5A111CDF"/>
    <w:rsid w:val="5A47702B"/>
    <w:rsid w:val="5A740E30"/>
    <w:rsid w:val="5A767910"/>
    <w:rsid w:val="5A791111"/>
    <w:rsid w:val="5A90452E"/>
    <w:rsid w:val="5AB10EDB"/>
    <w:rsid w:val="5AD00DCE"/>
    <w:rsid w:val="5B096777"/>
    <w:rsid w:val="5B242EC8"/>
    <w:rsid w:val="5B321A89"/>
    <w:rsid w:val="5B5714EF"/>
    <w:rsid w:val="5B70610D"/>
    <w:rsid w:val="5B8A3673"/>
    <w:rsid w:val="5B8B3E48"/>
    <w:rsid w:val="5BCC5A39"/>
    <w:rsid w:val="5BCF1086"/>
    <w:rsid w:val="5C531CB7"/>
    <w:rsid w:val="5C664513"/>
    <w:rsid w:val="5C6A5252"/>
    <w:rsid w:val="5C961809"/>
    <w:rsid w:val="5D5C0005"/>
    <w:rsid w:val="5D885990"/>
    <w:rsid w:val="5D944335"/>
    <w:rsid w:val="5DD230AF"/>
    <w:rsid w:val="5DFE20F6"/>
    <w:rsid w:val="5E13248A"/>
    <w:rsid w:val="5E5800D8"/>
    <w:rsid w:val="5E9F5687"/>
    <w:rsid w:val="5EAE7678"/>
    <w:rsid w:val="5EC61DC6"/>
    <w:rsid w:val="5F0B4F92"/>
    <w:rsid w:val="5F166FCB"/>
    <w:rsid w:val="5F180F96"/>
    <w:rsid w:val="5F2F125F"/>
    <w:rsid w:val="5F3D27AA"/>
    <w:rsid w:val="5F453294"/>
    <w:rsid w:val="5F584042"/>
    <w:rsid w:val="5F7822AB"/>
    <w:rsid w:val="5F881C77"/>
    <w:rsid w:val="5FA82319"/>
    <w:rsid w:val="5FCF3D4A"/>
    <w:rsid w:val="5FD11BCD"/>
    <w:rsid w:val="60340051"/>
    <w:rsid w:val="60CF38D6"/>
    <w:rsid w:val="60F81D9E"/>
    <w:rsid w:val="60F92D32"/>
    <w:rsid w:val="611D0AE5"/>
    <w:rsid w:val="61565DA5"/>
    <w:rsid w:val="615974E8"/>
    <w:rsid w:val="618059B4"/>
    <w:rsid w:val="618860A5"/>
    <w:rsid w:val="621F43E9"/>
    <w:rsid w:val="62344338"/>
    <w:rsid w:val="623C143F"/>
    <w:rsid w:val="62400DDA"/>
    <w:rsid w:val="624D4042"/>
    <w:rsid w:val="62772DCA"/>
    <w:rsid w:val="62D54B62"/>
    <w:rsid w:val="62E713AB"/>
    <w:rsid w:val="631F28F3"/>
    <w:rsid w:val="632048BD"/>
    <w:rsid w:val="632919C3"/>
    <w:rsid w:val="635C7888"/>
    <w:rsid w:val="635F7193"/>
    <w:rsid w:val="639A01CB"/>
    <w:rsid w:val="63BA35CC"/>
    <w:rsid w:val="63EA386F"/>
    <w:rsid w:val="63FE2C62"/>
    <w:rsid w:val="64063AB3"/>
    <w:rsid w:val="6417181C"/>
    <w:rsid w:val="641A490A"/>
    <w:rsid w:val="64516980"/>
    <w:rsid w:val="646A4041"/>
    <w:rsid w:val="649B41FB"/>
    <w:rsid w:val="65037FF2"/>
    <w:rsid w:val="65420B1A"/>
    <w:rsid w:val="655B3F7A"/>
    <w:rsid w:val="657131AE"/>
    <w:rsid w:val="658E3D60"/>
    <w:rsid w:val="6595496B"/>
    <w:rsid w:val="659B022A"/>
    <w:rsid w:val="65BC08CD"/>
    <w:rsid w:val="65F31E15"/>
    <w:rsid w:val="66896F80"/>
    <w:rsid w:val="668A2779"/>
    <w:rsid w:val="66901F2E"/>
    <w:rsid w:val="669E7FD2"/>
    <w:rsid w:val="66C51A03"/>
    <w:rsid w:val="66D54DD5"/>
    <w:rsid w:val="66DB2FD4"/>
    <w:rsid w:val="67381478"/>
    <w:rsid w:val="674C4941"/>
    <w:rsid w:val="67803B7C"/>
    <w:rsid w:val="67D22629"/>
    <w:rsid w:val="67DD4B2A"/>
    <w:rsid w:val="67FD51CC"/>
    <w:rsid w:val="681C5653"/>
    <w:rsid w:val="68273FF7"/>
    <w:rsid w:val="68F55EA4"/>
    <w:rsid w:val="692D2718"/>
    <w:rsid w:val="692F13B6"/>
    <w:rsid w:val="69482477"/>
    <w:rsid w:val="69AF296E"/>
    <w:rsid w:val="69B0699A"/>
    <w:rsid w:val="69DF2DDC"/>
    <w:rsid w:val="6A2627B9"/>
    <w:rsid w:val="6A885221"/>
    <w:rsid w:val="6A9051B8"/>
    <w:rsid w:val="6ABA55F7"/>
    <w:rsid w:val="6AD8677C"/>
    <w:rsid w:val="6AE508C6"/>
    <w:rsid w:val="6AFE715F"/>
    <w:rsid w:val="6B0A2279"/>
    <w:rsid w:val="6B0F5943"/>
    <w:rsid w:val="6BAC4F3F"/>
    <w:rsid w:val="6BBB33D4"/>
    <w:rsid w:val="6BC739B0"/>
    <w:rsid w:val="6BD67A5C"/>
    <w:rsid w:val="6C3534BF"/>
    <w:rsid w:val="6C403F43"/>
    <w:rsid w:val="6C846341"/>
    <w:rsid w:val="6C904861"/>
    <w:rsid w:val="6CBB6FD8"/>
    <w:rsid w:val="6D745F31"/>
    <w:rsid w:val="6DAA54AF"/>
    <w:rsid w:val="6DE54372"/>
    <w:rsid w:val="6E22598D"/>
    <w:rsid w:val="6E3B6A4F"/>
    <w:rsid w:val="6E445FFF"/>
    <w:rsid w:val="6E4753F3"/>
    <w:rsid w:val="6E5042A8"/>
    <w:rsid w:val="6E544255"/>
    <w:rsid w:val="6EDE7B06"/>
    <w:rsid w:val="6EF03395"/>
    <w:rsid w:val="6EF2710D"/>
    <w:rsid w:val="6EF36B68"/>
    <w:rsid w:val="6F377380"/>
    <w:rsid w:val="6F5558EE"/>
    <w:rsid w:val="6F6D0A2A"/>
    <w:rsid w:val="6F990D06"/>
    <w:rsid w:val="6FB22D40"/>
    <w:rsid w:val="6FCF56A0"/>
    <w:rsid w:val="702A28D7"/>
    <w:rsid w:val="706109EE"/>
    <w:rsid w:val="70A24B63"/>
    <w:rsid w:val="70E138DD"/>
    <w:rsid w:val="70E94540"/>
    <w:rsid w:val="71214D96"/>
    <w:rsid w:val="7130216F"/>
    <w:rsid w:val="71412EFE"/>
    <w:rsid w:val="714479C8"/>
    <w:rsid w:val="7148570A"/>
    <w:rsid w:val="71A212BE"/>
    <w:rsid w:val="71AF5789"/>
    <w:rsid w:val="71F47640"/>
    <w:rsid w:val="722C2936"/>
    <w:rsid w:val="722C6DDA"/>
    <w:rsid w:val="725956F5"/>
    <w:rsid w:val="726245AA"/>
    <w:rsid w:val="72734A09"/>
    <w:rsid w:val="72964253"/>
    <w:rsid w:val="72C54B39"/>
    <w:rsid w:val="72DC258A"/>
    <w:rsid w:val="72DD6326"/>
    <w:rsid w:val="73095D79"/>
    <w:rsid w:val="73911753"/>
    <w:rsid w:val="73912374"/>
    <w:rsid w:val="73E3796C"/>
    <w:rsid w:val="74022A74"/>
    <w:rsid w:val="74321B65"/>
    <w:rsid w:val="745368A0"/>
    <w:rsid w:val="74CA5557"/>
    <w:rsid w:val="74DB6440"/>
    <w:rsid w:val="759A22AD"/>
    <w:rsid w:val="75B415C0"/>
    <w:rsid w:val="75B84A72"/>
    <w:rsid w:val="76023EAA"/>
    <w:rsid w:val="760342F6"/>
    <w:rsid w:val="76092870"/>
    <w:rsid w:val="76312C11"/>
    <w:rsid w:val="76547160"/>
    <w:rsid w:val="7671300D"/>
    <w:rsid w:val="76A809F9"/>
    <w:rsid w:val="76F00637"/>
    <w:rsid w:val="77444B0A"/>
    <w:rsid w:val="778379A5"/>
    <w:rsid w:val="77BE04D4"/>
    <w:rsid w:val="77F35CA4"/>
    <w:rsid w:val="78007B88"/>
    <w:rsid w:val="7801310F"/>
    <w:rsid w:val="78014865"/>
    <w:rsid w:val="780659D7"/>
    <w:rsid w:val="78350435"/>
    <w:rsid w:val="784D3606"/>
    <w:rsid w:val="789E3E62"/>
    <w:rsid w:val="789E449D"/>
    <w:rsid w:val="78BA3D92"/>
    <w:rsid w:val="78C3596E"/>
    <w:rsid w:val="78D6184E"/>
    <w:rsid w:val="78DE6A82"/>
    <w:rsid w:val="78F341AE"/>
    <w:rsid w:val="7908577F"/>
    <w:rsid w:val="797572B9"/>
    <w:rsid w:val="79876FEC"/>
    <w:rsid w:val="79B672FA"/>
    <w:rsid w:val="79BF22E2"/>
    <w:rsid w:val="79C45B4A"/>
    <w:rsid w:val="7A596A72"/>
    <w:rsid w:val="7A792DD8"/>
    <w:rsid w:val="7ABB0CFB"/>
    <w:rsid w:val="7AF35895"/>
    <w:rsid w:val="7AF91823"/>
    <w:rsid w:val="7B2B05CC"/>
    <w:rsid w:val="7B3B2796"/>
    <w:rsid w:val="7B407452"/>
    <w:rsid w:val="7B4F2100"/>
    <w:rsid w:val="7B6C6499"/>
    <w:rsid w:val="7B786BEC"/>
    <w:rsid w:val="7BAE7724"/>
    <w:rsid w:val="7BBA0FB3"/>
    <w:rsid w:val="7BD77DB7"/>
    <w:rsid w:val="7C1022A4"/>
    <w:rsid w:val="7C121F8A"/>
    <w:rsid w:val="7C501917"/>
    <w:rsid w:val="7C6A03D6"/>
    <w:rsid w:val="7C7C3B8A"/>
    <w:rsid w:val="7C7E056D"/>
    <w:rsid w:val="7CB579CC"/>
    <w:rsid w:val="7CB853B5"/>
    <w:rsid w:val="7D034F71"/>
    <w:rsid w:val="7D3E79C1"/>
    <w:rsid w:val="7D3F20B7"/>
    <w:rsid w:val="7DA737B9"/>
    <w:rsid w:val="7DBF3B43"/>
    <w:rsid w:val="7DFA4230"/>
    <w:rsid w:val="7E2B43EA"/>
    <w:rsid w:val="7E546B65"/>
    <w:rsid w:val="7E692AF8"/>
    <w:rsid w:val="7E745D91"/>
    <w:rsid w:val="7E75394A"/>
    <w:rsid w:val="7E7C4C45"/>
    <w:rsid w:val="7E8024AF"/>
    <w:rsid w:val="7E977CD1"/>
    <w:rsid w:val="7EA85A3A"/>
    <w:rsid w:val="7EB50157"/>
    <w:rsid w:val="7EEF6163"/>
    <w:rsid w:val="7EF20263"/>
    <w:rsid w:val="7F052E8D"/>
    <w:rsid w:val="7F651B7D"/>
    <w:rsid w:val="7FAD0893"/>
    <w:rsid w:val="7FAF285E"/>
    <w:rsid w:val="7FB623D9"/>
    <w:rsid w:val="7FBC2E67"/>
    <w:rsid w:val="7FE9630A"/>
    <w:rsid w:val="7FF34055"/>
    <w:rsid w:val="7FF56A5D"/>
  </w:rsids>
  <m:mathPr>
    <m:mathFont m:val="Cambria Math"/>
    <m:brkBin m:val="before"/>
    <m:brkBinSub m:val="--"/>
    <m:smallFrac m:val="1"/>
    <m:dispDef/>
    <m:lMargin m:val="1440"/>
    <m:rMargin m:val="144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7" w:semiHidden="0" w:name="heading 1"/>
    <w:lsdException w:qFormat="1" w:unhideWhenUsed="0" w:uiPriority="8" w:semiHidden="0" w:name="heading 2"/>
    <w:lsdException w:qFormat="1" w:unhideWhenUsed="0" w:uiPriority="9"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0" w:name="footnote text"/>
    <w:lsdException w:qFormat="1" w:uiPriority="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0" w:name="footnote reference"/>
    <w:lsdException w:qFormat="1"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qFormat="1" w:uiPriority="0" w:semiHidden="0"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qFormat="1" w:uiPriority="99" w:name="FollowedHyperlink"/>
    <w:lsdException w:qFormat="1" w:unhideWhenUsed="0" w:uiPriority="20" w:semiHidden="0" w:name="Strong"/>
    <w:lsdException w:qFormat="1" w:unhideWhenUsed="0" w:uiPriority="20" w:semiHidden="0" w:name="Emphasis"/>
    <w:lsdException w:qFormat="1" w:uiPriority="0" w:name="Document Map"/>
    <w:lsdException w:qFormat="1"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spacing w:before="120" w:after="100" w:afterAutospacing="1" w:line="360" w:lineRule="auto"/>
      <w:ind w:left="709" w:right="-27" w:hanging="709"/>
      <w:jc w:val="both"/>
    </w:pPr>
    <w:rPr>
      <w:rFonts w:ascii="Times New Roman" w:hAnsi="Times New Roman" w:eastAsia="宋体" w:cs="Times New Roman"/>
      <w:sz w:val="21"/>
      <w:szCs w:val="21"/>
      <w:lang w:val="en-US" w:eastAsia="zh-CN" w:bidi="ar-SA"/>
    </w:rPr>
  </w:style>
  <w:style w:type="paragraph" w:styleId="4">
    <w:name w:val="heading 1"/>
    <w:basedOn w:val="1"/>
    <w:next w:val="1"/>
    <w:qFormat/>
    <w:uiPriority w:val="7"/>
    <w:pPr>
      <w:spacing w:before="0" w:after="330" w:line="576" w:lineRule="auto"/>
      <w:outlineLvl w:val="0"/>
    </w:pPr>
    <w:rPr>
      <w:b/>
      <w:sz w:val="44"/>
      <w:szCs w:val="44"/>
    </w:rPr>
  </w:style>
  <w:style w:type="paragraph" w:styleId="5">
    <w:name w:val="heading 2"/>
    <w:basedOn w:val="1"/>
    <w:next w:val="1"/>
    <w:qFormat/>
    <w:uiPriority w:val="8"/>
    <w:pPr>
      <w:spacing w:before="0" w:after="260" w:line="415" w:lineRule="auto"/>
      <w:outlineLvl w:val="1"/>
    </w:pPr>
    <w:rPr>
      <w:rFonts w:ascii="Arial" w:hAnsi="Arial" w:eastAsia="黑体"/>
      <w:b/>
      <w:sz w:val="32"/>
      <w:szCs w:val="32"/>
    </w:rPr>
  </w:style>
  <w:style w:type="paragraph" w:styleId="6">
    <w:name w:val="heading 3"/>
    <w:basedOn w:val="1"/>
    <w:next w:val="1"/>
    <w:qFormat/>
    <w:uiPriority w:val="9"/>
    <w:pPr>
      <w:outlineLvl w:val="2"/>
    </w:pPr>
    <w:rPr>
      <w:b/>
      <w:sz w:val="24"/>
      <w:szCs w:val="24"/>
    </w:rPr>
  </w:style>
  <w:style w:type="paragraph" w:styleId="3">
    <w:name w:val="heading 4"/>
    <w:basedOn w:val="1"/>
    <w:next w:val="1"/>
    <w:unhideWhenUsed/>
    <w:qFormat/>
    <w:uiPriority w:val="0"/>
    <w:pPr>
      <w:keepNext/>
      <w:keepLines/>
      <w:numPr>
        <w:ilvl w:val="3"/>
        <w:numId w:val="1"/>
      </w:numPr>
      <w:spacing w:before="280" w:after="290" w:line="376" w:lineRule="auto"/>
      <w:outlineLvl w:val="3"/>
    </w:pPr>
    <w:rPr>
      <w:rFonts w:ascii="Cambria" w:hAnsi="Cambria"/>
      <w:b/>
      <w:bCs/>
      <w:sz w:val="28"/>
      <w:szCs w:val="28"/>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3"/>
    <w:link w:val="50"/>
    <w:unhideWhenUsed/>
    <w:qFormat/>
    <w:uiPriority w:val="0"/>
    <w:rPr>
      <w:rFonts w:ascii="宋体" w:hAnsi="Courier New" w:cs="宋体"/>
      <w:sz w:val="20"/>
      <w:szCs w:val="20"/>
    </w:rPr>
  </w:style>
  <w:style w:type="paragraph" w:styleId="7">
    <w:name w:val="toc 7"/>
    <w:basedOn w:val="1"/>
    <w:next w:val="1"/>
    <w:unhideWhenUsed/>
    <w:qFormat/>
    <w:uiPriority w:val="39"/>
    <w:pPr>
      <w:widowControl w:val="0"/>
      <w:spacing w:before="0" w:after="0" w:afterAutospacing="0" w:line="240" w:lineRule="auto"/>
      <w:ind w:left="2520" w:leftChars="1200" w:right="0" w:firstLine="0"/>
    </w:pPr>
    <w:rPr>
      <w:rFonts w:asciiTheme="minorHAnsi" w:hAnsiTheme="minorHAnsi" w:eastAsiaTheme="minorEastAsia" w:cstheme="minorBidi"/>
      <w:kern w:val="2"/>
      <w:szCs w:val="22"/>
    </w:rPr>
  </w:style>
  <w:style w:type="paragraph" w:styleId="8">
    <w:name w:val="Document Map"/>
    <w:basedOn w:val="1"/>
    <w:semiHidden/>
    <w:unhideWhenUsed/>
    <w:qFormat/>
    <w:uiPriority w:val="0"/>
    <w:rPr>
      <w:rFonts w:ascii="宋体"/>
      <w:sz w:val="18"/>
      <w:szCs w:val="18"/>
    </w:rPr>
  </w:style>
  <w:style w:type="paragraph" w:styleId="9">
    <w:name w:val="annotation text"/>
    <w:basedOn w:val="1"/>
    <w:semiHidden/>
    <w:unhideWhenUsed/>
    <w:qFormat/>
    <w:uiPriority w:val="0"/>
    <w:pPr>
      <w:spacing w:before="120" w:beforeAutospacing="0" w:after="0" w:afterAutospacing="1" w:line="360" w:lineRule="auto"/>
      <w:ind w:left="709" w:right="-27" w:hanging="709"/>
      <w:jc w:val="left"/>
    </w:pPr>
    <w:rPr>
      <w:rFonts w:hint="default" w:ascii="Times New Roman" w:hAnsi="Times New Roman" w:eastAsia="宋体" w:cs="Times New Roman"/>
      <w:kern w:val="0"/>
      <w:sz w:val="21"/>
      <w:szCs w:val="21"/>
      <w:lang w:val="en-US" w:eastAsia="zh-CN" w:bidi="ar"/>
    </w:rPr>
  </w:style>
  <w:style w:type="paragraph" w:styleId="10">
    <w:name w:val="Body Text"/>
    <w:basedOn w:val="1"/>
    <w:link w:val="52"/>
    <w:semiHidden/>
    <w:unhideWhenUsed/>
    <w:qFormat/>
    <w:uiPriority w:val="99"/>
    <w:pPr>
      <w:spacing w:after="120"/>
    </w:pPr>
  </w:style>
  <w:style w:type="paragraph" w:styleId="11">
    <w:name w:val="toc 5"/>
    <w:basedOn w:val="1"/>
    <w:next w:val="1"/>
    <w:unhideWhenUsed/>
    <w:qFormat/>
    <w:uiPriority w:val="39"/>
    <w:pPr>
      <w:widowControl w:val="0"/>
      <w:spacing w:before="0" w:after="0" w:afterAutospacing="0" w:line="240" w:lineRule="auto"/>
      <w:ind w:left="1680" w:leftChars="800" w:right="0" w:firstLine="0"/>
    </w:pPr>
    <w:rPr>
      <w:rFonts w:asciiTheme="minorHAnsi" w:hAnsiTheme="minorHAnsi" w:eastAsiaTheme="minorEastAsia" w:cstheme="minorBidi"/>
      <w:kern w:val="2"/>
      <w:szCs w:val="22"/>
    </w:rPr>
  </w:style>
  <w:style w:type="paragraph" w:styleId="12">
    <w:name w:val="toc 3"/>
    <w:basedOn w:val="1"/>
    <w:next w:val="1"/>
    <w:unhideWhenUsed/>
    <w:qFormat/>
    <w:uiPriority w:val="39"/>
    <w:pPr>
      <w:ind w:left="840" w:firstLine="0"/>
    </w:pPr>
  </w:style>
  <w:style w:type="paragraph" w:styleId="13">
    <w:name w:val="toc 8"/>
    <w:basedOn w:val="1"/>
    <w:next w:val="1"/>
    <w:unhideWhenUsed/>
    <w:qFormat/>
    <w:uiPriority w:val="39"/>
    <w:pPr>
      <w:widowControl w:val="0"/>
      <w:spacing w:before="0" w:after="0" w:afterAutospacing="0" w:line="240" w:lineRule="auto"/>
      <w:ind w:left="2940" w:leftChars="1400" w:right="0" w:firstLine="0"/>
    </w:pPr>
    <w:rPr>
      <w:rFonts w:asciiTheme="minorHAnsi" w:hAnsiTheme="minorHAnsi" w:eastAsiaTheme="minorEastAsia" w:cstheme="minorBidi"/>
      <w:kern w:val="2"/>
      <w:szCs w:val="22"/>
    </w:rPr>
  </w:style>
  <w:style w:type="paragraph" w:styleId="14">
    <w:name w:val="Date"/>
    <w:basedOn w:val="1"/>
    <w:next w:val="1"/>
    <w:link w:val="54"/>
    <w:semiHidden/>
    <w:unhideWhenUsed/>
    <w:qFormat/>
    <w:uiPriority w:val="99"/>
    <w:pPr>
      <w:ind w:left="100" w:leftChars="2500"/>
    </w:pPr>
  </w:style>
  <w:style w:type="paragraph" w:styleId="15">
    <w:name w:val="Balloon Text"/>
    <w:basedOn w:val="1"/>
    <w:semiHidden/>
    <w:unhideWhenUsed/>
    <w:qFormat/>
    <w:uiPriority w:val="0"/>
    <w:pPr>
      <w:spacing w:after="0" w:line="240" w:lineRule="auto"/>
    </w:pPr>
    <w:rPr>
      <w:sz w:val="18"/>
      <w:szCs w:val="18"/>
    </w:rPr>
  </w:style>
  <w:style w:type="paragraph" w:styleId="16">
    <w:name w:val="footer"/>
    <w:basedOn w:val="1"/>
    <w:qFormat/>
    <w:uiPriority w:val="99"/>
    <w:pPr>
      <w:tabs>
        <w:tab w:val="center" w:pos="4153"/>
        <w:tab w:val="right" w:pos="8306"/>
      </w:tabs>
      <w:snapToGrid w:val="0"/>
      <w:jc w:val="left"/>
    </w:pPr>
    <w:rPr>
      <w:sz w:val="18"/>
      <w:szCs w:val="18"/>
    </w:rPr>
  </w:style>
  <w:style w:type="paragraph" w:styleId="17">
    <w:name w:val="header"/>
    <w:basedOn w:val="1"/>
    <w:qFormat/>
    <w:uiPriority w:val="0"/>
    <w:pPr>
      <w:pBdr>
        <w:bottom w:val="single" w:color="000000"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style>
  <w:style w:type="paragraph" w:styleId="19">
    <w:name w:val="toc 4"/>
    <w:basedOn w:val="1"/>
    <w:next w:val="1"/>
    <w:unhideWhenUsed/>
    <w:qFormat/>
    <w:uiPriority w:val="39"/>
    <w:pPr>
      <w:widowControl w:val="0"/>
      <w:spacing w:before="0" w:after="0" w:afterAutospacing="0" w:line="240" w:lineRule="auto"/>
      <w:ind w:left="1260" w:leftChars="600" w:right="0" w:firstLine="0"/>
    </w:pPr>
    <w:rPr>
      <w:rFonts w:asciiTheme="minorHAnsi" w:hAnsiTheme="minorHAnsi" w:eastAsiaTheme="minorEastAsia" w:cstheme="minorBidi"/>
      <w:kern w:val="2"/>
      <w:szCs w:val="22"/>
    </w:rPr>
  </w:style>
  <w:style w:type="paragraph" w:styleId="20">
    <w:name w:val="footnote text"/>
    <w:basedOn w:val="1"/>
    <w:semiHidden/>
    <w:unhideWhenUsed/>
    <w:qFormat/>
    <w:uiPriority w:val="0"/>
    <w:pPr>
      <w:snapToGrid w:val="0"/>
      <w:jc w:val="left"/>
    </w:pPr>
    <w:rPr>
      <w:sz w:val="18"/>
      <w:szCs w:val="18"/>
    </w:rPr>
  </w:style>
  <w:style w:type="paragraph" w:styleId="21">
    <w:name w:val="toc 6"/>
    <w:basedOn w:val="1"/>
    <w:next w:val="1"/>
    <w:unhideWhenUsed/>
    <w:qFormat/>
    <w:uiPriority w:val="39"/>
    <w:pPr>
      <w:widowControl w:val="0"/>
      <w:spacing w:before="0" w:after="0" w:afterAutospacing="0" w:line="240" w:lineRule="auto"/>
      <w:ind w:left="2100" w:leftChars="1000" w:right="0" w:firstLine="0"/>
    </w:pPr>
    <w:rPr>
      <w:rFonts w:asciiTheme="minorHAnsi" w:hAnsiTheme="minorHAnsi" w:eastAsiaTheme="minorEastAsia" w:cstheme="minorBidi"/>
      <w:kern w:val="2"/>
      <w:szCs w:val="22"/>
    </w:rPr>
  </w:style>
  <w:style w:type="paragraph" w:styleId="22">
    <w:name w:val="Body Text Indent 3"/>
    <w:basedOn w:val="1"/>
    <w:qFormat/>
    <w:uiPriority w:val="0"/>
    <w:pPr>
      <w:spacing w:after="120"/>
      <w:ind w:left="420" w:firstLine="0"/>
    </w:pPr>
    <w:rPr>
      <w:sz w:val="16"/>
      <w:szCs w:val="16"/>
    </w:rPr>
  </w:style>
  <w:style w:type="paragraph" w:styleId="23">
    <w:name w:val="toc 2"/>
    <w:basedOn w:val="1"/>
    <w:next w:val="1"/>
    <w:unhideWhenUsed/>
    <w:qFormat/>
    <w:uiPriority w:val="39"/>
    <w:pPr>
      <w:ind w:left="420" w:firstLine="0"/>
    </w:pPr>
  </w:style>
  <w:style w:type="paragraph" w:styleId="24">
    <w:name w:val="toc 9"/>
    <w:basedOn w:val="1"/>
    <w:next w:val="1"/>
    <w:unhideWhenUsed/>
    <w:qFormat/>
    <w:uiPriority w:val="39"/>
    <w:pPr>
      <w:widowControl w:val="0"/>
      <w:spacing w:before="0" w:after="0" w:afterAutospacing="0" w:line="240" w:lineRule="auto"/>
      <w:ind w:left="3360" w:leftChars="1600" w:right="0" w:firstLine="0"/>
    </w:pPr>
    <w:rPr>
      <w:rFonts w:asciiTheme="minorHAnsi" w:hAnsiTheme="minorHAnsi" w:eastAsiaTheme="minorEastAsia" w:cstheme="minorBidi"/>
      <w:kern w:val="2"/>
      <w:szCs w:val="22"/>
    </w:rPr>
  </w:style>
  <w:style w:type="paragraph" w:styleId="25">
    <w:name w:val="Body Text 2"/>
    <w:basedOn w:val="1"/>
    <w:unhideWhenUsed/>
    <w:qFormat/>
    <w:uiPriority w:val="0"/>
    <w:pPr>
      <w:spacing w:after="120" w:line="480" w:lineRule="auto"/>
    </w:pPr>
  </w:style>
  <w:style w:type="paragraph" w:styleId="26">
    <w:name w:val="Normal (Web)"/>
    <w:basedOn w:val="1"/>
    <w:semiHidden/>
    <w:unhideWhenUsed/>
    <w:qFormat/>
    <w:uiPriority w:val="99"/>
    <w:rPr>
      <w:sz w:val="24"/>
    </w:rPr>
  </w:style>
  <w:style w:type="paragraph" w:styleId="27">
    <w:name w:val="annotation subject"/>
    <w:basedOn w:val="9"/>
    <w:next w:val="9"/>
    <w:semiHidden/>
    <w:unhideWhenUsed/>
    <w:qFormat/>
    <w:uiPriority w:val="0"/>
    <w:rPr>
      <w:b/>
    </w:rPr>
  </w:style>
  <w:style w:type="table" w:styleId="29">
    <w:name w:val="Table Grid"/>
    <w:basedOn w:val="2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qFormat/>
    <w:uiPriority w:val="20"/>
    <w:rPr>
      <w:rFonts w:cs="Times New Roman"/>
      <w:b/>
    </w:rPr>
  </w:style>
  <w:style w:type="character" w:styleId="32">
    <w:name w:val="page number"/>
    <w:basedOn w:val="30"/>
    <w:qFormat/>
    <w:uiPriority w:val="0"/>
  </w:style>
  <w:style w:type="character" w:styleId="33">
    <w:name w:val="FollowedHyperlink"/>
    <w:basedOn w:val="30"/>
    <w:semiHidden/>
    <w:unhideWhenUsed/>
    <w:qFormat/>
    <w:uiPriority w:val="99"/>
    <w:rPr>
      <w:color w:val="800080"/>
      <w:u w:val="single"/>
    </w:rPr>
  </w:style>
  <w:style w:type="character" w:styleId="34">
    <w:name w:val="Hyperlink"/>
    <w:basedOn w:val="30"/>
    <w:unhideWhenUsed/>
    <w:qFormat/>
    <w:uiPriority w:val="99"/>
    <w:rPr>
      <w:color w:val="0000FF"/>
      <w:u w:val="single"/>
    </w:rPr>
  </w:style>
  <w:style w:type="character" w:styleId="35">
    <w:name w:val="annotation reference"/>
    <w:basedOn w:val="30"/>
    <w:semiHidden/>
    <w:unhideWhenUsed/>
    <w:qFormat/>
    <w:uiPriority w:val="0"/>
    <w:rPr>
      <w:sz w:val="21"/>
      <w:szCs w:val="21"/>
    </w:rPr>
  </w:style>
  <w:style w:type="character" w:styleId="36">
    <w:name w:val="footnote reference"/>
    <w:basedOn w:val="30"/>
    <w:semiHidden/>
    <w:unhideWhenUsed/>
    <w:qFormat/>
    <w:uiPriority w:val="0"/>
    <w:rPr>
      <w:vertAlign w:val="superscript"/>
    </w:rPr>
  </w:style>
  <w:style w:type="paragraph" w:styleId="37">
    <w:name w:val="List Paragraph"/>
    <w:basedOn w:val="1"/>
    <w:qFormat/>
    <w:uiPriority w:val="34"/>
    <w:pPr>
      <w:ind w:firstLine="200"/>
    </w:pPr>
    <w:rPr>
      <w:rFonts w:ascii="Calibri" w:hAnsi="Calibri"/>
    </w:rPr>
  </w:style>
  <w:style w:type="character" w:customStyle="1" w:styleId="38">
    <w:name w:val="正文文本 2 Char"/>
    <w:basedOn w:val="30"/>
    <w:qFormat/>
    <w:uiPriority w:val="0"/>
    <w:rPr>
      <w:rFonts w:ascii="Times New Roman" w:hAnsi="Times New Roman" w:eastAsia="宋体" w:cs="Times New Roman"/>
    </w:rPr>
  </w:style>
  <w:style w:type="character" w:customStyle="1" w:styleId="39">
    <w:name w:val="16"/>
    <w:basedOn w:val="30"/>
    <w:qFormat/>
    <w:uiPriority w:val="0"/>
    <w:rPr>
      <w:rFonts w:hint="default" w:ascii="Times New Roman" w:hAnsi="Times New Roman" w:cs="Times New Roman"/>
      <w:color w:val="0000FF"/>
      <w:u w:val="single"/>
    </w:rPr>
  </w:style>
  <w:style w:type="character" w:customStyle="1" w:styleId="40">
    <w:name w:val="15"/>
    <w:basedOn w:val="30"/>
    <w:qFormat/>
    <w:uiPriority w:val="0"/>
    <w:rPr>
      <w:rFonts w:hint="default" w:ascii="Times New Roman" w:hAnsi="Times New Roman" w:cs="Times New Roman"/>
      <w:color w:val="0000FF"/>
      <w:u w:val="single"/>
    </w:rPr>
  </w:style>
  <w:style w:type="character" w:customStyle="1" w:styleId="41">
    <w:name w:val="标题 3 Char"/>
    <w:qFormat/>
    <w:uiPriority w:val="0"/>
    <w:rPr>
      <w:b/>
      <w:sz w:val="24"/>
      <w:szCs w:val="24"/>
    </w:rPr>
  </w:style>
  <w:style w:type="character" w:customStyle="1" w:styleId="42">
    <w:name w:val="标题 2 Char"/>
    <w:qFormat/>
    <w:uiPriority w:val="0"/>
    <w:rPr>
      <w:rFonts w:ascii="Arial" w:hAnsi="Arial" w:eastAsia="黑体"/>
      <w:b/>
      <w:sz w:val="32"/>
      <w:szCs w:val="32"/>
    </w:rPr>
  </w:style>
  <w:style w:type="character" w:customStyle="1" w:styleId="43">
    <w:name w:val="批注框文本 Char"/>
    <w:basedOn w:val="30"/>
    <w:semiHidden/>
    <w:qFormat/>
    <w:uiPriority w:val="0"/>
    <w:rPr>
      <w:sz w:val="18"/>
      <w:szCs w:val="18"/>
    </w:rPr>
  </w:style>
  <w:style w:type="character" w:customStyle="1" w:styleId="44">
    <w:name w:val="批注文字 Char"/>
    <w:basedOn w:val="30"/>
    <w:semiHidden/>
    <w:qFormat/>
    <w:uiPriority w:val="0"/>
    <w:rPr>
      <w:sz w:val="21"/>
      <w:szCs w:val="21"/>
    </w:rPr>
  </w:style>
  <w:style w:type="character" w:customStyle="1" w:styleId="45">
    <w:name w:val="批注主题 Char"/>
    <w:basedOn w:val="44"/>
    <w:semiHidden/>
    <w:qFormat/>
    <w:uiPriority w:val="0"/>
    <w:rPr>
      <w:b/>
      <w:sz w:val="21"/>
      <w:szCs w:val="21"/>
    </w:rPr>
  </w:style>
  <w:style w:type="character" w:customStyle="1" w:styleId="46">
    <w:name w:val="文档结构图 Char"/>
    <w:basedOn w:val="30"/>
    <w:semiHidden/>
    <w:qFormat/>
    <w:uiPriority w:val="0"/>
    <w:rPr>
      <w:rFonts w:ascii="宋体"/>
      <w:sz w:val="18"/>
      <w:szCs w:val="18"/>
    </w:rPr>
  </w:style>
  <w:style w:type="character" w:customStyle="1" w:styleId="47">
    <w:name w:val="页脚 Char"/>
    <w:qFormat/>
    <w:uiPriority w:val="99"/>
    <w:rPr>
      <w:sz w:val="18"/>
      <w:szCs w:val="18"/>
    </w:rPr>
  </w:style>
  <w:style w:type="character" w:customStyle="1" w:styleId="48">
    <w:name w:val="脚注文本 Char"/>
    <w:basedOn w:val="30"/>
    <w:semiHidden/>
    <w:qFormat/>
    <w:uiPriority w:val="0"/>
    <w:rPr>
      <w:sz w:val="18"/>
      <w:szCs w:val="18"/>
    </w:rPr>
  </w:style>
  <w:style w:type="paragraph" w:customStyle="1" w:styleId="49">
    <w:name w:val="TOC 标题1"/>
    <w:basedOn w:val="4"/>
    <w:next w:val="1"/>
    <w:semiHidden/>
    <w:unhideWhenUsed/>
    <w:qFormat/>
    <w:uiPriority w:val="39"/>
    <w:pPr>
      <w:keepNext/>
      <w:keepLines/>
      <w:spacing w:before="480" w:after="0" w:afterAutospacing="0" w:line="276" w:lineRule="auto"/>
      <w:ind w:left="0" w:right="0" w:firstLine="0"/>
      <w:jc w:val="left"/>
      <w:outlineLvl w:val="9"/>
    </w:pPr>
    <w:rPr>
      <w:rFonts w:asciiTheme="majorHAnsi" w:hAnsiTheme="majorHAnsi" w:eastAsiaTheme="majorEastAsia" w:cstheme="majorBidi"/>
      <w:bCs/>
      <w:color w:val="366091" w:themeColor="accent1" w:themeShade="BF"/>
      <w:sz w:val="28"/>
      <w:szCs w:val="28"/>
    </w:rPr>
  </w:style>
  <w:style w:type="character" w:customStyle="1" w:styleId="50">
    <w:name w:val="纯文本 字符"/>
    <w:link w:val="2"/>
    <w:qFormat/>
    <w:locked/>
    <w:uiPriority w:val="0"/>
    <w:rPr>
      <w:rFonts w:ascii="宋体" w:hAnsi="Courier New" w:cs="宋体"/>
    </w:rPr>
  </w:style>
  <w:style w:type="paragraph" w:customStyle="1" w:styleId="51">
    <w:name w:val="修订1"/>
    <w:hidden/>
    <w:semiHidden/>
    <w:qFormat/>
    <w:uiPriority w:val="99"/>
    <w:rPr>
      <w:rFonts w:ascii="Times New Roman" w:hAnsi="Times New Roman" w:eastAsia="宋体" w:cs="Times New Roman"/>
      <w:sz w:val="21"/>
      <w:szCs w:val="21"/>
      <w:lang w:val="en-US" w:eastAsia="zh-CN" w:bidi="ar-SA"/>
    </w:rPr>
  </w:style>
  <w:style w:type="character" w:customStyle="1" w:styleId="52">
    <w:name w:val="正文文本 字符"/>
    <w:basedOn w:val="30"/>
    <w:link w:val="10"/>
    <w:semiHidden/>
    <w:qFormat/>
    <w:uiPriority w:val="99"/>
    <w:rPr>
      <w:sz w:val="21"/>
      <w:szCs w:val="21"/>
    </w:rPr>
  </w:style>
  <w:style w:type="paragraph" w:customStyle="1" w:styleId="53">
    <w:name w:val="修订2"/>
    <w:hidden/>
    <w:unhideWhenUsed/>
    <w:qFormat/>
    <w:uiPriority w:val="99"/>
    <w:rPr>
      <w:rFonts w:ascii="Times New Roman" w:hAnsi="Times New Roman" w:eastAsia="宋体" w:cs="Times New Roman"/>
      <w:sz w:val="21"/>
      <w:szCs w:val="21"/>
      <w:lang w:val="en-US" w:eastAsia="zh-CN" w:bidi="ar-SA"/>
    </w:rPr>
  </w:style>
  <w:style w:type="character" w:customStyle="1" w:styleId="54">
    <w:name w:val="日期 字符"/>
    <w:basedOn w:val="30"/>
    <w:link w:val="14"/>
    <w:semiHidden/>
    <w:qFormat/>
    <w:uiPriority w:val="99"/>
    <w:rPr>
      <w:sz w:val="21"/>
      <w:szCs w:val="21"/>
    </w:rPr>
  </w:style>
  <w:style w:type="character" w:customStyle="1" w:styleId="55">
    <w:name w:val="10"/>
    <w:basedOn w:val="30"/>
    <w:qFormat/>
    <w:uiPriority w:val="0"/>
    <w:rPr>
      <w:rFonts w:hint="default" w:ascii="Times New Roman" w:hAnsi="Times New Roman" w:cs="Times New Roman"/>
    </w:rPr>
  </w:style>
  <w:style w:type="paragraph" w:customStyle="1" w:styleId="56">
    <w:name w:val="Heading #2|1"/>
    <w:qFormat/>
    <w:uiPriority w:val="0"/>
    <w:pPr>
      <w:widowControl w:val="0"/>
      <w:spacing w:before="0" w:after="120" w:afterAutospacing="0" w:line="240" w:lineRule="auto"/>
      <w:ind w:left="0" w:right="0" w:firstLine="0"/>
      <w:jc w:val="center"/>
      <w:outlineLvl w:val="1"/>
    </w:pPr>
    <w:rPr>
      <w:rFonts w:ascii="宋体" w:hAnsi="宋体" w:eastAsia="宋体" w:cs="宋体"/>
      <w:sz w:val="38"/>
      <w:szCs w:val="38"/>
      <w:lang w:val="zh-TW" w:eastAsia="zh-TW" w:bidi="zh-TW"/>
    </w:rPr>
  </w:style>
  <w:style w:type="paragraph" w:customStyle="1" w:styleId="57">
    <w:name w:val="Table caption|1"/>
    <w:qFormat/>
    <w:uiPriority w:val="0"/>
    <w:pPr>
      <w:widowControl w:val="0"/>
      <w:spacing w:before="0" w:after="0" w:afterAutospacing="0" w:line="240" w:lineRule="auto"/>
      <w:ind w:left="0" w:right="0" w:firstLine="0"/>
      <w:jc w:val="right"/>
    </w:pPr>
    <w:rPr>
      <w:rFonts w:ascii="Times New Roman" w:hAnsi="Times New Roman" w:eastAsia="宋体" w:cs="Times New Roman"/>
      <w:sz w:val="20"/>
      <w:szCs w:val="20"/>
      <w:lang w:val="en-US" w:eastAsia="zh-CN" w:bidi="ar-SA"/>
    </w:rPr>
  </w:style>
  <w:style w:type="paragraph" w:customStyle="1" w:styleId="58">
    <w:name w:val="Other|1"/>
    <w:qFormat/>
    <w:uiPriority w:val="0"/>
    <w:pPr>
      <w:widowControl w:val="0"/>
      <w:spacing w:before="0" w:after="0" w:afterAutospacing="0" w:line="240" w:lineRule="auto"/>
      <w:ind w:left="0" w:right="0" w:firstLine="0"/>
      <w:jc w:val="center"/>
    </w:pPr>
    <w:rPr>
      <w:rFonts w:ascii="宋体" w:hAnsi="宋体" w:eastAsia="宋体" w:cs="宋体"/>
      <w:sz w:val="20"/>
      <w:szCs w:val="20"/>
      <w:lang w:val="zh-TW" w:eastAsia="zh-TW" w:bidi="zh-TW"/>
    </w:rPr>
  </w:style>
  <w:style w:type="paragraph" w:customStyle="1" w:styleId="59">
    <w:name w:val="Char"/>
    <w:qFormat/>
    <w:uiPriority w:val="0"/>
    <w:pPr>
      <w:spacing w:before="0" w:after="160" w:afterAutospacing="0" w:line="240" w:lineRule="exact"/>
      <w:ind w:left="0" w:right="0" w:firstLine="0"/>
      <w:jc w:val="left"/>
    </w:pPr>
    <w:rPr>
      <w:rFonts w:ascii="Tahoma" w:hAnsi="Tahoma" w:eastAsia="宋体" w:cs="Times New Roman"/>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header" Target="header6.xml"/><Relationship Id="rId17" Type="http://schemas.openxmlformats.org/officeDocument/2006/relationships/footer" Target="footer8.xml"/><Relationship Id="rId16" Type="http://schemas.openxmlformats.org/officeDocument/2006/relationships/header" Target="header5.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header" Target="header3.xml"/><Relationship Id="rId11" Type="http://schemas.openxmlformats.org/officeDocument/2006/relationships/header" Target="header2.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4098" textRotate="1"/>
    <customShpInfo spid="_x0000_s4099" textRotate="1"/>
    <customShpInfo spid="_x0000_s4100" textRotate="1"/>
    <customShpInfo spid="_x0000_s4101" textRotate="1"/>
    <customShpInfo spid="_x0000_s4102"/>
    <customShpInfo spid="_x0000_s4103"/>
  </customShpExt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DC3FF0-6EBA-4C15-88D4-F03E4AA6587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115</Pages>
  <Words>55848</Words>
  <Characters>60674</Characters>
  <Lines>1</Lines>
  <Paragraphs>1</Paragraphs>
  <TotalTime>1</TotalTime>
  <ScaleCrop>false</ScaleCrop>
  <LinksUpToDate>false</LinksUpToDate>
  <CharactersWithSpaces>63739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2019-12-30T09:01:00Z</dcterms:created>
  <dc:creator>NTKO</dc:creator>
  <cp:lastModifiedBy>黎梅芬</cp:lastModifiedBy>
  <cp:lastPrinted>2023-11-24T08:08:00Z</cp:lastPrinted>
  <dcterms:modified xsi:type="dcterms:W3CDTF">2023-11-24T10:13:14Z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F5379D8FF95C4EEFAA28D1C819AA4143</vt:lpwstr>
  </property>
</Properties>
</file>