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Times New Roman"/>
          <w:bCs/>
          <w:sz w:val="36"/>
          <w:szCs w:val="36"/>
        </w:rPr>
      </w:pPr>
      <w:r>
        <w:rPr>
          <w:rFonts w:hint="eastAsia" w:ascii="方正小标宋简体" w:hAnsi="宋体" w:eastAsia="方正小标宋简体" w:cs="Times New Roman"/>
          <w:bCs/>
          <w:sz w:val="36"/>
          <w:szCs w:val="36"/>
        </w:rPr>
        <w:t>南宁轨道交通运营有限公司2023年废铁屑出售处置项目</w:t>
      </w: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jc w:val="center"/>
        <w:rPr>
          <w:rFonts w:ascii="方正小标宋简体" w:hAnsi="宋体" w:eastAsia="方正小标宋简体"/>
          <w:bCs/>
          <w:sz w:val="52"/>
          <w:szCs w:val="52"/>
        </w:rPr>
      </w:pPr>
      <w:r>
        <w:rPr>
          <w:rFonts w:hint="eastAsia" w:ascii="方正小标宋简体" w:hAnsi="宋体" w:eastAsia="方正小标宋简体" w:cs="宋体"/>
          <w:bCs/>
          <w:sz w:val="52"/>
          <w:szCs w:val="52"/>
        </w:rPr>
        <w:t>用 户 需 求 书</w:t>
      </w: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rPr>
          <w:rFonts w:ascii="宋体" w:hAnsi="宋体"/>
          <w:b/>
          <w:bCs/>
          <w:sz w:val="44"/>
          <w:szCs w:val="44"/>
        </w:rPr>
      </w:pPr>
    </w:p>
    <w:p>
      <w:pPr>
        <w:jc w:val="center"/>
        <w:rPr>
          <w:rFonts w:ascii="宋体" w:hAnsi="宋体"/>
          <w:sz w:val="32"/>
          <w:szCs w:val="32"/>
          <w:highlight w:val="none"/>
        </w:rPr>
      </w:pPr>
      <w:r>
        <w:rPr>
          <w:rFonts w:hint="eastAsia" w:ascii="宋体" w:hAnsi="宋体"/>
          <w:sz w:val="32"/>
          <w:szCs w:val="32"/>
          <w:highlight w:val="none"/>
        </w:rPr>
        <w:t>南宁轨道交通运营有限公司</w:t>
      </w:r>
    </w:p>
    <w:p>
      <w:pPr>
        <w:jc w:val="center"/>
        <w:rPr>
          <w:rFonts w:ascii="宋体" w:hAnsi="宋体"/>
          <w:color w:val="auto"/>
          <w:sz w:val="32"/>
          <w:szCs w:val="32"/>
          <w:highlight w:val="none"/>
        </w:rPr>
      </w:pPr>
      <w:r>
        <w:rPr>
          <w:rFonts w:hint="eastAsia" w:ascii="宋体" w:hAnsi="宋体"/>
          <w:sz w:val="32"/>
          <w:szCs w:val="32"/>
          <w:highlight w:val="none"/>
        </w:rPr>
        <w:t>2023年</w:t>
      </w:r>
      <w:r>
        <w:rPr>
          <w:rFonts w:hint="eastAsia" w:ascii="宋体" w:hAnsi="宋体"/>
          <w:color w:val="auto"/>
          <w:sz w:val="32"/>
          <w:szCs w:val="32"/>
          <w:highlight w:val="none"/>
        </w:rPr>
        <w:t>3月</w:t>
      </w:r>
      <w:r>
        <w:rPr>
          <w:rFonts w:hint="eastAsia" w:ascii="宋体" w:hAnsi="宋体"/>
          <w:color w:val="auto"/>
          <w:sz w:val="32"/>
          <w:szCs w:val="32"/>
          <w:highlight w:val="none"/>
          <w:lang w:val="en-US" w:eastAsia="zh-CN"/>
        </w:rPr>
        <w:t>13</w:t>
      </w:r>
      <w:r>
        <w:rPr>
          <w:rFonts w:hint="eastAsia" w:ascii="宋体" w:hAnsi="宋体"/>
          <w:color w:val="auto"/>
          <w:sz w:val="32"/>
          <w:szCs w:val="32"/>
          <w:highlight w:val="none"/>
        </w:rPr>
        <w:t>日</w:t>
      </w:r>
    </w:p>
    <w:p>
      <w:pPr>
        <w:jc w:val="center"/>
        <w:rPr>
          <w:rFonts w:ascii="方正小标宋简体" w:hAnsi="宋体" w:eastAsia="方正小标宋简体" w:cs="Times New Roman"/>
          <w:bCs/>
          <w:color w:val="auto"/>
          <w:sz w:val="36"/>
          <w:szCs w:val="36"/>
        </w:rPr>
        <w:sectPr>
          <w:pgSz w:w="11906" w:h="16838"/>
          <w:pgMar w:top="1440" w:right="1800" w:bottom="1440" w:left="1800" w:header="851" w:footer="992" w:gutter="0"/>
          <w:cols w:space="425" w:num="1"/>
          <w:docGrid w:type="lines" w:linePitch="312" w:charSpace="0"/>
        </w:sectPr>
      </w:pPr>
    </w:p>
    <w:p>
      <w:pPr>
        <w:jc w:val="center"/>
        <w:rPr>
          <w:rFonts w:ascii="宋体" w:hAnsi="宋体"/>
          <w:b/>
          <w:sz w:val="18"/>
          <w:szCs w:val="18"/>
          <w:lang w:val="zh-CN"/>
        </w:rPr>
      </w:pPr>
      <w:r>
        <w:rPr>
          <w:rFonts w:ascii="宋体" w:hAnsi="宋体"/>
          <w:b/>
          <w:sz w:val="52"/>
          <w:szCs w:val="52"/>
          <w:lang w:val="zh-CN"/>
        </w:rPr>
        <w:t>目</w:t>
      </w:r>
      <w:r>
        <w:rPr>
          <w:rFonts w:hint="eastAsia" w:ascii="宋体" w:hAnsi="宋体"/>
          <w:b/>
          <w:sz w:val="52"/>
          <w:szCs w:val="52"/>
          <w:lang w:val="zh-CN"/>
        </w:rPr>
        <w:t xml:space="preserve">  </w:t>
      </w:r>
      <w:r>
        <w:rPr>
          <w:rFonts w:ascii="宋体" w:hAnsi="宋体"/>
          <w:b/>
          <w:sz w:val="52"/>
          <w:szCs w:val="52"/>
          <w:lang w:val="zh-CN"/>
        </w:rPr>
        <w:t>录</w:t>
      </w:r>
    </w:p>
    <w:p>
      <w:pPr>
        <w:rPr>
          <w:lang w:val="zh-CN"/>
        </w:rPr>
      </w:pPr>
    </w:p>
    <w:p>
      <w:pPr>
        <w:pStyle w:val="6"/>
        <w:tabs>
          <w:tab w:val="right" w:leader="dot" w:pos="9049"/>
        </w:tabs>
        <w:autoSpaceDE/>
        <w:autoSpaceDN/>
        <w:adjustRightInd/>
        <w:spacing w:line="500" w:lineRule="exact"/>
      </w:pPr>
      <w:r>
        <w:fldChar w:fldCharType="begin"/>
      </w:r>
      <w:r>
        <w:instrText xml:space="preserve"> HYPERLINK \l "_Toc478" </w:instrText>
      </w:r>
      <w:r>
        <w:fldChar w:fldCharType="separate"/>
      </w:r>
      <w:r>
        <w:rPr>
          <w:rFonts w:hint="eastAsia"/>
        </w:rPr>
        <w:t>一</w:t>
      </w:r>
      <w:r>
        <w:rPr>
          <w:rFonts w:hint="eastAsia"/>
          <w:szCs w:val="28"/>
        </w:rPr>
        <w:t>、项目目标</w:t>
      </w:r>
      <w:r>
        <w:tab/>
      </w:r>
      <w:r>
        <w:rPr>
          <w:rFonts w:hint="eastAsia"/>
        </w:rPr>
        <w:t>3</w:t>
      </w:r>
      <w:r>
        <w:rPr>
          <w:rFonts w:hint="eastAsia"/>
        </w:rPr>
        <w:fldChar w:fldCharType="end"/>
      </w:r>
    </w:p>
    <w:p>
      <w:pPr>
        <w:pStyle w:val="6"/>
        <w:tabs>
          <w:tab w:val="right" w:leader="dot" w:pos="9049"/>
        </w:tabs>
        <w:autoSpaceDE/>
        <w:autoSpaceDN/>
        <w:adjustRightInd/>
        <w:spacing w:line="500" w:lineRule="exact"/>
      </w:pPr>
      <w:r>
        <w:fldChar w:fldCharType="begin"/>
      </w:r>
      <w:r>
        <w:instrText xml:space="preserve"> HYPERLINK \l "_Toc21442" </w:instrText>
      </w:r>
      <w:r>
        <w:fldChar w:fldCharType="separate"/>
      </w:r>
      <w:r>
        <w:rPr>
          <w:rFonts w:hint="eastAsia"/>
        </w:rPr>
        <w:t>二</w:t>
      </w:r>
      <w:r>
        <w:rPr>
          <w:rFonts w:hint="eastAsia"/>
          <w:szCs w:val="28"/>
        </w:rPr>
        <w:t>、项目依据及标准</w:t>
      </w:r>
      <w:r>
        <w:tab/>
      </w:r>
      <w:r>
        <w:rPr>
          <w:rFonts w:hint="eastAsia"/>
        </w:rPr>
        <w:t>3</w:t>
      </w:r>
      <w:r>
        <w:rPr>
          <w:rFonts w:hint="eastAsia"/>
        </w:rPr>
        <w:fldChar w:fldCharType="end"/>
      </w:r>
    </w:p>
    <w:p>
      <w:pPr>
        <w:pStyle w:val="6"/>
        <w:tabs>
          <w:tab w:val="right" w:leader="dot" w:pos="9049"/>
        </w:tabs>
        <w:autoSpaceDE/>
        <w:autoSpaceDN/>
        <w:adjustRightInd/>
        <w:spacing w:line="500" w:lineRule="exact"/>
      </w:pPr>
      <w:r>
        <w:fldChar w:fldCharType="begin"/>
      </w:r>
      <w:r>
        <w:instrText xml:space="preserve"> HYPERLINK \l "_Toc20551" </w:instrText>
      </w:r>
      <w:r>
        <w:fldChar w:fldCharType="separate"/>
      </w:r>
      <w:r>
        <w:rPr>
          <w:rFonts w:hint="eastAsia"/>
        </w:rPr>
        <w:t>三</w:t>
      </w:r>
      <w:r>
        <w:rPr>
          <w:rFonts w:hint="eastAsia"/>
          <w:szCs w:val="28"/>
        </w:rPr>
        <w:t>、项目内容及要求</w:t>
      </w:r>
      <w:r>
        <w:tab/>
      </w:r>
      <w:r>
        <w:fldChar w:fldCharType="begin"/>
      </w:r>
      <w:r>
        <w:instrText xml:space="preserve"> PAGEREF _Toc20551 \h </w:instrText>
      </w:r>
      <w:r>
        <w:fldChar w:fldCharType="separate"/>
      </w:r>
      <w:r>
        <w:t>3</w:t>
      </w:r>
      <w:r>
        <w:fldChar w:fldCharType="end"/>
      </w:r>
      <w:r>
        <w:fldChar w:fldCharType="end"/>
      </w:r>
    </w:p>
    <w:p>
      <w:pPr>
        <w:pStyle w:val="6"/>
        <w:tabs>
          <w:tab w:val="right" w:leader="dot" w:pos="9049"/>
        </w:tabs>
        <w:autoSpaceDE/>
        <w:autoSpaceDN/>
        <w:adjustRightInd/>
        <w:spacing w:line="500" w:lineRule="exact"/>
        <w:rPr>
          <w:color w:val="000000" w:themeColor="text1"/>
          <w14:textFill>
            <w14:solidFill>
              <w14:schemeClr w14:val="tx1"/>
            </w14:solidFill>
          </w14:textFill>
        </w:rPr>
      </w:pPr>
      <w:r>
        <w:fldChar w:fldCharType="begin"/>
      </w:r>
      <w:r>
        <w:instrText xml:space="preserve"> HYPERLINK \l "_Toc2140" </w:instrText>
      </w:r>
      <w:r>
        <w:fldChar w:fldCharType="separate"/>
      </w:r>
      <w:r>
        <w:rPr>
          <w:rFonts w:hint="eastAsia"/>
        </w:rPr>
        <w:t>四</w:t>
      </w:r>
      <w:r>
        <w:rPr>
          <w:rFonts w:hint="eastAsia"/>
          <w:szCs w:val="28"/>
        </w:rPr>
        <w:t>、项目服务期限</w:t>
      </w:r>
      <w:r>
        <w:tab/>
      </w:r>
      <w:r>
        <w:rPr>
          <w:rFonts w:hint="eastAsia"/>
        </w:rPr>
        <w:t>6</w:t>
      </w:r>
      <w:r>
        <w:rPr>
          <w:rFonts w:hint="eastAsia"/>
        </w:rPr>
        <w:fldChar w:fldCharType="end"/>
      </w:r>
    </w:p>
    <w:p>
      <w:pPr>
        <w:pStyle w:val="6"/>
        <w:tabs>
          <w:tab w:val="right" w:leader="dot" w:pos="9049"/>
        </w:tabs>
        <w:autoSpaceDE/>
        <w:autoSpaceDN/>
        <w:adjustRightInd/>
        <w:spacing w:line="500" w:lineRule="exact"/>
        <w:rPr>
          <w:rFonts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五、违约责任</w:t>
      </w:r>
      <w:r>
        <w:tab/>
      </w:r>
      <w:r>
        <w:rPr>
          <w:rFonts w:hint="eastAsia"/>
        </w:rPr>
        <w:t>6</w:t>
      </w:r>
    </w:p>
    <w:p>
      <w:pPr>
        <w:pStyle w:val="6"/>
        <w:tabs>
          <w:tab w:val="right" w:leader="dot" w:pos="9049"/>
        </w:tabs>
        <w:autoSpaceDE/>
        <w:autoSpaceDN/>
        <w:adjustRightInd/>
        <w:spacing w:line="500" w:lineRule="exact"/>
      </w:pPr>
      <w:r>
        <w:fldChar w:fldCharType="begin"/>
      </w:r>
      <w:r>
        <w:instrText xml:space="preserve"> HYPERLINK \l "_Toc28589" </w:instrText>
      </w:r>
      <w:r>
        <w:fldChar w:fldCharType="separate"/>
      </w:r>
      <w:r>
        <w:rPr>
          <w:rFonts w:hint="eastAsia"/>
        </w:rPr>
        <w:t>六</w:t>
      </w:r>
      <w:r>
        <w:rPr>
          <w:rFonts w:hint="eastAsia"/>
          <w:szCs w:val="28"/>
        </w:rPr>
        <w:t>、人员要求</w:t>
      </w:r>
      <w:r>
        <w:tab/>
      </w:r>
      <w:r>
        <w:fldChar w:fldCharType="begin"/>
      </w:r>
      <w:r>
        <w:instrText xml:space="preserve"> PAGEREF _Toc28589 \h </w:instrText>
      </w:r>
      <w:r>
        <w:fldChar w:fldCharType="separate"/>
      </w:r>
      <w:r>
        <w:t>6</w:t>
      </w:r>
      <w:r>
        <w:fldChar w:fldCharType="end"/>
      </w:r>
      <w:r>
        <w:fldChar w:fldCharType="end"/>
      </w:r>
    </w:p>
    <w:p/>
    <w:p>
      <w:pPr>
        <w:pStyle w:val="2"/>
        <w:ind w:left="420"/>
        <w:sectPr>
          <w:footerReference r:id="rId3" w:type="default"/>
          <w:pgSz w:w="11906" w:h="16838"/>
          <w:pgMar w:top="1440" w:right="1800" w:bottom="1440" w:left="1800" w:header="851" w:footer="992" w:gutter="0"/>
          <w:cols w:space="425" w:num="1"/>
          <w:docGrid w:type="lines" w:linePitch="312" w:charSpace="0"/>
        </w:sectPr>
      </w:pPr>
    </w:p>
    <w:p>
      <w:pPr>
        <w:pStyle w:val="4"/>
        <w:spacing w:before="0" w:after="0"/>
      </w:pPr>
      <w:bookmarkStart w:id="0" w:name="_Toc478"/>
      <w:r>
        <w:rPr>
          <w:rFonts w:hint="eastAsia"/>
        </w:rPr>
        <w:t>一、项目目标</w:t>
      </w:r>
      <w:bookmarkEnd w:id="0"/>
    </w:p>
    <w:p>
      <w:pPr>
        <w:pStyle w:val="2"/>
        <w:spacing w:line="360" w:lineRule="auto"/>
        <w:ind w:left="0" w:leftChars="0" w:firstLine="420" w:firstLineChars="200"/>
        <w:rPr>
          <w:rFonts w:ascii="宋体" w:hAnsi="宋体" w:eastAsia="宋体" w:cs="仿宋"/>
          <w:color w:val="000000" w:themeColor="text1"/>
          <w:szCs w:val="21"/>
          <w14:textFill>
            <w14:solidFill>
              <w14:schemeClr w14:val="tx1"/>
            </w14:solidFill>
          </w14:textFill>
        </w:rPr>
      </w:pPr>
      <w:r>
        <w:rPr>
          <w:rFonts w:hint="eastAsia" w:ascii="宋体" w:hAnsi="宋体" w:eastAsia="宋体" w:cs="仿宋"/>
          <w:color w:val="000000" w:themeColor="text1"/>
          <w:szCs w:val="21"/>
          <w14:textFill>
            <w14:solidFill>
              <w14:schemeClr w14:val="tx1"/>
            </w14:solidFill>
          </w14:textFill>
        </w:rPr>
        <w:t>完成南宁轨道交通运营有限公司在生产和经营过程中产生普通固体废物（废铁屑）的转运、处置。</w:t>
      </w:r>
    </w:p>
    <w:p>
      <w:pPr>
        <w:pStyle w:val="4"/>
        <w:spacing w:before="0" w:after="0" w:line="360" w:lineRule="auto"/>
        <w:rPr>
          <w:szCs w:val="28"/>
        </w:rPr>
      </w:pPr>
      <w:r>
        <w:rPr>
          <w:rFonts w:hint="eastAsia" w:ascii="宋体" w:hAnsi="宋体" w:cs="仿宋"/>
          <w:color w:val="000000" w:themeColor="text1"/>
          <w:kern w:val="2"/>
          <w:sz w:val="21"/>
          <w:szCs w:val="21"/>
          <w14:textFill>
            <w14:solidFill>
              <w14:schemeClr w14:val="tx1"/>
            </w14:solidFill>
          </w14:textFill>
        </w:rPr>
        <w:t>二</w:t>
      </w:r>
      <w:r>
        <w:rPr>
          <w:rFonts w:hint="eastAsia" w:ascii="Calibri" w:hAnsi="Calibri" w:eastAsia="宋体" w:cs="Times New Roman"/>
        </w:rPr>
        <w:t>、</w:t>
      </w:r>
      <w:r>
        <w:rPr>
          <w:rFonts w:hint="eastAsia"/>
          <w:szCs w:val="28"/>
        </w:rPr>
        <w:t>项目依据及标准</w:t>
      </w:r>
    </w:p>
    <w:p>
      <w:pPr>
        <w:numPr>
          <w:ilvl w:val="0"/>
          <w:numId w:val="1"/>
        </w:numPr>
        <w:autoSpaceDE w:val="0"/>
        <w:autoSpaceDN w:val="0"/>
        <w:adjustRightInd w:val="0"/>
        <w:spacing w:line="360" w:lineRule="auto"/>
        <w:ind w:firstLine="413" w:firstLineChars="196"/>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项目依据</w:t>
      </w:r>
    </w:p>
    <w:p>
      <w:pPr>
        <w:pStyle w:val="4"/>
        <w:spacing w:before="0" w:after="0" w:line="360" w:lineRule="auto"/>
        <w:ind w:firstLine="420" w:firstLineChars="200"/>
      </w:pPr>
      <w:r>
        <w:rPr>
          <w:rFonts w:hint="eastAsia" w:asciiTheme="majorEastAsia" w:hAnsiTheme="majorEastAsia" w:eastAsiaTheme="majorEastAsia" w:cstheme="majorEastAsia"/>
          <w:b w:val="0"/>
          <w:bCs w:val="0"/>
          <w:kern w:val="2"/>
          <w:sz w:val="21"/>
          <w:szCs w:val="21"/>
        </w:rPr>
        <w:t>《运营公司废旧生产物资回收处置管理办法》</w:t>
      </w:r>
    </w:p>
    <w:p>
      <w:pPr>
        <w:numPr>
          <w:ilvl w:val="0"/>
          <w:numId w:val="1"/>
        </w:numPr>
        <w:autoSpaceDE w:val="0"/>
        <w:autoSpaceDN w:val="0"/>
        <w:adjustRightInd w:val="0"/>
        <w:spacing w:line="360" w:lineRule="auto"/>
        <w:ind w:firstLine="413" w:firstLineChars="196"/>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本项目实施须符合标准及规范包括但不限于以下标准：</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《废旧物资管理规定》</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《中华人民共和国固体废物污染环境防治法》</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《中华人民共和国环境保护法》</w:t>
      </w:r>
    </w:p>
    <w:p>
      <w:pPr>
        <w:widowControl/>
        <w:spacing w:line="360" w:lineRule="auto"/>
        <w:ind w:firstLine="420" w:firstLineChars="200"/>
        <w:jc w:val="left"/>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广西壮族自治区环境保护条例</w:t>
      </w:r>
      <w:r>
        <w:rPr>
          <w:rFonts w:hint="eastAsia" w:ascii="宋体" w:hAnsi="宋体" w:eastAsia="宋体" w:cs="Times New Roman"/>
          <w:szCs w:val="21"/>
        </w:rPr>
        <w:t>》</w:t>
      </w:r>
    </w:p>
    <w:p>
      <w:pPr>
        <w:widowControl/>
        <w:spacing w:line="360" w:lineRule="auto"/>
        <w:ind w:firstLine="420" w:firstLineChars="200"/>
        <w:jc w:val="left"/>
      </w:pPr>
      <w:r>
        <w:rPr>
          <w:rFonts w:hint="eastAsia" w:ascii="宋体" w:hAnsi="宋体" w:eastAsia="宋体" w:cs="Times New Roman"/>
          <w:szCs w:val="21"/>
        </w:rPr>
        <w:t>《广西壮族自治区固体废物污染环境防治条例》</w:t>
      </w:r>
    </w:p>
    <w:p>
      <w:pPr>
        <w:pStyle w:val="10"/>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国家的有关标准；</w:t>
      </w:r>
    </w:p>
    <w:p>
      <w:pPr>
        <w:pStyle w:val="10"/>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广西壮族自治区、南宁市有关地方法规、标准等。</w:t>
      </w:r>
    </w:p>
    <w:p>
      <w:pPr>
        <w:pStyle w:val="10"/>
        <w:spacing w:line="360" w:lineRule="auto"/>
        <w:ind w:firstLine="0" w:firstLineChars="0"/>
        <w:rPr>
          <w:rFonts w:ascii="宋体" w:hAnsi="宋体" w:eastAsia="宋体" w:cs="楷体"/>
          <w:b/>
          <w:bCs/>
          <w:color w:val="000000" w:themeColor="text1"/>
          <w:szCs w:val="21"/>
          <w14:textFill>
            <w14:solidFill>
              <w14:schemeClr w14:val="tx1"/>
            </w14:solidFill>
          </w14:textFill>
        </w:rPr>
      </w:pPr>
      <w:bookmarkStart w:id="1" w:name="_Toc20551"/>
      <w:r>
        <w:rPr>
          <w:rFonts w:hint="eastAsia" w:cs="Times New Roman"/>
          <w:b/>
          <w:bCs/>
          <w:kern w:val="44"/>
          <w:sz w:val="28"/>
          <w:szCs w:val="44"/>
        </w:rPr>
        <w:t>三</w:t>
      </w:r>
      <w:r>
        <w:rPr>
          <w:rFonts w:hint="eastAsia" w:ascii="Calibri" w:hAnsi="Calibri" w:eastAsia="宋体" w:cs="Times New Roman"/>
          <w:b/>
          <w:bCs/>
          <w:kern w:val="44"/>
          <w:sz w:val="28"/>
          <w:szCs w:val="44"/>
        </w:rPr>
        <w:t>、项目内容及要求</w:t>
      </w:r>
      <w:bookmarkEnd w:id="1"/>
      <w:r>
        <w:rPr>
          <w:rFonts w:hint="eastAsia"/>
        </w:rPr>
        <w:br w:type="textWrapping"/>
      </w:r>
      <w:r>
        <w:rPr>
          <w:rFonts w:hint="eastAsia"/>
        </w:rPr>
        <w:t xml:space="preserve">  </w:t>
      </w:r>
      <w:r>
        <w:rPr>
          <w:rFonts w:hint="eastAsia" w:ascii="宋体" w:hAnsi="宋体" w:eastAsia="宋体" w:cs="楷体"/>
          <w:b/>
          <w:bCs/>
          <w:color w:val="000000" w:themeColor="text1"/>
          <w:szCs w:val="21"/>
          <w14:textFill>
            <w14:solidFill>
              <w14:schemeClr w14:val="tx1"/>
            </w14:solidFill>
          </w14:textFill>
        </w:rPr>
        <w:t>（一）项目内容</w:t>
      </w:r>
    </w:p>
    <w:p>
      <w:pPr>
        <w:numPr>
          <w:ilvl w:val="0"/>
          <w:numId w:val="2"/>
        </w:numPr>
        <w:spacing w:line="360" w:lineRule="auto"/>
        <w:ind w:firstLine="420" w:firstLineChars="200"/>
        <w:rPr>
          <w:rFonts w:asciiTheme="majorEastAsia" w:hAnsiTheme="majorEastAsia" w:eastAsiaTheme="majorEastAsia" w:cstheme="majorEastAsia"/>
          <w:szCs w:val="21"/>
        </w:rPr>
      </w:pPr>
      <w:r>
        <w:rPr>
          <w:rFonts w:hint="eastAsia"/>
        </w:rPr>
        <w:t>对</w:t>
      </w:r>
      <w:r>
        <w:rPr>
          <w:rFonts w:hint="eastAsia" w:ascii="宋体" w:hAnsi="宋体" w:eastAsia="宋体" w:cs="宋体"/>
          <w:kern w:val="0"/>
          <w:szCs w:val="21"/>
        </w:rPr>
        <w:t>南宁轨道交通运营有限公司</w:t>
      </w:r>
      <w:r>
        <w:rPr>
          <w:rFonts w:hint="eastAsia"/>
        </w:rPr>
        <w:t>在生产和经营过程中产生的废铁屑严格按国家相关法律规定进行出售、处置</w:t>
      </w:r>
      <w:r>
        <w:rPr>
          <w:rFonts w:hint="eastAsia" w:asciiTheme="majorEastAsia" w:hAnsiTheme="majorEastAsia" w:eastAsiaTheme="majorEastAsia" w:cstheme="majorEastAsia"/>
          <w:szCs w:val="21"/>
        </w:rPr>
        <w:t>。</w:t>
      </w:r>
    </w:p>
    <w:p>
      <w:pPr>
        <w:numPr>
          <w:ilvl w:val="0"/>
          <w:numId w:val="2"/>
        </w:numPr>
        <w:spacing w:line="360" w:lineRule="auto"/>
        <w:ind w:firstLine="420" w:firstLineChars="200"/>
        <w:rPr>
          <w:rFonts w:asciiTheme="majorEastAsia" w:hAnsiTheme="majorEastAsia" w:eastAsiaTheme="majorEastAsia" w:cstheme="majorEastAsia"/>
          <w:kern w:val="0"/>
          <w:szCs w:val="21"/>
        </w:rPr>
      </w:pPr>
      <w:r>
        <w:rPr>
          <w:rFonts w:hint="eastAsia" w:asciiTheme="majorEastAsia" w:hAnsiTheme="majorEastAsia" w:eastAsiaTheme="majorEastAsia" w:cstheme="majorEastAsia"/>
          <w:kern w:val="0"/>
          <w:szCs w:val="21"/>
        </w:rPr>
        <w:t>项目地点：南宁轨道交通运营有限公司各车辆段以及其它指定的暂存废铁屑的所有点位。</w:t>
      </w:r>
    </w:p>
    <w:p>
      <w:pPr>
        <w:numPr>
          <w:ilvl w:val="0"/>
          <w:numId w:val="2"/>
        </w:numPr>
        <w:spacing w:line="360" w:lineRule="auto"/>
        <w:ind w:firstLine="420" w:firstLineChars="200"/>
        <w:rPr>
          <w:rFonts w:ascii="宋体" w:hAnsi="宋体" w:eastAsia="宋体" w:cs="楷体"/>
          <w:b/>
          <w:bCs/>
          <w:color w:val="000000" w:themeColor="text1"/>
          <w:szCs w:val="21"/>
          <w14:textFill>
            <w14:solidFill>
              <w14:schemeClr w14:val="tx1"/>
            </w14:solidFill>
          </w14:textFill>
        </w:rPr>
      </w:pPr>
      <w:r>
        <w:rPr>
          <w:rFonts w:hint="eastAsia" w:asciiTheme="majorEastAsia" w:hAnsiTheme="majorEastAsia" w:eastAsiaTheme="majorEastAsia" w:cstheme="majorEastAsia"/>
          <w:kern w:val="0"/>
          <w:szCs w:val="21"/>
        </w:rPr>
        <w:t>项目明细：</w:t>
      </w:r>
      <w:r>
        <w:rPr>
          <w:rFonts w:hint="eastAsia"/>
        </w:rPr>
        <w:t>见《废铁屑处置清单汇总表》。</w:t>
      </w:r>
    </w:p>
    <w:tbl>
      <w:tblPr>
        <w:tblStyle w:val="8"/>
        <w:tblW w:w="8745" w:type="dxa"/>
        <w:tblInd w:w="93" w:type="dxa"/>
        <w:tblLayout w:type="autofit"/>
        <w:tblCellMar>
          <w:top w:w="0" w:type="dxa"/>
          <w:left w:w="108" w:type="dxa"/>
          <w:bottom w:w="0" w:type="dxa"/>
          <w:right w:w="108" w:type="dxa"/>
        </w:tblCellMar>
      </w:tblPr>
      <w:tblGrid>
        <w:gridCol w:w="1170"/>
        <w:gridCol w:w="2475"/>
        <w:gridCol w:w="2257"/>
        <w:gridCol w:w="2843"/>
      </w:tblGrid>
      <w:tr>
        <w:tblPrEx>
          <w:tblCellMar>
            <w:top w:w="0" w:type="dxa"/>
            <w:left w:w="108" w:type="dxa"/>
            <w:bottom w:w="0" w:type="dxa"/>
            <w:right w:w="108" w:type="dxa"/>
          </w:tblCellMar>
        </w:tblPrEx>
        <w:trPr>
          <w:trHeight w:val="5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线路</w:t>
            </w:r>
          </w:p>
        </w:tc>
        <w:tc>
          <w:tcPr>
            <w:tcW w:w="22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回收服务内容</w:t>
            </w:r>
          </w:p>
        </w:tc>
        <w:tc>
          <w:tcPr>
            <w:tcW w:w="2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预估数量（</w:t>
            </w:r>
            <w:r>
              <w:rPr>
                <w:rFonts w:ascii="宋体" w:hAnsi="宋体" w:eastAsia="宋体" w:cs="宋体"/>
                <w:color w:val="000000"/>
                <w:kern w:val="0"/>
                <w:szCs w:val="21"/>
                <w:lang w:bidi="ar"/>
              </w:rPr>
              <w:t>吨</w:t>
            </w:r>
            <w:r>
              <w:rPr>
                <w:rFonts w:hint="eastAsia" w:ascii="宋体" w:hAnsi="宋体" w:eastAsia="宋体" w:cs="宋体"/>
                <w:color w:val="000000"/>
                <w:kern w:val="0"/>
                <w:szCs w:val="21"/>
                <w:lang w:bidi="ar"/>
              </w:rPr>
              <w:t>）</w:t>
            </w:r>
          </w:p>
        </w:tc>
      </w:tr>
      <w:tr>
        <w:tblPrEx>
          <w:tblCellMar>
            <w:top w:w="0" w:type="dxa"/>
            <w:left w:w="108" w:type="dxa"/>
            <w:bottom w:w="0" w:type="dxa"/>
            <w:right w:w="108" w:type="dxa"/>
          </w:tblCellMar>
        </w:tblPrEx>
        <w:trPr>
          <w:trHeight w:val="5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1号线</w:t>
            </w:r>
          </w:p>
        </w:tc>
        <w:tc>
          <w:tcPr>
            <w:tcW w:w="22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废铁屑</w:t>
            </w:r>
          </w:p>
        </w:tc>
        <w:tc>
          <w:tcPr>
            <w:tcW w:w="2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12.4235</w:t>
            </w:r>
          </w:p>
        </w:tc>
      </w:tr>
      <w:tr>
        <w:tblPrEx>
          <w:tblCellMar>
            <w:top w:w="0" w:type="dxa"/>
            <w:left w:w="108" w:type="dxa"/>
            <w:bottom w:w="0" w:type="dxa"/>
            <w:right w:w="108" w:type="dxa"/>
          </w:tblCellMar>
        </w:tblPrEx>
        <w:trPr>
          <w:trHeight w:val="5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2号线</w:t>
            </w:r>
          </w:p>
        </w:tc>
        <w:tc>
          <w:tcPr>
            <w:tcW w:w="22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废铁屑</w:t>
            </w:r>
          </w:p>
        </w:tc>
        <w:tc>
          <w:tcPr>
            <w:tcW w:w="2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5.87</w:t>
            </w:r>
            <w:r>
              <w:rPr>
                <w:rFonts w:ascii="宋体" w:hAnsi="宋体" w:eastAsia="宋体" w:cs="宋体"/>
                <w:color w:val="000000"/>
                <w:kern w:val="0"/>
                <w:sz w:val="22"/>
                <w:szCs w:val="22"/>
                <w:lang w:bidi="ar"/>
              </w:rPr>
              <w:t>00</w:t>
            </w:r>
          </w:p>
        </w:tc>
      </w:tr>
      <w:tr>
        <w:tblPrEx>
          <w:tblCellMar>
            <w:top w:w="0" w:type="dxa"/>
            <w:left w:w="108" w:type="dxa"/>
            <w:bottom w:w="0" w:type="dxa"/>
            <w:right w:w="108" w:type="dxa"/>
          </w:tblCellMar>
        </w:tblPrEx>
        <w:trPr>
          <w:trHeight w:val="5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3号线</w:t>
            </w:r>
          </w:p>
        </w:tc>
        <w:tc>
          <w:tcPr>
            <w:tcW w:w="22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废铁屑</w:t>
            </w:r>
          </w:p>
        </w:tc>
        <w:tc>
          <w:tcPr>
            <w:tcW w:w="2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7.938</w:t>
            </w:r>
            <w:r>
              <w:rPr>
                <w:rFonts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5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4号线</w:t>
            </w:r>
          </w:p>
        </w:tc>
        <w:tc>
          <w:tcPr>
            <w:tcW w:w="22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废铁屑</w:t>
            </w:r>
          </w:p>
        </w:tc>
        <w:tc>
          <w:tcPr>
            <w:tcW w:w="2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8.4</w:t>
            </w: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56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w:t>
            </w:r>
          </w:p>
        </w:tc>
        <w:tc>
          <w:tcPr>
            <w:tcW w:w="24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5号线</w:t>
            </w:r>
          </w:p>
        </w:tc>
        <w:tc>
          <w:tcPr>
            <w:tcW w:w="22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废铁屑</w:t>
            </w:r>
          </w:p>
        </w:tc>
        <w:tc>
          <w:tcPr>
            <w:tcW w:w="2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7.2</w:t>
            </w:r>
            <w:r>
              <w:rPr>
                <w:rFonts w:ascii="宋体" w:hAnsi="宋体" w:eastAsia="宋体" w:cs="宋体"/>
                <w:color w:val="000000"/>
                <w:kern w:val="0"/>
                <w:sz w:val="22"/>
                <w:szCs w:val="22"/>
                <w:lang w:bidi="ar"/>
              </w:rPr>
              <w:t>000</w:t>
            </w:r>
          </w:p>
        </w:tc>
      </w:tr>
      <w:tr>
        <w:tblPrEx>
          <w:tblCellMar>
            <w:top w:w="0" w:type="dxa"/>
            <w:left w:w="108" w:type="dxa"/>
            <w:bottom w:w="0" w:type="dxa"/>
            <w:right w:w="108" w:type="dxa"/>
          </w:tblCellMar>
        </w:tblPrEx>
        <w:trPr>
          <w:trHeight w:val="560" w:hRule="atLeast"/>
        </w:trPr>
        <w:tc>
          <w:tcPr>
            <w:tcW w:w="590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合计</w:t>
            </w:r>
          </w:p>
        </w:tc>
        <w:tc>
          <w:tcPr>
            <w:tcW w:w="2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41.8315</w:t>
            </w:r>
          </w:p>
        </w:tc>
      </w:tr>
      <w:tr>
        <w:tblPrEx>
          <w:tblCellMar>
            <w:top w:w="0" w:type="dxa"/>
            <w:left w:w="108" w:type="dxa"/>
            <w:bottom w:w="0" w:type="dxa"/>
            <w:right w:w="108" w:type="dxa"/>
          </w:tblCellMar>
        </w:tblPrEx>
        <w:trPr>
          <w:trHeight w:val="780" w:hRule="atLeast"/>
        </w:trPr>
        <w:tc>
          <w:tcPr>
            <w:tcW w:w="11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Cs w:val="21"/>
              </w:rPr>
            </w:pPr>
          </w:p>
        </w:tc>
        <w:tc>
          <w:tcPr>
            <w:tcW w:w="75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回收内容包括但不限于，数量为估算值仅作报价依据，最终按实际发生量结算。</w:t>
            </w:r>
          </w:p>
        </w:tc>
      </w:tr>
    </w:tbl>
    <w:p>
      <w:pPr>
        <w:spacing w:line="360" w:lineRule="auto"/>
        <w:rPr>
          <w:rFonts w:ascii="宋体" w:hAnsi="宋体" w:eastAsia="宋体" w:cs="楷体"/>
          <w:b/>
          <w:bCs/>
          <w:color w:val="000000" w:themeColor="text1"/>
          <w:szCs w:val="21"/>
          <w14:textFill>
            <w14:solidFill>
              <w14:schemeClr w14:val="tx1"/>
            </w14:solidFill>
          </w14:textFill>
        </w:rPr>
      </w:pPr>
      <w:r>
        <w:rPr>
          <w:rFonts w:hint="eastAsia" w:asciiTheme="majorEastAsia" w:hAnsiTheme="majorEastAsia" w:eastAsiaTheme="majorEastAsia" w:cstheme="majorEastAsia"/>
          <w:szCs w:val="21"/>
        </w:rPr>
        <w:t xml:space="preserve"> </w:t>
      </w:r>
      <w:r>
        <w:rPr>
          <w:rFonts w:hint="eastAsia" w:ascii="宋体" w:hAnsi="宋体" w:eastAsia="宋体" w:cs="楷体"/>
          <w:b/>
          <w:bCs/>
          <w:color w:val="000000" w:themeColor="text1"/>
          <w:szCs w:val="21"/>
          <w14:textFill>
            <w14:solidFill>
              <w14:schemeClr w14:val="tx1"/>
            </w14:solidFill>
          </w14:textFill>
        </w:rPr>
        <w:t>（二）项目要求</w:t>
      </w:r>
    </w:p>
    <w:p>
      <w:pPr>
        <w:autoSpaceDE w:val="0"/>
        <w:autoSpaceDN w:val="0"/>
        <w:adjustRightInd w:val="0"/>
        <w:spacing w:line="360" w:lineRule="auto"/>
        <w:ind w:firstLine="422" w:firstLineChars="200"/>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1、资质要求</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中国人民共和国境内注册独立法人，具有独立承担民事责任的能力、独立承担招标项目的能力和独立履行合同的能力，持有合法有效的企业法人营业执照、组织机构代码证或有市场监管部门（原工商部门）核发统一社会信用代码的营业执照，</w:t>
      </w:r>
      <w:bookmarkStart w:id="3" w:name="_GoBack"/>
      <w:bookmarkEnd w:id="3"/>
      <w:r>
        <w:rPr>
          <w:rFonts w:hint="eastAsia"/>
        </w:rPr>
        <w:t>提供合格有效的法人营业执照及组织机构代码证（营业执照有加载统一社会信用代码的，无需提供组织机构代码证）</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w:t>
      </w:r>
      <w:r>
        <w:rPr>
          <w:rFonts w:hint="eastAsia"/>
        </w:rPr>
        <w:t>买方未处于被责令停业、投标资格被取消或财产被接管、冻结，破产状态；没有隐瞒，虚假，伪造等弄虚作假行为；本项目竞价公告发布前三年内不曾因其自身违约或不恰当履约引起经营合同终止、纠纷、争议、仲裁和诉讼；企业没有因骗取中标或严重违约等问题，被有关部门暂停投标资格并在暂停期内的。（供应商须出具相应承诺书并加盖供应商公章）</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w:t>
      </w:r>
      <w:r>
        <w:rPr>
          <w:rFonts w:hint="eastAsia"/>
        </w:rPr>
        <w:t>本项目不允许联合体报价；母、子公司只允许一家公司参与报价；同一法人代表，只接受一家报价。供应商负责人为同一人或者存在控股、管理关系的不同单位，不得同时参加本项目报价</w:t>
      </w:r>
      <w:r>
        <w:rPr>
          <w:rFonts w:hint="eastAsia" w:ascii="宋体" w:hAnsi="宋体" w:cs="仿宋"/>
          <w:color w:val="000000" w:themeColor="text1"/>
          <w:szCs w:val="21"/>
          <w14:textFill>
            <w14:solidFill>
              <w14:schemeClr w14:val="tx1"/>
            </w14:solidFill>
          </w14:textFill>
        </w:rPr>
        <w:t>。</w:t>
      </w:r>
    </w:p>
    <w:p>
      <w:pPr>
        <w:autoSpaceDE w:val="0"/>
        <w:autoSpaceDN w:val="0"/>
        <w:adjustRightInd w:val="0"/>
        <w:spacing w:line="360" w:lineRule="auto"/>
        <w:ind w:firstLine="422" w:firstLineChars="200"/>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2、技术及服务要求</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w:t>
      </w:r>
      <w:r>
        <w:rPr>
          <w:rFonts w:hint="eastAsia"/>
        </w:rPr>
        <w:t>买方需自备回收器具，并负责货物的包装、装卸、运输及委外过磅，承担其发生的一切费用，并负责清理现场（因转移、转运、处理与处置过程中</w:t>
      </w:r>
      <w:r>
        <w:rPr>
          <w:rFonts w:hint="eastAsia"/>
          <w:lang w:val="en-US" w:eastAsia="zh-CN"/>
        </w:rPr>
        <w:t>产生</w:t>
      </w:r>
      <w:r>
        <w:rPr>
          <w:rFonts w:hint="eastAsia"/>
        </w:rPr>
        <w:t>的清洁卫生</w:t>
      </w:r>
      <w:r>
        <w:rPr>
          <w:rFonts w:hint="eastAsia"/>
          <w:lang w:val="en-US" w:eastAsia="zh-CN"/>
        </w:rPr>
        <w:t>工作</w:t>
      </w:r>
      <w:r>
        <w:rPr>
          <w:rFonts w:hint="eastAsia"/>
        </w:rPr>
        <w:t>）</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w:t>
      </w:r>
      <w:r>
        <w:rPr>
          <w:rFonts w:hint="eastAsia"/>
        </w:rPr>
        <w:t>承担本项目废铁屑转移、转运、处理与处置过程中产生的安全事故、环境污染事故、交通事故等一切责任和后果</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w:t>
      </w:r>
      <w:r>
        <w:rPr>
          <w:rFonts w:hint="eastAsia"/>
        </w:rPr>
        <w:t>卖方交付货物后，不再承担任何质量问题及售后服务</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（4）</w:t>
      </w:r>
      <w:r>
        <w:t>做好</w:t>
      </w:r>
      <w:r>
        <w:rPr>
          <w:rFonts w:hint="eastAsia"/>
        </w:rPr>
        <w:t>转移、转运、处理与处置</w:t>
      </w:r>
      <w:r>
        <w:t>过程中出现的</w:t>
      </w:r>
      <w:r>
        <w:rPr>
          <w:rFonts w:hint="eastAsia"/>
        </w:rPr>
        <w:t>应急</w:t>
      </w:r>
      <w:r>
        <w:t>污染</w:t>
      </w:r>
      <w:r>
        <w:rPr>
          <w:rFonts w:hint="eastAsia"/>
        </w:rPr>
        <w:t>防治</w:t>
      </w:r>
      <w:r>
        <w:t>救援预案</w:t>
      </w:r>
      <w:r>
        <w:rPr>
          <w:rFonts w:hint="eastAsia" w:ascii="宋体" w:hAnsi="宋体" w:cs="仿宋"/>
          <w:color w:val="000000" w:themeColor="text1"/>
          <w:szCs w:val="21"/>
          <w14:textFill>
            <w14:solidFill>
              <w14:schemeClr w14:val="tx1"/>
            </w14:solidFill>
          </w14:textFill>
        </w:rPr>
        <w:t>。</w:t>
      </w:r>
    </w:p>
    <w:p>
      <w:pPr>
        <w:autoSpaceDE w:val="0"/>
        <w:autoSpaceDN w:val="0"/>
        <w:adjustRightInd w:val="0"/>
        <w:spacing w:line="360" w:lineRule="auto"/>
        <w:ind w:firstLine="422" w:firstLineChars="200"/>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3、项目实施方案</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w:t>
      </w:r>
      <w:r>
        <w:rPr>
          <w:rFonts w:hint="eastAsia"/>
        </w:rPr>
        <w:t>卖方提前 5 天通知，买方在接到处置消息后7个工作日内需完成铁屑的装卸、运输、过磅等处置工作</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（2）</w:t>
      </w:r>
      <w:r>
        <w:rPr>
          <w:rFonts w:hint="eastAsia"/>
          <w:highlight w:val="none"/>
        </w:rPr>
        <w:t>待全部货物双方确认过磅后，方可进行货物交付，并于24小时内完成付款</w:t>
      </w:r>
      <w:r>
        <w:rPr>
          <w:rFonts w:hint="eastAsia" w:ascii="宋体" w:hAnsi="宋体" w:cs="仿宋"/>
          <w:color w:val="000000" w:themeColor="text1"/>
          <w:szCs w:val="21"/>
          <w:highlight w:val="none"/>
          <w14:textFill>
            <w14:solidFill>
              <w14:schemeClr w14:val="tx1"/>
            </w14:solidFill>
          </w14:textFill>
        </w:rPr>
        <w:t>。</w:t>
      </w:r>
    </w:p>
    <w:p>
      <w:pPr>
        <w:widowControl/>
        <w:spacing w:line="360" w:lineRule="auto"/>
        <w:ind w:firstLine="420" w:firstLineChars="200"/>
        <w:rPr>
          <w:rFonts w:hint="eastAsia" w:ascii="宋体" w:hAnsi="宋体" w:cs="仿宋"/>
          <w:color w:val="000000" w:themeColor="text1"/>
          <w:szCs w:val="21"/>
          <w:highlight w:val="none"/>
          <w14:textFill>
            <w14:solidFill>
              <w14:schemeClr w14:val="tx1"/>
            </w14:solidFill>
          </w14:textFill>
        </w:rPr>
      </w:pPr>
      <w:r>
        <w:rPr>
          <w:rFonts w:hint="eastAsia" w:ascii="宋体" w:hAnsi="宋体" w:cs="仿宋"/>
          <w:color w:val="000000" w:themeColor="text1"/>
          <w:szCs w:val="21"/>
          <w:highlight w:val="none"/>
          <w14:textFill>
            <w14:solidFill>
              <w14:schemeClr w14:val="tx1"/>
            </w14:solidFill>
          </w14:textFill>
        </w:rPr>
        <w:t>（3）过磅事项：由卖方选择通过三方检测合格的台秤</w:t>
      </w:r>
      <w:r>
        <w:rPr>
          <w:rFonts w:hint="eastAsia" w:ascii="宋体" w:hAnsi="宋体" w:cs="仿宋"/>
          <w:color w:val="000000"/>
          <w:szCs w:val="21"/>
          <w:highlight w:val="none"/>
          <w:lang w:val="en-US" w:eastAsia="zh-CN"/>
        </w:rPr>
        <w:t>或指定的地磅</w:t>
      </w:r>
      <w:r>
        <w:rPr>
          <w:rFonts w:hint="eastAsia" w:ascii="宋体" w:hAnsi="宋体" w:cs="仿宋"/>
          <w:color w:val="000000" w:themeColor="text1"/>
          <w:szCs w:val="21"/>
          <w:highlight w:val="none"/>
          <w14:textFill>
            <w14:solidFill>
              <w14:schemeClr w14:val="tx1"/>
            </w14:solidFill>
          </w14:textFill>
        </w:rPr>
        <w:t>，</w:t>
      </w:r>
      <w:r>
        <w:rPr>
          <w:rFonts w:hint="eastAsia" w:ascii="宋体" w:hAnsi="宋体" w:cs="宋体"/>
          <w:kern w:val="0"/>
          <w:szCs w:val="21"/>
          <w:highlight w:val="none"/>
        </w:rPr>
        <w:t>过磅完成后，过磅单须双方签字确认</w:t>
      </w:r>
      <w:r>
        <w:rPr>
          <w:rFonts w:hint="eastAsia" w:ascii="宋体" w:hAnsi="宋体" w:cs="仿宋"/>
          <w:color w:val="000000" w:themeColor="text1"/>
          <w:szCs w:val="21"/>
          <w:highlight w:val="none"/>
          <w14:textFill>
            <w14:solidFill>
              <w14:schemeClr w14:val="tx1"/>
            </w14:solidFill>
          </w14:textFill>
        </w:rPr>
        <w:t>。</w:t>
      </w:r>
    </w:p>
    <w:p>
      <w:pPr>
        <w:widowControl/>
        <w:spacing w:line="360" w:lineRule="auto"/>
        <w:ind w:firstLine="420" w:firstLineChars="200"/>
        <w:rPr>
          <w:rFonts w:hint="eastAsia"/>
          <w:highlight w:val="none"/>
        </w:rPr>
      </w:pPr>
      <w:r>
        <w:rPr>
          <w:rFonts w:hint="eastAsia" w:ascii="宋体" w:hAnsi="宋体" w:cs="仿宋"/>
          <w:color w:val="000000" w:themeColor="text1"/>
          <w:szCs w:val="21"/>
          <w:highlight w:val="none"/>
          <w:lang w:eastAsia="zh-CN"/>
          <w14:textFill>
            <w14:solidFill>
              <w14:schemeClr w14:val="tx1"/>
            </w14:solidFill>
          </w14:textFill>
        </w:rPr>
        <w:t>（</w:t>
      </w:r>
      <w:r>
        <w:rPr>
          <w:rFonts w:hint="eastAsia" w:ascii="宋体" w:hAnsi="宋体" w:cs="仿宋"/>
          <w:color w:val="000000" w:themeColor="text1"/>
          <w:szCs w:val="21"/>
          <w:highlight w:val="none"/>
          <w:lang w:val="en-US" w:eastAsia="zh-CN"/>
          <w14:textFill>
            <w14:solidFill>
              <w14:schemeClr w14:val="tx1"/>
            </w14:solidFill>
          </w14:textFill>
        </w:rPr>
        <w:t>4</w:t>
      </w:r>
      <w:r>
        <w:rPr>
          <w:rFonts w:hint="eastAsia" w:ascii="宋体" w:hAnsi="宋体" w:cs="仿宋"/>
          <w:color w:val="000000" w:themeColor="text1"/>
          <w:szCs w:val="21"/>
          <w:highlight w:val="none"/>
          <w:lang w:eastAsia="zh-CN"/>
          <w14:textFill>
            <w14:solidFill>
              <w14:schemeClr w14:val="tx1"/>
            </w14:solidFill>
          </w14:textFill>
        </w:rPr>
        <w:t>）</w:t>
      </w:r>
      <w:r>
        <w:rPr>
          <w:rFonts w:hint="eastAsia" w:ascii="宋体" w:hAnsi="宋体" w:cs="仿宋"/>
          <w:color w:val="000000" w:themeColor="text1"/>
          <w:szCs w:val="21"/>
          <w:highlight w:val="none"/>
          <w14:textFill>
            <w14:solidFill>
              <w14:schemeClr w14:val="tx1"/>
            </w14:solidFill>
          </w14:textFill>
        </w:rPr>
        <w:t>作业前应按照《运营公司车厂运作手册》的相关规定，前往车辆段DCC车厂调度处办理请点手续</w:t>
      </w:r>
      <w:r>
        <w:rPr>
          <w:rFonts w:hint="eastAsia" w:ascii="宋体" w:hAnsi="宋体" w:cs="仿宋"/>
          <w:color w:val="000000" w:themeColor="text1"/>
          <w:szCs w:val="21"/>
          <w:highlight w:val="none"/>
          <w:lang w:eastAsia="zh-CN"/>
          <w14:textFill>
            <w14:solidFill>
              <w14:schemeClr w14:val="tx1"/>
            </w14:solidFill>
          </w14:textFill>
        </w:rPr>
        <w:t>。</w:t>
      </w:r>
    </w:p>
    <w:p>
      <w:pPr>
        <w:autoSpaceDE w:val="0"/>
        <w:autoSpaceDN w:val="0"/>
        <w:adjustRightInd w:val="0"/>
        <w:spacing w:line="360" w:lineRule="auto"/>
        <w:ind w:firstLine="422" w:firstLineChars="200"/>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4、质量保证</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w:t>
      </w:r>
      <w:r>
        <w:rPr>
          <w:rFonts w:hint="eastAsia"/>
        </w:rPr>
        <w:t>保证每次铁屑装卸、运输、过磅等工作的连贯与安全性，将各车辆段所有的铁屑一次性安全转移，现场需做好相关的准备工作，保证该次工作完成后不残留作业工器具</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w:t>
      </w:r>
      <w:r>
        <w:rPr>
          <w:rFonts w:hint="eastAsia"/>
        </w:rPr>
        <w:t>保证及时清理现场（因转移、转运、处理与处置过程中</w:t>
      </w:r>
      <w:r>
        <w:rPr>
          <w:rFonts w:hint="eastAsia"/>
          <w:color w:val="auto"/>
        </w:rPr>
        <w:t>产生的清洁卫生工作</w:t>
      </w:r>
      <w:r>
        <w:rPr>
          <w:rFonts w:hint="eastAsia"/>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（3）搬运、处置过程中需做好劳动保护措施，按相关规定穿戴好劳保用品。</w:t>
      </w:r>
    </w:p>
    <w:p>
      <w:pPr>
        <w:autoSpaceDE w:val="0"/>
        <w:autoSpaceDN w:val="0"/>
        <w:adjustRightInd w:val="0"/>
        <w:spacing w:line="360" w:lineRule="auto"/>
        <w:ind w:firstLine="422" w:firstLineChars="200"/>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5、响应要求</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在接到卖方电话通知后，7个工作日内完成普通固体废物的转移、处置。</w:t>
      </w:r>
    </w:p>
    <w:p>
      <w:pPr>
        <w:autoSpaceDE w:val="0"/>
        <w:autoSpaceDN w:val="0"/>
        <w:adjustRightInd w:val="0"/>
        <w:spacing w:line="360" w:lineRule="auto"/>
        <w:ind w:firstLine="422" w:firstLineChars="200"/>
        <w:outlineLvl w:val="2"/>
        <w:rPr>
          <w:rFonts w:ascii="宋体" w:hAnsi="宋体" w:cs="仿宋"/>
          <w:b/>
          <w:bCs/>
          <w:color w:val="000000" w:themeColor="text1"/>
          <w:szCs w:val="21"/>
          <w14:textFill>
            <w14:solidFill>
              <w14:schemeClr w14:val="tx1"/>
            </w14:solidFill>
          </w14:textFill>
        </w:rPr>
      </w:pPr>
      <w:r>
        <w:rPr>
          <w:rFonts w:hint="eastAsia" w:ascii="宋体" w:hAnsi="宋体" w:cs="仿宋"/>
          <w:b/>
          <w:bCs/>
          <w:color w:val="000000" w:themeColor="text1"/>
          <w:szCs w:val="21"/>
          <w14:textFill>
            <w14:solidFill>
              <w14:schemeClr w14:val="tx1"/>
            </w14:solidFill>
          </w14:textFill>
        </w:rPr>
        <w:t>6、其他事项</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为了能够综合、准确、合理报价，从本项目询比价公告发起至本项目开标前一天，投标方可择期到现场考察，询价人具体联系人：刘烽，0771-2778345/18773166466,以便投标方结合实际的情况进行报价。</w:t>
      </w:r>
    </w:p>
    <w:p>
      <w:pPr>
        <w:pStyle w:val="2"/>
        <w:ind w:left="0" w:leftChars="0"/>
        <w:rPr>
          <w:rFonts w:ascii="Calibri" w:hAnsi="Calibri" w:eastAsia="宋体" w:cs="Times New Roman"/>
          <w:b/>
          <w:bCs/>
          <w:kern w:val="44"/>
          <w:sz w:val="28"/>
          <w:szCs w:val="44"/>
        </w:rPr>
      </w:pPr>
      <w:r>
        <w:rPr>
          <w:rFonts w:hint="eastAsia" w:cs="Times New Roman"/>
          <w:b/>
          <w:bCs/>
          <w:kern w:val="44"/>
          <w:sz w:val="28"/>
          <w:szCs w:val="44"/>
        </w:rPr>
        <w:t>四、</w:t>
      </w:r>
      <w:r>
        <w:rPr>
          <w:rFonts w:hint="eastAsia" w:ascii="Calibri" w:hAnsi="Calibri" w:eastAsia="宋体" w:cs="Times New Roman"/>
          <w:b/>
          <w:bCs/>
          <w:kern w:val="44"/>
          <w:sz w:val="28"/>
          <w:szCs w:val="44"/>
        </w:rPr>
        <w:t>项目服务期限</w:t>
      </w:r>
    </w:p>
    <w:p>
      <w:pPr>
        <w:pStyle w:val="2"/>
        <w:ind w:left="420"/>
        <w:rPr>
          <w:rFonts w:ascii="宋体" w:hAnsi="宋体" w:eastAsia="宋体" w:cs="Times New Roman"/>
          <w:szCs w:val="21"/>
          <w:highlight w:val="none"/>
        </w:rPr>
      </w:pPr>
      <w:r>
        <w:rPr>
          <w:rFonts w:hint="eastAsia"/>
        </w:rPr>
        <w:t>自合同签订</w:t>
      </w:r>
      <w:r>
        <w:rPr>
          <w:rFonts w:hint="eastAsia"/>
          <w:highlight w:val="none"/>
        </w:rPr>
        <w:t>之日起1年</w:t>
      </w:r>
      <w:r>
        <w:rPr>
          <w:rFonts w:hint="eastAsia" w:ascii="宋体" w:hAnsi="宋体"/>
          <w:szCs w:val="21"/>
          <w:highlight w:val="none"/>
          <w:lang w:eastAsia="zh-CN"/>
        </w:rPr>
        <w:t>，</w:t>
      </w:r>
      <w:r>
        <w:rPr>
          <w:rFonts w:hint="eastAsia" w:ascii="宋体" w:hAnsi="宋体"/>
          <w:szCs w:val="21"/>
          <w:highlight w:val="none"/>
          <w:lang w:val="en-US" w:eastAsia="zh-CN"/>
        </w:rPr>
        <w:t>或实际处置总量等于合同总量终止</w:t>
      </w:r>
      <w:r>
        <w:rPr>
          <w:rFonts w:hint="eastAsia" w:ascii="宋体" w:hAnsi="宋体" w:eastAsia="宋体" w:cs="Times New Roman"/>
          <w:szCs w:val="21"/>
          <w:highlight w:val="none"/>
        </w:rPr>
        <w:t>。</w:t>
      </w:r>
    </w:p>
    <w:p>
      <w:pPr>
        <w:pStyle w:val="2"/>
        <w:numPr>
          <w:ilvl w:val="0"/>
          <w:numId w:val="3"/>
        </w:numPr>
        <w:ind w:left="0" w:leftChars="0"/>
        <w:rPr>
          <w:rFonts w:ascii="Calibri" w:hAnsi="Calibri" w:eastAsia="宋体" w:cs="Times New Roman"/>
          <w:b/>
          <w:bCs/>
          <w:kern w:val="44"/>
          <w:sz w:val="28"/>
          <w:szCs w:val="44"/>
        </w:rPr>
      </w:pPr>
      <w:r>
        <w:rPr>
          <w:rFonts w:hint="eastAsia" w:ascii="Calibri" w:hAnsi="Calibri" w:eastAsia="宋体" w:cs="Times New Roman"/>
          <w:b/>
          <w:bCs/>
          <w:kern w:val="44"/>
          <w:sz w:val="28"/>
          <w:szCs w:val="44"/>
        </w:rPr>
        <w:t>违约责任</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w:t>
      </w:r>
      <w:r>
        <w:rPr>
          <w:rFonts w:hint="eastAsia"/>
        </w:rPr>
        <w:t>若买方未能按双方协商确定的交货时间提货或付款时间付款，卖方有权没收买方交纳的履约保证金。且延迟超过两周，卖方有权对超过两周后的延期追索违约金，每天违约金金额为该合同货物总额的0.5‰，不足一天的按一天计算</w:t>
      </w:r>
      <w:r>
        <w:rPr>
          <w:rFonts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w:t>
      </w:r>
      <w:r>
        <w:rPr>
          <w:rFonts w:hint="eastAsia"/>
        </w:rPr>
        <w:t>如果延迟是由于不可抗力事件造成，交货时间或付款时间可相应延长</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w:t>
      </w:r>
      <w:r>
        <w:rPr>
          <w:rFonts w:hint="eastAsia"/>
        </w:rPr>
        <w:t>如果买方出现以下一种或几种不当行为，按本合同买卖双方约定的条款处理</w:t>
      </w:r>
      <w:r>
        <w:rPr>
          <w:rFonts w:hint="eastAsia"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（3.1）未经卖方同意，买方拒不履行合同或部分不履行合同，卖方有权立即解除或部分解除本合同，买方按解除部分合同金额的30‰向甲方支付违约金</w:t>
      </w:r>
      <w:r>
        <w:rPr>
          <w:rFonts w:ascii="宋体" w:hAnsi="宋体" w:cs="仿宋"/>
          <w:color w:val="000000" w:themeColor="text1"/>
          <w:szCs w:val="21"/>
          <w14:textFill>
            <w14:solidFill>
              <w14:schemeClr w14:val="tx1"/>
            </w14:solidFill>
          </w14:textFill>
        </w:rPr>
        <w:t>。</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（3.2）买方在履约过程中对卖方的财产造成损害的，卖方有权终止本合同，买方应向卖方赔偿。</w:t>
      </w:r>
    </w:p>
    <w:p>
      <w:pPr>
        <w:pStyle w:val="2"/>
        <w:numPr>
          <w:ilvl w:val="0"/>
          <w:numId w:val="3"/>
        </w:numPr>
        <w:ind w:left="0" w:leftChars="0"/>
        <w:rPr>
          <w:rFonts w:ascii="Calibri" w:hAnsi="Calibri" w:eastAsia="宋体" w:cs="Times New Roman"/>
          <w:b/>
          <w:bCs/>
          <w:kern w:val="44"/>
          <w:sz w:val="28"/>
          <w:szCs w:val="44"/>
        </w:rPr>
      </w:pPr>
      <w:bookmarkStart w:id="2" w:name="_Toc28589"/>
      <w:r>
        <w:rPr>
          <w:rFonts w:hint="eastAsia" w:ascii="Calibri" w:hAnsi="Calibri" w:eastAsia="宋体" w:cs="Times New Roman"/>
          <w:b/>
          <w:bCs/>
          <w:kern w:val="44"/>
          <w:sz w:val="28"/>
          <w:szCs w:val="44"/>
        </w:rPr>
        <w:t>人员要求</w:t>
      </w:r>
      <w:bookmarkEnd w:id="2"/>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Theme="majorEastAsia" w:hAnsiTheme="majorEastAsia" w:eastAsiaTheme="majorEastAsia" w:cstheme="majorEastAsia"/>
          <w:szCs w:val="21"/>
        </w:rPr>
        <w:t>在本项目</w:t>
      </w:r>
      <w:r>
        <w:rPr>
          <w:rFonts w:hint="eastAsia" w:ascii="宋体" w:hAnsi="宋体" w:cs="仿宋"/>
          <w:color w:val="000000" w:themeColor="text1"/>
          <w:szCs w:val="21"/>
          <w14:textFill>
            <w14:solidFill>
              <w14:schemeClr w14:val="tx1"/>
            </w14:solidFill>
          </w14:textFill>
        </w:rPr>
        <w:t>执行期间</w:t>
      </w:r>
      <w:r>
        <w:rPr>
          <w:rFonts w:hint="eastAsia" w:asciiTheme="majorEastAsia" w:hAnsiTheme="majorEastAsia" w:eastAsiaTheme="majorEastAsia" w:cstheme="majorEastAsia"/>
          <w:szCs w:val="21"/>
        </w:rPr>
        <w:t>，买方须配置足够的项目人员，按卖方要求驻场，保障项目的进度要求和质量。必须配备但不限于下列人员∶</w:t>
      </w:r>
    </w:p>
    <w:p>
      <w:pPr>
        <w:widowControl/>
        <w:spacing w:line="360" w:lineRule="auto"/>
        <w:ind w:firstLine="420" w:firstLineChars="200"/>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（1）项目负责人1名：负责与</w:t>
      </w:r>
      <w:r>
        <w:rPr>
          <w:rFonts w:hint="eastAsia" w:asciiTheme="majorEastAsia" w:hAnsiTheme="majorEastAsia" w:eastAsiaTheme="majorEastAsia" w:cstheme="majorEastAsia"/>
          <w:szCs w:val="21"/>
        </w:rPr>
        <w:t>卖方</w:t>
      </w:r>
      <w:r>
        <w:rPr>
          <w:rFonts w:hint="eastAsia" w:ascii="宋体" w:hAnsi="宋体" w:cs="仿宋"/>
          <w:color w:val="000000" w:themeColor="text1"/>
          <w:szCs w:val="21"/>
          <w14:textFill>
            <w14:solidFill>
              <w14:schemeClr w14:val="tx1"/>
            </w14:solidFill>
          </w14:textFill>
        </w:rPr>
        <w:t>统筹对接，协调项目执行过程中出现各类问题。</w:t>
      </w:r>
    </w:p>
    <w:p>
      <w:pPr>
        <w:widowControl/>
        <w:spacing w:line="360" w:lineRule="auto"/>
        <w:ind w:firstLine="420" w:firstLineChars="200"/>
        <w:rPr>
          <w:rFonts w:eastAsiaTheme="majorEastAsia"/>
        </w:rPr>
      </w:pPr>
      <w:r>
        <w:rPr>
          <w:rFonts w:hint="eastAsia" w:ascii="宋体" w:hAnsi="宋体" w:cs="仿宋"/>
          <w:color w:val="000000" w:themeColor="text1"/>
          <w:szCs w:val="21"/>
          <w14:textFill>
            <w14:solidFill>
              <w14:schemeClr w14:val="tx1"/>
            </w14:solidFill>
          </w14:textFill>
        </w:rPr>
        <w:t>（2）项目执行人员不少于3名：负责配合项目负责人</w:t>
      </w:r>
      <w:r>
        <w:rPr>
          <w:rFonts w:hint="eastAsia"/>
        </w:rPr>
        <w:t>对对</w:t>
      </w:r>
      <w:r>
        <w:rPr>
          <w:rFonts w:hint="eastAsia" w:ascii="宋体" w:hAnsi="宋体" w:eastAsia="宋体" w:cs="宋体"/>
          <w:kern w:val="0"/>
          <w:szCs w:val="21"/>
        </w:rPr>
        <w:t>南宁轨道交通运营有限公司</w:t>
      </w:r>
      <w:r>
        <w:rPr>
          <w:rFonts w:hint="eastAsia"/>
        </w:rPr>
        <w:t>在生产和经营过程中产生的废铁屑严格按国家相关法律规定进行出售、处置</w:t>
      </w:r>
      <w:r>
        <w:rPr>
          <w:rFonts w:hint="eastAsia" w:asciiTheme="majorEastAsia" w:hAnsiTheme="majorEastAsia" w:eastAsiaTheme="majorEastAsia" w:cstheme="majorEastAsia"/>
          <w:szCs w:val="21"/>
        </w:rPr>
        <w:t>。</w:t>
      </w:r>
    </w:p>
    <w:p>
      <w:pPr>
        <w:pStyle w:val="2"/>
        <w:ind w:left="420"/>
      </w:pPr>
    </w:p>
    <w:p/>
    <w:p>
      <w:pPr>
        <w:pStyle w:val="2"/>
        <w:ind w:left="420"/>
      </w:pPr>
    </w:p>
    <w:p>
      <w:pPr>
        <w:pStyle w:val="2"/>
        <w:spacing w:line="360" w:lineRule="auto"/>
        <w:ind w:left="0" w:leftChars="0"/>
      </w:pPr>
      <w:r>
        <w:rPr>
          <w:rFonts w:hint="eastAsia" w:ascii="Calibri" w:hAnsi="Calibri" w:eastAsia="宋体" w:cs="Times New Roman"/>
          <w:b/>
          <w:bCs/>
          <w:kern w:val="44"/>
          <w:sz w:val="28"/>
          <w:szCs w:val="44"/>
        </w:rPr>
        <w:br w:type="textWrapping"/>
      </w:r>
      <w:r>
        <w:rPr>
          <w:rFonts w:hint="eastAsia" w:ascii="宋体" w:hAnsi="宋体" w:eastAsia="宋体" w:cs="仿宋"/>
          <w:color w:val="000000" w:themeColor="text1"/>
          <w:szCs w:val="21"/>
          <w14:textFill>
            <w14:solidFill>
              <w14:schemeClr w14:val="tx1"/>
            </w14:solidFill>
          </w14:textFill>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F197E"/>
    <w:multiLevelType w:val="singleLevel"/>
    <w:tmpl w:val="98CF197E"/>
    <w:lvl w:ilvl="0" w:tentative="0">
      <w:start w:val="1"/>
      <w:numFmt w:val="decimal"/>
      <w:suff w:val="nothing"/>
      <w:lvlText w:val="（%1）"/>
      <w:lvlJc w:val="left"/>
      <w:rPr>
        <w:rFonts w:hint="default"/>
        <w:b w:val="0"/>
        <w:bCs w:val="0"/>
      </w:rPr>
    </w:lvl>
  </w:abstractNum>
  <w:abstractNum w:abstractNumId="1">
    <w:nsid w:val="FC7ADF42"/>
    <w:multiLevelType w:val="singleLevel"/>
    <w:tmpl w:val="FC7ADF42"/>
    <w:lvl w:ilvl="0" w:tentative="0">
      <w:start w:val="1"/>
      <w:numFmt w:val="decimal"/>
      <w:suff w:val="nothing"/>
      <w:lvlText w:val="%1、"/>
      <w:lvlJc w:val="left"/>
    </w:lvl>
  </w:abstractNum>
  <w:abstractNum w:abstractNumId="2">
    <w:nsid w:val="02F0E73D"/>
    <w:multiLevelType w:val="singleLevel"/>
    <w:tmpl w:val="02F0E73D"/>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MjA2ODE2MDlkNzE0NjdkZGZhMDNmZTBhZmNkYjIifQ=="/>
  </w:docVars>
  <w:rsids>
    <w:rsidRoot w:val="09923ECD"/>
    <w:rsid w:val="004A2339"/>
    <w:rsid w:val="00570A28"/>
    <w:rsid w:val="005B021B"/>
    <w:rsid w:val="009C750C"/>
    <w:rsid w:val="032B2BC1"/>
    <w:rsid w:val="06734C86"/>
    <w:rsid w:val="09923ECD"/>
    <w:rsid w:val="0B8613D4"/>
    <w:rsid w:val="0C217DA2"/>
    <w:rsid w:val="10225D06"/>
    <w:rsid w:val="11EF5D1F"/>
    <w:rsid w:val="16705B65"/>
    <w:rsid w:val="17DC67B7"/>
    <w:rsid w:val="202B067E"/>
    <w:rsid w:val="22492A54"/>
    <w:rsid w:val="2CD55466"/>
    <w:rsid w:val="2E401F5B"/>
    <w:rsid w:val="30473722"/>
    <w:rsid w:val="32560ACC"/>
    <w:rsid w:val="32872F5E"/>
    <w:rsid w:val="345A08F7"/>
    <w:rsid w:val="3C925ABB"/>
    <w:rsid w:val="41552B1B"/>
    <w:rsid w:val="45C77C57"/>
    <w:rsid w:val="462A77CA"/>
    <w:rsid w:val="57562848"/>
    <w:rsid w:val="599862F1"/>
    <w:rsid w:val="5CDA4186"/>
    <w:rsid w:val="657617E2"/>
    <w:rsid w:val="69AB42AA"/>
    <w:rsid w:val="6B0B37FC"/>
    <w:rsid w:val="72343EE1"/>
    <w:rsid w:val="7371736D"/>
    <w:rsid w:val="FFFFBD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28"/>
      <w:szCs w:val="4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autoSpaceDE w:val="0"/>
      <w:autoSpaceDN w:val="0"/>
      <w:spacing w:before="100" w:beforeAutospacing="1" w:after="100" w:afterAutospacing="1"/>
      <w:ind w:left="200"/>
    </w:pPr>
  </w:style>
  <w:style w:type="paragraph" w:styleId="3">
    <w:name w:val="Body Text Indent"/>
    <w:basedOn w:val="1"/>
    <w:qFormat/>
    <w:uiPriority w:val="0"/>
    <w:pPr>
      <w:spacing w:after="120"/>
      <w:ind w:left="420" w:leftChars="200"/>
    </w:pPr>
  </w:style>
  <w:style w:type="paragraph" w:styleId="5">
    <w:name w:val="footer"/>
    <w:basedOn w:val="1"/>
    <w:unhideWhenUsed/>
    <w:qFormat/>
    <w:uiPriority w:val="99"/>
    <w:pPr>
      <w:tabs>
        <w:tab w:val="center" w:pos="4153"/>
        <w:tab w:val="right" w:pos="8306"/>
      </w:tabs>
      <w:snapToGrid w:val="0"/>
      <w:jc w:val="left"/>
    </w:pPr>
    <w:rPr>
      <w:kern w:val="0"/>
      <w:sz w:val="18"/>
      <w:szCs w:val="18"/>
    </w:rPr>
  </w:style>
  <w:style w:type="paragraph" w:styleId="6">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2134</Words>
  <Characters>2207</Characters>
  <Lines>17</Lines>
  <Paragraphs>4</Paragraphs>
  <TotalTime>5</TotalTime>
  <ScaleCrop>false</ScaleCrop>
  <LinksUpToDate>false</LinksUpToDate>
  <CharactersWithSpaces>2224</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2022-10-25T09:24:00Z</dcterms:created>
  <dc:creator>忘忧丶</dc:creator>
  <cp:lastModifiedBy>董杨凝</cp:lastModifiedBy>
  <cp:lastPrinted>2023-04-10T01:37:00Z</cp:lastPrinted>
  <dcterms:modified xsi:type="dcterms:W3CDTF">2023-06-19T02:10:20Z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7FFF00F96E064BEEBF2D13004C3F21A8</vt:lpwstr>
  </property>
</Properties>
</file>