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widowControl w:val="0"/>
        <w:spacing w:line="1200" w:lineRule="exact"/>
        <w:ind w:left="442" w:hanging="442" w:hangingChars="100"/>
        <w:jc w:val="center"/>
        <w:rPr>
          <w:rFonts w:hint="eastAsia" w:ascii="宋体" w:hAnsi="宋体" w:cs="宋体"/>
          <w:b/>
          <w:color w:val="auto"/>
          <w:sz w:val="44"/>
          <w:szCs w:val="44"/>
          <w:highlight w:val="none"/>
          <w:lang w:eastAsia="zh-CN"/>
        </w:rPr>
      </w:pPr>
      <w:r>
        <w:rPr>
          <w:rFonts w:hint="eastAsia" w:ascii="宋体" w:hAnsi="宋体" w:cs="宋体"/>
          <w:b/>
          <w:color w:val="auto"/>
          <w:sz w:val="44"/>
          <w:szCs w:val="44"/>
          <w:highlight w:val="none"/>
          <w:lang w:eastAsia="zh-CN"/>
        </w:rPr>
        <w:t>南宁轨道交通1、2、3、4号线专用通信、AFC系统故障件维修委外服务项目</w:t>
      </w:r>
    </w:p>
    <w:p>
      <w:pPr>
        <w:widowControl w:val="0"/>
        <w:spacing w:line="1200" w:lineRule="exact"/>
        <w:ind w:left="442" w:hanging="442" w:hangingChars="100"/>
        <w:jc w:val="center"/>
        <w:rPr>
          <w:rFonts w:hint="eastAsia" w:ascii="宋体" w:hAnsi="宋体" w:eastAsia="宋体" w:cs="宋体"/>
          <w:b/>
          <w:color w:val="auto"/>
          <w:sz w:val="44"/>
          <w:szCs w:val="44"/>
          <w:highlight w:val="none"/>
          <w:lang w:eastAsia="zh-CN"/>
        </w:rPr>
      </w:pPr>
      <w:r>
        <w:rPr>
          <w:rFonts w:hint="eastAsia" w:ascii="宋体" w:hAnsi="宋体" w:cs="宋体"/>
          <w:b/>
          <w:color w:val="auto"/>
          <w:sz w:val="44"/>
          <w:szCs w:val="44"/>
          <w:highlight w:val="none"/>
          <w:lang w:eastAsia="zh-CN"/>
        </w:rPr>
        <w:t>（2024-2026年）</w:t>
      </w:r>
    </w:p>
    <w:p>
      <w:pPr>
        <w:pStyle w:val="27"/>
        <w:spacing w:before="0"/>
        <w:ind w:right="-57" w:firstLine="0"/>
        <w:jc w:val="center"/>
        <w:rPr>
          <w:rFonts w:ascii="宋体" w:hAnsi="宋体"/>
          <w:b/>
          <w:color w:val="auto"/>
          <w:spacing w:val="-4"/>
          <w:sz w:val="44"/>
          <w:szCs w:val="44"/>
          <w:highlight w:val="none"/>
        </w:rPr>
      </w:pPr>
    </w:p>
    <w:p>
      <w:pPr>
        <w:spacing w:before="0"/>
        <w:ind w:left="0" w:right="-57" w:firstLine="0"/>
        <w:jc w:val="center"/>
        <w:rPr>
          <w:rFonts w:ascii="宋体" w:hAnsi="宋体"/>
          <w:color w:val="auto"/>
          <w:sz w:val="32"/>
          <w:szCs w:val="3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395" w:leftChars="188" w:right="210" w:rightChars="100" w:firstLine="1648" w:firstLineChars="513"/>
        <w:jc w:val="both"/>
        <w:outlineLvl w:val="0"/>
        <w:rPr>
          <w:rFonts w:ascii="宋体" w:hAnsi="宋体"/>
          <w:b/>
          <w:color w:val="auto"/>
          <w:sz w:val="32"/>
          <w:szCs w:val="32"/>
          <w:highlight w:val="none"/>
          <w:u w:val="single"/>
        </w:rPr>
      </w:pPr>
      <w:r>
        <w:rPr>
          <w:rFonts w:hint="eastAsia" w:ascii="宋体" w:hAnsi="宋体"/>
          <w:b/>
          <w:color w:val="auto"/>
          <w:sz w:val="32"/>
          <w:szCs w:val="32"/>
          <w:highlight w:val="none"/>
        </w:rPr>
        <w:t>项目编号：202309210001</w:t>
      </w:r>
    </w:p>
    <w:p>
      <w:pPr>
        <w:spacing w:before="0"/>
        <w:ind w:left="390" w:right="210" w:rightChars="100" w:hanging="180"/>
        <w:jc w:val="center"/>
        <w:outlineLvl w:val="0"/>
        <w:rPr>
          <w:rFonts w:ascii="宋体" w:hAnsi="宋体"/>
          <w:b/>
          <w:color w:val="auto"/>
          <w:sz w:val="32"/>
          <w:szCs w:val="32"/>
          <w:highlight w:val="none"/>
          <w:u w:val="single"/>
        </w:rPr>
      </w:pPr>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p>
    <w:p>
      <w:pPr>
        <w:spacing w:before="0"/>
        <w:ind w:left="210" w:right="210" w:firstLine="0"/>
        <w:jc w:val="center"/>
        <w:rPr>
          <w:rFonts w:ascii="宋体" w:hAnsi="宋体"/>
          <w:color w:val="auto"/>
          <w:highlight w:val="none"/>
        </w:rPr>
      </w:pPr>
      <w:r>
        <w:rPr>
          <w:rFonts w:hint="eastAsia" w:ascii="宋体" w:hAnsi="宋体"/>
          <w:b/>
          <w:color w:val="auto"/>
          <w:sz w:val="36"/>
          <w:szCs w:val="36"/>
          <w:highlight w:val="none"/>
        </w:rPr>
        <w:t>202</w:t>
      </w:r>
      <w:r>
        <w:rPr>
          <w:rFonts w:hint="eastAsia" w:ascii="宋体" w:hAnsi="宋体"/>
          <w:b/>
          <w:color w:val="auto"/>
          <w:sz w:val="36"/>
          <w:szCs w:val="36"/>
          <w:highlight w:val="none"/>
          <w:lang w:val="en-US" w:eastAsia="zh-CN"/>
        </w:rPr>
        <w:t>3</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Borders>
            <w:top w:val="none" w:sz="0" w:space="0"/>
            <w:left w:val="none" w:sz="0" w:space="0"/>
            <w:bottom w:val="none" w:sz="0" w:space="0"/>
            <w:right w:val="none" w:sz="0" w:space="0"/>
          </w:pgBorders>
          <w:pgNumType w:fmt="decimal" w:start="1" w:chapStyle="1"/>
          <w:cols w:space="720" w:num="1"/>
          <w:docGrid w:linePitch="312" w:charSpace="0"/>
        </w:sectPr>
      </w:pPr>
    </w:p>
    <w:p>
      <w:pPr>
        <w:spacing w:line="240" w:lineRule="auto"/>
        <w:jc w:val="center"/>
        <w:rPr>
          <w:color w:val="auto"/>
          <w:highlight w:val="none"/>
        </w:rPr>
      </w:pPr>
      <w:r>
        <w:rPr>
          <w:rFonts w:hint="eastAsia" w:ascii="宋体" w:hAnsi="宋体"/>
          <w:b/>
          <w:bCs/>
          <w:color w:val="auto"/>
          <w:highlight w:val="none"/>
        </w:rPr>
        <w:t>目录</w:t>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_Toc31036 </w:instrText>
      </w:r>
      <w:r>
        <w:rPr>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_Toc31036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_Toc16290 </w:instrText>
      </w:r>
      <w:r>
        <w:rPr>
          <w:color w:val="auto"/>
          <w:highlight w:val="none"/>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_Toc16290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_Toc24462 </w:instrText>
      </w:r>
      <w:r>
        <w:rPr>
          <w:color w:val="auto"/>
          <w:highlight w:val="none"/>
        </w:rPr>
        <w:fldChar w:fldCharType="separate"/>
      </w:r>
      <w:r>
        <w:rPr>
          <w:rFonts w:hint="eastAsia" w:ascii="宋体" w:hAnsi="宋体"/>
          <w:bCs/>
          <w:color w:val="auto"/>
          <w:szCs w:val="24"/>
          <w:highlight w:val="none"/>
        </w:rPr>
        <w:t>一、</w:t>
      </w:r>
      <w:r>
        <w:rPr>
          <w:rFonts w:ascii="宋体" w:hAnsi="宋体"/>
          <w:bCs/>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_Toc24462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_Toc19167 </w:instrText>
      </w:r>
      <w:r>
        <w:rPr>
          <w:color w:val="auto"/>
          <w:highlight w:val="none"/>
        </w:rPr>
        <w:fldChar w:fldCharType="separate"/>
      </w:r>
      <w:r>
        <w:rPr>
          <w:rFonts w:hint="eastAsia" w:ascii="宋体" w:hAnsi="宋体"/>
          <w:bCs/>
          <w:color w:val="auto"/>
          <w:szCs w:val="24"/>
          <w:highlight w:val="none"/>
        </w:rPr>
        <w:t>二、</w:t>
      </w:r>
      <w:r>
        <w:rPr>
          <w:rFonts w:ascii="宋体" w:hAnsi="宋体"/>
          <w:bCs/>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_Toc19167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_Toc31326 </w:instrText>
      </w:r>
      <w:r>
        <w:rPr>
          <w:color w:val="auto"/>
          <w:highlight w:val="none"/>
        </w:rPr>
        <w:fldChar w:fldCharType="separate"/>
      </w:r>
      <w:r>
        <w:rPr>
          <w:rFonts w:hint="eastAsia" w:ascii="宋体" w:hAnsi="宋体"/>
          <w:bCs/>
          <w:color w:val="auto"/>
          <w:szCs w:val="24"/>
          <w:highlight w:val="none"/>
        </w:rPr>
        <w:t>三、</w:t>
      </w:r>
      <w:r>
        <w:rPr>
          <w:rFonts w:ascii="宋体" w:hAnsi="宋体"/>
          <w:bCs/>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_Toc31326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_Toc24446 </w:instrText>
      </w:r>
      <w:r>
        <w:rPr>
          <w:color w:val="auto"/>
          <w:highlight w:val="none"/>
        </w:rPr>
        <w:fldChar w:fldCharType="separate"/>
      </w:r>
      <w:r>
        <w:rPr>
          <w:rFonts w:hint="eastAsia" w:ascii="宋体" w:hAnsi="宋体"/>
          <w:bCs/>
          <w:color w:val="auto"/>
          <w:szCs w:val="24"/>
          <w:highlight w:val="none"/>
        </w:rPr>
        <w:t>四、</w:t>
      </w:r>
      <w:r>
        <w:rPr>
          <w:rFonts w:ascii="宋体" w:hAnsi="宋体"/>
          <w:bCs/>
          <w:color w:val="auto"/>
          <w:szCs w:val="24"/>
          <w:highlight w:val="none"/>
        </w:rPr>
        <w:t>比选申请文件</w:t>
      </w:r>
      <w:r>
        <w:rPr>
          <w:rFonts w:hint="eastAsia" w:ascii="宋体" w:hAnsi="宋体"/>
          <w:bCs/>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_Toc24446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_Toc15737 </w:instrText>
      </w:r>
      <w:r>
        <w:rPr>
          <w:color w:val="auto"/>
          <w:highlight w:val="none"/>
        </w:rPr>
        <w:fldChar w:fldCharType="separate"/>
      </w:r>
      <w:r>
        <w:rPr>
          <w:rFonts w:hint="eastAsia" w:ascii="宋体" w:hAnsi="宋体"/>
          <w:bCs/>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_Toc15737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_Toc742 </w:instrText>
      </w:r>
      <w:r>
        <w:rPr>
          <w:color w:val="auto"/>
          <w:highlight w:val="none"/>
        </w:rPr>
        <w:fldChar w:fldCharType="separate"/>
      </w:r>
      <w:r>
        <w:rPr>
          <w:rFonts w:hint="eastAsia" w:ascii="宋体" w:hAnsi="宋体"/>
          <w:bCs/>
          <w:color w:val="auto"/>
          <w:szCs w:val="24"/>
          <w:highlight w:val="none"/>
        </w:rPr>
        <w:t>六、</w:t>
      </w:r>
      <w:r>
        <w:rPr>
          <w:rFonts w:ascii="宋体" w:hAnsi="宋体"/>
          <w:bCs/>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_Toc742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_Toc15922 </w:instrText>
      </w:r>
      <w:r>
        <w:rPr>
          <w:color w:val="auto"/>
          <w:highlight w:val="none"/>
        </w:rPr>
        <w:fldChar w:fldCharType="separate"/>
      </w:r>
      <w:r>
        <w:rPr>
          <w:rFonts w:hint="eastAsia" w:hAnsi="宋体"/>
          <w:color w:val="auto"/>
          <w:szCs w:val="44"/>
          <w:highlight w:val="none"/>
        </w:rPr>
        <w:t>第三章 合同条款及格式</w:t>
      </w:r>
      <w:r>
        <w:rPr>
          <w:color w:val="auto"/>
          <w:highlight w:val="none"/>
        </w:rPr>
        <w:tab/>
      </w:r>
      <w:r>
        <w:rPr>
          <w:color w:val="auto"/>
          <w:highlight w:val="none"/>
        </w:rPr>
        <w:fldChar w:fldCharType="begin"/>
      </w:r>
      <w:r>
        <w:rPr>
          <w:color w:val="auto"/>
          <w:highlight w:val="none"/>
        </w:rPr>
        <w:instrText xml:space="preserve"> PAGEREF _Toc15922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_Toc11395 </w:instrText>
      </w:r>
      <w:r>
        <w:rPr>
          <w:color w:val="auto"/>
          <w:highlight w:val="none"/>
        </w:rPr>
        <w:fldChar w:fldCharType="separate"/>
      </w:r>
      <w:r>
        <w:rPr>
          <w:rFonts w:hint="eastAsia" w:ascii="宋体" w:hAnsi="宋体"/>
          <w:color w:val="auto"/>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_Toc11395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_Toc30755 </w:instrText>
      </w:r>
      <w:r>
        <w:rPr>
          <w:color w:val="auto"/>
          <w:highlight w:val="none"/>
        </w:rPr>
        <w:fldChar w:fldCharType="separate"/>
      </w:r>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r>
        <w:rPr>
          <w:color w:val="auto"/>
          <w:highlight w:val="none"/>
        </w:rPr>
        <w:tab/>
      </w:r>
      <w:r>
        <w:rPr>
          <w:color w:val="auto"/>
          <w:highlight w:val="none"/>
        </w:rPr>
        <w:fldChar w:fldCharType="begin"/>
      </w:r>
      <w:r>
        <w:rPr>
          <w:color w:val="auto"/>
          <w:highlight w:val="none"/>
        </w:rPr>
        <w:instrText xml:space="preserve"> PAGEREF _Toc30755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_Toc11257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r>
        <w:rPr>
          <w:color w:val="auto"/>
          <w:highlight w:val="none"/>
        </w:rPr>
        <w:tab/>
      </w:r>
      <w:r>
        <w:rPr>
          <w:color w:val="auto"/>
          <w:highlight w:val="none"/>
        </w:rPr>
        <w:fldChar w:fldCharType="begin"/>
      </w:r>
      <w:r>
        <w:rPr>
          <w:color w:val="auto"/>
          <w:highlight w:val="none"/>
        </w:rPr>
        <w:instrText xml:space="preserve"> PAGEREF _Toc11257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_Toc32009 </w:instrText>
      </w:r>
      <w:r>
        <w:rPr>
          <w:color w:val="auto"/>
          <w:highlight w:val="none"/>
        </w:rPr>
        <w:fldChar w:fldCharType="separate"/>
      </w:r>
      <w:r>
        <w:rPr>
          <w:rFonts w:ascii="Times New Roman" w:hAnsi="Times New Roman" w:eastAsia="宋体"/>
          <w:color w:val="auto"/>
          <w:highlight w:val="none"/>
        </w:rPr>
        <w:t>第四部分 合同条款</w:t>
      </w:r>
      <w:r>
        <w:rPr>
          <w:color w:val="auto"/>
          <w:highlight w:val="none"/>
        </w:rPr>
        <w:tab/>
      </w:r>
      <w:r>
        <w:rPr>
          <w:color w:val="auto"/>
          <w:highlight w:val="none"/>
        </w:rPr>
        <w:fldChar w:fldCharType="begin"/>
      </w:r>
      <w:r>
        <w:rPr>
          <w:color w:val="auto"/>
          <w:highlight w:val="none"/>
        </w:rPr>
        <w:instrText xml:space="preserve"> PAGEREF _Toc32009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_Toc29200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r>
        <w:rPr>
          <w:color w:val="auto"/>
          <w:highlight w:val="none"/>
        </w:rPr>
        <w:tab/>
      </w:r>
      <w:r>
        <w:rPr>
          <w:color w:val="auto"/>
          <w:highlight w:val="none"/>
        </w:rPr>
        <w:fldChar w:fldCharType="begin"/>
      </w:r>
      <w:r>
        <w:rPr>
          <w:color w:val="auto"/>
          <w:highlight w:val="none"/>
        </w:rPr>
        <w:instrText xml:space="preserve"> PAGEREF _Toc29200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_Toc4227 </w:instrText>
      </w:r>
      <w:r>
        <w:rPr>
          <w:color w:val="auto"/>
          <w:highlight w:val="none"/>
        </w:rPr>
        <w:fldChar w:fldCharType="separate"/>
      </w:r>
      <w:r>
        <w:rPr>
          <w:rFonts w:hint="eastAsia" w:ascii="Times New Roman" w:hAnsi="Times New Roman" w:eastAsia="宋体"/>
          <w:color w:val="auto"/>
          <w:highlight w:val="none"/>
        </w:rPr>
        <w:t xml:space="preserve">第六部分 </w:t>
      </w:r>
      <w:r>
        <w:rPr>
          <w:rFonts w:ascii="Times New Roman" w:hAnsi="Times New Roman" w:eastAsia="宋体"/>
          <w:color w:val="auto"/>
          <w:highlight w:val="none"/>
        </w:rPr>
        <w:t>合同附件及格式</w:t>
      </w:r>
      <w:r>
        <w:rPr>
          <w:color w:val="auto"/>
          <w:highlight w:val="none"/>
        </w:rPr>
        <w:tab/>
      </w:r>
      <w:r>
        <w:rPr>
          <w:color w:val="auto"/>
          <w:highlight w:val="none"/>
        </w:rPr>
        <w:fldChar w:fldCharType="begin"/>
      </w:r>
      <w:r>
        <w:rPr>
          <w:color w:val="auto"/>
          <w:highlight w:val="none"/>
        </w:rPr>
        <w:instrText xml:space="preserve"> PAGEREF _Toc4227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_Toc23040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r>
        <w:rPr>
          <w:color w:val="auto"/>
          <w:highlight w:val="none"/>
        </w:rPr>
        <w:tab/>
      </w:r>
      <w:r>
        <w:rPr>
          <w:color w:val="auto"/>
          <w:highlight w:val="none"/>
        </w:rPr>
        <w:fldChar w:fldCharType="begin"/>
      </w:r>
      <w:r>
        <w:rPr>
          <w:color w:val="auto"/>
          <w:highlight w:val="none"/>
        </w:rPr>
        <w:instrText xml:space="preserve"> PAGEREF _Toc23040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25"/>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_Toc30391 </w:instrText>
      </w:r>
      <w:r>
        <w:rPr>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r>
        <w:rPr>
          <w:color w:val="auto"/>
          <w:highlight w:val="none"/>
        </w:rPr>
        <w:tab/>
      </w:r>
      <w:r>
        <w:rPr>
          <w:color w:val="auto"/>
          <w:highlight w:val="none"/>
        </w:rPr>
        <w:fldChar w:fldCharType="begin"/>
      </w:r>
      <w:r>
        <w:rPr>
          <w:color w:val="auto"/>
          <w:highlight w:val="none"/>
        </w:rPr>
        <w:instrText xml:space="preserve"> PAGEREF _Toc30391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_Toc15867 </w:instrText>
      </w:r>
      <w:r>
        <w:rPr>
          <w:color w:val="auto"/>
          <w:highlight w:val="none"/>
        </w:rPr>
        <w:fldChar w:fldCharType="separate"/>
      </w:r>
      <w:r>
        <w:rPr>
          <w:rFonts w:hint="eastAsia"/>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_Toc15867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ind w:left="705" w:leftChars="200" w:hanging="285" w:hangingChars="136"/>
        <w:textAlignment w:val="auto"/>
        <w:rPr>
          <w:rFonts w:hint="eastAsia"/>
          <w:color w:val="auto"/>
          <w:highlight w:val="none"/>
        </w:rPr>
      </w:pPr>
      <w:r>
        <w:rPr>
          <w:rFonts w:hint="eastAsia"/>
          <w:color w:val="auto"/>
          <w:highlight w:val="none"/>
        </w:rPr>
        <w:fldChar w:fldCharType="begin"/>
      </w:r>
      <w:r>
        <w:rPr>
          <w:rFonts w:hint="eastAsia"/>
          <w:color w:val="auto"/>
          <w:highlight w:val="none"/>
        </w:rPr>
        <w:instrText xml:space="preserve"> HYPERLINK \l _Toc14634 </w:instrText>
      </w:r>
      <w:r>
        <w:rPr>
          <w:rFonts w:hint="eastAsia"/>
          <w:color w:val="auto"/>
          <w:highlight w:val="none"/>
        </w:rPr>
        <w:fldChar w:fldCharType="separate"/>
      </w:r>
      <w:r>
        <w:rPr>
          <w:rFonts w:hint="eastAsia"/>
          <w:color w:val="auto"/>
          <w:highlight w:val="none"/>
          <w:lang w:val="en-US" w:eastAsia="zh-CN"/>
        </w:rPr>
        <w:t>A</w:t>
      </w:r>
      <w:r>
        <w:rPr>
          <w:rFonts w:hint="eastAsia"/>
          <w:color w:val="auto"/>
          <w:highlight w:val="none"/>
        </w:rPr>
        <w:t>资格审查文件</w:t>
      </w:r>
      <w:r>
        <w:rPr>
          <w:rFonts w:hint="eastAsia"/>
          <w:color w:val="auto"/>
          <w:highlight w:val="none"/>
        </w:rPr>
        <w:tab/>
      </w:r>
      <w:r>
        <w:rPr>
          <w:rFonts w:hint="eastAsia"/>
          <w:color w:val="auto"/>
          <w:highlight w:val="none"/>
        </w:rPr>
        <w:fldChar w:fldCharType="begin"/>
      </w:r>
      <w:r>
        <w:rPr>
          <w:rFonts w:hint="eastAsia"/>
          <w:color w:val="auto"/>
          <w:highlight w:val="none"/>
        </w:rPr>
        <w:instrText xml:space="preserve"> PAGEREF _Toc14634 \h </w:instrText>
      </w:r>
      <w:r>
        <w:rPr>
          <w:rFonts w:hint="eastAsia"/>
          <w:color w:val="auto"/>
          <w:highlight w:val="none"/>
        </w:rPr>
        <w:fldChar w:fldCharType="separate"/>
      </w:r>
      <w:r>
        <w:rPr>
          <w:rFonts w:hint="eastAsia"/>
          <w:color w:val="auto"/>
          <w:highlight w:val="none"/>
        </w:rPr>
        <w:t>51</w:t>
      </w:r>
      <w:r>
        <w:rPr>
          <w:rFonts w:hint="eastAsia"/>
          <w:color w:val="auto"/>
          <w:highlight w:val="none"/>
        </w:rPr>
        <w:fldChar w:fldCharType="end"/>
      </w:r>
      <w:r>
        <w:rPr>
          <w:rFonts w:hint="eastAsia"/>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ind w:left="705" w:leftChars="200" w:hanging="285" w:hangingChars="136"/>
        <w:textAlignment w:val="auto"/>
        <w:rPr>
          <w:rFonts w:hint="eastAsia"/>
          <w:color w:val="auto"/>
          <w:highlight w:val="none"/>
        </w:rPr>
      </w:pPr>
      <w:r>
        <w:rPr>
          <w:rFonts w:hint="eastAsia"/>
          <w:color w:val="auto"/>
          <w:highlight w:val="none"/>
        </w:rPr>
        <w:fldChar w:fldCharType="begin"/>
      </w:r>
      <w:r>
        <w:rPr>
          <w:rFonts w:hint="eastAsia"/>
          <w:color w:val="auto"/>
          <w:highlight w:val="none"/>
        </w:rPr>
        <w:instrText xml:space="preserve"> HYPERLINK \l _Toc16190 </w:instrText>
      </w:r>
      <w:r>
        <w:rPr>
          <w:rFonts w:hint="eastAsia"/>
          <w:color w:val="auto"/>
          <w:highlight w:val="none"/>
        </w:rPr>
        <w:fldChar w:fldCharType="separate"/>
      </w:r>
      <w:r>
        <w:rPr>
          <w:rFonts w:hint="eastAsia"/>
          <w:color w:val="auto"/>
          <w:highlight w:val="none"/>
          <w:lang w:val="en-US" w:eastAsia="zh-CN"/>
        </w:rPr>
        <w:t>B</w:t>
      </w:r>
      <w:r>
        <w:rPr>
          <w:rFonts w:hint="eastAsia"/>
          <w:color w:val="auto"/>
          <w:highlight w:val="none"/>
        </w:rPr>
        <w:t>技术文件</w:t>
      </w:r>
      <w:r>
        <w:rPr>
          <w:rFonts w:hint="eastAsia"/>
          <w:color w:val="auto"/>
          <w:highlight w:val="none"/>
        </w:rPr>
        <w:tab/>
      </w:r>
      <w:r>
        <w:rPr>
          <w:rFonts w:hint="eastAsia"/>
          <w:color w:val="auto"/>
          <w:highlight w:val="none"/>
        </w:rPr>
        <w:fldChar w:fldCharType="begin"/>
      </w:r>
      <w:r>
        <w:rPr>
          <w:rFonts w:hint="eastAsia"/>
          <w:color w:val="auto"/>
          <w:highlight w:val="none"/>
        </w:rPr>
        <w:instrText xml:space="preserve"> PAGEREF _Toc16190 \h </w:instrText>
      </w:r>
      <w:r>
        <w:rPr>
          <w:rFonts w:hint="eastAsia"/>
          <w:color w:val="auto"/>
          <w:highlight w:val="none"/>
        </w:rPr>
        <w:fldChar w:fldCharType="separate"/>
      </w:r>
      <w:r>
        <w:rPr>
          <w:rFonts w:hint="eastAsia"/>
          <w:color w:val="auto"/>
          <w:highlight w:val="none"/>
        </w:rPr>
        <w:t>56</w:t>
      </w:r>
      <w:r>
        <w:rPr>
          <w:rFonts w:hint="eastAsia"/>
          <w:color w:val="auto"/>
          <w:highlight w:val="none"/>
        </w:rPr>
        <w:fldChar w:fldCharType="end"/>
      </w:r>
      <w:r>
        <w:rPr>
          <w:rFonts w:hint="eastAsia"/>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ind w:left="705" w:leftChars="200" w:hanging="285" w:hangingChars="136"/>
        <w:textAlignment w:val="auto"/>
        <w:rPr>
          <w:rFonts w:hint="eastAsia"/>
          <w:color w:val="auto"/>
          <w:highlight w:val="none"/>
        </w:rPr>
      </w:pPr>
      <w:r>
        <w:rPr>
          <w:rFonts w:hint="eastAsia"/>
          <w:color w:val="auto"/>
          <w:highlight w:val="none"/>
        </w:rPr>
        <w:fldChar w:fldCharType="begin"/>
      </w:r>
      <w:r>
        <w:rPr>
          <w:rFonts w:hint="eastAsia"/>
          <w:color w:val="auto"/>
          <w:highlight w:val="none"/>
        </w:rPr>
        <w:instrText xml:space="preserve"> HYPERLINK \l _Toc13927 </w:instrText>
      </w:r>
      <w:r>
        <w:rPr>
          <w:rFonts w:hint="eastAsia"/>
          <w:color w:val="auto"/>
          <w:highlight w:val="none"/>
        </w:rPr>
        <w:fldChar w:fldCharType="separate"/>
      </w:r>
      <w:r>
        <w:rPr>
          <w:rFonts w:hint="eastAsia"/>
          <w:color w:val="auto"/>
          <w:highlight w:val="none"/>
          <w:lang w:val="en-US" w:eastAsia="zh-CN"/>
        </w:rPr>
        <w:t>C</w:t>
      </w:r>
      <w:r>
        <w:rPr>
          <w:rFonts w:hint="eastAsia"/>
          <w:color w:val="auto"/>
          <w:highlight w:val="none"/>
        </w:rPr>
        <w:t xml:space="preserve"> 价格文件</w:t>
      </w:r>
      <w:r>
        <w:rPr>
          <w:rFonts w:hint="eastAsia"/>
          <w:color w:val="auto"/>
          <w:highlight w:val="none"/>
        </w:rPr>
        <w:tab/>
      </w:r>
      <w:r>
        <w:rPr>
          <w:rFonts w:hint="eastAsia"/>
          <w:color w:val="auto"/>
          <w:highlight w:val="none"/>
        </w:rPr>
        <w:fldChar w:fldCharType="begin"/>
      </w:r>
      <w:r>
        <w:rPr>
          <w:rFonts w:hint="eastAsia"/>
          <w:color w:val="auto"/>
          <w:highlight w:val="none"/>
        </w:rPr>
        <w:instrText xml:space="preserve"> PAGEREF _Toc13927 \h </w:instrText>
      </w:r>
      <w:r>
        <w:rPr>
          <w:rFonts w:hint="eastAsia"/>
          <w:color w:val="auto"/>
          <w:highlight w:val="none"/>
        </w:rPr>
        <w:fldChar w:fldCharType="separate"/>
      </w:r>
      <w:r>
        <w:rPr>
          <w:rFonts w:hint="eastAsia"/>
          <w:color w:val="auto"/>
          <w:highlight w:val="none"/>
        </w:rPr>
        <w:t>62</w:t>
      </w:r>
      <w:r>
        <w:rPr>
          <w:rFonts w:hint="eastAsia"/>
          <w:color w:val="auto"/>
          <w:highlight w:val="none"/>
        </w:rPr>
        <w:fldChar w:fldCharType="end"/>
      </w:r>
      <w:r>
        <w:rPr>
          <w:rFonts w:hint="eastAsia"/>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_Toc25049 </w:instrText>
      </w:r>
      <w:r>
        <w:rPr>
          <w:color w:val="auto"/>
          <w:highlight w:val="none"/>
        </w:rPr>
        <w:fldChar w:fldCharType="separate"/>
      </w:r>
      <w:r>
        <w:rPr>
          <w:rFonts w:hint="eastAsia"/>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_Toc25049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_Toc9673 </w:instrText>
      </w:r>
      <w:r>
        <w:rPr>
          <w:color w:val="auto"/>
          <w:highlight w:val="none"/>
        </w:rPr>
        <w:fldChar w:fldCharType="separate"/>
      </w:r>
      <w:r>
        <w:rPr>
          <w:rFonts w:hint="eastAsia" w:ascii="宋体" w:hAnsi="宋体" w:eastAsia="宋体" w:cs="Times New Roman"/>
          <w:color w:val="auto"/>
          <w:highlight w:val="none"/>
        </w:rPr>
        <w:t>第六章</w:t>
      </w:r>
      <w:r>
        <w:rPr>
          <w:rFonts w:hint="eastAsia" w:ascii="宋体" w:hAnsi="宋体" w:cs="Times New Roman"/>
          <w:color w:val="auto"/>
          <w:highlight w:val="none"/>
          <w:lang w:eastAsia="zh-CN"/>
        </w:rPr>
        <w:t>评审办法</w:t>
      </w:r>
      <w:r>
        <w:rPr>
          <w:color w:val="auto"/>
          <w:highlight w:val="none"/>
        </w:rPr>
        <w:tab/>
      </w:r>
      <w:r>
        <w:rPr>
          <w:color w:val="auto"/>
          <w:highlight w:val="none"/>
        </w:rPr>
        <w:fldChar w:fldCharType="begin"/>
      </w:r>
      <w:r>
        <w:rPr>
          <w:color w:val="auto"/>
          <w:highlight w:val="none"/>
        </w:rPr>
        <w:instrText xml:space="preserve"> PAGEREF _Toc9673 \h </w:instrText>
      </w:r>
      <w:r>
        <w:rPr>
          <w:color w:val="auto"/>
          <w:highlight w:val="none"/>
        </w:rPr>
        <w:fldChar w:fldCharType="separate"/>
      </w:r>
      <w:r>
        <w:rPr>
          <w:color w:val="auto"/>
          <w:highlight w:val="none"/>
        </w:rPr>
        <w:t>95</w:t>
      </w:r>
      <w:r>
        <w:rPr>
          <w:color w:val="auto"/>
          <w:highlight w:val="none"/>
        </w:rPr>
        <w:fldChar w:fldCharType="end"/>
      </w:r>
      <w:r>
        <w:rPr>
          <w:color w:val="auto"/>
          <w:highlight w:val="none"/>
        </w:rPr>
        <w:fldChar w:fldCharType="end"/>
      </w:r>
    </w:p>
    <w:p>
      <w:pPr>
        <w:pStyle w:val="20"/>
        <w:keepNext w:val="0"/>
        <w:keepLines w:val="0"/>
        <w:widowControl/>
        <w:tabs>
          <w:tab w:val="right" w:leader="dot" w:pos="9071"/>
        </w:tabs>
        <w:kinsoku/>
        <w:wordWrap/>
        <w:overflowPunct/>
        <w:topLinePunct w:val="0"/>
        <w:autoSpaceDE/>
        <w:autoSpaceDN/>
        <w:bidi w:val="0"/>
        <w:adjustRightInd/>
        <w:snapToGrid/>
        <w:spacing w:before="0" w:after="0" w:afterAutospacing="0"/>
        <w:textAlignment w:val="auto"/>
        <w:rPr>
          <w:color w:val="auto"/>
          <w:highlight w:val="none"/>
        </w:rPr>
      </w:pPr>
      <w:r>
        <w:rPr>
          <w:color w:val="auto"/>
          <w:highlight w:val="none"/>
        </w:rPr>
        <w:fldChar w:fldCharType="begin"/>
      </w:r>
      <w:r>
        <w:rPr>
          <w:color w:val="auto"/>
          <w:highlight w:val="none"/>
        </w:rPr>
        <w:instrText xml:space="preserve"> HYPERLINK \l _Toc13285 </w:instrText>
      </w:r>
      <w:r>
        <w:rPr>
          <w:color w:val="auto"/>
          <w:highlight w:val="none"/>
        </w:rPr>
        <w:fldChar w:fldCharType="separate"/>
      </w:r>
      <w:r>
        <w:rPr>
          <w:rFonts w:hint="eastAsia" w:ascii="宋体" w:hAnsi="宋体" w:eastAsia="宋体" w:cs="Times New Roman"/>
          <w:color w:val="auto"/>
          <w:highlight w:val="none"/>
        </w:rPr>
        <w:t>第</w:t>
      </w:r>
      <w:r>
        <w:rPr>
          <w:rFonts w:hint="eastAsia" w:ascii="宋体" w:hAnsi="宋体" w:eastAsia="宋体" w:cs="Times New Roman"/>
          <w:color w:val="auto"/>
          <w:highlight w:val="none"/>
          <w:lang w:val="en-US" w:eastAsia="zh-CN"/>
        </w:rPr>
        <w:t>七</w:t>
      </w:r>
      <w:r>
        <w:rPr>
          <w:rFonts w:hint="eastAsia" w:ascii="宋体" w:hAnsi="宋体" w:eastAsia="宋体" w:cs="Times New Roman"/>
          <w:color w:val="auto"/>
          <w:highlight w:val="none"/>
        </w:rPr>
        <w:t>章</w:t>
      </w:r>
      <w:r>
        <w:rPr>
          <w:rFonts w:hint="eastAsia" w:ascii="宋体" w:hAnsi="宋体" w:eastAsia="宋体" w:cs="Times New Roman"/>
          <w:color w:val="auto"/>
          <w:highlight w:val="none"/>
          <w:lang w:val="en-US" w:eastAsia="zh-CN"/>
        </w:rPr>
        <w:t xml:space="preserve"> 比选控制价</w:t>
      </w:r>
      <w:r>
        <w:rPr>
          <w:color w:val="auto"/>
          <w:highlight w:val="none"/>
        </w:rPr>
        <w:tab/>
      </w:r>
      <w:r>
        <w:rPr>
          <w:color w:val="auto"/>
          <w:highlight w:val="none"/>
        </w:rPr>
        <w:fldChar w:fldCharType="begin"/>
      </w:r>
      <w:r>
        <w:rPr>
          <w:color w:val="auto"/>
          <w:highlight w:val="none"/>
        </w:rPr>
        <w:instrText xml:space="preserve"> PAGEREF _Toc13285 \h </w:instrText>
      </w:r>
      <w:r>
        <w:rPr>
          <w:color w:val="auto"/>
          <w:highlight w:val="none"/>
        </w:rPr>
        <w:fldChar w:fldCharType="separate"/>
      </w:r>
      <w:r>
        <w:rPr>
          <w:color w:val="auto"/>
          <w:highlight w:val="none"/>
        </w:rPr>
        <w:t>106</w:t>
      </w:r>
      <w:r>
        <w:rPr>
          <w:color w:val="auto"/>
          <w:highlight w:val="none"/>
        </w:rPr>
        <w:fldChar w:fldCharType="end"/>
      </w:r>
      <w:r>
        <w:rPr>
          <w:color w:val="auto"/>
          <w:highlight w:val="none"/>
        </w:rPr>
        <w:fldChar w:fldCharType="end"/>
      </w:r>
    </w:p>
    <w:p>
      <w:pPr>
        <w:pStyle w:val="2"/>
        <w:keepNext w:val="0"/>
        <w:keepLines w:val="0"/>
        <w:pageBreakBefore/>
        <w:widowControl/>
        <w:kinsoku/>
        <w:wordWrap/>
        <w:overflowPunct/>
        <w:topLinePunct w:val="0"/>
        <w:autoSpaceDE/>
        <w:autoSpaceDN/>
        <w:bidi w:val="0"/>
        <w:adjustRightInd/>
        <w:snapToGrid/>
        <w:spacing w:before="0" w:after="0" w:afterAutospacing="0"/>
        <w:ind w:right="-57"/>
        <w:jc w:val="center"/>
        <w:textAlignment w:val="auto"/>
        <w:outlineLvl w:val="0"/>
        <w:rPr>
          <w:color w:val="auto"/>
          <w:highlight w:val="none"/>
        </w:rPr>
        <w:sectPr>
          <w:footerReference r:id="rId7" w:type="default"/>
          <w:pgSz w:w="11905" w:h="16838"/>
          <w:pgMar w:top="1417" w:right="1417" w:bottom="1417" w:left="1417" w:header="454" w:footer="567" w:gutter="0"/>
          <w:pgBorders>
            <w:top w:val="none" w:sz="0" w:space="0"/>
            <w:left w:val="none" w:sz="0" w:space="0"/>
            <w:bottom w:val="none" w:sz="0" w:space="0"/>
            <w:right w:val="none" w:sz="0" w:space="0"/>
          </w:pgBorders>
          <w:pgNumType w:fmt="decimal" w:start="1"/>
          <w:cols w:space="720" w:num="1"/>
          <w:docGrid w:linePitch="312" w:charSpace="0"/>
        </w:sectPr>
      </w:pPr>
    </w:p>
    <w:p>
      <w:pPr>
        <w:pStyle w:val="2"/>
        <w:keepNext w:val="0"/>
        <w:keepLines w:val="0"/>
        <w:pageBreakBefore/>
        <w:widowControl/>
        <w:kinsoku/>
        <w:wordWrap/>
        <w:overflowPunct/>
        <w:topLinePunct w:val="0"/>
        <w:autoSpaceDE/>
        <w:autoSpaceDN/>
        <w:bidi w:val="0"/>
        <w:adjustRightInd/>
        <w:snapToGrid/>
        <w:spacing w:before="0" w:after="0" w:afterAutospacing="0"/>
        <w:ind w:right="-57"/>
        <w:jc w:val="center"/>
        <w:textAlignment w:val="auto"/>
        <w:outlineLvl w:val="0"/>
        <w:rPr>
          <w:rStyle w:val="45"/>
          <w:rFonts w:ascii="宋体" w:hAnsi="宋体" w:eastAsia="宋体"/>
          <w:color w:val="auto"/>
          <w:highlight w:val="none"/>
        </w:rPr>
      </w:pPr>
      <w:r>
        <w:rPr>
          <w:color w:val="auto"/>
          <w:highlight w:val="none"/>
        </w:rPr>
        <w:fldChar w:fldCharType="end"/>
      </w:r>
      <w:bookmarkStart w:id="0" w:name="_Toc20876"/>
      <w:bookmarkStart w:id="1" w:name="_Toc5417_WPSOffice_Level1"/>
      <w:bookmarkStart w:id="2" w:name="_Toc26895"/>
      <w:bookmarkStart w:id="3" w:name="_Toc27109"/>
      <w:bookmarkStart w:id="4" w:name="_Toc27845_WPSOffice_Level1"/>
      <w:bookmarkStart w:id="5" w:name="_Toc31727"/>
      <w:bookmarkStart w:id="6" w:name="_Toc15006"/>
      <w:bookmarkStart w:id="7" w:name="_Toc26505"/>
      <w:bookmarkStart w:id="8" w:name="_Toc31036"/>
      <w:bookmarkStart w:id="9" w:name="_Toc10792"/>
      <w:r>
        <w:rPr>
          <w:rStyle w:val="45"/>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p>
    <w:p>
      <w:pPr>
        <w:spacing w:before="0" w:after="0" w:afterAutospacing="0"/>
        <w:ind w:right="-57"/>
        <w:jc w:val="center"/>
        <w:rPr>
          <w:rFonts w:hint="eastAsia" w:ascii="宋体" w:hAnsi="宋体"/>
          <w:b/>
          <w:color w:val="auto"/>
          <w:sz w:val="28"/>
          <w:szCs w:val="28"/>
          <w:highlight w:val="none"/>
          <w:u w:val="single"/>
          <w:lang w:eastAsia="zh-CN"/>
        </w:rPr>
      </w:pPr>
      <w:bookmarkStart w:id="10" w:name="_Toc2952_WPSOffice_Level2"/>
      <w:bookmarkStart w:id="11" w:name="_Toc19869_WPSOffice_Level2"/>
      <w:bookmarkStart w:id="12" w:name="_Toc8044_WPSOffice_Level2"/>
      <w:r>
        <w:rPr>
          <w:rFonts w:hint="eastAsia" w:ascii="宋体" w:hAnsi="宋体"/>
          <w:b/>
          <w:color w:val="auto"/>
          <w:sz w:val="28"/>
          <w:szCs w:val="28"/>
          <w:highlight w:val="none"/>
          <w:u w:val="single"/>
          <w:lang w:eastAsia="zh-CN"/>
        </w:rPr>
        <w:t>南宁轨道交通1、2、3、4号线专用通信、AFC系统故障件维修</w:t>
      </w:r>
    </w:p>
    <w:p>
      <w:pPr>
        <w:spacing w:before="0" w:after="0" w:afterAutospacing="0"/>
        <w:ind w:right="-57"/>
        <w:jc w:val="center"/>
        <w:rPr>
          <w:rFonts w:ascii="宋体" w:hAnsi="宋体"/>
          <w:b/>
          <w:color w:val="auto"/>
          <w:sz w:val="28"/>
          <w:szCs w:val="28"/>
          <w:highlight w:val="none"/>
        </w:rPr>
      </w:pPr>
      <w:r>
        <w:rPr>
          <w:rFonts w:hint="eastAsia" w:ascii="宋体" w:hAnsi="宋体"/>
          <w:b/>
          <w:color w:val="auto"/>
          <w:sz w:val="28"/>
          <w:szCs w:val="28"/>
          <w:highlight w:val="none"/>
          <w:u w:val="single"/>
          <w:lang w:eastAsia="zh-CN"/>
        </w:rPr>
        <w:t>委外服务项目（2024-2026年）</w:t>
      </w:r>
      <w:r>
        <w:rPr>
          <w:rFonts w:hint="eastAsia" w:ascii="宋体" w:hAnsi="宋体"/>
          <w:b/>
          <w:color w:val="auto"/>
          <w:sz w:val="28"/>
          <w:szCs w:val="28"/>
          <w:highlight w:val="none"/>
        </w:rPr>
        <w:t>比选</w:t>
      </w:r>
      <w:bookmarkEnd w:id="10"/>
      <w:bookmarkEnd w:id="11"/>
      <w:r>
        <w:rPr>
          <w:rFonts w:hint="eastAsia" w:ascii="宋体" w:hAnsi="宋体"/>
          <w:b/>
          <w:color w:val="auto"/>
          <w:sz w:val="28"/>
          <w:szCs w:val="28"/>
          <w:highlight w:val="none"/>
        </w:rPr>
        <w:t>公告</w:t>
      </w:r>
      <w:bookmarkEnd w:id="12"/>
    </w:p>
    <w:p>
      <w:pPr>
        <w:spacing w:before="0" w:after="0" w:afterAutospacing="0"/>
        <w:ind w:left="0" w:right="0" w:firstLine="422" w:firstLineChars="200"/>
        <w:outlineLvl w:val="1"/>
        <w:rPr>
          <w:rFonts w:ascii="宋体" w:hAnsi="宋体"/>
          <w:b/>
          <w:color w:val="auto"/>
          <w:highlight w:val="none"/>
        </w:rPr>
      </w:pPr>
      <w:bookmarkStart w:id="13" w:name="OLE_LINK4"/>
      <w:bookmarkEnd w:id="13"/>
      <w:bookmarkStart w:id="14" w:name="_Toc30414_WPSOffice_Level2"/>
      <w:bookmarkStart w:id="15" w:name="_Toc27047_WPSOffice_Level2"/>
      <w:bookmarkStart w:id="16" w:name="_Toc29061_WPSOffice_Level2"/>
      <w:r>
        <w:rPr>
          <w:rFonts w:hint="eastAsia" w:ascii="宋体" w:hAnsi="宋体"/>
          <w:b/>
          <w:color w:val="auto"/>
          <w:highlight w:val="none"/>
        </w:rPr>
        <w:t>1.比选条件</w:t>
      </w:r>
      <w:bookmarkEnd w:id="14"/>
      <w:bookmarkEnd w:id="15"/>
      <w:bookmarkEnd w:id="1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lang w:eastAsia="zh-CN"/>
        </w:rPr>
        <w:t>南宁轨道交通1、2、3、4号线专用通信、AFC系统故障件维修委外服务项目（2024-2026年）</w:t>
      </w:r>
      <w:r>
        <w:rPr>
          <w:rFonts w:hint="eastAsia" w:ascii="宋体" w:hAnsi="宋体"/>
          <w:color w:val="auto"/>
          <w:highlight w:val="none"/>
          <w:u w:val="single"/>
        </w:rPr>
        <w:t>，</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17" w:name="_Toc1083_WPSOffice_Level2"/>
      <w:bookmarkStart w:id="18" w:name="_Toc4859_WPSOffice_Level2"/>
      <w:bookmarkStart w:id="19" w:name="_Toc28120_WPSOffice_Level2"/>
      <w:r>
        <w:rPr>
          <w:rFonts w:hint="eastAsia" w:ascii="宋体" w:hAnsi="宋体"/>
          <w:b/>
          <w:color w:val="auto"/>
          <w:highlight w:val="none"/>
        </w:rPr>
        <w:t>2.项目概况与比选范围</w:t>
      </w:r>
      <w:bookmarkEnd w:id="17"/>
      <w:bookmarkEnd w:id="18"/>
      <w:bookmarkEnd w:id="19"/>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lang w:eastAsia="zh-CN"/>
        </w:rPr>
        <w:t>202309210001</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lang w:eastAsia="zh-CN"/>
        </w:rPr>
        <w:t>南宁轨道交通1、2、3、4号线专用通信、AFC系统故障件维修委外服务项目（2024-2026年）</w:t>
      </w:r>
      <w:r>
        <w:rPr>
          <w:rFonts w:hint="eastAsia" w:ascii="宋体" w:hAnsi="宋体"/>
          <w:color w:val="auto"/>
          <w:highlight w:val="none"/>
          <w:u w:val="singl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eastAsia="宋体"/>
          <w:color w:val="auto"/>
          <w:highlight w:val="none"/>
        </w:rPr>
        <w:t>上限控制价：</w:t>
      </w:r>
      <w:r>
        <w:rPr>
          <w:rFonts w:hint="eastAsia" w:ascii="宋体" w:hAnsi="宋体"/>
          <w:color w:val="auto"/>
          <w:highlight w:val="none"/>
        </w:rPr>
        <w:t>本项目</w:t>
      </w:r>
      <w:r>
        <w:rPr>
          <w:rFonts w:hint="eastAsia" w:ascii="宋体" w:hAnsi="宋体"/>
          <w:color w:val="auto"/>
          <w:highlight w:val="none"/>
          <w:lang w:val="en-US" w:eastAsia="zh-CN"/>
        </w:rPr>
        <w:t>不</w:t>
      </w:r>
      <w:r>
        <w:rPr>
          <w:rFonts w:hint="eastAsia" w:ascii="宋体" w:hAnsi="宋体"/>
          <w:color w:val="auto"/>
          <w:highlight w:val="none"/>
        </w:rPr>
        <w:t>含税上限控制价为人民币</w:t>
      </w:r>
      <w:r>
        <w:rPr>
          <w:rFonts w:hint="eastAsia" w:ascii="宋体" w:hAnsi="宋体"/>
          <w:color w:val="auto"/>
          <w:highlight w:val="none"/>
          <w:lang w:eastAsia="zh-CN"/>
        </w:rPr>
        <w:t>442</w:t>
      </w:r>
      <w:r>
        <w:rPr>
          <w:rFonts w:hint="eastAsia" w:ascii="宋体" w:hAnsi="宋体"/>
          <w:color w:val="auto"/>
          <w:highlight w:val="none"/>
          <w:lang w:val="en-US" w:eastAsia="zh-CN"/>
        </w:rPr>
        <w:t>000.00</w:t>
      </w:r>
      <w:r>
        <w:rPr>
          <w:rFonts w:hint="eastAsia" w:ascii="宋体" w:hAnsi="宋体"/>
          <w:color w:val="auto"/>
          <w:highlight w:val="none"/>
        </w:rPr>
        <w:t>元。本项目设置分项控制价，具体详见比选文件第七章比选控制价中的比选上限控制价单价一览表。比选总报价高于比选控制价或比选单价高于比选控制单价的比选文件将按否决投标处理。</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服务期：</w:t>
      </w:r>
      <w:r>
        <w:rPr>
          <w:rFonts w:hint="eastAsia" w:ascii="宋体" w:hAnsi="宋体"/>
          <w:color w:val="auto"/>
          <w:highlight w:val="none"/>
          <w:u w:val="single"/>
        </w:rPr>
        <w:t>本项目计划服务期为2年（自合同签订之日起开始计算24个月）</w:t>
      </w:r>
      <w:r>
        <w:rPr>
          <w:rFonts w:hint="eastAsia" w:ascii="宋体" w:hAnsi="宋体"/>
          <w:color w:val="auto"/>
          <w:highlight w:val="none"/>
          <w:u w:val="single"/>
          <w:lang w:eastAsia="zh-CN"/>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u w:val="single"/>
        </w:rPr>
        <w:t>无。</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lang w:eastAsia="zh-CN"/>
        </w:rPr>
        <w:t>南宁轨道交通1、2、3、4号线专用通信、AFC系统故障件共计约51项158件故障件的维修及修后质保服务工作。故障件的维修包含故障件的包装、运输、检测、维修，修复件的出厂检验、运输、软硬件的调试及质保期内出现故障免费维修等。</w:t>
      </w:r>
      <w:r>
        <w:rPr>
          <w:rFonts w:hint="eastAsia" w:ascii="宋体" w:hAnsi="宋体"/>
          <w:color w:val="auto"/>
          <w:highlight w:val="none"/>
        </w:rPr>
        <w:t>具体详见用户需求书。</w:t>
      </w:r>
    </w:p>
    <w:p>
      <w:pPr>
        <w:spacing w:before="0" w:after="0" w:afterAutospacing="0"/>
        <w:ind w:left="0" w:right="0" w:firstLine="422" w:firstLineChars="200"/>
        <w:outlineLvl w:val="1"/>
        <w:rPr>
          <w:rFonts w:ascii="宋体" w:hAnsi="宋体"/>
          <w:color w:val="auto"/>
          <w:highlight w:val="none"/>
        </w:rPr>
      </w:pPr>
      <w:bookmarkStart w:id="20" w:name="_Toc24475_WPSOffice_Level2"/>
      <w:bookmarkStart w:id="21" w:name="_Toc18657_WPSOffice_Level2"/>
      <w:bookmarkStart w:id="22" w:name="_Toc16438_WPSOffice_Level2"/>
      <w:r>
        <w:rPr>
          <w:rFonts w:hint="eastAsia" w:ascii="宋体" w:hAnsi="宋体"/>
          <w:b/>
          <w:color w:val="auto"/>
          <w:highlight w:val="none"/>
        </w:rPr>
        <w:t>3.比选申请人资格要求</w:t>
      </w:r>
      <w:bookmarkEnd w:id="20"/>
      <w:bookmarkEnd w:id="21"/>
      <w:bookmarkEnd w:id="22"/>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3</w:t>
      </w:r>
      <w:r>
        <w:rPr>
          <w:rFonts w:hint="eastAsia" w:ascii="宋体" w:hAnsi="宋体"/>
          <w:color w:val="auto"/>
          <w:highlight w:val="none"/>
        </w:rPr>
        <w:t xml:space="preserve">.1 </w:t>
      </w:r>
      <w:r>
        <w:rPr>
          <w:rFonts w:hint="eastAsia" w:ascii="宋体" w:hAnsi="宋体"/>
          <w:color w:val="auto"/>
          <w:highlight w:val="none"/>
          <w:lang w:eastAsia="zh-CN"/>
        </w:rPr>
        <w:t>比选申请人</w:t>
      </w:r>
      <w:r>
        <w:rPr>
          <w:rFonts w:hint="eastAsia" w:ascii="宋体" w:hAnsi="宋体"/>
          <w:color w:val="auto"/>
          <w:highlight w:val="none"/>
        </w:rPr>
        <w:t>为中华人民共和国境内依法设立的法人或其他组织。</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3</w:t>
      </w:r>
      <w:r>
        <w:rPr>
          <w:rFonts w:hint="eastAsia" w:ascii="宋体" w:hAnsi="宋体"/>
          <w:color w:val="auto"/>
          <w:highlight w:val="none"/>
        </w:rPr>
        <w:t xml:space="preserve">.2 </w:t>
      </w:r>
      <w:r>
        <w:rPr>
          <w:rFonts w:hint="eastAsia" w:ascii="宋体" w:hAnsi="宋体"/>
          <w:color w:val="auto"/>
          <w:highlight w:val="none"/>
          <w:lang w:eastAsia="zh-CN"/>
        </w:rPr>
        <w:t>比选申请人</w:t>
      </w:r>
      <w:r>
        <w:rPr>
          <w:rFonts w:hint="eastAsia" w:ascii="宋体" w:hAnsi="宋体"/>
          <w:color w:val="auto"/>
          <w:highlight w:val="none"/>
        </w:rPr>
        <w:t>自2019年1月1日至截标时间前至少承接过1项合同金额不低于20万的轨道交通通信或自动售检故障件维修项目，并提供项目业绩证明材料。（业绩证明材料为合同，业绩证明材料中须体现出合同双方、合同签订时间、合同服务、合同金额等内容。）。</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3</w:t>
      </w:r>
      <w:r>
        <w:rPr>
          <w:rFonts w:hint="eastAsia" w:ascii="宋体" w:hAnsi="宋体"/>
          <w:color w:val="auto"/>
          <w:highlight w:val="none"/>
        </w:rPr>
        <w:t xml:space="preserve">.3 </w:t>
      </w:r>
      <w:r>
        <w:rPr>
          <w:rFonts w:hint="eastAsia" w:ascii="宋体" w:hAnsi="宋体"/>
          <w:color w:val="auto"/>
          <w:highlight w:val="none"/>
          <w:lang w:eastAsia="zh-CN"/>
        </w:rPr>
        <w:t>比选申请人</w:t>
      </w:r>
      <w:r>
        <w:rPr>
          <w:rFonts w:hint="eastAsia" w:ascii="宋体" w:hAnsi="宋体"/>
          <w:color w:val="auto"/>
          <w:highlight w:val="none"/>
        </w:rPr>
        <w:t>没有处于行政主管部门或业主取消投标资格的处罚期内，且没有被责令停业，财产被接管，破产状态；在投标截止时间前3年内没有骗取中标、严重违约或重大质量安全责任事故的情况。</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3</w:t>
      </w:r>
      <w:r>
        <w:rPr>
          <w:rFonts w:hint="eastAsia" w:ascii="宋体" w:hAnsi="宋体"/>
          <w:color w:val="auto"/>
          <w:highlight w:val="none"/>
        </w:rPr>
        <w:t>.4 单位负责人为同一人或者存在控股、管理关系的不同单位，不得参加同一标段投标或者未划分标段的同一招标项目投标。</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3</w:t>
      </w:r>
      <w:r>
        <w:rPr>
          <w:rFonts w:hint="eastAsia" w:ascii="宋体" w:hAnsi="宋体"/>
          <w:color w:val="auto"/>
          <w:highlight w:val="none"/>
        </w:rPr>
        <w:t>.5 本项目不接受联合体投标。</w:t>
      </w:r>
    </w:p>
    <w:p>
      <w:pPr>
        <w:spacing w:before="0" w:after="0" w:afterAutospacing="0"/>
        <w:ind w:left="0" w:right="0" w:firstLine="422" w:firstLineChars="200"/>
        <w:outlineLvl w:val="1"/>
        <w:rPr>
          <w:rFonts w:ascii="宋体" w:hAnsi="宋体"/>
          <w:b/>
          <w:color w:val="auto"/>
          <w:highlight w:val="none"/>
        </w:rPr>
      </w:pPr>
      <w:bookmarkStart w:id="23" w:name="_Toc9429_WPSOffice_Level2"/>
      <w:bookmarkStart w:id="24" w:name="_Toc23643_WPSOffice_Level2"/>
      <w:bookmarkStart w:id="25" w:name="_Toc21899_WPSOffice_Level2"/>
      <w:r>
        <w:rPr>
          <w:rFonts w:hint="eastAsia" w:ascii="宋体" w:hAnsi="宋体"/>
          <w:b/>
          <w:color w:val="auto"/>
          <w:highlight w:val="none"/>
        </w:rPr>
        <w:t>4.资格审查方式</w:t>
      </w:r>
      <w:bookmarkEnd w:id="23"/>
      <w:bookmarkEnd w:id="24"/>
      <w:bookmarkEnd w:id="2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26" w:name="_Toc17692_WPSOffice_Level2"/>
      <w:bookmarkStart w:id="27" w:name="_Toc2287_WPSOffice_Level2"/>
      <w:bookmarkStart w:id="28" w:name="_Toc1286_WPSOffice_Level2"/>
      <w:r>
        <w:rPr>
          <w:rFonts w:hint="eastAsia" w:ascii="宋体" w:hAnsi="宋体"/>
          <w:b/>
          <w:color w:val="auto"/>
          <w:highlight w:val="none"/>
        </w:rPr>
        <w:t>5.比选文件的获取</w:t>
      </w:r>
      <w:bookmarkEnd w:id="26"/>
      <w:bookmarkEnd w:id="27"/>
      <w:bookmarkEnd w:id="28"/>
    </w:p>
    <w:p>
      <w:pPr>
        <w:spacing w:before="0" w:after="0" w:afterAutospacing="0"/>
        <w:ind w:left="0" w:right="0" w:firstLine="420" w:firstLineChars="200"/>
        <w:outlineLvl w:val="2"/>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29" w:name="_Toc2694_WPSOffice_Level2"/>
      <w:bookmarkStart w:id="30" w:name="_Toc322_WPSOffice_Level2"/>
      <w:bookmarkStart w:id="31" w:name="_Toc2812_WPSOffice_Level2"/>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29"/>
      <w:bookmarkEnd w:id="30"/>
      <w:bookmarkEnd w:id="3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202</w:t>
      </w:r>
      <w:r>
        <w:rPr>
          <w:rFonts w:hint="eastAsia" w:ascii="宋体" w:hAnsi="宋体"/>
          <w:color w:val="auto"/>
          <w:highlight w:val="none"/>
          <w:u w:val="single"/>
          <w:lang w:val="en-US" w:eastAsia="zh-CN"/>
        </w:rPr>
        <w:t>3</w:t>
      </w:r>
      <w:r>
        <w:rPr>
          <w:rFonts w:hint="eastAsia" w:ascii="宋体" w:hAnsi="宋体"/>
          <w:color w:val="auto"/>
          <w:highlight w:val="none"/>
        </w:rPr>
        <w:t>年</w:t>
      </w:r>
      <w:r>
        <w:rPr>
          <w:rFonts w:hint="eastAsia" w:ascii="宋体" w:hAnsi="宋体"/>
          <w:color w:val="auto"/>
          <w:highlight w:val="none"/>
          <w:u w:val="single"/>
          <w:lang w:val="en-US" w:eastAsia="zh-CN"/>
        </w:rPr>
        <w:t xml:space="preserve">12 </w:t>
      </w:r>
      <w:r>
        <w:rPr>
          <w:rFonts w:hint="eastAsia" w:ascii="宋体" w:hAnsi="宋体"/>
          <w:color w:val="auto"/>
          <w:highlight w:val="none"/>
        </w:rPr>
        <w:t>月</w:t>
      </w:r>
      <w:r>
        <w:rPr>
          <w:rFonts w:hint="eastAsia" w:ascii="宋体" w:hAnsi="宋体"/>
          <w:color w:val="auto"/>
          <w:highlight w:val="none"/>
          <w:u w:val="single"/>
          <w:lang w:val="en-US" w:eastAsia="zh-CN"/>
        </w:rPr>
        <w:t xml:space="preserve">29 </w:t>
      </w:r>
      <w:r>
        <w:rPr>
          <w:rFonts w:hint="eastAsia" w:ascii="宋体" w:hAnsi="宋体"/>
          <w:color w:val="auto"/>
          <w:highlight w:val="none"/>
        </w:rPr>
        <w:t>日</w:t>
      </w:r>
      <w:r>
        <w:rPr>
          <w:rFonts w:hint="eastAsia" w:ascii="宋体" w:hAnsi="宋体"/>
          <w:color w:val="auto"/>
          <w:highlight w:val="none"/>
          <w:u w:val="single"/>
          <w:lang w:val="en-US" w:eastAsia="zh-CN"/>
        </w:rPr>
        <w:t xml:space="preserve">14 </w:t>
      </w:r>
      <w:r>
        <w:rPr>
          <w:rFonts w:hint="eastAsia" w:ascii="宋体" w:hAnsi="宋体"/>
          <w:color w:val="auto"/>
          <w:highlight w:val="none"/>
        </w:rPr>
        <w:t>时</w:t>
      </w:r>
      <w:r>
        <w:rPr>
          <w:rFonts w:hint="eastAsia" w:ascii="宋体" w:hAnsi="宋体"/>
          <w:color w:val="auto"/>
          <w:highlight w:val="none"/>
          <w:u w:val="single"/>
          <w:lang w:val="en-US" w:eastAsia="zh-CN"/>
        </w:rPr>
        <w:t xml:space="preserve"> 30</w:t>
      </w:r>
      <w:r>
        <w:rPr>
          <w:rFonts w:hint="eastAsia" w:ascii="宋体" w:hAnsi="宋体"/>
          <w:color w:val="auto"/>
          <w:highlight w:val="none"/>
        </w:rPr>
        <w:t>分</w:t>
      </w:r>
      <w:r>
        <w:rPr>
          <w:rFonts w:hint="eastAsia" w:ascii="宋体" w:hAnsi="宋体"/>
          <w:color w:val="auto"/>
          <w:highlight w:val="none"/>
          <w:lang w:val="en-US" w:eastAsia="zh-CN"/>
        </w:rPr>
        <w:t>-</w:t>
      </w:r>
      <w:r>
        <w:rPr>
          <w:rFonts w:hint="eastAsia" w:ascii="宋体" w:hAnsi="宋体"/>
          <w:color w:val="auto"/>
          <w:highlight w:val="none"/>
          <w:u w:val="single"/>
          <w:lang w:val="en-US" w:eastAsia="zh-CN"/>
        </w:rPr>
        <w:t xml:space="preserve">15 </w:t>
      </w:r>
      <w:r>
        <w:rPr>
          <w:rFonts w:hint="eastAsia" w:ascii="宋体" w:hAnsi="宋体"/>
          <w:color w:val="auto"/>
          <w:highlight w:val="none"/>
        </w:rPr>
        <w:t>时</w:t>
      </w:r>
      <w:r>
        <w:rPr>
          <w:rFonts w:hint="eastAsia" w:ascii="宋体" w:hAnsi="宋体"/>
          <w:color w:val="auto"/>
          <w:highlight w:val="none"/>
          <w:u w:val="single"/>
          <w:lang w:val="en-US" w:eastAsia="zh-CN"/>
        </w:rPr>
        <w:t xml:space="preserve"> 00 </w:t>
      </w:r>
      <w:r>
        <w:rPr>
          <w:rFonts w:hint="eastAsia" w:ascii="宋体" w:hAnsi="宋体"/>
          <w:color w:val="auto"/>
          <w:highlight w:val="none"/>
        </w:rPr>
        <w:t>分（北京时间）递交，递交地点在广西南宁市青秀区云景路83号</w:t>
      </w:r>
      <w:r>
        <w:rPr>
          <w:rFonts w:hint="eastAsia" w:ascii="宋体" w:hAnsi="宋体"/>
          <w:color w:val="auto"/>
          <w:highlight w:val="none"/>
          <w:lang w:val="en-US" w:eastAsia="zh-CN"/>
        </w:rPr>
        <w:t>屯里车辆段</w:t>
      </w:r>
      <w:r>
        <w:rPr>
          <w:rFonts w:hint="eastAsia" w:ascii="宋体" w:hAnsi="宋体"/>
          <w:color w:val="auto"/>
          <w:highlight w:val="none"/>
        </w:rPr>
        <w:t>综合楼</w:t>
      </w:r>
      <w:r>
        <w:rPr>
          <w:rFonts w:hint="eastAsia" w:ascii="宋体" w:hAnsi="宋体"/>
          <w:color w:val="auto"/>
          <w:highlight w:val="none"/>
          <w:u w:val="single"/>
        </w:rPr>
        <w:t>205</w:t>
      </w:r>
      <w:r>
        <w:rPr>
          <w:rFonts w:hint="eastAsia" w:ascii="宋体" w:hAnsi="宋体"/>
          <w:color w:val="auto"/>
          <w:highlight w:val="none"/>
        </w:rPr>
        <w:t>会议室。</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32" w:name="_Toc15329_WPSOffice_Level2"/>
      <w:bookmarkStart w:id="33" w:name="_Toc4267_WPSOffice_Level2"/>
      <w:bookmarkStart w:id="34" w:name="_Toc28883_WPSOffice_Level2"/>
      <w:r>
        <w:rPr>
          <w:rFonts w:hint="eastAsia" w:ascii="宋体" w:hAnsi="宋体"/>
          <w:b/>
          <w:color w:val="auto"/>
          <w:highlight w:val="none"/>
        </w:rPr>
        <w:t>7.发布公告的媒介</w:t>
      </w:r>
      <w:bookmarkEnd w:id="32"/>
      <w:bookmarkEnd w:id="33"/>
      <w:bookmarkEnd w:id="3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color w:val="auto"/>
          <w:highlight w:val="none"/>
        </w:rPr>
      </w:pPr>
      <w:bookmarkStart w:id="35" w:name="_Toc1350_WPSOffice_Level2"/>
      <w:bookmarkStart w:id="36" w:name="_Toc748_WPSOffice_Level2"/>
      <w:bookmarkStart w:id="37" w:name="_Toc22743_WPSOffice_Level2"/>
      <w:r>
        <w:rPr>
          <w:rFonts w:hint="eastAsia" w:ascii="宋体" w:hAnsi="宋体"/>
          <w:b/>
          <w:color w:val="auto"/>
          <w:highlight w:val="none"/>
        </w:rPr>
        <w:t>8.联系方式</w:t>
      </w:r>
      <w:bookmarkEnd w:id="35"/>
      <w:bookmarkEnd w:id="36"/>
      <w:bookmarkEnd w:id="37"/>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 人：南宁轨道交通运营有限公司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地    址：广西南宁市青秀区云景路83号</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邮    编：530000</w:t>
      </w:r>
    </w:p>
    <w:p>
      <w:pPr>
        <w:pStyle w:val="30"/>
        <w:ind w:left="0" w:leftChars="0"/>
        <w:rPr>
          <w:rFonts w:ascii="宋体" w:hAnsi="宋体" w:eastAsia="宋体"/>
          <w:color w:val="auto"/>
          <w:sz w:val="21"/>
          <w:highlight w:val="none"/>
        </w:rPr>
      </w:pPr>
      <w:r>
        <w:rPr>
          <w:rFonts w:hint="eastAsia" w:ascii="宋体" w:hAnsi="宋体" w:eastAsia="宋体"/>
          <w:color w:val="auto"/>
          <w:sz w:val="21"/>
          <w:highlight w:val="none"/>
        </w:rPr>
        <w:t>联 系 人：</w:t>
      </w:r>
      <w:r>
        <w:rPr>
          <w:rFonts w:hint="eastAsia" w:ascii="宋体" w:hAnsi="宋体" w:eastAsia="宋体"/>
          <w:color w:val="auto"/>
          <w:sz w:val="21"/>
          <w:highlight w:val="none"/>
          <w:lang w:val="en-US" w:eastAsia="zh-CN"/>
        </w:rPr>
        <w:t>林</w:t>
      </w:r>
      <w:r>
        <w:rPr>
          <w:rFonts w:hint="eastAsia" w:ascii="宋体" w:hAnsi="宋体" w:eastAsia="宋体"/>
          <w:color w:val="auto"/>
          <w:sz w:val="21"/>
          <w:highlight w:val="none"/>
        </w:rPr>
        <w:t>工、羊工</w:t>
      </w:r>
    </w:p>
    <w:p>
      <w:pPr>
        <w:pStyle w:val="30"/>
        <w:ind w:left="0" w:leftChars="0"/>
        <w:rPr>
          <w:rFonts w:ascii="宋体" w:hAnsi="宋体" w:eastAsia="宋体"/>
          <w:color w:val="auto"/>
          <w:sz w:val="21"/>
          <w:highlight w:val="none"/>
        </w:rPr>
      </w:pPr>
      <w:r>
        <w:rPr>
          <w:rFonts w:hint="eastAsia" w:ascii="宋体" w:hAnsi="宋体" w:eastAsia="宋体"/>
          <w:color w:val="auto"/>
          <w:sz w:val="21"/>
          <w:highlight w:val="none"/>
        </w:rPr>
        <w:t>电    话：0771-2778</w:t>
      </w:r>
      <w:r>
        <w:rPr>
          <w:rFonts w:hint="eastAsia" w:ascii="宋体" w:hAnsi="宋体" w:eastAsia="宋体"/>
          <w:color w:val="auto"/>
          <w:sz w:val="21"/>
          <w:highlight w:val="none"/>
          <w:lang w:val="en-US" w:eastAsia="zh-CN"/>
        </w:rPr>
        <w:t>976</w:t>
      </w:r>
      <w:r>
        <w:rPr>
          <w:rFonts w:hint="eastAsia" w:ascii="宋体" w:hAnsi="宋体" w:eastAsia="宋体"/>
          <w:color w:val="auto"/>
          <w:sz w:val="21"/>
          <w:highlight w:val="none"/>
        </w:rPr>
        <w:t>、0771-2778624</w:t>
      </w:r>
    </w:p>
    <w:p>
      <w:pPr>
        <w:pStyle w:val="30"/>
        <w:ind w:left="0" w:leftChars="0"/>
        <w:rPr>
          <w:rFonts w:ascii="宋体" w:hAnsi="宋体" w:eastAsia="宋体"/>
          <w:color w:val="auto"/>
          <w:sz w:val="21"/>
          <w:highlight w:val="none"/>
        </w:rPr>
      </w:pPr>
      <w:r>
        <w:rPr>
          <w:rFonts w:hint="eastAsia" w:ascii="宋体" w:hAnsi="宋体" w:eastAsia="宋体"/>
          <w:color w:val="auto"/>
          <w:sz w:val="21"/>
          <w:highlight w:val="none"/>
        </w:rPr>
        <w:t>纪检监察电话：</w:t>
      </w:r>
      <w:r>
        <w:rPr>
          <w:rFonts w:hint="eastAsia" w:ascii="宋体" w:hAnsi="宋体" w:eastAsia="宋体"/>
          <w:color w:val="auto"/>
          <w:sz w:val="21"/>
          <w:highlight w:val="none"/>
          <w:u w:val="single"/>
        </w:rPr>
        <w:t xml:space="preserve">    0771-2778084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5"/>
          <w:rFonts w:ascii="宋体" w:hAnsi="宋体" w:eastAsia="宋体"/>
          <w:color w:val="auto"/>
          <w:highlight w:val="none"/>
        </w:rPr>
      </w:pPr>
      <w:bookmarkStart w:id="38" w:name="_Toc322528192"/>
      <w:bookmarkEnd w:id="38"/>
      <w:bookmarkStart w:id="39" w:name="_Toc512357502"/>
      <w:bookmarkStart w:id="40" w:name="_Toc20201"/>
      <w:bookmarkStart w:id="41" w:name="_Toc3495"/>
      <w:bookmarkStart w:id="42" w:name="_Toc29836"/>
      <w:bookmarkStart w:id="43" w:name="_Toc1835"/>
      <w:bookmarkStart w:id="44" w:name="_Toc31251"/>
      <w:bookmarkStart w:id="45" w:name="_Toc26108"/>
      <w:bookmarkStart w:id="46" w:name="_Toc22273"/>
      <w:bookmarkStart w:id="47" w:name="_Toc30883"/>
      <w:bookmarkStart w:id="48" w:name="_Toc15976"/>
      <w:bookmarkStart w:id="49" w:name="_Toc25750589"/>
      <w:bookmarkStart w:id="50" w:name="_Toc19869_WPSOffice_Level1"/>
      <w:bookmarkStart w:id="51" w:name="_Toc16290"/>
      <w:bookmarkStart w:id="52" w:name="_Toc12635"/>
      <w:bookmarkStart w:id="53" w:name="_Toc21830"/>
      <w:bookmarkStart w:id="54" w:name="_Toc1230"/>
      <w:bookmarkStart w:id="55" w:name="_Toc24390"/>
      <w:bookmarkStart w:id="56" w:name="_Toc17520"/>
      <w:bookmarkStart w:id="57" w:name="_Toc3512"/>
      <w:bookmarkStart w:id="58" w:name="_Toc31802"/>
      <w:bookmarkStart w:id="59" w:name="_Toc17240"/>
      <w:bookmarkStart w:id="60" w:name="_Toc140_WPSOffice_Level1"/>
      <w:bookmarkStart w:id="61" w:name="_Toc17735"/>
      <w:bookmarkStart w:id="62" w:name="_Toc30950"/>
      <w:bookmarkStart w:id="63" w:name="_Toc10203"/>
      <w:bookmarkStart w:id="64" w:name="_Toc24972"/>
      <w:bookmarkStart w:id="65" w:name="_Toc30725"/>
      <w:bookmarkStart w:id="66" w:name="_Toc18454"/>
      <w:bookmarkStart w:id="67" w:name="_Toc1052"/>
      <w:bookmarkStart w:id="68" w:name="_Toc17594"/>
      <w:r>
        <w:rPr>
          <w:rStyle w:val="45"/>
          <w:rFonts w:hint="eastAsia" w:ascii="宋体" w:hAnsi="宋体" w:eastAsia="宋体"/>
          <w:color w:val="auto"/>
          <w:highlight w:val="none"/>
        </w:rPr>
        <w:t>第二章</w:t>
      </w:r>
      <w:bookmarkEnd w:id="39"/>
      <w:r>
        <w:rPr>
          <w:rStyle w:val="45"/>
          <w:rFonts w:hint="eastAsia" w:ascii="宋体" w:hAnsi="宋体" w:eastAsia="宋体"/>
          <w:color w:val="auto"/>
          <w:highlight w:val="none"/>
        </w:rPr>
        <w:t>比选申请须知</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2"/>
        <w:spacing w:before="0" w:after="0"/>
        <w:ind w:right="0" w:firstLine="0"/>
        <w:jc w:val="center"/>
        <w:rPr>
          <w:rFonts w:hAnsi="宋体"/>
          <w:b/>
          <w:color w:val="auto"/>
          <w:sz w:val="30"/>
          <w:szCs w:val="30"/>
          <w:highlight w:val="none"/>
        </w:rPr>
      </w:pPr>
      <w:bookmarkStart w:id="69" w:name="_Toc11946_WPSOffice_Level2"/>
      <w:bookmarkStart w:id="70" w:name="_Toc3448_WPSOffice_Level2"/>
      <w:r>
        <w:rPr>
          <w:rFonts w:hint="eastAsia" w:hAnsi="宋体"/>
          <w:b/>
          <w:color w:val="auto"/>
          <w:sz w:val="30"/>
          <w:szCs w:val="30"/>
          <w:highlight w:val="none"/>
        </w:rPr>
        <w:t>比选申请须知前附表</w:t>
      </w:r>
      <w:bookmarkEnd w:id="69"/>
      <w:bookmarkEnd w:id="70"/>
    </w:p>
    <w:tbl>
      <w:tblPr>
        <w:tblStyle w:val="31"/>
        <w:tblW w:w="9117" w:type="dxa"/>
        <w:tblInd w:w="112" w:type="dxa"/>
        <w:tblLayout w:type="fixed"/>
        <w:tblCellMar>
          <w:top w:w="0" w:type="dxa"/>
          <w:left w:w="108" w:type="dxa"/>
          <w:bottom w:w="0" w:type="dxa"/>
          <w:right w:w="108" w:type="dxa"/>
        </w:tblCellMar>
      </w:tblPr>
      <w:tblGrid>
        <w:gridCol w:w="902"/>
        <w:gridCol w:w="1290"/>
        <w:gridCol w:w="6925"/>
      </w:tblGrid>
      <w:tr>
        <w:tblPrEx>
          <w:tblCellMar>
            <w:top w:w="0" w:type="dxa"/>
            <w:left w:w="108" w:type="dxa"/>
            <w:bottom w:w="0" w:type="dxa"/>
            <w:right w:w="108" w:type="dxa"/>
          </w:tblCellMar>
        </w:tblPrEx>
        <w:trPr>
          <w:trHeight w:val="27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1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名称：南宁轨道交通运营有限公司</w:t>
            </w:r>
          </w:p>
          <w:p>
            <w:pPr>
              <w:spacing w:before="0" w:after="0" w:afterAutospacing="0"/>
              <w:ind w:left="0" w:right="0" w:firstLine="0"/>
              <w:rPr>
                <w:color w:val="auto"/>
                <w:highlight w:val="none"/>
              </w:rPr>
            </w:pPr>
            <w:r>
              <w:rPr>
                <w:rFonts w:hint="eastAsia"/>
                <w:color w:val="auto"/>
                <w:highlight w:val="none"/>
              </w:rPr>
              <w:t>地址：广西南宁市青秀区云景路83号</w:t>
            </w:r>
          </w:p>
          <w:p>
            <w:pPr>
              <w:spacing w:before="0" w:after="0" w:afterAutospacing="0"/>
              <w:ind w:left="0" w:right="0" w:firstLine="0"/>
              <w:rPr>
                <w:color w:val="auto"/>
                <w:highlight w:val="none"/>
              </w:rPr>
            </w:pPr>
            <w:r>
              <w:rPr>
                <w:color w:val="auto"/>
                <w:highlight w:val="none"/>
              </w:rPr>
              <w:t>联系人：</w:t>
            </w:r>
            <w:r>
              <w:rPr>
                <w:rFonts w:hint="eastAsia"/>
                <w:color w:val="auto"/>
                <w:highlight w:val="none"/>
                <w:lang w:val="en-US" w:eastAsia="zh-CN"/>
              </w:rPr>
              <w:t>林</w:t>
            </w:r>
            <w:r>
              <w:rPr>
                <w:color w:val="auto"/>
                <w:highlight w:val="none"/>
              </w:rPr>
              <w:t>工、羊工</w:t>
            </w:r>
          </w:p>
          <w:p>
            <w:pPr>
              <w:spacing w:before="0" w:after="0" w:afterAutospacing="0"/>
              <w:ind w:left="0" w:right="0" w:firstLine="0"/>
              <w:rPr>
                <w:color w:val="auto"/>
                <w:highlight w:val="none"/>
              </w:rPr>
            </w:pPr>
            <w:r>
              <w:rPr>
                <w:color w:val="auto"/>
                <w:highlight w:val="none"/>
              </w:rPr>
              <w:t>电话：</w:t>
            </w:r>
            <w:r>
              <w:rPr>
                <w:rFonts w:hint="eastAsia" w:ascii="宋体" w:hAnsi="宋体" w:eastAsia="宋体"/>
                <w:color w:val="auto"/>
                <w:sz w:val="21"/>
                <w:highlight w:val="none"/>
              </w:rPr>
              <w:t>0771-2778</w:t>
            </w:r>
            <w:r>
              <w:rPr>
                <w:rFonts w:hint="eastAsia" w:ascii="宋体" w:hAnsi="宋体" w:eastAsia="宋体"/>
                <w:color w:val="auto"/>
                <w:sz w:val="21"/>
                <w:highlight w:val="none"/>
                <w:lang w:val="en-US" w:eastAsia="zh-CN"/>
              </w:rPr>
              <w:t>976</w:t>
            </w:r>
            <w:r>
              <w:rPr>
                <w:color w:val="auto"/>
                <w:highlight w:val="none"/>
              </w:rPr>
              <w:t>、0771-2778624</w:t>
            </w:r>
          </w:p>
          <w:p>
            <w:pPr>
              <w:spacing w:before="0" w:after="0" w:afterAutospacing="0"/>
              <w:ind w:left="0" w:right="0" w:firstLine="0"/>
              <w:rPr>
                <w:color w:val="auto"/>
                <w:highlight w:val="none"/>
              </w:rPr>
            </w:pPr>
            <w:r>
              <w:rPr>
                <w:color w:val="auto"/>
                <w:highlight w:val="none"/>
              </w:rPr>
              <w:t xml:space="preserve">纪检监察电话：0771-2778084       </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南宁轨道交通1、2、3、4号线专用通信、AFC系统故障件维修委外服务项目（2024-2026年）</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202309210001</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lang w:eastAsia="zh-CN"/>
              </w:rPr>
              <w:t>南宁轨道交通1、2、3、4号线专用通信、AFC系统故障件共计约51项158件故障件的维修及修后质保服务工作，故障件的维修包含故障件的包装、运输、检测、维修，修复件的出厂检验、运输、软硬件的调试及质保期内出现故障免费维修等。</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9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服务期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本项目计划服务期为2年（自合同签订之日起开始计算24个月）</w:t>
            </w:r>
          </w:p>
        </w:tc>
      </w:tr>
      <w:tr>
        <w:tblPrEx>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资金来源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企业自有资金</w:t>
            </w:r>
          </w:p>
        </w:tc>
      </w:tr>
      <w:tr>
        <w:tblPrEx>
          <w:tblCellMar>
            <w:top w:w="0" w:type="dxa"/>
            <w:left w:w="108" w:type="dxa"/>
            <w:bottom w:w="0" w:type="dxa"/>
            <w:right w:w="108" w:type="dxa"/>
          </w:tblCellMar>
        </w:tblPrEx>
        <w:trPr>
          <w:trHeight w:val="120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上限控制价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上限控制价：本项目</w:t>
            </w:r>
            <w:r>
              <w:rPr>
                <w:rFonts w:hint="eastAsia" w:ascii="宋体" w:hAnsi="宋体"/>
                <w:color w:val="auto"/>
                <w:highlight w:val="none"/>
                <w:lang w:val="en-US" w:eastAsia="zh-CN"/>
              </w:rPr>
              <w:t>不</w:t>
            </w:r>
            <w:r>
              <w:rPr>
                <w:rFonts w:hint="eastAsia" w:ascii="宋体" w:hAnsi="宋体" w:eastAsia="宋体"/>
                <w:color w:val="auto"/>
                <w:highlight w:val="none"/>
              </w:rPr>
              <w:t>含税上限控制价为人民币</w:t>
            </w:r>
            <w:r>
              <w:rPr>
                <w:rFonts w:hint="eastAsia" w:ascii="宋体" w:hAnsi="宋体"/>
                <w:color w:val="auto"/>
                <w:highlight w:val="none"/>
                <w:lang w:val="en-US" w:eastAsia="zh-CN"/>
              </w:rPr>
              <w:t>442000.00</w:t>
            </w:r>
            <w:r>
              <w:rPr>
                <w:rFonts w:hint="eastAsia" w:ascii="宋体" w:hAnsi="宋体" w:eastAsia="宋体"/>
                <w:color w:val="auto"/>
                <w:highlight w:val="none"/>
              </w:rPr>
              <w:t>元。本项目设置分项控制价，具体详见比选文件第七章比选控制价中的比选上限控制价单价一览表。比选总报价高于比选控制价或比选单价高于比选控制单价的比选文件将按否决投标处理。</w:t>
            </w:r>
          </w:p>
        </w:tc>
      </w:tr>
      <w:tr>
        <w:tblPrEx>
          <w:tblCellMar>
            <w:top w:w="0" w:type="dxa"/>
            <w:left w:w="108" w:type="dxa"/>
            <w:bottom w:w="0" w:type="dxa"/>
            <w:right w:w="108" w:type="dxa"/>
          </w:tblCellMar>
        </w:tblPrEx>
        <w:trPr>
          <w:trHeight w:val="3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）比选申请人</w:t>
            </w:r>
            <w:r>
              <w:rPr>
                <w:rFonts w:hint="eastAsia" w:ascii="宋体" w:hAnsi="宋体"/>
                <w:color w:val="auto"/>
                <w:highlight w:val="none"/>
              </w:rPr>
              <w:t>为中华人民共和国境内依法设立的法人或其他组织。</w:t>
            </w:r>
          </w:p>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）比选申请人</w:t>
            </w:r>
            <w:r>
              <w:rPr>
                <w:rFonts w:hint="eastAsia" w:ascii="宋体" w:hAnsi="宋体"/>
                <w:color w:val="auto"/>
                <w:highlight w:val="none"/>
              </w:rPr>
              <w:t>自2019年1月1日至截标时间前至少承接过1项合同金额不低于20万的轨道交通通信或自动售检故障件维修项目，并提供项目业绩证明材料。（业绩证明材料为合同，业绩证明材料中须体现出合同双方、合同签订时间、合同服务、合同金额等内容。）。</w:t>
            </w:r>
          </w:p>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）比选申请人</w:t>
            </w:r>
            <w:r>
              <w:rPr>
                <w:rFonts w:hint="eastAsia" w:ascii="宋体" w:hAnsi="宋体"/>
                <w:color w:val="auto"/>
                <w:highlight w:val="none"/>
              </w:rPr>
              <w:t>没有处于行政主管部门或业主取消投标资格的处罚期内，且没有被责令停业，财产被接管，破产状态；在投标截止时间前3年内没有骗取中标、严重违约或重大质量安全责任事故的情况。</w:t>
            </w:r>
          </w:p>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单位负责人为同一人或者存在控股、管理关系的不同单位，不得参加同一标段投标或者未划分标段的同一招标项目投标。</w:t>
            </w:r>
          </w:p>
          <w:p>
            <w:pPr>
              <w:spacing w:before="0" w:after="0" w:afterAutospacing="0"/>
              <w:ind w:left="0" w:right="0" w:firstLine="0"/>
              <w:rPr>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color w:val="auto"/>
                <w:highlight w:val="none"/>
              </w:rPr>
              <w:t>本项目不接受联合体投标。</w:t>
            </w:r>
          </w:p>
        </w:tc>
      </w:tr>
      <w:tr>
        <w:tblPrEx>
          <w:tblCellMar>
            <w:top w:w="0" w:type="dxa"/>
            <w:left w:w="108" w:type="dxa"/>
            <w:bottom w:w="0" w:type="dxa"/>
            <w:right w:w="108" w:type="dxa"/>
          </w:tblCellMar>
        </w:tblPrEx>
        <w:trPr>
          <w:trHeight w:val="241"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202</w:t>
            </w:r>
            <w:r>
              <w:rPr>
                <w:rFonts w:hint="eastAsia" w:ascii="宋体" w:hAnsi="宋体"/>
                <w:color w:val="auto"/>
                <w:highlight w:val="none"/>
                <w:u w:val="single"/>
                <w:lang w:val="en-US" w:eastAsia="zh-CN"/>
              </w:rPr>
              <w:t>3</w:t>
            </w:r>
            <w:r>
              <w:rPr>
                <w:rFonts w:hint="eastAsia" w:ascii="宋体" w:hAnsi="宋体"/>
                <w:color w:val="auto"/>
                <w:highlight w:val="none"/>
              </w:rPr>
              <w:t>年</w:t>
            </w:r>
            <w:r>
              <w:rPr>
                <w:rFonts w:hint="eastAsia" w:ascii="宋体" w:hAnsi="宋体"/>
                <w:color w:val="auto"/>
                <w:highlight w:val="none"/>
                <w:u w:val="single"/>
                <w:lang w:val="en-US" w:eastAsia="zh-CN"/>
              </w:rPr>
              <w:t>12</w:t>
            </w:r>
            <w:r>
              <w:rPr>
                <w:rFonts w:hint="eastAsia" w:ascii="宋体" w:hAnsi="宋体"/>
                <w:color w:val="auto"/>
                <w:highlight w:val="none"/>
              </w:rPr>
              <w:t>月</w:t>
            </w:r>
            <w:r>
              <w:rPr>
                <w:rFonts w:hint="eastAsia" w:ascii="宋体" w:hAnsi="宋体"/>
                <w:color w:val="auto"/>
                <w:highlight w:val="none"/>
                <w:u w:val="single"/>
                <w:lang w:val="en-US" w:eastAsia="zh-CN"/>
              </w:rPr>
              <w:t>22</w:t>
            </w:r>
            <w:r>
              <w:rPr>
                <w:rFonts w:hint="eastAsia" w:ascii="宋体" w:hAnsi="宋体"/>
                <w:color w:val="auto"/>
                <w:highlight w:val="none"/>
              </w:rPr>
              <w:t>日前。比选申请人不在规定期限内提出，比选人有权不予答复，或答复后比选申请截止时间由比选人确定是否顺延。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南宁轨道交通集团有限责任公司官网(http://www.nngdjt.com)、</w:t>
            </w:r>
            <w:r>
              <w:rPr>
                <w:rFonts w:hint="eastAsia" w:ascii="宋体" w:hAnsi="宋体"/>
                <w:color w:val="auto"/>
                <w:highlight w:val="none"/>
              </w:rPr>
              <w:t>中国e车网（http://www.ecrrc.com）</w:t>
            </w:r>
            <w:r>
              <w:rPr>
                <w:rFonts w:hint="eastAsia" w:ascii="宋体" w:hAnsi="宋体"/>
                <w:color w:val="auto"/>
                <w:kern w:val="2"/>
                <w:highlight w:val="none"/>
              </w:rPr>
              <w:t>发布</w:t>
            </w:r>
          </w:p>
        </w:tc>
      </w:tr>
      <w:tr>
        <w:tblPrEx>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w:t>
            </w:r>
            <w:bookmarkStart w:id="2065" w:name="_GoBack"/>
            <w:bookmarkEnd w:id="2065"/>
            <w:r>
              <w:rPr>
                <w:rFonts w:hint="eastAsia" w:ascii="宋体" w:hAnsi="宋体"/>
                <w:color w:val="auto"/>
                <w:highlight w:val="none"/>
              </w:rPr>
              <w:t>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）比选申请人有效的营业执照副本复印件或事业单位法人证书复印件等证明文件；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40" w:lineRule="auto"/>
              <w:ind w:left="0" w:right="0" w:firstLine="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）类似项目业绩表（A</w:t>
            </w:r>
            <w:r>
              <w:rPr>
                <w:rFonts w:hint="eastAsia"/>
                <w:color w:val="auto"/>
                <w:highlight w:val="none"/>
                <w:lang w:val="en-US" w:eastAsia="zh-CN"/>
              </w:rPr>
              <w:t>4</w:t>
            </w:r>
            <w:r>
              <w:rPr>
                <w:rFonts w:hint="eastAsia"/>
                <w:color w:val="auto"/>
                <w:highlight w:val="none"/>
              </w:rPr>
              <w:t>）</w:t>
            </w:r>
            <w:r>
              <w:rPr>
                <w:rFonts w:hint="eastAsia" w:hAnsi="宋体"/>
                <w:color w:val="auto"/>
                <w:highlight w:val="none"/>
              </w:rPr>
              <w:t>；</w:t>
            </w:r>
          </w:p>
          <w:p>
            <w:pPr>
              <w:spacing w:before="0" w:after="0" w:afterAutospacing="0"/>
              <w:ind w:left="0" w:right="0" w:firstLine="0"/>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w:t>
            </w:r>
          </w:p>
          <w:p>
            <w:pPr>
              <w:spacing w:before="0" w:after="0" w:afterAutospacing="0" w:line="240" w:lineRule="auto"/>
              <w:ind w:left="0" w:right="0" w:firstLine="0"/>
              <w:rPr>
                <w:rFonts w:hint="eastAsia" w:ascii="宋体" w:hAnsi="宋体" w:eastAsia="宋体" w:cs="宋体"/>
                <w:b/>
                <w:color w:val="auto"/>
                <w:highlight w:val="none"/>
              </w:rPr>
            </w:pPr>
            <w:r>
              <w:rPr>
                <w:rFonts w:hint="eastAsia" w:ascii="宋体" w:hAnsi="宋体" w:eastAsia="宋体" w:cs="宋体"/>
                <w:b/>
                <w:color w:val="auto"/>
                <w:highlight w:val="none"/>
              </w:rPr>
              <w:t>技术文件</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（1）技术文件响应表（格式见</w:t>
            </w:r>
            <w:r>
              <w:rPr>
                <w:rFonts w:hint="eastAsia" w:ascii="宋体" w:hAnsi="宋体" w:eastAsia="宋体" w:cs="宋体"/>
                <w:color w:val="auto"/>
                <w:highlight w:val="none"/>
                <w:lang w:val="en-US" w:eastAsia="zh-CN"/>
              </w:rPr>
              <w:t>B</w:t>
            </w:r>
            <w:r>
              <w:rPr>
                <w:rFonts w:hint="eastAsia" w:ascii="宋体" w:hAnsi="宋体" w:eastAsia="宋体" w:cs="宋体"/>
                <w:color w:val="auto"/>
                <w:highlight w:val="none"/>
              </w:rPr>
              <w:t>1）；</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（2）按期完成承诺书（格式见</w:t>
            </w:r>
            <w:r>
              <w:rPr>
                <w:rFonts w:hint="eastAsia" w:ascii="宋体" w:hAnsi="宋体" w:eastAsia="宋体" w:cs="宋体"/>
                <w:color w:val="auto"/>
                <w:highlight w:val="none"/>
                <w:lang w:val="en-US" w:eastAsia="zh-CN"/>
              </w:rPr>
              <w:t>B</w:t>
            </w:r>
            <w:r>
              <w:rPr>
                <w:rFonts w:hint="eastAsia" w:ascii="宋体" w:hAnsi="宋体" w:eastAsia="宋体" w:cs="宋体"/>
                <w:color w:val="auto"/>
                <w:highlight w:val="none"/>
              </w:rPr>
              <w:t>2）；</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（3）售后服务承诺书（格式见</w:t>
            </w:r>
            <w:r>
              <w:rPr>
                <w:rFonts w:hint="eastAsia" w:ascii="宋体" w:hAnsi="宋体" w:eastAsia="宋体" w:cs="宋体"/>
                <w:color w:val="auto"/>
                <w:highlight w:val="none"/>
                <w:lang w:val="en-US" w:eastAsia="zh-CN"/>
              </w:rPr>
              <w:t>B</w:t>
            </w:r>
            <w:r>
              <w:rPr>
                <w:rFonts w:hint="eastAsia" w:ascii="宋体" w:hAnsi="宋体" w:eastAsia="宋体" w:cs="宋体"/>
                <w:color w:val="auto"/>
                <w:highlight w:val="none"/>
              </w:rPr>
              <w:t>3）；</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（4）商务响应表（格式见</w:t>
            </w:r>
            <w:r>
              <w:rPr>
                <w:rFonts w:hint="eastAsia" w:ascii="宋体" w:hAnsi="宋体" w:eastAsia="宋体" w:cs="宋体"/>
                <w:color w:val="auto"/>
                <w:highlight w:val="none"/>
                <w:lang w:val="en-US" w:eastAsia="zh-CN"/>
              </w:rPr>
              <w:t>B</w:t>
            </w:r>
            <w:r>
              <w:rPr>
                <w:rFonts w:hint="eastAsia" w:ascii="宋体" w:hAnsi="宋体" w:eastAsia="宋体" w:cs="宋体"/>
                <w:color w:val="auto"/>
                <w:highlight w:val="none"/>
              </w:rPr>
              <w:t>4）；</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）质量控制文件(如有，格式自拟 )；</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）质量检验承诺 (如有，格式自拟)；</w:t>
            </w:r>
          </w:p>
          <w:p>
            <w:pPr>
              <w:spacing w:before="0" w:after="0" w:afterAutospacing="0" w:line="240" w:lineRule="auto"/>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）售后服务承诺(如有，格式自拟)；</w:t>
            </w:r>
          </w:p>
          <w:p>
            <w:pPr>
              <w:spacing w:before="0" w:after="157" w:afterLines="50" w:afterAutospacing="0" w:line="240" w:lineRule="auto"/>
              <w:ind w:left="0" w:right="0" w:firstLine="0"/>
              <w:rPr>
                <w:rFonts w:hint="eastAsia" w:ascii="宋体" w:hAnsi="宋体" w:eastAsia="宋体" w:cs="宋体"/>
                <w:color w:val="auto"/>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价格文件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53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）比选申请人须按第五章《用户需求书》中的技术需求及故障件清单的顺序填报比选申请报价表，不允许打乱顺序。</w:t>
            </w:r>
          </w:p>
        </w:tc>
      </w:tr>
      <w:tr>
        <w:tblPrEx>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902"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290"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18.1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71" w:name="CgwjmbEntity：KBSJ3_0"/>
            <w:r>
              <w:rPr>
                <w:rFonts w:hint="eastAsia" w:ascii="宋体" w:hAnsi="宋体"/>
                <w:color w:val="auto"/>
                <w:highlight w:val="none"/>
              </w:rPr>
              <w:t>202</w:t>
            </w:r>
            <w:r>
              <w:rPr>
                <w:rFonts w:hint="eastAsia" w:ascii="宋体" w:hAnsi="宋体"/>
                <w:color w:val="auto"/>
                <w:highlight w:val="none"/>
                <w:lang w:val="en-US" w:eastAsia="zh-CN"/>
              </w:rPr>
              <w:t>3</w:t>
            </w:r>
            <w:r>
              <w:rPr>
                <w:rFonts w:hint="eastAsia" w:ascii="宋体" w:hAnsi="宋体"/>
                <w:color w:val="auto"/>
                <w:highlight w:val="none"/>
              </w:rPr>
              <w:t>年</w:t>
            </w:r>
            <w:bookmarkEnd w:id="71"/>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 xml:space="preserve">29 </w:t>
            </w:r>
            <w:r>
              <w:rPr>
                <w:rFonts w:hint="eastAsia" w:ascii="宋体" w:hAnsi="宋体"/>
                <w:color w:val="auto"/>
                <w:highlight w:val="none"/>
              </w:rPr>
              <w:t>日</w:t>
            </w:r>
            <w:r>
              <w:rPr>
                <w:rFonts w:hint="eastAsia" w:ascii="宋体" w:hAnsi="宋体"/>
                <w:color w:val="auto"/>
                <w:highlight w:val="none"/>
                <w:lang w:val="en-US" w:eastAsia="zh-CN"/>
              </w:rPr>
              <w:t xml:space="preserve"> 15</w:t>
            </w:r>
            <w:r>
              <w:rPr>
                <w:rFonts w:hint="eastAsia" w:ascii="宋体" w:hAnsi="宋体"/>
                <w:color w:val="auto"/>
                <w:highlight w:val="none"/>
              </w:rPr>
              <w:t>时</w:t>
            </w:r>
            <w:r>
              <w:rPr>
                <w:rFonts w:hint="eastAsia" w:ascii="宋体" w:hAnsi="宋体"/>
                <w:color w:val="auto"/>
                <w:highlight w:val="none"/>
                <w:lang w:val="en-US" w:eastAsia="zh-CN"/>
              </w:rPr>
              <w:t xml:space="preserve"> 00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单位：南宁轨道交通运营有限公司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地址：广西南宁市青秀区云景路83号综合楼</w:t>
            </w:r>
            <w:r>
              <w:rPr>
                <w:rFonts w:hint="eastAsia" w:ascii="宋体" w:hAnsi="宋体"/>
                <w:color w:val="auto"/>
                <w:highlight w:val="none"/>
                <w:u w:val="single"/>
              </w:rPr>
              <w:t>205</w:t>
            </w:r>
            <w:r>
              <w:rPr>
                <w:rFonts w:hint="eastAsia" w:ascii="宋体" w:hAnsi="宋体"/>
                <w:color w:val="auto"/>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宋体" w:hAnsi="宋体"/>
                <w:color w:val="auto"/>
                <w:highlight w:val="none"/>
                <w:lang w:val="en-US" w:eastAsia="zh-CN"/>
              </w:rPr>
              <w:t>林</w:t>
            </w:r>
            <w:r>
              <w:rPr>
                <w:rFonts w:hint="eastAsia" w:ascii="宋体" w:hAnsi="宋体"/>
                <w:color w:val="auto"/>
                <w:highlight w:val="none"/>
              </w:rPr>
              <w:t>工 0771-277</w:t>
            </w:r>
            <w:r>
              <w:rPr>
                <w:rFonts w:hint="eastAsia" w:ascii="宋体" w:hAnsi="宋体"/>
                <w:color w:val="auto"/>
                <w:highlight w:val="none"/>
                <w:lang w:val="en-US" w:eastAsia="zh-CN"/>
              </w:rPr>
              <w:t>8976</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综合评分法（</w:t>
            </w:r>
            <w:r>
              <w:rPr>
                <w:rFonts w:hint="eastAsia" w:hAnsi="宋体"/>
                <w:color w:val="auto"/>
                <w:highlight w:val="none"/>
              </w:rPr>
              <w:t>评比总价以不含税比选报价为基准</w:t>
            </w:r>
            <w:r>
              <w:rPr>
                <w:rFonts w:hint="eastAsia" w:ascii="宋体" w:hAnsi="宋体"/>
                <w:color w:val="auto"/>
                <w:highlight w:val="none"/>
              </w:rPr>
              <w:t>）</w:t>
            </w:r>
          </w:p>
        </w:tc>
      </w:tr>
      <w:tr>
        <w:tblPrEx>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履约担保的金额：中选价格的2.</w:t>
            </w:r>
            <w:r>
              <w:rPr>
                <w:rFonts w:ascii="宋体" w:hAnsi="宋体"/>
                <w:color w:val="auto"/>
                <w:highlight w:val="none"/>
              </w:rPr>
              <w:t>5%</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银行保函由中国境内各商业银行支行及其以上的银行开具的银行保函，格式符合第三章“合同条款及格式”。</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递交地点：广西南宁市青秀区云景路83号。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63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中选人如放弃中选资格，则纳入比选人的不良信用名单名库，并禁止1年内不得投属于比选人的项目。</w:t>
            </w:r>
          </w:p>
        </w:tc>
      </w:tr>
      <w:tr>
        <w:tblPrEx>
          <w:tblCellMar>
            <w:top w:w="0" w:type="dxa"/>
            <w:left w:w="108" w:type="dxa"/>
            <w:bottom w:w="0" w:type="dxa"/>
            <w:right w:w="108" w:type="dxa"/>
          </w:tblCellMar>
        </w:tblPrEx>
        <w:trPr>
          <w:trHeight w:val="242" w:hRule="atLeast"/>
        </w:trPr>
        <w:tc>
          <w:tcPr>
            <w:tcW w:w="902"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36.5</w:t>
            </w:r>
          </w:p>
        </w:tc>
        <w:tc>
          <w:tcPr>
            <w:tcW w:w="1290"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比选申请文件电子版份数：2份。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hint="eastAsia" w:ascii="宋体" w:hAnsi="宋体" w:cs="Arial"/>
                <w:color w:val="auto"/>
                <w:highlight w:val="none"/>
              </w:rPr>
              <w:t>资格审查文件、价格文件和技术文件）</w:t>
            </w:r>
            <w:r>
              <w:rPr>
                <w:rFonts w:hint="eastAsia" w:ascii="宋体" w:hAnsi="宋体"/>
                <w:color w:val="auto"/>
                <w:highlight w:val="none"/>
              </w:rPr>
              <w:t>和盖章后的全套比选申请文件（</w:t>
            </w:r>
            <w:r>
              <w:rPr>
                <w:rFonts w:hint="eastAsia" w:ascii="宋体" w:hAnsi="宋体" w:cs="Arial"/>
                <w:color w:val="auto"/>
                <w:highlight w:val="none"/>
              </w:rPr>
              <w:t>资格审查文件、价格文件和技术文件）</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902"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290"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925" w:type="dxa"/>
            <w:tcBorders>
              <w:top w:val="single" w:color="auto" w:sz="4" w:space="0"/>
              <w:left w:val="nil"/>
              <w:bottom w:val="single" w:color="auto" w:sz="4" w:space="0"/>
              <w:right w:val="single" w:color="auto" w:sz="4" w:space="0"/>
            </w:tcBorders>
            <w:vAlign w:val="center"/>
          </w:tcPr>
          <w:p>
            <w:pPr>
              <w:numPr>
                <w:ilvl w:val="0"/>
                <w:numId w:val="2"/>
              </w:numPr>
              <w:spacing w:before="0" w:after="0" w:afterAutospacing="0"/>
              <w:ind w:left="0" w:right="0" w:firstLine="0"/>
              <w:rPr>
                <w:rFonts w:ascii="宋体" w:hAnsi="宋体"/>
                <w:color w:val="auto"/>
                <w:highlight w:val="none"/>
              </w:rPr>
            </w:pPr>
            <w:r>
              <w:rPr>
                <w:rFonts w:hint="eastAsia" w:ascii="宋体" w:hAnsi="宋体"/>
                <w:color w:val="auto"/>
                <w:highlight w:val="none"/>
              </w:rPr>
              <w:t>本项目比选文件的最终解释权归比选人。</w:t>
            </w:r>
          </w:p>
        </w:tc>
      </w:tr>
    </w:tbl>
    <w:p>
      <w:pPr>
        <w:spacing w:after="0" w:afterAutospacing="0"/>
        <w:ind w:left="462" w:leftChars="200" w:right="0" w:hanging="42" w:hangingChars="20"/>
        <w:outlineLvl w:val="1"/>
        <w:rPr>
          <w:rFonts w:ascii="宋体" w:hAnsi="宋体"/>
          <w:color w:val="auto"/>
          <w:sz w:val="24"/>
          <w:szCs w:val="24"/>
          <w:highlight w:val="none"/>
        </w:rPr>
      </w:pPr>
      <w:r>
        <w:rPr>
          <w:rFonts w:ascii="宋体" w:hAnsi="宋体"/>
          <w:color w:val="auto"/>
          <w:highlight w:val="none"/>
        </w:rPr>
        <w:br w:type="page"/>
      </w:r>
      <w:bookmarkStart w:id="72" w:name="_Toc322528193"/>
      <w:bookmarkEnd w:id="72"/>
      <w:bookmarkStart w:id="73" w:name="_Toc25750590"/>
      <w:bookmarkStart w:id="74" w:name="_Toc24462"/>
      <w:bookmarkStart w:id="75" w:name="_Toc19023"/>
      <w:bookmarkStart w:id="76" w:name="_Toc9278"/>
      <w:bookmarkStart w:id="77" w:name="_Toc9679"/>
      <w:bookmarkStart w:id="78" w:name="_Toc11911"/>
      <w:bookmarkStart w:id="79" w:name="_Toc15799_WPSOffice_Level2"/>
      <w:bookmarkStart w:id="80" w:name="_Toc15442"/>
      <w:bookmarkStart w:id="81" w:name="_Toc27423"/>
      <w:bookmarkStart w:id="82" w:name="_Toc14458"/>
      <w:r>
        <w:rPr>
          <w:rFonts w:hint="eastAsia" w:ascii="宋体" w:hAnsi="宋体"/>
          <w:b/>
          <w:bCs/>
          <w:color w:val="auto"/>
          <w:sz w:val="24"/>
          <w:szCs w:val="24"/>
          <w:highlight w:val="none"/>
        </w:rPr>
        <w:t>一、</w:t>
      </w:r>
      <w:r>
        <w:rPr>
          <w:rFonts w:ascii="宋体" w:hAnsi="宋体"/>
          <w:b/>
          <w:bCs/>
          <w:color w:val="auto"/>
          <w:sz w:val="24"/>
          <w:szCs w:val="24"/>
          <w:highlight w:val="none"/>
        </w:rPr>
        <w:t>说明</w:t>
      </w:r>
      <w:bookmarkEnd w:id="73"/>
      <w:bookmarkEnd w:id="74"/>
      <w:bookmarkEnd w:id="75"/>
      <w:bookmarkEnd w:id="76"/>
      <w:bookmarkEnd w:id="77"/>
      <w:bookmarkEnd w:id="78"/>
      <w:bookmarkEnd w:id="79"/>
      <w:bookmarkEnd w:id="80"/>
      <w:bookmarkEnd w:id="81"/>
      <w:bookmarkEnd w:id="82"/>
    </w:p>
    <w:p>
      <w:pPr>
        <w:spacing w:before="0" w:after="0" w:afterAutospacing="0"/>
        <w:ind w:left="0" w:right="0" w:firstLine="420" w:firstLineChars="200"/>
        <w:outlineLvl w:val="2"/>
        <w:rPr>
          <w:rFonts w:ascii="宋体" w:hAnsi="宋体"/>
          <w:color w:val="auto"/>
          <w:highlight w:val="none"/>
        </w:rPr>
      </w:pPr>
      <w:bookmarkStart w:id="83" w:name="_Toc492478718"/>
      <w:bookmarkStart w:id="84" w:name="_Toc8166"/>
      <w:bookmarkStart w:id="85" w:name="_Toc28326"/>
      <w:bookmarkStart w:id="86" w:name="_Toc14066"/>
      <w:bookmarkStart w:id="87" w:name="_Toc5495"/>
      <w:bookmarkStart w:id="88" w:name="_Toc30570"/>
      <w:bookmarkStart w:id="89" w:name="_Toc11224"/>
      <w:bookmarkStart w:id="90" w:name="_Toc383891168"/>
      <w:bookmarkStart w:id="91" w:name="_Toc17845"/>
      <w:bookmarkStart w:id="92" w:name="_Toc390098419"/>
      <w:bookmarkStart w:id="93" w:name="_Toc375039064"/>
      <w:bookmarkStart w:id="94" w:name="_Toc3364"/>
      <w:bookmarkStart w:id="95" w:name="_Toc27079"/>
      <w:bookmarkStart w:id="96" w:name="_Toc6861"/>
      <w:bookmarkStart w:id="97" w:name="_Toc25750591"/>
      <w:bookmarkStart w:id="98" w:name="_Toc31563"/>
      <w:bookmarkStart w:id="99" w:name="_Toc12983505"/>
      <w:bookmarkStart w:id="100" w:name="_Toc385427793"/>
      <w:bookmarkStart w:id="101" w:name="_Toc12526"/>
      <w:bookmarkStart w:id="102" w:name="_Toc9366"/>
      <w:bookmarkStart w:id="103" w:name="_Toc463"/>
      <w:bookmarkStart w:id="104" w:name="_Toc3804"/>
      <w:bookmarkStart w:id="105" w:name="_Toc21139"/>
      <w:bookmarkStart w:id="106" w:name="_Toc7778"/>
      <w:r>
        <w:rPr>
          <w:rFonts w:hint="eastAsia" w:ascii="宋体" w:hAnsi="宋体"/>
          <w:color w:val="auto"/>
          <w:highlight w:val="none"/>
        </w:rPr>
        <w:t xml:space="preserve">1. </w:t>
      </w:r>
      <w:r>
        <w:rPr>
          <w:rFonts w:ascii="宋体" w:hAnsi="宋体"/>
          <w:color w:val="auto"/>
          <w:highlight w:val="none"/>
        </w:rPr>
        <w:t>项目说明</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1.5服务期：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1.7上限控制价</w:t>
      </w:r>
      <w:r>
        <w:rPr>
          <w:rFonts w:ascii="宋体" w:hAnsi="宋体"/>
          <w:color w:val="auto"/>
          <w:highlight w:val="none"/>
        </w:rPr>
        <w:t>：详见比选申请须知前附表。</w:t>
      </w:r>
    </w:p>
    <w:p>
      <w:pPr>
        <w:spacing w:before="0" w:after="0" w:afterAutospacing="0"/>
        <w:ind w:left="0" w:right="0" w:firstLine="420" w:firstLineChars="200"/>
        <w:outlineLvl w:val="2"/>
        <w:rPr>
          <w:rFonts w:ascii="宋体" w:hAnsi="宋体"/>
          <w:color w:val="auto"/>
          <w:highlight w:val="none"/>
        </w:rPr>
      </w:pPr>
      <w:bookmarkStart w:id="107" w:name="_Toc22987"/>
      <w:bookmarkStart w:id="108" w:name="_Toc1552"/>
      <w:bookmarkStart w:id="109" w:name="_Toc4780"/>
      <w:bookmarkStart w:id="110" w:name="_Toc6038"/>
      <w:bookmarkStart w:id="111" w:name="_Toc24429"/>
      <w:bookmarkStart w:id="112" w:name="_Toc27845"/>
      <w:bookmarkStart w:id="113" w:name="_Toc8052"/>
      <w:bookmarkStart w:id="114" w:name="_Toc31314"/>
      <w:bookmarkStart w:id="115" w:name="_Toc383891169"/>
      <w:bookmarkStart w:id="116" w:name="_Toc390098420"/>
      <w:bookmarkStart w:id="117" w:name="_Toc6985"/>
      <w:bookmarkStart w:id="118" w:name="_Toc27847"/>
      <w:bookmarkStart w:id="119" w:name="_Toc21874"/>
      <w:bookmarkStart w:id="120" w:name="_Toc25750592"/>
      <w:bookmarkStart w:id="121" w:name="_Toc375039065"/>
      <w:bookmarkStart w:id="122" w:name="_Toc385427794"/>
      <w:bookmarkStart w:id="123" w:name="_Toc16860"/>
      <w:bookmarkStart w:id="124" w:name="_Toc10907"/>
      <w:bookmarkStart w:id="125" w:name="_Toc12983506"/>
      <w:bookmarkStart w:id="126" w:name="_Toc492478719"/>
      <w:r>
        <w:rPr>
          <w:rFonts w:hint="eastAsia" w:ascii="宋体" w:hAnsi="宋体"/>
          <w:color w:val="auto"/>
          <w:highlight w:val="none"/>
        </w:rPr>
        <w:t>2. 定义</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2.3“服务”系指</w:t>
      </w:r>
      <w:r>
        <w:rPr>
          <w:rFonts w:hint="eastAsia" w:ascii="宋体" w:hAnsi="宋体"/>
          <w:color w:val="auto"/>
          <w:highlight w:val="none"/>
          <w:lang w:val="en-US" w:eastAsia="zh-CN"/>
        </w:rPr>
        <w:t>比选</w:t>
      </w:r>
      <w:r>
        <w:rPr>
          <w:rFonts w:hint="eastAsia" w:ascii="宋体" w:hAnsi="宋体"/>
          <w:color w:val="auto"/>
          <w:highlight w:val="none"/>
        </w:rPr>
        <w:t>文件规定乙方须承担的与维修有关的辅助服务，包括但不限于故障件的包装、运输、检测、维修，修复件的出厂检验、运输、软硬件的调试、质保期内出现故障免费维修等及其他伴随服务和投标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spacing w:before="0" w:after="0" w:afterAutospacing="0"/>
        <w:ind w:left="0" w:right="0" w:firstLine="420" w:firstLineChars="200"/>
        <w:outlineLvl w:val="2"/>
        <w:rPr>
          <w:rFonts w:ascii="宋体" w:hAnsi="宋体"/>
          <w:color w:val="auto"/>
          <w:highlight w:val="none"/>
        </w:rPr>
      </w:pPr>
      <w:bookmarkStart w:id="127" w:name="_Toc385427795"/>
      <w:bookmarkStart w:id="128" w:name="_Toc375039066"/>
      <w:bookmarkStart w:id="129" w:name="_Toc492478720"/>
      <w:bookmarkStart w:id="130" w:name="_Toc390098421"/>
      <w:bookmarkStart w:id="131" w:name="_Toc383891170"/>
      <w:bookmarkStart w:id="132" w:name="_Toc12940"/>
      <w:bookmarkStart w:id="133" w:name="_Toc30498"/>
      <w:bookmarkStart w:id="134" w:name="_Toc24844"/>
      <w:bookmarkStart w:id="135" w:name="_Toc12983507"/>
      <w:bookmarkStart w:id="136" w:name="_Toc22845"/>
      <w:bookmarkStart w:id="137" w:name="_Toc7797"/>
      <w:bookmarkStart w:id="138" w:name="_Toc25750593"/>
      <w:bookmarkStart w:id="139" w:name="_Toc22115"/>
      <w:bookmarkStart w:id="140" w:name="_Toc29401"/>
      <w:bookmarkStart w:id="141" w:name="_Toc9929"/>
      <w:bookmarkStart w:id="142" w:name="_Toc8288"/>
      <w:bookmarkStart w:id="143" w:name="_Toc25786"/>
      <w:bookmarkStart w:id="144" w:name="_Toc31477"/>
      <w:bookmarkStart w:id="145" w:name="_Toc17075"/>
      <w:bookmarkStart w:id="146" w:name="_Toc10653"/>
      <w:bookmarkStart w:id="147" w:name="_Toc29859"/>
      <w:bookmarkStart w:id="148" w:name="_Toc307"/>
      <w:bookmarkStart w:id="149" w:name="_Toc17568"/>
      <w:bookmarkStart w:id="150" w:name="_Toc7306"/>
      <w:r>
        <w:rPr>
          <w:rFonts w:ascii="宋体" w:hAnsi="宋体"/>
          <w:color w:val="auto"/>
          <w:highlight w:val="none"/>
        </w:rPr>
        <w:t>3.比选申请人</w:t>
      </w:r>
      <w:bookmarkEnd w:id="127"/>
      <w:bookmarkEnd w:id="128"/>
      <w:bookmarkEnd w:id="129"/>
      <w:bookmarkEnd w:id="130"/>
      <w:bookmarkEnd w:id="131"/>
      <w:r>
        <w:rPr>
          <w:rFonts w:hint="eastAsia" w:ascii="宋体" w:hAnsi="宋体"/>
          <w:color w:val="auto"/>
          <w:highlight w:val="none"/>
        </w:rPr>
        <w:t>应具备的资格条件</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（2）处于行政主管部门或业主取消投标资格的处罚期内，被责令停业，财产被接管，破产状态；在投标截止时间前3年内有骗取中标、严重违约或重大质量安全责任事故的情况。；</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spacing w:before="0" w:after="0" w:afterAutospacing="0"/>
        <w:ind w:left="0" w:right="0" w:firstLine="420" w:firstLineChars="200"/>
        <w:outlineLvl w:val="2"/>
        <w:rPr>
          <w:rFonts w:ascii="宋体" w:hAnsi="宋体"/>
          <w:color w:val="auto"/>
          <w:highlight w:val="none"/>
        </w:rPr>
      </w:pPr>
      <w:bookmarkStart w:id="151" w:name="_Toc375039067"/>
      <w:bookmarkStart w:id="152" w:name="_Toc383891171"/>
      <w:bookmarkStart w:id="153" w:name="_Toc19709"/>
      <w:bookmarkStart w:id="154" w:name="_Toc4438"/>
      <w:bookmarkStart w:id="155" w:name="_Toc23146"/>
      <w:bookmarkStart w:id="156" w:name="_Toc25914"/>
      <w:bookmarkStart w:id="157" w:name="_Toc21215"/>
      <w:bookmarkStart w:id="158" w:name="_Toc492478721"/>
      <w:bookmarkStart w:id="159" w:name="_Toc18668"/>
      <w:bookmarkStart w:id="160" w:name="_Toc7103"/>
      <w:bookmarkStart w:id="161" w:name="_Toc616"/>
      <w:bookmarkStart w:id="162" w:name="_Toc1125"/>
      <w:bookmarkStart w:id="163" w:name="_Toc30752"/>
      <w:bookmarkStart w:id="164" w:name="_Toc24103"/>
      <w:bookmarkStart w:id="165" w:name="_Toc19081"/>
      <w:bookmarkStart w:id="166" w:name="_Toc7832"/>
      <w:bookmarkStart w:id="167" w:name="_Toc385427796"/>
      <w:bookmarkStart w:id="168" w:name="_Toc3292"/>
      <w:bookmarkStart w:id="169" w:name="_Toc1737"/>
      <w:bookmarkStart w:id="170" w:name="_Toc21602"/>
      <w:bookmarkStart w:id="171" w:name="_Toc12983508"/>
      <w:bookmarkStart w:id="172" w:name="_Toc390098422"/>
      <w:bookmarkStart w:id="173" w:name="_Toc25750594"/>
      <w:bookmarkStart w:id="174" w:name="_Toc31789"/>
      <w:r>
        <w:rPr>
          <w:rFonts w:hint="eastAsia" w:ascii="宋体" w:hAnsi="宋体"/>
          <w:color w:val="auto"/>
          <w:highlight w:val="none"/>
        </w:rPr>
        <w:t xml:space="preserve">4. </w:t>
      </w:r>
      <w:r>
        <w:rPr>
          <w:rFonts w:ascii="宋体" w:hAnsi="宋体"/>
          <w:color w:val="auto"/>
          <w:highlight w:val="none"/>
        </w:rPr>
        <w:t>比选申请费用</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spacing w:after="0" w:afterAutospacing="0"/>
        <w:ind w:left="0" w:right="0" w:firstLine="482" w:firstLineChars="200"/>
        <w:outlineLvl w:val="1"/>
        <w:rPr>
          <w:rFonts w:ascii="宋体" w:hAnsi="宋体"/>
          <w:b/>
          <w:bCs/>
          <w:color w:val="auto"/>
          <w:sz w:val="24"/>
          <w:szCs w:val="24"/>
          <w:highlight w:val="none"/>
        </w:rPr>
      </w:pPr>
      <w:bookmarkStart w:id="175" w:name="_Toc492478722"/>
      <w:bookmarkStart w:id="176" w:name="_Toc375039068"/>
      <w:bookmarkStart w:id="177" w:name="_Toc12419_WPSOffice_Level2"/>
      <w:bookmarkStart w:id="178" w:name="_Toc10301"/>
      <w:bookmarkStart w:id="179" w:name="_Toc385427797"/>
      <w:bookmarkStart w:id="180" w:name="_Toc6528"/>
      <w:bookmarkStart w:id="181" w:name="_Toc19167"/>
      <w:bookmarkStart w:id="182" w:name="_Toc8562"/>
      <w:bookmarkStart w:id="183" w:name="_Toc15346"/>
      <w:bookmarkStart w:id="184" w:name="_Toc2609"/>
      <w:bookmarkStart w:id="185" w:name="_Toc25750595"/>
      <w:bookmarkStart w:id="186" w:name="_Toc9677"/>
      <w:bookmarkStart w:id="187" w:name="_Toc7339"/>
      <w:bookmarkStart w:id="188" w:name="_Toc16608"/>
      <w:bookmarkStart w:id="189" w:name="_Toc15763"/>
      <w:bookmarkStart w:id="190" w:name="_Toc31589"/>
      <w:bookmarkStart w:id="191" w:name="_Toc14777"/>
      <w:bookmarkStart w:id="192" w:name="_Toc383891172"/>
      <w:bookmarkStart w:id="193" w:name="_Toc16131"/>
      <w:bookmarkStart w:id="194" w:name="_Toc16530"/>
      <w:bookmarkStart w:id="195" w:name="_Toc11619"/>
      <w:bookmarkStart w:id="196" w:name="_Toc390098423"/>
      <w:bookmarkStart w:id="197" w:name="_Toc3854"/>
      <w:bookmarkStart w:id="198" w:name="_Toc28220"/>
      <w:bookmarkStart w:id="199" w:name="_Toc30061"/>
      <w:bookmarkStart w:id="200" w:name="_Toc2986"/>
      <w:bookmarkStart w:id="201" w:name="_Toc29160"/>
      <w:bookmarkStart w:id="202" w:name="_Toc12983509"/>
      <w:bookmarkStart w:id="203" w:name="_Toc18528"/>
      <w:bookmarkStart w:id="204" w:name="_Toc19617"/>
      <w:bookmarkStart w:id="205" w:name="_Toc5160"/>
      <w:bookmarkStart w:id="206" w:name="_Toc5487"/>
      <w:bookmarkStart w:id="207" w:name="_Toc17210"/>
      <w:r>
        <w:rPr>
          <w:rFonts w:hint="eastAsia" w:ascii="宋体" w:hAnsi="宋体"/>
          <w:b/>
          <w:bCs/>
          <w:color w:val="auto"/>
          <w:sz w:val="24"/>
          <w:szCs w:val="24"/>
          <w:highlight w:val="none"/>
        </w:rPr>
        <w:t>二、</w:t>
      </w:r>
      <w:r>
        <w:rPr>
          <w:rFonts w:ascii="宋体" w:hAnsi="宋体"/>
          <w:b/>
          <w:bCs/>
          <w:color w:val="auto"/>
          <w:sz w:val="24"/>
          <w:szCs w:val="24"/>
          <w:highlight w:val="none"/>
        </w:rPr>
        <w:t>比选文件</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outlineLvl w:val="2"/>
        <w:rPr>
          <w:rFonts w:ascii="宋体" w:hAnsi="宋体"/>
          <w:color w:val="auto"/>
          <w:highlight w:val="none"/>
        </w:rPr>
      </w:pPr>
      <w:bookmarkStart w:id="208" w:name="_Toc4157"/>
      <w:bookmarkStart w:id="209" w:name="_Toc6637"/>
      <w:bookmarkStart w:id="210" w:name="_Toc27870"/>
      <w:bookmarkStart w:id="211" w:name="_Toc25378"/>
      <w:bookmarkStart w:id="212" w:name="_Toc12983510"/>
      <w:bookmarkStart w:id="213" w:name="_Toc18436"/>
      <w:bookmarkStart w:id="214" w:name="_Toc5877"/>
      <w:bookmarkStart w:id="215" w:name="_Toc375039069"/>
      <w:bookmarkStart w:id="216" w:name="_Toc21811"/>
      <w:bookmarkStart w:id="217" w:name="_Toc385427798"/>
      <w:bookmarkStart w:id="218" w:name="_Toc30401"/>
      <w:bookmarkStart w:id="219" w:name="_Toc13114"/>
      <w:bookmarkStart w:id="220" w:name="_Toc492478723"/>
      <w:bookmarkStart w:id="221" w:name="_Toc390098424"/>
      <w:bookmarkStart w:id="222" w:name="_Toc32710"/>
      <w:bookmarkStart w:id="223" w:name="_Toc26333"/>
      <w:bookmarkStart w:id="224" w:name="_Toc9756"/>
      <w:bookmarkStart w:id="225" w:name="_Toc29472"/>
      <w:bookmarkStart w:id="226" w:name="_Toc6764"/>
      <w:bookmarkStart w:id="227" w:name="_Toc383891173"/>
      <w:bookmarkStart w:id="228" w:name="_Toc19561"/>
      <w:bookmarkStart w:id="229" w:name="_Toc25750596"/>
      <w:bookmarkStart w:id="230" w:name="_Toc839"/>
      <w:bookmarkStart w:id="231" w:name="_Toc29225"/>
      <w:r>
        <w:rPr>
          <w:rFonts w:hint="eastAsia" w:ascii="宋体" w:hAnsi="宋体"/>
          <w:color w:val="auto"/>
          <w:highlight w:val="none"/>
        </w:rPr>
        <w:t xml:space="preserve">5. </w:t>
      </w:r>
      <w:r>
        <w:rPr>
          <w:rFonts w:ascii="宋体" w:hAnsi="宋体"/>
          <w:color w:val="auto"/>
          <w:highlight w:val="none"/>
        </w:rPr>
        <w:t>比选文件构成</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3"/>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3"/>
        </w:numPr>
        <w:spacing w:before="0"/>
        <w:ind w:right="0" w:firstLine="200"/>
        <w:rPr>
          <w:rFonts w:ascii="宋体" w:hAnsi="宋体"/>
          <w:color w:val="auto"/>
          <w:highlight w:val="none"/>
        </w:rPr>
      </w:pPr>
      <w:r>
        <w:rPr>
          <w:rFonts w:ascii="宋体" w:hAnsi="宋体"/>
          <w:color w:val="auto"/>
          <w:highlight w:val="none"/>
        </w:rPr>
        <w:t>比选申请须知</w:t>
      </w:r>
    </w:p>
    <w:p>
      <w:pPr>
        <w:numPr>
          <w:ilvl w:val="0"/>
          <w:numId w:val="3"/>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3"/>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3"/>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3"/>
        </w:numPr>
        <w:spacing w:before="0" w:after="0" w:afterAutospacing="0"/>
        <w:ind w:right="0" w:firstLine="198"/>
        <w:rPr>
          <w:rFonts w:ascii="宋体" w:hAnsi="宋体"/>
          <w:color w:val="auto"/>
          <w:highlight w:val="none"/>
        </w:rPr>
      </w:pPr>
      <w:r>
        <w:rPr>
          <w:rFonts w:hint="eastAsia" w:ascii="宋体" w:hAnsi="宋体"/>
          <w:color w:val="auto"/>
          <w:highlight w:val="none"/>
          <w:lang w:eastAsia="zh-CN"/>
        </w:rPr>
        <w:t>评审办法</w:t>
      </w:r>
    </w:p>
    <w:p>
      <w:pPr>
        <w:numPr>
          <w:ilvl w:val="0"/>
          <w:numId w:val="3"/>
        </w:numPr>
        <w:spacing w:before="0" w:after="0" w:afterAutospacing="0"/>
        <w:ind w:right="0" w:firstLine="198"/>
      </w:pPr>
      <w:r>
        <w:rPr>
          <w:rFonts w:hint="eastAsia" w:ascii="宋体" w:hAnsi="宋体"/>
          <w:color w:val="auto"/>
          <w:highlight w:val="none"/>
          <w:lang w:val="en-US" w:eastAsia="zh-CN"/>
        </w:rPr>
        <w:t>比选控制价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pacing w:before="0" w:after="0" w:afterAutospacing="0"/>
        <w:ind w:left="0" w:right="0" w:firstLine="420" w:firstLineChars="200"/>
        <w:outlineLvl w:val="2"/>
        <w:rPr>
          <w:rFonts w:ascii="宋体" w:hAnsi="宋体"/>
          <w:color w:val="auto"/>
          <w:highlight w:val="none"/>
        </w:rPr>
      </w:pPr>
      <w:bookmarkStart w:id="232" w:name="_Toc390098425"/>
      <w:bookmarkStart w:id="233" w:name="_Toc29001"/>
      <w:bookmarkStart w:id="234" w:name="_Toc20903"/>
      <w:bookmarkStart w:id="235" w:name="_Toc11896"/>
      <w:bookmarkStart w:id="236" w:name="_Toc26811"/>
      <w:bookmarkStart w:id="237" w:name="_Toc2664"/>
      <w:bookmarkStart w:id="238" w:name="_Toc17279"/>
      <w:bookmarkStart w:id="239" w:name="_Toc2789"/>
      <w:bookmarkStart w:id="240" w:name="_Toc31848"/>
      <w:bookmarkStart w:id="241" w:name="_Toc383891174"/>
      <w:bookmarkStart w:id="242" w:name="_Toc2489"/>
      <w:bookmarkStart w:id="243" w:name="_Toc12983511"/>
      <w:bookmarkStart w:id="244" w:name="_Toc10162"/>
      <w:bookmarkStart w:id="245" w:name="_Toc21365"/>
      <w:bookmarkStart w:id="246" w:name="_Toc15154"/>
      <w:bookmarkStart w:id="247" w:name="_Toc14426"/>
      <w:bookmarkStart w:id="248" w:name="_Toc492478724"/>
      <w:bookmarkStart w:id="249" w:name="_Toc375039070"/>
      <w:bookmarkStart w:id="250" w:name="_Toc385427799"/>
      <w:bookmarkStart w:id="251" w:name="_Toc31386"/>
      <w:bookmarkStart w:id="252" w:name="_Toc25750597"/>
      <w:bookmarkStart w:id="253" w:name="_Toc26909"/>
      <w:bookmarkStart w:id="254" w:name="_Toc18631"/>
      <w:bookmarkStart w:id="255" w:name="_Toc28270"/>
      <w:r>
        <w:rPr>
          <w:rFonts w:hint="eastAsia" w:ascii="宋体" w:hAnsi="宋体"/>
          <w:color w:val="auto"/>
          <w:highlight w:val="none"/>
        </w:rPr>
        <w:t>6.</w:t>
      </w:r>
      <w:r>
        <w:rPr>
          <w:rFonts w:ascii="宋体" w:hAnsi="宋体"/>
          <w:color w:val="auto"/>
          <w:highlight w:val="none"/>
        </w:rPr>
        <w:t>比选文件的澄清</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spacing w:before="0" w:after="0" w:afterAutospacing="0"/>
        <w:ind w:left="0" w:right="0" w:firstLine="420" w:firstLineChars="200"/>
        <w:outlineLvl w:val="2"/>
        <w:rPr>
          <w:rFonts w:ascii="宋体" w:hAnsi="宋体"/>
          <w:color w:val="auto"/>
          <w:highlight w:val="none"/>
        </w:rPr>
      </w:pPr>
      <w:bookmarkStart w:id="256" w:name="_Toc383891175"/>
      <w:bookmarkStart w:id="257" w:name="_Toc390098426"/>
      <w:bookmarkStart w:id="258" w:name="_Toc2072"/>
      <w:bookmarkStart w:id="259" w:name="_Toc14181"/>
      <w:bookmarkStart w:id="260" w:name="_Toc7063"/>
      <w:bookmarkStart w:id="261" w:name="_Toc2976"/>
      <w:bookmarkStart w:id="262" w:name="_Toc27124"/>
      <w:bookmarkStart w:id="263" w:name="_Toc15498"/>
      <w:bookmarkStart w:id="264" w:name="_Toc29795"/>
      <w:bookmarkStart w:id="265" w:name="_Toc15137"/>
      <w:bookmarkStart w:id="266" w:name="_Toc25750598"/>
      <w:bookmarkStart w:id="267" w:name="_Toc5364"/>
      <w:bookmarkStart w:id="268" w:name="_Toc492478725"/>
      <w:bookmarkStart w:id="269" w:name="_Toc22529"/>
      <w:bookmarkStart w:id="270" w:name="_Toc12983512"/>
      <w:bookmarkStart w:id="271" w:name="_Toc24128"/>
      <w:bookmarkStart w:id="272" w:name="_Toc30378"/>
      <w:bookmarkStart w:id="273" w:name="_Toc375039071"/>
      <w:bookmarkStart w:id="274" w:name="_Toc24191"/>
      <w:bookmarkStart w:id="275" w:name="_Toc26952"/>
      <w:bookmarkStart w:id="276" w:name="_Toc15674"/>
      <w:bookmarkStart w:id="277" w:name="_Toc385427800"/>
      <w:bookmarkStart w:id="278" w:name="_Toc24583"/>
      <w:bookmarkStart w:id="279" w:name="_Toc19345"/>
      <w:r>
        <w:rPr>
          <w:rFonts w:hint="eastAsia" w:ascii="宋体" w:hAnsi="宋体"/>
          <w:color w:val="auto"/>
          <w:highlight w:val="none"/>
        </w:rPr>
        <w:t xml:space="preserve">7. </w:t>
      </w:r>
      <w:r>
        <w:rPr>
          <w:rFonts w:ascii="宋体" w:hAnsi="宋体"/>
          <w:color w:val="auto"/>
          <w:highlight w:val="none"/>
        </w:rPr>
        <w:t>比选文件的补遗或修改</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spacing w:after="0" w:afterAutospacing="0"/>
        <w:ind w:left="0" w:right="0" w:firstLine="482" w:firstLineChars="200"/>
        <w:outlineLvl w:val="1"/>
        <w:rPr>
          <w:rFonts w:ascii="宋体" w:hAnsi="宋体"/>
          <w:b/>
          <w:bCs/>
          <w:color w:val="auto"/>
          <w:sz w:val="24"/>
          <w:szCs w:val="24"/>
          <w:highlight w:val="none"/>
        </w:rPr>
      </w:pPr>
      <w:bookmarkStart w:id="280" w:name="_Toc25750599"/>
      <w:bookmarkStart w:id="281" w:name="_Toc32466"/>
      <w:bookmarkStart w:id="282" w:name="_Toc5254"/>
      <w:bookmarkStart w:id="283" w:name="_Toc4718"/>
      <w:bookmarkStart w:id="284" w:name="_Toc24759"/>
      <w:bookmarkStart w:id="285" w:name="_Toc9848"/>
      <w:bookmarkStart w:id="286" w:name="_Toc17335"/>
      <w:bookmarkStart w:id="287" w:name="_Toc16406"/>
      <w:bookmarkStart w:id="288" w:name="_Toc3631"/>
      <w:bookmarkStart w:id="289" w:name="_Toc12983513"/>
      <w:bookmarkStart w:id="290" w:name="_Toc375039072"/>
      <w:bookmarkStart w:id="291" w:name="_Toc31326"/>
      <w:bookmarkStart w:id="292" w:name="_Toc14185"/>
      <w:bookmarkStart w:id="293" w:name="_Toc383891176"/>
      <w:bookmarkStart w:id="294" w:name="_Toc390098427"/>
      <w:bookmarkStart w:id="295" w:name="_Toc30363"/>
      <w:bookmarkStart w:id="296" w:name="_Toc7826"/>
      <w:bookmarkStart w:id="297" w:name="_Toc492478726"/>
      <w:bookmarkStart w:id="298" w:name="_Toc2902"/>
      <w:bookmarkStart w:id="299" w:name="_Toc21099"/>
      <w:bookmarkStart w:id="300" w:name="_Toc14225"/>
      <w:bookmarkStart w:id="301" w:name="_Toc7604"/>
      <w:bookmarkStart w:id="302" w:name="_Toc95"/>
      <w:bookmarkStart w:id="303" w:name="_Toc24557"/>
      <w:bookmarkStart w:id="304" w:name="_Toc27913"/>
      <w:bookmarkStart w:id="305" w:name="_Toc5805"/>
      <w:bookmarkStart w:id="306" w:name="_Toc28044"/>
      <w:bookmarkStart w:id="307" w:name="_Toc18679"/>
      <w:bookmarkStart w:id="308" w:name="_Toc17337_WPSOffice_Level2"/>
      <w:bookmarkStart w:id="309" w:name="_Toc385427801"/>
      <w:bookmarkStart w:id="310" w:name="_Toc17692"/>
      <w:bookmarkStart w:id="311" w:name="_Toc25361"/>
      <w:bookmarkStart w:id="312" w:name="_Toc10869"/>
      <w:r>
        <w:rPr>
          <w:rFonts w:hint="eastAsia" w:ascii="宋体" w:hAnsi="宋体"/>
          <w:b/>
          <w:bCs/>
          <w:color w:val="auto"/>
          <w:sz w:val="24"/>
          <w:szCs w:val="24"/>
          <w:highlight w:val="none"/>
        </w:rPr>
        <w:t>三、</w:t>
      </w:r>
      <w:r>
        <w:rPr>
          <w:rFonts w:ascii="宋体" w:hAnsi="宋体"/>
          <w:b/>
          <w:bCs/>
          <w:color w:val="auto"/>
          <w:sz w:val="24"/>
          <w:szCs w:val="24"/>
          <w:highlight w:val="none"/>
        </w:rPr>
        <w:t>比选申请文件的编制</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outlineLvl w:val="2"/>
        <w:rPr>
          <w:rFonts w:ascii="宋体" w:hAnsi="宋体"/>
          <w:color w:val="auto"/>
          <w:highlight w:val="none"/>
        </w:rPr>
      </w:pPr>
      <w:bookmarkStart w:id="313" w:name="_Toc23794"/>
      <w:bookmarkStart w:id="314" w:name="_Toc13418"/>
      <w:bookmarkStart w:id="315" w:name="_Toc2819"/>
      <w:bookmarkStart w:id="316" w:name="_Toc16435"/>
      <w:bookmarkStart w:id="317" w:name="_Toc375039073"/>
      <w:bookmarkStart w:id="318" w:name="_Toc25750600"/>
      <w:bookmarkStart w:id="319" w:name="_Toc9592"/>
      <w:bookmarkStart w:id="320" w:name="_Toc12074"/>
      <w:bookmarkStart w:id="321" w:name="_Toc12456"/>
      <w:bookmarkStart w:id="322" w:name="_Toc390098428"/>
      <w:bookmarkStart w:id="323" w:name="_Toc4384"/>
      <w:bookmarkStart w:id="324" w:name="_Toc1733"/>
      <w:bookmarkStart w:id="325" w:name="_Toc21673"/>
      <w:bookmarkStart w:id="326" w:name="_Toc16186"/>
      <w:bookmarkStart w:id="327" w:name="_Toc492478727"/>
      <w:bookmarkStart w:id="328" w:name="_Toc383891177"/>
      <w:bookmarkStart w:id="329" w:name="_Toc26150"/>
      <w:bookmarkStart w:id="330" w:name="_Toc26680"/>
      <w:bookmarkStart w:id="331" w:name="_Toc29862"/>
      <w:bookmarkStart w:id="332" w:name="_Toc18350"/>
      <w:bookmarkStart w:id="333" w:name="_Toc20025"/>
      <w:bookmarkStart w:id="334" w:name="_Toc11259"/>
      <w:bookmarkStart w:id="335" w:name="_Toc12983514"/>
      <w:bookmarkStart w:id="336" w:name="_Toc385427802"/>
      <w:r>
        <w:rPr>
          <w:rFonts w:hint="eastAsia" w:ascii="宋体" w:hAnsi="宋体"/>
          <w:color w:val="auto"/>
          <w:highlight w:val="none"/>
        </w:rPr>
        <w:t xml:space="preserve">8. </w:t>
      </w:r>
      <w:r>
        <w:rPr>
          <w:rFonts w:ascii="宋体" w:hAnsi="宋体"/>
          <w:color w:val="auto"/>
          <w:highlight w:val="none"/>
        </w:rPr>
        <w:t>编制要求</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numPr>
          <w:ilvl w:val="0"/>
          <w:numId w:val="4"/>
        </w:numPr>
        <w:spacing w:before="0" w:after="0" w:afterAutospacing="0"/>
        <w:ind w:left="0" w:right="0" w:firstLine="420" w:firstLineChars="200"/>
        <w:outlineLvl w:val="2"/>
        <w:rPr>
          <w:rFonts w:ascii="宋体" w:hAnsi="宋体"/>
          <w:color w:val="auto"/>
          <w:highlight w:val="none"/>
        </w:rPr>
      </w:pPr>
      <w:bookmarkStart w:id="337" w:name="_Toc492478728"/>
      <w:bookmarkStart w:id="338" w:name="_Toc15570"/>
      <w:bookmarkStart w:id="339" w:name="_Toc28296"/>
      <w:bookmarkStart w:id="340" w:name="_Toc25770"/>
      <w:bookmarkStart w:id="341" w:name="_Toc12983515"/>
      <w:bookmarkStart w:id="342" w:name="_Toc19885"/>
      <w:bookmarkStart w:id="343" w:name="_Toc385427803"/>
      <w:bookmarkStart w:id="344" w:name="_Toc6261"/>
      <w:bookmarkStart w:id="345" w:name="_Toc12207"/>
      <w:bookmarkStart w:id="346" w:name="_Toc24935"/>
      <w:bookmarkStart w:id="347" w:name="_Toc28065"/>
      <w:bookmarkStart w:id="348" w:name="_Toc390098429"/>
      <w:bookmarkStart w:id="349" w:name="_Toc24857"/>
      <w:bookmarkStart w:id="350" w:name="_Toc22026"/>
      <w:bookmarkStart w:id="351" w:name="_Toc25750601"/>
      <w:bookmarkStart w:id="352" w:name="_Toc3492"/>
      <w:bookmarkStart w:id="353" w:name="_Toc1047"/>
      <w:bookmarkStart w:id="354" w:name="_Toc9887"/>
      <w:bookmarkStart w:id="355" w:name="_Toc16237"/>
      <w:bookmarkStart w:id="356" w:name="_Toc375039074"/>
      <w:bookmarkStart w:id="357" w:name="_Toc11040"/>
      <w:bookmarkStart w:id="358" w:name="_Toc383891178"/>
      <w:bookmarkStart w:id="359" w:name="_Toc26753"/>
      <w:bookmarkStart w:id="360" w:name="_Toc11161"/>
      <w:r>
        <w:rPr>
          <w:rFonts w:ascii="宋体" w:hAnsi="宋体"/>
          <w:color w:val="auto"/>
          <w:highlight w:val="none"/>
        </w:rPr>
        <w:t>比选申请语言及计量单位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numPr>
          <w:ilvl w:val="0"/>
          <w:numId w:val="4"/>
        </w:numPr>
        <w:spacing w:before="0" w:after="0" w:afterAutospacing="0"/>
        <w:ind w:left="0" w:right="0" w:firstLine="420" w:firstLineChars="200"/>
        <w:outlineLvl w:val="2"/>
        <w:rPr>
          <w:rFonts w:ascii="宋体" w:hAnsi="宋体"/>
          <w:color w:val="auto"/>
          <w:highlight w:val="none"/>
        </w:rPr>
      </w:pPr>
      <w:bookmarkStart w:id="361" w:name="_Toc3411"/>
      <w:bookmarkStart w:id="362" w:name="_Toc22476"/>
      <w:bookmarkStart w:id="363" w:name="_Toc390098430"/>
      <w:bookmarkStart w:id="364" w:name="_Toc18149"/>
      <w:bookmarkStart w:id="365" w:name="_Toc16307"/>
      <w:bookmarkStart w:id="366" w:name="_Toc53"/>
      <w:bookmarkStart w:id="367" w:name="_Toc14323"/>
      <w:bookmarkStart w:id="368" w:name="_Toc29881"/>
      <w:bookmarkStart w:id="369" w:name="_Toc15809"/>
      <w:bookmarkStart w:id="370" w:name="_Toc23229"/>
      <w:bookmarkStart w:id="371" w:name="_Toc25750602"/>
      <w:bookmarkStart w:id="372" w:name="_Toc385427804"/>
      <w:bookmarkStart w:id="373" w:name="_Toc375039075"/>
      <w:bookmarkStart w:id="374" w:name="_Toc492478729"/>
      <w:bookmarkStart w:id="375" w:name="_Toc3464"/>
      <w:bookmarkStart w:id="376" w:name="_Toc23364"/>
      <w:bookmarkStart w:id="377" w:name="_Toc12983516"/>
      <w:bookmarkStart w:id="378" w:name="_Toc28164"/>
      <w:bookmarkStart w:id="379" w:name="_Toc24760"/>
      <w:bookmarkStart w:id="380" w:name="_Toc30991"/>
      <w:bookmarkStart w:id="381" w:name="_Toc30356"/>
      <w:bookmarkStart w:id="382" w:name="_Toc19681"/>
      <w:bookmarkStart w:id="383" w:name="_Toc3877"/>
      <w:bookmarkStart w:id="384" w:name="_Toc383891179"/>
      <w:r>
        <w:rPr>
          <w:rFonts w:ascii="宋体" w:hAnsi="宋体"/>
          <w:color w:val="auto"/>
          <w:highlight w:val="none"/>
        </w:rPr>
        <w:t>比选申请文件组成</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10.1</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10.2资格审查文件和技术文件不得透露有关报价的任何信息，否则其比选申请将被否决。</w:t>
      </w:r>
    </w:p>
    <w:p>
      <w:pPr>
        <w:spacing w:before="0" w:after="0" w:afterAutospacing="0"/>
        <w:ind w:left="0" w:right="0" w:firstLine="420" w:firstLineChars="200"/>
        <w:outlineLvl w:val="2"/>
        <w:rPr>
          <w:rFonts w:ascii="宋体" w:hAnsi="宋体"/>
          <w:color w:val="auto"/>
          <w:highlight w:val="none"/>
        </w:rPr>
      </w:pPr>
      <w:bookmarkStart w:id="385" w:name="_Toc27019"/>
      <w:bookmarkStart w:id="386" w:name="_Toc16783"/>
      <w:bookmarkStart w:id="387" w:name="_Toc23002"/>
      <w:bookmarkStart w:id="388" w:name="_Toc8151"/>
      <w:bookmarkStart w:id="389" w:name="_Toc15448"/>
      <w:bookmarkStart w:id="390" w:name="_Toc385427805"/>
      <w:bookmarkStart w:id="391" w:name="_Toc7608"/>
      <w:bookmarkStart w:id="392" w:name="_Toc15919"/>
      <w:bookmarkStart w:id="393" w:name="_Toc27194"/>
      <w:bookmarkStart w:id="394" w:name="_Toc21144"/>
      <w:bookmarkStart w:id="395" w:name="_Toc375039076"/>
      <w:bookmarkStart w:id="396" w:name="_Toc2395"/>
      <w:bookmarkStart w:id="397" w:name="_Toc390098431"/>
      <w:bookmarkStart w:id="398" w:name="_Toc11211"/>
      <w:bookmarkStart w:id="399" w:name="_Toc675"/>
      <w:bookmarkStart w:id="400" w:name="_Toc25750603"/>
      <w:bookmarkStart w:id="401" w:name="_Toc3670"/>
      <w:bookmarkStart w:id="402" w:name="_Toc14308"/>
      <w:bookmarkStart w:id="403" w:name="_Toc492478730"/>
      <w:bookmarkStart w:id="404" w:name="_Toc20490"/>
      <w:bookmarkStart w:id="405" w:name="_Toc20248"/>
      <w:bookmarkStart w:id="406" w:name="_Toc12983517"/>
      <w:bookmarkStart w:id="407" w:name="_Toc383891180"/>
      <w:bookmarkStart w:id="408" w:name="_Toc14630"/>
      <w:r>
        <w:rPr>
          <w:rFonts w:hint="eastAsia" w:ascii="宋体" w:hAnsi="宋体"/>
          <w:color w:val="auto"/>
          <w:highlight w:val="none"/>
        </w:rPr>
        <w:t xml:space="preserve">11. </w:t>
      </w:r>
      <w:r>
        <w:rPr>
          <w:rFonts w:ascii="宋体" w:hAnsi="宋体"/>
          <w:color w:val="auto"/>
          <w:highlight w:val="none"/>
        </w:rPr>
        <w:t>比选申请文件格式</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w:t>
      </w:r>
      <w:r>
        <w:rPr>
          <w:rFonts w:hint="eastAsia" w:ascii="宋体" w:hAnsi="宋体"/>
          <w:color w:val="auto"/>
          <w:highlight w:val="none"/>
        </w:rPr>
        <w:t>10</w:t>
      </w:r>
      <w:r>
        <w:rPr>
          <w:rFonts w:ascii="宋体" w:hAnsi="宋体"/>
          <w:color w:val="auto"/>
          <w:highlight w:val="none"/>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w:t>
      </w:r>
      <w:r>
        <w:rPr>
          <w:rFonts w:hint="eastAsia" w:ascii="宋体" w:hAnsi="宋体"/>
          <w:color w:val="auto"/>
          <w:highlight w:val="none"/>
        </w:rPr>
        <w:t>10</w:t>
      </w:r>
      <w:r>
        <w:rPr>
          <w:rFonts w:ascii="宋体" w:hAnsi="宋体"/>
          <w:color w:val="auto"/>
          <w:highlight w:val="none"/>
        </w:rPr>
        <w:t>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spacing w:before="0" w:after="0" w:afterAutospacing="0"/>
        <w:ind w:left="0" w:right="0" w:firstLine="420" w:firstLineChars="200"/>
        <w:outlineLvl w:val="2"/>
        <w:rPr>
          <w:rFonts w:ascii="宋体" w:hAnsi="宋体"/>
          <w:color w:val="auto"/>
          <w:highlight w:val="none"/>
        </w:rPr>
      </w:pPr>
      <w:bookmarkStart w:id="409" w:name="_Toc383891181"/>
      <w:bookmarkStart w:id="410" w:name="_Toc26974"/>
      <w:bookmarkStart w:id="411" w:name="_Toc16653"/>
      <w:bookmarkStart w:id="412" w:name="_Toc12983518"/>
      <w:bookmarkStart w:id="413" w:name="_Toc14123"/>
      <w:bookmarkStart w:id="414" w:name="_Toc17338"/>
      <w:bookmarkStart w:id="415" w:name="_Toc20685"/>
      <w:bookmarkStart w:id="416" w:name="_Toc17526"/>
      <w:bookmarkStart w:id="417" w:name="_Toc3813"/>
      <w:bookmarkStart w:id="418" w:name="_Toc22295"/>
      <w:bookmarkStart w:id="419" w:name="_Toc3799"/>
      <w:bookmarkStart w:id="420" w:name="_Toc390098432"/>
      <w:bookmarkStart w:id="421" w:name="_Toc21084"/>
      <w:bookmarkStart w:id="422" w:name="_Toc375039077"/>
      <w:bookmarkStart w:id="423" w:name="_Toc17379"/>
      <w:bookmarkStart w:id="424" w:name="_Toc25750604"/>
      <w:bookmarkStart w:id="425" w:name="_Toc24264"/>
      <w:bookmarkStart w:id="426" w:name="_Toc6671"/>
      <w:bookmarkStart w:id="427" w:name="_Toc26482"/>
      <w:bookmarkStart w:id="428" w:name="_Toc9416"/>
      <w:bookmarkStart w:id="429" w:name="_Toc31743"/>
      <w:bookmarkStart w:id="430" w:name="_Toc7857"/>
      <w:bookmarkStart w:id="431" w:name="_Toc385427806"/>
      <w:bookmarkStart w:id="432" w:name="_Toc492478731"/>
      <w:r>
        <w:rPr>
          <w:rFonts w:hint="eastAsia" w:ascii="宋体" w:hAnsi="宋体"/>
          <w:color w:val="auto"/>
          <w:highlight w:val="none"/>
        </w:rPr>
        <w:t xml:space="preserve">12. </w:t>
      </w:r>
      <w:r>
        <w:rPr>
          <w:rFonts w:ascii="宋体" w:hAnsi="宋体"/>
          <w:color w:val="auto"/>
          <w:highlight w:val="none"/>
        </w:rPr>
        <w:t>比选申请报价</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color w:val="auto"/>
          <w:highlight w:val="none"/>
        </w:rPr>
        <w:t>。比选申请人须按第五章《用户需求书》中的技术需求及故障件清单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12.4同一规格、型号、标准、内容的故障件在各分项报价中应为同一单价。比选申请人对同类故障件只允许有一个报价，如有不同报价，则以最低报价为准。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rPr>
        <w:t>5项目不接受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rPr>
        <w:t>6</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rPr>
        <w:t>7</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12.9 比选申请人不得在价格文件之外的比选申请文件中出现任何有关本项目的报价信息。</w:t>
      </w:r>
    </w:p>
    <w:p>
      <w:pPr>
        <w:numPr>
          <w:ilvl w:val="0"/>
          <w:numId w:val="5"/>
        </w:numPr>
        <w:spacing w:before="0" w:after="0" w:afterAutospacing="0"/>
        <w:ind w:left="0" w:right="0" w:firstLine="420" w:firstLineChars="200"/>
        <w:outlineLvl w:val="2"/>
        <w:rPr>
          <w:rFonts w:ascii="宋体" w:hAnsi="宋体"/>
          <w:color w:val="auto"/>
          <w:highlight w:val="none"/>
        </w:rPr>
      </w:pPr>
      <w:bookmarkStart w:id="433" w:name="_Toc2710"/>
      <w:bookmarkStart w:id="434" w:name="_Toc12762"/>
      <w:bookmarkStart w:id="435" w:name="_Toc390098433"/>
      <w:bookmarkStart w:id="436" w:name="_Toc383891182"/>
      <w:bookmarkStart w:id="437" w:name="_Toc12947"/>
      <w:bookmarkStart w:id="438" w:name="_Toc21430"/>
      <w:bookmarkStart w:id="439" w:name="_Toc1664"/>
      <w:bookmarkStart w:id="440" w:name="_Toc28880"/>
      <w:bookmarkStart w:id="441" w:name="_Toc28476"/>
      <w:bookmarkStart w:id="442" w:name="_Toc10220"/>
      <w:bookmarkStart w:id="443" w:name="_Toc25750605"/>
      <w:bookmarkStart w:id="444" w:name="_Toc21448"/>
      <w:bookmarkStart w:id="445" w:name="_Toc12983519"/>
      <w:bookmarkStart w:id="446" w:name="_Toc18875"/>
      <w:bookmarkStart w:id="447" w:name="_Toc25459"/>
      <w:bookmarkStart w:id="448" w:name="_Toc5836"/>
      <w:bookmarkStart w:id="449" w:name="_Toc15940"/>
      <w:bookmarkStart w:id="450" w:name="_Toc492478732"/>
      <w:bookmarkStart w:id="451" w:name="_Toc26064"/>
      <w:bookmarkStart w:id="452" w:name="_Toc21706"/>
      <w:bookmarkStart w:id="453" w:name="_Toc7428"/>
      <w:bookmarkStart w:id="454" w:name="_Toc375039078"/>
      <w:bookmarkStart w:id="455" w:name="_Toc385427807"/>
      <w:bookmarkStart w:id="456" w:name="_Toc20156"/>
      <w:r>
        <w:rPr>
          <w:rFonts w:ascii="宋体" w:hAnsi="宋体"/>
          <w:color w:val="auto"/>
          <w:highlight w:val="none"/>
        </w:rPr>
        <w:t>比选申请货币</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numPr>
          <w:ilvl w:val="0"/>
          <w:numId w:val="5"/>
        </w:numPr>
        <w:spacing w:before="0" w:after="0" w:afterAutospacing="0"/>
        <w:ind w:left="0" w:right="0" w:firstLine="420" w:firstLineChars="200"/>
        <w:outlineLvl w:val="2"/>
        <w:rPr>
          <w:rFonts w:ascii="宋体" w:hAnsi="宋体"/>
          <w:color w:val="auto"/>
          <w:highlight w:val="none"/>
        </w:rPr>
      </w:pPr>
      <w:bookmarkStart w:id="457" w:name="_Toc16314"/>
      <w:bookmarkStart w:id="458" w:name="_Toc30848"/>
      <w:bookmarkStart w:id="459" w:name="_Toc7417"/>
      <w:bookmarkStart w:id="460" w:name="_Toc5974"/>
      <w:bookmarkStart w:id="461" w:name="_Toc14922"/>
      <w:bookmarkStart w:id="462" w:name="_Toc12983520"/>
      <w:bookmarkStart w:id="463" w:name="_Toc24199"/>
      <w:bookmarkStart w:id="464" w:name="_Toc25750606"/>
      <w:bookmarkStart w:id="465" w:name="_Toc9237"/>
      <w:bookmarkStart w:id="466" w:name="_Toc383891185"/>
      <w:bookmarkStart w:id="467" w:name="_Toc30606"/>
      <w:bookmarkStart w:id="468" w:name="_Toc30040"/>
      <w:bookmarkStart w:id="469" w:name="_Toc22051"/>
      <w:bookmarkStart w:id="470" w:name="_Toc1530"/>
      <w:bookmarkStart w:id="471" w:name="_Toc390098436"/>
      <w:bookmarkStart w:id="472" w:name="_Toc12049"/>
      <w:bookmarkStart w:id="473" w:name="_Toc27508"/>
      <w:bookmarkStart w:id="474" w:name="_Toc28665"/>
      <w:bookmarkStart w:id="475" w:name="_Toc1624"/>
      <w:bookmarkStart w:id="476" w:name="_Toc492478735"/>
      <w:bookmarkStart w:id="477" w:name="_Toc11690"/>
      <w:bookmarkStart w:id="478" w:name="_Toc14309"/>
      <w:bookmarkStart w:id="479" w:name="_Toc385427810"/>
      <w:bookmarkStart w:id="480" w:name="_Toc375039081"/>
      <w:r>
        <w:rPr>
          <w:rFonts w:ascii="宋体" w:hAnsi="宋体"/>
          <w:color w:val="auto"/>
          <w:highlight w:val="none"/>
        </w:rPr>
        <w:t>比选保证金</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spacing w:before="0" w:after="0" w:afterAutospacing="0"/>
        <w:ind w:left="0" w:right="0" w:firstLine="420" w:firstLineChars="200"/>
        <w:outlineLvl w:val="2"/>
        <w:rPr>
          <w:rFonts w:ascii="宋体" w:hAnsi="宋体"/>
          <w:color w:val="auto"/>
          <w:highlight w:val="none"/>
        </w:rPr>
      </w:pPr>
      <w:bookmarkStart w:id="481" w:name="_Toc1604"/>
      <w:bookmarkStart w:id="482" w:name="_Toc375039082"/>
      <w:bookmarkStart w:id="483" w:name="_Toc10918"/>
      <w:bookmarkStart w:id="484" w:name="_Toc20493"/>
      <w:bookmarkStart w:id="485" w:name="_Toc9117"/>
      <w:bookmarkStart w:id="486" w:name="_Toc492478736"/>
      <w:bookmarkStart w:id="487" w:name="_Toc28997"/>
      <w:bookmarkStart w:id="488" w:name="_Toc390098437"/>
      <w:bookmarkStart w:id="489" w:name="_Toc23114"/>
      <w:bookmarkStart w:id="490" w:name="_Toc5690"/>
      <w:bookmarkStart w:id="491" w:name="_Toc7808"/>
      <w:bookmarkStart w:id="492" w:name="_Toc25750607"/>
      <w:bookmarkStart w:id="493" w:name="_Toc691"/>
      <w:bookmarkStart w:id="494" w:name="_Toc24656"/>
      <w:bookmarkStart w:id="495" w:name="_Toc385427811"/>
      <w:bookmarkStart w:id="496" w:name="_Toc845"/>
      <w:bookmarkStart w:id="497" w:name="_Toc28555"/>
      <w:bookmarkStart w:id="498" w:name="_Toc2268"/>
      <w:bookmarkStart w:id="499" w:name="_Toc4433"/>
      <w:bookmarkStart w:id="500" w:name="_Toc383891186"/>
      <w:bookmarkStart w:id="501" w:name="_Toc20070"/>
      <w:bookmarkStart w:id="502" w:name="_Toc20643"/>
      <w:bookmarkStart w:id="503" w:name="_Toc12983521"/>
      <w:bookmarkStart w:id="504" w:name="_Toc30499"/>
      <w:r>
        <w:rPr>
          <w:rFonts w:hint="eastAsia" w:ascii="宋体" w:hAnsi="宋体"/>
          <w:color w:val="auto"/>
          <w:highlight w:val="none"/>
        </w:rPr>
        <w:t xml:space="preserve">15. </w:t>
      </w:r>
      <w:r>
        <w:rPr>
          <w:rFonts w:ascii="宋体" w:hAnsi="宋体"/>
          <w:color w:val="auto"/>
          <w:highlight w:val="none"/>
        </w:rPr>
        <w:t>比选申请有效期</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outlineLvl w:val="2"/>
        <w:rPr>
          <w:rFonts w:ascii="宋体" w:hAnsi="宋体"/>
          <w:color w:val="auto"/>
          <w:highlight w:val="none"/>
        </w:rPr>
      </w:pPr>
      <w:bookmarkStart w:id="505" w:name="_Toc390098438"/>
      <w:bookmarkStart w:id="506" w:name="_Toc19044"/>
      <w:bookmarkStart w:id="507" w:name="_Toc25684"/>
      <w:bookmarkStart w:id="508" w:name="_Toc6065"/>
      <w:bookmarkStart w:id="509" w:name="_Toc24922"/>
      <w:bookmarkStart w:id="510" w:name="_Toc492478737"/>
      <w:bookmarkStart w:id="511" w:name="_Toc301"/>
      <w:bookmarkStart w:id="512" w:name="_Toc12983522"/>
      <w:bookmarkStart w:id="513" w:name="_Toc32020"/>
      <w:bookmarkStart w:id="514" w:name="_Toc19603"/>
      <w:bookmarkStart w:id="515" w:name="_Toc8100"/>
      <w:bookmarkStart w:id="516" w:name="_Toc12506"/>
      <w:bookmarkStart w:id="517" w:name="_Toc375039083"/>
      <w:bookmarkStart w:id="518" w:name="_Toc25468"/>
      <w:bookmarkStart w:id="519" w:name="_Toc383891187"/>
      <w:bookmarkStart w:id="520" w:name="_Toc385427812"/>
      <w:bookmarkStart w:id="521" w:name="_Toc32525"/>
      <w:bookmarkStart w:id="522" w:name="_Toc3414"/>
      <w:bookmarkStart w:id="523" w:name="_Toc12435"/>
      <w:bookmarkStart w:id="524" w:name="_Toc29108"/>
      <w:bookmarkStart w:id="525" w:name="_Toc14672"/>
      <w:bookmarkStart w:id="526" w:name="_Toc27730"/>
      <w:bookmarkStart w:id="527" w:name="_Toc4216"/>
      <w:r>
        <w:rPr>
          <w:rFonts w:hint="eastAsia" w:ascii="宋体" w:hAnsi="宋体"/>
          <w:color w:val="auto"/>
          <w:highlight w:val="none"/>
        </w:rPr>
        <w:t xml:space="preserve">16. </w:t>
      </w:r>
      <w:r>
        <w:rPr>
          <w:rFonts w:ascii="宋体" w:hAnsi="宋体"/>
          <w:color w:val="auto"/>
          <w:highlight w:val="none"/>
        </w:rPr>
        <w:t>比选申请文件的制作和签署</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spacing w:after="0" w:afterAutospacing="0"/>
        <w:ind w:left="0" w:right="0" w:firstLine="482" w:firstLineChars="200"/>
        <w:outlineLvl w:val="1"/>
        <w:rPr>
          <w:rFonts w:ascii="宋体" w:hAnsi="宋体"/>
          <w:b/>
          <w:bCs/>
          <w:color w:val="auto"/>
          <w:sz w:val="24"/>
          <w:szCs w:val="24"/>
          <w:highlight w:val="none"/>
        </w:rPr>
      </w:pPr>
      <w:bookmarkStart w:id="528" w:name="_Toc390098439"/>
      <w:bookmarkStart w:id="529" w:name="_Toc383891188"/>
      <w:bookmarkStart w:id="530" w:name="_Toc385427813"/>
      <w:bookmarkStart w:id="531" w:name="_Toc375039084"/>
      <w:bookmarkStart w:id="532" w:name="_Toc29304"/>
      <w:bookmarkStart w:id="533" w:name="_Toc24446"/>
      <w:bookmarkStart w:id="534" w:name="_Toc30452"/>
      <w:bookmarkStart w:id="535" w:name="_Toc12983523"/>
      <w:bookmarkStart w:id="536" w:name="_Toc18322"/>
      <w:bookmarkStart w:id="537" w:name="_Toc3316"/>
      <w:bookmarkStart w:id="538" w:name="_Toc1952"/>
      <w:bookmarkStart w:id="539" w:name="_Toc30187"/>
      <w:bookmarkStart w:id="540" w:name="_Toc30962"/>
      <w:bookmarkStart w:id="541" w:name="_Toc30604"/>
      <w:bookmarkStart w:id="542" w:name="_Toc16409"/>
      <w:bookmarkStart w:id="543" w:name="_Toc15116"/>
      <w:bookmarkStart w:id="544" w:name="_Toc492478738"/>
      <w:bookmarkStart w:id="545" w:name="_Toc17266"/>
      <w:bookmarkStart w:id="546" w:name="_Toc6101"/>
      <w:bookmarkStart w:id="547" w:name="_Toc10234"/>
      <w:bookmarkStart w:id="548" w:name="_Toc23177"/>
      <w:bookmarkStart w:id="549" w:name="_Toc2113"/>
      <w:bookmarkStart w:id="550" w:name="_Toc25750608"/>
      <w:bookmarkStart w:id="551" w:name="_Toc874"/>
      <w:bookmarkStart w:id="552" w:name="_Toc1315"/>
      <w:bookmarkStart w:id="553" w:name="_Toc26551"/>
      <w:bookmarkStart w:id="554" w:name="_Toc9404_WPSOffice_Level2"/>
      <w:bookmarkStart w:id="555" w:name="_Toc6619"/>
      <w:bookmarkStart w:id="556" w:name="_Toc2975"/>
      <w:bookmarkStart w:id="557" w:name="_Toc32054"/>
      <w:bookmarkStart w:id="558" w:name="_Toc759"/>
      <w:bookmarkStart w:id="559" w:name="_Toc26776"/>
      <w:bookmarkStart w:id="560" w:name="_Toc17555"/>
      <w:r>
        <w:rPr>
          <w:rFonts w:hint="eastAsia" w:ascii="宋体" w:hAnsi="宋体"/>
          <w:b/>
          <w:bCs/>
          <w:color w:val="auto"/>
          <w:sz w:val="24"/>
          <w:szCs w:val="24"/>
          <w:highlight w:val="none"/>
        </w:rPr>
        <w:t>四、</w:t>
      </w:r>
      <w:r>
        <w:rPr>
          <w:rFonts w:ascii="宋体" w:hAnsi="宋体"/>
          <w:b/>
          <w:bCs/>
          <w:color w:val="auto"/>
          <w:sz w:val="24"/>
          <w:szCs w:val="24"/>
          <w:highlight w:val="none"/>
        </w:rPr>
        <w:t>比选申请文件</w:t>
      </w:r>
      <w:bookmarkEnd w:id="528"/>
      <w:bookmarkEnd w:id="529"/>
      <w:bookmarkEnd w:id="530"/>
      <w:bookmarkEnd w:id="531"/>
      <w:r>
        <w:rPr>
          <w:rFonts w:hint="eastAsia" w:ascii="宋体" w:hAnsi="宋体"/>
          <w:b/>
          <w:bCs/>
          <w:color w:val="auto"/>
          <w:sz w:val="24"/>
          <w:szCs w:val="24"/>
          <w:highlight w:val="none"/>
        </w:rPr>
        <w:t>的密封和递交</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spacing w:before="0" w:after="0" w:afterAutospacing="0"/>
        <w:ind w:left="0" w:right="0" w:firstLine="420" w:firstLineChars="200"/>
        <w:outlineLvl w:val="2"/>
        <w:rPr>
          <w:rFonts w:ascii="宋体" w:hAnsi="宋体"/>
          <w:color w:val="auto"/>
          <w:highlight w:val="none"/>
        </w:rPr>
      </w:pPr>
      <w:bookmarkStart w:id="561" w:name="_Toc19495"/>
      <w:bookmarkStart w:id="562" w:name="_Toc18616"/>
      <w:bookmarkStart w:id="563" w:name="_Toc15663"/>
      <w:bookmarkStart w:id="564" w:name="_Toc26249"/>
      <w:bookmarkStart w:id="565" w:name="_Toc30196"/>
      <w:bookmarkStart w:id="566" w:name="_Toc12329"/>
      <w:bookmarkStart w:id="567" w:name="_Toc15650"/>
      <w:bookmarkStart w:id="568" w:name="_Toc375039085"/>
      <w:bookmarkStart w:id="569" w:name="_Toc13829"/>
      <w:bookmarkStart w:id="570" w:name="_Toc13621"/>
      <w:bookmarkStart w:id="571" w:name="_Toc385427814"/>
      <w:bookmarkStart w:id="572" w:name="_Toc9307"/>
      <w:bookmarkStart w:id="573" w:name="_Toc12983524"/>
      <w:bookmarkStart w:id="574" w:name="_Toc15071"/>
      <w:bookmarkStart w:id="575" w:name="_Toc15735"/>
      <w:bookmarkStart w:id="576" w:name="_Toc12117"/>
      <w:bookmarkStart w:id="577" w:name="_Toc390098440"/>
      <w:bookmarkStart w:id="578" w:name="_Toc13875"/>
      <w:bookmarkStart w:id="579" w:name="_Toc25750609"/>
      <w:bookmarkStart w:id="580" w:name="_Toc492478739"/>
      <w:bookmarkStart w:id="581" w:name="_Toc17200"/>
      <w:bookmarkStart w:id="582" w:name="_Toc24648"/>
      <w:bookmarkStart w:id="583" w:name="_Toc5922"/>
      <w:bookmarkStart w:id="584" w:name="_Toc383891189"/>
      <w:r>
        <w:rPr>
          <w:rFonts w:hint="eastAsia" w:ascii="宋体" w:hAnsi="宋体"/>
          <w:color w:val="auto"/>
          <w:highlight w:val="none"/>
        </w:rPr>
        <w:t xml:space="preserve">17. </w:t>
      </w:r>
      <w:r>
        <w:rPr>
          <w:rFonts w:ascii="宋体" w:hAnsi="宋体"/>
          <w:color w:val="auto"/>
          <w:highlight w:val="none"/>
        </w:rPr>
        <w:t>比选申请文件</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585" w:name="_Toc390098441"/>
      <w:bookmarkStart w:id="586" w:name="_Toc383891190"/>
      <w:bookmarkStart w:id="587" w:name="_Toc385427815"/>
      <w:bookmarkStart w:id="588"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南宁轨道交通1、2、3、4号线专用通信、AFC系统故障件维修委外服务项目（2024-2026年）</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lang w:eastAsia="zh-CN"/>
        </w:rPr>
        <w:t>202309210001</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numPr>
          <w:ilvl w:val="0"/>
          <w:numId w:val="6"/>
        </w:numPr>
        <w:spacing w:before="0" w:after="0" w:afterAutospacing="0"/>
        <w:ind w:left="0" w:right="0" w:firstLine="420" w:firstLineChars="200"/>
        <w:outlineLvl w:val="2"/>
        <w:rPr>
          <w:rFonts w:ascii="宋体" w:hAnsi="宋体"/>
          <w:color w:val="auto"/>
          <w:highlight w:val="none"/>
        </w:rPr>
      </w:pPr>
      <w:bookmarkStart w:id="589" w:name="_Toc11039"/>
      <w:bookmarkStart w:id="590" w:name="_Toc16755"/>
      <w:bookmarkStart w:id="591" w:name="_Toc22180"/>
      <w:bookmarkStart w:id="592" w:name="_Toc4735"/>
      <w:bookmarkStart w:id="593" w:name="_Toc16266"/>
      <w:bookmarkStart w:id="594" w:name="_Toc492478740"/>
      <w:bookmarkStart w:id="595" w:name="_Toc28071"/>
      <w:bookmarkStart w:id="596" w:name="_Toc6482"/>
      <w:bookmarkStart w:id="597" w:name="_Toc12983525"/>
      <w:bookmarkStart w:id="598" w:name="_Toc11255"/>
      <w:bookmarkStart w:id="599" w:name="_Toc6339"/>
      <w:bookmarkStart w:id="600" w:name="_Toc25750610"/>
      <w:bookmarkStart w:id="601" w:name="_Toc16818"/>
      <w:bookmarkStart w:id="602" w:name="_Toc23859"/>
      <w:bookmarkStart w:id="603" w:name="_Toc642"/>
      <w:bookmarkStart w:id="604" w:name="_Toc13883"/>
      <w:bookmarkStart w:id="605" w:name="_Toc22445"/>
      <w:bookmarkStart w:id="606" w:name="_Toc11096"/>
      <w:bookmarkStart w:id="607" w:name="_Toc32760"/>
      <w:bookmarkStart w:id="608" w:name="_Toc2337"/>
      <w:r>
        <w:rPr>
          <w:rFonts w:ascii="宋体" w:hAnsi="宋体"/>
          <w:color w:val="auto"/>
          <w:highlight w:val="none"/>
        </w:rPr>
        <w:t>比选申请截止期</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numPr>
          <w:ilvl w:val="0"/>
          <w:numId w:val="6"/>
        </w:numPr>
        <w:spacing w:before="0" w:after="0" w:afterAutospacing="0"/>
        <w:ind w:left="0" w:right="0" w:firstLine="420" w:firstLineChars="200"/>
        <w:outlineLvl w:val="2"/>
        <w:rPr>
          <w:rFonts w:ascii="宋体" w:hAnsi="宋体"/>
          <w:color w:val="auto"/>
          <w:highlight w:val="none"/>
        </w:rPr>
      </w:pPr>
      <w:bookmarkStart w:id="609" w:name="_Toc383891191"/>
      <w:bookmarkStart w:id="610" w:name="_Toc9522"/>
      <w:bookmarkStart w:id="611" w:name="_Toc32252"/>
      <w:bookmarkStart w:id="612" w:name="_Toc32621"/>
      <w:bookmarkStart w:id="613" w:name="_Toc10818"/>
      <w:bookmarkStart w:id="614" w:name="_Toc12983526"/>
      <w:bookmarkStart w:id="615" w:name="_Toc324"/>
      <w:bookmarkStart w:id="616" w:name="_Toc390098442"/>
      <w:bookmarkStart w:id="617" w:name="_Toc22945"/>
      <w:bookmarkStart w:id="618" w:name="_Toc29473"/>
      <w:bookmarkStart w:id="619" w:name="_Toc15252"/>
      <w:bookmarkStart w:id="620" w:name="_Toc11373"/>
      <w:bookmarkStart w:id="621" w:name="_Toc13581"/>
      <w:bookmarkStart w:id="622" w:name="_Toc23404"/>
      <w:bookmarkStart w:id="623" w:name="_Toc21960"/>
      <w:bookmarkStart w:id="624" w:name="_Toc2226"/>
      <w:bookmarkStart w:id="625" w:name="_Toc385427816"/>
      <w:bookmarkStart w:id="626" w:name="_Toc14239"/>
      <w:bookmarkStart w:id="627" w:name="_Toc26431"/>
      <w:bookmarkStart w:id="628" w:name="_Toc29066"/>
      <w:bookmarkStart w:id="629" w:name="_Toc25750611"/>
      <w:bookmarkStart w:id="630" w:name="_Toc492478741"/>
      <w:bookmarkStart w:id="631" w:name="_Toc375039087"/>
      <w:bookmarkStart w:id="632" w:name="_Toc3597"/>
      <w:r>
        <w:rPr>
          <w:rFonts w:ascii="宋体" w:hAnsi="宋体"/>
          <w:color w:val="auto"/>
          <w:highlight w:val="none"/>
        </w:rPr>
        <w:t>迟交的比选申请文件</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numPr>
          <w:ilvl w:val="0"/>
          <w:numId w:val="6"/>
        </w:numPr>
        <w:spacing w:before="0" w:after="0" w:afterAutospacing="0"/>
        <w:ind w:left="0" w:right="0" w:firstLine="420" w:firstLineChars="200"/>
        <w:outlineLvl w:val="2"/>
        <w:rPr>
          <w:rFonts w:ascii="宋体" w:hAnsi="宋体"/>
          <w:color w:val="auto"/>
          <w:highlight w:val="none"/>
        </w:rPr>
      </w:pPr>
      <w:bookmarkStart w:id="633" w:name="_Toc17797"/>
      <w:bookmarkStart w:id="634" w:name="_Toc28452"/>
      <w:bookmarkStart w:id="635" w:name="_Toc25427"/>
      <w:bookmarkStart w:id="636" w:name="_Toc390098443"/>
      <w:bookmarkStart w:id="637" w:name="_Toc26282"/>
      <w:bookmarkStart w:id="638" w:name="_Toc8636"/>
      <w:bookmarkStart w:id="639" w:name="_Toc12682"/>
      <w:bookmarkStart w:id="640" w:name="_Toc243"/>
      <w:bookmarkStart w:id="641" w:name="_Toc492478742"/>
      <w:bookmarkStart w:id="642" w:name="_Toc12983527"/>
      <w:bookmarkStart w:id="643" w:name="_Toc24030"/>
      <w:bookmarkStart w:id="644" w:name="_Toc27195"/>
      <w:bookmarkStart w:id="645" w:name="_Toc14411"/>
      <w:bookmarkStart w:id="646" w:name="_Toc29208"/>
      <w:bookmarkStart w:id="647" w:name="_Toc14522"/>
      <w:bookmarkStart w:id="648" w:name="_Toc375039088"/>
      <w:bookmarkStart w:id="649" w:name="_Toc383891192"/>
      <w:bookmarkStart w:id="650" w:name="_Toc385427817"/>
      <w:bookmarkStart w:id="651" w:name="_Toc9706"/>
      <w:bookmarkStart w:id="652" w:name="_Toc31033"/>
      <w:bookmarkStart w:id="653" w:name="_Toc21796"/>
      <w:bookmarkStart w:id="654" w:name="_Toc25750612"/>
      <w:bookmarkStart w:id="655" w:name="_Toc23449"/>
      <w:bookmarkStart w:id="656" w:name="_Toc4605"/>
      <w:r>
        <w:rPr>
          <w:rFonts w:ascii="宋体" w:hAnsi="宋体"/>
          <w:color w:val="auto"/>
          <w:highlight w:val="none"/>
        </w:rPr>
        <w:t>比选申请文件的修改和撤回</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spacing w:after="0" w:afterAutospacing="0"/>
        <w:ind w:left="0" w:right="0" w:firstLine="482" w:firstLineChars="200"/>
        <w:outlineLvl w:val="1"/>
        <w:rPr>
          <w:rFonts w:ascii="宋体" w:hAnsi="宋体"/>
          <w:b/>
          <w:bCs/>
          <w:color w:val="auto"/>
          <w:sz w:val="24"/>
          <w:szCs w:val="24"/>
          <w:highlight w:val="none"/>
        </w:rPr>
      </w:pPr>
      <w:bookmarkStart w:id="657" w:name="_Toc390098444"/>
      <w:bookmarkStart w:id="658" w:name="_Toc31978"/>
      <w:bookmarkStart w:id="659" w:name="_Toc11529"/>
      <w:bookmarkStart w:id="660" w:name="_Toc492478743"/>
      <w:bookmarkStart w:id="661" w:name="_Toc12983528"/>
      <w:bookmarkStart w:id="662" w:name="_Toc9549"/>
      <w:bookmarkStart w:id="663" w:name="_Toc24485"/>
      <w:bookmarkStart w:id="664" w:name="_Toc383891193"/>
      <w:bookmarkStart w:id="665" w:name="_Toc18076"/>
      <w:bookmarkStart w:id="666" w:name="_Toc2306"/>
      <w:bookmarkStart w:id="667" w:name="_Toc28694"/>
      <w:bookmarkStart w:id="668" w:name="_Toc29264"/>
      <w:bookmarkStart w:id="669" w:name="_Toc12182"/>
      <w:bookmarkStart w:id="670" w:name="_Toc9728"/>
      <w:bookmarkStart w:id="671" w:name="_Toc3006"/>
      <w:bookmarkStart w:id="672" w:name="_Toc375039089"/>
      <w:bookmarkStart w:id="673" w:name="_Toc10325"/>
      <w:bookmarkStart w:id="674" w:name="_Toc22587"/>
      <w:bookmarkStart w:id="675" w:name="_Toc16856"/>
      <w:bookmarkStart w:id="676" w:name="_Toc25433"/>
      <w:bookmarkStart w:id="677" w:name="_Toc385427818"/>
      <w:bookmarkStart w:id="678" w:name="_Toc4291"/>
      <w:bookmarkStart w:id="679" w:name="_Toc5592"/>
      <w:bookmarkStart w:id="680" w:name="_Toc25750613"/>
      <w:bookmarkStart w:id="681" w:name="_Toc24806"/>
      <w:bookmarkStart w:id="682" w:name="_Toc31615"/>
      <w:bookmarkStart w:id="683" w:name="_Toc2241"/>
      <w:bookmarkStart w:id="684" w:name="_Toc31874"/>
      <w:bookmarkStart w:id="685" w:name="_Toc3535"/>
      <w:bookmarkStart w:id="686" w:name="_Toc4104"/>
      <w:bookmarkStart w:id="687" w:name="_Toc12014"/>
      <w:bookmarkStart w:id="688" w:name="_Toc22895_WPSOffice_Level2"/>
      <w:bookmarkStart w:id="689" w:name="_Toc15737"/>
      <w:r>
        <w:rPr>
          <w:rFonts w:hint="eastAsia" w:ascii="宋体" w:hAnsi="宋体"/>
          <w:b/>
          <w:bCs/>
          <w:color w:val="auto"/>
          <w:sz w:val="24"/>
          <w:szCs w:val="24"/>
          <w:highlight w:val="none"/>
        </w:rPr>
        <w:t>五、</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Fonts w:hint="eastAsia" w:ascii="宋体" w:hAnsi="宋体"/>
          <w:b/>
          <w:bCs/>
          <w:color w:val="auto"/>
          <w:sz w:val="24"/>
          <w:szCs w:val="24"/>
          <w:highlight w:val="none"/>
        </w:rPr>
        <w:t>比选申请文件递交</w:t>
      </w:r>
      <w:bookmarkEnd w:id="680"/>
      <w:r>
        <w:rPr>
          <w:rFonts w:hint="eastAsia" w:ascii="宋体" w:hAnsi="宋体"/>
          <w:b/>
          <w:bCs/>
          <w:color w:val="auto"/>
          <w:sz w:val="24"/>
          <w:szCs w:val="24"/>
          <w:highlight w:val="none"/>
        </w:rPr>
        <w:t>与评审</w:t>
      </w:r>
      <w:bookmarkEnd w:id="681"/>
      <w:bookmarkEnd w:id="682"/>
      <w:bookmarkEnd w:id="683"/>
      <w:bookmarkEnd w:id="684"/>
      <w:bookmarkEnd w:id="685"/>
      <w:bookmarkEnd w:id="686"/>
      <w:bookmarkEnd w:id="687"/>
      <w:bookmarkEnd w:id="688"/>
      <w:bookmarkEnd w:id="689"/>
    </w:p>
    <w:p>
      <w:pPr>
        <w:spacing w:before="0" w:after="0" w:afterAutospacing="0"/>
        <w:ind w:left="0" w:right="0" w:firstLine="420" w:firstLineChars="200"/>
        <w:outlineLvl w:val="2"/>
        <w:rPr>
          <w:rFonts w:ascii="宋体" w:hAnsi="宋体"/>
          <w:color w:val="auto"/>
          <w:highlight w:val="none"/>
        </w:rPr>
      </w:pPr>
      <w:bookmarkStart w:id="690" w:name="_Toc6974"/>
      <w:bookmarkStart w:id="691" w:name="_Toc18919"/>
      <w:bookmarkStart w:id="692" w:name="_Toc4825"/>
      <w:bookmarkStart w:id="693" w:name="_Toc10292"/>
      <w:bookmarkStart w:id="694" w:name="_Toc375039090"/>
      <w:bookmarkStart w:id="695" w:name="_Toc5182"/>
      <w:bookmarkStart w:id="696" w:name="_Toc6839"/>
      <w:bookmarkStart w:id="697" w:name="_Toc24196"/>
      <w:bookmarkStart w:id="698" w:name="_Toc492478744"/>
      <w:bookmarkStart w:id="699" w:name="_Toc4365"/>
      <w:bookmarkStart w:id="700" w:name="_Toc9309"/>
      <w:bookmarkStart w:id="701" w:name="_Toc9264"/>
      <w:bookmarkStart w:id="702" w:name="_Toc25116"/>
      <w:bookmarkStart w:id="703" w:name="_Toc383891194"/>
      <w:bookmarkStart w:id="704" w:name="_Toc4674"/>
      <w:bookmarkStart w:id="705" w:name="_Toc10883"/>
      <w:bookmarkStart w:id="706" w:name="_Toc6377"/>
      <w:bookmarkStart w:id="707" w:name="_Toc385427819"/>
      <w:bookmarkStart w:id="708" w:name="_Toc4638"/>
      <w:bookmarkStart w:id="709" w:name="_Toc390098445"/>
      <w:bookmarkStart w:id="710" w:name="_Toc12983529"/>
      <w:bookmarkStart w:id="711" w:name="_Toc895"/>
      <w:bookmarkStart w:id="712" w:name="_Toc23705"/>
      <w:bookmarkStart w:id="713" w:name="_Toc25750614"/>
      <w:r>
        <w:rPr>
          <w:rFonts w:hint="eastAsia" w:ascii="宋体" w:hAnsi="宋体"/>
          <w:color w:val="auto"/>
          <w:highlight w:val="none"/>
        </w:rPr>
        <w:t xml:space="preserve">21. </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Fonts w:hint="eastAsia" w:ascii="宋体" w:hAnsi="宋体"/>
          <w:color w:val="auto"/>
          <w:highlight w:val="none"/>
        </w:rPr>
        <w:t>比选申请文件递交</w:t>
      </w:r>
      <w:bookmarkEnd w:id="713"/>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714" w:name="_Toc251051540"/>
      <w:r>
        <w:rPr>
          <w:rFonts w:ascii="宋体" w:hAnsi="宋体"/>
          <w:b/>
          <w:color w:val="auto"/>
          <w:highlight w:val="none"/>
        </w:rPr>
        <w:t>否则作无效</w:t>
      </w:r>
      <w:r>
        <w:rPr>
          <w:rFonts w:hint="eastAsia" w:ascii="宋体" w:hAnsi="宋体"/>
          <w:b/>
          <w:color w:val="auto"/>
          <w:highlight w:val="none"/>
        </w:rPr>
        <w:t>比选文件处理</w:t>
      </w:r>
      <w:bookmarkEnd w:id="714"/>
      <w:r>
        <w:rPr>
          <w:rFonts w:hint="eastAsia" w:ascii="宋体" w:hAnsi="宋体"/>
          <w:b/>
          <w:color w:val="auto"/>
          <w:highlight w:val="none"/>
        </w:rPr>
        <w:t>。</w:t>
      </w:r>
    </w:p>
    <w:p>
      <w:pPr>
        <w:spacing w:before="0" w:after="0" w:afterAutospacing="0"/>
        <w:ind w:left="0" w:right="0" w:firstLine="420" w:firstLineChars="200"/>
        <w:outlineLvl w:val="2"/>
        <w:rPr>
          <w:rFonts w:ascii="宋体" w:hAnsi="宋体"/>
          <w:color w:val="auto"/>
          <w:highlight w:val="none"/>
        </w:rPr>
      </w:pPr>
      <w:bookmarkStart w:id="715" w:name="_Toc385427820"/>
      <w:bookmarkStart w:id="716" w:name="_Toc375039091"/>
      <w:bookmarkStart w:id="717" w:name="_Toc390098446"/>
      <w:bookmarkStart w:id="718" w:name="_Toc383891195"/>
      <w:bookmarkStart w:id="719" w:name="_Toc12983530"/>
      <w:bookmarkStart w:id="720" w:name="_Toc17785"/>
      <w:bookmarkStart w:id="721" w:name="_Toc13202"/>
      <w:bookmarkStart w:id="722" w:name="_Toc5267"/>
      <w:bookmarkStart w:id="723" w:name="_Toc25750615"/>
      <w:bookmarkStart w:id="724" w:name="_Toc27636"/>
      <w:bookmarkStart w:id="725" w:name="_Toc1920"/>
      <w:bookmarkStart w:id="726" w:name="_Toc16601"/>
      <w:bookmarkStart w:id="727" w:name="_Toc11263"/>
      <w:bookmarkStart w:id="728" w:name="_Toc30671"/>
      <w:bookmarkStart w:id="729" w:name="_Toc9391"/>
      <w:bookmarkStart w:id="730" w:name="_Toc21819"/>
      <w:bookmarkStart w:id="731" w:name="_Toc24630"/>
      <w:bookmarkStart w:id="732" w:name="_Toc16068"/>
      <w:bookmarkStart w:id="733" w:name="_Toc23699"/>
      <w:bookmarkStart w:id="734" w:name="_Toc24687"/>
      <w:bookmarkStart w:id="735" w:name="_Toc492478745"/>
      <w:bookmarkStart w:id="736" w:name="_Toc11013"/>
      <w:bookmarkStart w:id="737" w:name="_Toc25270"/>
      <w:bookmarkStart w:id="738" w:name="_Toc15466"/>
      <w:r>
        <w:rPr>
          <w:rFonts w:hint="eastAsia" w:ascii="宋体" w:hAnsi="宋体"/>
          <w:color w:val="auto"/>
          <w:highlight w:val="none"/>
        </w:rPr>
        <w:t>22.</w:t>
      </w:r>
      <w:r>
        <w:rPr>
          <w:rFonts w:ascii="宋体" w:hAnsi="宋体"/>
          <w:color w:val="auto"/>
          <w:highlight w:val="none"/>
        </w:rPr>
        <w:t>评审</w:t>
      </w:r>
      <w:bookmarkEnd w:id="715"/>
      <w:bookmarkEnd w:id="716"/>
      <w:bookmarkEnd w:id="717"/>
      <w:bookmarkEnd w:id="718"/>
      <w:r>
        <w:rPr>
          <w:rFonts w:ascii="宋体" w:hAnsi="宋体"/>
          <w:color w:val="auto"/>
          <w:highlight w:val="none"/>
        </w:rPr>
        <w:t>程序</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tabs>
          <w:tab w:val="left" w:pos="8364"/>
        </w:tabs>
        <w:spacing w:before="0" w:after="0" w:afterAutospacing="0"/>
        <w:ind w:left="0" w:right="0" w:firstLine="420" w:firstLineChars="200"/>
        <w:rPr>
          <w:rFonts w:ascii="宋体" w:hAnsi="宋体"/>
          <w:b/>
          <w:color w:val="auto"/>
          <w:highlight w:val="none"/>
        </w:rPr>
      </w:pPr>
      <w:bookmarkStart w:id="739" w:name="_Toc375039092"/>
      <w:r>
        <w:rPr>
          <w:rFonts w:hint="eastAsia" w:ascii="宋体" w:hAnsi="宋体"/>
          <w:color w:val="auto"/>
          <w:highlight w:val="none"/>
        </w:rPr>
        <w:t>详见第六章《</w:t>
      </w:r>
      <w:r>
        <w:rPr>
          <w:rFonts w:hint="eastAsia" w:ascii="宋体" w:hAnsi="宋体"/>
          <w:color w:val="auto"/>
          <w:highlight w:val="none"/>
          <w:lang w:eastAsia="zh-CN"/>
        </w:rPr>
        <w:t>评审办法</w:t>
      </w:r>
      <w:r>
        <w:rPr>
          <w:rFonts w:hint="eastAsia" w:ascii="宋体" w:hAnsi="宋体"/>
          <w:color w:val="auto"/>
          <w:highlight w:val="none"/>
        </w:rPr>
        <w:t>》。</w:t>
      </w:r>
      <w:bookmarkEnd w:id="739"/>
    </w:p>
    <w:p>
      <w:pPr>
        <w:numPr>
          <w:ilvl w:val="0"/>
          <w:numId w:val="7"/>
        </w:numPr>
        <w:spacing w:before="0" w:after="0" w:afterAutospacing="0"/>
        <w:ind w:left="0" w:right="0" w:firstLine="420" w:firstLineChars="200"/>
        <w:outlineLvl w:val="2"/>
        <w:rPr>
          <w:rFonts w:ascii="宋体" w:hAnsi="宋体"/>
          <w:color w:val="auto"/>
          <w:highlight w:val="none"/>
        </w:rPr>
      </w:pPr>
      <w:bookmarkStart w:id="740" w:name="_Toc5386"/>
      <w:bookmarkStart w:id="741" w:name="_Toc15"/>
      <w:bookmarkStart w:id="742" w:name="_Toc492478746"/>
      <w:bookmarkStart w:id="743" w:name="_Toc390098447"/>
      <w:bookmarkStart w:id="744" w:name="_Toc17980"/>
      <w:bookmarkStart w:id="745" w:name="_Toc1456"/>
      <w:bookmarkStart w:id="746" w:name="_Toc385427821"/>
      <w:bookmarkStart w:id="747" w:name="_Toc14719"/>
      <w:bookmarkStart w:id="748" w:name="_Toc25750616"/>
      <w:bookmarkStart w:id="749" w:name="_Toc29929"/>
      <w:bookmarkStart w:id="750" w:name="_Toc375039093"/>
      <w:bookmarkStart w:id="751" w:name="_Toc25047"/>
      <w:bookmarkStart w:id="752" w:name="_Toc24755"/>
      <w:bookmarkStart w:id="753" w:name="_Toc383891196"/>
      <w:bookmarkStart w:id="754" w:name="_Toc16072"/>
      <w:bookmarkStart w:id="755" w:name="_Toc8295"/>
      <w:bookmarkStart w:id="756" w:name="_Toc833"/>
      <w:bookmarkStart w:id="757" w:name="_Toc11716"/>
      <w:bookmarkStart w:id="758" w:name="_Toc13421"/>
      <w:bookmarkStart w:id="759" w:name="_Toc18803"/>
      <w:bookmarkStart w:id="760" w:name="_Toc26137"/>
      <w:bookmarkStart w:id="761" w:name="_Toc18063"/>
      <w:bookmarkStart w:id="762" w:name="_Toc27570"/>
      <w:bookmarkStart w:id="763" w:name="_Toc12983531"/>
      <w:r>
        <w:rPr>
          <w:rFonts w:ascii="宋体" w:hAnsi="宋体"/>
          <w:color w:val="auto"/>
          <w:highlight w:val="none"/>
        </w:rPr>
        <w:t>与比选人和评审委员会的接触</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numPr>
          <w:ilvl w:val="0"/>
          <w:numId w:val="7"/>
        </w:numPr>
        <w:spacing w:before="0" w:after="0" w:afterAutospacing="0"/>
        <w:ind w:left="0" w:right="0" w:firstLine="420" w:firstLineChars="200"/>
        <w:outlineLvl w:val="2"/>
        <w:rPr>
          <w:rFonts w:ascii="宋体" w:hAnsi="宋体"/>
          <w:color w:val="auto"/>
          <w:highlight w:val="none"/>
        </w:rPr>
      </w:pPr>
      <w:bookmarkStart w:id="764" w:name="_Toc492478747"/>
      <w:bookmarkStart w:id="765" w:name="_Toc9941"/>
      <w:bookmarkStart w:id="766" w:name="_Toc29504"/>
      <w:bookmarkStart w:id="767" w:name="_Toc12555"/>
      <w:bookmarkStart w:id="768" w:name="_Toc21167"/>
      <w:bookmarkStart w:id="769" w:name="_Toc12983532"/>
      <w:bookmarkStart w:id="770" w:name="_Toc20523"/>
      <w:bookmarkStart w:id="771" w:name="_Toc383891197"/>
      <w:bookmarkStart w:id="772" w:name="_Toc16963"/>
      <w:bookmarkStart w:id="773" w:name="_Toc7858"/>
      <w:bookmarkStart w:id="774" w:name="_Toc12960"/>
      <w:bookmarkStart w:id="775" w:name="_Toc30207"/>
      <w:bookmarkStart w:id="776" w:name="_Toc18515"/>
      <w:bookmarkStart w:id="777" w:name="_Toc385427822"/>
      <w:bookmarkStart w:id="778" w:name="_Toc25750617"/>
      <w:bookmarkStart w:id="779" w:name="_Toc654"/>
      <w:bookmarkStart w:id="780" w:name="_Toc25734"/>
      <w:bookmarkStart w:id="781" w:name="_Toc9602"/>
      <w:bookmarkStart w:id="782" w:name="_Toc390098448"/>
      <w:bookmarkStart w:id="783" w:name="_Toc12909"/>
      <w:bookmarkStart w:id="784" w:name="_Toc15988"/>
      <w:bookmarkStart w:id="785" w:name="_Toc12671"/>
      <w:bookmarkStart w:id="786" w:name="_Toc19810"/>
      <w:bookmarkStart w:id="787" w:name="_Toc378514937"/>
      <w:bookmarkStart w:id="788" w:name="_Toc375039094"/>
      <w:bookmarkStart w:id="789" w:name="_Toc294723156"/>
      <w:r>
        <w:rPr>
          <w:rFonts w:hint="eastAsia" w:ascii="宋体" w:hAnsi="宋体"/>
          <w:color w:val="auto"/>
          <w:highlight w:val="none"/>
        </w:rPr>
        <w:t>评审过程保密</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numPr>
          <w:ilvl w:val="0"/>
          <w:numId w:val="7"/>
        </w:numPr>
        <w:spacing w:before="0" w:after="0" w:afterAutospacing="0"/>
        <w:ind w:left="0" w:right="0" w:firstLine="420" w:firstLineChars="200"/>
        <w:outlineLvl w:val="2"/>
        <w:rPr>
          <w:rFonts w:ascii="宋体" w:hAnsi="宋体"/>
          <w:color w:val="auto"/>
          <w:highlight w:val="none"/>
        </w:rPr>
      </w:pPr>
      <w:bookmarkStart w:id="790" w:name="_Toc1983"/>
      <w:bookmarkStart w:id="791" w:name="_Toc27670"/>
      <w:bookmarkStart w:id="792" w:name="_Toc14799"/>
      <w:bookmarkStart w:id="793" w:name="_Toc13743"/>
      <w:bookmarkStart w:id="794" w:name="_Toc6624"/>
      <w:bookmarkStart w:id="795" w:name="_Toc24327"/>
      <w:bookmarkStart w:id="796" w:name="_Toc28843"/>
      <w:bookmarkStart w:id="797" w:name="_Toc383891198"/>
      <w:bookmarkStart w:id="798" w:name="_Toc385427823"/>
      <w:bookmarkStart w:id="799" w:name="_Toc28898"/>
      <w:bookmarkStart w:id="800" w:name="_Toc12983533"/>
      <w:bookmarkStart w:id="801" w:name="_Toc390098449"/>
      <w:bookmarkStart w:id="802" w:name="_Toc492478748"/>
      <w:bookmarkStart w:id="803" w:name="_Toc22510"/>
      <w:bookmarkStart w:id="804" w:name="_Toc11077"/>
      <w:bookmarkStart w:id="805" w:name="_Toc8827"/>
      <w:bookmarkStart w:id="806" w:name="_Toc30429"/>
      <w:bookmarkStart w:id="807" w:name="_Toc25750618"/>
      <w:bookmarkStart w:id="808" w:name="_Toc5983"/>
      <w:bookmarkStart w:id="809" w:name="_Toc28701"/>
      <w:bookmarkStart w:id="810" w:name="_Toc14860"/>
      <w:bookmarkStart w:id="811" w:name="_Toc23267"/>
      <w:bookmarkStart w:id="812" w:name="_Toc13768"/>
      <w:r>
        <w:rPr>
          <w:rFonts w:hint="eastAsia" w:ascii="宋体" w:hAnsi="宋体"/>
          <w:color w:val="auto"/>
          <w:highlight w:val="none"/>
        </w:rPr>
        <w:t>比选申请文件的澄清</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numPr>
          <w:ilvl w:val="0"/>
          <w:numId w:val="7"/>
        </w:numPr>
        <w:spacing w:before="0" w:after="0" w:afterAutospacing="0"/>
        <w:ind w:left="0" w:right="0" w:firstLine="420" w:firstLineChars="200"/>
        <w:outlineLvl w:val="2"/>
        <w:rPr>
          <w:rFonts w:ascii="宋体" w:hAnsi="宋体"/>
          <w:color w:val="auto"/>
          <w:highlight w:val="none"/>
        </w:rPr>
      </w:pPr>
      <w:bookmarkStart w:id="813" w:name="_Toc5926"/>
      <w:bookmarkStart w:id="814" w:name="_Toc390098450"/>
      <w:bookmarkStart w:id="815" w:name="_Toc30017"/>
      <w:bookmarkStart w:id="816" w:name="_Toc4397"/>
      <w:bookmarkStart w:id="817" w:name="_Toc12983534"/>
      <w:bookmarkStart w:id="818" w:name="_Toc9040"/>
      <w:bookmarkStart w:id="819" w:name="_Toc26070"/>
      <w:bookmarkStart w:id="820" w:name="_Toc1915"/>
      <w:bookmarkStart w:id="821" w:name="_Toc385427824"/>
      <w:bookmarkStart w:id="822" w:name="_Toc492478749"/>
      <w:bookmarkStart w:id="823" w:name="_Toc26318"/>
      <w:bookmarkStart w:id="824" w:name="_Toc25750619"/>
      <w:bookmarkStart w:id="825" w:name="_Toc18093"/>
      <w:bookmarkStart w:id="826" w:name="_Toc6908"/>
      <w:bookmarkStart w:id="827" w:name="_Toc12795"/>
      <w:bookmarkStart w:id="828" w:name="_Toc16884"/>
      <w:bookmarkStart w:id="829" w:name="_Toc20519"/>
      <w:bookmarkStart w:id="830" w:name="_Toc5437"/>
      <w:bookmarkStart w:id="831" w:name="_Toc28992"/>
      <w:bookmarkStart w:id="832" w:name="_Toc29146"/>
      <w:bookmarkStart w:id="833" w:name="_Toc22681"/>
      <w:bookmarkStart w:id="834" w:name="_Toc383891199"/>
      <w:bookmarkStart w:id="835" w:name="_Toc5607"/>
      <w:r>
        <w:rPr>
          <w:rFonts w:hint="eastAsia" w:ascii="宋体" w:hAnsi="宋体"/>
          <w:color w:val="auto"/>
          <w:highlight w:val="none"/>
        </w:rPr>
        <w:t>比选申请文件响应性的确定</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numPr>
          <w:ilvl w:val="0"/>
          <w:numId w:val="7"/>
        </w:numPr>
        <w:spacing w:before="0" w:after="0" w:afterAutospacing="0"/>
        <w:ind w:left="0" w:right="0" w:firstLine="420" w:firstLineChars="200"/>
        <w:outlineLvl w:val="2"/>
        <w:rPr>
          <w:rFonts w:ascii="宋体" w:hAnsi="宋体"/>
          <w:color w:val="auto"/>
          <w:highlight w:val="none"/>
        </w:rPr>
      </w:pPr>
      <w:bookmarkStart w:id="836" w:name="_Toc383891200"/>
      <w:bookmarkStart w:id="837" w:name="_Toc15051"/>
      <w:bookmarkStart w:id="838" w:name="_Toc1027"/>
      <w:bookmarkStart w:id="839" w:name="_Toc492478750"/>
      <w:bookmarkStart w:id="840" w:name="_Toc29398"/>
      <w:bookmarkStart w:id="841" w:name="_Toc23999"/>
      <w:bookmarkStart w:id="842" w:name="_Toc19477"/>
      <w:bookmarkStart w:id="843" w:name="_Toc17236"/>
      <w:bookmarkStart w:id="844" w:name="_Toc31646"/>
      <w:bookmarkStart w:id="845" w:name="_Toc385427825"/>
      <w:bookmarkStart w:id="846" w:name="_Toc23956"/>
      <w:bookmarkStart w:id="847" w:name="_Toc26239"/>
      <w:bookmarkStart w:id="848" w:name="_Toc20874"/>
      <w:bookmarkStart w:id="849" w:name="_Toc12983535"/>
      <w:bookmarkStart w:id="850" w:name="_Toc20810"/>
      <w:bookmarkStart w:id="851" w:name="_Toc12167"/>
      <w:bookmarkStart w:id="852" w:name="_Toc23808"/>
      <w:bookmarkStart w:id="853" w:name="_Toc22063"/>
      <w:bookmarkStart w:id="854" w:name="_Toc390098451"/>
      <w:bookmarkStart w:id="855" w:name="_Toc25750620"/>
      <w:bookmarkStart w:id="856" w:name="_Toc21468"/>
      <w:bookmarkStart w:id="857" w:name="_Toc20912"/>
      <w:bookmarkStart w:id="858" w:name="_Toc22146"/>
      <w:r>
        <w:rPr>
          <w:rFonts w:hint="eastAsia" w:ascii="宋体" w:hAnsi="宋体"/>
          <w:color w:val="auto"/>
          <w:highlight w:val="none"/>
        </w:rPr>
        <w:t>比选申请文件计算错误的修正</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若修正后的总价与投标报价不相等，则评标总价和中标价均以修正后的总价为准，如比选申请人不接受按以上规则确定的评标总价和中标价，则其投标将被拒绝。</w:t>
      </w:r>
    </w:p>
    <w:p>
      <w:pPr>
        <w:numPr>
          <w:ilvl w:val="0"/>
          <w:numId w:val="7"/>
        </w:numPr>
        <w:spacing w:before="0" w:after="0" w:afterAutospacing="0"/>
        <w:ind w:left="0" w:right="0" w:firstLine="420" w:firstLineChars="200"/>
        <w:outlineLvl w:val="2"/>
        <w:rPr>
          <w:rFonts w:ascii="宋体" w:hAnsi="宋体"/>
          <w:color w:val="auto"/>
          <w:highlight w:val="none"/>
        </w:rPr>
      </w:pPr>
      <w:bookmarkStart w:id="859" w:name="_Toc20854"/>
      <w:bookmarkStart w:id="860" w:name="_Toc3258"/>
      <w:bookmarkStart w:id="861" w:name="_Toc390098452"/>
      <w:bookmarkStart w:id="862" w:name="_Toc1004"/>
      <w:bookmarkStart w:id="863" w:name="_Toc383891201"/>
      <w:bookmarkStart w:id="864" w:name="_Toc9812"/>
      <w:bookmarkStart w:id="865" w:name="_Toc24176"/>
      <w:bookmarkStart w:id="866" w:name="_Toc25750621"/>
      <w:bookmarkStart w:id="867" w:name="_Toc16418"/>
      <w:bookmarkStart w:id="868" w:name="_Toc492478751"/>
      <w:bookmarkStart w:id="869" w:name="_Toc20881"/>
      <w:bookmarkStart w:id="870" w:name="_Toc385427826"/>
      <w:bookmarkStart w:id="871" w:name="_Toc27112"/>
      <w:bookmarkStart w:id="872" w:name="_Toc22994"/>
      <w:bookmarkStart w:id="873" w:name="_Toc5319"/>
      <w:bookmarkStart w:id="874" w:name="_Toc29276"/>
      <w:bookmarkStart w:id="875" w:name="_Toc20444"/>
      <w:bookmarkStart w:id="876" w:name="_Toc4958"/>
      <w:bookmarkStart w:id="877" w:name="_Toc12983536"/>
      <w:bookmarkStart w:id="878" w:name="_Toc23907"/>
      <w:bookmarkStart w:id="879" w:name="_Toc9737"/>
      <w:bookmarkStart w:id="880" w:name="_Toc19936"/>
      <w:bookmarkStart w:id="881" w:name="_Toc8959"/>
      <w:r>
        <w:rPr>
          <w:rFonts w:hint="eastAsia" w:ascii="宋体" w:hAnsi="宋体"/>
          <w:color w:val="auto"/>
          <w:highlight w:val="none"/>
        </w:rPr>
        <w:t>比选申请文件的评价与比较</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787"/>
    </w:p>
    <w:p>
      <w:pPr>
        <w:numPr>
          <w:ilvl w:val="0"/>
          <w:numId w:val="7"/>
        </w:numPr>
        <w:spacing w:before="0" w:after="0" w:afterAutospacing="0"/>
        <w:ind w:left="0" w:right="0" w:firstLine="420" w:firstLineChars="200"/>
        <w:outlineLvl w:val="2"/>
        <w:rPr>
          <w:rFonts w:ascii="宋体" w:hAnsi="宋体"/>
          <w:color w:val="auto"/>
          <w:highlight w:val="none"/>
        </w:rPr>
      </w:pPr>
      <w:bookmarkStart w:id="882" w:name="_Toc385427827"/>
      <w:bookmarkStart w:id="883" w:name="_Toc19322"/>
      <w:bookmarkStart w:id="884" w:name="_Toc27289"/>
      <w:bookmarkStart w:id="885" w:name="_Toc11657"/>
      <w:bookmarkStart w:id="886" w:name="_Toc15146"/>
      <w:bookmarkStart w:id="887" w:name="_Toc3358"/>
      <w:bookmarkStart w:id="888" w:name="_Toc17460"/>
      <w:bookmarkStart w:id="889" w:name="_Toc8845"/>
      <w:bookmarkStart w:id="890" w:name="_Toc14300"/>
      <w:bookmarkStart w:id="891" w:name="_Toc32344"/>
      <w:bookmarkStart w:id="892" w:name="_Toc390098453"/>
      <w:bookmarkStart w:id="893" w:name="_Toc11010"/>
      <w:bookmarkStart w:id="894" w:name="_Toc492478752"/>
      <w:bookmarkStart w:id="895" w:name="_Toc31774"/>
      <w:bookmarkStart w:id="896" w:name="_Toc8074"/>
      <w:bookmarkStart w:id="897" w:name="_Toc12983537"/>
      <w:bookmarkStart w:id="898" w:name="_Toc1450"/>
      <w:bookmarkStart w:id="899" w:name="_Toc27803"/>
      <w:bookmarkStart w:id="900" w:name="_Toc25750622"/>
      <w:bookmarkStart w:id="901" w:name="_Toc22500"/>
      <w:bookmarkStart w:id="902" w:name="_Toc28489"/>
      <w:bookmarkStart w:id="903" w:name="_Toc383891202"/>
      <w:bookmarkStart w:id="904" w:name="_Toc507"/>
      <w:r>
        <w:rPr>
          <w:rFonts w:hint="eastAsia" w:ascii="宋体" w:hAnsi="宋体"/>
          <w:color w:val="auto"/>
          <w:highlight w:val="none"/>
        </w:rPr>
        <w:t>定标</w:t>
      </w:r>
      <w:bookmarkEnd w:id="788"/>
      <w:bookmarkEnd w:id="789"/>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w:t>
      </w:r>
      <w:r>
        <w:rPr>
          <w:rFonts w:ascii="宋体" w:hAnsi="宋体" w:cs="Arial"/>
          <w:color w:val="auto"/>
          <w:highlight w:val="none"/>
        </w:rPr>
        <w:t>汇总</w:t>
      </w:r>
      <w:r>
        <w:rPr>
          <w:rFonts w:hint="eastAsia" w:ascii="宋体" w:hAnsi="宋体" w:cs="Arial"/>
          <w:color w:val="auto"/>
          <w:highlight w:val="none"/>
        </w:rPr>
        <w:t>综合评分</w:t>
      </w:r>
      <w:r>
        <w:rPr>
          <w:rFonts w:ascii="宋体" w:hAnsi="宋体" w:cs="Arial"/>
          <w:color w:val="auto"/>
          <w:highlight w:val="none"/>
        </w:rPr>
        <w:t>最高的比选申请人推荐为</w:t>
      </w:r>
      <w:r>
        <w:rPr>
          <w:rFonts w:hint="eastAsia" w:ascii="宋体" w:hAnsi="宋体" w:cs="Arial"/>
          <w:color w:val="auto"/>
          <w:highlight w:val="none"/>
        </w:rPr>
        <w:t>中选</w:t>
      </w:r>
      <w:r>
        <w:rPr>
          <w:rFonts w:ascii="宋体" w:hAnsi="宋体" w:cs="Arial"/>
          <w:color w:val="auto"/>
          <w:highlight w:val="none"/>
        </w:rPr>
        <w:t>候选人</w:t>
      </w:r>
      <w:r>
        <w:rPr>
          <w:rFonts w:hint="eastAsia" w:ascii="宋体" w:hAnsi="宋体" w:cs="Arial"/>
          <w:color w:val="auto"/>
          <w:highlight w:val="none"/>
        </w:rPr>
        <w:t>。若比选申请人的综合得分相等时，技术评分高者优先；技术评分也相等的，比选报价评分高者优先，比选报价评分也相等的，以评审委</w:t>
      </w:r>
      <w:r>
        <w:rPr>
          <w:rFonts w:hint="eastAsia" w:ascii="宋体" w:hAnsi="宋体"/>
          <w:color w:val="auto"/>
          <w:highlight w:val="none"/>
        </w:rPr>
        <w:t>员会记名投票的方式按少数服从多数的原则决定其排名顺序。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评审委员会评审结束后，比选人经审查发现评审过程中有明显错误，可以组织原评审委员会进行复评。</w:t>
      </w:r>
    </w:p>
    <w:p>
      <w:pPr>
        <w:numPr>
          <w:ilvl w:val="0"/>
          <w:numId w:val="7"/>
        </w:numPr>
        <w:spacing w:before="0" w:after="0" w:afterAutospacing="0"/>
        <w:ind w:left="0" w:right="0" w:firstLine="420" w:firstLineChars="200"/>
        <w:outlineLvl w:val="2"/>
        <w:rPr>
          <w:rFonts w:ascii="宋体" w:hAnsi="宋体"/>
          <w:color w:val="auto"/>
          <w:highlight w:val="none"/>
        </w:rPr>
      </w:pPr>
      <w:bookmarkStart w:id="905" w:name="_Toc13986"/>
      <w:bookmarkStart w:id="906" w:name="_Toc385427828"/>
      <w:bookmarkStart w:id="907" w:name="_Toc17823"/>
      <w:bookmarkStart w:id="908" w:name="_Toc390098454"/>
      <w:bookmarkStart w:id="909" w:name="_Toc1215"/>
      <w:bookmarkStart w:id="910" w:name="_Toc5257"/>
      <w:bookmarkStart w:id="911" w:name="_Toc18192"/>
      <w:bookmarkStart w:id="912" w:name="_Toc19634"/>
      <w:bookmarkStart w:id="913" w:name="_Toc22182"/>
      <w:bookmarkStart w:id="914" w:name="_Toc15932"/>
      <w:bookmarkStart w:id="915" w:name="_Toc492478753"/>
      <w:bookmarkStart w:id="916" w:name="_Toc37"/>
      <w:bookmarkStart w:id="917" w:name="_Toc5172"/>
      <w:bookmarkStart w:id="918" w:name="_Toc26470"/>
      <w:bookmarkStart w:id="919" w:name="_Toc21142"/>
      <w:bookmarkStart w:id="920" w:name="_Toc3761"/>
      <w:bookmarkStart w:id="921" w:name="_Toc375039095"/>
      <w:bookmarkStart w:id="922" w:name="_Toc16732"/>
      <w:bookmarkStart w:id="923" w:name="_Toc383891203"/>
      <w:bookmarkStart w:id="924" w:name="_Toc27664"/>
      <w:bookmarkStart w:id="925" w:name="_Toc12983538"/>
      <w:bookmarkStart w:id="926" w:name="_Toc14042"/>
      <w:bookmarkStart w:id="927" w:name="_Toc21947"/>
      <w:bookmarkStart w:id="928" w:name="_Toc25750623"/>
      <w:r>
        <w:rPr>
          <w:rFonts w:hint="eastAsia" w:ascii="宋体" w:hAnsi="宋体"/>
          <w:color w:val="auto"/>
          <w:highlight w:val="none"/>
        </w:rPr>
        <w:t>重新</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Fonts w:hint="eastAsia" w:ascii="宋体" w:hAnsi="宋体"/>
          <w:color w:val="auto"/>
          <w:highlight w:val="none"/>
        </w:rPr>
        <w:t>比选</w:t>
      </w:r>
      <w:bookmarkEnd w:id="92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30.5</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30.6比选文件中规定的其他情况。</w:t>
      </w:r>
    </w:p>
    <w:p>
      <w:pPr>
        <w:numPr>
          <w:ilvl w:val="0"/>
          <w:numId w:val="7"/>
        </w:numPr>
        <w:spacing w:before="0" w:after="0" w:afterAutospacing="0"/>
        <w:ind w:left="0" w:right="0" w:firstLine="420" w:firstLineChars="200"/>
        <w:outlineLvl w:val="2"/>
        <w:rPr>
          <w:rFonts w:ascii="宋体" w:hAnsi="宋体"/>
          <w:color w:val="auto"/>
          <w:highlight w:val="none"/>
        </w:rPr>
      </w:pPr>
      <w:bookmarkStart w:id="929" w:name="_Toc375039096"/>
      <w:bookmarkStart w:id="930" w:name="_Toc3769"/>
      <w:bookmarkStart w:id="931" w:name="_Toc17042"/>
      <w:bookmarkStart w:id="932" w:name="_Toc12983539"/>
      <w:bookmarkStart w:id="933" w:name="_Toc14454"/>
      <w:bookmarkStart w:id="934" w:name="_Toc385427829"/>
      <w:bookmarkStart w:id="935" w:name="_Toc26919"/>
      <w:bookmarkStart w:id="936" w:name="_Toc2422"/>
      <w:bookmarkStart w:id="937" w:name="_Toc1945"/>
      <w:bookmarkStart w:id="938" w:name="_Toc20979"/>
      <w:bookmarkStart w:id="939" w:name="_Toc25257"/>
      <w:bookmarkStart w:id="940" w:name="_Toc11126"/>
      <w:bookmarkStart w:id="941" w:name="_Toc492478754"/>
      <w:bookmarkStart w:id="942" w:name="_Toc12031"/>
      <w:bookmarkStart w:id="943" w:name="_Toc14235"/>
      <w:bookmarkStart w:id="944" w:name="_Toc31757"/>
      <w:bookmarkStart w:id="945" w:name="_Toc1116"/>
      <w:bookmarkStart w:id="946" w:name="_Toc10962"/>
      <w:bookmarkStart w:id="947" w:name="_Toc383891204"/>
      <w:bookmarkStart w:id="948" w:name="_Toc390098455"/>
      <w:bookmarkStart w:id="949" w:name="_Toc5959"/>
      <w:bookmarkStart w:id="950" w:name="_Toc26954"/>
      <w:bookmarkStart w:id="951" w:name="_Toc6886"/>
      <w:bookmarkStart w:id="952" w:name="_Toc25750624"/>
      <w:r>
        <w:rPr>
          <w:rFonts w:hint="eastAsia" w:ascii="宋体" w:hAnsi="宋体"/>
          <w:color w:val="auto"/>
          <w:highlight w:val="none"/>
        </w:rPr>
        <w:t>不再</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Fonts w:hint="eastAsia" w:ascii="宋体" w:hAnsi="宋体"/>
          <w:color w:val="auto"/>
          <w:highlight w:val="none"/>
        </w:rPr>
        <w:t>比选</w:t>
      </w:r>
      <w:bookmarkEnd w:id="952"/>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项目比选经发布信息后比选申请人少于三个或所有比选申请被否决的，比选人可不再进行比选</w:t>
      </w:r>
      <w:r>
        <w:rPr>
          <w:rFonts w:ascii="宋体" w:hAnsi="宋体"/>
          <w:color w:val="auto"/>
          <w:highlight w:val="none"/>
        </w:rPr>
        <w:t>。</w:t>
      </w:r>
    </w:p>
    <w:p>
      <w:pPr>
        <w:spacing w:after="0" w:afterAutospacing="0"/>
        <w:ind w:left="0" w:right="0" w:firstLine="482" w:firstLineChars="200"/>
        <w:outlineLvl w:val="1"/>
        <w:rPr>
          <w:rFonts w:ascii="宋体" w:hAnsi="宋体"/>
          <w:b/>
          <w:bCs/>
          <w:color w:val="auto"/>
          <w:sz w:val="24"/>
          <w:szCs w:val="24"/>
          <w:highlight w:val="none"/>
        </w:rPr>
      </w:pPr>
      <w:bookmarkStart w:id="953" w:name="_Toc2326"/>
      <w:bookmarkStart w:id="954" w:name="_Toc12421"/>
      <w:bookmarkStart w:id="955" w:name="_Toc9082"/>
      <w:bookmarkStart w:id="956" w:name="_Toc6000"/>
      <w:bookmarkStart w:id="957" w:name="_Toc25431"/>
      <w:bookmarkStart w:id="958" w:name="_Toc25750625"/>
      <w:bookmarkStart w:id="959" w:name="_Toc27839"/>
      <w:bookmarkStart w:id="960" w:name="_Toc9113"/>
      <w:bookmarkStart w:id="961" w:name="_Toc375039097"/>
      <w:bookmarkStart w:id="962" w:name="_Toc492478755"/>
      <w:bookmarkStart w:id="963" w:name="_Toc21516"/>
      <w:bookmarkStart w:id="964" w:name="_Toc32014_WPSOffice_Level2"/>
      <w:bookmarkStart w:id="965" w:name="_Toc22975"/>
      <w:bookmarkStart w:id="966" w:name="_Toc390098456"/>
      <w:bookmarkStart w:id="967" w:name="_Toc7938"/>
      <w:bookmarkStart w:id="968" w:name="_Toc742"/>
      <w:bookmarkStart w:id="969" w:name="_Toc24580"/>
      <w:bookmarkStart w:id="970" w:name="_Toc19952"/>
      <w:bookmarkStart w:id="971" w:name="_Toc18800"/>
      <w:bookmarkStart w:id="972" w:name="_Toc8834"/>
      <w:bookmarkStart w:id="973" w:name="_Toc24681"/>
      <w:bookmarkStart w:id="974" w:name="_Toc26653"/>
      <w:bookmarkStart w:id="975" w:name="_Toc8230"/>
      <w:bookmarkStart w:id="976" w:name="_Toc31958"/>
      <w:bookmarkStart w:id="977" w:name="_Toc6355"/>
      <w:bookmarkStart w:id="978" w:name="_Toc28036"/>
      <w:bookmarkStart w:id="979" w:name="_Toc30278"/>
      <w:bookmarkStart w:id="980" w:name="_Toc383891205"/>
      <w:bookmarkStart w:id="981" w:name="_Toc16024"/>
      <w:bookmarkStart w:id="982" w:name="_Toc10446"/>
      <w:bookmarkStart w:id="983" w:name="_Toc385427830"/>
      <w:bookmarkStart w:id="984" w:name="_Toc4743"/>
      <w:bookmarkStart w:id="985" w:name="_Toc12983540"/>
      <w:r>
        <w:rPr>
          <w:rFonts w:hint="eastAsia" w:ascii="宋体" w:hAnsi="宋体"/>
          <w:b/>
          <w:bCs/>
          <w:color w:val="auto"/>
          <w:sz w:val="24"/>
          <w:szCs w:val="24"/>
          <w:highlight w:val="none"/>
        </w:rPr>
        <w:t>六、</w:t>
      </w:r>
      <w:r>
        <w:rPr>
          <w:rFonts w:ascii="宋体" w:hAnsi="宋体"/>
          <w:b/>
          <w:bCs/>
          <w:color w:val="auto"/>
          <w:sz w:val="24"/>
          <w:szCs w:val="24"/>
          <w:highlight w:val="none"/>
        </w:rPr>
        <w:t>授予合同</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spacing w:before="0" w:after="0" w:afterAutospacing="0"/>
        <w:ind w:left="0" w:right="0" w:firstLine="420" w:firstLineChars="200"/>
        <w:outlineLvl w:val="2"/>
        <w:rPr>
          <w:rFonts w:ascii="宋体" w:hAnsi="宋体"/>
          <w:color w:val="auto"/>
          <w:highlight w:val="none"/>
        </w:rPr>
      </w:pPr>
      <w:bookmarkStart w:id="986" w:name="_Toc22323"/>
      <w:bookmarkStart w:id="987" w:name="_Toc385427831"/>
      <w:bookmarkStart w:id="988" w:name="_Toc8938"/>
      <w:bookmarkStart w:id="989" w:name="_Toc390098457"/>
      <w:bookmarkStart w:id="990" w:name="_Toc20642"/>
      <w:bookmarkStart w:id="991" w:name="_Toc10522"/>
      <w:bookmarkStart w:id="992" w:name="_Toc375039098"/>
      <w:bookmarkStart w:id="993" w:name="_Toc30743"/>
      <w:bookmarkStart w:id="994" w:name="_Toc28661"/>
      <w:bookmarkStart w:id="995" w:name="_Toc26525"/>
      <w:bookmarkStart w:id="996" w:name="_Toc11795"/>
      <w:bookmarkStart w:id="997" w:name="_Toc383891206"/>
      <w:bookmarkStart w:id="998" w:name="_Toc22688"/>
      <w:bookmarkStart w:id="999" w:name="_Toc31011"/>
      <w:bookmarkStart w:id="1000" w:name="_Toc21728"/>
      <w:bookmarkStart w:id="1001" w:name="_Toc18878"/>
      <w:bookmarkStart w:id="1002" w:name="_Toc25750626"/>
      <w:bookmarkStart w:id="1003" w:name="_Toc30026"/>
      <w:bookmarkStart w:id="1004" w:name="_Toc492478756"/>
      <w:bookmarkStart w:id="1005" w:name="_Toc12983541"/>
      <w:bookmarkStart w:id="1006" w:name="_Toc13914"/>
      <w:bookmarkStart w:id="1007" w:name="_Toc26143"/>
      <w:bookmarkStart w:id="1008" w:name="_Toc1269"/>
      <w:bookmarkStart w:id="1009" w:name="_Toc21975"/>
      <w:r>
        <w:rPr>
          <w:rFonts w:hint="eastAsia" w:ascii="宋体" w:hAnsi="宋体"/>
          <w:color w:val="auto"/>
          <w:highlight w:val="none"/>
        </w:rPr>
        <w:t>32. 合同授予标准</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spacing w:before="0" w:after="0" w:afterAutospacing="0"/>
        <w:ind w:left="0" w:right="0" w:firstLine="420" w:firstLineChars="200"/>
        <w:outlineLvl w:val="2"/>
        <w:rPr>
          <w:rFonts w:ascii="宋体" w:hAnsi="宋体"/>
          <w:color w:val="auto"/>
          <w:highlight w:val="none"/>
        </w:rPr>
      </w:pPr>
      <w:bookmarkStart w:id="1010" w:name="_Toc17818"/>
      <w:bookmarkStart w:id="1011" w:name="_Toc25797"/>
      <w:bookmarkStart w:id="1012" w:name="_Toc19774"/>
      <w:bookmarkStart w:id="1013" w:name="_Toc16111"/>
      <w:bookmarkStart w:id="1014" w:name="_Toc31336"/>
      <w:bookmarkStart w:id="1015" w:name="_Toc1873"/>
      <w:bookmarkStart w:id="1016" w:name="_Toc25750627"/>
      <w:bookmarkStart w:id="1017" w:name="_Toc383891207"/>
      <w:bookmarkStart w:id="1018" w:name="_Toc23649"/>
      <w:bookmarkStart w:id="1019" w:name="_Toc14325"/>
      <w:bookmarkStart w:id="1020" w:name="_Toc377"/>
      <w:bookmarkStart w:id="1021" w:name="_Toc375039099"/>
      <w:bookmarkStart w:id="1022" w:name="_Toc385427832"/>
      <w:bookmarkStart w:id="1023" w:name="_Toc13417"/>
      <w:bookmarkStart w:id="1024" w:name="_Toc17153"/>
      <w:bookmarkStart w:id="1025" w:name="_Toc19128"/>
      <w:bookmarkStart w:id="1026" w:name="_Toc18977"/>
      <w:bookmarkStart w:id="1027" w:name="_Toc390098458"/>
      <w:bookmarkStart w:id="1028" w:name="_Toc14832"/>
      <w:bookmarkStart w:id="1029" w:name="_Toc11913"/>
      <w:bookmarkStart w:id="1030" w:name="_Toc12983542"/>
      <w:bookmarkStart w:id="1031" w:name="_Toc24183"/>
      <w:bookmarkStart w:id="1032" w:name="_Toc14301"/>
      <w:bookmarkStart w:id="1033" w:name="_Toc492478757"/>
      <w:r>
        <w:rPr>
          <w:rFonts w:hint="eastAsia" w:ascii="宋体" w:hAnsi="宋体"/>
          <w:color w:val="auto"/>
          <w:highlight w:val="none"/>
        </w:rPr>
        <w:t>33. 接受和否决任何或所有比选申请的权力</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numPr>
          <w:ilvl w:val="0"/>
          <w:numId w:val="8"/>
        </w:numPr>
        <w:spacing w:before="0" w:after="0" w:afterAutospacing="0"/>
        <w:ind w:left="0" w:right="0" w:firstLine="420" w:firstLineChars="200"/>
        <w:outlineLvl w:val="2"/>
        <w:rPr>
          <w:rFonts w:ascii="宋体" w:hAnsi="宋体"/>
          <w:color w:val="auto"/>
          <w:highlight w:val="none"/>
        </w:rPr>
      </w:pPr>
      <w:bookmarkStart w:id="1034" w:name="_Toc19943"/>
      <w:bookmarkStart w:id="1035" w:name="_Toc2061"/>
      <w:bookmarkStart w:id="1036" w:name="_Toc10348"/>
      <w:bookmarkStart w:id="1037" w:name="_Toc25750628"/>
      <w:bookmarkStart w:id="1038" w:name="_Toc9636"/>
      <w:bookmarkStart w:id="1039" w:name="_Toc383891208"/>
      <w:bookmarkStart w:id="1040" w:name="_Toc921"/>
      <w:bookmarkStart w:id="1041" w:name="_Toc13596"/>
      <w:bookmarkStart w:id="1042" w:name="_Toc12065"/>
      <w:bookmarkStart w:id="1043" w:name="_Toc5061"/>
      <w:bookmarkStart w:id="1044" w:name="_Toc32424"/>
      <w:bookmarkStart w:id="1045" w:name="_Toc375039100"/>
      <w:bookmarkStart w:id="1046" w:name="_Toc21798"/>
      <w:bookmarkStart w:id="1047" w:name="_Toc12983543"/>
      <w:bookmarkStart w:id="1048" w:name="_Toc13605"/>
      <w:bookmarkStart w:id="1049" w:name="_Toc390098459"/>
      <w:bookmarkStart w:id="1050" w:name="_Toc673"/>
      <w:bookmarkStart w:id="1051" w:name="_Toc27683"/>
      <w:bookmarkStart w:id="1052" w:name="_Toc20680"/>
      <w:bookmarkStart w:id="1053" w:name="_Toc17953"/>
      <w:bookmarkStart w:id="1054" w:name="_Toc385427833"/>
      <w:bookmarkStart w:id="1055" w:name="_Toc492478758"/>
      <w:bookmarkStart w:id="1056" w:name="_Toc19556"/>
      <w:bookmarkStart w:id="1057" w:name="_Toc22657"/>
      <w:r>
        <w:rPr>
          <w:rFonts w:hint="eastAsia" w:ascii="宋体" w:hAnsi="宋体"/>
          <w:color w:val="auto"/>
          <w:highlight w:val="none"/>
        </w:rPr>
        <w:t>中选通知书</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numPr>
          <w:ilvl w:val="0"/>
          <w:numId w:val="8"/>
        </w:numPr>
        <w:spacing w:before="0" w:after="0" w:afterAutospacing="0"/>
        <w:ind w:left="0" w:right="0" w:firstLine="420" w:firstLineChars="200"/>
        <w:outlineLvl w:val="2"/>
        <w:rPr>
          <w:rFonts w:ascii="宋体" w:hAnsi="宋体"/>
          <w:color w:val="auto"/>
          <w:highlight w:val="none"/>
        </w:rPr>
      </w:pPr>
      <w:bookmarkStart w:id="1058" w:name="_Toc375039101"/>
      <w:bookmarkStart w:id="1059" w:name="_Toc1780"/>
      <w:bookmarkStart w:id="1060" w:name="_Toc12983544"/>
      <w:bookmarkStart w:id="1061" w:name="_Toc24885"/>
      <w:bookmarkStart w:id="1062" w:name="_Toc390098460"/>
      <w:bookmarkStart w:id="1063" w:name="_Toc4190"/>
      <w:bookmarkStart w:id="1064" w:name="_Toc5617"/>
      <w:bookmarkStart w:id="1065" w:name="_Toc383891209"/>
      <w:bookmarkStart w:id="1066" w:name="_Toc30862"/>
      <w:bookmarkStart w:id="1067" w:name="_Toc15048"/>
      <w:bookmarkStart w:id="1068" w:name="_Toc1862"/>
      <w:bookmarkStart w:id="1069" w:name="_Toc25750629"/>
      <w:bookmarkStart w:id="1070" w:name="_Toc492478759"/>
      <w:bookmarkStart w:id="1071" w:name="_Toc5767"/>
      <w:bookmarkStart w:id="1072" w:name="_Toc21570"/>
      <w:bookmarkStart w:id="1073" w:name="_Toc385427834"/>
      <w:bookmarkStart w:id="1074" w:name="_Toc18694"/>
      <w:bookmarkStart w:id="1075" w:name="_Toc29993"/>
      <w:bookmarkStart w:id="1076" w:name="_Toc24240"/>
      <w:bookmarkStart w:id="1077" w:name="_Toc28815"/>
      <w:bookmarkStart w:id="1078" w:name="_Toc21217"/>
      <w:bookmarkStart w:id="1079" w:name="_Toc22442"/>
      <w:bookmarkStart w:id="1080" w:name="_Toc25208"/>
      <w:bookmarkStart w:id="1081" w:name="_Toc8628"/>
      <w:r>
        <w:rPr>
          <w:rFonts w:hint="eastAsia" w:ascii="宋体" w:hAnsi="宋体"/>
          <w:color w:val="auto"/>
          <w:highlight w:val="none"/>
        </w:rPr>
        <w:t>签订合同</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numPr>
          <w:ilvl w:val="0"/>
          <w:numId w:val="8"/>
        </w:numPr>
        <w:tabs>
          <w:tab w:val="left" w:pos="1134"/>
          <w:tab w:val="left" w:pos="8364"/>
        </w:tabs>
        <w:spacing w:before="0" w:after="0" w:afterAutospacing="0"/>
        <w:ind w:left="0" w:right="0" w:firstLine="420" w:firstLineChars="200"/>
        <w:outlineLvl w:val="2"/>
        <w:rPr>
          <w:rFonts w:ascii="宋体" w:hAnsi="宋体"/>
          <w:color w:val="auto"/>
          <w:highlight w:val="none"/>
        </w:rPr>
      </w:pPr>
      <w:bookmarkStart w:id="1082" w:name="_Toc21294"/>
      <w:bookmarkStart w:id="1083" w:name="_Toc383891211"/>
      <w:bookmarkStart w:id="1084" w:name="_Toc25750631"/>
      <w:bookmarkStart w:id="1085" w:name="_Toc492478761"/>
      <w:bookmarkStart w:id="1086" w:name="_Toc8178"/>
      <w:bookmarkStart w:id="1087" w:name="_Toc385427836"/>
      <w:bookmarkStart w:id="1088" w:name="_Toc19122"/>
      <w:bookmarkStart w:id="1089" w:name="_Toc12983546"/>
      <w:bookmarkStart w:id="1090" w:name="_Toc16584"/>
      <w:bookmarkStart w:id="1091" w:name="_Toc11354"/>
      <w:bookmarkStart w:id="1092" w:name="_Toc2637"/>
      <w:bookmarkStart w:id="1093" w:name="_Toc23115"/>
      <w:bookmarkStart w:id="1094" w:name="_Toc30169"/>
      <w:bookmarkStart w:id="1095" w:name="_Toc13615"/>
      <w:bookmarkStart w:id="1096" w:name="_Toc25990"/>
      <w:bookmarkStart w:id="1097" w:name="_Toc20351"/>
      <w:bookmarkStart w:id="1098" w:name="_Toc25988"/>
      <w:bookmarkStart w:id="1099" w:name="_Toc390098462"/>
      <w:bookmarkStart w:id="1100" w:name="_Toc24400"/>
      <w:bookmarkStart w:id="1101" w:name="_Toc10399"/>
      <w:bookmarkStart w:id="1102" w:name="_Toc26808"/>
      <w:bookmarkStart w:id="1103" w:name="_Toc10480"/>
      <w:bookmarkStart w:id="1104" w:name="_Toc375039103"/>
      <w:bookmarkStart w:id="1105" w:name="_Toc16212"/>
      <w:r>
        <w:rPr>
          <w:rFonts w:hint="eastAsia" w:ascii="宋体" w:hAnsi="宋体"/>
          <w:color w:val="auto"/>
          <w:highlight w:val="none"/>
        </w:rPr>
        <w:t>履约担保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全部修复件验收合格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全部修复件验收合格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numPr>
          <w:ilvl w:val="255"/>
          <w:numId w:val="0"/>
        </w:numPr>
        <w:tabs>
          <w:tab w:val="left" w:pos="1134"/>
          <w:tab w:val="left" w:pos="8364"/>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numPr>
          <w:ilvl w:val="255"/>
          <w:numId w:val="0"/>
        </w:numPr>
        <w:spacing w:before="0" w:after="0" w:afterAutospacing="0"/>
        <w:ind w:left="1129" w:leftChars="200" w:right="0"/>
        <w:outlineLvl w:val="2"/>
        <w:rPr>
          <w:rFonts w:ascii="宋体" w:hAnsi="宋体"/>
          <w:color w:val="auto"/>
          <w:highlight w:val="none"/>
        </w:rPr>
      </w:pPr>
      <w:r>
        <w:rPr>
          <w:rFonts w:hint="eastAsia" w:ascii="宋体" w:hAnsi="宋体"/>
          <w:color w:val="auto"/>
          <w:highlight w:val="none"/>
        </w:rPr>
        <w:t>37. 其他</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w:t>
      </w:r>
      <w:r>
        <w:rPr>
          <w:rFonts w:hint="eastAsia" w:ascii="宋体" w:hAnsi="宋体"/>
          <w:color w:val="auto"/>
          <w:highlight w:val="none"/>
        </w:rPr>
        <w:t>等</w:t>
      </w:r>
      <w:r>
        <w:rPr>
          <w:rFonts w:ascii="宋体" w:hAnsi="宋体"/>
          <w:color w:val="auto"/>
          <w:highlight w:val="none"/>
        </w:rPr>
        <w:t>各项费用。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tabs>
          <w:tab w:val="left" w:pos="425"/>
          <w:tab w:val="left" w:pos="1134"/>
          <w:tab w:val="left" w:pos="8364"/>
        </w:tabs>
        <w:spacing w:before="0" w:after="0" w:afterAutospacing="0"/>
        <w:ind w:left="0" w:right="0" w:firstLine="420" w:firstLineChars="200"/>
        <w:rPr>
          <w:rFonts w:ascii="宋体" w:hAnsi="宋体" w:cs="宋体"/>
          <w:b/>
          <w:bCs/>
          <w:color w:val="auto"/>
          <w:highlight w:val="none"/>
        </w:rPr>
      </w:pPr>
      <w:r>
        <w:rPr>
          <w:rFonts w:hint="eastAsia" w:ascii="宋体" w:hAnsi="宋体" w:cs="宋体"/>
          <w:color w:val="auto"/>
          <w:highlight w:val="none"/>
        </w:rPr>
        <w:t>37.6</w:t>
      </w:r>
      <w:r>
        <w:rPr>
          <w:rFonts w:hint="eastAsia" w:ascii="宋体" w:hAnsi="宋体" w:cs="宋体"/>
          <w:b/>
          <w:bCs/>
          <w:color w:val="auto"/>
          <w:highlight w:val="none"/>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申请人的不良信用名单：</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（1）比选申请人在比选申请截止期后撤回其投标的。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（5）中选后无正当理由拒不与采购人签订采购合同的。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（6）未照比选、比选申请文件确定的事项签订采购合同的。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（7）将采购合同转包的。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（9）擅自变更、中止或者终止采购合同的。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（11）中选人未在投标阶段提出异议或疑问，在成交后无法满足采购需求的。</w:t>
      </w:r>
    </w:p>
    <w:p>
      <w:pPr>
        <w:spacing w:before="10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pStyle w:val="10"/>
        <w:spacing w:afterAutospacing="0"/>
        <w:ind w:left="0" w:right="0" w:firstLine="420" w:firstLineChars="200"/>
        <w:rPr>
          <w:rFonts w:ascii="宋体" w:hAnsi="宋体"/>
          <w:b/>
          <w:bCs/>
          <w:color w:val="auto"/>
          <w:highlight w:val="none"/>
        </w:rPr>
      </w:pPr>
      <w:r>
        <w:rPr>
          <w:rFonts w:hint="eastAsia" w:ascii="宋体" w:hAnsi="宋体"/>
          <w:color w:val="auto"/>
          <w:highlight w:val="none"/>
        </w:rPr>
        <w:t>（13）比选文件、法律、法规规定的其他情形。</w:t>
      </w:r>
    </w:p>
    <w:p>
      <w:pPr>
        <w:rPr>
          <w:color w:val="auto"/>
          <w:highlight w:val="none"/>
        </w:rPr>
      </w:pPr>
      <w:r>
        <w:rPr>
          <w:color w:val="auto"/>
          <w:highlight w:val="none"/>
        </w:rPr>
        <w:br w:type="page"/>
      </w:r>
    </w:p>
    <w:p>
      <w:pPr>
        <w:pageBreakBefore/>
        <w:spacing w:line="300" w:lineRule="exact"/>
        <w:ind w:left="950" w:right="-28" w:hanging="950" w:hangingChars="338"/>
        <w:jc w:val="center"/>
        <w:rPr>
          <w:rFonts w:ascii="宋体"/>
          <w:b/>
          <w:color w:val="auto"/>
          <w:sz w:val="28"/>
          <w:szCs w:val="30"/>
          <w:highlight w:val="none"/>
        </w:rPr>
      </w:pPr>
      <w:bookmarkStart w:id="1106"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right="-57" w:firstLine="0"/>
        <w:jc w:val="center"/>
        <w:outlineLvl w:val="0"/>
        <w:rPr>
          <w:rStyle w:val="45"/>
          <w:rFonts w:hAnsi="宋体"/>
          <w:color w:val="auto"/>
          <w:sz w:val="44"/>
          <w:szCs w:val="44"/>
          <w:highlight w:val="none"/>
        </w:rPr>
      </w:pPr>
      <w:bookmarkStart w:id="1107" w:name="_Toc15922"/>
      <w:bookmarkStart w:id="1108" w:name="_Toc14591"/>
      <w:bookmarkStart w:id="1109" w:name="_Toc101965688"/>
      <w:r>
        <w:rPr>
          <w:rStyle w:val="45"/>
          <w:rFonts w:hint="eastAsia" w:hAnsi="宋体"/>
          <w:color w:val="auto"/>
          <w:sz w:val="44"/>
          <w:szCs w:val="44"/>
          <w:highlight w:val="none"/>
        </w:rPr>
        <w:t>第三章 合同条款及格式</w:t>
      </w:r>
      <w:bookmarkEnd w:id="1106"/>
      <w:bookmarkEnd w:id="1107"/>
      <w:bookmarkEnd w:id="1108"/>
      <w:bookmarkEnd w:id="1109"/>
    </w:p>
    <w:p>
      <w:pPr>
        <w:spacing w:afterLines="50"/>
        <w:jc w:val="center"/>
        <w:rPr>
          <w:b/>
          <w:color w:val="auto"/>
          <w:sz w:val="44"/>
          <w:szCs w:val="44"/>
          <w:highlight w:val="none"/>
        </w:rPr>
      </w:pPr>
    </w:p>
    <w:p>
      <w:pPr>
        <w:spacing w:afterLines="50"/>
        <w:jc w:val="center"/>
        <w:rPr>
          <w:b/>
          <w:color w:val="auto"/>
          <w:sz w:val="44"/>
          <w:szCs w:val="44"/>
          <w:highlight w:val="none"/>
        </w:rPr>
      </w:pPr>
    </w:p>
    <w:p>
      <w:pPr>
        <w:pStyle w:val="2"/>
        <w:rPr>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ageBreakBefore/>
        <w:spacing w:afterLines="50" w:afterAutospacing="0"/>
        <w:ind w:left="1014" w:right="448" w:hanging="1014" w:hangingChars="338"/>
        <w:jc w:val="right"/>
        <w:rPr>
          <w:rFonts w:ascii="宋体" w:hAnsi="宋体"/>
          <w:color w:val="auto"/>
          <w:sz w:val="30"/>
          <w:szCs w:val="30"/>
          <w:highlight w:val="none"/>
        </w:rPr>
      </w:pPr>
    </w:p>
    <w:p>
      <w:pPr>
        <w:spacing w:afterLines="50"/>
        <w:ind w:right="448"/>
        <w:jc w:val="right"/>
        <w:rPr>
          <w:rFonts w:ascii="宋体" w:hAnsi="宋体"/>
          <w:color w:val="auto"/>
          <w:sz w:val="30"/>
          <w:szCs w:val="30"/>
          <w:highlight w:val="none"/>
        </w:rPr>
      </w:pPr>
      <w:r>
        <w:rPr>
          <w:rFonts w:hint="eastAsia" w:ascii="宋体" w:hAnsi="宋体"/>
          <w:color w:val="auto"/>
          <w:sz w:val="30"/>
          <w:szCs w:val="30"/>
          <w:highlight w:val="none"/>
        </w:rPr>
        <w:t>【×本】</w:t>
      </w:r>
    </w:p>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b/>
          <w:color w:val="auto"/>
          <w:sz w:val="44"/>
          <w:szCs w:val="44"/>
          <w:highlight w:val="none"/>
        </w:rPr>
        <w:t>南宁轨道交通1、2、3、4号线专用通信、AFC系统故障件维修委外服务项目（2024-2026年）</w:t>
      </w:r>
    </w:p>
    <w:tbl>
      <w:tblPr>
        <w:tblStyle w:val="32"/>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left"/>
              <w:rPr>
                <w:rFonts w:ascii="宋体" w:hAnsi="宋体"/>
                <w:color w:val="auto"/>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outlineLvl w:val="1"/>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hint="eastAsia" w:ascii="宋体" w:hAnsi="宋体"/>
          <w:b/>
          <w:color w:val="auto"/>
          <w:sz w:val="52"/>
          <w:highlight w:val="none"/>
        </w:rPr>
      </w:pPr>
    </w:p>
    <w:p>
      <w:pPr>
        <w:jc w:val="center"/>
        <w:rPr>
          <w:rFonts w:ascii="宋体" w:hAnsi="宋体"/>
          <w:b/>
          <w:color w:val="auto"/>
          <w:sz w:val="52"/>
          <w:highlight w:val="none"/>
        </w:rPr>
      </w:pP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hint="eastAsia" w:ascii="宋体" w:hAnsi="宋体"/>
          <w:color w:val="auto"/>
          <w:sz w:val="28"/>
          <w:szCs w:val="28"/>
          <w:highlight w:val="none"/>
        </w:rPr>
        <w:t>广西壮族自治区南宁市</w:t>
      </w:r>
      <w:bookmarkStart w:id="1110" w:name="_Toc369787000"/>
      <w:bookmarkEnd w:id="1110"/>
    </w:p>
    <w:p>
      <w:pPr>
        <w:pStyle w:val="25"/>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spacing w:line="240" w:lineRule="auto"/>
        <w:ind w:left="0" w:right="0" w:firstLine="0"/>
        <w:jc w:val="center"/>
        <w:rPr>
          <w:color w:val="auto"/>
          <w:highlight w:val="none"/>
        </w:rPr>
      </w:pPr>
    </w:p>
    <w:p>
      <w:pPr>
        <w:pStyle w:val="58"/>
        <w:tabs>
          <w:tab w:val="right" w:leader="dot" w:pos="9071"/>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"_Toc2231_WPSOffice_Level1" </w:instrText>
      </w:r>
      <w:r>
        <w:rPr>
          <w:color w:val="auto"/>
          <w:highlight w:val="none"/>
        </w:rPr>
        <w:fldChar w:fldCharType="separate"/>
      </w:r>
      <w:r>
        <w:rPr>
          <w:rFonts w:hint="eastAsia" w:ascii="宋体" w:hAnsi="宋体"/>
          <w:b/>
          <w:bCs/>
          <w:color w:val="auto"/>
          <w:highlight w:val="none"/>
        </w:rPr>
        <w:t>第一部分 合同协议书</w:t>
      </w:r>
      <w:r>
        <w:rPr>
          <w:b/>
          <w:bCs/>
          <w:color w:val="auto"/>
          <w:highlight w:val="none"/>
        </w:rPr>
        <w:tab/>
      </w:r>
      <w:bookmarkStart w:id="1111" w:name="_Toc2231_WPSOffice_Level1Page"/>
      <w:r>
        <w:rPr>
          <w:b/>
          <w:bCs/>
          <w:color w:val="auto"/>
          <w:highlight w:val="none"/>
        </w:rPr>
        <w:t>2</w:t>
      </w:r>
      <w:bookmarkEnd w:id="1111"/>
      <w:r>
        <w:rPr>
          <w:b/>
          <w:bCs/>
          <w:color w:val="auto"/>
          <w:highlight w:val="none"/>
        </w:rPr>
        <w:fldChar w:fldCharType="end"/>
      </w:r>
      <w:r>
        <w:rPr>
          <w:rFonts w:hint="eastAsia"/>
          <w:b/>
          <w:bCs/>
          <w:color w:val="auto"/>
          <w:highlight w:val="none"/>
          <w:lang w:val="en-US" w:eastAsia="zh-CN"/>
        </w:rPr>
        <w:t>5</w:t>
      </w:r>
    </w:p>
    <w:p>
      <w:pPr>
        <w:pStyle w:val="58"/>
        <w:tabs>
          <w:tab w:val="right" w:leader="dot" w:pos="9071"/>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"_Toc20006_WPSOffice_Level1" </w:instrText>
      </w:r>
      <w:r>
        <w:rPr>
          <w:color w:val="auto"/>
          <w:highlight w:val="none"/>
        </w:rPr>
        <w:fldChar w:fldCharType="separate"/>
      </w:r>
      <w:r>
        <w:rPr>
          <w:b/>
          <w:bCs/>
          <w:color w:val="auto"/>
          <w:highlight w:val="none"/>
        </w:rPr>
        <w:t>第二部分</w:t>
      </w:r>
      <w:r>
        <w:rPr>
          <w:rFonts w:hint="eastAsia"/>
          <w:b/>
          <w:bCs/>
          <w:color w:val="auto"/>
          <w:highlight w:val="none"/>
        </w:rPr>
        <w:t xml:space="preserve"> 中选通知书</w:t>
      </w:r>
      <w:r>
        <w:rPr>
          <w:b/>
          <w:bCs/>
          <w:color w:val="auto"/>
          <w:highlight w:val="none"/>
        </w:rPr>
        <w:tab/>
      </w:r>
      <w:bookmarkStart w:id="1112" w:name="_Toc20006_WPSOffice_Level1Page"/>
      <w:r>
        <w:rPr>
          <w:b/>
          <w:bCs/>
          <w:color w:val="auto"/>
          <w:highlight w:val="none"/>
        </w:rPr>
        <w:t>2</w:t>
      </w:r>
      <w:bookmarkEnd w:id="1112"/>
      <w:r>
        <w:rPr>
          <w:b/>
          <w:bCs/>
          <w:color w:val="auto"/>
          <w:highlight w:val="none"/>
        </w:rPr>
        <w:fldChar w:fldCharType="end"/>
      </w:r>
      <w:r>
        <w:rPr>
          <w:rFonts w:hint="eastAsia"/>
          <w:b/>
          <w:bCs/>
          <w:color w:val="auto"/>
          <w:highlight w:val="none"/>
          <w:lang w:val="en-US" w:eastAsia="zh-CN"/>
        </w:rPr>
        <w:t>7</w:t>
      </w:r>
    </w:p>
    <w:p>
      <w:pPr>
        <w:pStyle w:val="58"/>
        <w:tabs>
          <w:tab w:val="right" w:leader="dot" w:pos="9071"/>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"_Toc28765_WPSOffice_Level1"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bookmarkStart w:id="1113" w:name="_Toc28765_WPSOffice_Level1Page"/>
      <w:r>
        <w:rPr>
          <w:b/>
          <w:bCs/>
          <w:color w:val="auto"/>
          <w:highlight w:val="none"/>
        </w:rPr>
        <w:t>2</w:t>
      </w:r>
      <w:bookmarkEnd w:id="1113"/>
      <w:r>
        <w:rPr>
          <w:b/>
          <w:bCs/>
          <w:color w:val="auto"/>
          <w:highlight w:val="none"/>
        </w:rPr>
        <w:fldChar w:fldCharType="end"/>
      </w:r>
      <w:r>
        <w:rPr>
          <w:rFonts w:hint="eastAsia"/>
          <w:b/>
          <w:bCs/>
          <w:color w:val="auto"/>
          <w:highlight w:val="none"/>
          <w:lang w:val="en-US" w:eastAsia="zh-CN"/>
        </w:rPr>
        <w:t>8</w:t>
      </w:r>
    </w:p>
    <w:p>
      <w:pPr>
        <w:pStyle w:val="58"/>
        <w:tabs>
          <w:tab w:val="right" w:leader="dot" w:pos="9071"/>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"_Toc11956_WPSOffice_Level1" </w:instrText>
      </w:r>
      <w:r>
        <w:rPr>
          <w:color w:val="auto"/>
          <w:highlight w:val="none"/>
        </w:rPr>
        <w:fldChar w:fldCharType="separate"/>
      </w:r>
      <w:r>
        <w:rPr>
          <w:rFonts w:hint="eastAsia" w:ascii="宋体" w:hAnsi="宋体"/>
          <w:b/>
          <w:bCs/>
          <w:color w:val="auto"/>
          <w:highlight w:val="none"/>
        </w:rPr>
        <w:t>第四部分 合同条款</w:t>
      </w:r>
      <w:r>
        <w:rPr>
          <w:b/>
          <w:bCs/>
          <w:color w:val="auto"/>
          <w:highlight w:val="none"/>
        </w:rPr>
        <w:tab/>
      </w:r>
      <w:r>
        <w:rPr>
          <w:b/>
          <w:bCs/>
          <w:color w:val="auto"/>
          <w:highlight w:val="none"/>
        </w:rPr>
        <w:fldChar w:fldCharType="end"/>
      </w:r>
      <w:r>
        <w:rPr>
          <w:rFonts w:hint="eastAsia"/>
          <w:b/>
          <w:bCs/>
          <w:color w:val="auto"/>
          <w:highlight w:val="none"/>
          <w:lang w:val="en-US" w:eastAsia="zh-CN"/>
        </w:rPr>
        <w:t>29</w:t>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"_Toc30060_WPSOffice_Level2" </w:instrText>
      </w:r>
      <w:r>
        <w:rPr>
          <w:color w:val="auto"/>
          <w:highlight w:val="none"/>
        </w:rPr>
        <w:fldChar w:fldCharType="separate"/>
      </w:r>
      <w:r>
        <w:rPr>
          <w:rFonts w:hint="eastAsia" w:ascii="宋体" w:hAnsi="宋体" w:eastAsia="宋体" w:cs="Times New Roman"/>
          <w:color w:val="auto"/>
          <w:highlight w:val="none"/>
        </w:rPr>
        <w:t>1.定义及解释</w:t>
      </w:r>
      <w:r>
        <w:rPr>
          <w:color w:val="auto"/>
          <w:highlight w:val="none"/>
        </w:rPr>
        <w:tab/>
      </w:r>
      <w:bookmarkStart w:id="1114" w:name="_Toc30060_WPSOffice_Level2Page"/>
      <w:r>
        <w:rPr>
          <w:color w:val="auto"/>
          <w:highlight w:val="none"/>
        </w:rPr>
        <w:t>30</w:t>
      </w:r>
      <w:bookmarkEnd w:id="111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"_Toc19653_WPSOffice_Level2" </w:instrText>
      </w:r>
      <w:r>
        <w:rPr>
          <w:color w:val="auto"/>
          <w:highlight w:val="none"/>
        </w:rPr>
        <w:fldChar w:fldCharType="separate"/>
      </w:r>
      <w:r>
        <w:rPr>
          <w:rFonts w:hint="eastAsia" w:ascii="宋体" w:hAnsi="宋体" w:eastAsia="宋体" w:cs="Times New Roman"/>
          <w:color w:val="auto"/>
          <w:highlight w:val="none"/>
        </w:rPr>
        <w:t>2.适用性</w:t>
      </w:r>
      <w:r>
        <w:rPr>
          <w:color w:val="auto"/>
          <w:highlight w:val="none"/>
        </w:rPr>
        <w:tab/>
      </w:r>
      <w:bookmarkStart w:id="1115" w:name="_Toc19653_WPSOffice_Level2Page"/>
      <w:r>
        <w:rPr>
          <w:color w:val="auto"/>
          <w:highlight w:val="none"/>
        </w:rPr>
        <w:t>31</w:t>
      </w:r>
      <w:bookmarkEnd w:id="111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"_Toc22843_WPSOffice_Level2" </w:instrText>
      </w:r>
      <w:r>
        <w:rPr>
          <w:color w:val="auto"/>
          <w:highlight w:val="none"/>
        </w:rPr>
        <w:fldChar w:fldCharType="separate"/>
      </w:r>
      <w:r>
        <w:rPr>
          <w:rFonts w:hint="eastAsia" w:ascii="宋体" w:hAnsi="宋体" w:eastAsia="宋体" w:cs="Times New Roman"/>
          <w:color w:val="auto"/>
          <w:highlight w:val="none"/>
        </w:rPr>
        <w:t>3.来源地</w:t>
      </w:r>
      <w:r>
        <w:rPr>
          <w:color w:val="auto"/>
          <w:highlight w:val="none"/>
        </w:rPr>
        <w:tab/>
      </w:r>
      <w:bookmarkStart w:id="1116" w:name="_Toc22843_WPSOffice_Level2Page"/>
      <w:r>
        <w:rPr>
          <w:color w:val="auto"/>
          <w:highlight w:val="none"/>
        </w:rPr>
        <w:t>31</w:t>
      </w:r>
      <w:bookmarkEnd w:id="111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"_Toc18443_WPSOffice_Level2" </w:instrText>
      </w:r>
      <w:r>
        <w:rPr>
          <w:color w:val="auto"/>
          <w:highlight w:val="none"/>
        </w:rPr>
        <w:fldChar w:fldCharType="separate"/>
      </w:r>
      <w:r>
        <w:rPr>
          <w:rFonts w:hint="eastAsia" w:ascii="宋体" w:hAnsi="宋体" w:eastAsia="宋体" w:cs="Times New Roman"/>
          <w:color w:val="auto"/>
          <w:highlight w:val="none"/>
        </w:rPr>
        <w:t>4.标准</w:t>
      </w:r>
      <w:r>
        <w:rPr>
          <w:color w:val="auto"/>
          <w:highlight w:val="none"/>
        </w:rPr>
        <w:tab/>
      </w:r>
      <w:bookmarkStart w:id="1117" w:name="_Toc18443_WPSOffice_Level2Page"/>
      <w:r>
        <w:rPr>
          <w:color w:val="auto"/>
          <w:highlight w:val="none"/>
        </w:rPr>
        <w:t>32</w:t>
      </w:r>
      <w:bookmarkEnd w:id="1117"/>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"_Toc7155_WPSOffice_Level2" </w:instrText>
      </w:r>
      <w:r>
        <w:rPr>
          <w:color w:val="auto"/>
          <w:highlight w:val="none"/>
        </w:rPr>
        <w:fldChar w:fldCharType="separate"/>
      </w:r>
      <w:r>
        <w:rPr>
          <w:rFonts w:hint="eastAsia" w:ascii="宋体" w:hAnsi="宋体" w:eastAsia="宋体" w:cs="Times New Roman"/>
          <w:color w:val="auto"/>
          <w:highlight w:val="none"/>
        </w:rPr>
        <w:t>5.合同文件、资料及使用</w:t>
      </w:r>
      <w:r>
        <w:rPr>
          <w:color w:val="auto"/>
          <w:highlight w:val="none"/>
        </w:rPr>
        <w:tab/>
      </w:r>
      <w:bookmarkStart w:id="1118" w:name="_Toc7155_WPSOffice_Level2Page"/>
      <w:r>
        <w:rPr>
          <w:color w:val="auto"/>
          <w:highlight w:val="none"/>
        </w:rPr>
        <w:t>32</w:t>
      </w:r>
      <w:bookmarkEnd w:id="111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"_Toc26722_WPSOffice_Level2" </w:instrText>
      </w:r>
      <w:r>
        <w:rPr>
          <w:color w:val="auto"/>
          <w:highlight w:val="none"/>
        </w:rPr>
        <w:fldChar w:fldCharType="separate"/>
      </w:r>
      <w:r>
        <w:rPr>
          <w:rFonts w:hint="eastAsia" w:ascii="宋体" w:hAnsi="宋体" w:eastAsia="宋体" w:cs="Times New Roman"/>
          <w:color w:val="auto"/>
          <w:highlight w:val="none"/>
        </w:rPr>
        <w:t>6.知识产权</w:t>
      </w:r>
      <w:r>
        <w:rPr>
          <w:color w:val="auto"/>
          <w:highlight w:val="none"/>
        </w:rPr>
        <w:tab/>
      </w:r>
      <w:bookmarkStart w:id="1119" w:name="_Toc26722_WPSOffice_Level2Page"/>
      <w:r>
        <w:rPr>
          <w:color w:val="auto"/>
          <w:highlight w:val="none"/>
        </w:rPr>
        <w:t>32</w:t>
      </w:r>
      <w:bookmarkEnd w:id="111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"_Toc28434_WPSOffice_Level2" </w:instrText>
      </w:r>
      <w:r>
        <w:rPr>
          <w:color w:val="auto"/>
          <w:highlight w:val="none"/>
        </w:rPr>
        <w:fldChar w:fldCharType="separate"/>
      </w:r>
      <w:r>
        <w:rPr>
          <w:rFonts w:hint="eastAsia" w:ascii="宋体" w:hAnsi="宋体" w:eastAsia="宋体" w:cs="Times New Roman"/>
          <w:color w:val="auto"/>
          <w:highlight w:val="none"/>
        </w:rPr>
        <w:t>7.价格</w:t>
      </w:r>
      <w:r>
        <w:rPr>
          <w:color w:val="auto"/>
          <w:highlight w:val="none"/>
        </w:rPr>
        <w:tab/>
      </w:r>
      <w:bookmarkStart w:id="1120" w:name="_Toc28434_WPSOffice_Level2Page"/>
      <w:r>
        <w:rPr>
          <w:color w:val="auto"/>
          <w:highlight w:val="none"/>
        </w:rPr>
        <w:t>33</w:t>
      </w:r>
      <w:bookmarkEnd w:id="112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"_Toc2492_WPSOffice_Level2" </w:instrText>
      </w:r>
      <w:r>
        <w:rPr>
          <w:color w:val="auto"/>
          <w:highlight w:val="none"/>
        </w:rPr>
        <w:fldChar w:fldCharType="separate"/>
      </w:r>
      <w:r>
        <w:rPr>
          <w:rFonts w:hint="eastAsia" w:ascii="宋体" w:hAnsi="宋体" w:eastAsia="宋体" w:cs="Times New Roman"/>
          <w:color w:val="auto"/>
          <w:highlight w:val="none"/>
        </w:rPr>
        <w:t>8.合同有效期</w:t>
      </w:r>
      <w:r>
        <w:rPr>
          <w:color w:val="auto"/>
          <w:highlight w:val="none"/>
        </w:rPr>
        <w:tab/>
      </w:r>
      <w:bookmarkStart w:id="1121" w:name="_Toc2492_WPSOffice_Level2Page"/>
      <w:r>
        <w:rPr>
          <w:color w:val="auto"/>
          <w:highlight w:val="none"/>
        </w:rPr>
        <w:t>33</w:t>
      </w:r>
      <w:bookmarkEnd w:id="112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"_Toc5504_WPSOffice_Level2" </w:instrText>
      </w:r>
      <w:r>
        <w:rPr>
          <w:color w:val="auto"/>
          <w:highlight w:val="none"/>
        </w:rPr>
        <w:fldChar w:fldCharType="separate"/>
      </w:r>
      <w:r>
        <w:rPr>
          <w:rFonts w:hint="eastAsia" w:ascii="宋体" w:hAnsi="宋体" w:eastAsia="宋体" w:cs="Times New Roman"/>
          <w:color w:val="auto"/>
          <w:highlight w:val="none"/>
        </w:rPr>
        <w:t>9.付款</w:t>
      </w:r>
      <w:r>
        <w:rPr>
          <w:color w:val="auto"/>
          <w:highlight w:val="none"/>
        </w:rPr>
        <w:tab/>
      </w:r>
      <w:bookmarkStart w:id="1122" w:name="_Toc5504_WPSOffice_Level2Page"/>
      <w:r>
        <w:rPr>
          <w:color w:val="auto"/>
          <w:highlight w:val="none"/>
        </w:rPr>
        <w:t>33</w:t>
      </w:r>
      <w:bookmarkEnd w:id="112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"_Toc26391_WPSOffice_Level2" </w:instrText>
      </w:r>
      <w:r>
        <w:rPr>
          <w:color w:val="auto"/>
          <w:highlight w:val="none"/>
        </w:rPr>
        <w:fldChar w:fldCharType="separate"/>
      </w:r>
      <w:r>
        <w:rPr>
          <w:rFonts w:hint="eastAsia" w:ascii="宋体" w:hAnsi="宋体" w:eastAsia="宋体" w:cs="Times New Roman"/>
          <w:color w:val="auto"/>
          <w:highlight w:val="none"/>
        </w:rPr>
        <w:t>10.履约担保</w:t>
      </w:r>
      <w:r>
        <w:rPr>
          <w:color w:val="auto"/>
          <w:highlight w:val="none"/>
        </w:rPr>
        <w:tab/>
      </w:r>
      <w:bookmarkStart w:id="1123" w:name="_Toc26391_WPSOffice_Level2Page"/>
      <w:r>
        <w:rPr>
          <w:color w:val="auto"/>
          <w:highlight w:val="none"/>
        </w:rPr>
        <w:t>34</w:t>
      </w:r>
      <w:bookmarkEnd w:id="112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"_Toc15131_WPSOffice_Level2" </w:instrText>
      </w:r>
      <w:r>
        <w:rPr>
          <w:color w:val="auto"/>
          <w:highlight w:val="none"/>
        </w:rPr>
        <w:fldChar w:fldCharType="separate"/>
      </w:r>
      <w:r>
        <w:rPr>
          <w:rFonts w:hint="eastAsia" w:ascii="宋体" w:hAnsi="宋体" w:eastAsia="宋体" w:cs="Times New Roman"/>
          <w:color w:val="auto"/>
          <w:highlight w:val="none"/>
        </w:rPr>
        <w:t>11.检验</w:t>
      </w:r>
      <w:r>
        <w:rPr>
          <w:color w:val="auto"/>
          <w:highlight w:val="none"/>
        </w:rPr>
        <w:tab/>
      </w:r>
      <w:bookmarkStart w:id="1124" w:name="_Toc15131_WPSOffice_Level2Page"/>
      <w:r>
        <w:rPr>
          <w:color w:val="auto"/>
          <w:highlight w:val="none"/>
        </w:rPr>
        <w:t>35</w:t>
      </w:r>
      <w:bookmarkEnd w:id="112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"_Toc11883_WPSOffice_Level2" </w:instrText>
      </w:r>
      <w:r>
        <w:rPr>
          <w:color w:val="auto"/>
          <w:highlight w:val="none"/>
        </w:rPr>
        <w:fldChar w:fldCharType="separate"/>
      </w:r>
      <w:r>
        <w:rPr>
          <w:rFonts w:hint="eastAsia" w:ascii="宋体" w:hAnsi="宋体" w:eastAsia="宋体" w:cs="Arial"/>
          <w:color w:val="auto"/>
          <w:highlight w:val="none"/>
        </w:rPr>
        <w:t>1</w:t>
      </w:r>
      <w:r>
        <w:rPr>
          <w:rFonts w:hint="eastAsia" w:ascii="宋体" w:hAnsi="宋体" w:eastAsia="宋体" w:cs="Times New Roman"/>
          <w:color w:val="auto"/>
          <w:highlight w:val="none"/>
        </w:rPr>
        <w:t>2.包装</w:t>
      </w:r>
      <w:r>
        <w:rPr>
          <w:color w:val="auto"/>
          <w:highlight w:val="none"/>
        </w:rPr>
        <w:tab/>
      </w:r>
      <w:bookmarkStart w:id="1125" w:name="_Toc11883_WPSOffice_Level2Page"/>
      <w:r>
        <w:rPr>
          <w:color w:val="auto"/>
          <w:highlight w:val="none"/>
        </w:rPr>
        <w:t>35</w:t>
      </w:r>
      <w:bookmarkEnd w:id="112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"_Toc26965_WPSOffice_Level2" </w:instrText>
      </w:r>
      <w:r>
        <w:rPr>
          <w:color w:val="auto"/>
          <w:highlight w:val="none"/>
        </w:rPr>
        <w:fldChar w:fldCharType="separate"/>
      </w:r>
      <w:r>
        <w:rPr>
          <w:rFonts w:hint="eastAsia" w:ascii="宋体" w:hAnsi="宋体" w:eastAsia="宋体" w:cs="Times New Roman"/>
          <w:color w:val="auto"/>
          <w:highlight w:val="none"/>
        </w:rPr>
        <w:t>13.交货和单据</w:t>
      </w:r>
      <w:r>
        <w:rPr>
          <w:color w:val="auto"/>
          <w:highlight w:val="none"/>
        </w:rPr>
        <w:tab/>
      </w:r>
      <w:bookmarkStart w:id="1126" w:name="_Toc26965_WPSOffice_Level2Page"/>
      <w:r>
        <w:rPr>
          <w:color w:val="auto"/>
          <w:highlight w:val="none"/>
        </w:rPr>
        <w:t>36</w:t>
      </w:r>
      <w:bookmarkEnd w:id="112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"_Toc4402_WPSOffice_Level2" </w:instrText>
      </w:r>
      <w:r>
        <w:rPr>
          <w:color w:val="auto"/>
          <w:highlight w:val="none"/>
        </w:rPr>
        <w:fldChar w:fldCharType="separate"/>
      </w:r>
      <w:r>
        <w:rPr>
          <w:rFonts w:hint="eastAsia" w:ascii="宋体" w:hAnsi="宋体" w:eastAsia="宋体" w:cs="Times New Roman"/>
          <w:color w:val="auto"/>
          <w:highlight w:val="none"/>
        </w:rPr>
        <w:t>14.所有权与风险转移</w:t>
      </w:r>
      <w:r>
        <w:rPr>
          <w:color w:val="auto"/>
          <w:highlight w:val="none"/>
        </w:rPr>
        <w:tab/>
      </w:r>
      <w:bookmarkStart w:id="1127" w:name="_Toc4402_WPSOffice_Level2Page"/>
      <w:r>
        <w:rPr>
          <w:color w:val="auto"/>
          <w:highlight w:val="none"/>
        </w:rPr>
        <w:t>36</w:t>
      </w:r>
      <w:bookmarkEnd w:id="1127"/>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"_Toc2616_WPSOffice_Level2" </w:instrText>
      </w:r>
      <w:r>
        <w:rPr>
          <w:color w:val="auto"/>
          <w:highlight w:val="none"/>
        </w:rPr>
        <w:fldChar w:fldCharType="separate"/>
      </w:r>
      <w:r>
        <w:rPr>
          <w:rFonts w:hint="eastAsia" w:ascii="宋体" w:hAnsi="宋体" w:eastAsia="宋体" w:cs="Times New Roman"/>
          <w:color w:val="auto"/>
          <w:highlight w:val="none"/>
        </w:rPr>
        <w:t>15.运输</w:t>
      </w:r>
      <w:r>
        <w:rPr>
          <w:color w:val="auto"/>
          <w:highlight w:val="none"/>
        </w:rPr>
        <w:tab/>
      </w:r>
      <w:bookmarkStart w:id="1128" w:name="_Toc2616_WPSOffice_Level2Page"/>
      <w:r>
        <w:rPr>
          <w:color w:val="auto"/>
          <w:highlight w:val="none"/>
        </w:rPr>
        <w:t>37</w:t>
      </w:r>
      <w:bookmarkEnd w:id="112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"_Toc7681_WPSOffice_Level2" </w:instrText>
      </w:r>
      <w:r>
        <w:rPr>
          <w:color w:val="auto"/>
          <w:highlight w:val="none"/>
        </w:rPr>
        <w:fldChar w:fldCharType="separate"/>
      </w:r>
      <w:r>
        <w:rPr>
          <w:rFonts w:hint="eastAsia" w:ascii="宋体" w:hAnsi="宋体" w:eastAsia="宋体" w:cs="Times New Roman"/>
          <w:color w:val="auto"/>
          <w:highlight w:val="none"/>
        </w:rPr>
        <w:t>16.服务</w:t>
      </w:r>
      <w:r>
        <w:rPr>
          <w:color w:val="auto"/>
          <w:highlight w:val="none"/>
        </w:rPr>
        <w:tab/>
      </w:r>
      <w:bookmarkStart w:id="1129" w:name="_Toc7681_WPSOffice_Level2Page"/>
      <w:r>
        <w:rPr>
          <w:color w:val="auto"/>
          <w:highlight w:val="none"/>
        </w:rPr>
        <w:t>37</w:t>
      </w:r>
      <w:bookmarkEnd w:id="112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"_Toc13319_WPSOffice_Level2" </w:instrText>
      </w:r>
      <w:r>
        <w:rPr>
          <w:color w:val="auto"/>
          <w:highlight w:val="none"/>
        </w:rPr>
        <w:fldChar w:fldCharType="separate"/>
      </w:r>
      <w:r>
        <w:rPr>
          <w:rFonts w:hint="eastAsia" w:ascii="宋体" w:hAnsi="宋体" w:eastAsia="宋体" w:cs="Times New Roman"/>
          <w:color w:val="auto"/>
          <w:highlight w:val="none"/>
        </w:rPr>
        <w:t>17.保证</w:t>
      </w:r>
      <w:r>
        <w:rPr>
          <w:color w:val="auto"/>
          <w:highlight w:val="none"/>
        </w:rPr>
        <w:tab/>
      </w:r>
      <w:bookmarkStart w:id="1130" w:name="_Toc13319_WPSOffice_Level2Page"/>
      <w:r>
        <w:rPr>
          <w:color w:val="auto"/>
          <w:highlight w:val="none"/>
        </w:rPr>
        <w:t>37</w:t>
      </w:r>
      <w:bookmarkEnd w:id="113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"_Toc21508_WPSOffice_Level2" </w:instrText>
      </w:r>
      <w:r>
        <w:rPr>
          <w:color w:val="auto"/>
          <w:highlight w:val="none"/>
        </w:rPr>
        <w:fldChar w:fldCharType="separate"/>
      </w:r>
      <w:r>
        <w:rPr>
          <w:rFonts w:hint="eastAsia" w:ascii="宋体" w:hAnsi="宋体" w:eastAsia="宋体" w:cs="Times New Roman"/>
          <w:color w:val="auto"/>
          <w:highlight w:val="none"/>
        </w:rPr>
        <w:t>18.合同变更与修改</w:t>
      </w:r>
      <w:r>
        <w:rPr>
          <w:color w:val="auto"/>
          <w:highlight w:val="none"/>
        </w:rPr>
        <w:tab/>
      </w:r>
      <w:bookmarkStart w:id="1131" w:name="_Toc21508_WPSOffice_Level2Page"/>
      <w:r>
        <w:rPr>
          <w:color w:val="auto"/>
          <w:highlight w:val="none"/>
        </w:rPr>
        <w:t>38</w:t>
      </w:r>
      <w:bookmarkEnd w:id="113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"_Toc2893_WPSOffice_Level2" </w:instrText>
      </w:r>
      <w:r>
        <w:rPr>
          <w:color w:val="auto"/>
          <w:highlight w:val="none"/>
        </w:rPr>
        <w:fldChar w:fldCharType="separate"/>
      </w:r>
      <w:r>
        <w:rPr>
          <w:rFonts w:hint="eastAsia" w:ascii="宋体" w:hAnsi="宋体" w:eastAsia="宋体" w:cs="Times New Roman"/>
          <w:color w:val="auto"/>
          <w:highlight w:val="none"/>
        </w:rPr>
        <w:t>19.转让、分包和中止</w:t>
      </w:r>
      <w:r>
        <w:rPr>
          <w:color w:val="auto"/>
          <w:highlight w:val="none"/>
        </w:rPr>
        <w:tab/>
      </w:r>
      <w:bookmarkStart w:id="1132" w:name="_Toc2893_WPSOffice_Level2Page"/>
      <w:r>
        <w:rPr>
          <w:color w:val="auto"/>
          <w:highlight w:val="none"/>
        </w:rPr>
        <w:t>40</w:t>
      </w:r>
      <w:bookmarkEnd w:id="113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"_Toc10088_WPSOffice_Level2" </w:instrText>
      </w:r>
      <w:r>
        <w:rPr>
          <w:color w:val="auto"/>
          <w:highlight w:val="none"/>
        </w:rPr>
        <w:fldChar w:fldCharType="separate"/>
      </w:r>
      <w:r>
        <w:rPr>
          <w:rFonts w:hint="eastAsia" w:ascii="宋体" w:hAnsi="宋体" w:eastAsia="宋体" w:cs="Times New Roman"/>
          <w:color w:val="auto"/>
          <w:highlight w:val="none"/>
        </w:rPr>
        <w:t>20.不可抗力</w:t>
      </w:r>
      <w:r>
        <w:rPr>
          <w:color w:val="auto"/>
          <w:highlight w:val="none"/>
        </w:rPr>
        <w:tab/>
      </w:r>
      <w:bookmarkStart w:id="1133" w:name="_Toc10088_WPSOffice_Level2Page"/>
      <w:r>
        <w:rPr>
          <w:color w:val="auto"/>
          <w:highlight w:val="none"/>
        </w:rPr>
        <w:t>40</w:t>
      </w:r>
      <w:bookmarkEnd w:id="113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"_Toc13861_WPSOffice_Level2" </w:instrText>
      </w:r>
      <w:r>
        <w:rPr>
          <w:color w:val="auto"/>
          <w:highlight w:val="none"/>
        </w:rPr>
        <w:fldChar w:fldCharType="separate"/>
      </w:r>
      <w:r>
        <w:rPr>
          <w:rFonts w:hint="eastAsia" w:ascii="宋体" w:hAnsi="宋体" w:eastAsia="宋体" w:cs="Times New Roman"/>
          <w:color w:val="auto"/>
          <w:highlight w:val="none"/>
        </w:rPr>
        <w:t>21.乙方履约展期</w:t>
      </w:r>
      <w:r>
        <w:rPr>
          <w:color w:val="auto"/>
          <w:highlight w:val="none"/>
        </w:rPr>
        <w:tab/>
      </w:r>
      <w:bookmarkStart w:id="1134" w:name="_Toc13861_WPSOffice_Level2Page"/>
      <w:r>
        <w:rPr>
          <w:color w:val="auto"/>
          <w:highlight w:val="none"/>
        </w:rPr>
        <w:t>40</w:t>
      </w:r>
      <w:bookmarkEnd w:id="113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"_Toc9712_WPSOffice_Level2" </w:instrText>
      </w:r>
      <w:r>
        <w:rPr>
          <w:color w:val="auto"/>
          <w:highlight w:val="none"/>
        </w:rPr>
        <w:fldChar w:fldCharType="separate"/>
      </w:r>
      <w:r>
        <w:rPr>
          <w:rFonts w:hint="eastAsia" w:ascii="宋体" w:hAnsi="宋体" w:eastAsia="宋体" w:cs="Times New Roman"/>
          <w:color w:val="auto"/>
          <w:highlight w:val="none"/>
        </w:rPr>
        <w:t>22.通知</w:t>
      </w:r>
      <w:r>
        <w:rPr>
          <w:color w:val="auto"/>
          <w:highlight w:val="none"/>
        </w:rPr>
        <w:tab/>
      </w:r>
      <w:bookmarkStart w:id="1135" w:name="_Toc9712_WPSOffice_Level2Page"/>
      <w:r>
        <w:rPr>
          <w:color w:val="auto"/>
          <w:highlight w:val="none"/>
        </w:rPr>
        <w:t>41</w:t>
      </w:r>
      <w:bookmarkEnd w:id="1135"/>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"_Toc29436_WPSOffice_Level2" </w:instrText>
      </w:r>
      <w:r>
        <w:rPr>
          <w:color w:val="auto"/>
          <w:highlight w:val="none"/>
        </w:rPr>
        <w:fldChar w:fldCharType="separate"/>
      </w:r>
      <w:r>
        <w:rPr>
          <w:rFonts w:hint="eastAsia" w:ascii="宋体" w:hAnsi="宋体" w:eastAsia="宋体" w:cs="Times New Roman"/>
          <w:color w:val="auto"/>
          <w:highlight w:val="none"/>
        </w:rPr>
        <w:t>23.合同标的</w:t>
      </w:r>
      <w:r>
        <w:rPr>
          <w:color w:val="auto"/>
          <w:highlight w:val="none"/>
        </w:rPr>
        <w:tab/>
      </w:r>
      <w:bookmarkStart w:id="1136" w:name="_Toc29436_WPSOffice_Level2Page"/>
      <w:r>
        <w:rPr>
          <w:color w:val="auto"/>
          <w:highlight w:val="none"/>
        </w:rPr>
        <w:t>41</w:t>
      </w:r>
      <w:bookmarkEnd w:id="1136"/>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"_Toc9539_WPSOffice_Level2" </w:instrText>
      </w:r>
      <w:r>
        <w:rPr>
          <w:color w:val="auto"/>
          <w:highlight w:val="none"/>
        </w:rPr>
        <w:fldChar w:fldCharType="separate"/>
      </w:r>
      <w:r>
        <w:rPr>
          <w:rFonts w:hint="eastAsia" w:ascii="宋体" w:hAnsi="宋体" w:eastAsia="宋体" w:cs="Times New Roman"/>
          <w:color w:val="auto"/>
          <w:highlight w:val="none"/>
        </w:rPr>
        <w:t>24.验收要求</w:t>
      </w:r>
      <w:r>
        <w:rPr>
          <w:color w:val="auto"/>
          <w:highlight w:val="none"/>
        </w:rPr>
        <w:tab/>
      </w:r>
      <w:bookmarkStart w:id="1137" w:name="_Toc9539_WPSOffice_Level2Page"/>
      <w:r>
        <w:rPr>
          <w:color w:val="auto"/>
          <w:highlight w:val="none"/>
        </w:rPr>
        <w:t>41</w:t>
      </w:r>
      <w:bookmarkEnd w:id="1137"/>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"_Toc13850_WPSOffice_Level2" </w:instrText>
      </w:r>
      <w:r>
        <w:rPr>
          <w:color w:val="auto"/>
          <w:highlight w:val="none"/>
        </w:rPr>
        <w:fldChar w:fldCharType="separate"/>
      </w:r>
      <w:r>
        <w:rPr>
          <w:rFonts w:hint="eastAsia" w:ascii="宋体" w:hAnsi="宋体" w:eastAsia="宋体" w:cs="Times New Roman"/>
          <w:color w:val="auto"/>
          <w:highlight w:val="none"/>
        </w:rPr>
        <w:t>25</w:t>
      </w:r>
      <w:r>
        <w:rPr>
          <w:rFonts w:ascii="宋体" w:hAnsi="宋体" w:eastAsia="宋体" w:cs="Times New Roman"/>
          <w:color w:val="auto"/>
          <w:highlight w:val="none"/>
        </w:rPr>
        <w:t>.</w:t>
      </w:r>
      <w:r>
        <w:rPr>
          <w:rFonts w:hint="eastAsia" w:ascii="宋体" w:hAnsi="宋体" w:eastAsia="宋体" w:cs="Times New Roman"/>
          <w:color w:val="auto"/>
          <w:highlight w:val="none"/>
        </w:rPr>
        <w:t>索赔与赔偿</w:t>
      </w:r>
      <w:r>
        <w:rPr>
          <w:color w:val="auto"/>
          <w:highlight w:val="none"/>
        </w:rPr>
        <w:tab/>
      </w:r>
      <w:bookmarkStart w:id="1138" w:name="_Toc13850_WPSOffice_Level2Page"/>
      <w:r>
        <w:rPr>
          <w:color w:val="auto"/>
          <w:highlight w:val="none"/>
        </w:rPr>
        <w:t>42</w:t>
      </w:r>
      <w:bookmarkEnd w:id="113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"_Toc28865_WPSOffice_Level2" </w:instrText>
      </w:r>
      <w:r>
        <w:rPr>
          <w:color w:val="auto"/>
          <w:highlight w:val="none"/>
        </w:rPr>
        <w:fldChar w:fldCharType="separate"/>
      </w:r>
      <w:r>
        <w:rPr>
          <w:rFonts w:hint="eastAsia" w:ascii="宋体" w:hAnsi="宋体" w:eastAsia="宋体" w:cs="Times New Roman"/>
          <w:color w:val="auto"/>
          <w:highlight w:val="none"/>
        </w:rPr>
        <w:t>26.合同终止</w:t>
      </w:r>
      <w:r>
        <w:rPr>
          <w:color w:val="auto"/>
          <w:highlight w:val="none"/>
        </w:rPr>
        <w:tab/>
      </w:r>
      <w:bookmarkStart w:id="1139" w:name="_Toc28865_WPSOffice_Level2Page"/>
      <w:r>
        <w:rPr>
          <w:color w:val="auto"/>
          <w:highlight w:val="none"/>
        </w:rPr>
        <w:t>45</w:t>
      </w:r>
      <w:bookmarkEnd w:id="113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"_Toc3251_WPSOffice_Level2" </w:instrText>
      </w:r>
      <w:r>
        <w:rPr>
          <w:color w:val="auto"/>
          <w:highlight w:val="none"/>
        </w:rPr>
        <w:fldChar w:fldCharType="separate"/>
      </w:r>
      <w:r>
        <w:rPr>
          <w:rFonts w:hint="eastAsia" w:ascii="宋体" w:hAnsi="宋体" w:eastAsia="宋体" w:cs="Times New Roman"/>
          <w:color w:val="auto"/>
          <w:highlight w:val="none"/>
        </w:rPr>
        <w:t>27.争端的解决</w:t>
      </w:r>
      <w:r>
        <w:rPr>
          <w:color w:val="auto"/>
          <w:highlight w:val="none"/>
        </w:rPr>
        <w:tab/>
      </w:r>
      <w:bookmarkStart w:id="1140" w:name="_Toc3251_WPSOffice_Level2Page"/>
      <w:r>
        <w:rPr>
          <w:color w:val="auto"/>
          <w:highlight w:val="none"/>
        </w:rPr>
        <w:t>46</w:t>
      </w:r>
      <w:bookmarkEnd w:id="114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"_Toc23260_WPSOffice_Level2" </w:instrText>
      </w:r>
      <w:r>
        <w:rPr>
          <w:color w:val="auto"/>
          <w:highlight w:val="none"/>
        </w:rPr>
        <w:fldChar w:fldCharType="separate"/>
      </w:r>
      <w:r>
        <w:rPr>
          <w:rFonts w:hint="eastAsia" w:ascii="宋体" w:hAnsi="宋体" w:eastAsia="宋体" w:cs="Times New Roman"/>
          <w:color w:val="auto"/>
          <w:highlight w:val="none"/>
        </w:rPr>
        <w:t>28.语言</w:t>
      </w:r>
      <w:r>
        <w:rPr>
          <w:color w:val="auto"/>
          <w:highlight w:val="none"/>
        </w:rPr>
        <w:tab/>
      </w:r>
      <w:bookmarkStart w:id="1141" w:name="_Toc23260_WPSOffice_Level2Page"/>
      <w:r>
        <w:rPr>
          <w:color w:val="auto"/>
          <w:highlight w:val="none"/>
        </w:rPr>
        <w:t>46</w:t>
      </w:r>
      <w:bookmarkEnd w:id="114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"_Toc14677_WPSOffice_Level2" </w:instrText>
      </w:r>
      <w:r>
        <w:rPr>
          <w:color w:val="auto"/>
          <w:highlight w:val="none"/>
        </w:rPr>
        <w:fldChar w:fldCharType="separate"/>
      </w:r>
      <w:r>
        <w:rPr>
          <w:rFonts w:hint="eastAsia" w:ascii="宋体" w:hAnsi="宋体" w:eastAsia="宋体" w:cs="Times New Roman"/>
          <w:color w:val="auto"/>
          <w:highlight w:val="none"/>
        </w:rPr>
        <w:t>29.适用法律</w:t>
      </w:r>
      <w:r>
        <w:rPr>
          <w:color w:val="auto"/>
          <w:highlight w:val="none"/>
        </w:rPr>
        <w:tab/>
      </w:r>
      <w:bookmarkStart w:id="1142" w:name="_Toc14677_WPSOffice_Level2Page"/>
      <w:r>
        <w:rPr>
          <w:color w:val="auto"/>
          <w:highlight w:val="none"/>
        </w:rPr>
        <w:t>46</w:t>
      </w:r>
      <w:bookmarkEnd w:id="114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"_Toc30272_WPSOffice_Level2" </w:instrText>
      </w:r>
      <w:r>
        <w:rPr>
          <w:color w:val="auto"/>
          <w:highlight w:val="none"/>
        </w:rPr>
        <w:fldChar w:fldCharType="separate"/>
      </w:r>
      <w:r>
        <w:rPr>
          <w:rFonts w:hint="eastAsia" w:ascii="宋体" w:hAnsi="宋体" w:eastAsia="宋体" w:cs="Times New Roman"/>
          <w:color w:val="auto"/>
          <w:highlight w:val="none"/>
        </w:rPr>
        <w:t>30.其它</w:t>
      </w:r>
      <w:r>
        <w:rPr>
          <w:color w:val="auto"/>
          <w:highlight w:val="none"/>
        </w:rPr>
        <w:tab/>
      </w:r>
      <w:bookmarkStart w:id="1143" w:name="_Toc30272_WPSOffice_Level2Page"/>
      <w:r>
        <w:rPr>
          <w:color w:val="auto"/>
          <w:highlight w:val="none"/>
        </w:rPr>
        <w:t>46</w:t>
      </w:r>
      <w:bookmarkEnd w:id="114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"_Toc23785_WPSOffice_Level2" </w:instrText>
      </w:r>
      <w:r>
        <w:rPr>
          <w:color w:val="auto"/>
          <w:highlight w:val="none"/>
        </w:rPr>
        <w:fldChar w:fldCharType="separate"/>
      </w:r>
      <w:r>
        <w:rPr>
          <w:rFonts w:hint="eastAsia" w:ascii="宋体" w:hAnsi="宋体" w:eastAsia="宋体" w:cs="Times New Roman"/>
          <w:color w:val="auto"/>
          <w:highlight w:val="none"/>
        </w:rPr>
        <w:t>31.廉洁条款特别约定</w:t>
      </w:r>
      <w:r>
        <w:rPr>
          <w:color w:val="auto"/>
          <w:highlight w:val="none"/>
        </w:rPr>
        <w:tab/>
      </w:r>
      <w:bookmarkStart w:id="1144" w:name="_Toc23785_WPSOffice_Level2Page"/>
      <w:r>
        <w:rPr>
          <w:color w:val="auto"/>
          <w:highlight w:val="none"/>
        </w:rPr>
        <w:t>47</w:t>
      </w:r>
      <w:bookmarkEnd w:id="1144"/>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"_Toc7517_WPSOffice_Level2" </w:instrText>
      </w:r>
      <w:r>
        <w:rPr>
          <w:color w:val="auto"/>
          <w:highlight w:val="none"/>
        </w:rPr>
        <w:fldChar w:fldCharType="separate"/>
      </w:r>
      <w:r>
        <w:rPr>
          <w:rFonts w:hint="eastAsia" w:ascii="宋体" w:hAnsi="宋体" w:eastAsia="宋体" w:cs="Times New Roman"/>
          <w:color w:val="auto"/>
          <w:highlight w:val="none"/>
        </w:rPr>
        <w:t>32.合同生效和签约地</w:t>
      </w:r>
      <w:r>
        <w:rPr>
          <w:color w:val="auto"/>
          <w:highlight w:val="none"/>
        </w:rPr>
        <w:tab/>
      </w:r>
      <w:bookmarkStart w:id="1145" w:name="_Toc7517_WPSOffice_Level2Page"/>
      <w:r>
        <w:rPr>
          <w:color w:val="auto"/>
          <w:highlight w:val="none"/>
        </w:rPr>
        <w:t>47</w:t>
      </w:r>
      <w:bookmarkEnd w:id="1145"/>
      <w:r>
        <w:rPr>
          <w:color w:val="auto"/>
          <w:highlight w:val="none"/>
        </w:rPr>
        <w:fldChar w:fldCharType="end"/>
      </w:r>
    </w:p>
    <w:p>
      <w:pPr>
        <w:pStyle w:val="58"/>
        <w:tabs>
          <w:tab w:val="right" w:leader="dot" w:pos="9071"/>
        </w:tabs>
        <w:rPr>
          <w:color w:val="auto"/>
          <w:highlight w:val="none"/>
        </w:rPr>
      </w:pPr>
      <w:r>
        <w:rPr>
          <w:color w:val="auto"/>
          <w:highlight w:val="none"/>
        </w:rPr>
        <w:fldChar w:fldCharType="begin"/>
      </w:r>
      <w:r>
        <w:rPr>
          <w:color w:val="auto"/>
          <w:highlight w:val="none"/>
        </w:rPr>
        <w:instrText xml:space="preserve"> HYPERLINK \l "_Toc27182_WPSOffice_Level1" </w:instrText>
      </w:r>
      <w:r>
        <w:rPr>
          <w:color w:val="auto"/>
          <w:highlight w:val="none"/>
        </w:rPr>
        <w:fldChar w:fldCharType="separate"/>
      </w: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b/>
          <w:bCs/>
          <w:color w:val="auto"/>
          <w:highlight w:val="none"/>
        </w:rPr>
        <w:tab/>
      </w:r>
      <w:bookmarkStart w:id="1146" w:name="_Toc27182_WPSOffice_Level1Page"/>
      <w:r>
        <w:rPr>
          <w:b/>
          <w:bCs/>
          <w:color w:val="auto"/>
          <w:highlight w:val="none"/>
        </w:rPr>
        <w:t>49</w:t>
      </w:r>
      <w:bookmarkEnd w:id="1146"/>
      <w:r>
        <w:rPr>
          <w:b/>
          <w:bCs/>
          <w:color w:val="auto"/>
          <w:highlight w:val="none"/>
        </w:rPr>
        <w:fldChar w:fldCharType="end"/>
      </w:r>
    </w:p>
    <w:p>
      <w:pPr>
        <w:pStyle w:val="58"/>
        <w:tabs>
          <w:tab w:val="right" w:leader="dot" w:pos="9071"/>
        </w:tabs>
        <w:rPr>
          <w:color w:val="auto"/>
          <w:highlight w:val="none"/>
        </w:rPr>
      </w:pPr>
      <w:r>
        <w:rPr>
          <w:color w:val="auto"/>
          <w:highlight w:val="none"/>
        </w:rPr>
        <w:fldChar w:fldCharType="begin"/>
      </w:r>
      <w:r>
        <w:rPr>
          <w:color w:val="auto"/>
          <w:highlight w:val="none"/>
        </w:rPr>
        <w:instrText xml:space="preserve"> HYPERLINK \l "_Toc25584_WPSOffice_Level1" </w:instrText>
      </w:r>
      <w:r>
        <w:rPr>
          <w:color w:val="auto"/>
          <w:highlight w:val="none"/>
        </w:rPr>
        <w:fldChar w:fldCharType="separate"/>
      </w:r>
      <w:r>
        <w:rPr>
          <w:rFonts w:hint="eastAsia"/>
          <w:b/>
          <w:bCs/>
          <w:color w:val="auto"/>
          <w:highlight w:val="none"/>
        </w:rPr>
        <w:t xml:space="preserve">第六部分 </w:t>
      </w:r>
      <w:r>
        <w:rPr>
          <w:b/>
          <w:bCs/>
          <w:color w:val="auto"/>
          <w:highlight w:val="none"/>
        </w:rPr>
        <w:t>合同附件及格式</w:t>
      </w:r>
      <w:r>
        <w:rPr>
          <w:b/>
          <w:bCs/>
          <w:color w:val="auto"/>
          <w:highlight w:val="none"/>
        </w:rPr>
        <w:tab/>
      </w:r>
      <w:bookmarkStart w:id="1147" w:name="_Toc25584_WPSOffice_Level1Page"/>
      <w:r>
        <w:rPr>
          <w:b/>
          <w:bCs/>
          <w:color w:val="auto"/>
          <w:highlight w:val="none"/>
        </w:rPr>
        <w:t>50</w:t>
      </w:r>
      <w:bookmarkEnd w:id="1147"/>
      <w:r>
        <w:rPr>
          <w:b/>
          <w:bCs/>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"_Toc22695_WPSOffice_Level2" </w:instrText>
      </w:r>
      <w:r>
        <w:rPr>
          <w:color w:val="auto"/>
          <w:highlight w:val="none"/>
        </w:rPr>
        <w:fldChar w:fldCharType="separate"/>
      </w:r>
      <w:r>
        <w:rPr>
          <w:rFonts w:hint="eastAsia" w:ascii="宋体" w:hAnsi="宋体" w:eastAsia="宋体" w:cs="Times New Roman"/>
          <w:color w:val="auto"/>
          <w:highlight w:val="none"/>
        </w:rPr>
        <w:t>1.履约保证金缴纳凭证（履约保函格式附后）</w:t>
      </w:r>
      <w:r>
        <w:rPr>
          <w:color w:val="auto"/>
          <w:highlight w:val="none"/>
        </w:rPr>
        <w:tab/>
      </w:r>
      <w:bookmarkStart w:id="1148" w:name="_Toc22695_WPSOffice_Level2Page"/>
      <w:r>
        <w:rPr>
          <w:color w:val="auto"/>
          <w:highlight w:val="none"/>
        </w:rPr>
        <w:t>50</w:t>
      </w:r>
      <w:bookmarkEnd w:id="1148"/>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"_Toc25351_WPSOffice_Level2" </w:instrText>
      </w:r>
      <w:r>
        <w:rPr>
          <w:color w:val="auto"/>
          <w:highlight w:val="none"/>
        </w:rPr>
        <w:fldChar w:fldCharType="separate"/>
      </w:r>
      <w:r>
        <w:rPr>
          <w:rFonts w:hint="eastAsia" w:ascii="宋体" w:hAnsi="宋体" w:eastAsia="宋体" w:cs="Times New Roman"/>
          <w:color w:val="auto"/>
          <w:highlight w:val="none"/>
        </w:rPr>
        <w:t>2.乙方营业执照或资质证书等（如有）</w:t>
      </w:r>
      <w:r>
        <w:rPr>
          <w:color w:val="auto"/>
          <w:highlight w:val="none"/>
        </w:rPr>
        <w:tab/>
      </w:r>
      <w:bookmarkStart w:id="1149" w:name="_Toc25351_WPSOffice_Level2Page"/>
      <w:r>
        <w:rPr>
          <w:color w:val="auto"/>
          <w:highlight w:val="none"/>
        </w:rPr>
        <w:t>50</w:t>
      </w:r>
      <w:bookmarkEnd w:id="1149"/>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"_Toc14500_WPSOffice_Level2" </w:instrText>
      </w:r>
      <w:r>
        <w:rPr>
          <w:color w:val="auto"/>
          <w:highlight w:val="none"/>
        </w:rPr>
        <w:fldChar w:fldCharType="separate"/>
      </w:r>
      <w:r>
        <w:rPr>
          <w:rFonts w:hint="eastAsia" w:ascii="宋体" w:hAnsi="宋体" w:eastAsia="宋体" w:cs="Times New Roman"/>
          <w:color w:val="auto"/>
          <w:highlight w:val="none"/>
        </w:rPr>
        <w:t>3.乙方法人授权委托书（如有）</w:t>
      </w:r>
      <w:r>
        <w:rPr>
          <w:color w:val="auto"/>
          <w:highlight w:val="none"/>
        </w:rPr>
        <w:tab/>
      </w:r>
      <w:bookmarkStart w:id="1150" w:name="_Toc14500_WPSOffice_Level2Page"/>
      <w:r>
        <w:rPr>
          <w:color w:val="auto"/>
          <w:highlight w:val="none"/>
        </w:rPr>
        <w:t>50</w:t>
      </w:r>
      <w:bookmarkEnd w:id="1150"/>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"_Toc7492_WPSOffice_Level2" </w:instrText>
      </w:r>
      <w:r>
        <w:rPr>
          <w:color w:val="auto"/>
          <w:highlight w:val="none"/>
        </w:rPr>
        <w:fldChar w:fldCharType="separate"/>
      </w:r>
      <w:r>
        <w:rPr>
          <w:rFonts w:hint="eastAsia" w:ascii="宋体" w:hAnsi="宋体" w:eastAsia="宋体" w:cs="Times New Roman"/>
          <w:color w:val="auto"/>
          <w:highlight w:val="none"/>
        </w:rPr>
        <w:t>4.原厂授权证明（如有）</w:t>
      </w:r>
      <w:r>
        <w:rPr>
          <w:color w:val="auto"/>
          <w:highlight w:val="none"/>
        </w:rPr>
        <w:tab/>
      </w:r>
      <w:bookmarkStart w:id="1151" w:name="_Toc7492_WPSOffice_Level2Page"/>
      <w:r>
        <w:rPr>
          <w:color w:val="auto"/>
          <w:highlight w:val="none"/>
        </w:rPr>
        <w:t>50</w:t>
      </w:r>
      <w:bookmarkEnd w:id="1151"/>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"_Toc13292_WPSOffice_Level2" </w:instrText>
      </w:r>
      <w:r>
        <w:rPr>
          <w:color w:val="auto"/>
          <w:highlight w:val="none"/>
        </w:rPr>
        <w:fldChar w:fldCharType="separate"/>
      </w:r>
      <w:r>
        <w:rPr>
          <w:rFonts w:hint="eastAsia" w:ascii="宋体" w:hAnsi="宋体" w:eastAsia="宋体" w:cs="Times New Roman"/>
          <w:color w:val="auto"/>
          <w:highlight w:val="none"/>
        </w:rPr>
        <w:t>5.供货证明格式（如有）</w:t>
      </w:r>
      <w:r>
        <w:rPr>
          <w:color w:val="auto"/>
          <w:highlight w:val="none"/>
        </w:rPr>
        <w:tab/>
      </w:r>
      <w:bookmarkStart w:id="1152" w:name="_Toc13292_WPSOffice_Level2Page"/>
      <w:r>
        <w:rPr>
          <w:color w:val="auto"/>
          <w:highlight w:val="none"/>
        </w:rPr>
        <w:t>50</w:t>
      </w:r>
      <w:bookmarkEnd w:id="1152"/>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"_Toc912_WPSOffice_Level2" </w:instrText>
      </w:r>
      <w:r>
        <w:rPr>
          <w:color w:val="auto"/>
          <w:highlight w:val="none"/>
        </w:rPr>
        <w:fldChar w:fldCharType="separate"/>
      </w:r>
      <w:r>
        <w:rPr>
          <w:rFonts w:hint="eastAsia" w:ascii="宋体" w:hAnsi="宋体" w:eastAsia="宋体" w:cs="Times New Roman"/>
          <w:color w:val="auto"/>
          <w:highlight w:val="none"/>
        </w:rPr>
        <w:t>6.交货通知格式（如有）</w:t>
      </w:r>
      <w:r>
        <w:rPr>
          <w:color w:val="auto"/>
          <w:highlight w:val="none"/>
        </w:rPr>
        <w:tab/>
      </w:r>
      <w:bookmarkStart w:id="1153" w:name="_Toc912_WPSOffice_Level2Page"/>
      <w:r>
        <w:rPr>
          <w:color w:val="auto"/>
          <w:highlight w:val="none"/>
        </w:rPr>
        <w:t>50</w:t>
      </w:r>
      <w:bookmarkEnd w:id="1153"/>
      <w:r>
        <w:rPr>
          <w:color w:val="auto"/>
          <w:highlight w:val="none"/>
        </w:rPr>
        <w:fldChar w:fldCharType="end"/>
      </w:r>
    </w:p>
    <w:p>
      <w:pPr>
        <w:pStyle w:val="60"/>
        <w:tabs>
          <w:tab w:val="right" w:leader="dot" w:pos="9071"/>
        </w:tabs>
        <w:ind w:left="420"/>
        <w:rPr>
          <w:color w:val="auto"/>
          <w:highlight w:val="none"/>
        </w:rPr>
      </w:pPr>
      <w:r>
        <w:rPr>
          <w:color w:val="auto"/>
          <w:highlight w:val="none"/>
        </w:rPr>
        <w:fldChar w:fldCharType="begin"/>
      </w:r>
      <w:r>
        <w:rPr>
          <w:color w:val="auto"/>
          <w:highlight w:val="none"/>
        </w:rPr>
        <w:instrText xml:space="preserve"> HYPERLINK \l "_Toc30271_WPSOffice_Level2" </w:instrText>
      </w:r>
      <w:r>
        <w:rPr>
          <w:color w:val="auto"/>
          <w:highlight w:val="none"/>
        </w:rPr>
        <w:fldChar w:fldCharType="separate"/>
      </w:r>
      <w:r>
        <w:rPr>
          <w:rFonts w:hint="eastAsia" w:ascii="宋体" w:hAnsi="宋体" w:eastAsia="宋体" w:cs="Times New Roman"/>
          <w:color w:val="auto"/>
          <w:highlight w:val="none"/>
        </w:rPr>
        <w:t>7.送货单格式（如有）</w:t>
      </w:r>
      <w:r>
        <w:rPr>
          <w:color w:val="auto"/>
          <w:highlight w:val="none"/>
        </w:rPr>
        <w:tab/>
      </w:r>
      <w:bookmarkStart w:id="1154" w:name="_Toc30271_WPSOffice_Level2Page"/>
      <w:r>
        <w:rPr>
          <w:color w:val="auto"/>
          <w:highlight w:val="none"/>
        </w:rPr>
        <w:t>50</w:t>
      </w:r>
      <w:bookmarkEnd w:id="1154"/>
      <w:r>
        <w:rPr>
          <w:color w:val="auto"/>
          <w:highlight w:val="none"/>
        </w:rPr>
        <w:fldChar w:fldCharType="end"/>
      </w:r>
    </w:p>
    <w:p>
      <w:pPr>
        <w:pStyle w:val="58"/>
        <w:tabs>
          <w:tab w:val="right" w:leader="dot" w:pos="9071"/>
        </w:tabs>
        <w:rPr>
          <w:color w:val="auto"/>
          <w:highlight w:val="none"/>
        </w:rPr>
      </w:pPr>
      <w:r>
        <w:rPr>
          <w:color w:val="auto"/>
          <w:highlight w:val="none"/>
        </w:rPr>
        <w:fldChar w:fldCharType="begin"/>
      </w:r>
      <w:r>
        <w:rPr>
          <w:color w:val="auto"/>
          <w:highlight w:val="none"/>
        </w:rPr>
        <w:instrText xml:space="preserve"> HYPERLINK \l "_Toc780_WPSOffice_Level1" </w:instrText>
      </w:r>
      <w:r>
        <w:rPr>
          <w:color w:val="auto"/>
          <w:highlight w:val="none"/>
        </w:rPr>
        <w:fldChar w:fldCharType="separate"/>
      </w:r>
      <w:r>
        <w:rPr>
          <w:b/>
          <w:bCs/>
          <w:color w:val="auto"/>
          <w:highlight w:val="none"/>
        </w:rPr>
        <w:t>第</w:t>
      </w:r>
      <w:r>
        <w:rPr>
          <w:rFonts w:hint="eastAsia"/>
          <w:b/>
          <w:bCs/>
          <w:color w:val="auto"/>
          <w:highlight w:val="none"/>
        </w:rPr>
        <w:t>七</w:t>
      </w:r>
      <w:r>
        <w:rPr>
          <w:b/>
          <w:bCs/>
          <w:color w:val="auto"/>
          <w:highlight w:val="none"/>
        </w:rPr>
        <w:t>部分</w:t>
      </w:r>
      <w:r>
        <w:rPr>
          <w:rFonts w:hint="eastAsia"/>
          <w:b/>
          <w:bCs/>
          <w:color w:val="auto"/>
          <w:highlight w:val="none"/>
        </w:rPr>
        <w:t xml:space="preserve"> 比选文件</w:t>
      </w:r>
      <w:r>
        <w:rPr>
          <w:b/>
          <w:bCs/>
          <w:color w:val="auto"/>
          <w:highlight w:val="none"/>
        </w:rPr>
        <w:tab/>
      </w:r>
      <w:bookmarkStart w:id="1155" w:name="_Toc780_WPSOffice_Level1Page"/>
      <w:r>
        <w:rPr>
          <w:b/>
          <w:bCs/>
          <w:color w:val="auto"/>
          <w:highlight w:val="none"/>
        </w:rPr>
        <w:t>56</w:t>
      </w:r>
      <w:bookmarkEnd w:id="1155"/>
      <w:r>
        <w:rPr>
          <w:b/>
          <w:bCs/>
          <w:color w:val="auto"/>
          <w:highlight w:val="none"/>
        </w:rPr>
        <w:fldChar w:fldCharType="end"/>
      </w:r>
    </w:p>
    <w:p>
      <w:pPr>
        <w:pStyle w:val="58"/>
        <w:tabs>
          <w:tab w:val="right" w:leader="dot" w:pos="9071"/>
        </w:tabs>
        <w:rPr>
          <w:color w:val="auto"/>
          <w:highlight w:val="none"/>
        </w:rPr>
      </w:pPr>
      <w:r>
        <w:rPr>
          <w:color w:val="auto"/>
          <w:highlight w:val="none"/>
        </w:rPr>
        <w:fldChar w:fldCharType="begin"/>
      </w:r>
      <w:r>
        <w:rPr>
          <w:color w:val="auto"/>
          <w:highlight w:val="none"/>
        </w:rPr>
        <w:instrText xml:space="preserve"> HYPERLINK \l "_Toc3522_WPSOffice_Level1" </w:instrText>
      </w:r>
      <w:r>
        <w:rPr>
          <w:color w:val="auto"/>
          <w:highlight w:val="none"/>
        </w:rPr>
        <w:fldChar w:fldCharType="separate"/>
      </w:r>
      <w:r>
        <w:rPr>
          <w:b/>
          <w:bCs/>
          <w:color w:val="auto"/>
          <w:highlight w:val="none"/>
        </w:rPr>
        <w:t>第</w:t>
      </w:r>
      <w:r>
        <w:rPr>
          <w:rFonts w:hint="eastAsia"/>
          <w:b/>
          <w:bCs/>
          <w:color w:val="auto"/>
          <w:highlight w:val="none"/>
        </w:rPr>
        <w:t>八</w:t>
      </w:r>
      <w:r>
        <w:rPr>
          <w:b/>
          <w:bCs/>
          <w:color w:val="auto"/>
          <w:highlight w:val="none"/>
        </w:rPr>
        <w:t>部分</w:t>
      </w:r>
      <w:r>
        <w:rPr>
          <w:rFonts w:hint="eastAsia"/>
          <w:b/>
          <w:bCs/>
          <w:color w:val="auto"/>
          <w:highlight w:val="none"/>
        </w:rPr>
        <w:t xml:space="preserve"> 比选申请文件</w:t>
      </w:r>
      <w:r>
        <w:rPr>
          <w:b/>
          <w:bCs/>
          <w:color w:val="auto"/>
          <w:highlight w:val="none"/>
        </w:rPr>
        <w:tab/>
      </w:r>
      <w:bookmarkStart w:id="1156" w:name="_Toc3522_WPSOffice_Level1Page"/>
      <w:r>
        <w:rPr>
          <w:b/>
          <w:bCs/>
          <w:color w:val="auto"/>
          <w:highlight w:val="none"/>
        </w:rPr>
        <w:t>57</w:t>
      </w:r>
      <w:bookmarkEnd w:id="1156"/>
      <w:r>
        <w:rPr>
          <w:b/>
          <w:bCs/>
          <w:color w:val="auto"/>
          <w:highlight w:val="none"/>
        </w:rPr>
        <w:fldChar w:fldCharType="end"/>
      </w:r>
    </w:p>
    <w:p>
      <w:pPr>
        <w:pStyle w:val="60"/>
        <w:tabs>
          <w:tab w:val="right" w:leader="dot" w:pos="9071"/>
        </w:tabs>
        <w:ind w:left="420" w:firstLine="400" w:firstLineChars="200"/>
        <w:rPr>
          <w:rFonts w:ascii="宋体" w:hAnsi="宋体"/>
          <w:color w:val="auto"/>
          <w:highlight w:val="none"/>
        </w:rPr>
      </w:pPr>
    </w:p>
    <w:p>
      <w:pPr>
        <w:spacing w:before="0"/>
        <w:ind w:right="0"/>
        <w:jc w:val="center"/>
        <w:outlineLvl w:val="1"/>
        <w:rPr>
          <w:rFonts w:ascii="宋体" w:hAnsi="宋体"/>
          <w:b/>
          <w:color w:val="auto"/>
          <w:sz w:val="24"/>
          <w:szCs w:val="24"/>
          <w:highlight w:val="none"/>
        </w:rPr>
      </w:pPr>
      <w:bookmarkStart w:id="1157" w:name="_Toc2231_WPSOffice_Level1"/>
      <w:bookmarkStart w:id="1158" w:name="_Toc25828"/>
      <w:bookmarkStart w:id="1159" w:name="_Toc12860_WPSOffice_Level2"/>
      <w:bookmarkStart w:id="1160" w:name="_Toc31212"/>
      <w:bookmarkStart w:id="1161" w:name="_Toc31254"/>
      <w:bookmarkStart w:id="1162" w:name="_Toc13761"/>
      <w:bookmarkStart w:id="1163" w:name="_Toc29540"/>
      <w:bookmarkStart w:id="1164" w:name="_Toc25750633"/>
      <w:bookmarkStart w:id="1165" w:name="_Toc7587"/>
      <w:bookmarkStart w:id="1166" w:name="_Toc20060"/>
      <w:bookmarkStart w:id="1167" w:name="_Toc31368"/>
      <w:bookmarkStart w:id="1168" w:name="_Toc22083"/>
      <w:bookmarkStart w:id="1169" w:name="_Toc8999"/>
      <w:bookmarkStart w:id="1170" w:name="_Toc3488"/>
      <w:bookmarkStart w:id="1171" w:name="_Toc4026"/>
      <w:bookmarkStart w:id="1172" w:name="_Toc6950"/>
      <w:bookmarkStart w:id="1173" w:name="_Toc2618"/>
      <w:bookmarkStart w:id="1174" w:name="_Toc32403"/>
      <w:bookmarkStart w:id="1175" w:name="_Toc29797"/>
      <w:bookmarkStart w:id="1176" w:name="_Toc6190"/>
      <w:bookmarkStart w:id="1177" w:name="_Toc3517"/>
      <w:bookmarkStart w:id="1178" w:name="_Toc11395"/>
      <w:bookmarkStart w:id="1179" w:name="_Toc7236"/>
      <w:bookmarkStart w:id="1180" w:name="_Toc1289"/>
      <w:bookmarkStart w:id="1181" w:name="_Toc15840"/>
      <w:bookmarkStart w:id="1182" w:name="_Toc684"/>
      <w:bookmarkStart w:id="1183" w:name="_Toc14619"/>
      <w:bookmarkStart w:id="1184" w:name="_Toc12983547"/>
      <w:bookmarkStart w:id="1185" w:name="_Toc14463"/>
      <w:r>
        <w:rPr>
          <w:rFonts w:hint="eastAsia" w:ascii="宋体" w:hAnsi="宋体"/>
          <w:b/>
          <w:color w:val="auto"/>
          <w:sz w:val="24"/>
          <w:szCs w:val="24"/>
          <w:highlight w:val="none"/>
        </w:rPr>
        <w:t>第一部分 合同协</w:t>
      </w:r>
      <w:bookmarkEnd w:id="1157"/>
      <w:r>
        <w:rPr>
          <w:rFonts w:hint="eastAsia" w:ascii="宋体" w:hAnsi="宋体"/>
          <w:b/>
          <w:color w:val="auto"/>
          <w:sz w:val="24"/>
          <w:szCs w:val="24"/>
          <w:highlight w:val="none"/>
        </w:rPr>
        <w:t>议书</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甲方（全称）：</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乙方（全称）：</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本协议由南宁轨道交通运营有限公司（下称“甲方”或业主）与（下称“乙方”），双方根据</w:t>
      </w:r>
      <w:r>
        <w:rPr>
          <w:rFonts w:hint="eastAsia" w:ascii="宋体" w:hAnsi="宋体"/>
          <w:color w:val="auto"/>
          <w:highlight w:val="none"/>
          <w:u w:val="single"/>
          <w:lang w:eastAsia="zh-CN"/>
        </w:rPr>
        <w:t>南宁轨道交通1、2、3、4号线专用通信、AFC系统故障件维修委外服务项目（2024-2026年）</w:t>
      </w:r>
      <w:r>
        <w:rPr>
          <w:rFonts w:hint="eastAsia" w:ascii="宋体" w:hAnsi="宋体"/>
          <w:color w:val="auto"/>
          <w:highlight w:val="none"/>
        </w:rPr>
        <w:t>（项目编号：</w:t>
      </w:r>
      <w:r>
        <w:rPr>
          <w:rFonts w:hint="eastAsia" w:ascii="宋体" w:hAnsi="宋体"/>
          <w:color w:val="auto"/>
          <w:highlight w:val="none"/>
          <w:lang w:eastAsia="zh-CN"/>
        </w:rPr>
        <w:t>202309210001</w:t>
      </w: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outlineLvl w:val="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1.1项目名称：</w:t>
      </w:r>
      <w:r>
        <w:rPr>
          <w:rFonts w:hint="eastAsia" w:ascii="宋体" w:hAnsi="宋体" w:cs="Arial"/>
          <w:color w:val="auto"/>
          <w:highlight w:val="none"/>
          <w:lang w:eastAsia="zh-CN"/>
        </w:rPr>
        <w:t>南宁轨道交通1、2、3、4号线专用通信、AFC系统故障件维修委外服务项目（2024-2026年）</w:t>
      </w:r>
      <w:r>
        <w:rPr>
          <w:rFonts w:hint="eastAsia" w:ascii="宋体" w:hAnsi="宋体"/>
          <w:color w:val="auto"/>
          <w:highlight w:val="none"/>
        </w:rPr>
        <w:t>。</w:t>
      </w:r>
    </w:p>
    <w:p>
      <w:pPr>
        <w:tabs>
          <w:tab w:val="left" w:pos="1134"/>
          <w:tab w:val="left" w:pos="1680"/>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1.2项目实施地点：无</w:t>
      </w:r>
      <w:r>
        <w:rPr>
          <w:rFonts w:hint="eastAsia" w:ascii="宋体" w:hAnsi="宋体"/>
          <w:color w:val="auto"/>
          <w:highlight w:val="none"/>
        </w:rPr>
        <w:t>。</w:t>
      </w:r>
    </w:p>
    <w:p>
      <w:pPr>
        <w:tabs>
          <w:tab w:val="left" w:pos="1134"/>
          <w:tab w:val="left" w:pos="1680"/>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1.3项目范围：</w:t>
      </w:r>
      <w:r>
        <w:rPr>
          <w:rFonts w:hint="eastAsia" w:cs="宋体" w:asciiTheme="minorEastAsia" w:hAnsiTheme="minorEastAsia" w:eastAsiaTheme="minorEastAsia"/>
          <w:color w:val="auto"/>
          <w:kern w:val="2"/>
          <w:highlight w:val="none"/>
        </w:rPr>
        <w:t>南宁轨道交通1、2、3</w:t>
      </w:r>
      <w:r>
        <w:rPr>
          <w:rFonts w:hint="eastAsia" w:cs="宋体" w:asciiTheme="minorEastAsia" w:hAnsiTheme="minorEastAsia" w:eastAsiaTheme="minorEastAsia"/>
          <w:color w:val="auto"/>
          <w:kern w:val="2"/>
          <w:highlight w:val="none"/>
          <w:lang w:eastAsia="zh-CN"/>
        </w:rPr>
        <w:t>、</w:t>
      </w:r>
      <w:r>
        <w:rPr>
          <w:rFonts w:hint="eastAsia" w:cs="宋体" w:asciiTheme="minorEastAsia" w:hAnsiTheme="minorEastAsia" w:eastAsiaTheme="minorEastAsia"/>
          <w:color w:val="auto"/>
          <w:kern w:val="2"/>
          <w:highlight w:val="none"/>
          <w:lang w:val="en-US" w:eastAsia="zh-CN"/>
        </w:rPr>
        <w:t>4</w:t>
      </w:r>
      <w:r>
        <w:rPr>
          <w:rFonts w:hint="eastAsia" w:cs="宋体" w:asciiTheme="minorEastAsia" w:hAnsiTheme="minorEastAsia" w:eastAsiaTheme="minorEastAsia"/>
          <w:color w:val="auto"/>
          <w:kern w:val="2"/>
          <w:highlight w:val="none"/>
        </w:rPr>
        <w:t>号线专用通信、AFC系统故障件共计</w:t>
      </w:r>
      <w:r>
        <w:rPr>
          <w:rFonts w:hint="eastAsia" w:cs="宋体" w:asciiTheme="minorEastAsia" w:hAnsiTheme="minorEastAsia" w:eastAsiaTheme="minorEastAsia"/>
          <w:color w:val="auto"/>
          <w:kern w:val="2"/>
          <w:highlight w:val="none"/>
          <w:lang w:val="en-US" w:eastAsia="zh-CN"/>
        </w:rPr>
        <w:t>51</w:t>
      </w:r>
      <w:r>
        <w:rPr>
          <w:rFonts w:hint="eastAsia" w:cs="宋体" w:asciiTheme="minorEastAsia" w:hAnsiTheme="minorEastAsia" w:eastAsiaTheme="minorEastAsia"/>
          <w:color w:val="auto"/>
          <w:kern w:val="2"/>
          <w:highlight w:val="none"/>
        </w:rPr>
        <w:t>项</w:t>
      </w:r>
      <w:r>
        <w:rPr>
          <w:rFonts w:hint="eastAsia" w:cs="宋体" w:asciiTheme="minorEastAsia" w:hAnsiTheme="minorEastAsia" w:eastAsiaTheme="minorEastAsia"/>
          <w:color w:val="auto"/>
          <w:kern w:val="2"/>
          <w:highlight w:val="none"/>
          <w:lang w:val="en-US" w:eastAsia="zh-CN"/>
        </w:rPr>
        <w:t>158</w:t>
      </w:r>
      <w:r>
        <w:rPr>
          <w:rFonts w:hint="eastAsia" w:cs="宋体" w:asciiTheme="minorEastAsia" w:hAnsiTheme="minorEastAsia" w:eastAsiaTheme="minorEastAsia"/>
          <w:color w:val="auto"/>
          <w:kern w:val="2"/>
          <w:highlight w:val="none"/>
        </w:rPr>
        <w:t>件故障件的维修及修后质保服务工作，故障件清单详见用户需求书附件1。故障件的维修包含故障件的包装、运输、检测、维修，修复件的出厂检验、运输、软硬件的调试及质保期内出现故障免费维修等</w:t>
      </w:r>
      <w:r>
        <w:rPr>
          <w:rFonts w:hint="eastAsia" w:ascii="宋体" w:hAnsi="宋体" w:cs="Arial"/>
          <w:color w:val="auto"/>
          <w:highlight w:val="none"/>
        </w:rPr>
        <w:t>，具体详见用户需求书。</w:t>
      </w:r>
    </w:p>
    <w:p>
      <w:pPr>
        <w:tabs>
          <w:tab w:val="left" w:pos="1134"/>
          <w:tab w:val="left" w:pos="1680"/>
        </w:tabs>
        <w:spacing w:before="0" w:after="0" w:afterAutospacing="0"/>
        <w:ind w:left="0" w:right="0" w:firstLine="422"/>
        <w:outlineLvl w:val="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firstLineChars="200"/>
        <w:rPr>
          <w:color w:val="auto"/>
          <w:highlight w:val="none"/>
        </w:rPr>
      </w:pPr>
      <w:r>
        <w:rPr>
          <w:rFonts w:hint="eastAsia"/>
          <w:color w:val="auto"/>
          <w:highlight w:val="none"/>
        </w:rPr>
        <w:t>甲方同意接受，乙方同意作为中选方并以下列第4条所述价格提供</w:t>
      </w:r>
      <w:r>
        <w:rPr>
          <w:rFonts w:hint="eastAsia" w:ascii="宋体" w:hAnsi="宋体"/>
          <w:color w:val="auto"/>
          <w:highlight w:val="none"/>
          <w:u w:val="single"/>
          <w:lang w:eastAsia="zh-CN"/>
        </w:rPr>
        <w:t>南宁轨道交通1、2、3、4号线专用通信、AFC系统故障件维修委外服务项目（2024-2026年）</w:t>
      </w:r>
      <w:r>
        <w:rPr>
          <w:rFonts w:hint="eastAsia"/>
          <w:color w:val="auto"/>
          <w:highlight w:val="none"/>
        </w:rPr>
        <w:t>项下的</w:t>
      </w:r>
      <w:r>
        <w:rPr>
          <w:rFonts w:hint="eastAsia"/>
          <w:color w:val="auto"/>
          <w:highlight w:val="none"/>
          <w:u w:val="single"/>
        </w:rPr>
        <w:t xml:space="preserve"> 故障件维修服务（包括但不限于故障件从送修至返还的全过程所产生的包装、运输、检测、维修，修复件的出厂检验、运输、软硬件的调试及质保期内出现故障免费维修等一切费用）。</w:t>
      </w:r>
    </w:p>
    <w:p>
      <w:pPr>
        <w:tabs>
          <w:tab w:val="left" w:pos="1134"/>
          <w:tab w:val="left" w:pos="1680"/>
        </w:tabs>
        <w:spacing w:before="0" w:after="0" w:afterAutospacing="0"/>
        <w:ind w:left="0" w:right="0" w:firstLine="422"/>
        <w:outlineLvl w:val="2"/>
        <w:rPr>
          <w:rFonts w:ascii="宋体" w:hAnsi="宋体" w:cs="Arial"/>
          <w:b/>
          <w:color w:val="auto"/>
          <w:highlight w:val="none"/>
        </w:rPr>
      </w:pPr>
      <w:r>
        <w:rPr>
          <w:rFonts w:hint="eastAsia" w:ascii="宋体" w:hAnsi="宋体" w:cs="Arial"/>
          <w:b/>
          <w:color w:val="auto"/>
          <w:highlight w:val="none"/>
        </w:rPr>
        <w:t>3.服务期</w:t>
      </w:r>
    </w:p>
    <w:p>
      <w:pPr>
        <w:pStyle w:val="2"/>
        <w:spacing w:before="0" w:afterAutospacing="0"/>
        <w:ind w:left="0" w:right="0" w:firstLine="420" w:firstLineChars="200"/>
        <w:rPr>
          <w:rFonts w:hAnsi="宋体"/>
          <w:b/>
          <w:color w:val="auto"/>
          <w:sz w:val="21"/>
          <w:szCs w:val="21"/>
          <w:highlight w:val="none"/>
        </w:rPr>
      </w:pPr>
      <w:r>
        <w:rPr>
          <w:rFonts w:hint="eastAsia" w:hAnsi="宋体"/>
          <w:color w:val="auto"/>
          <w:sz w:val="21"/>
          <w:szCs w:val="21"/>
          <w:highlight w:val="none"/>
          <w:lang w:eastAsia="zh-CN"/>
        </w:rPr>
        <w:t>南宁轨道交通1、2、3、4号线专用通信、AFC系统故障件维修委外服务项目（2024-2026年）</w:t>
      </w:r>
      <w:r>
        <w:rPr>
          <w:rFonts w:hint="eastAsia" w:hAnsi="宋体"/>
          <w:color w:val="auto"/>
          <w:sz w:val="21"/>
          <w:szCs w:val="21"/>
          <w:highlight w:val="none"/>
        </w:rPr>
        <w:t>服务期：</w:t>
      </w:r>
      <w:r>
        <w:rPr>
          <w:rFonts w:hint="eastAsia" w:hAnsi="宋体"/>
          <w:color w:val="auto"/>
          <w:sz w:val="21"/>
          <w:szCs w:val="21"/>
          <w:highlight w:val="none"/>
          <w:lang w:eastAsia="zh-CN"/>
        </w:rPr>
        <w:t>本项目计划服务期为2年（自合同签订之日起开始计算24个月）</w:t>
      </w:r>
      <w:r>
        <w:rPr>
          <w:rFonts w:hint="eastAsia" w:hAnsi="宋体"/>
          <w:color w:val="auto"/>
          <w:sz w:val="21"/>
          <w:szCs w:val="21"/>
          <w:highlight w:val="none"/>
        </w:rPr>
        <w:t>。</w:t>
      </w:r>
    </w:p>
    <w:p>
      <w:pPr>
        <w:tabs>
          <w:tab w:val="left" w:pos="567"/>
        </w:tabs>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4.</w:t>
      </w:r>
      <w:r>
        <w:rPr>
          <w:rFonts w:ascii="宋体" w:hAnsi="宋体"/>
          <w:b/>
          <w:color w:val="auto"/>
          <w:highlight w:val="none"/>
        </w:rPr>
        <w:t>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本项目合同价格为：不含税价：人民币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outlineLvl w:val="2"/>
        <w:rPr>
          <w:rFonts w:ascii="宋体" w:hAnsi="宋体"/>
          <w:color w:val="auto"/>
          <w:highlight w:val="none"/>
        </w:rPr>
      </w:pPr>
      <w:r>
        <w:rPr>
          <w:rFonts w:hint="eastAsia" w:ascii="宋体" w:hAnsi="宋体"/>
          <w:b/>
          <w:color w:val="auto"/>
          <w:highlight w:val="none"/>
        </w:rPr>
        <w:t>5</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bookmarkStart w:id="1186" w:name="_Toc20006_WPSOffice_Level2"/>
      <w:bookmarkStart w:id="1187" w:name="_Toc98_WPSOffice_Level2"/>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bookmarkEnd w:id="1186"/>
      <w:bookmarkEnd w:id="1187"/>
    </w:p>
    <w:p>
      <w:pPr>
        <w:spacing w:before="0" w:after="0" w:afterAutospacing="0"/>
        <w:ind w:left="0" w:right="0" w:firstLine="420" w:firstLineChars="200"/>
        <w:rPr>
          <w:rFonts w:ascii="宋体" w:hAnsi="宋体"/>
          <w:color w:val="auto"/>
          <w:highlight w:val="none"/>
        </w:rPr>
      </w:pPr>
      <w:bookmarkStart w:id="1188" w:name="_Toc28765_WPSOffice_Level2"/>
      <w:bookmarkStart w:id="1189" w:name="_Toc2431_WPSOffice_Level2"/>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bookmarkEnd w:id="1188"/>
      <w:bookmarkEnd w:id="1189"/>
    </w:p>
    <w:p>
      <w:pPr>
        <w:spacing w:before="0" w:after="0" w:afterAutospacing="0"/>
        <w:ind w:left="0" w:right="0" w:firstLine="420" w:firstLineChars="200"/>
        <w:rPr>
          <w:rFonts w:ascii="宋体" w:hAnsi="宋体"/>
          <w:color w:val="auto"/>
          <w:highlight w:val="none"/>
        </w:rPr>
      </w:pPr>
      <w:bookmarkStart w:id="1190" w:name="_Toc23916_WPSOffice_Level2"/>
      <w:bookmarkStart w:id="1191" w:name="_Toc27182_WPSOffice_Level2"/>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）价格组成文件；</w:t>
      </w:r>
      <w:bookmarkEnd w:id="1190"/>
      <w:bookmarkEnd w:id="1191"/>
    </w:p>
    <w:p>
      <w:pPr>
        <w:spacing w:before="0" w:after="0" w:afterAutospacing="0"/>
        <w:ind w:left="0" w:right="0" w:firstLine="420" w:firstLineChars="200"/>
        <w:rPr>
          <w:rFonts w:ascii="宋体" w:hAnsi="宋体"/>
          <w:color w:val="auto"/>
          <w:highlight w:val="none"/>
        </w:rPr>
      </w:pPr>
      <w:bookmarkStart w:id="1192" w:name="_Toc21195_WPSOffice_Level2"/>
      <w:bookmarkStart w:id="1193" w:name="_Toc25584_WPSOffice_Level2"/>
      <w:r>
        <w:rPr>
          <w:rFonts w:hint="eastAsia" w:ascii="宋体" w:hAnsi="宋体"/>
          <w:color w:val="auto"/>
          <w:highlight w:val="none"/>
        </w:rPr>
        <w:t>（4）合同条款；</w:t>
      </w:r>
      <w:bookmarkEnd w:id="1192"/>
      <w:bookmarkEnd w:id="1193"/>
    </w:p>
    <w:p>
      <w:pPr>
        <w:spacing w:before="0" w:after="0" w:afterAutospacing="0"/>
        <w:ind w:left="0" w:right="0" w:firstLine="420" w:firstLineChars="200"/>
        <w:rPr>
          <w:rFonts w:ascii="宋体" w:hAnsi="宋体"/>
          <w:color w:val="auto"/>
          <w:highlight w:val="none"/>
        </w:rPr>
      </w:pPr>
      <w:bookmarkStart w:id="1194" w:name="_Toc8808_WPSOffice_Level2"/>
      <w:bookmarkStart w:id="1195" w:name="_Toc780_WPSOffice_Level2"/>
      <w:r>
        <w:rPr>
          <w:rFonts w:hint="eastAsia" w:ascii="宋体" w:hAnsi="宋体"/>
          <w:color w:val="auto"/>
          <w:highlight w:val="none"/>
        </w:rPr>
        <w:t>（5）技术规格书；</w:t>
      </w:r>
      <w:bookmarkEnd w:id="1194"/>
      <w:bookmarkEnd w:id="1195"/>
    </w:p>
    <w:p>
      <w:pPr>
        <w:spacing w:before="0" w:after="0" w:afterAutospacing="0"/>
        <w:ind w:left="0" w:right="0" w:firstLine="420" w:firstLineChars="200"/>
        <w:rPr>
          <w:rFonts w:ascii="宋体" w:hAnsi="宋体"/>
          <w:color w:val="auto"/>
          <w:highlight w:val="none"/>
        </w:rPr>
      </w:pPr>
      <w:bookmarkStart w:id="1196" w:name="_Toc23251_WPSOffice_Level2"/>
      <w:bookmarkStart w:id="1197" w:name="_Toc3522_WPSOffice_Level2"/>
      <w:r>
        <w:rPr>
          <w:rFonts w:hint="eastAsia" w:ascii="宋体" w:hAnsi="宋体"/>
          <w:color w:val="auto"/>
          <w:highlight w:val="none"/>
        </w:rPr>
        <w:t>（6）合同附件；</w:t>
      </w:r>
      <w:bookmarkEnd w:id="1196"/>
      <w:bookmarkEnd w:id="1197"/>
    </w:p>
    <w:p>
      <w:pPr>
        <w:spacing w:before="0" w:after="0" w:afterAutospacing="0"/>
        <w:ind w:left="0" w:right="0" w:firstLine="420" w:firstLineChars="200"/>
        <w:rPr>
          <w:rFonts w:ascii="宋体" w:hAnsi="宋体"/>
          <w:color w:val="auto"/>
          <w:highlight w:val="none"/>
        </w:rPr>
      </w:pPr>
      <w:bookmarkStart w:id="1198" w:name="_Toc19950_WPSOffice_Level2"/>
      <w:bookmarkStart w:id="1199" w:name="_Toc22659_WPSOffice_Level2"/>
      <w:r>
        <w:rPr>
          <w:rFonts w:hint="eastAsia" w:ascii="宋体" w:hAnsi="宋体"/>
          <w:color w:val="auto"/>
          <w:highlight w:val="none"/>
        </w:rPr>
        <w:t>（7）比选文件（含比选补充文件）；</w:t>
      </w:r>
      <w:bookmarkEnd w:id="1198"/>
      <w:bookmarkEnd w:id="1199"/>
    </w:p>
    <w:p>
      <w:pPr>
        <w:spacing w:before="0" w:after="0" w:afterAutospacing="0"/>
        <w:ind w:left="0" w:right="0" w:firstLine="420" w:firstLineChars="200"/>
        <w:rPr>
          <w:rFonts w:ascii="宋体" w:hAnsi="宋体"/>
          <w:color w:val="auto"/>
          <w:highlight w:val="none"/>
        </w:rPr>
      </w:pPr>
      <w:bookmarkStart w:id="1200" w:name="_Toc25393_WPSOffice_Level2"/>
      <w:bookmarkStart w:id="1201" w:name="_Toc21645_WPSOffice_Level2"/>
      <w:r>
        <w:rPr>
          <w:rFonts w:hint="eastAsia" w:ascii="宋体" w:hAnsi="宋体"/>
          <w:color w:val="auto"/>
          <w:highlight w:val="none"/>
        </w:rPr>
        <w:t>（8）比选申请文件（含比选申请文件的补充文件）。</w:t>
      </w:r>
      <w:bookmarkEnd w:id="1200"/>
      <w:bookmarkEnd w:id="1201"/>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color w:val="auto"/>
          <w:highlight w:val="none"/>
        </w:rPr>
        <w:t>。</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 乙方向甲方承诺严格履行合同条款义务，按合同约定承担本合同责任。</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7. 甲方向乙方承诺按合同条款约定的条件、时间和方式支付合同价款。</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8.</w:t>
      </w:r>
      <w:r>
        <w:rPr>
          <w:rFonts w:hint="eastAsia"/>
          <w:color w:val="auto"/>
          <w:highlight w:val="none"/>
        </w:rPr>
        <w:t>双方依据本次比选文件中的用户需求书及乙方比选申请文件（如技术响应表、技术文件等），按照二者较优值形成技术规格书，并经双方确认后构成本合同的有效组成部分。在本合同执行中（的系统技术指标）以技术规格书为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9. 甲方、乙方承诺按照合同条款约定的违约责任和解决争议方式履行合同。</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10.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11.本合同用中文书写，正本</w:t>
      </w:r>
      <w:r>
        <w:rPr>
          <w:rFonts w:hint="eastAsia" w:ascii="宋体" w:hAnsi="宋体" w:cs="宋体"/>
          <w:color w:val="auto"/>
          <w:highlight w:val="none"/>
          <w:u w:val="single"/>
        </w:rPr>
        <w:t>2</w:t>
      </w:r>
      <w:r>
        <w:rPr>
          <w:rFonts w:hint="eastAsia" w:ascii="宋体" w:hAnsi="宋体" w:cs="宋体"/>
          <w:color w:val="auto"/>
          <w:highlight w:val="none"/>
        </w:rPr>
        <w:t>份，甲、乙方各</w:t>
      </w:r>
      <w:r>
        <w:rPr>
          <w:rFonts w:hint="eastAsia" w:ascii="宋体" w:hAnsi="宋体" w:cs="宋体"/>
          <w:color w:val="auto"/>
          <w:highlight w:val="none"/>
          <w:u w:val="single"/>
        </w:rPr>
        <w:t>1</w:t>
      </w:r>
      <w:r>
        <w:rPr>
          <w:rFonts w:hint="eastAsia" w:ascii="宋体" w:hAnsi="宋体" w:cs="宋体"/>
          <w:color w:val="auto"/>
          <w:highlight w:val="none"/>
        </w:rPr>
        <w:t>份；副本</w:t>
      </w:r>
      <w:r>
        <w:rPr>
          <w:rFonts w:hint="eastAsia" w:ascii="宋体" w:hAnsi="宋体" w:cs="宋体"/>
          <w:color w:val="auto"/>
          <w:highlight w:val="none"/>
          <w:u w:val="single"/>
        </w:rPr>
        <w:t>8</w:t>
      </w:r>
      <w:r>
        <w:rPr>
          <w:rFonts w:hint="eastAsia" w:ascii="宋体" w:hAnsi="宋体" w:cs="宋体"/>
          <w:color w:val="auto"/>
          <w:highlight w:val="none"/>
        </w:rPr>
        <w:t xml:space="preserve">份，甲方持 </w:t>
      </w:r>
      <w:r>
        <w:rPr>
          <w:rFonts w:hint="eastAsia" w:ascii="宋体" w:hAnsi="宋体" w:cs="宋体"/>
          <w:color w:val="auto"/>
          <w:highlight w:val="none"/>
          <w:u w:val="single"/>
        </w:rPr>
        <w:t>7</w:t>
      </w:r>
      <w:r>
        <w:rPr>
          <w:rFonts w:hint="eastAsia" w:ascii="宋体" w:hAnsi="宋体" w:cs="宋体"/>
          <w:color w:val="auto"/>
          <w:highlight w:val="none"/>
        </w:rPr>
        <w:t>份，乙方持</w:t>
      </w:r>
      <w:r>
        <w:rPr>
          <w:rFonts w:hint="eastAsia" w:ascii="宋体" w:hAnsi="宋体" w:cs="宋体"/>
          <w:color w:val="auto"/>
          <w:highlight w:val="none"/>
          <w:u w:val="single"/>
        </w:rPr>
        <w:t>1</w:t>
      </w:r>
      <w:r>
        <w:rPr>
          <w:rFonts w:hint="eastAsia" w:ascii="宋体" w:hAnsi="宋体" w:cs="宋体"/>
          <w:color w:val="auto"/>
          <w:highlight w:val="none"/>
        </w:rPr>
        <w:t>份。</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12.本合同协议书经双方法定代表人或授权代表在合同协议书上签字并加盖单位公章后生效。</w:t>
      </w:r>
    </w:p>
    <w:p>
      <w:pPr>
        <w:spacing w:before="0" w:after="0" w:afterAutospacing="0"/>
        <w:ind w:left="0" w:right="0" w:firstLine="420" w:firstLineChars="200"/>
        <w:outlineLvl w:val="2"/>
        <w:rPr>
          <w:rFonts w:hint="eastAsia" w:ascii="宋体" w:hAnsi="宋体" w:cs="宋体"/>
          <w:color w:val="auto"/>
          <w:highlight w:val="none"/>
        </w:rPr>
      </w:pPr>
      <w:r>
        <w:rPr>
          <w:rFonts w:hint="eastAsia" w:ascii="宋体" w:hAnsi="宋体" w:cs="宋体"/>
          <w:color w:val="auto"/>
          <w:highlight w:val="none"/>
        </w:rPr>
        <w:t>13.合同未尽事宜，双方另行签订补充协议。</w:t>
      </w:r>
    </w:p>
    <w:p>
      <w:pPr>
        <w:spacing w:before="0" w:after="0" w:afterAutospacing="0"/>
        <w:ind w:left="0" w:right="0" w:firstLine="420" w:firstLineChars="200"/>
        <w:rPr>
          <w:rFonts w:hint="eastAsia" w:ascii="宋体" w:hAnsi="宋体" w:cs="宋体"/>
          <w:color w:val="auto"/>
          <w:highlight w:val="none"/>
        </w:rPr>
      </w:pPr>
    </w:p>
    <w:tbl>
      <w:tblPr>
        <w:tblStyle w:val="31"/>
        <w:tblW w:w="9238" w:type="dxa"/>
        <w:tblInd w:w="0" w:type="dxa"/>
        <w:tblLayout w:type="fixed"/>
        <w:tblCellMar>
          <w:top w:w="0" w:type="dxa"/>
          <w:left w:w="108" w:type="dxa"/>
          <w:bottom w:w="0" w:type="dxa"/>
          <w:right w:w="108" w:type="dxa"/>
        </w:tblCellMar>
      </w:tblPr>
      <w:tblGrid>
        <w:gridCol w:w="4261"/>
        <w:gridCol w:w="4977"/>
      </w:tblGrid>
      <w:tr>
        <w:tblPrEx>
          <w:tblCellMar>
            <w:top w:w="0" w:type="dxa"/>
            <w:left w:w="108" w:type="dxa"/>
            <w:bottom w:w="0" w:type="dxa"/>
            <w:right w:w="108" w:type="dxa"/>
          </w:tblCellMar>
        </w:tblPrEx>
        <w:trPr>
          <w:cantSplit/>
          <w:trHeight w:val="6520" w:hRule="exact"/>
        </w:trPr>
        <w:tc>
          <w:tcPr>
            <w:tcW w:w="4261" w:type="dxa"/>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合同订立日期：年月日</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银行账号：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税号：</w:t>
            </w:r>
          </w:p>
        </w:tc>
        <w:tc>
          <w:tcPr>
            <w:tcW w:w="4977"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合同订立日期：年月日</w:t>
            </w:r>
          </w:p>
          <w:p>
            <w:pPr>
              <w:pStyle w:val="2"/>
              <w:spacing w:before="0" w:after="0"/>
              <w:ind w:left="840" w:leftChars="400" w:right="0" w:firstLine="132" w:firstLineChars="63"/>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2"/>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left="840" w:leftChars="400" w:right="0" w:firstLine="132" w:firstLineChars="63"/>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left="840" w:leftChars="400" w:right="0" w:firstLine="132" w:firstLineChars="63"/>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银行账号：</w:t>
            </w:r>
          </w:p>
          <w:p>
            <w:pPr>
              <w:pStyle w:val="2"/>
              <w:spacing w:before="0" w:after="0"/>
              <w:ind w:left="840" w:leftChars="400" w:right="0" w:firstLine="132" w:firstLineChars="63"/>
              <w:rPr>
                <w:rFonts w:hAnsi="宋体" w:cs="Courier New"/>
                <w:color w:val="auto"/>
                <w:sz w:val="21"/>
                <w:szCs w:val="21"/>
                <w:highlight w:val="none"/>
              </w:rPr>
            </w:pPr>
            <w:r>
              <w:rPr>
                <w:rFonts w:hint="eastAsia" w:hAnsi="宋体" w:cs="Courier New"/>
                <w:color w:val="auto"/>
                <w:sz w:val="21"/>
                <w:szCs w:val="21"/>
                <w:highlight w:val="none"/>
              </w:rPr>
              <w:t>税号：</w:t>
            </w:r>
          </w:p>
          <w:p>
            <w:pPr>
              <w:pStyle w:val="2"/>
              <w:spacing w:before="0" w:after="0"/>
              <w:ind w:left="708" w:right="0" w:hanging="707"/>
              <w:rPr>
                <w:rFonts w:hAnsi="宋体" w:cs="Courier New"/>
                <w:color w:val="auto"/>
                <w:sz w:val="21"/>
                <w:szCs w:val="21"/>
                <w:highlight w:val="none"/>
              </w:rPr>
            </w:pPr>
          </w:p>
        </w:tc>
      </w:tr>
    </w:tbl>
    <w:p>
      <w:pPr>
        <w:pStyle w:val="62"/>
        <w:adjustRightInd/>
        <w:spacing w:before="0" w:after="0" w:line="360" w:lineRule="auto"/>
        <w:ind w:left="0" w:right="0"/>
        <w:rPr>
          <w:rFonts w:ascii="宋体" w:hAnsi="宋体"/>
          <w:color w:val="auto"/>
          <w:sz w:val="21"/>
          <w:szCs w:val="21"/>
          <w:highlight w:val="none"/>
        </w:rPr>
      </w:pPr>
      <w:bookmarkStart w:id="1202" w:name="_Toc258"/>
      <w:bookmarkStart w:id="1203" w:name="_Toc17157_WPSOffice_Level2"/>
      <w:bookmarkStart w:id="1204" w:name="_Toc24098"/>
      <w:bookmarkStart w:id="1205" w:name="_Toc16743"/>
      <w:bookmarkStart w:id="1206" w:name="_Toc29876"/>
      <w:bookmarkStart w:id="1207" w:name="_Toc24973"/>
      <w:bookmarkStart w:id="1208" w:name="_Toc17359"/>
      <w:bookmarkStart w:id="1209" w:name="_Toc12445"/>
      <w:bookmarkStart w:id="1210" w:name="_Toc9188"/>
      <w:bookmarkStart w:id="1211" w:name="_Toc9438"/>
      <w:bookmarkStart w:id="1212" w:name="_Toc14469"/>
      <w:bookmarkStart w:id="1213" w:name="_Toc25750634"/>
      <w:bookmarkStart w:id="1214" w:name="_Toc7689"/>
      <w:bookmarkStart w:id="1215" w:name="_Toc4133"/>
      <w:bookmarkStart w:id="1216" w:name="_Toc7529"/>
      <w:bookmarkStart w:id="1217" w:name="_Toc5623"/>
      <w:bookmarkStart w:id="1218" w:name="_Toc10196"/>
      <w:bookmarkStart w:id="1219" w:name="_Toc11253"/>
      <w:bookmarkStart w:id="1220" w:name="_Toc6424"/>
      <w:bookmarkStart w:id="1221" w:name="_Toc997"/>
      <w:bookmarkStart w:id="1222" w:name="_Toc12155"/>
      <w:bookmarkStart w:id="1223" w:name="_Toc21631"/>
      <w:bookmarkStart w:id="1224" w:name="_Toc18460"/>
      <w:bookmarkStart w:id="1225" w:name="_Toc27744"/>
      <w:bookmarkStart w:id="1226" w:name="_Toc25942"/>
    </w:p>
    <w:p>
      <w:pPr>
        <w:spacing w:before="40" w:after="40" w:line="240" w:lineRule="auto"/>
        <w:jc w:val="center"/>
        <w:rPr>
          <w:rFonts w:ascii="Times New Roman" w:hAnsi="Times New Roman" w:eastAsia="宋体"/>
          <w:color w:val="auto"/>
          <w:highlight w:val="none"/>
        </w:rPr>
      </w:pPr>
      <w:bookmarkStart w:id="1227" w:name="_Toc15561"/>
      <w:bookmarkStart w:id="1228" w:name="_Toc4837"/>
      <w:bookmarkStart w:id="1229" w:name="_Toc20006_WPSOffice_Level1"/>
      <w:bookmarkStart w:id="1230" w:name="_Toc92268619"/>
      <w:bookmarkStart w:id="1231" w:name="_Toc101965690"/>
      <w:r>
        <w:rPr>
          <w:rFonts w:ascii="Times New Roman" w:hAnsi="Times New Roman" w:eastAsia="宋体"/>
          <w:color w:val="auto"/>
          <w:highlight w:val="none"/>
        </w:rPr>
        <w:br w:type="page"/>
      </w:r>
    </w:p>
    <w:p>
      <w:pPr>
        <w:pStyle w:val="5"/>
        <w:spacing w:before="40" w:after="40" w:line="240" w:lineRule="auto"/>
        <w:jc w:val="center"/>
        <w:rPr>
          <w:rFonts w:ascii="Times New Roman" w:hAnsi="Times New Roman" w:eastAsia="宋体"/>
          <w:color w:val="auto"/>
          <w:highlight w:val="none"/>
        </w:rPr>
      </w:pPr>
      <w:bookmarkStart w:id="1232" w:name="_Toc30755"/>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227"/>
      <w:bookmarkEnd w:id="1228"/>
      <w:bookmarkEnd w:id="1229"/>
      <w:bookmarkEnd w:id="1230"/>
      <w:bookmarkEnd w:id="1231"/>
      <w:bookmarkEnd w:id="1232"/>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5"/>
        <w:pageBreakBefore/>
        <w:spacing w:before="40" w:after="40" w:line="240" w:lineRule="auto"/>
        <w:jc w:val="center"/>
        <w:rPr>
          <w:rFonts w:ascii="Times New Roman" w:hAnsi="Times New Roman" w:eastAsia="宋体"/>
          <w:color w:val="auto"/>
          <w:highlight w:val="none"/>
        </w:rPr>
      </w:pPr>
      <w:bookmarkStart w:id="1233" w:name="_Toc28765_WPSOffice_Level1"/>
      <w:bookmarkStart w:id="1234" w:name="_Toc12606"/>
      <w:bookmarkStart w:id="1235" w:name="_Toc92268620"/>
      <w:bookmarkStart w:id="1236" w:name="_Toc101965691"/>
      <w:bookmarkStart w:id="1237" w:name="_Toc11257"/>
      <w:bookmarkStart w:id="1238" w:name="_Toc26420"/>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233"/>
      <w:bookmarkEnd w:id="1234"/>
      <w:bookmarkEnd w:id="1235"/>
      <w:bookmarkEnd w:id="1236"/>
      <w:bookmarkEnd w:id="1237"/>
      <w:bookmarkEnd w:id="1238"/>
    </w:p>
    <w:p>
      <w:pPr>
        <w:rPr>
          <w:rFonts w:ascii="宋体" w:hAnsi="宋体"/>
          <w:b/>
          <w:color w:val="auto"/>
          <w:highlight w:val="none"/>
        </w:rPr>
      </w:pPr>
      <w:r>
        <w:rPr>
          <w:rFonts w:ascii="宋体" w:hAnsi="宋体"/>
          <w:b/>
          <w:color w:val="auto"/>
          <w:highlight w:val="none"/>
        </w:rPr>
        <w:br w:type="page"/>
      </w:r>
    </w:p>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Pr>
        <w:pStyle w:val="5"/>
        <w:pageBreakBefore/>
        <w:spacing w:before="40" w:after="40" w:line="240" w:lineRule="auto"/>
        <w:ind w:left="1086" w:right="0" w:hanging="1086" w:hangingChars="338"/>
        <w:jc w:val="center"/>
        <w:rPr>
          <w:rFonts w:ascii="Times New Roman" w:hAnsi="Times New Roman" w:eastAsia="宋体"/>
          <w:color w:val="auto"/>
          <w:highlight w:val="none"/>
        </w:rPr>
      </w:pPr>
      <w:bookmarkStart w:id="1239" w:name="_Toc11956_WPSOffice_Level1"/>
      <w:bookmarkStart w:id="1240" w:name="_Toc101965692"/>
      <w:bookmarkStart w:id="1241" w:name="_Toc16006"/>
      <w:bookmarkStart w:id="1242" w:name="_Toc17199"/>
      <w:bookmarkStart w:id="1243" w:name="_Toc32009"/>
      <w:bookmarkStart w:id="1244" w:name="_Toc18727"/>
      <w:bookmarkStart w:id="1245" w:name="_Toc4032"/>
      <w:bookmarkStart w:id="1246" w:name="_Toc2614"/>
      <w:bookmarkStart w:id="1247" w:name="_Toc14287"/>
      <w:bookmarkStart w:id="1248" w:name="_Toc370933855"/>
      <w:bookmarkStart w:id="1249" w:name="_Toc7961"/>
      <w:bookmarkStart w:id="1250" w:name="_Toc10730"/>
      <w:bookmarkStart w:id="1251" w:name="_Toc43"/>
      <w:bookmarkStart w:id="1252" w:name="_Toc19920"/>
      <w:bookmarkStart w:id="1253" w:name="_Toc15707"/>
      <w:bookmarkStart w:id="1254" w:name="_Toc6054"/>
      <w:bookmarkStart w:id="1255" w:name="_Toc28024"/>
      <w:bookmarkStart w:id="1256" w:name="_Toc25750635"/>
      <w:bookmarkStart w:id="1257" w:name="_Toc385427838"/>
      <w:bookmarkStart w:id="1258" w:name="_Toc12256"/>
      <w:bookmarkStart w:id="1259" w:name="_Toc25643"/>
      <w:bookmarkStart w:id="1260" w:name="_Toc378514952"/>
      <w:bookmarkStart w:id="1261" w:name="_Toc22880"/>
      <w:bookmarkStart w:id="1262" w:name="_Toc29932"/>
      <w:bookmarkStart w:id="1263" w:name="_Toc20484"/>
      <w:bookmarkStart w:id="1264" w:name="_Toc492478763"/>
      <w:bookmarkStart w:id="1265" w:name="_Toc390098464"/>
      <w:bookmarkStart w:id="1266" w:name="_Toc31691"/>
      <w:bookmarkStart w:id="1267" w:name="_Toc12080"/>
      <w:bookmarkStart w:id="1268" w:name="_Toc21635"/>
      <w:bookmarkStart w:id="1269" w:name="_Toc13288"/>
      <w:bookmarkStart w:id="1270" w:name="_Toc16443"/>
      <w:bookmarkStart w:id="1271" w:name="_Toc19448"/>
      <w:bookmarkStart w:id="1272" w:name="_Toc24490"/>
      <w:bookmarkStart w:id="1273" w:name="_Toc5030"/>
      <w:bookmarkStart w:id="1274" w:name="_Toc29249"/>
      <w:bookmarkStart w:id="1275" w:name="_Toc14997"/>
      <w:bookmarkStart w:id="1276" w:name="_Toc5186"/>
      <w:bookmarkStart w:id="1277" w:name="_Toc25750672"/>
      <w:bookmarkStart w:id="1278" w:name="_Toc30191"/>
      <w:bookmarkStart w:id="1279" w:name="_Toc27316"/>
      <w:bookmarkStart w:id="1280" w:name="_Toc3678_WPSOffice_Level2"/>
      <w:bookmarkStart w:id="1281" w:name="_Toc12470"/>
      <w:bookmarkStart w:id="1282" w:name="_Toc6194"/>
      <w:bookmarkStart w:id="1283" w:name="_Toc11755"/>
      <w:bookmarkStart w:id="1284" w:name="_Toc21659"/>
      <w:bookmarkStart w:id="1285" w:name="_Toc27258"/>
      <w:bookmarkStart w:id="1286" w:name="_Toc2753"/>
      <w:bookmarkStart w:id="1287" w:name="_Toc21033"/>
      <w:bookmarkStart w:id="1288" w:name="_Toc16716"/>
      <w:bookmarkStart w:id="1289" w:name="_Toc23785"/>
      <w:bookmarkStart w:id="1290" w:name="_Toc21372"/>
      <w:bookmarkStart w:id="1291" w:name="_Toc24867"/>
      <w:bookmarkStart w:id="1292" w:name="_Toc5644"/>
      <w:bookmarkStart w:id="1293" w:name="_Toc12983548"/>
      <w:r>
        <w:rPr>
          <w:rFonts w:ascii="Times New Roman" w:hAnsi="Times New Roman" w:eastAsia="宋体"/>
          <w:color w:val="auto"/>
          <w:highlight w:val="none"/>
        </w:rPr>
        <w:t>第四部分 合同条款</w:t>
      </w:r>
      <w:bookmarkEnd w:id="1239"/>
      <w:bookmarkEnd w:id="1240"/>
      <w:bookmarkEnd w:id="1241"/>
      <w:bookmarkEnd w:id="1242"/>
      <w:bookmarkEnd w:id="1243"/>
    </w:p>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Pr>
        <w:tabs>
          <w:tab w:val="left" w:pos="640"/>
          <w:tab w:val="left" w:pos="1843"/>
        </w:tabs>
        <w:spacing w:before="0" w:after="0" w:afterAutospacing="0"/>
        <w:ind w:left="420" w:right="0" w:firstLine="0"/>
        <w:outlineLvl w:val="2"/>
        <w:rPr>
          <w:rFonts w:ascii="宋体" w:hAnsi="宋体"/>
          <w:b/>
          <w:color w:val="auto"/>
          <w:highlight w:val="none"/>
        </w:rPr>
      </w:pPr>
      <w:bookmarkStart w:id="1294" w:name="_Toc30060_WPSOffice_Level2"/>
      <w:r>
        <w:rPr>
          <w:rFonts w:hint="eastAsia" w:ascii="宋体" w:hAnsi="宋体"/>
          <w:b/>
          <w:color w:val="auto"/>
          <w:highlight w:val="none"/>
        </w:rPr>
        <w:t>1.定义及解释</w:t>
      </w:r>
      <w:bookmarkEnd w:id="1294"/>
    </w:p>
    <w:p>
      <w:pPr>
        <w:numPr>
          <w:ilvl w:val="1"/>
          <w:numId w:val="9"/>
        </w:numPr>
        <w:tabs>
          <w:tab w:val="left" w:pos="840"/>
          <w:tab w:val="clear" w:pos="113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定义</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系指南宁轨道交通运营有限公司。</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“乙方”系指受甲方委托，负责本项目提供</w:t>
      </w:r>
      <w:r>
        <w:rPr>
          <w:rFonts w:hint="eastAsia"/>
          <w:color w:val="auto"/>
          <w:highlight w:val="none"/>
          <w:u w:val="single"/>
        </w:rPr>
        <w:t>故障件维修服务（包括但不限于故障件的包装、运输、检测、维修，修复件的出厂检验、运输、软硬件的调试及质保期内出现故障免费维修等）</w:t>
      </w:r>
      <w:r>
        <w:rPr>
          <w:rFonts w:hint="eastAsia" w:ascii="宋体" w:hAnsi="宋体"/>
          <w:color w:val="auto"/>
          <w:highlight w:val="none"/>
        </w:rPr>
        <w:t>的法人和</w:t>
      </w:r>
      <w:r>
        <w:rPr>
          <w:rFonts w:ascii="宋体" w:hAnsi="宋体"/>
          <w:color w:val="auto"/>
          <w:highlight w:val="none"/>
        </w:rPr>
        <w:t>/</w:t>
      </w:r>
      <w:r>
        <w:rPr>
          <w:rFonts w:hint="eastAsia" w:ascii="宋体" w:hAnsi="宋体"/>
          <w:color w:val="auto"/>
          <w:highlight w:val="none"/>
        </w:rPr>
        <w:t>或其他组织。</w:t>
      </w:r>
    </w:p>
    <w:p>
      <w:pPr>
        <w:numPr>
          <w:ilvl w:val="2"/>
          <w:numId w:val="9"/>
        </w:numPr>
        <w:tabs>
          <w:tab w:val="left" w:pos="1060"/>
          <w:tab w:val="clear"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“双方”系指甲方和乙方。</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“故障件”系指甲方按合同规定向乙方提供的待维修的故障设备、电子板卡或零部件。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“修复件”系指乙方按合同规定修复的甲方提供的故障件。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乙方须承担的与维修有关的辅助服务，包括但不限于故障件的包装、运输、检测、维修，修复件的出厂检验、运输、软硬件的调试、质保期内出现故障免费维修等及其他伴随服务和投标人应承担的其它义务。</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“不可抗力”指合同条款第20条赋予的含义。</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“质量保证期”指合同修复件验收合格后，乙方按合同约定保证合同修复件正常使用，并负责解决合同修复件存在的任何质量问题的期限。</w:t>
      </w:r>
    </w:p>
    <w:p>
      <w:pPr>
        <w:numPr>
          <w:ilvl w:val="2"/>
          <w:numId w:val="9"/>
        </w:numPr>
        <w:spacing w:before="0" w:after="0" w:afterAutospacing="0"/>
        <w:ind w:left="0" w:right="0" w:firstLine="420" w:firstLineChars="200"/>
        <w:outlineLvl w:val="4"/>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9"/>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“质保期”系</w:t>
      </w:r>
      <w:r>
        <w:rPr>
          <w:rFonts w:hint="eastAsia" w:ascii="宋体" w:hAnsi="宋体"/>
          <w:color w:val="auto"/>
          <w:highlight w:val="none"/>
          <w:u w:val="single"/>
        </w:rPr>
        <w:t>12</w:t>
      </w:r>
      <w:r>
        <w:rPr>
          <w:rFonts w:hint="eastAsia" w:ascii="宋体" w:hAnsi="宋体"/>
          <w:color w:val="auto"/>
          <w:highlight w:val="none"/>
        </w:rPr>
        <w:t>个月，自验收合格之日起计算；</w:t>
      </w:r>
      <w:r>
        <w:rPr>
          <w:rFonts w:hint="eastAsia" w:ascii="宋体" w:hAnsi="宋体" w:cs="宋体"/>
          <w:color w:val="auto"/>
          <w:highlight w:val="none"/>
        </w:rPr>
        <w:t>此次修复的所有修复件在质保期内乙方免费修复并重新计算质保期</w:t>
      </w:r>
      <w:r>
        <w:rPr>
          <w:rFonts w:hint="eastAsia" w:ascii="宋体" w:hAnsi="宋体" w:cs="Arial"/>
          <w:color w:val="auto"/>
          <w:highlight w:val="none"/>
        </w:rPr>
        <w:t>。</w:t>
      </w:r>
    </w:p>
    <w:p>
      <w:pPr>
        <w:numPr>
          <w:ilvl w:val="2"/>
          <w:numId w:val="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9"/>
        </w:numPr>
        <w:tabs>
          <w:tab w:val="left" w:pos="840"/>
          <w:tab w:val="clear" w:pos="113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解释</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9"/>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bookmarkStart w:id="1295" w:name="_Toc19653_WPSOffice_Level2"/>
      <w:r>
        <w:rPr>
          <w:rFonts w:hint="eastAsia" w:ascii="宋体" w:hAnsi="宋体"/>
          <w:b/>
          <w:color w:val="auto"/>
          <w:highlight w:val="none"/>
        </w:rPr>
        <w:t>2.适用性</w:t>
      </w:r>
      <w:bookmarkEnd w:id="1295"/>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bookmarkStart w:id="1296" w:name="_Toc22843_WPSOffice_Level2"/>
      <w:r>
        <w:rPr>
          <w:rFonts w:hint="eastAsia" w:ascii="宋体" w:hAnsi="宋体"/>
          <w:b/>
          <w:color w:val="auto"/>
          <w:highlight w:val="none"/>
        </w:rPr>
        <w:t>3.来源地</w:t>
      </w:r>
      <w:bookmarkEnd w:id="1296"/>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本合同项下所提供的服务均应来自中华人民共和国或是与中华人民共和国有正常贸易往来的国家和地区。</w:t>
      </w:r>
    </w:p>
    <w:p>
      <w:pPr>
        <w:numPr>
          <w:ilvl w:val="1"/>
          <w:numId w:val="11"/>
        </w:numPr>
        <w:tabs>
          <w:tab w:val="left" w:pos="840"/>
          <w:tab w:val="clear" w:pos="1560"/>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服务的来源地有别于乙方的国籍。</w:t>
      </w:r>
    </w:p>
    <w:p>
      <w:pPr>
        <w:numPr>
          <w:ilvl w:val="1"/>
          <w:numId w:val="11"/>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若乙方维修使用的主要部件来自国外，则乙方自行解决进口批文、外汇及关税等所有相关手续、费用和问题。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bookmarkStart w:id="1297" w:name="_Toc18443_WPSOffice_Level2"/>
      <w:r>
        <w:rPr>
          <w:rFonts w:hint="eastAsia" w:ascii="宋体" w:hAnsi="宋体"/>
          <w:b/>
          <w:color w:val="auto"/>
          <w:highlight w:val="none"/>
        </w:rPr>
        <w:t>4.标准</w:t>
      </w:r>
      <w:bookmarkEnd w:id="1297"/>
    </w:p>
    <w:p>
      <w:pPr>
        <w:numPr>
          <w:ilvl w:val="1"/>
          <w:numId w:val="12"/>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应符合合同条款中所述的标准：如果没有提及适用标准，则应符合中华人民共和国国家标准或行业标准；如果中华人民共和国没有相关标准的，则采用国际标准或服务来源国适用的官方标准。这些标准必须是国际权威机构发布的最新版本的标准。</w:t>
      </w:r>
    </w:p>
    <w:p>
      <w:pPr>
        <w:numPr>
          <w:ilvl w:val="1"/>
          <w:numId w:val="12"/>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12"/>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bookmarkStart w:id="1298" w:name="_Toc7155_WPSOffice_Level2"/>
      <w:r>
        <w:rPr>
          <w:rFonts w:hint="eastAsia" w:ascii="宋体" w:hAnsi="宋体"/>
          <w:b/>
          <w:color w:val="auto"/>
          <w:highlight w:val="none"/>
        </w:rPr>
        <w:t>5.合同文件、资料及使用</w:t>
      </w:r>
      <w:bookmarkEnd w:id="1298"/>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1299" w:name="_Toc26722_WPSOffice_Level2"/>
      <w:r>
        <w:rPr>
          <w:rFonts w:hint="eastAsia" w:ascii="宋体" w:hAnsi="宋体"/>
          <w:b/>
          <w:color w:val="auto"/>
          <w:highlight w:val="none"/>
        </w:rPr>
        <w:t>6.知识产权</w:t>
      </w:r>
      <w:bookmarkEnd w:id="1299"/>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甲方不对乙方提供的服务的专利</w:t>
      </w:r>
      <w:r>
        <w:rPr>
          <w:rFonts w:hint="eastAsia" w:ascii="宋体" w:hAnsi="宋体" w:cs="Arial"/>
          <w:color w:val="auto"/>
          <w:highlight w:val="none"/>
        </w:rPr>
        <w:t>权、著作权、注册商标专有使用权、计算机软件登记等是否侵犯第三方权利负责，如因乙方提供服务引发争议或违法导致甲方受损的，乙方应赔偿因此对甲方造成的一切损失。</w:t>
      </w:r>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非乙方所有知识产权的服务，乙方有义务提供给甲方正规渠道证明。甲方永久享有乙方为本合同项下提供的产品、软件、技术资料的使用权，并无需缴纳任何形式的使用费（如有此类费用的话）。</w:t>
      </w:r>
    </w:p>
    <w:p>
      <w:pPr>
        <w:numPr>
          <w:ilvl w:val="0"/>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乙方所供的服务必须已得到中华人民共和国有关部门授予的在中华人民共和国使用的许可，否则，一切责任由乙方负责。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1300" w:name="_Toc28434_WPSOffice_Level2"/>
      <w:r>
        <w:rPr>
          <w:rFonts w:hint="eastAsia" w:ascii="宋体" w:hAnsi="宋体"/>
          <w:b/>
          <w:color w:val="auto"/>
          <w:highlight w:val="none"/>
        </w:rPr>
        <w:t>7.价格</w:t>
      </w:r>
      <w:bookmarkEnd w:id="1300"/>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在合同有效期内综合单价（不含增值税）固定不变，乙方根据甲方每批次交货通知中要求的故障件种类、数量按时维修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故障件的包装、运输、检测、维修，修复件的出厂检验、运输、软硬件的调试及质保期内出现故障免费维修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7.3合同金额：含税人民币（¥：），税率%；不含税总金额：（¥：）</w:t>
      </w:r>
    </w:p>
    <w:p>
      <w:pPr>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其中1号线价格：不含增值税总价人民币       (¥  )；增值税额人民币       (¥  ) ；含税总价人民币       (¥  )；（如有）</w:t>
      </w:r>
    </w:p>
    <w:p>
      <w:pPr>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2号线价格：不含增值税总价人民币       (¥  )；增值税额人民币       (¥  ) ；含税总价人民币       (¥  )；（如有）</w:t>
      </w:r>
    </w:p>
    <w:p>
      <w:pPr>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3号线价格：不含增值税总价人民币       (¥  )；增值税额人民币       (¥  ) ；含税总价人民币       (¥  )；（如有）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号线价格：不含增值税总价人民币       (¥  )；增值税额人民币       (¥  ) ；含税总价人民币       (¥  )；（如有）…………。</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numPr>
          <w:ilvl w:val="0"/>
          <w:numId w:val="15"/>
        </w:numPr>
        <w:tabs>
          <w:tab w:val="left" w:pos="640"/>
          <w:tab w:val="left" w:pos="1843"/>
          <w:tab w:val="clear" w:pos="312"/>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服务期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eastAsia="zh-CN"/>
        </w:rPr>
        <w:t>本项目计划服务期为2年（自合同签订之日起开始计算24个月）</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修复件的质保期为完成双方签字验收之日起，往后推算1年，每件返修件单独计算质保期。若返修件质保期内发生故障，则由投标方免费修复后重新计算质保期。</w:t>
      </w:r>
    </w:p>
    <w:p>
      <w:pPr>
        <w:tabs>
          <w:tab w:val="left" w:pos="640"/>
          <w:tab w:val="left" w:pos="1843"/>
        </w:tabs>
        <w:spacing w:before="0" w:after="0" w:afterAutospacing="0"/>
        <w:ind w:left="420" w:right="0" w:firstLine="0"/>
        <w:outlineLvl w:val="2"/>
        <w:rPr>
          <w:rFonts w:hint="eastAsia" w:ascii="宋体" w:hAnsi="宋体"/>
          <w:b/>
          <w:color w:val="auto"/>
          <w:highlight w:val="none"/>
          <w:lang w:eastAsia="zh-CN"/>
        </w:rPr>
      </w:pPr>
      <w:r>
        <w:rPr>
          <w:rFonts w:hint="eastAsia" w:ascii="宋体" w:hAnsi="宋体"/>
          <w:b/>
          <w:color w:val="auto"/>
          <w:highlight w:val="none"/>
        </w:rPr>
        <w:t>9.</w:t>
      </w:r>
      <w:r>
        <w:rPr>
          <w:rFonts w:hint="eastAsia" w:ascii="宋体" w:hAnsi="宋体"/>
          <w:b/>
          <w:color w:val="auto"/>
          <w:highlight w:val="none"/>
          <w:lang w:eastAsia="zh-CN"/>
        </w:rPr>
        <w:t>付款</w:t>
      </w:r>
    </w:p>
    <w:p>
      <w:pPr>
        <w:tabs>
          <w:tab w:val="left" w:pos="960"/>
          <w:tab w:val="left" w:pos="8364"/>
        </w:tabs>
        <w:spacing w:before="0" w:after="0" w:afterAutospacing="0"/>
        <w:ind w:left="420" w:right="0" w:firstLine="0"/>
        <w:rPr>
          <w:rFonts w:ascii="宋体" w:hAnsi="宋体"/>
          <w:color w:val="auto"/>
          <w:highlight w:val="none"/>
        </w:rPr>
      </w:pP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tabs>
          <w:tab w:val="left" w:pos="840"/>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9.1</w:t>
      </w: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840"/>
        </w:tabs>
        <w:spacing w:before="0" w:after="0" w:afterAutospacing="0"/>
        <w:ind w:left="0" w:right="0" w:firstLine="420" w:firstLineChars="200"/>
        <w:outlineLvl w:val="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9.2付款方式。</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9.2.1</w:t>
      </w:r>
      <w:r>
        <w:rPr>
          <w:rFonts w:hint="eastAsia" w:asciiTheme="minorEastAsia" w:hAnsiTheme="minorEastAsia" w:eastAsiaTheme="minorEastAsia" w:cstheme="minorEastAsia"/>
          <w:color w:val="auto"/>
          <w:highlight w:val="none"/>
        </w:rPr>
        <w:t>本项目的故障件修复以“固定单价”的方式进行计价，最终以实际发生的数量进行结算。</w:t>
      </w:r>
    </w:p>
    <w:p>
      <w:pPr>
        <w:tabs>
          <w:tab w:val="left" w:pos="840"/>
        </w:tabs>
        <w:spacing w:before="0" w:after="0" w:afterAutospacing="0"/>
        <w:ind w:left="0" w:right="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计量支付周期为</w:t>
      </w:r>
      <w:r>
        <w:rPr>
          <w:rFonts w:hint="eastAsia" w:asciiTheme="minorEastAsia" w:hAnsiTheme="minorEastAsia" w:eastAsiaTheme="minorEastAsia" w:cstheme="minorEastAsia"/>
          <w:color w:val="auto"/>
          <w:highlight w:val="none"/>
          <w:lang w:val="en-US" w:eastAsia="zh-CN"/>
        </w:rPr>
        <w:t>12</w:t>
      </w:r>
      <w:r>
        <w:rPr>
          <w:rFonts w:hint="eastAsia" w:asciiTheme="minorEastAsia" w:hAnsiTheme="minorEastAsia" w:eastAsiaTheme="minorEastAsia" w:cstheme="minorEastAsia"/>
          <w:color w:val="auto"/>
          <w:highlight w:val="none"/>
        </w:rPr>
        <w:t>个月。</w:t>
      </w:r>
    </w:p>
    <w:p>
      <w:pPr>
        <w:pStyle w:val="3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9.2.2故障件完成</w:t>
      </w:r>
      <w:r>
        <w:rPr>
          <w:rFonts w:hint="eastAsia" w:asciiTheme="minorEastAsia" w:hAnsiTheme="minorEastAsia" w:eastAsiaTheme="minorEastAsia" w:cstheme="minorEastAsia"/>
          <w:color w:val="auto"/>
          <w:sz w:val="21"/>
          <w:szCs w:val="21"/>
          <w:highlight w:val="none"/>
        </w:rPr>
        <w:t>修复</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到货并验收合格后，甲方在收到乙方提供的以下材料后60个工作日内按该批次验收合格货物金额的90%支付。</w:t>
      </w:r>
    </w:p>
    <w:p>
      <w:pPr>
        <w:pStyle w:val="3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①乙方开具相应金额的增值税专用发票。</w:t>
      </w:r>
    </w:p>
    <w:p>
      <w:pPr>
        <w:pStyle w:val="3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②乙方出具的支付申请材料。</w:t>
      </w:r>
    </w:p>
    <w:p>
      <w:pPr>
        <w:pStyle w:val="3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③双方确认的</w:t>
      </w:r>
      <w:r>
        <w:rPr>
          <w:rFonts w:hint="eastAsia" w:asciiTheme="minorEastAsia" w:hAnsiTheme="minorEastAsia" w:eastAsiaTheme="minorEastAsia" w:cstheme="minorEastAsia"/>
          <w:color w:val="auto"/>
          <w:sz w:val="21"/>
          <w:szCs w:val="21"/>
          <w:highlight w:val="none"/>
          <w:lang w:val="en-US" w:eastAsia="zh-CN"/>
        </w:rPr>
        <w:t>该批次</w:t>
      </w:r>
      <w:r>
        <w:rPr>
          <w:rFonts w:hint="eastAsia" w:asciiTheme="minorEastAsia" w:hAnsiTheme="minorEastAsia" w:eastAsiaTheme="minorEastAsia" w:cstheme="minorEastAsia"/>
          <w:color w:val="auto"/>
          <w:sz w:val="21"/>
          <w:szCs w:val="21"/>
          <w:highlight w:val="none"/>
        </w:rPr>
        <w:t>修复件到货验收合格证明材料。</w:t>
      </w:r>
    </w:p>
    <w:p>
      <w:pPr>
        <w:pStyle w:val="3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④合同违约处理通知单（如有）</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乙方按合同要求完成</w:t>
      </w:r>
      <w:r>
        <w:rPr>
          <w:rFonts w:hint="eastAsia" w:asciiTheme="minorEastAsia" w:hAnsiTheme="minorEastAsia" w:eastAsiaTheme="minorEastAsia" w:cstheme="minorEastAsia"/>
          <w:color w:val="auto"/>
          <w:highlight w:val="none"/>
          <w:lang w:val="en-US" w:eastAsia="zh-CN"/>
        </w:rPr>
        <w:t>24</w:t>
      </w:r>
      <w:r>
        <w:rPr>
          <w:rFonts w:hint="eastAsia" w:asciiTheme="minorEastAsia" w:hAnsiTheme="minorEastAsia" w:eastAsiaTheme="minorEastAsia" w:cstheme="minorEastAsia"/>
          <w:color w:val="auto"/>
          <w:highlight w:val="none"/>
        </w:rPr>
        <w:t>个月的</w:t>
      </w:r>
      <w:r>
        <w:rPr>
          <w:rFonts w:hint="eastAsia" w:asciiTheme="minorEastAsia" w:hAnsiTheme="minorEastAsia" w:eastAsiaTheme="minorEastAsia" w:cstheme="minorEastAsia"/>
          <w:color w:val="auto"/>
          <w:highlight w:val="none"/>
          <w:lang w:val="en-US" w:eastAsia="zh-CN"/>
        </w:rPr>
        <w:t>计划服务期</w:t>
      </w:r>
      <w:r>
        <w:rPr>
          <w:rFonts w:hint="eastAsia" w:asciiTheme="minorEastAsia" w:hAnsiTheme="minorEastAsia" w:eastAsiaTheme="minorEastAsia" w:cstheme="minorEastAsia"/>
          <w:color w:val="auto"/>
          <w:highlight w:val="none"/>
        </w:rPr>
        <w:t>任务</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全部修复件到货并验收合格后</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乙方根据甲方要求完成档案归档及合同结算经甲方审定后，甲方在收到乙方提供的以下材料后60个工作日内支付至合同最终结算审定金额的95%。</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①乙方开具的增值税专用发票，金额为合同最终审定金额减去已开具增值税发票金额。</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②乙方出具的支付申请书。</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③双方确认的全部修复件到货验收合格证明材料。</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④合同违约处理通知单（如有）。</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9.2.</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质保期满，经甲方确认修复件均无质量问题或乙方已再次修复有质量问题修复件经甲方确认合格后，甲方在收到由乙方提供的以下材料后</w:t>
      </w:r>
      <w:r>
        <w:rPr>
          <w:rFonts w:hint="eastAsia" w:asciiTheme="minorEastAsia" w:hAnsiTheme="minorEastAsia" w:eastAsiaTheme="minorEastAsia" w:cstheme="minorEastAsia"/>
          <w:color w:val="auto"/>
          <w:highlight w:val="none"/>
          <w:lang w:val="en-US" w:eastAsia="zh-CN"/>
        </w:rPr>
        <w:t>60</w:t>
      </w:r>
      <w:r>
        <w:rPr>
          <w:rFonts w:hint="eastAsia" w:asciiTheme="minorEastAsia" w:hAnsiTheme="minorEastAsia" w:eastAsiaTheme="minorEastAsia" w:cstheme="minorEastAsia"/>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①乙方出具的支付申请书。</w:t>
      </w:r>
    </w:p>
    <w:p>
      <w:pPr>
        <w:tabs>
          <w:tab w:val="left" w:pos="1134"/>
          <w:tab w:val="left" w:pos="8364"/>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②双方确认的质保期满后验收合格证明。</w:t>
      </w:r>
    </w:p>
    <w:p>
      <w:pPr>
        <w:tabs>
          <w:tab w:val="left" w:pos="1134"/>
          <w:tab w:val="left" w:pos="8364"/>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③结算审定单。</w:t>
      </w:r>
    </w:p>
    <w:p>
      <w:pPr>
        <w:tabs>
          <w:tab w:val="left" w:pos="1134"/>
          <w:tab w:val="left" w:pos="8364"/>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w:t>
      </w:r>
      <w:r>
        <w:rPr>
          <w:rFonts w:hint="eastAsia" w:asciiTheme="minorEastAsia" w:hAnsiTheme="minorEastAsia" w:eastAsiaTheme="minorEastAsia" w:cstheme="minorEastAsia"/>
          <w:color w:val="auto"/>
          <w:highlight w:val="none"/>
          <w:lang w:eastAsia="zh-CN"/>
        </w:rPr>
        <w:t>3</w:t>
      </w:r>
      <w:r>
        <w:rPr>
          <w:rFonts w:hint="eastAsia" w:asciiTheme="minorEastAsia" w:hAnsiTheme="minorEastAsia" w:eastAsiaTheme="minorEastAsia" w:cstheme="minorEastAsia"/>
          <w:color w:val="auto"/>
          <w:highlight w:val="none"/>
        </w:rPr>
        <w:t>乙方在完成相应合同义务后以书面形式向甲方申请付款，同时随附注明已发修复件、已完服务内容的发票和合同条款规定的单据。如乙方未按约定向甲方提供付款申请、足额发票及相关单据的，甲方有权顺延付款时间，且无需承担逾期付款的违约责任。</w:t>
      </w:r>
    </w:p>
    <w:p>
      <w:pPr>
        <w:tabs>
          <w:tab w:val="left" w:pos="840"/>
        </w:tabs>
        <w:spacing w:before="0" w:after="0" w:afterAutospacing="0"/>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w:t>
      </w:r>
      <w:r>
        <w:rPr>
          <w:rFonts w:hint="eastAsia" w:asciiTheme="minorEastAsia" w:hAnsiTheme="minorEastAsia" w:eastAsiaTheme="minorEastAsia" w:cstheme="minorEastAsia"/>
          <w:color w:val="auto"/>
          <w:highlight w:val="none"/>
          <w:lang w:eastAsia="zh-CN"/>
        </w:rPr>
        <w:t>4</w:t>
      </w:r>
      <w:r>
        <w:rPr>
          <w:rFonts w:hint="eastAsia" w:asciiTheme="minorEastAsia" w:hAnsiTheme="minorEastAsia" w:eastAsiaTheme="minorEastAsia" w:cstheme="minorEastAsia"/>
          <w:color w:val="auto"/>
          <w:highlight w:val="none"/>
        </w:rPr>
        <w:t>支付的货币应以人民币支付，支付形式包括但不限于银行转账、汇票、国内信用证、供应链金融产品等。</w:t>
      </w:r>
    </w:p>
    <w:p>
      <w:pPr>
        <w:tabs>
          <w:tab w:val="left" w:pos="640"/>
          <w:tab w:val="left" w:pos="1843"/>
        </w:tabs>
        <w:spacing w:before="0" w:after="0" w:afterAutospacing="0"/>
        <w:ind w:left="420" w:right="0" w:firstLine="0"/>
        <w:outlineLvl w:val="2"/>
        <w:rPr>
          <w:rFonts w:ascii="宋体" w:hAnsi="宋体"/>
          <w:b/>
          <w:color w:val="auto"/>
          <w:highlight w:val="none"/>
        </w:rPr>
      </w:pPr>
      <w:bookmarkStart w:id="1301" w:name="_Toc26391_WPSOffice_Level2"/>
      <w:r>
        <w:rPr>
          <w:rFonts w:hint="eastAsia" w:ascii="宋体" w:hAnsi="宋体"/>
          <w:b/>
          <w:color w:val="auto"/>
          <w:highlight w:val="none"/>
        </w:rPr>
        <w:t>10.履约担保</w:t>
      </w:r>
      <w:bookmarkEnd w:id="1301"/>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302" w:name="_Toc15131_WPSOffice_Level2"/>
      <w:r>
        <w:rPr>
          <w:rFonts w:hint="eastAsia" w:ascii="宋体" w:hAnsi="宋体" w:cs="Arial"/>
          <w:color w:val="auto"/>
          <w:highlight w:val="none"/>
        </w:rPr>
        <w:t>10.1在合同签订前，乙方应向甲方提供履约担保，履约担保金额为</w:t>
      </w:r>
      <w:r>
        <w:rPr>
          <w:rFonts w:hint="eastAsia" w:ascii="宋体" w:hAnsi="宋体"/>
          <w:color w:val="auto"/>
          <w:highlight w:val="none"/>
        </w:rPr>
        <w:t>中选</w:t>
      </w:r>
      <w:r>
        <w:rPr>
          <w:rFonts w:hint="eastAsia" w:ascii="宋体" w:hAnsi="宋体" w:cs="Arial"/>
          <w:color w:val="auto"/>
          <w:highlight w:val="none"/>
        </w:rPr>
        <w:t>价格的2.5%，履约担保可以采用转账或电汇或银行保函的形式。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10.2履约担保应从生效之日起至全部修复件验收合格之日后四十五（45）天一直有效。如本项目实际全部修复件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10.3履约担保币种应为人民币。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10.4乙方提交履约担保所产生的费用由乙方承担。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w:t>
      </w:r>
      <w:r>
        <w:rPr>
          <w:rFonts w:hint="eastAsia" w:ascii="宋体" w:hAnsi="宋体" w:cs="Arial"/>
          <w:color w:val="auto"/>
          <w:highlight w:val="none"/>
          <w:lang w:val="en-US" w:eastAsia="zh-CN"/>
        </w:rPr>
        <w:t>2.</w:t>
      </w:r>
      <w:r>
        <w:rPr>
          <w:rFonts w:hint="eastAsia" w:ascii="宋体" w:hAnsi="宋体" w:cs="Arial"/>
          <w:color w:val="auto"/>
          <w:highlight w:val="none"/>
        </w:rPr>
        <w:t>5%，乙方应在期限内及时补足担保金额，每逾期一天，按照应补未补部分的千分之三向甲方支付违约金，甲方有权在维修款中扣留。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10.6履约担保在本合同全部修复件验收合格之日起四十五（45）天后，根据履约期间甲方的索赔情况，将剩余履约担保款项无息退还乙方。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10.7鉴于甲方属地铁运营单位，对修复件的使用时间及效能均有特殊要求，乙方逾期交付修复件15天内（含15天），每逾期1天乙方向甲方偿付逾期交付修复件</w:t>
      </w:r>
      <w:r>
        <w:rPr>
          <w:rFonts w:hint="eastAsia" w:ascii="宋体" w:hAnsi="宋体" w:cs="Arial"/>
          <w:color w:val="auto"/>
          <w:highlight w:val="none"/>
          <w:lang w:eastAsia="zh-CN"/>
        </w:rPr>
        <w:t>合同</w:t>
      </w:r>
      <w:r>
        <w:rPr>
          <w:rFonts w:hint="eastAsia" w:ascii="宋体" w:hAnsi="宋体" w:cs="Arial"/>
          <w:color w:val="auto"/>
          <w:highlight w:val="none"/>
        </w:rPr>
        <w:t>维修总金额的0.1%</w:t>
      </w:r>
      <w:r>
        <w:rPr>
          <w:rFonts w:hint="eastAsia" w:ascii="宋体" w:hAnsi="宋体" w:cs="Arial"/>
          <w:color w:val="auto"/>
          <w:highlight w:val="none"/>
          <w:lang w:eastAsia="zh-CN"/>
        </w:rPr>
        <w:t>作为违约金</w:t>
      </w:r>
      <w:r>
        <w:rPr>
          <w:rFonts w:hint="eastAsia" w:ascii="宋体" w:hAnsi="宋体" w:cs="Arial"/>
          <w:color w:val="auto"/>
          <w:highlight w:val="none"/>
        </w:rPr>
        <w:t>。逾期交货超过15天，乙方向甲方偿付逾期交付修复件</w:t>
      </w:r>
      <w:r>
        <w:rPr>
          <w:rFonts w:hint="eastAsia" w:ascii="宋体" w:hAnsi="宋体" w:cs="Arial"/>
          <w:color w:val="auto"/>
          <w:highlight w:val="none"/>
          <w:lang w:eastAsia="zh-CN"/>
        </w:rPr>
        <w:t>合同</w:t>
      </w:r>
      <w:r>
        <w:rPr>
          <w:rFonts w:hint="eastAsia" w:ascii="宋体" w:hAnsi="宋体" w:cs="Arial"/>
          <w:color w:val="auto"/>
          <w:highlight w:val="none"/>
        </w:rPr>
        <w:t>维修总金额</w:t>
      </w:r>
      <w:r>
        <w:rPr>
          <w:rFonts w:hint="eastAsia" w:ascii="宋体" w:hAnsi="宋体" w:cs="Arial"/>
          <w:color w:val="auto"/>
          <w:highlight w:val="none"/>
          <w:lang w:eastAsia="zh-CN"/>
        </w:rPr>
        <w:t>的</w:t>
      </w:r>
      <w:r>
        <w:rPr>
          <w:rFonts w:hint="eastAsia" w:ascii="宋体" w:hAnsi="宋体" w:cs="Arial"/>
          <w:color w:val="auto"/>
          <w:highlight w:val="none"/>
        </w:rPr>
        <w:t>10%</w:t>
      </w:r>
      <w:r>
        <w:rPr>
          <w:rFonts w:hint="eastAsia" w:ascii="宋体" w:hAnsi="宋体" w:cs="Arial"/>
          <w:color w:val="auto"/>
          <w:highlight w:val="none"/>
          <w:lang w:eastAsia="zh-CN"/>
        </w:rPr>
        <w:t>作为违约金</w:t>
      </w:r>
      <w:r>
        <w:rPr>
          <w:rFonts w:hint="eastAsia" w:ascii="宋体" w:hAnsi="宋体" w:cs="Arial"/>
          <w:color w:val="auto"/>
          <w:highlight w:val="none"/>
        </w:rPr>
        <w:t>，同时甲方有权选择解除合同，履约保证金不予退还；甲方也有权选择合同继续履行，乙方向甲方偿付逾期交付修复件</w:t>
      </w:r>
      <w:r>
        <w:rPr>
          <w:rFonts w:hint="eastAsia" w:ascii="宋体" w:hAnsi="宋体" w:cs="Arial"/>
          <w:color w:val="auto"/>
          <w:highlight w:val="none"/>
          <w:lang w:eastAsia="zh-CN"/>
        </w:rPr>
        <w:t>合同</w:t>
      </w:r>
      <w:r>
        <w:rPr>
          <w:rFonts w:hint="eastAsia" w:ascii="宋体" w:hAnsi="宋体" w:cs="Arial"/>
          <w:color w:val="auto"/>
          <w:highlight w:val="none"/>
        </w:rPr>
        <w:t>维修总金额</w:t>
      </w:r>
      <w:r>
        <w:rPr>
          <w:rFonts w:hint="eastAsia" w:ascii="宋体" w:hAnsi="宋体" w:cs="Arial"/>
          <w:color w:val="auto"/>
          <w:highlight w:val="none"/>
          <w:lang w:eastAsia="zh-CN"/>
        </w:rPr>
        <w:t>的</w:t>
      </w:r>
      <w:r>
        <w:rPr>
          <w:rFonts w:hint="eastAsia" w:ascii="宋体" w:hAnsi="宋体" w:cs="Arial"/>
          <w:color w:val="auto"/>
          <w:highlight w:val="none"/>
        </w:rPr>
        <w:t>10%</w:t>
      </w:r>
      <w:r>
        <w:rPr>
          <w:rFonts w:hint="eastAsia" w:ascii="宋体" w:hAnsi="宋体" w:cs="Arial"/>
          <w:color w:val="auto"/>
          <w:highlight w:val="none"/>
          <w:lang w:eastAsia="zh-CN"/>
        </w:rPr>
        <w:t>作为违约金</w:t>
      </w:r>
      <w:r>
        <w:rPr>
          <w:rFonts w:hint="eastAsia" w:ascii="宋体" w:hAnsi="宋体" w:cs="Arial"/>
          <w:color w:val="auto"/>
          <w:highlight w:val="none"/>
        </w:rPr>
        <w:t>，并且补足履约保证金后合同继续履行。后续履行过程中乙方再次发生逾期交付时，乙方按合同约定根据逾期天数承担违约责任。如赔偿不足以弥补甲方损失，甲方有权向乙方继续追偿。（按逾期时间，分别处理，不作累加）。</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10.8若发生以下行为，甲方将不退还履约保证金：</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10.8.1 在合同履行期间，乙方明确表示或者以自己的行为表明不履行主要义务的；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10.8.2 乙方迟延履行主要义务，经催告后在合理期限内仍未履行的；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10.8.3 乙方履行的义务不符合合同约定，经甲方催告后未在合理期限内整改完毕的；</w:t>
      </w:r>
    </w:p>
    <w:p>
      <w:pPr>
        <w:tabs>
          <w:tab w:val="left" w:pos="1134"/>
          <w:tab w:val="left" w:pos="8364"/>
        </w:tabs>
        <w:spacing w:before="0" w:after="0" w:afterAutospacing="0"/>
        <w:ind w:left="0" w:right="0" w:firstLine="420" w:firstLineChars="200"/>
        <w:outlineLvl w:val="4"/>
        <w:rPr>
          <w:rFonts w:ascii="宋体" w:hAnsi="宋体"/>
          <w:b/>
          <w:color w:val="auto"/>
          <w:highlight w:val="none"/>
        </w:rPr>
      </w:pPr>
      <w:r>
        <w:rPr>
          <w:rFonts w:hint="eastAsia" w:ascii="宋体" w:hAnsi="宋体" w:cs="Arial"/>
          <w:color w:val="auto"/>
          <w:highlight w:val="none"/>
        </w:rPr>
        <w:t>10.8.4 乙方其他违约行为导致合同解除或终止的。</w:t>
      </w:r>
      <w:r>
        <w:rPr>
          <w:rFonts w:hint="eastAsia" w:ascii="宋体" w:hAnsi="宋体" w:cs="Arial"/>
          <w:color w:val="auto"/>
          <w:highlight w:val="none"/>
        </w:rPr>
        <w:br w:type="textWrapping"/>
      </w:r>
      <w:r>
        <w:rPr>
          <w:rFonts w:hint="eastAsia" w:ascii="宋体" w:hAnsi="宋体"/>
          <w:b/>
          <w:color w:val="auto"/>
          <w:highlight w:val="none"/>
        </w:rPr>
        <w:t>11.检验</w:t>
      </w:r>
      <w:bookmarkEnd w:id="1302"/>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303" w:name="_Toc11883_WPSOffice_Level2"/>
      <w:r>
        <w:rPr>
          <w:rFonts w:hint="eastAsia" w:ascii="宋体" w:hAnsi="宋体" w:cs="Arial"/>
          <w:color w:val="auto"/>
          <w:highlight w:val="none"/>
        </w:rPr>
        <w:t>11.1甲方或其代表有权检验修复件，以确认修复件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11.2如果任何被检验的修复件不能满足技术的要求，甲方可以拒绝接受该修复件，乙方应继续修复被拒绝的修复件，或者免费进行必要的修改以满足合同的规格要求。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11.3甲方在修复件到达甲方国家和/或合同规定的交货地点后对修复件进行检验或必要时拒绝接受修复件的权利将不会因为修复件在启运前通过了甲方或其代表的检验和认可而受到限制或放弃。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11.5上述检验所发生的一切费用已包含在合同价格中，甲方不另行支付。</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11.6乙方负责的部分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乙方负责配合甲方开展修复件功能验证测试工作。</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乙方应协助甲方组织有关验收工作。</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11.7甲方负责的部分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甲方参加到货检查、开箱检验等工作直至全部修复件验收合格。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11.9在任何情况下，任何检验和验收的结果均不免除乙方的合同责任。</w:t>
      </w:r>
    </w:p>
    <w:p>
      <w:pPr>
        <w:tabs>
          <w:tab w:val="left" w:pos="1134"/>
          <w:tab w:val="left" w:pos="8364"/>
        </w:tabs>
        <w:spacing w:before="0" w:after="0" w:afterAutospacing="0"/>
        <w:ind w:left="0" w:right="0" w:firstLine="420" w:firstLineChars="200"/>
        <w:outlineLvl w:val="2"/>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bookmarkEnd w:id="1303"/>
    </w:p>
    <w:p>
      <w:pPr>
        <w:tabs>
          <w:tab w:val="left" w:pos="1134"/>
          <w:tab w:val="left" w:pos="8364"/>
        </w:tabs>
        <w:spacing w:before="0" w:after="0" w:afterAutospacing="0"/>
        <w:ind w:left="17" w:leftChars="8" w:right="0" w:firstLine="401" w:firstLineChars="191"/>
        <w:outlineLvl w:val="3"/>
        <w:rPr>
          <w:rFonts w:ascii="宋体" w:hAnsi="宋体" w:cs="Arial"/>
          <w:color w:val="auto"/>
          <w:highlight w:val="none"/>
        </w:rPr>
      </w:pPr>
      <w:bookmarkStart w:id="1304" w:name="_Toc26965_WPSOffice_Level2"/>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b.修复件名称、件数；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12.2乙方应按照修复件的特点及装卸和运输上的不同要求，包装箱上应明显印刷有“轻放”、“勿倒置”和“防雨”等字样，危险品包装应有警示标志。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高盐分、高降水量和露天储存。单位包装箱的尺寸和重量应充分考虑远途运输中缺乏重型装卸修复件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12.5乙方应保证修复件在没有任何损坏和腐蚀的情况下安全运抵合同规定的交货地点。乙方应承担由于其包装或防护措施不妥而引起修复件锈蚀、损坏和丢失的任何损失的责任或费用。</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12.6乙方在包装修复件时应考虑甲方现场实际条件。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12.7各种修复件的松散零部件应采用好的包装方式，装入尺寸适当的箱内。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12.8对于裸装修复件，乙方应采取特殊措施保护修复件及方便搬运。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13.交货和单据</w:t>
      </w:r>
      <w:bookmarkEnd w:id="1304"/>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305" w:name="_Toc4402_WPSOffice_Level2"/>
      <w:r>
        <w:rPr>
          <w:rFonts w:hint="eastAsia" w:ascii="宋体" w:hAnsi="宋体" w:cs="Arial"/>
          <w:color w:val="auto"/>
          <w:highlight w:val="none"/>
        </w:rPr>
        <w:t>13.1交货期：</w:t>
      </w:r>
      <w:r>
        <w:rPr>
          <w:rFonts w:hint="eastAsia" w:ascii="宋体" w:hAnsi="宋体"/>
          <w:color w:val="auto"/>
          <w:highlight w:val="none"/>
          <w:u w:val="single"/>
        </w:rPr>
        <w:t>合同签订后，甲方根据故障件维修需求不定期向乙方移交需维修的故障件，乙方收到甲方的故障件之日（甲方采取物流方式的，以乙方签收时间为准）起30个自然日内完成维修工作并返回至乙方指定地址（乙方采取物流方式的，以乙方发出时间为准）。所有维修时间需经甲方确认，乙方有正当理由的经报备甲方并经甲方同意后可延长维修时间。</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13.2乙方应负责将合同修复件在双方约定的交货期内运抵甲方指定地点。乙方负责交货地点的卸货和现场存放点的就位。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13.3乙方应负责将修复件交到合同规定的交货地点并负责修复件交到交货地点的一切费用，包括包装、运输、装卸、保险、仓储等费用。乙方应提供的装运细节和/或其他单据执行合同条款的具体规定。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13.4如果修复件不能按计划进行现场交接，乙方应将修复件在其南宁市仓储场所内进行临时保管。乙方应提交的单据执行合同条款的具体规定。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bookmarkEnd w:id="1305"/>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306" w:name="_Toc2616_WPSOffice_Level2"/>
      <w:r>
        <w:rPr>
          <w:rFonts w:hint="eastAsia" w:ascii="宋体" w:hAnsi="宋体" w:cs="Arial"/>
          <w:color w:val="auto"/>
          <w:highlight w:val="none"/>
        </w:rPr>
        <w:t>14.1修复件的所有权，只有乙方将修复件运至交货地点且经甲方开箱检验无损后，甲方办理交接手续后由乙方转移至甲方。所有权的转移不免除乙方的质量责任。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14.2修复件毁损、灭失的风险在验收合格并移交完毕后由乙方转移到甲方，若带安装、调试、试运行的，则应在安装、调试、试运行验收合格后。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14.3在拒收情况下，或者解除合同的，修复件毁损、灭失的风险由乙方承担。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bookmarkEnd w:id="1306"/>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307" w:name="_Toc7681_WPSOffice_Level2"/>
      <w:r>
        <w:rPr>
          <w:rFonts w:hint="eastAsia" w:ascii="宋体" w:hAnsi="宋体" w:cs="Arial"/>
          <w:color w:val="auto"/>
          <w:highlight w:val="none"/>
        </w:rPr>
        <w:t>15.1乙方应在任何修复件运送至甲方指定现场日期前7天通知甲方。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15.2乙方按照甲方的要求负责将修复件运至甲方指定地点，并负责办理修复件运至前述交货地点全过程中的所有事项，包括保险、中转、装卸和在修复件开箱验收合格前的仓储，上述费用已包括在合同价中。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bookmarkEnd w:id="1307"/>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bookmarkStart w:id="1308" w:name="_Toc13319_WPSOffice_Level2"/>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（1）第四部分合同条款1.1.9所提及的所有服务内容，但前提条件是该服务并不能免除乙方在合同有效期内所承担的义务。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bookmarkEnd w:id="1308"/>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309" w:name="_Toc21508_WPSOffice_Level2"/>
      <w:r>
        <w:rPr>
          <w:rFonts w:hint="eastAsia" w:ascii="宋体" w:hAnsi="宋体" w:cs="Arial"/>
          <w:color w:val="auto"/>
          <w:highlight w:val="none"/>
        </w:rPr>
        <w:t>17.1乙方应保证合同项下所有故障件均已修复并测试性能正常后方可移交甲方，所有故障件均需要提供维修报告。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17.2除合同条款另有规定外，在质量保证期内，如果修复件潜在缺陷或使用不符合要求的材料等，甲方应在合同规定期限内以书面形式向乙方提出本保证下的索赔：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17.2.1乙方在收到通知后按合同规定期限免费维修故障件；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outlineLvl w:val="4"/>
        <w:rPr>
          <w:rFonts w:ascii="宋体" w:hAnsi="宋体" w:cs="Arial"/>
          <w:color w:val="auto"/>
          <w:highlight w:val="none"/>
        </w:rPr>
      </w:pPr>
      <w:r>
        <w:rPr>
          <w:rFonts w:hint="eastAsia" w:ascii="宋体" w:hAnsi="宋体" w:cs="Arial"/>
          <w:color w:val="auto"/>
          <w:highlight w:val="none"/>
        </w:rPr>
        <w:t>17.3质量保证期</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17.3.1正常质量保证期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w:t>
      </w:r>
      <w:r>
        <w:rPr>
          <w:rFonts w:hint="eastAsia" w:ascii="宋体" w:hAnsi="宋体"/>
          <w:b/>
          <w:color w:val="auto"/>
          <w:highlight w:val="none"/>
        </w:rPr>
        <w:t>3</w:t>
      </w:r>
      <w:r>
        <w:rPr>
          <w:rFonts w:ascii="宋体" w:hAnsi="宋体"/>
          <w:b/>
          <w:color w:val="auto"/>
          <w:highlight w:val="none"/>
        </w:rPr>
        <w:t xml:space="preserve">.1.1 </w:t>
      </w:r>
      <w:r>
        <w:rPr>
          <w:rFonts w:hint="eastAsia" w:ascii="宋体" w:hAnsi="宋体"/>
          <w:b/>
          <w:color w:val="auto"/>
          <w:highlight w:val="none"/>
        </w:rPr>
        <w:t>正常质量保证期为：自验收合格之日起</w:t>
      </w:r>
      <w:r>
        <w:rPr>
          <w:rFonts w:hint="eastAsia" w:ascii="宋体" w:hAnsi="宋体"/>
          <w:color w:val="auto"/>
          <w:highlight w:val="none"/>
          <w:u w:val="single"/>
        </w:rPr>
        <w:t>12</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.1.</w:t>
      </w:r>
      <w:r>
        <w:rPr>
          <w:rFonts w:hint="eastAsia" w:ascii="宋体" w:hAnsi="宋体"/>
          <w:color w:val="auto"/>
          <w:highlight w:val="none"/>
        </w:rPr>
        <w:t>3若同一修复件在质量保证期内返修次数达到或超过三次的，甲方有权要求乙方重新修复，这部分修复件的质量保证期自双方确认的修复完成日起重新计算</w:t>
      </w:r>
      <w:r>
        <w:rPr>
          <w:rFonts w:hint="eastAsia" w:ascii="宋体" w:hAnsi="宋体"/>
          <w:color w:val="auto"/>
          <w:highlight w:val="none"/>
          <w:u w:val="single"/>
        </w:rPr>
        <w:t>12</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.1.</w:t>
      </w:r>
      <w:r>
        <w:rPr>
          <w:rFonts w:hint="eastAsia" w:ascii="宋体" w:hAnsi="宋体"/>
          <w:color w:val="auto"/>
          <w:highlight w:val="none"/>
        </w:rPr>
        <w:t>4质量保证期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乙方需在7天内</w:t>
      </w:r>
      <w:r>
        <w:rPr>
          <w:rFonts w:ascii="宋体" w:hAnsi="宋体"/>
          <w:color w:val="auto"/>
          <w:highlight w:val="none"/>
        </w:rPr>
        <w:t>负责包修，并承担</w:t>
      </w:r>
      <w:r>
        <w:rPr>
          <w:rFonts w:hint="eastAsia" w:ascii="宋体" w:hAnsi="宋体"/>
          <w:color w:val="auto"/>
          <w:highlight w:val="none"/>
        </w:rPr>
        <w:t>返修所产生的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不能修理，按</w:t>
      </w:r>
      <w:r>
        <w:rPr>
          <w:rFonts w:hint="eastAsia" w:ascii="宋体" w:hAnsi="宋体"/>
          <w:color w:val="auto"/>
          <w:highlight w:val="none"/>
        </w:rPr>
        <w:t>未完成修复</w:t>
      </w:r>
      <w:r>
        <w:rPr>
          <w:rFonts w:ascii="宋体" w:hAnsi="宋体"/>
          <w:color w:val="auto"/>
          <w:highlight w:val="none"/>
        </w:rPr>
        <w:t>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乙方收到通知后应在合同条款第25条规定的时间内根据甲方的要求，尽快免费修复、更换修复件中有缺陷的部分，使修复件的相应部分恢复到合同规定的状态和规格。被修理或更换的修复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保证在现场和南宁当地条件下，合同项下的修复件在修复件寿命周期内正常操作情况下不会因乙方或其零部件供应商在设计和制造过程中的缺陷、错误或材料选用及制造工艺上的缺陷而产生故障。若乙方或其零部件供应商在设计制造工艺上的缺陷（包括潜在缺陷）而导致安全事故，给甲方造成所有的损失应由乙方赔偿，且乙方应负责及时修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bookmarkEnd w:id="1309"/>
    </w:p>
    <w:p>
      <w:pPr>
        <w:tabs>
          <w:tab w:val="left" w:pos="820"/>
        </w:tabs>
        <w:adjustRightInd w:val="0"/>
        <w:spacing w:before="0" w:after="0" w:afterAutospacing="0"/>
        <w:ind w:left="0" w:right="0" w:firstLine="420" w:firstLineChars="200"/>
        <w:rPr>
          <w:rFonts w:ascii="宋体" w:hAnsi="宋体"/>
          <w:color w:val="auto"/>
          <w:highlight w:val="none"/>
        </w:rPr>
      </w:pPr>
      <w:bookmarkStart w:id="1310" w:name="_Toc2893_WPSOffice_Level2"/>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540"/>
        </w:tabs>
        <w:adjustRightInd w:val="0"/>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18.4.1甲方提供的故障件种类及数量。</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18.5乙方收到甲方通知后应在十天内向甲方提供变更所带来的费用变化，乙方所提的费用应是最优惠的，如果只是故障件数量的变化，则乙方按合同中规定的故障件单价计算即可。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18.6合同变更时，买卖双方按下述方式确定调整故障件合同价格：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18.6.1对合同中已有项目的删除，按合同已列明的故障件单价计算调整合同价格。</w:t>
      </w:r>
    </w:p>
    <w:p>
      <w:pPr>
        <w:tabs>
          <w:tab w:val="left" w:pos="820"/>
        </w:tabs>
        <w:adjustRightInd w:val="0"/>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bookmarkEnd w:id="1310"/>
    </w:p>
    <w:p>
      <w:pPr>
        <w:tabs>
          <w:tab w:val="left" w:pos="1120"/>
        </w:tabs>
        <w:spacing w:before="0" w:after="0" w:afterAutospacing="0"/>
        <w:ind w:left="0" w:right="0" w:firstLine="420" w:firstLineChars="200"/>
        <w:rPr>
          <w:rFonts w:ascii="宋体" w:hAnsi="宋体"/>
          <w:color w:val="auto"/>
          <w:highlight w:val="none"/>
        </w:rPr>
      </w:pPr>
      <w:bookmarkStart w:id="1311" w:name="_Toc10088_WPSOffice_Level2"/>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62"/>
        <w:adjustRightInd/>
        <w:spacing w:before="0" w:after="0" w:line="360" w:lineRule="auto"/>
        <w:ind w:left="0" w:right="0" w:firstLine="420" w:firstLineChars="200"/>
        <w:outlineLvl w:val="3"/>
        <w:rPr>
          <w:rFonts w:ascii="宋体" w:hAnsi="宋体"/>
          <w:color w:val="auto"/>
          <w:sz w:val="21"/>
          <w:szCs w:val="21"/>
          <w:highlight w:val="none"/>
        </w:rPr>
      </w:pPr>
      <w:r>
        <w:rPr>
          <w:rFonts w:hint="eastAsia" w:ascii="宋体" w:hAnsi="宋体"/>
          <w:color w:val="auto"/>
          <w:sz w:val="21"/>
          <w:szCs w:val="21"/>
          <w:highlight w:val="none"/>
        </w:rPr>
        <w:t>19.3如乙方具有以下情形的，甲方可以中止合同履行：</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bookmarkEnd w:id="1311"/>
    </w:p>
    <w:p>
      <w:pPr>
        <w:tabs>
          <w:tab w:val="left" w:pos="1120"/>
        </w:tabs>
        <w:spacing w:before="0" w:after="0" w:afterAutospacing="0"/>
        <w:ind w:left="0" w:right="0" w:firstLine="420" w:firstLineChars="200"/>
        <w:rPr>
          <w:rFonts w:ascii="宋体" w:hAnsi="宋体"/>
          <w:color w:val="auto"/>
          <w:highlight w:val="none"/>
        </w:rPr>
      </w:pPr>
      <w:bookmarkStart w:id="1312" w:name="_Toc13861_WPSOffice_Level2"/>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w:t>
      </w:r>
      <w:r>
        <w:rPr>
          <w:rFonts w:hint="eastAsia" w:ascii="宋体" w:hAnsi="宋体"/>
          <w:color w:val="auto"/>
          <w:highlight w:val="none"/>
          <w:lang w:val="en-US" w:eastAsia="zh-CN"/>
        </w:rPr>
        <w:t>民法典</w:t>
      </w:r>
      <w:r>
        <w:rPr>
          <w:rFonts w:hint="eastAsia" w:ascii="宋体" w:hAnsi="宋体"/>
          <w:color w:val="auto"/>
          <w:highlight w:val="none"/>
        </w:rPr>
        <w:t>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bookmarkEnd w:id="1312"/>
    </w:p>
    <w:p>
      <w:pPr>
        <w:tabs>
          <w:tab w:val="left" w:pos="1120"/>
        </w:tabs>
        <w:spacing w:before="0" w:after="0" w:afterAutospacing="0"/>
        <w:ind w:left="0" w:right="0" w:firstLine="420" w:firstLineChars="200"/>
        <w:rPr>
          <w:rFonts w:ascii="宋体" w:hAnsi="宋体"/>
          <w:color w:val="auto"/>
          <w:highlight w:val="none"/>
        </w:rPr>
      </w:pPr>
      <w:bookmarkStart w:id="1313" w:name="_Toc9712_WPSOffice_Level2"/>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4"/>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4"/>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bookmarkEnd w:id="1313"/>
    </w:p>
    <w:p>
      <w:pPr>
        <w:tabs>
          <w:tab w:val="left" w:pos="1120"/>
        </w:tabs>
        <w:spacing w:before="0" w:after="0" w:afterAutospacing="0"/>
        <w:ind w:left="0" w:right="0" w:firstLine="420" w:firstLineChars="200"/>
        <w:rPr>
          <w:rFonts w:ascii="宋体" w:hAnsi="宋体"/>
          <w:color w:val="auto"/>
          <w:highlight w:val="none"/>
        </w:rPr>
      </w:pPr>
      <w:bookmarkStart w:id="1314" w:name="_Toc29436_WPSOffice_Level2"/>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bookmarkEnd w:id="1314"/>
    </w:p>
    <w:p>
      <w:pPr>
        <w:tabs>
          <w:tab w:val="left" w:pos="960"/>
        </w:tabs>
        <w:spacing w:before="0" w:after="0" w:afterAutospacing="0"/>
        <w:ind w:left="420" w:right="0" w:firstLine="0"/>
        <w:rPr>
          <w:rFonts w:ascii="宋体" w:hAnsi="宋体"/>
          <w:color w:val="auto"/>
          <w:highlight w:val="none"/>
        </w:rPr>
      </w:pPr>
      <w:bookmarkStart w:id="1315" w:name="_Toc9539_WPSOffice_Level2"/>
      <w:r>
        <w:rPr>
          <w:rFonts w:hint="eastAsia" w:ascii="宋体" w:hAnsi="宋体"/>
          <w:color w:val="auto"/>
          <w:highlight w:val="none"/>
        </w:rPr>
        <w:t>23.1合同生效后，买卖双方按合同约定提供本项目故障件或修复件。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23.2除非合同中另有约定，乙方要负责所有故障件的修复服务，包括故障件的包装、运输、检测、维修，修复件的出厂检验、运输、软硬件的调试及质保期内出现故障免费维修等。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23.3如合同里没有特别地提到，乙方应提供合同中规定的及通过合同就可以合理地推断要完成维修所要求的货物和材料。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outlineLvl w:val="3"/>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w:t>
      </w:r>
      <w:bookmarkEnd w:id="1315"/>
      <w:r>
        <w:rPr>
          <w:rFonts w:hint="eastAsia" w:ascii="宋体" w:hAnsi="宋体"/>
          <w:b/>
          <w:color w:val="auto"/>
          <w:highlight w:val="none"/>
        </w:rPr>
        <w:t>验收要求</w:t>
      </w:r>
    </w:p>
    <w:p>
      <w:pPr>
        <w:tabs>
          <w:tab w:val="left" w:pos="420"/>
          <w:tab w:val="left" w:pos="1040"/>
        </w:tabs>
        <w:spacing w:before="0" w:after="0" w:afterAutospacing="0"/>
        <w:ind w:left="0" w:right="0" w:firstLine="424" w:firstLineChars="202"/>
        <w:rPr>
          <w:rFonts w:ascii="宋体" w:hAnsi="宋体"/>
          <w:color w:val="auto"/>
          <w:highlight w:val="none"/>
        </w:rPr>
      </w:pPr>
      <w:bookmarkStart w:id="1316" w:name="_Toc13850_WPSOffice_Level2"/>
      <w:r>
        <w:rPr>
          <w:rFonts w:hint="eastAsia" w:ascii="宋体" w:hAnsi="宋体"/>
          <w:color w:val="auto"/>
          <w:highlight w:val="none"/>
        </w:rPr>
        <w:t>24.1修复件运抵现场后，应在甲方/管理机构的监督下，由乙方进行修复件开箱验收，达到合格验收后办理修复件移交手续。如修复件不能及时进行现场就位，修复件的现场保管应由乙方负责，乙方必须提出修复件放置场所的要求，现场存放应能达到修复件存放场所宜干燥、有遮盖，应避免受到含有酸、盐、碱等腐蚀性物质的侵蚀。修复件运抵乙方仓储现场后，应在甲方/管理机构的监督下，由乙方共同进行修复件开箱验收，达到合格验收后办理修复件移交手续。乙方应负责运输及装卸。如修复件不能及时进行移交，修复件的现场保管应由乙方承担，修复件存放场所宜干燥、有遮盖，应避免受到含有酸、盐、碱等腐蚀性物质的侵蚀。修复件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24.2乙方负责实施本合同条款所述事项并负担其产生的全部费用。</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rPr>
        <w:t>24.3验收标准</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24.3.1设备维修完毕，乙方自检，准备验收报告，通知甲方验收，验收时各项技术指标应达到相关验收标准，验收时双方签据性能测试验收报告（详见附件3）。</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24.3.2甲方如提出与所供材料质量有关的问题，乙方应在1周内给予答复。</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24.3.3若现场验收中发现有诸如数量、型号和品种与规定不符或合同材料和包装外观损坏，乙方应负责更换或补齐。若产品验收不合格，乙方应立即整改，直到达到合格要求。</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bookmarkEnd w:id="1316"/>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修复件，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修复件，替换错装或损坏的修复件，除非双方另有协议，该补足或替换应在十（10）天内完成。起始日期应以乙方现场代表收到甲方以书面文件的索赔文件之日起计算。以甲方将补足的修复件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outlineLvl w:val="3"/>
        <w:rPr>
          <w:rFonts w:hint="eastAsia" w:ascii="宋体" w:hAnsi="宋体" w:eastAsia="宋体"/>
          <w:color w:val="auto"/>
          <w:highlight w:val="none"/>
        </w:rPr>
      </w:pPr>
      <w:r>
        <w:rPr>
          <w:rFonts w:hint="eastAsia" w:ascii="宋体" w:hAnsi="宋体" w:eastAsia="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修复件的质量不能达到用户需求书中的技术要求，如经乙方两次返修，修复件仍不能达到合同约定的质量标准，甲方有权不支付该修复件的维修费，乙方应退还所该修复件的全部维修费用。</w:t>
      </w:r>
    </w:p>
    <w:p>
      <w:pPr>
        <w:numPr>
          <w:ilvl w:val="1"/>
          <w:numId w:val="0"/>
        </w:numPr>
        <w:tabs>
          <w:tab w:val="left" w:pos="1060"/>
        </w:tabs>
        <w:spacing w:before="0" w:after="0" w:afterAutospacing="0"/>
        <w:ind w:right="0" w:firstLine="420" w:firstLineChars="200"/>
        <w:outlineLvl w:val="4"/>
        <w:rPr>
          <w:rFonts w:ascii="宋体" w:hAnsi="宋体"/>
          <w:color w:val="auto"/>
          <w:highlight w:val="none"/>
        </w:rPr>
      </w:pPr>
      <w:r>
        <w:rPr>
          <w:rFonts w:hint="eastAsia" w:ascii="宋体" w:hAnsi="宋体"/>
          <w:color w:val="auto"/>
          <w:highlight w:val="none"/>
        </w:rPr>
        <w:t>25.2.2修理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若返修件质保期内发生故障，则由投标方免费修复，修复应在七（7）天内完成，修复后重新计算质保期。</w:t>
      </w:r>
    </w:p>
    <w:p>
      <w:pPr>
        <w:numPr>
          <w:ilvl w:val="1"/>
          <w:numId w:val="0"/>
        </w:numPr>
        <w:tabs>
          <w:tab w:val="left" w:pos="1060"/>
        </w:tabs>
        <w:spacing w:before="0" w:after="0" w:afterAutospacing="0"/>
        <w:ind w:right="0" w:firstLine="420" w:firstLineChars="200"/>
        <w:outlineLvl w:val="3"/>
        <w:rPr>
          <w:rFonts w:hint="eastAsia" w:ascii="宋体" w:hAnsi="宋体" w:eastAsia="宋体"/>
          <w:color w:val="auto"/>
          <w:highlight w:val="none"/>
        </w:rPr>
      </w:pPr>
      <w:r>
        <w:rPr>
          <w:rFonts w:hint="eastAsia" w:ascii="宋体" w:hAnsi="宋体" w:eastAsia="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25.4若因乙方提供的修复件不满足验收标准和技术需求，并拒绝继续维修至符合甲方技术需求的修复件，乙方须支付本批次修复件维修</w:t>
      </w:r>
      <w:r>
        <w:rPr>
          <w:rFonts w:hint="eastAsia" w:ascii="宋体" w:hAnsi="宋体"/>
          <w:color w:val="auto"/>
          <w:highlight w:val="none"/>
          <w:lang w:val="en-US" w:eastAsia="zh-CN"/>
        </w:rPr>
        <w:t>总</w:t>
      </w:r>
      <w:r>
        <w:rPr>
          <w:rFonts w:hint="eastAsia" w:ascii="宋体" w:hAnsi="宋体"/>
          <w:color w:val="auto"/>
          <w:highlight w:val="none"/>
        </w:rPr>
        <w:t>金额的20%的违约金，同时甲方重新维修因价格差所造成的损失由乙方承担。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25.5验收时，乙方需保证交付修复件满足技术需求和验收标准，否则甲方可以拒收，并要求乙方提供符合要求的修复件。</w:t>
      </w:r>
    </w:p>
    <w:p>
      <w:pPr>
        <w:pStyle w:val="40"/>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25.6若因乙方交付的修复件不满足技术需求，并继续维修至符合甲方技术需求的修复件，甲方有权追究乙方违约责任。</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rPr>
        <w:t>25.7质量保证期赔偿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25.8乙方在中选文件中承诺的响应要求，而在项目实施阶段未能实现，视为乙方违约，甲方向乙方收取违约金1000元/项。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rPr>
        <w:t>25.9违约金与赔偿金额计算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rPr>
        <w:t>25.10违约金与赔偿金的支付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hint="eastAsia" w:ascii="宋体" w:hAnsi="宋体"/>
          <w:color w:val="auto"/>
          <w:highlight w:val="none"/>
        </w:rPr>
      </w:pPr>
      <w:r>
        <w:rPr>
          <w:rFonts w:hint="eastAsia" w:ascii="宋体" w:hAnsi="宋体"/>
          <w:color w:val="auto"/>
          <w:highlight w:val="none"/>
        </w:rPr>
        <w:t>25.15本合同条款规定的乙方处理修复件质量问题的时间如果与合同规定的关键节点时间有冲突，应首先满足该关键节点时间。</w:t>
      </w:r>
    </w:p>
    <w:p>
      <w:pPr>
        <w:numPr>
          <w:ilvl w:val="1"/>
          <w:numId w:val="0"/>
        </w:numPr>
        <w:tabs>
          <w:tab w:val="left" w:pos="1060"/>
        </w:tabs>
        <w:ind w:firstLine="420"/>
        <w:rPr>
          <w:rFonts w:hint="eastAsia" w:ascii="宋体" w:hAnsi="宋体"/>
          <w:color w:val="auto"/>
          <w:highlight w:val="none"/>
        </w:rPr>
      </w:pPr>
      <w:r>
        <w:rPr>
          <w:rFonts w:hint="eastAsia" w:ascii="宋体" w:hAnsi="宋体"/>
          <w:color w:val="auto"/>
          <w:highlight w:val="none"/>
        </w:rPr>
        <w:t>25.1</w:t>
      </w:r>
      <w:r>
        <w:rPr>
          <w:rFonts w:hint="eastAsia" w:ascii="宋体" w:hAnsi="宋体"/>
          <w:color w:val="auto"/>
          <w:highlight w:val="none"/>
          <w:lang w:val="en-US" w:eastAsia="zh-CN"/>
        </w:rPr>
        <w:t>6</w:t>
      </w:r>
      <w:r>
        <w:rPr>
          <w:rFonts w:hint="eastAsia" w:ascii="宋体" w:hAnsi="宋体"/>
          <w:color w:val="auto"/>
          <w:highlight w:val="none"/>
        </w:rPr>
        <w:t>由于乙方原因造成板卡原有系统或固件损坏的，乙方应负责甲方重装系统或固件所发生的费用。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w:t>
      </w:r>
      <w:r>
        <w:rPr>
          <w:rFonts w:hint="eastAsia" w:ascii="宋体" w:hAnsi="宋体"/>
          <w:color w:val="auto"/>
          <w:highlight w:val="none"/>
          <w:lang w:val="en-US" w:eastAsia="zh-CN"/>
        </w:rPr>
        <w:t>7</w:t>
      </w:r>
      <w:r>
        <w:rPr>
          <w:rFonts w:hint="eastAsia" w:ascii="宋体" w:hAnsi="宋体"/>
          <w:color w:val="auto"/>
          <w:highlight w:val="none"/>
        </w:rPr>
        <w:t>由于乙方提供的维修服务不符合要求或由此造成甲方损失，乙方应负责甲方的相关损失所发生的费用。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w:t>
      </w:r>
      <w:r>
        <w:rPr>
          <w:rFonts w:hint="eastAsia" w:ascii="宋体" w:hAnsi="宋体"/>
          <w:color w:val="auto"/>
          <w:highlight w:val="none"/>
          <w:lang w:val="en-US" w:eastAsia="zh-CN"/>
        </w:rPr>
        <w:t>8</w:t>
      </w:r>
      <w:r>
        <w:rPr>
          <w:rFonts w:hint="eastAsia" w:ascii="宋体" w:hAnsi="宋体"/>
          <w:color w:val="auto"/>
          <w:highlight w:val="none"/>
        </w:rPr>
        <w:t>乙方未按规定时间内修复完成，违约金按未完成修复的故障件合同维修总金额的10%扣除且本故障件不予计算维修费用；</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w:t>
      </w:r>
      <w:r>
        <w:rPr>
          <w:rFonts w:hint="eastAsia" w:ascii="宋体" w:hAnsi="宋体"/>
          <w:color w:val="auto"/>
          <w:highlight w:val="none"/>
          <w:lang w:val="en-US" w:eastAsia="zh-CN"/>
        </w:rPr>
        <w:t>9</w:t>
      </w:r>
      <w:r>
        <w:rPr>
          <w:rFonts w:hint="eastAsia" w:ascii="宋体" w:hAnsi="宋体"/>
          <w:color w:val="auto"/>
          <w:highlight w:val="none"/>
        </w:rPr>
        <w:t>乙方未提供修复件的维修报告和性能测试报告，违约金按未提供材料的故障件维修</w:t>
      </w:r>
      <w:r>
        <w:rPr>
          <w:rFonts w:hint="eastAsia" w:ascii="宋体" w:hAnsi="宋体"/>
          <w:color w:val="auto"/>
          <w:highlight w:val="none"/>
          <w:lang w:val="en-US" w:eastAsia="zh-CN"/>
        </w:rPr>
        <w:t>总</w:t>
      </w:r>
      <w:r>
        <w:rPr>
          <w:rFonts w:hint="eastAsia" w:ascii="宋体" w:hAnsi="宋体"/>
          <w:color w:val="auto"/>
          <w:highlight w:val="none"/>
        </w:rPr>
        <w:t>金额的10%扣除；</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w:t>
      </w:r>
      <w:r>
        <w:rPr>
          <w:rFonts w:hint="eastAsia" w:ascii="宋体" w:hAnsi="宋体"/>
          <w:color w:val="auto"/>
          <w:highlight w:val="none"/>
          <w:lang w:val="en-US" w:eastAsia="zh-CN"/>
        </w:rPr>
        <w:t>20</w:t>
      </w:r>
      <w:r>
        <w:rPr>
          <w:rFonts w:hint="eastAsia" w:ascii="宋体" w:hAnsi="宋体"/>
          <w:color w:val="auto"/>
          <w:highlight w:val="none"/>
        </w:rPr>
        <w:t>故障件修复率不低于故障件送修总数量的90%，如低于90%</w:t>
      </w:r>
      <w:r>
        <w:rPr>
          <w:rFonts w:hint="eastAsia" w:ascii="宋体" w:hAnsi="宋体"/>
          <w:color w:val="auto"/>
          <w:highlight w:val="none"/>
          <w:lang w:eastAsia="zh-CN"/>
        </w:rPr>
        <w:t>（</w:t>
      </w:r>
      <w:r>
        <w:rPr>
          <w:rFonts w:hint="eastAsia" w:ascii="宋体" w:hAnsi="宋体"/>
          <w:color w:val="auto"/>
          <w:highlight w:val="none"/>
          <w:lang w:val="en-US" w:eastAsia="zh-CN"/>
        </w:rPr>
        <w:t>具体数值按乙方承诺书为准</w:t>
      </w:r>
      <w:r>
        <w:rPr>
          <w:rFonts w:hint="eastAsia" w:ascii="宋体" w:hAnsi="宋体"/>
          <w:color w:val="auto"/>
          <w:highlight w:val="none"/>
          <w:lang w:eastAsia="zh-CN"/>
        </w:rPr>
        <w:t>）</w:t>
      </w:r>
      <w:r>
        <w:rPr>
          <w:rFonts w:hint="eastAsia" w:ascii="宋体" w:hAnsi="宋体"/>
          <w:color w:val="auto"/>
          <w:highlight w:val="none"/>
        </w:rPr>
        <w:t>，则扣除</w:t>
      </w:r>
      <w:r>
        <w:rPr>
          <w:rFonts w:hint="eastAsia" w:ascii="宋体" w:hAnsi="宋体"/>
          <w:color w:val="auto"/>
          <w:highlight w:val="none"/>
          <w:lang w:eastAsia="zh-CN"/>
        </w:rPr>
        <w:t>已修复</w:t>
      </w:r>
      <w:r>
        <w:rPr>
          <w:rFonts w:hint="eastAsia" w:ascii="宋体" w:hAnsi="宋体"/>
          <w:color w:val="auto"/>
          <w:highlight w:val="none"/>
        </w:rPr>
        <w:t>故障件总修复费用的10%作为违约金，如低于80%则扣除</w:t>
      </w:r>
      <w:r>
        <w:rPr>
          <w:rFonts w:hint="eastAsia" w:ascii="宋体" w:hAnsi="宋体" w:eastAsia="宋体"/>
          <w:color w:val="auto"/>
          <w:highlight w:val="none"/>
          <w:lang w:eastAsia="zh-CN"/>
        </w:rPr>
        <w:t>已修复</w:t>
      </w:r>
      <w:r>
        <w:rPr>
          <w:rFonts w:hint="eastAsia" w:ascii="宋体" w:hAnsi="宋体"/>
          <w:color w:val="auto"/>
          <w:highlight w:val="none"/>
        </w:rPr>
        <w:t>故障件总修复费用</w:t>
      </w:r>
      <w:r>
        <w:rPr>
          <w:rFonts w:hint="eastAsia" w:ascii="宋体" w:hAnsi="宋体"/>
          <w:color w:val="auto"/>
          <w:highlight w:val="none"/>
          <w:lang w:eastAsia="zh-CN"/>
        </w:rPr>
        <w:t>的</w:t>
      </w:r>
      <w:r>
        <w:rPr>
          <w:rFonts w:hint="eastAsia" w:ascii="宋体" w:hAnsi="宋体"/>
          <w:color w:val="auto"/>
          <w:highlight w:val="none"/>
        </w:rPr>
        <w:t>20%</w:t>
      </w:r>
      <w:r>
        <w:rPr>
          <w:rFonts w:hint="eastAsia" w:ascii="宋体" w:hAnsi="宋体"/>
          <w:color w:val="auto"/>
          <w:highlight w:val="none"/>
          <w:lang w:eastAsia="zh-CN"/>
        </w:rPr>
        <w:t>作为</w:t>
      </w:r>
      <w:r>
        <w:rPr>
          <w:rFonts w:hint="eastAsia" w:ascii="宋体" w:hAnsi="宋体"/>
          <w:color w:val="auto"/>
          <w:highlight w:val="none"/>
        </w:rPr>
        <w:t>违约金</w:t>
      </w:r>
      <w:r>
        <w:rPr>
          <w:rFonts w:hint="eastAsia" w:ascii="宋体" w:hAnsi="宋体"/>
          <w:color w:val="auto"/>
          <w:highlight w:val="none"/>
          <w:lang w:eastAsia="zh-CN"/>
        </w:rPr>
        <w:t>；</w:t>
      </w:r>
      <w:r>
        <w:rPr>
          <w:rFonts w:hint="eastAsia" w:ascii="宋体" w:hAnsi="宋体"/>
          <w:color w:val="auto"/>
          <w:highlight w:val="none"/>
        </w:rPr>
        <w:t>如修复率低于70%则扣除</w:t>
      </w:r>
      <w:r>
        <w:rPr>
          <w:rFonts w:hint="eastAsia" w:ascii="宋体" w:hAnsi="宋体" w:eastAsia="宋体"/>
          <w:color w:val="auto"/>
          <w:highlight w:val="none"/>
          <w:lang w:eastAsia="zh-CN"/>
        </w:rPr>
        <w:t>已修复</w:t>
      </w:r>
      <w:r>
        <w:rPr>
          <w:rFonts w:hint="eastAsia" w:ascii="宋体" w:hAnsi="宋体"/>
          <w:color w:val="auto"/>
          <w:highlight w:val="none"/>
        </w:rPr>
        <w:t>故障件总修复费用</w:t>
      </w:r>
      <w:r>
        <w:rPr>
          <w:rFonts w:hint="eastAsia" w:ascii="宋体" w:hAnsi="宋体"/>
          <w:color w:val="auto"/>
          <w:highlight w:val="none"/>
          <w:lang w:eastAsia="zh-CN"/>
        </w:rPr>
        <w:t>的</w:t>
      </w:r>
      <w:r>
        <w:rPr>
          <w:rFonts w:hint="eastAsia" w:ascii="宋体" w:hAnsi="宋体"/>
          <w:color w:val="auto"/>
          <w:highlight w:val="none"/>
        </w:rPr>
        <w:t>30%</w:t>
      </w:r>
      <w:r>
        <w:rPr>
          <w:rFonts w:hint="eastAsia" w:ascii="宋体" w:hAnsi="宋体"/>
          <w:color w:val="auto"/>
          <w:highlight w:val="none"/>
          <w:lang w:eastAsia="zh-CN"/>
        </w:rPr>
        <w:t>作为</w:t>
      </w:r>
      <w:r>
        <w:rPr>
          <w:rFonts w:hint="eastAsia" w:ascii="宋体" w:hAnsi="宋体"/>
          <w:color w:val="auto"/>
          <w:highlight w:val="none"/>
        </w:rPr>
        <w:t>违约金，且甲方有权要求</w:t>
      </w:r>
      <w:r>
        <w:rPr>
          <w:rFonts w:hint="eastAsia" w:ascii="宋体" w:hAnsi="宋体"/>
          <w:color w:val="auto"/>
          <w:highlight w:val="none"/>
          <w:lang w:eastAsia="zh-CN"/>
        </w:rPr>
        <w:t>投标方</w:t>
      </w:r>
      <w:r>
        <w:rPr>
          <w:rFonts w:hint="eastAsia" w:ascii="宋体" w:hAnsi="宋体"/>
          <w:color w:val="auto"/>
          <w:highlight w:val="none"/>
        </w:rPr>
        <w:t>将不可修复的设备送第三方检测，检测费用由</w:t>
      </w:r>
      <w:r>
        <w:rPr>
          <w:rFonts w:hint="eastAsia" w:ascii="宋体" w:hAnsi="宋体"/>
          <w:color w:val="auto"/>
          <w:highlight w:val="none"/>
          <w:lang w:eastAsia="zh-CN"/>
        </w:rPr>
        <w:t>投标方</w:t>
      </w:r>
      <w:r>
        <w:rPr>
          <w:rFonts w:hint="eastAsia" w:ascii="宋体" w:hAnsi="宋体"/>
          <w:color w:val="auto"/>
          <w:highlight w:val="none"/>
        </w:rPr>
        <w:t>负责。</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w:t>
      </w:r>
      <w:r>
        <w:rPr>
          <w:rFonts w:hint="eastAsia" w:ascii="宋体" w:hAnsi="宋体"/>
          <w:color w:val="auto"/>
          <w:highlight w:val="none"/>
          <w:lang w:val="en-US" w:eastAsia="zh-CN"/>
        </w:rPr>
        <w:t>1</w:t>
      </w:r>
      <w:r>
        <w:rPr>
          <w:rFonts w:hint="eastAsia" w:ascii="宋体" w:hAnsi="宋体"/>
          <w:color w:val="auto"/>
          <w:highlight w:val="none"/>
        </w:rPr>
        <w:t>故障件维修完成1个月内发生重复故障的，乙方需向甲方支付违约金500元/次，并免费修复故障件，若因该故障件导致的故障涉及运营安全等重大影响的扣除违约金10000元/次，必要时追究相关责任。此外，同一个故障件修复后一年内不得因同一质量问题返修超过3次，否则扣除该故障件修复金额50%的费用，同时要求由乙方技术经理带技术团队赴现场进行故障调查，如质量问题无法得到甲方认可的有效解决，甲方有权单方面解除合同，并追究乙方违约责任。</w:t>
      </w:r>
    </w:p>
    <w:p>
      <w:pPr>
        <w:widowControl w:val="0"/>
        <w:tabs>
          <w:tab w:val="left" w:pos="10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25.2</w:t>
      </w:r>
      <w:r>
        <w:rPr>
          <w:rFonts w:hint="eastAsia" w:ascii="宋体" w:hAnsi="宋体"/>
          <w:color w:val="auto"/>
          <w:highlight w:val="none"/>
          <w:lang w:val="en-US" w:eastAsia="zh-CN"/>
        </w:rPr>
        <w:t>2</w:t>
      </w:r>
      <w:r>
        <w:rPr>
          <w:rFonts w:hint="eastAsia" w:ascii="宋体" w:hAnsi="宋体"/>
          <w:color w:val="auto"/>
          <w:highlight w:val="none"/>
        </w:rPr>
        <w:t>如乙方违反上述条款的由甲方填写《合同违约处理通知单》（附件4），乙方如有意见，须在《合同违约处理通知单》送达后2个工作日内向项目主办部门提交正式申诉材料提出申诉，否则视为接受违约处理意见，项目主办部门在收到申诉材料后须在5个工作日给予回复。否则由此进度款迟延支付，由乙方承担。</w:t>
      </w:r>
    </w:p>
    <w:p>
      <w:pPr>
        <w:widowControl w:val="0"/>
        <w:tabs>
          <w:tab w:val="left" w:pos="10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w:t>
      </w:r>
      <w:r>
        <w:rPr>
          <w:rFonts w:hint="eastAsia" w:ascii="宋体" w:hAnsi="宋体"/>
          <w:color w:val="auto"/>
          <w:highlight w:val="none"/>
          <w:lang w:val="en-US" w:eastAsia="zh-CN"/>
        </w:rPr>
        <w:t>23</w:t>
      </w:r>
      <w:r>
        <w:rPr>
          <w:rFonts w:hint="eastAsia" w:ascii="宋体" w:hAnsi="宋体"/>
          <w:color w:val="auto"/>
          <w:highlight w:val="none"/>
        </w:rPr>
        <w:t>乙方如作出售后服务承诺后未按要求建立动态修复件清单的，甲方有权扣除本合同金额5%的维修费并要求乙方在5天完成整改；如乙方未在甲方要求时限内完成整改，每延迟1天扣除本合同金额1%维修费，以此类推。</w:t>
      </w:r>
    </w:p>
    <w:p>
      <w:pPr>
        <w:widowControl w:val="0"/>
        <w:tabs>
          <w:tab w:val="left" w:pos="1060"/>
        </w:tabs>
        <w:spacing w:before="0" w:after="0" w:afterAutospacing="0"/>
        <w:ind w:left="0" w:right="0" w:firstLine="422" w:firstLineChars="200"/>
        <w:outlineLvl w:val="2"/>
        <w:rPr>
          <w:rFonts w:ascii="宋体" w:hAnsi="宋体"/>
          <w:b/>
          <w:color w:val="auto"/>
          <w:highlight w:val="none"/>
        </w:rPr>
      </w:pPr>
      <w:bookmarkStart w:id="1317" w:name="_Toc28865_WPSOffice_Level2"/>
      <w:r>
        <w:rPr>
          <w:rFonts w:hint="eastAsia" w:ascii="宋体" w:hAnsi="宋体"/>
          <w:b/>
          <w:color w:val="auto"/>
          <w:highlight w:val="none"/>
        </w:rPr>
        <w:t>26.合同终止</w:t>
      </w:r>
      <w:bookmarkEnd w:id="1317"/>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26.1对合同条件所做出的任何修改、补充，须经双方协商达成一致意见后，签订书面协议。</w:t>
      </w:r>
    </w:p>
    <w:p>
      <w:pPr>
        <w:pStyle w:val="62"/>
        <w:adjustRightInd/>
        <w:spacing w:before="0" w:after="0" w:line="360" w:lineRule="auto"/>
        <w:ind w:left="0" w:right="0" w:firstLine="420" w:firstLineChars="200"/>
        <w:outlineLvl w:val="3"/>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outlineLvl w:val="4"/>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outlineLvl w:val="3"/>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bookmarkStart w:id="1318" w:name="_Toc3251_WPSOffice_Level2"/>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bookmarkEnd w:id="1318"/>
    </w:p>
    <w:p>
      <w:pPr>
        <w:pStyle w:val="62"/>
        <w:adjustRightInd/>
        <w:spacing w:before="0" w:after="0" w:line="360" w:lineRule="auto"/>
        <w:ind w:left="0" w:right="0" w:firstLine="420" w:firstLineChars="200"/>
        <w:rPr>
          <w:rFonts w:ascii="宋体" w:hAnsi="宋体"/>
          <w:color w:val="auto"/>
          <w:sz w:val="21"/>
          <w:szCs w:val="21"/>
          <w:highlight w:val="none"/>
        </w:rPr>
      </w:pPr>
      <w:bookmarkStart w:id="1319" w:name="_Toc23260_WPSOffice_Level2"/>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bookmarkEnd w:id="1319"/>
    </w:p>
    <w:p>
      <w:pPr>
        <w:tabs>
          <w:tab w:val="left" w:pos="1020"/>
        </w:tabs>
        <w:spacing w:before="0" w:after="0" w:afterAutospacing="0"/>
        <w:ind w:left="420" w:right="0" w:firstLine="0"/>
        <w:outlineLvl w:val="3"/>
        <w:rPr>
          <w:rFonts w:ascii="宋体" w:hAnsi="宋体"/>
          <w:color w:val="auto"/>
          <w:highlight w:val="none"/>
        </w:rPr>
      </w:pPr>
      <w:bookmarkStart w:id="1320" w:name="_Toc14677_WPSOffice_Level2"/>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bookmarkEnd w:id="1320"/>
    </w:p>
    <w:p>
      <w:pPr>
        <w:tabs>
          <w:tab w:val="left" w:pos="820"/>
        </w:tabs>
        <w:adjustRightInd w:val="0"/>
        <w:spacing w:before="0" w:after="0" w:afterAutospacing="0"/>
        <w:ind w:left="0" w:right="0" w:firstLine="420" w:firstLineChars="200"/>
        <w:rPr>
          <w:rFonts w:ascii="宋体" w:hAnsi="宋体"/>
          <w:color w:val="auto"/>
          <w:highlight w:val="none"/>
        </w:rPr>
      </w:pPr>
      <w:bookmarkStart w:id="1321" w:name="_Toc30272_WPSOffice_Level2"/>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bookmarkEnd w:id="1321"/>
    </w:p>
    <w:p>
      <w:pPr>
        <w:spacing w:before="0" w:after="0" w:afterAutospacing="0"/>
        <w:ind w:left="0" w:right="0" w:firstLine="420" w:firstLineChars="200"/>
        <w:outlineLvl w:val="3"/>
        <w:rPr>
          <w:rFonts w:ascii="宋体" w:hAnsi="宋体"/>
          <w:color w:val="auto"/>
          <w:highlight w:val="none"/>
        </w:rPr>
      </w:pPr>
      <w:bookmarkStart w:id="1322" w:name="_Toc23785_WPSOffice_Level2"/>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bookmarkEnd w:id="1322"/>
    </w:p>
    <w:p>
      <w:pPr>
        <w:spacing w:before="0" w:after="0" w:afterAutospacing="0"/>
        <w:ind w:left="0" w:right="0" w:firstLine="420" w:firstLineChars="200"/>
        <w:outlineLvl w:val="3"/>
        <w:rPr>
          <w:rFonts w:ascii="宋体" w:hAnsi="宋体"/>
          <w:color w:val="auto"/>
          <w:highlight w:val="none"/>
        </w:rPr>
      </w:pPr>
      <w:bookmarkStart w:id="1323" w:name="_Toc7517_WPSOffice_Level2"/>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bookmarkEnd w:id="1323"/>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pStyle w:val="2"/>
        <w:rPr>
          <w:rFonts w:hAnsi="宋体"/>
          <w:color w:val="auto"/>
          <w:highlight w:val="none"/>
        </w:rPr>
      </w:pPr>
    </w:p>
    <w:p>
      <w:pPr>
        <w:pStyle w:val="62"/>
        <w:pageBreakBefore/>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324" w:name="_Toc29200"/>
      <w:bookmarkStart w:id="1325" w:name="_Toc32247"/>
      <w:bookmarkStart w:id="1326" w:name="_Toc101965693"/>
      <w:bookmarkStart w:id="1327" w:name="_Toc92268646"/>
      <w:bookmarkStart w:id="1328" w:name="_Toc27182_WPSOffice_Level1"/>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1324"/>
      <w:bookmarkEnd w:id="1325"/>
      <w:bookmarkEnd w:id="1326"/>
      <w:bookmarkEnd w:id="1327"/>
      <w:bookmarkEnd w:id="1328"/>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rPr>
          <w:rFonts w:ascii="宋体" w:hAnsi="宋体"/>
          <w:color w:val="auto"/>
          <w:highlight w:val="none"/>
        </w:rPr>
      </w:pPr>
      <w:r>
        <w:rPr>
          <w:rFonts w:hint="eastAsia" w:ascii="宋体" w:hAnsi="宋体"/>
          <w:color w:val="auto"/>
          <w:highlight w:val="none"/>
        </w:rPr>
        <w:br w:type="page"/>
      </w:r>
    </w:p>
    <w:p>
      <w:pPr>
        <w:pStyle w:val="5"/>
        <w:spacing w:before="40" w:after="40" w:afterAutospacing="0" w:line="240" w:lineRule="auto"/>
        <w:ind w:left="422" w:right="0" w:firstLine="0"/>
        <w:jc w:val="center"/>
        <w:rPr>
          <w:rFonts w:ascii="Times New Roman" w:hAnsi="Times New Roman" w:eastAsia="宋体"/>
          <w:color w:val="auto"/>
          <w:highlight w:val="none"/>
        </w:rPr>
      </w:pPr>
      <w:bookmarkStart w:id="1329" w:name="_Toc39"/>
      <w:bookmarkStart w:id="1330" w:name="_Toc25584_WPSOffice_Level1"/>
      <w:bookmarkStart w:id="1331" w:name="_Toc4227"/>
      <w:r>
        <w:rPr>
          <w:rFonts w:hint="eastAsia" w:ascii="Times New Roman" w:hAnsi="Times New Roman" w:eastAsia="宋体"/>
          <w:color w:val="auto"/>
          <w:highlight w:val="none"/>
        </w:rPr>
        <w:t xml:space="preserve">第六部分 </w:t>
      </w:r>
      <w:r>
        <w:rPr>
          <w:rFonts w:ascii="Times New Roman" w:hAnsi="Times New Roman" w:eastAsia="宋体"/>
          <w:color w:val="auto"/>
          <w:highlight w:val="none"/>
        </w:rPr>
        <w:t>合同附件及格式</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329"/>
      <w:bookmarkEnd w:id="1330"/>
      <w:bookmarkEnd w:id="1331"/>
    </w:p>
    <w:p>
      <w:pPr>
        <w:rPr>
          <w:color w:val="auto"/>
          <w:highlight w:val="none"/>
        </w:rPr>
      </w:pPr>
      <w:bookmarkStart w:id="1332" w:name="_Toc22695_WPSOffice_Level2"/>
      <w:bookmarkStart w:id="1333" w:name="_Toc92268648"/>
    </w:p>
    <w:p>
      <w:pPr>
        <w:pStyle w:val="6"/>
        <w:rPr>
          <w:rFonts w:ascii="宋体" w:hAnsi="宋体"/>
          <w:b w:val="0"/>
          <w:color w:val="auto"/>
          <w:highlight w:val="none"/>
        </w:rPr>
      </w:pPr>
      <w:r>
        <w:rPr>
          <w:rFonts w:hint="eastAsia" w:ascii="宋体" w:hAnsi="宋体"/>
          <w:b w:val="0"/>
          <w:color w:val="auto"/>
          <w:highlight w:val="none"/>
        </w:rPr>
        <w:t>1.履约保证金缴纳凭证（履约保函格式附后）</w:t>
      </w:r>
      <w:bookmarkEnd w:id="1332"/>
      <w:bookmarkEnd w:id="1333"/>
    </w:p>
    <w:p>
      <w:pPr>
        <w:pStyle w:val="6"/>
        <w:rPr>
          <w:rFonts w:ascii="宋体" w:hAnsi="宋体"/>
          <w:b w:val="0"/>
          <w:color w:val="auto"/>
          <w:highlight w:val="none"/>
        </w:rPr>
      </w:pPr>
      <w:bookmarkStart w:id="1334" w:name="_Toc92268649"/>
      <w:bookmarkStart w:id="1335" w:name="_Toc25351_WPSOffice_Level2"/>
      <w:r>
        <w:rPr>
          <w:rFonts w:hint="eastAsia" w:ascii="宋体" w:hAnsi="宋体"/>
          <w:b w:val="0"/>
          <w:color w:val="auto"/>
          <w:highlight w:val="none"/>
        </w:rPr>
        <w:t>2.</w:t>
      </w:r>
      <w:bookmarkEnd w:id="1334"/>
      <w:r>
        <w:rPr>
          <w:rFonts w:hint="eastAsia" w:ascii="宋体" w:hAnsi="宋体"/>
          <w:b w:val="0"/>
          <w:color w:val="auto"/>
          <w:highlight w:val="none"/>
        </w:rPr>
        <w:t>乙方营业执照或资质证书等（如有）</w:t>
      </w:r>
      <w:bookmarkEnd w:id="1335"/>
    </w:p>
    <w:p>
      <w:pPr>
        <w:pStyle w:val="6"/>
        <w:rPr>
          <w:rFonts w:ascii="宋体" w:hAnsi="宋体"/>
          <w:b w:val="0"/>
          <w:color w:val="auto"/>
          <w:highlight w:val="none"/>
        </w:rPr>
      </w:pPr>
      <w:bookmarkStart w:id="1336" w:name="_Toc14500_WPSOffice_Level2"/>
      <w:r>
        <w:rPr>
          <w:rFonts w:hint="eastAsia" w:ascii="宋体" w:hAnsi="宋体"/>
          <w:b w:val="0"/>
          <w:color w:val="auto"/>
          <w:highlight w:val="none"/>
        </w:rPr>
        <w:t>3.乙方法人授权委托书（如有）</w:t>
      </w:r>
      <w:bookmarkEnd w:id="1336"/>
    </w:p>
    <w:p>
      <w:pPr>
        <w:pStyle w:val="6"/>
        <w:rPr>
          <w:rFonts w:ascii="宋体" w:hAnsi="宋体"/>
          <w:b w:val="0"/>
          <w:color w:val="auto"/>
          <w:highlight w:val="none"/>
        </w:rPr>
      </w:pPr>
      <w:bookmarkStart w:id="1337" w:name="_Toc7492_WPSOffice_Level2"/>
      <w:r>
        <w:rPr>
          <w:rFonts w:hint="eastAsia" w:ascii="宋体" w:hAnsi="宋体"/>
          <w:b w:val="0"/>
          <w:color w:val="auto"/>
          <w:highlight w:val="none"/>
        </w:rPr>
        <w:t>4.原厂授权证明（如有）</w:t>
      </w:r>
      <w:bookmarkEnd w:id="1337"/>
    </w:p>
    <w:p>
      <w:pPr>
        <w:pStyle w:val="6"/>
        <w:rPr>
          <w:rFonts w:ascii="宋体" w:hAnsi="宋体"/>
          <w:b w:val="0"/>
          <w:color w:val="auto"/>
          <w:highlight w:val="none"/>
        </w:rPr>
      </w:pPr>
      <w:bookmarkStart w:id="1338" w:name="_Toc92268651"/>
      <w:bookmarkStart w:id="1339" w:name="_Toc912_WPSOffice_Level2"/>
      <w:r>
        <w:rPr>
          <w:rFonts w:hint="eastAsia" w:ascii="宋体" w:hAnsi="宋体"/>
          <w:b w:val="0"/>
          <w:color w:val="auto"/>
          <w:highlight w:val="none"/>
        </w:rPr>
        <w:t>5.</w:t>
      </w:r>
      <w:bookmarkEnd w:id="1338"/>
      <w:r>
        <w:rPr>
          <w:rFonts w:hint="eastAsia" w:ascii="宋体" w:hAnsi="宋体"/>
          <w:b w:val="0"/>
          <w:color w:val="auto"/>
          <w:highlight w:val="none"/>
        </w:rPr>
        <w:t>交货通知格式（如有）</w:t>
      </w:r>
      <w:bookmarkEnd w:id="1339"/>
    </w:p>
    <w:p>
      <w:pPr>
        <w:pStyle w:val="6"/>
        <w:rPr>
          <w:rFonts w:ascii="宋体" w:hAnsi="宋体"/>
          <w:b w:val="0"/>
          <w:color w:val="auto"/>
          <w:highlight w:val="none"/>
        </w:rPr>
      </w:pPr>
      <w:bookmarkStart w:id="1340" w:name="_Toc30271_WPSOffice_Level2"/>
      <w:r>
        <w:rPr>
          <w:rFonts w:hint="eastAsia" w:ascii="宋体" w:hAnsi="宋体"/>
          <w:b w:val="0"/>
          <w:color w:val="auto"/>
          <w:highlight w:val="none"/>
        </w:rPr>
        <w:t>6.送货单格式（如有）</w:t>
      </w:r>
      <w:bookmarkEnd w:id="1340"/>
    </w:p>
    <w:p>
      <w:pPr>
        <w:pageBreakBefore/>
        <w:tabs>
          <w:tab w:val="left" w:pos="1134"/>
          <w:tab w:val="left" w:pos="8364"/>
        </w:tabs>
        <w:spacing w:before="0" w:after="0" w:afterAutospacing="0"/>
        <w:ind w:left="0" w:right="-57" w:hanging="11"/>
        <w:outlineLvl w:val="3"/>
        <w:rPr>
          <w:rFonts w:ascii="宋体" w:hAnsi="宋体"/>
          <w:color w:val="auto"/>
          <w:sz w:val="24"/>
          <w:szCs w:val="24"/>
          <w:highlight w:val="none"/>
        </w:rPr>
      </w:pPr>
      <w:bookmarkStart w:id="1341" w:name="_Toc25617_WPSOffice_Level2"/>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bookmarkEnd w:id="1341"/>
    </w:p>
    <w:p>
      <w:pPr>
        <w:spacing w:before="0" w:after="0" w:afterAutospacing="0"/>
        <w:ind w:right="-57" w:firstLine="0"/>
        <w:jc w:val="center"/>
        <w:rPr>
          <w:rFonts w:ascii="宋体" w:hAnsi="宋体"/>
          <w:b/>
          <w:color w:val="auto"/>
          <w:sz w:val="28"/>
          <w:szCs w:val="28"/>
          <w:highlight w:val="none"/>
        </w:rPr>
      </w:pPr>
      <w:bookmarkStart w:id="1342" w:name="_Toc18669_WPSOffice_Level2"/>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bookmarkEnd w:id="1342"/>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全部修复件验收合格之日后四十五（45）天一直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2"/>
        <w:rPr>
          <w:color w:val="auto"/>
          <w:highlight w:val="none"/>
        </w:rPr>
      </w:pPr>
    </w:p>
    <w:p>
      <w:pPr>
        <w:pStyle w:val="2"/>
        <w:rPr>
          <w:color w:val="auto"/>
          <w:highlight w:val="none"/>
        </w:rPr>
      </w:pPr>
    </w:p>
    <w:p>
      <w:pPr>
        <w:ind w:right="-57" w:firstLine="0"/>
        <w:jc w:val="center"/>
        <w:rPr>
          <w:rFonts w:ascii="宋体" w:hAnsi="宋体"/>
          <w:b/>
          <w:color w:val="auto"/>
          <w:sz w:val="24"/>
          <w:szCs w:val="24"/>
          <w:highlight w:val="none"/>
        </w:rPr>
      </w:pPr>
      <w:bookmarkStart w:id="1343" w:name="_Toc20369_WPSOffice_Level2"/>
      <w:r>
        <w:rPr>
          <w:rFonts w:hint="eastAsia" w:ascii="宋体" w:hAnsi="宋体"/>
          <w:b/>
          <w:color w:val="auto"/>
          <w:sz w:val="24"/>
          <w:szCs w:val="24"/>
          <w:highlight w:val="none"/>
        </w:rPr>
        <w:t>承诺函（中标后提供）</w:t>
      </w:r>
      <w:bookmarkEnd w:id="1343"/>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ind w:right="-57" w:firstLine="200"/>
        <w:rPr>
          <w:rFonts w:ascii="宋体" w:hAnsi="宋体"/>
          <w:b/>
          <w:i/>
          <w:color w:val="auto"/>
          <w:highlight w:val="none"/>
        </w:rPr>
      </w:pP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bookmarkStart w:id="1344" w:name="_Toc12677_WPSOffice_Level2"/>
      <w:r>
        <w:rPr>
          <w:rFonts w:hint="eastAsia" w:ascii="宋体" w:hAnsi="宋体"/>
          <w:b/>
          <w:color w:val="auto"/>
          <w:sz w:val="24"/>
          <w:szCs w:val="24"/>
          <w:highlight w:val="none"/>
        </w:rPr>
        <w:t>附件6.5交货通知格式</w:t>
      </w:r>
      <w:bookmarkEnd w:id="1344"/>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2"/>
        <w:spacing w:line="240" w:lineRule="auto"/>
        <w:ind w:leftChars="200" w:right="-28" w:hanging="289" w:hangingChars="144"/>
        <w:jc w:val="center"/>
        <w:rPr>
          <w:rFonts w:hAnsi="宋体"/>
          <w:color w:val="auto"/>
          <w:highlight w:val="none"/>
        </w:rPr>
      </w:pPr>
      <w:r>
        <w:rPr>
          <w:rFonts w:hAnsi="宋体"/>
          <w:b/>
          <w:color w:val="auto"/>
          <w:kern w:val="2"/>
          <w:highlight w:val="none"/>
        </w:rPr>
        <w:t>采购项目 号线 第 批 交货通知</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031"/>
        <w:gridCol w:w="1031"/>
        <w:gridCol w:w="1031"/>
        <w:gridCol w:w="1031"/>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序号</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名称</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品牌或厂家</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型号</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ascii="宋体" w:hAnsi="宋体"/>
                <w:color w:val="auto"/>
                <w:sz w:val="15"/>
                <w:szCs w:val="15"/>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vAlign w:val="center"/>
          </w:tcPr>
          <w:p>
            <w:pPr>
              <w:spacing w:line="240" w:lineRule="auto"/>
              <w:ind w:left="0" w:firstLine="0"/>
              <w:jc w:val="center"/>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0"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31" w:type="dxa"/>
            <w:vAlign w:val="center"/>
          </w:tcPr>
          <w:p>
            <w:pPr>
              <w:spacing w:before="0" w:after="0" w:afterAutospacing="0"/>
              <w:ind w:right="0"/>
              <w:jc w:val="center"/>
              <w:textAlignment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vAlign w:val="center"/>
          </w:tcPr>
          <w:p>
            <w:pPr>
              <w:widowControl w:val="0"/>
              <w:spacing w:before="0" w:after="0" w:afterAutospacing="0"/>
              <w:ind w:right="0"/>
              <w:jc w:val="center"/>
              <w:rPr>
                <w:rFonts w:ascii="宋体" w:hAnsi="宋体" w:cs="Calibri"/>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本通知加盖运营公司</w:t>
      </w:r>
      <w:r>
        <w:rPr>
          <w:rFonts w:hint="eastAsia" w:hAnsi="宋体"/>
          <w:color w:val="auto"/>
          <w:kern w:val="2"/>
          <w:highlight w:val="none"/>
        </w:rPr>
        <w:t>XX</w:t>
      </w:r>
      <w:r>
        <w:rPr>
          <w:rFonts w:hAnsi="宋体"/>
          <w:color w:val="auto"/>
          <w:kern w:val="2"/>
          <w:highlight w:val="none"/>
        </w:rPr>
        <w:t>部公章后有效，送货时携带纸质版一份。</w:t>
      </w:r>
    </w:p>
    <w:p>
      <w:pPr>
        <w:pStyle w:val="2"/>
        <w:spacing w:line="240" w:lineRule="auto"/>
        <w:ind w:left="708" w:leftChars="200" w:right="-28" w:hanging="288" w:hangingChars="144"/>
        <w:outlineLvl w:val="2"/>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南宁轨道交通运营有限公司XX部</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outlineLvl w:val="3"/>
        <w:rPr>
          <w:rFonts w:ascii="宋体" w:hAnsi="宋体"/>
          <w:color w:val="auto"/>
          <w:sz w:val="24"/>
          <w:szCs w:val="24"/>
          <w:highlight w:val="none"/>
        </w:rPr>
      </w:pPr>
      <w:bookmarkStart w:id="1345" w:name="_Toc11378_WPSOffice_Level2"/>
      <w:r>
        <w:rPr>
          <w:rFonts w:hint="eastAsia" w:ascii="宋体" w:hAnsi="宋体"/>
          <w:b/>
          <w:color w:val="auto"/>
          <w:sz w:val="24"/>
          <w:szCs w:val="24"/>
          <w:highlight w:val="none"/>
        </w:rPr>
        <w:t>附件6.6 送货单格式</w:t>
      </w:r>
      <w:bookmarkEnd w:id="1345"/>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2"/>
        <w:spacing w:line="240" w:lineRule="auto"/>
        <w:ind w:left="2526" w:right="-28" w:hanging="6"/>
        <w:jc w:val="center"/>
        <w:rPr>
          <w:rFonts w:hAnsi="宋体"/>
          <w:color w:val="auto"/>
          <w:highlight w:val="none"/>
        </w:rPr>
      </w:pPr>
      <w:r>
        <w:rPr>
          <w:rFonts w:hAnsi="宋体"/>
          <w:b/>
          <w:color w:val="auto"/>
          <w:kern w:val="2"/>
          <w:highlight w:val="none"/>
        </w:rPr>
        <w:t xml:space="preserve"> 采购项目 号线 第  批 送货单</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23"/>
        <w:gridCol w:w="1024"/>
        <w:gridCol w:w="1024"/>
        <w:gridCol w:w="1024"/>
        <w:gridCol w:w="1024"/>
        <w:gridCol w:w="1023"/>
        <w:gridCol w:w="1024"/>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序号</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名称</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品牌或厂家</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型号</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单位</w:t>
            </w:r>
          </w:p>
        </w:tc>
        <w:tc>
          <w:tcPr>
            <w:tcW w:w="1031" w:type="dxa"/>
            <w:vAlign w:val="center"/>
          </w:tcPr>
          <w:p>
            <w:pPr>
              <w:spacing w:before="0" w:after="0" w:afterAutospacing="0" w:line="240" w:lineRule="auto"/>
              <w:ind w:left="0" w:right="0" w:firstLine="0"/>
              <w:jc w:val="center"/>
              <w:textAlignment w:val="center"/>
              <w:rPr>
                <w:rFonts w:ascii="宋体" w:hAnsi="宋体" w:cs="宋体"/>
                <w:color w:val="auto"/>
                <w:highlight w:val="none"/>
              </w:rPr>
            </w:pPr>
            <w:r>
              <w:rPr>
                <w:rFonts w:hint="eastAsia" w:ascii="宋体" w:hAnsi="宋体" w:cs="宋体"/>
                <w:color w:val="auto"/>
                <w:highlight w:val="none"/>
              </w:rPr>
              <w:t>品牌或厂家</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03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c>
          <w:tcPr>
            <w:tcW w:w="1031" w:type="dxa"/>
            <w:vAlign w:val="center"/>
          </w:tcPr>
          <w:p>
            <w:pPr>
              <w:spacing w:before="0" w:after="0" w:afterAutospacing="0" w:line="240" w:lineRule="auto"/>
              <w:ind w:left="0" w:right="0" w:firstLine="0"/>
              <w:jc w:val="center"/>
              <w:textAlignment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30"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2"/>
              <w:spacing w:line="240" w:lineRule="auto"/>
              <w:ind w:right="-28"/>
              <w:rPr>
                <w:rFonts w:hAnsi="宋体"/>
                <w:color w:val="auto"/>
                <w:highlight w:val="none"/>
              </w:rPr>
            </w:pPr>
            <w:r>
              <w:rPr>
                <w:rFonts w:hint="eastAsia" w:hAnsi="宋体"/>
                <w:color w:val="auto"/>
                <w:highlight w:val="none"/>
              </w:rPr>
              <w:t>合计</w:t>
            </w: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c>
          <w:tcPr>
            <w:tcW w:w="103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int="eastAsia" w:hAnsi="宋体" w:cs="Calibri"/>
          <w:color w:val="auto"/>
          <w:kern w:val="2"/>
          <w:highlight w:val="none"/>
        </w:rPr>
        <w:t>“</w:t>
      </w:r>
      <w:r>
        <w:rPr>
          <w:rFonts w:hint="eastAsia" w:hAnsi="宋体"/>
          <w:color w:val="auto"/>
          <w:highlight w:val="none"/>
        </w:rPr>
        <w:t>实收数量</w:t>
      </w:r>
      <w:r>
        <w:rPr>
          <w:rFonts w:hint="eastAsia" w:hAnsi="宋体" w:cs="Calibri"/>
          <w:color w:val="auto"/>
          <w:kern w:val="2"/>
          <w:highlight w:val="none"/>
        </w:rPr>
        <w:t>”</w:t>
      </w:r>
      <w:r>
        <w:rPr>
          <w:rFonts w:hint="eastAsia" w:hAnsi="宋体"/>
          <w:color w:val="auto"/>
          <w:highlight w:val="none"/>
        </w:rPr>
        <w:t>为必填项。</w:t>
      </w:r>
    </w:p>
    <w:p>
      <w:pPr>
        <w:pStyle w:val="2"/>
        <w:spacing w:line="240" w:lineRule="auto"/>
        <w:ind w:left="708" w:leftChars="200" w:right="-28" w:hanging="288" w:hangingChars="144"/>
        <w:outlineLvl w:val="2"/>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2"/>
        <w:spacing w:line="240" w:lineRule="auto"/>
        <w:ind w:left="708" w:leftChars="200" w:right="-28" w:hanging="288" w:hangingChars="144"/>
        <w:rPr>
          <w:rFonts w:hAnsi="宋体"/>
          <w:color w:val="auto"/>
          <w:highlight w:val="none"/>
        </w:rPr>
      </w:pPr>
    </w:p>
    <w:p>
      <w:pPr>
        <w:pStyle w:val="2"/>
        <w:rPr>
          <w:color w:val="auto"/>
          <w:highlight w:val="none"/>
        </w:rPr>
      </w:pPr>
      <w:bookmarkStart w:id="1346" w:name="_Toc24568"/>
      <w:bookmarkStart w:id="1347" w:name="_Toc4568"/>
    </w:p>
    <w:p>
      <w:pPr>
        <w:pStyle w:val="62"/>
        <w:pageBreakBefore/>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348" w:name="_Toc23040"/>
      <w:bookmarkStart w:id="1349" w:name="_Toc780_WPSOffice_Level1"/>
      <w:bookmarkStart w:id="1350" w:name="_Toc24244"/>
      <w:bookmarkStart w:id="1351" w:name="_Toc101965695"/>
      <w:bookmarkStart w:id="1352" w:name="_Toc92268652"/>
      <w:bookmarkStart w:id="1353" w:name="_Toc17903"/>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1348"/>
      <w:bookmarkEnd w:id="1349"/>
      <w:bookmarkEnd w:id="1350"/>
      <w:bookmarkEnd w:id="1351"/>
      <w:bookmarkEnd w:id="1352"/>
      <w:bookmarkEnd w:id="1353"/>
    </w:p>
    <w:p>
      <w:pPr>
        <w:pStyle w:val="6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bookmarkStart w:id="1354" w:name="_Toc3331_WPSOffice_Level2"/>
      <w:r>
        <w:rPr>
          <w:rFonts w:hint="eastAsia" w:ascii="宋体" w:hAnsi="宋体"/>
          <w:b/>
          <w:color w:val="auto"/>
          <w:sz w:val="28"/>
          <w:szCs w:val="28"/>
          <w:highlight w:val="none"/>
        </w:rPr>
        <w:t>（另册）</w:t>
      </w:r>
      <w:bookmarkEnd w:id="1354"/>
    </w:p>
    <w:p>
      <w:pPr>
        <w:pStyle w:val="62"/>
        <w:adjustRightInd/>
        <w:spacing w:before="0" w:after="0" w:line="360" w:lineRule="auto"/>
        <w:ind w:left="0" w:right="0"/>
        <w:rPr>
          <w:rFonts w:ascii="宋体" w:hAnsi="宋体"/>
          <w:color w:val="auto"/>
          <w:sz w:val="21"/>
          <w:szCs w:val="21"/>
          <w:highlight w:val="none"/>
        </w:rPr>
      </w:pPr>
    </w:p>
    <w:p>
      <w:pPr>
        <w:pStyle w:val="62"/>
        <w:pageBreakBefore/>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355" w:name="_Toc92268653"/>
      <w:bookmarkStart w:id="1356" w:name="_Toc101965696"/>
      <w:bookmarkStart w:id="1357" w:name="_Toc9153"/>
      <w:bookmarkStart w:id="1358" w:name="_Toc30391"/>
      <w:bookmarkStart w:id="1359" w:name="_Toc21928"/>
      <w:bookmarkStart w:id="1360" w:name="_Toc3522_WPSOffice_Level1"/>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1355"/>
      <w:bookmarkEnd w:id="1356"/>
      <w:bookmarkEnd w:id="1357"/>
      <w:bookmarkEnd w:id="1358"/>
      <w:bookmarkEnd w:id="1359"/>
      <w:bookmarkEnd w:id="1360"/>
    </w:p>
    <w:p>
      <w:pPr>
        <w:pStyle w:val="62"/>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bookmarkStart w:id="1361" w:name="_Toc8353_WPSOffice_Level2"/>
      <w:r>
        <w:rPr>
          <w:rFonts w:hint="eastAsia" w:ascii="宋体" w:hAnsi="宋体"/>
          <w:b/>
          <w:color w:val="auto"/>
          <w:sz w:val="28"/>
          <w:szCs w:val="28"/>
          <w:highlight w:val="none"/>
        </w:rPr>
        <w:t>（另册）</w:t>
      </w:r>
      <w:bookmarkEnd w:id="1361"/>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pStyle w:val="62"/>
        <w:adjustRightInd/>
        <w:spacing w:before="0" w:after="0" w:line="360" w:lineRule="auto"/>
        <w:ind w:left="0" w:right="0"/>
        <w:rPr>
          <w:rFonts w:ascii="宋体" w:hAnsi="宋体"/>
          <w:color w:val="auto"/>
          <w:sz w:val="21"/>
          <w:szCs w:val="21"/>
          <w:highlight w:val="none"/>
        </w:rPr>
      </w:pPr>
    </w:p>
    <w:p>
      <w:pPr>
        <w:rPr>
          <w:rFonts w:ascii="宋体" w:hAnsi="宋体" w:cs="宋体"/>
          <w:b/>
          <w:color w:val="auto"/>
          <w:highlight w:val="none"/>
        </w:rPr>
      </w:pPr>
      <w:r>
        <w:rPr>
          <w:rFonts w:hint="eastAsia" w:ascii="宋体" w:hAnsi="宋体" w:cs="宋体"/>
          <w:b/>
          <w:color w:val="auto"/>
          <w:highlight w:val="none"/>
        </w:rPr>
        <w:br w:type="page"/>
      </w:r>
    </w:p>
    <w:bookmarkEnd w:id="1346"/>
    <w:bookmarkEnd w:id="1347"/>
    <w:p>
      <w:pPr>
        <w:pStyle w:val="2"/>
        <w:ind w:right="-57" w:firstLine="0"/>
        <w:jc w:val="center"/>
        <w:outlineLvl w:val="0"/>
        <w:rPr>
          <w:rStyle w:val="45"/>
          <w:rFonts w:hAnsi="宋体" w:cs="Times New Roman"/>
          <w:color w:val="auto"/>
          <w:sz w:val="44"/>
          <w:szCs w:val="44"/>
          <w:highlight w:val="none"/>
        </w:rPr>
      </w:pPr>
      <w:bookmarkStart w:id="1362" w:name="_Toc3599_WPSOffice_Level1"/>
      <w:bookmarkStart w:id="1363" w:name="_Toc22009"/>
      <w:bookmarkStart w:id="1364" w:name="_Toc32011"/>
      <w:bookmarkStart w:id="1365" w:name="_Toc29546"/>
      <w:bookmarkStart w:id="1366" w:name="_Toc31873"/>
      <w:bookmarkStart w:id="1367" w:name="_Toc30920"/>
      <w:bookmarkStart w:id="1368" w:name="_Toc17396"/>
      <w:bookmarkStart w:id="1369" w:name="_Toc195_WPSOffice_Level2"/>
      <w:bookmarkStart w:id="1370" w:name="_Toc6151"/>
      <w:bookmarkStart w:id="1371" w:name="_Toc1805"/>
      <w:bookmarkStart w:id="1372" w:name="_Toc22307"/>
      <w:bookmarkStart w:id="1373" w:name="_Toc17261"/>
      <w:bookmarkStart w:id="1374" w:name="_Toc28677"/>
      <w:bookmarkStart w:id="1375" w:name="_Toc15867"/>
      <w:bookmarkStart w:id="1376" w:name="_Toc28285"/>
      <w:bookmarkStart w:id="1377" w:name="_Toc14912"/>
      <w:bookmarkStart w:id="1378" w:name="_Toc31574"/>
      <w:bookmarkStart w:id="1379" w:name="_Toc11580"/>
      <w:bookmarkStart w:id="1380" w:name="_Toc4374"/>
      <w:bookmarkStart w:id="1381" w:name="_Toc27263"/>
      <w:bookmarkStart w:id="1382" w:name="_Toc25306"/>
      <w:bookmarkStart w:id="1383" w:name="_Toc1083_WPSOffice_Level1"/>
      <w:bookmarkStart w:id="1384" w:name="_Toc1020"/>
      <w:bookmarkStart w:id="1385" w:name="_Toc11320"/>
      <w:bookmarkStart w:id="1386" w:name="_Toc13167"/>
      <w:bookmarkStart w:id="1387" w:name="_Toc14790"/>
      <w:bookmarkStart w:id="1388" w:name="_Toc21689"/>
      <w:bookmarkStart w:id="1389" w:name="_Toc25750673"/>
      <w:bookmarkStart w:id="1390" w:name="_Toc61"/>
      <w:bookmarkStart w:id="1391" w:name="_Toc28524"/>
      <w:r>
        <w:rPr>
          <w:rStyle w:val="45"/>
          <w:rFonts w:hint="eastAsia" w:hAnsi="宋体" w:cs="Times New Roman"/>
          <w:color w:val="auto"/>
          <w:sz w:val="44"/>
          <w:szCs w:val="44"/>
          <w:highlight w:val="none"/>
        </w:rPr>
        <w:t>第四章比选申请文件格式</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4"/>
        <w:spacing w:after="100"/>
        <w:ind w:right="-57" w:firstLine="0"/>
        <w:jc w:val="center"/>
        <w:outlineLvl w:val="1"/>
        <w:rPr>
          <w:rFonts w:hint="eastAsia" w:ascii="宋体" w:hAnsi="宋体" w:eastAsia="宋体" w:cs="宋体"/>
          <w:color w:val="auto"/>
          <w:sz w:val="24"/>
          <w:szCs w:val="24"/>
          <w:highlight w:val="none"/>
        </w:rPr>
      </w:pPr>
      <w:bookmarkStart w:id="1392" w:name="_Toc532"/>
      <w:bookmarkStart w:id="1393" w:name="_Toc30271"/>
      <w:bookmarkStart w:id="1394" w:name="_Toc14236"/>
      <w:bookmarkStart w:id="1395" w:name="_Toc14634"/>
      <w:bookmarkStart w:id="1396" w:name="_Toc3967"/>
      <w:bookmarkStart w:id="1397" w:name="_Toc11784_WPSOffice_Level2"/>
      <w:bookmarkStart w:id="1398" w:name="_Toc28430"/>
      <w:bookmarkStart w:id="1399" w:name="_Toc25750674"/>
      <w:bookmarkStart w:id="1400" w:name="_Toc18214_WPSOffice_Level2"/>
      <w:bookmarkStart w:id="1401" w:name="_Toc6405"/>
      <w:bookmarkStart w:id="1402" w:name="_Toc26627"/>
      <w:bookmarkStart w:id="1403" w:name="_Toc16034"/>
      <w:bookmarkStart w:id="1404" w:name="_Toc12983549"/>
      <w:bookmarkStart w:id="1405" w:name="_Toc492478802"/>
      <w:bookmarkStart w:id="1406" w:name="_Toc32185"/>
      <w:bookmarkStart w:id="1407" w:name="_Toc12984805"/>
      <w:bookmarkStart w:id="1408" w:name="_Toc24824"/>
      <w:bookmarkStart w:id="1409" w:name="_Toc25325"/>
      <w:bookmarkStart w:id="1410" w:name="_Toc31535"/>
      <w:bookmarkStart w:id="1411" w:name="_Toc4873"/>
      <w:bookmarkStart w:id="1412" w:name="_Toc19412"/>
      <w:bookmarkStart w:id="1413" w:name="_Toc3396"/>
      <w:bookmarkStart w:id="1414" w:name="_Toc30705"/>
      <w:bookmarkStart w:id="1415" w:name="_Toc6941"/>
      <w:bookmarkStart w:id="1416" w:name="_Toc16671"/>
      <w:bookmarkStart w:id="1417" w:name="_Toc4027"/>
      <w:bookmarkStart w:id="1418" w:name="_Toc414290520"/>
      <w:bookmarkStart w:id="1419" w:name="_Toc31624"/>
      <w:bookmarkStart w:id="1420" w:name="_Toc21274"/>
      <w:bookmarkStart w:id="1421" w:name="_Toc23261"/>
      <w:bookmarkStart w:id="1422" w:name="_Toc22709"/>
      <w:bookmarkStart w:id="1423" w:name="_Toc24453"/>
      <w:bookmarkStart w:id="1424" w:name="_Toc361"/>
      <w:r>
        <w:rPr>
          <w:rFonts w:hint="eastAsia" w:ascii="宋体" w:hAnsi="宋体" w:eastAsia="宋体" w:cs="宋体"/>
          <w:color w:val="auto"/>
          <w:sz w:val="24"/>
          <w:szCs w:val="24"/>
          <w:highlight w:val="none"/>
        </w:rPr>
        <w:t>A 资格审查文件</w:t>
      </w:r>
      <w:bookmarkEnd w:id="1392"/>
      <w:bookmarkEnd w:id="1393"/>
      <w:bookmarkEnd w:id="1394"/>
      <w:bookmarkEnd w:id="1395"/>
      <w:bookmarkEnd w:id="1396"/>
      <w:bookmarkEnd w:id="1397"/>
      <w:bookmarkEnd w:id="1398"/>
      <w:bookmarkEnd w:id="1399"/>
      <w:bookmarkEnd w:id="1400"/>
      <w:bookmarkEnd w:id="1401"/>
      <w:bookmarkEnd w:id="1402"/>
      <w:bookmarkEnd w:id="1403"/>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）类似项目业绩表（A</w:t>
      </w:r>
      <w:r>
        <w:rPr>
          <w:rFonts w:hint="eastAsia" w:hAnsi="宋体"/>
          <w:color w:val="auto"/>
          <w:highlight w:val="none"/>
          <w:lang w:val="en-US" w:eastAsia="zh-CN"/>
        </w:rPr>
        <w:t>4</w:t>
      </w:r>
      <w:r>
        <w:rPr>
          <w:rFonts w:hint="eastAsia"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）比选申请人认为应提交的其他比选申请资料。</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spacing w:before="0" w:after="0" w:afterAutospacing="0"/>
        <w:ind w:left="0" w:right="0" w:firstLine="420" w:firstLineChars="200"/>
        <w:rPr>
          <w:rFonts w:hAnsi="宋体"/>
          <w:color w:val="auto"/>
          <w:highlight w:val="none"/>
        </w:rPr>
        <w:sectPr>
          <w:footerReference r:id="rId8" w:type="default"/>
          <w:pgSz w:w="11905" w:h="16838"/>
          <w:pgMar w:top="1417" w:right="1417" w:bottom="1417" w:left="1417" w:header="454" w:footer="567" w:gutter="0"/>
          <w:pgBorders>
            <w:top w:val="none" w:sz="0" w:space="0"/>
            <w:left w:val="none" w:sz="0" w:space="0"/>
            <w:bottom w:val="none" w:sz="0" w:space="0"/>
            <w:right w:val="none" w:sz="0" w:space="0"/>
          </w:pgBorders>
          <w:pgNumType w:fmt="decimal" w:start="1"/>
          <w:cols w:space="720" w:num="1"/>
          <w:docGrid w:linePitch="312" w:charSpace="0"/>
        </w:sectPr>
      </w:pPr>
    </w:p>
    <w:p>
      <w:pPr>
        <w:numPr>
          <w:ilvl w:val="1"/>
          <w:numId w:val="16"/>
        </w:numPr>
        <w:snapToGrid w:val="0"/>
        <w:spacing w:before="0" w:line="240" w:lineRule="auto"/>
        <w:ind w:right="0" w:firstLine="0"/>
        <w:jc w:val="left"/>
        <w:outlineLvl w:val="0"/>
        <w:rPr>
          <w:rFonts w:ascii="宋体" w:hAnsi="宋体"/>
          <w:b/>
          <w:color w:val="auto"/>
          <w:highlight w:val="none"/>
        </w:rPr>
      </w:pPr>
      <w:bookmarkStart w:id="1425" w:name="_Toc16089"/>
      <w:bookmarkStart w:id="1426" w:name="_Toc1663"/>
      <w:bookmarkStart w:id="1427" w:name="_Toc10238"/>
      <w:bookmarkStart w:id="1428" w:name="_Toc10789"/>
      <w:bookmarkStart w:id="1429" w:name="_Toc9940"/>
      <w:bookmarkStart w:id="1430" w:name="_Toc13389"/>
      <w:bookmarkStart w:id="1431" w:name="_Toc7057"/>
      <w:bookmarkStart w:id="1432" w:name="_Toc24436"/>
      <w:bookmarkStart w:id="1433" w:name="_Toc26959"/>
      <w:bookmarkStart w:id="1434" w:name="_Toc17004"/>
      <w:bookmarkStart w:id="1435" w:name="_Toc20671"/>
      <w:bookmarkStart w:id="1436" w:name="_Toc956"/>
      <w:bookmarkStart w:id="1437" w:name="_Toc8868"/>
      <w:bookmarkStart w:id="1438" w:name="_Toc10433"/>
      <w:bookmarkStart w:id="1439" w:name="_Toc12984807"/>
      <w:bookmarkStart w:id="1440" w:name="_Toc8627"/>
      <w:bookmarkStart w:id="1441" w:name="_Toc9658"/>
      <w:bookmarkStart w:id="1442" w:name="_Toc7718"/>
      <w:bookmarkStart w:id="1443" w:name="_Toc13727"/>
      <w:bookmarkStart w:id="1444" w:name="_Toc16196"/>
      <w:bookmarkStart w:id="1445" w:name="_Toc17079"/>
      <w:bookmarkStart w:id="1446" w:name="_Toc414290522"/>
      <w:bookmarkStart w:id="1447" w:name="_Toc22533"/>
      <w:bookmarkStart w:id="1448" w:name="_Toc4125"/>
      <w:bookmarkStart w:id="1449" w:name="_Toc21031"/>
      <w:bookmarkStart w:id="1450" w:name="_Toc492478804"/>
      <w:bookmarkStart w:id="1451" w:name="_Toc630"/>
      <w:bookmarkStart w:id="1452" w:name="_Toc20029"/>
      <w:bookmarkStart w:id="1453" w:name="_Toc15696"/>
      <w:bookmarkStart w:id="1454" w:name="_Toc32455"/>
      <w:bookmarkStart w:id="1455" w:name="_Toc20283"/>
      <w:bookmarkStart w:id="1456" w:name="_Toc25750675"/>
      <w:bookmarkStart w:id="1457" w:name="_Toc3499"/>
      <w:bookmarkStart w:id="1458" w:name="_Toc375564351"/>
      <w:r>
        <w:rPr>
          <w:rFonts w:ascii="宋体" w:hAnsi="宋体"/>
          <w:b/>
          <w:color w:val="auto"/>
          <w:highlight w:val="none"/>
        </w:rPr>
        <w:t>法定代表人授权书格式</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hint="eastAsia" w:ascii="宋体" w:hAnsi="宋体"/>
          <w:color w:val="auto"/>
          <w:highlight w:val="none"/>
        </w:rPr>
        <w:t>（</w:t>
      </w:r>
      <w:r>
        <w:rPr>
          <w:rFonts w:ascii="宋体" w:hAnsi="宋体"/>
          <w:color w:val="auto"/>
          <w:highlight w:val="none"/>
          <w:u w:val="single"/>
        </w:rPr>
        <w:t>国家或地区</w:t>
      </w:r>
      <w:r>
        <w:rPr>
          <w:rFonts w:hint="eastAsia" w:ascii="宋体" w:hAnsi="宋体"/>
          <w:color w:val="auto"/>
          <w:highlight w:val="none"/>
          <w:u w:val="single"/>
        </w:rPr>
        <w:t>）</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u w:val="single"/>
        </w:rPr>
        <w:t xml:space="preserve"> </w:t>
      </w:r>
      <w:r>
        <w:rPr>
          <w:rFonts w:hint="eastAsia" w:ascii="宋体" w:hAnsi="宋体"/>
          <w:color w:val="auto"/>
          <w:highlight w:val="none"/>
          <w:u w:val="single"/>
          <w:lang w:eastAsia="zh-CN"/>
        </w:rPr>
        <w:t>202309210001</w:t>
      </w:r>
      <w:r>
        <w:rPr>
          <w:rFonts w:hint="eastAsia" w:ascii="宋体" w:hAnsi="宋体"/>
          <w:color w:val="auto"/>
          <w:highlight w:val="none"/>
          <w:u w:val="single"/>
        </w:rPr>
        <w:t xml:space="preserve"> </w:t>
      </w:r>
      <w:r>
        <w:rPr>
          <w:rFonts w:ascii="宋体" w:hAnsi="宋体"/>
          <w:color w:val="auto"/>
          <w:highlight w:val="none"/>
        </w:rPr>
        <w:t>的</w:t>
      </w:r>
      <w:r>
        <w:rPr>
          <w:rFonts w:hint="eastAsia" w:ascii="宋体" w:hAnsi="宋体"/>
          <w:color w:val="auto"/>
          <w:highlight w:val="none"/>
          <w:u w:val="single"/>
          <w:lang w:eastAsia="zh-CN"/>
        </w:rPr>
        <w:t>南宁轨道交通1、2、3、4号线专用通信、AFC系统故障件维修委外服务项目（2024-2026年）</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color w:val="auto"/>
          <w:highlight w:val="none"/>
          <w:u w:val="single"/>
        </w:rPr>
      </w:pPr>
      <w:r>
        <w:rPr>
          <w:rFonts w:hint="eastAsia" w:ascii="宋体" w:hAnsi="宋体"/>
          <w:b/>
          <w:color w:val="auto"/>
          <w:highlight w:val="none"/>
        </w:rPr>
        <w:t>附：授权代理人身份证复印件</w:t>
      </w:r>
    </w:p>
    <w:p>
      <w:pPr>
        <w:numPr>
          <w:ilvl w:val="1"/>
          <w:numId w:val="16"/>
        </w:numPr>
        <w:snapToGrid w:val="0"/>
        <w:spacing w:before="0" w:line="240" w:lineRule="auto"/>
        <w:ind w:right="0" w:firstLine="0"/>
        <w:jc w:val="left"/>
        <w:outlineLvl w:val="0"/>
        <w:rPr>
          <w:rFonts w:ascii="宋体" w:hAnsi="宋体"/>
          <w:b/>
          <w:color w:val="auto"/>
          <w:highlight w:val="none"/>
        </w:rPr>
      </w:pPr>
      <w:bookmarkStart w:id="1459" w:name="_Toc9073"/>
      <w:bookmarkStart w:id="1460" w:name="_Toc19744"/>
      <w:bookmarkStart w:id="1461" w:name="_Toc17617"/>
      <w:bookmarkStart w:id="1462" w:name="_Toc13798"/>
      <w:bookmarkStart w:id="1463" w:name="_Toc13634"/>
      <w:bookmarkStart w:id="1464" w:name="_Toc523"/>
      <w:bookmarkStart w:id="1465" w:name="_Toc7273"/>
      <w:bookmarkStart w:id="1466" w:name="_Toc7753"/>
      <w:bookmarkStart w:id="1467" w:name="_Toc22287"/>
      <w:bookmarkStart w:id="1468" w:name="_Toc25303"/>
      <w:bookmarkStart w:id="1469" w:name="_Toc15572"/>
      <w:bookmarkStart w:id="1470" w:name="_Toc17964"/>
      <w:bookmarkStart w:id="1471" w:name="_Toc5977"/>
      <w:bookmarkStart w:id="1472" w:name="_Toc15141"/>
      <w:bookmarkStart w:id="1473" w:name="_Toc414290523"/>
      <w:bookmarkStart w:id="1474" w:name="_Toc9757"/>
      <w:bookmarkStart w:id="1475" w:name="_Toc21045"/>
      <w:bookmarkStart w:id="1476" w:name="_Toc15980"/>
      <w:bookmarkStart w:id="1477" w:name="_Toc26713"/>
      <w:bookmarkStart w:id="1478" w:name="_Toc27657"/>
      <w:bookmarkStart w:id="1479" w:name="_Toc13606"/>
      <w:bookmarkStart w:id="1480" w:name="_Toc29463"/>
      <w:bookmarkStart w:id="1481" w:name="_Toc20436"/>
      <w:bookmarkStart w:id="1482" w:name="_Toc492478805"/>
      <w:bookmarkStart w:id="1483" w:name="_Toc24322"/>
      <w:bookmarkStart w:id="1484" w:name="_Toc9583"/>
      <w:bookmarkStart w:id="1485" w:name="_Toc8654"/>
      <w:bookmarkStart w:id="1486" w:name="_Toc19065"/>
      <w:bookmarkStart w:id="1487" w:name="_Toc31808"/>
      <w:bookmarkStart w:id="1488" w:name="_Toc27722"/>
      <w:bookmarkStart w:id="1489" w:name="_Toc12984808"/>
      <w:bookmarkStart w:id="1490" w:name="_Toc25750676"/>
      <w:bookmarkStart w:id="1491" w:name="_Toc26449"/>
      <w:bookmarkStart w:id="1492" w:name="_Toc375564352"/>
      <w:r>
        <w:rPr>
          <w:rFonts w:ascii="宋体" w:hAnsi="宋体"/>
          <w:b/>
          <w:color w:val="auto"/>
          <w:highlight w:val="none"/>
        </w:rPr>
        <w:t>法定代表人资格证明书格式</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493" w:name="_Toc12984809"/>
      <w:r>
        <w:rPr>
          <w:rFonts w:hint="eastAsia" w:ascii="宋体" w:hAnsi="宋体"/>
          <w:b/>
          <w:color w:val="auto"/>
          <w:highlight w:val="none"/>
        </w:rPr>
        <w:t>附：法人身份证复印件</w:t>
      </w:r>
    </w:p>
    <w:p>
      <w:pPr>
        <w:pageBreakBefore/>
        <w:snapToGrid w:val="0"/>
        <w:spacing w:before="0" w:after="0" w:afterAutospacing="0" w:line="240" w:lineRule="auto"/>
        <w:ind w:right="0" w:firstLine="0"/>
        <w:jc w:val="left"/>
        <w:outlineLvl w:val="0"/>
        <w:rPr>
          <w:rFonts w:ascii="宋体" w:hAnsi="宋体"/>
          <w:b/>
          <w:color w:val="auto"/>
          <w:highlight w:val="none"/>
        </w:rPr>
      </w:pPr>
      <w:bookmarkStart w:id="1494" w:name="_Toc4803"/>
      <w:bookmarkStart w:id="1495" w:name="_Toc16996"/>
      <w:bookmarkStart w:id="1496" w:name="_Toc13331"/>
      <w:bookmarkStart w:id="1497" w:name="_Toc26097"/>
      <w:bookmarkStart w:id="1498" w:name="_Toc3426"/>
      <w:bookmarkStart w:id="1499" w:name="_Toc26907"/>
      <w:bookmarkStart w:id="1500" w:name="_Toc15394"/>
      <w:bookmarkStart w:id="1501" w:name="_Toc31448"/>
      <w:bookmarkStart w:id="1502" w:name="_Toc29326"/>
      <w:bookmarkStart w:id="1503" w:name="_Toc4894"/>
      <w:bookmarkStart w:id="1504" w:name="_Toc17745"/>
      <w:bookmarkStart w:id="1505" w:name="_Toc1932"/>
      <w:bookmarkStart w:id="1506" w:name="_Toc414290524"/>
      <w:bookmarkStart w:id="1507" w:name="_Toc24848"/>
      <w:bookmarkStart w:id="1508" w:name="_Toc23489"/>
      <w:bookmarkStart w:id="1509" w:name="_Toc19870"/>
      <w:bookmarkStart w:id="1510" w:name="_Toc11425"/>
      <w:bookmarkStart w:id="1511" w:name="_Toc492478806"/>
      <w:bookmarkStart w:id="1512" w:name="_Toc15609"/>
      <w:bookmarkStart w:id="1513" w:name="_Toc19721"/>
      <w:bookmarkStart w:id="1514" w:name="_Toc32062"/>
      <w:bookmarkStart w:id="1515" w:name="_Toc21307"/>
      <w:bookmarkStart w:id="1516" w:name="_Toc20754"/>
      <w:bookmarkStart w:id="1517" w:name="_Toc10356"/>
      <w:bookmarkStart w:id="1518" w:name="_Toc8301"/>
      <w:bookmarkStart w:id="1519" w:name="_Toc29246"/>
      <w:bookmarkStart w:id="1520" w:name="_Toc375564353"/>
      <w:bookmarkStart w:id="1521" w:name="_Toc16467"/>
      <w:bookmarkStart w:id="1522" w:name="_Toc744"/>
      <w:bookmarkStart w:id="1523" w:name="_Toc5248"/>
      <w:bookmarkStart w:id="1524" w:name="_Toc7712"/>
      <w:bookmarkStart w:id="1525" w:name="_Toc6033"/>
      <w:bookmarkStart w:id="1526" w:name="_Toc25750677"/>
      <w:r>
        <w:rPr>
          <w:rFonts w:hint="eastAsia" w:ascii="宋体" w:hAnsi="宋体"/>
          <w:b/>
          <w:color w:val="auto"/>
          <w:highlight w:val="none"/>
        </w:rPr>
        <w:t>A3</w:t>
      </w:r>
      <w:r>
        <w:rPr>
          <w:rFonts w:ascii="宋体" w:hAnsi="宋体"/>
          <w:b/>
          <w:color w:val="auto"/>
          <w:highlight w:val="none"/>
        </w:rPr>
        <w:t>承诺书格式</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spacing w:before="0" w:after="240" w:line="40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w:t>
      </w:r>
      <w:r>
        <w:rPr>
          <w:rFonts w:hint="eastAsia" w:ascii="宋体" w:hAnsi="宋体"/>
          <w:color w:val="auto"/>
          <w:highlight w:val="none"/>
          <w:u w:val="single"/>
          <w:lang w:eastAsia="zh-CN"/>
        </w:rPr>
        <w:t>南宁轨道交通1、2、3、4号线专用通信、AFC系统故障件维修委外服务项目（2024-2026年）</w:t>
      </w:r>
      <w:r>
        <w:rPr>
          <w:rFonts w:hint="eastAsia" w:ascii="宋体" w:hAnsi="宋体"/>
          <w:color w:val="auto"/>
          <w:highlight w:val="none"/>
        </w:rPr>
        <w:t>比选文件</w:t>
      </w:r>
      <w:r>
        <w:rPr>
          <w:rFonts w:ascii="宋体" w:hAnsi="宋体"/>
          <w:color w:val="auto"/>
          <w:highlight w:val="none"/>
        </w:rPr>
        <w:t>后，我方经慎重考虑，郑重承诺参加</w:t>
      </w:r>
      <w:r>
        <w:rPr>
          <w:rFonts w:hint="eastAsia" w:ascii="宋体" w:hAnsi="宋体"/>
          <w:color w:val="auto"/>
          <w:highlight w:val="none"/>
          <w:u w:val="single"/>
          <w:lang w:eastAsia="zh-CN"/>
        </w:rPr>
        <w:t>南宁轨道交通1、2、3、4号线专用通信、AFC系统故障件维修委外服务项目（2024-2026年）</w:t>
      </w:r>
      <w:r>
        <w:rPr>
          <w:rFonts w:hint="eastAsia" w:ascii="宋体" w:hAnsi="宋体"/>
          <w:color w:val="auto"/>
          <w:highlight w:val="none"/>
        </w:rPr>
        <w:t>的招比选申请</w:t>
      </w:r>
      <w:r>
        <w:rPr>
          <w:rFonts w:ascii="宋体" w:hAnsi="宋体"/>
          <w:color w:val="auto"/>
          <w:highlight w:val="none"/>
        </w:rPr>
        <w:t>活动。</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r>
        <w:rPr>
          <w:rFonts w:ascii="宋体" w:hAnsi="宋体"/>
          <w:b/>
          <w:color w:val="auto"/>
          <w:spacing w:val="1"/>
          <w:position w:val="-2"/>
          <w:highlight w:val="none"/>
        </w:rPr>
        <w:t>我</w:t>
      </w:r>
      <w:r>
        <w:rPr>
          <w:rFonts w:hint="eastAsia" w:ascii="宋体" w:hAnsi="宋体"/>
          <w:b/>
          <w:color w:val="auto"/>
          <w:spacing w:val="1"/>
          <w:position w:val="-2"/>
          <w:highlight w:val="none"/>
        </w:rPr>
        <w:t>方</w:t>
      </w:r>
      <w:r>
        <w:rPr>
          <w:rFonts w:ascii="宋体" w:hAnsi="宋体"/>
          <w:b/>
          <w:color w:val="auto"/>
          <w:spacing w:val="1"/>
          <w:position w:val="-2"/>
          <w:highlight w:val="none"/>
        </w:rPr>
        <w:t>与其他</w:t>
      </w:r>
      <w:r>
        <w:rPr>
          <w:rFonts w:hint="eastAsia" w:ascii="宋体" w:hAnsi="宋体"/>
          <w:b/>
          <w:color w:val="auto"/>
          <w:spacing w:val="1"/>
          <w:position w:val="-2"/>
          <w:highlight w:val="none"/>
        </w:rPr>
        <w:t>比选申请</w:t>
      </w:r>
      <w:r>
        <w:rPr>
          <w:rFonts w:ascii="宋体" w:hAnsi="宋体"/>
          <w:b/>
          <w:color w:val="auto"/>
          <w:spacing w:val="1"/>
          <w:position w:val="-2"/>
          <w:highlight w:val="none"/>
        </w:rPr>
        <w:t>人之间不存在单位负责人为同一人或者控股、管理关系的情况</w:t>
      </w:r>
      <w:r>
        <w:rPr>
          <w:rFonts w:hint="eastAsia" w:ascii="宋体" w:hAnsi="宋体"/>
          <w:b/>
          <w:color w:val="auto"/>
          <w:spacing w:val="1"/>
          <w:position w:val="-2"/>
          <w:highlight w:val="none"/>
        </w:rPr>
        <w:t>；</w:t>
      </w:r>
      <w:r>
        <w:rPr>
          <w:rFonts w:hint="eastAsia"/>
          <w:b/>
          <w:color w:val="auto"/>
          <w:spacing w:val="1"/>
          <w:position w:val="-2"/>
          <w:highlight w:val="none"/>
        </w:rPr>
        <w:t>我方未列入比选人不良信用名单。</w:t>
      </w:r>
    </w:p>
    <w:p>
      <w:pPr>
        <w:spacing w:before="0" w:after="0" w:afterAutospacing="0" w:line="400" w:lineRule="exact"/>
        <w:ind w:left="0" w:right="0" w:firstLine="420" w:firstLineChars="200"/>
        <w:jc w:val="left"/>
        <w:rPr>
          <w:rFonts w:ascii="宋体" w:hAnsi="宋体"/>
          <w:color w:val="auto"/>
          <w:highlight w:val="none"/>
        </w:rPr>
      </w:pPr>
      <w:r>
        <w:rPr>
          <w:rFonts w:hint="eastAsia" w:ascii="宋体" w:hAnsi="宋体"/>
          <w:bCs/>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outlineLvl w:val="1"/>
        <w:rPr>
          <w:rFonts w:hint="eastAsia" w:ascii="宋体" w:hAnsi="宋体"/>
          <w:b/>
          <w:color w:val="auto"/>
          <w:highlight w:val="none"/>
        </w:rPr>
      </w:pPr>
      <w:r>
        <w:rPr>
          <w:rFonts w:hint="eastAsia" w:ascii="宋体" w:hAnsi="宋体"/>
          <w:b/>
          <w:color w:val="auto"/>
          <w:highlight w:val="none"/>
        </w:rPr>
        <w:t>9、我单位未被列入比选人不良信用名单。</w:t>
      </w:r>
    </w:p>
    <w:p>
      <w:pPr>
        <w:spacing w:before="0" w:after="0" w:afterAutospacing="0" w:line="400" w:lineRule="exact"/>
        <w:ind w:left="0" w:right="0" w:firstLine="420" w:firstLineChars="200"/>
        <w:rPr>
          <w:rFonts w:hint="eastAsia" w:ascii="宋体" w:hAnsi="宋体" w:cs="Times New Roman"/>
          <w:color w:val="auto"/>
          <w:sz w:val="21"/>
          <w:szCs w:val="21"/>
          <w:highlight w:val="none"/>
        </w:rPr>
      </w:pPr>
      <w:r>
        <w:rPr>
          <w:rFonts w:hint="eastAsia" w:ascii="宋体" w:hAnsi="宋体" w:cs="Times New Roman"/>
          <w:color w:val="auto"/>
          <w:sz w:val="21"/>
          <w:szCs w:val="21"/>
          <w:highlight w:val="none"/>
        </w:rPr>
        <w:t>10、我方承诺：比选人送修的故障件</w:t>
      </w:r>
      <w:r>
        <w:rPr>
          <w:rFonts w:hint="eastAsia" w:ascii="宋体" w:hAnsi="宋体" w:cs="Times New Roman"/>
          <w:color w:val="auto"/>
          <w:sz w:val="21"/>
          <w:szCs w:val="21"/>
          <w:highlight w:val="none"/>
          <w:lang w:val="en-US" w:eastAsia="zh-CN"/>
        </w:rPr>
        <w:t>30个工作日内</w:t>
      </w:r>
      <w:r>
        <w:rPr>
          <w:rFonts w:hint="eastAsia" w:ascii="宋体" w:hAnsi="宋体" w:cs="Times New Roman"/>
          <w:color w:val="auto"/>
          <w:sz w:val="21"/>
          <w:szCs w:val="21"/>
          <w:highlight w:val="none"/>
        </w:rPr>
        <w:t>修复率</w:t>
      </w:r>
      <w:r>
        <w:rPr>
          <w:rFonts w:hint="eastAsia" w:ascii="宋体" w:hAnsi="宋体" w:eastAsia="宋体" w:cs="Times New Roman"/>
          <w:color w:val="auto"/>
          <w:sz w:val="21"/>
          <w:szCs w:val="21"/>
          <w:highlight w:val="none"/>
        </w:rPr>
        <w:t>不低于送修的故</w:t>
      </w:r>
      <w:r>
        <w:rPr>
          <w:rFonts w:hint="eastAsia" w:ascii="宋体" w:hAnsi="宋体" w:cs="Times New Roman"/>
          <w:color w:val="auto"/>
          <w:sz w:val="21"/>
          <w:szCs w:val="21"/>
          <w:highlight w:val="none"/>
          <w:lang w:val="en-US" w:eastAsia="zh-CN"/>
        </w:rPr>
        <w:t>障</w:t>
      </w:r>
      <w:r>
        <w:rPr>
          <w:rFonts w:hint="eastAsia" w:ascii="宋体" w:hAnsi="宋体" w:eastAsia="宋体" w:cs="Times New Roman"/>
          <w:color w:val="auto"/>
          <w:sz w:val="21"/>
          <w:szCs w:val="21"/>
          <w:highlight w:val="none"/>
        </w:rPr>
        <w:t>件总数量</w:t>
      </w:r>
      <w:r>
        <w:rPr>
          <w:rFonts w:hint="eastAsia" w:ascii="宋体" w:hAnsi="宋体" w:cs="Times New Roman"/>
          <w:color w:val="auto"/>
          <w:sz w:val="21"/>
          <w:szCs w:val="21"/>
          <w:highlight w:val="none"/>
        </w:rPr>
        <w:t>的</w:t>
      </w:r>
      <w:r>
        <w:rPr>
          <w:rFonts w:hint="eastAsia" w:ascii="宋体" w:hAnsi="宋体" w:cs="Times New Roman"/>
          <w:color w:val="auto"/>
          <w:sz w:val="21"/>
          <w:szCs w:val="21"/>
          <w:highlight w:val="none"/>
          <w:lang w:val="en-US" w:eastAsia="zh-CN"/>
        </w:rPr>
        <w:t>90</w:t>
      </w:r>
      <w:r>
        <w:rPr>
          <w:rFonts w:hint="eastAsia" w:ascii="宋体" w:hAnsi="宋体" w:cs="Times New Roman"/>
          <w:color w:val="auto"/>
          <w:sz w:val="21"/>
          <w:szCs w:val="21"/>
          <w:highlight w:val="none"/>
        </w:rPr>
        <w:t xml:space="preserve"> %。</w:t>
      </w:r>
    </w:p>
    <w:p>
      <w:pPr>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hint="eastAsia" w:ascii="宋体" w:hAnsi="宋体" w:cs="Arial"/>
          <w:color w:val="auto"/>
          <w:highlight w:val="none"/>
          <w:u w:val="single"/>
        </w:rPr>
        <w:t>（填写）</w:t>
      </w:r>
      <w:r>
        <w:rPr>
          <w:rFonts w:hint="eastAsia" w:ascii="宋体" w:hAnsi="宋体"/>
          <w:color w:val="auto"/>
          <w:highlight w:val="none"/>
          <w:u w:val="single"/>
        </w:rPr>
        <w:t>（盖单位公章）</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日期：年月日</w:t>
      </w:r>
    </w:p>
    <w:p>
      <w:pPr>
        <w:pageBreakBefore/>
        <w:snapToGrid w:val="0"/>
        <w:ind w:right="0" w:firstLine="0"/>
        <w:jc w:val="left"/>
        <w:outlineLvl w:val="0"/>
        <w:rPr>
          <w:rFonts w:ascii="宋体" w:hAnsi="宋体"/>
          <w:b/>
          <w:color w:val="auto"/>
          <w:highlight w:val="none"/>
        </w:rPr>
      </w:pPr>
      <w:bookmarkStart w:id="1527" w:name="_Toc31334"/>
      <w:bookmarkStart w:id="1528" w:name="_Toc22546"/>
      <w:bookmarkStart w:id="1529" w:name="_Toc4490"/>
      <w:bookmarkStart w:id="1530" w:name="_Toc13082"/>
      <w:bookmarkStart w:id="1531" w:name="_Toc17380"/>
      <w:bookmarkStart w:id="1532" w:name="_Toc24820"/>
      <w:bookmarkStart w:id="1533" w:name="_Toc15811"/>
      <w:bookmarkStart w:id="1534" w:name="_Toc12664"/>
      <w:bookmarkStart w:id="1535" w:name="_Toc8673"/>
      <w:bookmarkStart w:id="1536" w:name="_Toc7574"/>
      <w:bookmarkStart w:id="1537" w:name="_Toc25750678"/>
      <w:bookmarkStart w:id="1538" w:name="_Toc10123"/>
      <w:r>
        <w:rPr>
          <w:rFonts w:ascii="宋体" w:hAnsi="宋体"/>
          <w:b/>
          <w:color w:val="auto"/>
          <w:highlight w:val="none"/>
        </w:rPr>
        <w:t>A</w:t>
      </w:r>
      <w:r>
        <w:rPr>
          <w:rFonts w:hint="eastAsia" w:ascii="宋体" w:hAnsi="宋体"/>
          <w:b/>
          <w:color w:val="auto"/>
          <w:highlight w:val="none"/>
          <w:lang w:val="en-US" w:eastAsia="zh-CN"/>
        </w:rPr>
        <w:t>4</w:t>
      </w:r>
      <w:r>
        <w:rPr>
          <w:rFonts w:hint="eastAsia" w:ascii="宋体" w:hAnsi="宋体"/>
          <w:b/>
          <w:color w:val="auto"/>
          <w:highlight w:val="none"/>
        </w:rPr>
        <w:t>类似项目</w:t>
      </w:r>
      <w:r>
        <w:rPr>
          <w:rFonts w:ascii="宋体" w:hAnsi="宋体"/>
          <w:b/>
          <w:color w:val="auto"/>
          <w:highlight w:val="none"/>
        </w:rPr>
        <w:t>业绩表格式</w:t>
      </w:r>
      <w:bookmarkEnd w:id="1527"/>
      <w:bookmarkEnd w:id="1528"/>
      <w:bookmarkEnd w:id="1529"/>
      <w:bookmarkEnd w:id="1530"/>
      <w:bookmarkEnd w:id="1531"/>
      <w:bookmarkEnd w:id="1532"/>
      <w:bookmarkEnd w:id="1533"/>
      <w:bookmarkEnd w:id="1534"/>
      <w:bookmarkEnd w:id="1535"/>
      <w:bookmarkEnd w:id="1536"/>
      <w:bookmarkEnd w:id="1537"/>
      <w:bookmarkEnd w:id="1538"/>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31"/>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9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w:t>
            </w:r>
          </w:p>
          <w:p>
            <w:pPr>
              <w:ind w:left="0" w:firstLine="0"/>
              <w:jc w:val="center"/>
              <w:rPr>
                <w:rFonts w:ascii="宋体" w:hAnsi="宋体"/>
                <w:color w:val="auto"/>
                <w:highlight w:val="none"/>
              </w:rPr>
            </w:pPr>
            <w:r>
              <w:rPr>
                <w:rFonts w:hint="eastAsia" w:ascii="宋体" w:hAnsi="宋体"/>
                <w:color w:val="auto"/>
                <w:highlight w:val="none"/>
              </w:rPr>
              <w:t>金额</w:t>
            </w:r>
          </w:p>
        </w:tc>
        <w:tc>
          <w:tcPr>
            <w:tcW w:w="99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w:t>
            </w:r>
          </w:p>
          <w:p>
            <w:pPr>
              <w:ind w:left="0" w:firstLine="0"/>
              <w:jc w:val="center"/>
              <w:rPr>
                <w:rFonts w:ascii="宋体" w:hAnsi="宋体"/>
                <w:color w:val="auto"/>
                <w:highlight w:val="none"/>
              </w:rPr>
            </w:pPr>
            <w:r>
              <w:rPr>
                <w:rFonts w:hint="eastAsia" w:ascii="宋体" w:hAnsi="宋体"/>
                <w:color w:val="auto"/>
                <w:highlight w:val="none"/>
              </w:rPr>
              <w:t>时间</w:t>
            </w:r>
          </w:p>
        </w:tc>
        <w:tc>
          <w:tcPr>
            <w:tcW w:w="1388"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w:t>
            </w:r>
            <w:r>
              <w:rPr>
                <w:rFonts w:hint="eastAsia"/>
                <w:color w:val="auto"/>
                <w:highlight w:val="none"/>
              </w:rPr>
              <w:t>工期或服务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992" w:type="dxa"/>
          </w:tcPr>
          <w:p>
            <w:pPr>
              <w:ind w:left="0" w:firstLine="0"/>
              <w:rPr>
                <w:rFonts w:ascii="宋体" w:hAnsi="宋体"/>
                <w:color w:val="auto"/>
                <w:highlight w:val="none"/>
              </w:rPr>
            </w:pPr>
          </w:p>
        </w:tc>
        <w:tc>
          <w:tcPr>
            <w:tcW w:w="993" w:type="dxa"/>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类似项目业绩：比选申请人自2019年11月 1日至截标时间前至少具有1项已完成的类似业绩，类似业绩是指合同金额不低于20万的轨道交通通信或自动售检故障件维修项目，业绩证明材料须能反映类似业绩项目特征，否则不予认可（业绩证明材料为合同，业绩证明材料中须体现出合同双方、合同签订时间、合同服务、合同金额等内容。）。</w:t>
      </w:r>
    </w:p>
    <w:p>
      <w:pPr>
        <w:spacing w:before="0" w:after="0" w:afterAutospacing="0"/>
        <w:ind w:left="0" w:right="0" w:firstLine="0"/>
        <w:outlineLvl w:val="1"/>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pStyle w:val="4"/>
        <w:pageBreakBefore/>
        <w:spacing w:after="100"/>
        <w:ind w:right="-57" w:firstLine="0"/>
        <w:jc w:val="center"/>
        <w:outlineLvl w:val="2"/>
        <w:rPr>
          <w:rFonts w:ascii="宋体" w:hAnsi="宋体"/>
          <w:color w:val="auto"/>
          <w:sz w:val="24"/>
          <w:szCs w:val="24"/>
          <w:highlight w:val="none"/>
        </w:rPr>
      </w:pPr>
      <w:bookmarkStart w:id="1539" w:name="_Toc16190"/>
      <w:bookmarkStart w:id="1540" w:name="_Toc13328"/>
      <w:bookmarkStart w:id="1541" w:name="_Toc28662"/>
      <w:bookmarkStart w:id="1542" w:name="_Toc29358"/>
      <w:bookmarkStart w:id="1543" w:name="_Toc492478807"/>
      <w:bookmarkStart w:id="1544" w:name="_Toc10812"/>
      <w:bookmarkStart w:id="1545" w:name="_Toc8874"/>
      <w:bookmarkStart w:id="1546" w:name="_Toc8914"/>
      <w:bookmarkStart w:id="1547" w:name="_Toc17687"/>
      <w:bookmarkStart w:id="1548" w:name="_Toc12984811"/>
      <w:bookmarkStart w:id="1549" w:name="_Toc8451"/>
      <w:bookmarkStart w:id="1550" w:name="_Toc24971"/>
      <w:bookmarkStart w:id="1551" w:name="_Toc12677"/>
      <w:bookmarkStart w:id="1552" w:name="_Toc23770"/>
      <w:bookmarkStart w:id="1553" w:name="_Toc14988"/>
      <w:bookmarkStart w:id="1554" w:name="_Toc12983551"/>
      <w:bookmarkStart w:id="1555" w:name="_Toc14586"/>
      <w:bookmarkStart w:id="1556" w:name="_Toc414290525"/>
      <w:bookmarkStart w:id="1557" w:name="_Toc18876"/>
      <w:bookmarkStart w:id="1558" w:name="_Toc16676"/>
      <w:bookmarkStart w:id="1559" w:name="_Toc27820"/>
      <w:bookmarkStart w:id="1560" w:name="_Toc11582"/>
      <w:bookmarkStart w:id="1561" w:name="_Toc6272"/>
      <w:bookmarkStart w:id="1562" w:name="_Toc20031"/>
      <w:bookmarkStart w:id="1563" w:name="_Toc25750679"/>
      <w:bookmarkStart w:id="1564" w:name="_Toc29739"/>
      <w:bookmarkStart w:id="1565" w:name="_Toc26807_WPSOffice_Level2"/>
      <w:bookmarkStart w:id="1566" w:name="_Toc3340"/>
      <w:bookmarkStart w:id="1567" w:name="_Toc28563"/>
      <w:bookmarkStart w:id="1568" w:name="_Toc20612_WPSOffice_Level2"/>
      <w:bookmarkStart w:id="1569" w:name="_Toc20770"/>
      <w:bookmarkStart w:id="1570" w:name="_Toc2424"/>
      <w:bookmarkStart w:id="1571" w:name="_Toc11760"/>
      <w:r>
        <w:rPr>
          <w:rFonts w:hint="eastAsia" w:ascii="宋体" w:hAnsi="宋体"/>
          <w:color w:val="auto"/>
          <w:sz w:val="24"/>
          <w:szCs w:val="24"/>
          <w:highlight w:val="none"/>
          <w:lang w:val="en-US" w:eastAsia="zh-CN"/>
        </w:rPr>
        <w:t>B</w:t>
      </w:r>
      <w:r>
        <w:rPr>
          <w:rFonts w:ascii="宋体" w:hAnsi="宋体"/>
          <w:color w:val="auto"/>
          <w:sz w:val="24"/>
          <w:szCs w:val="24"/>
          <w:highlight w:val="none"/>
        </w:rPr>
        <w:t>技术文件</w:t>
      </w:r>
      <w:bookmarkEnd w:id="1539"/>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numPr>
          <w:ilvl w:val="0"/>
          <w:numId w:val="17"/>
        </w:numPr>
        <w:bidi w:val="0"/>
        <w:rPr>
          <w:color w:val="auto"/>
          <w:highlight w:val="none"/>
        </w:rPr>
      </w:pPr>
      <w:r>
        <w:rPr>
          <w:rFonts w:hint="eastAsia"/>
          <w:color w:val="auto"/>
          <w:highlight w:val="none"/>
        </w:rPr>
        <w:t>技术响应表（格式见</w:t>
      </w:r>
      <w:r>
        <w:rPr>
          <w:rFonts w:hint="eastAsia"/>
          <w:color w:val="auto"/>
          <w:highlight w:val="none"/>
          <w:lang w:val="en-US" w:eastAsia="zh-CN"/>
        </w:rPr>
        <w:t>B</w:t>
      </w:r>
      <w:r>
        <w:rPr>
          <w:rFonts w:hint="eastAsia"/>
          <w:color w:val="auto"/>
          <w:highlight w:val="none"/>
        </w:rPr>
        <w:t>1）；</w:t>
      </w:r>
    </w:p>
    <w:p>
      <w:pPr>
        <w:numPr>
          <w:ilvl w:val="0"/>
          <w:numId w:val="17"/>
        </w:numPr>
        <w:bidi w:val="0"/>
        <w:rPr>
          <w:color w:val="auto"/>
          <w:highlight w:val="none"/>
        </w:rPr>
      </w:pPr>
      <w:r>
        <w:rPr>
          <w:rFonts w:hint="eastAsia"/>
          <w:color w:val="auto"/>
          <w:highlight w:val="none"/>
        </w:rPr>
        <w:t>按期完成承诺书（格式见</w:t>
      </w:r>
      <w:r>
        <w:rPr>
          <w:rFonts w:hint="eastAsia"/>
          <w:color w:val="auto"/>
          <w:highlight w:val="none"/>
          <w:lang w:val="en-US" w:eastAsia="zh-CN"/>
        </w:rPr>
        <w:t>B</w:t>
      </w:r>
      <w:r>
        <w:rPr>
          <w:rFonts w:hint="eastAsia"/>
          <w:color w:val="auto"/>
          <w:highlight w:val="none"/>
        </w:rPr>
        <w:t>2）；</w:t>
      </w:r>
    </w:p>
    <w:p>
      <w:pPr>
        <w:numPr>
          <w:ilvl w:val="0"/>
          <w:numId w:val="17"/>
        </w:numPr>
        <w:bidi w:val="0"/>
        <w:rPr>
          <w:color w:val="auto"/>
          <w:highlight w:val="none"/>
        </w:rPr>
      </w:pPr>
      <w:r>
        <w:rPr>
          <w:rFonts w:hint="eastAsia"/>
          <w:color w:val="auto"/>
          <w:highlight w:val="none"/>
        </w:rPr>
        <w:t>售后服务承诺书（格式见</w:t>
      </w:r>
      <w:r>
        <w:rPr>
          <w:rFonts w:hint="eastAsia"/>
          <w:color w:val="auto"/>
          <w:highlight w:val="none"/>
          <w:lang w:val="en-US" w:eastAsia="zh-CN"/>
        </w:rPr>
        <w:t>B</w:t>
      </w:r>
      <w:r>
        <w:rPr>
          <w:rFonts w:hint="eastAsia"/>
          <w:color w:val="auto"/>
          <w:highlight w:val="none"/>
        </w:rPr>
        <w:t>3）；</w:t>
      </w:r>
    </w:p>
    <w:p>
      <w:pPr>
        <w:numPr>
          <w:ilvl w:val="0"/>
          <w:numId w:val="17"/>
        </w:numPr>
        <w:bidi w:val="0"/>
        <w:rPr>
          <w:color w:val="auto"/>
          <w:highlight w:val="none"/>
        </w:rPr>
      </w:pPr>
      <w:r>
        <w:rPr>
          <w:rFonts w:hint="eastAsia"/>
          <w:color w:val="auto"/>
          <w:highlight w:val="none"/>
        </w:rPr>
        <w:t>商务响应表（格式见</w:t>
      </w:r>
      <w:r>
        <w:rPr>
          <w:rFonts w:hint="eastAsia"/>
          <w:color w:val="auto"/>
          <w:highlight w:val="none"/>
          <w:lang w:val="en-US" w:eastAsia="zh-CN"/>
        </w:rPr>
        <w:t>B</w:t>
      </w:r>
      <w:r>
        <w:rPr>
          <w:rFonts w:hint="eastAsia"/>
          <w:color w:val="auto"/>
          <w:highlight w:val="none"/>
        </w:rPr>
        <w:t>4）；</w:t>
      </w:r>
    </w:p>
    <w:p>
      <w:pPr>
        <w:numPr>
          <w:ilvl w:val="0"/>
          <w:numId w:val="17"/>
        </w:numPr>
        <w:bidi w:val="0"/>
        <w:rPr>
          <w:color w:val="auto"/>
          <w:highlight w:val="none"/>
        </w:rPr>
      </w:pPr>
      <w:r>
        <w:rPr>
          <w:rFonts w:hint="eastAsia"/>
          <w:color w:val="auto"/>
          <w:highlight w:val="none"/>
        </w:rPr>
        <w:t>质量控制文件(如有，格式自拟 ) ；</w:t>
      </w:r>
    </w:p>
    <w:p>
      <w:pPr>
        <w:numPr>
          <w:ilvl w:val="0"/>
          <w:numId w:val="17"/>
        </w:numPr>
        <w:bidi w:val="0"/>
        <w:rPr>
          <w:color w:val="auto"/>
          <w:highlight w:val="none"/>
        </w:rPr>
      </w:pPr>
      <w:r>
        <w:rPr>
          <w:rFonts w:hint="eastAsia"/>
          <w:color w:val="auto"/>
          <w:highlight w:val="none"/>
        </w:rPr>
        <w:t>质量检验承诺(如有，格式自拟 )；</w:t>
      </w:r>
    </w:p>
    <w:p>
      <w:pPr>
        <w:numPr>
          <w:ilvl w:val="0"/>
          <w:numId w:val="17"/>
        </w:numPr>
        <w:bidi w:val="0"/>
        <w:rPr>
          <w:color w:val="auto"/>
          <w:highlight w:val="none"/>
        </w:rPr>
      </w:pPr>
      <w:r>
        <w:rPr>
          <w:rFonts w:hint="eastAsia"/>
          <w:color w:val="auto"/>
          <w:highlight w:val="none"/>
        </w:rPr>
        <w:t>售后服务承诺(如有，格式自拟 )；</w:t>
      </w:r>
    </w:p>
    <w:p>
      <w:pPr>
        <w:numPr>
          <w:ilvl w:val="0"/>
          <w:numId w:val="17"/>
        </w:numPr>
        <w:bidi w:val="0"/>
        <w:rPr>
          <w:color w:val="auto"/>
          <w:highlight w:val="none"/>
        </w:rPr>
      </w:pPr>
      <w:r>
        <w:rPr>
          <w:rFonts w:hint="eastAsia"/>
          <w:color w:val="auto"/>
          <w:highlight w:val="none"/>
        </w:rPr>
        <w:t>比选申请人认为应提交的其他比选申请资料（如有）。</w:t>
      </w:r>
      <w:r>
        <w:rPr>
          <w:rFonts w:hint="eastAsia"/>
          <w:color w:val="auto"/>
          <w:highlight w:val="none"/>
        </w:rPr>
        <w:br w:type="page"/>
      </w:r>
    </w:p>
    <w:p>
      <w:pPr>
        <w:spacing w:before="0" w:after="0" w:afterAutospacing="0"/>
        <w:ind w:left="0" w:right="0" w:firstLine="315" w:firstLineChars="150"/>
        <w:rPr>
          <w:color w:val="auto"/>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572" w:name="_Toc10624"/>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 xml:space="preserve">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572"/>
    </w:p>
    <w:p>
      <w:pPr>
        <w:widowControl w:val="0"/>
        <w:spacing w:beforeLines="100" w:afterLines="100"/>
        <w:ind w:right="-57" w:rightChars="-27"/>
        <w:jc w:val="center"/>
        <w:rPr>
          <w:rFonts w:hAnsi="宋体"/>
          <w:bCs/>
          <w:color w:val="auto"/>
          <w:kern w:val="2"/>
          <w:sz w:val="28"/>
          <w:szCs w:val="28"/>
          <w:highlight w:val="none"/>
        </w:rPr>
      </w:pPr>
      <w:r>
        <w:rPr>
          <w:rFonts w:hint="eastAsia" w:hAnsi="宋体"/>
          <w:b/>
          <w:color w:val="auto"/>
          <w:kern w:val="2"/>
          <w:sz w:val="32"/>
          <w:szCs w:val="32"/>
          <w:highlight w:val="none"/>
        </w:rPr>
        <w:t>技术响应表</w:t>
      </w:r>
      <w:r>
        <w:rPr>
          <w:rFonts w:hint="eastAsia" w:hAnsi="宋体"/>
          <w:bCs/>
          <w:color w:val="auto"/>
          <w:kern w:val="2"/>
          <w:sz w:val="28"/>
          <w:szCs w:val="28"/>
          <w:highlight w:val="none"/>
        </w:rPr>
        <w:t>（不论有无偏离，均须逐项填写偏离情况）</w:t>
      </w:r>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p>
    <w:tbl>
      <w:tblPr>
        <w:tblStyle w:val="3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1"/>
        <w:gridCol w:w="1492"/>
        <w:gridCol w:w="3900"/>
        <w:gridCol w:w="1290"/>
        <w:gridCol w:w="96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ind w:left="0" w:right="-28" w:firstLine="0"/>
              <w:jc w:val="center"/>
              <w:rPr>
                <w:rFonts w:ascii="宋体" w:hAnsi="宋体"/>
                <w:color w:val="auto"/>
                <w:highlight w:val="none"/>
              </w:rPr>
            </w:pPr>
            <w:r>
              <w:rPr>
                <w:rFonts w:hint="eastAsia" w:ascii="宋体" w:hAnsi="宋体"/>
                <w:color w:val="auto"/>
                <w:highlight w:val="none"/>
              </w:rPr>
              <w:t>序号</w:t>
            </w:r>
          </w:p>
        </w:tc>
        <w:tc>
          <w:tcPr>
            <w:tcW w:w="1492"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用户需求书条目号</w:t>
            </w:r>
          </w:p>
        </w:tc>
        <w:tc>
          <w:tcPr>
            <w:tcW w:w="3900"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比选申请文件响应</w:t>
            </w:r>
          </w:p>
        </w:tc>
        <w:tc>
          <w:tcPr>
            <w:tcW w:w="968"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偏离</w:t>
            </w:r>
          </w:p>
        </w:tc>
        <w:tc>
          <w:tcPr>
            <w:tcW w:w="689" w:type="dxa"/>
            <w:tcBorders>
              <w:top w:val="single" w:color="auto" w:sz="4" w:space="0"/>
              <w:left w:val="single" w:color="auto" w:sz="4" w:space="0"/>
              <w:bottom w:val="single" w:color="auto" w:sz="4" w:space="0"/>
              <w:right w:val="single" w:color="auto" w:sz="4" w:space="0"/>
            </w:tcBorders>
            <w:vAlign w:val="center"/>
          </w:tcPr>
          <w:p>
            <w:pPr>
              <w:ind w:left="0" w:right="-28" w:firstLine="0"/>
              <w:jc w:val="center"/>
              <w:rPr>
                <w:color w:val="auto"/>
                <w:highlight w:val="none"/>
              </w:rPr>
            </w:pPr>
            <w:r>
              <w:rPr>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ind w:left="709" w:leftChars="0" w:right="-27" w:rightChars="0" w:hanging="709"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highlight w:val="none"/>
                <w:lang w:val="en-US" w:eastAsia="zh-CN"/>
              </w:rPr>
              <w:t>1</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3.2计划服务期</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本项目计划服务期为2年（自合同签订之日起开始计算24个月）</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ind w:left="709" w:leftChars="0" w:right="-27" w:rightChars="0" w:hanging="709" w:firstLineChars="0"/>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kern w:val="2"/>
                <w:highlight w:val="none"/>
              </w:rPr>
              <w:t>2</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3.2.2质保期</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修复件的质保期为一年，质保期自双方签字验收之日起计算，每件返修件单独计算质保期。若返修件质保期内发生故障，则由乙方免费修复后重新计算质保期</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ind w:left="709" w:leftChars="0" w:right="-27" w:rightChars="0" w:hanging="709" w:firstLineChars="0"/>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kern w:val="2"/>
                <w:highlight w:val="none"/>
              </w:rPr>
              <w:t>3</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4.2 乙方人员要求</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ind w:left="709" w:leftChars="0" w:right="-27" w:rightChars="0" w:hanging="709" w:firstLineChars="0"/>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kern w:val="2"/>
                <w:highlight w:val="none"/>
              </w:rPr>
              <w:t>4</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5.1 维修要求</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ind w:left="709" w:leftChars="0" w:right="-27" w:rightChars="0" w:hanging="709" w:firstLineChars="0"/>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kern w:val="2"/>
                <w:highlight w:val="none"/>
              </w:rPr>
              <w:t>5</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5.2 维修标准</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240" w:lineRule="auto"/>
              <w:ind w:left="709" w:leftChars="0" w:right="-27" w:rightChars="0" w:hanging="709"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highlight w:val="none"/>
              </w:rPr>
              <w:t>6</w:t>
            </w:r>
          </w:p>
        </w:tc>
        <w:tc>
          <w:tcPr>
            <w:tcW w:w="149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color w:val="auto"/>
                <w:highlight w:val="none"/>
              </w:rPr>
              <w:t>5.3 质量要求</w:t>
            </w:r>
          </w:p>
        </w:tc>
        <w:tc>
          <w:tcPr>
            <w:tcW w:w="390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r>
              <w:rPr>
                <w:rFonts w:hint="eastAsia"/>
                <w:color w:val="auto"/>
                <w:highlight w:val="none"/>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96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color w:val="auto"/>
                <w:highlight w:val="none"/>
              </w:rPr>
            </w:pPr>
          </w:p>
        </w:tc>
        <w:tc>
          <w:tcPr>
            <w:tcW w:w="689"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color w:val="auto"/>
                <w:kern w:val="2"/>
                <w:highlight w:val="none"/>
              </w:rPr>
            </w:pPr>
            <w:r>
              <w:rPr>
                <w:rFonts w:hint="eastAsia" w:cs="Arial"/>
                <w:color w:val="auto"/>
                <w:highlight w:val="none"/>
              </w:rPr>
              <w:t>我方确认：除了表中所列的条款外，我方的比选申请函将依从比选文件对于技术的全部要求和规定。</w:t>
            </w:r>
          </w:p>
        </w:tc>
      </w:tr>
    </w:tbl>
    <w:p>
      <w:pPr>
        <w:spacing w:before="0" w:after="0" w:afterAutospacing="0"/>
        <w:ind w:right="0"/>
        <w:rPr>
          <w:rFonts w:ascii="宋体" w:hAnsi="宋体"/>
          <w:color w:val="auto"/>
          <w:highlight w:val="none"/>
          <w:u w:val="singl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pStyle w:val="40"/>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rPr>
        <w:t>.对完全响应的条目在本表“偏离情况”列中选注“完全响应”。对有偏离的条目在本表“偏离情况”列中选注“正偏离”或“负偏离”，并对“正偏离”或“负偏离”加以说明。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outlineLvl w:val="1"/>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5"/>
        <w:tabs>
          <w:tab w:val="left" w:pos="567"/>
          <w:tab w:val="left" w:pos="720"/>
        </w:tabs>
        <w:snapToGrid w:val="0"/>
        <w:spacing w:after="100" w:line="360" w:lineRule="auto"/>
        <w:ind w:right="-57" w:firstLine="0"/>
        <w:jc w:val="left"/>
        <w:outlineLvl w:val="2"/>
        <w:rPr>
          <w:rFonts w:ascii="宋体" w:hAnsi="宋体" w:eastAsia="宋体"/>
          <w:color w:val="auto"/>
          <w:sz w:val="21"/>
          <w:szCs w:val="21"/>
          <w:highlight w:val="none"/>
        </w:rPr>
      </w:pPr>
      <w:bookmarkStart w:id="1573" w:name="_Toc23614"/>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2</w:t>
      </w:r>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bookmarkEnd w:id="1573"/>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right="-57" w:rightChars="-27" w:firstLine="420" w:firstLineChars="200"/>
        <w:rPr>
          <w:color w:val="auto"/>
          <w:sz w:val="22"/>
          <w:szCs w:val="3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color w:val="auto"/>
          <w:highlight w:val="none"/>
          <w:u w:val="single"/>
          <w:lang w:eastAsia="zh-CN"/>
        </w:rPr>
        <w:t>南宁轨道交通1、2、3、4号线专用通信、AFC系统故障件维修委外服务项目（2024-2026年）</w:t>
      </w:r>
      <w:r>
        <w:rPr>
          <w:rFonts w:hAnsi="宋体"/>
          <w:color w:val="auto"/>
          <w:kern w:val="2"/>
          <w:highlight w:val="none"/>
        </w:rPr>
        <w:t>（项目</w:t>
      </w:r>
      <w:r>
        <w:rPr>
          <w:rFonts w:hint="eastAsia" w:ascii="宋体" w:hAnsi="宋体" w:eastAsia="宋体" w:cs="宋体"/>
          <w:color w:val="auto"/>
          <w:kern w:val="2"/>
          <w:highlight w:val="none"/>
        </w:rPr>
        <w:t>编号</w:t>
      </w:r>
      <w:r>
        <w:rPr>
          <w:rFonts w:hint="eastAsia" w:ascii="宋体" w:hAnsi="宋体" w:eastAsia="宋体" w:cs="宋体"/>
          <w:color w:val="auto"/>
          <w:kern w:val="2"/>
          <w:highlight w:val="none"/>
          <w:u w:val="single"/>
        </w:rPr>
        <w:t xml:space="preserve"> </w:t>
      </w:r>
      <w:r>
        <w:rPr>
          <w:rFonts w:hint="eastAsia" w:ascii="宋体" w:hAnsi="宋体" w:eastAsia="宋体" w:cs="宋体"/>
          <w:color w:val="auto"/>
          <w:kern w:val="2"/>
          <w:highlight w:val="none"/>
          <w:u w:val="single"/>
          <w:lang w:eastAsia="zh-CN"/>
        </w:rPr>
        <w:t>202309210001</w:t>
      </w:r>
      <w:r>
        <w:rPr>
          <w:rFonts w:hint="eastAsia" w:ascii="宋体" w:hAnsi="宋体" w:eastAsia="宋体" w:cs="宋体"/>
          <w:color w:val="auto"/>
          <w:kern w:val="2"/>
          <w:highlight w:val="none"/>
          <w:u w:val="single"/>
        </w:rPr>
        <w:t xml:space="preserve"> </w:t>
      </w:r>
      <w:r>
        <w:rPr>
          <w:rFonts w:hint="eastAsia" w:ascii="宋体" w:hAnsi="宋体" w:eastAsia="宋体" w:cs="宋体"/>
          <w:color w:val="auto"/>
          <w:kern w:val="2"/>
          <w:highlight w:val="none"/>
        </w:rPr>
        <w:t>）的比选。我公司在此承诺：我方保证严格按比选文件和比选人的规定，满</w:t>
      </w:r>
      <w:r>
        <w:rPr>
          <w:rFonts w:hAnsi="宋体"/>
          <w:color w:val="auto"/>
          <w:kern w:val="2"/>
          <w:highlight w:val="none"/>
        </w:rPr>
        <w:t>足规定的</w:t>
      </w:r>
      <w:r>
        <w:rPr>
          <w:rFonts w:hint="eastAsia" w:hAnsi="宋体"/>
          <w:color w:val="auto"/>
          <w:kern w:val="2"/>
          <w:highlight w:val="none"/>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w:t>
      </w:r>
      <w:r>
        <w:rPr>
          <w:rFonts w:hint="eastAsia"/>
          <w:color w:val="auto"/>
          <w:sz w:val="22"/>
          <w:szCs w:val="32"/>
          <w:highlight w:val="none"/>
          <w:lang w:val="en-US" w:eastAsia="zh-CN"/>
        </w:rPr>
        <w:t>接受扣除</w:t>
      </w:r>
      <w:r>
        <w:rPr>
          <w:rFonts w:hint="eastAsia"/>
          <w:color w:val="auto"/>
          <w:sz w:val="22"/>
          <w:szCs w:val="32"/>
          <w:highlight w:val="none"/>
        </w:rPr>
        <w:t>未完成修复的故障件合同维修总金额的10%</w:t>
      </w:r>
      <w:r>
        <w:rPr>
          <w:rFonts w:hint="eastAsia"/>
          <w:color w:val="auto"/>
          <w:sz w:val="22"/>
          <w:szCs w:val="32"/>
          <w:highlight w:val="none"/>
          <w:lang w:val="en-US" w:eastAsia="zh-CN"/>
        </w:rPr>
        <w:t>的违约金，</w:t>
      </w:r>
      <w:r>
        <w:rPr>
          <w:rFonts w:hint="eastAsia"/>
          <w:color w:val="auto"/>
          <w:sz w:val="22"/>
          <w:szCs w:val="32"/>
          <w:highlight w:val="none"/>
        </w:rPr>
        <w:t>且本故障件不予计算维修费用</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   年  月  日</w:t>
      </w:r>
    </w:p>
    <w:p>
      <w:pPr>
        <w:pStyle w:val="5"/>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574" w:name="_Toc7209"/>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3售后服务承诺书</w:t>
      </w:r>
      <w:bookmarkEnd w:id="1574"/>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南宁轨道交通运营有限公司：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40"/>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1.我方</w:t>
      </w:r>
      <w:r>
        <w:rPr>
          <w:rFonts w:ascii="宋体" w:hAnsi="宋体" w:cstheme="minorBidi"/>
          <w:color w:val="auto"/>
          <w:highlight w:val="none"/>
        </w:rPr>
        <w:t>知悉，本次</w:t>
      </w:r>
      <w:r>
        <w:rPr>
          <w:rFonts w:hint="eastAsia" w:ascii="宋体" w:hAnsi="宋体" w:cstheme="minorBidi"/>
          <w:color w:val="auto"/>
          <w:highlight w:val="none"/>
        </w:rPr>
        <w:t>各故障件的数量为贵方</w:t>
      </w:r>
      <w:r>
        <w:rPr>
          <w:rFonts w:ascii="宋体" w:hAnsi="宋体" w:cstheme="minorBidi"/>
          <w:color w:val="auto"/>
          <w:highlight w:val="none"/>
        </w:rPr>
        <w:t>的</w:t>
      </w:r>
      <w:r>
        <w:rPr>
          <w:rFonts w:hint="eastAsia" w:ascii="宋体" w:hAnsi="宋体" w:cstheme="minorBidi"/>
          <w:color w:val="auto"/>
          <w:highlight w:val="none"/>
        </w:rPr>
        <w:t>预计维修数量，如有调整以贵方发出的交货通知为准。贵方可以根据实际使用情况及需求变更情况对未修复故障件数量进行部分或全部调整，包括增加或减少，不论实际数量大于或低于预计数量，均按照成交单价执行。</w:t>
      </w:r>
    </w:p>
    <w:p>
      <w:pPr>
        <w:pStyle w:val="40"/>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2.质保期内修复件出现故障我公司承诺在7天内再次修复。质保期内的修复件再次维修均为免费保修，修复后质保期重新计算。</w:t>
      </w:r>
    </w:p>
    <w:p>
      <w:pPr>
        <w:pStyle w:val="40"/>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若我方因自身原因导致修复件的质量不能达到用户需求书中的技术要求，如经我方两次返修，修复件仍不能达到合同约定的质量标准，甲方有权不支付该修复件的维修费，我方应退还所该修复件的全部维修费用。</w:t>
      </w:r>
    </w:p>
    <w:p>
      <w:pPr>
        <w:pStyle w:val="40"/>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40"/>
        <w:widowControl w:val="0"/>
        <w:spacing w:before="0" w:after="0" w:afterAutospacing="0"/>
        <w:ind w:left="0" w:right="0" w:firstLine="420" w:firstLineChars="200"/>
        <w:rPr>
          <w:rFonts w:ascii="宋体" w:hAnsi="宋体" w:cstheme="minorBidi"/>
          <w:color w:val="auto"/>
          <w:highlight w:val="none"/>
        </w:rPr>
      </w:pPr>
    </w:p>
    <w:p>
      <w:pPr>
        <w:pStyle w:val="40"/>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联系人：</w:t>
      </w:r>
    </w:p>
    <w:p>
      <w:pPr>
        <w:pStyle w:val="40"/>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联系方式：</w:t>
      </w:r>
    </w:p>
    <w:p>
      <w:pPr>
        <w:pStyle w:val="40"/>
        <w:widowControl w:val="0"/>
        <w:spacing w:before="0" w:after="0" w:afterAutospacing="0"/>
        <w:ind w:left="480" w:right="0" w:firstLine="4200" w:firstLineChars="2000"/>
        <w:rPr>
          <w:rFonts w:ascii="宋体" w:hAnsi="宋体" w:cstheme="minorBidi"/>
          <w:color w:val="auto"/>
          <w:highlight w:val="none"/>
        </w:rPr>
      </w:pPr>
      <w:r>
        <w:rPr>
          <w:rFonts w:hint="eastAsia" w:ascii="宋体" w:hAnsi="宋体" w:cstheme="minorBidi"/>
          <w:color w:val="auto"/>
          <w:highlight w:val="none"/>
        </w:rPr>
        <w:t>身份证号：</w:t>
      </w: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u w:val="single"/>
        </w:rPr>
        <w:t>）</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theme="minorBidi"/>
          <w:color w:val="auto"/>
          <w:highlight w:val="none"/>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575" w:name="_Toc3557"/>
      <w:r>
        <w:rPr>
          <w:rFonts w:hint="eastAsia" w:ascii="宋体" w:hAnsi="宋体" w:eastAsia="宋体"/>
          <w:color w:val="auto"/>
          <w:sz w:val="21"/>
          <w:szCs w:val="21"/>
          <w:highlight w:val="none"/>
          <w:lang w:val="en-US" w:eastAsia="zh-CN"/>
        </w:rPr>
        <w:t>B</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575"/>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left="0" w:right="-57" w:firstLine="420" w:firstLineChars="200"/>
        <w:jc w:val="left"/>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lang w:eastAsia="zh-CN"/>
        </w:rPr>
        <w:t>南宁轨道交通1、2、3、4号线专用通信、AFC系统故障件维修委外服务项目（2024-2026年）</w:t>
      </w:r>
    </w:p>
    <w:tbl>
      <w:tblPr>
        <w:tblStyle w:val="31"/>
        <w:tblW w:w="852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36"/>
        <w:gridCol w:w="2680"/>
        <w:gridCol w:w="2170"/>
        <w:gridCol w:w="1659"/>
        <w:gridCol w:w="12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日期：年月日</w:t>
      </w:r>
      <w:r>
        <w:rPr>
          <w:rFonts w:hint="eastAsia" w:ascii="宋体" w:hAnsi="宋体"/>
          <w:color w:val="auto"/>
          <w:highlight w:val="none"/>
        </w:rPr>
        <w:br w:type="page"/>
      </w:r>
    </w:p>
    <w:p>
      <w:pPr>
        <w:pStyle w:val="4"/>
        <w:pageBreakBefore/>
        <w:spacing w:after="100"/>
        <w:ind w:left="0" w:right="-57" w:firstLine="0"/>
        <w:jc w:val="center"/>
        <w:rPr>
          <w:rFonts w:ascii="宋体" w:hAnsi="宋体"/>
          <w:color w:val="auto"/>
          <w:sz w:val="24"/>
          <w:szCs w:val="24"/>
          <w:highlight w:val="none"/>
        </w:rPr>
      </w:pPr>
      <w:bookmarkStart w:id="1576" w:name="_Toc13927"/>
      <w:r>
        <w:rPr>
          <w:rFonts w:hint="eastAsia" w:ascii="宋体" w:hAnsi="宋体"/>
          <w:color w:val="auto"/>
          <w:sz w:val="24"/>
          <w:szCs w:val="24"/>
          <w:highlight w:val="none"/>
          <w:lang w:val="en-US" w:eastAsia="zh-CN"/>
        </w:rPr>
        <w:t>C</w:t>
      </w:r>
      <w:r>
        <w:rPr>
          <w:rFonts w:ascii="宋体" w:hAnsi="宋体"/>
          <w:color w:val="auto"/>
          <w:sz w:val="24"/>
          <w:szCs w:val="24"/>
          <w:highlight w:val="none"/>
        </w:rPr>
        <w:t xml:space="preserve"> </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Fonts w:hint="eastAsia" w:ascii="宋体" w:hAnsi="宋体"/>
          <w:color w:val="auto"/>
          <w:sz w:val="24"/>
          <w:szCs w:val="24"/>
          <w:highlight w:val="none"/>
        </w:rPr>
        <w:t>价格文件</w:t>
      </w:r>
      <w:bookmarkEnd w:id="1561"/>
      <w:bookmarkEnd w:id="1562"/>
      <w:bookmarkEnd w:id="1563"/>
      <w:bookmarkEnd w:id="1564"/>
      <w:bookmarkEnd w:id="1565"/>
      <w:bookmarkEnd w:id="1566"/>
      <w:bookmarkEnd w:id="1567"/>
      <w:bookmarkEnd w:id="1568"/>
      <w:bookmarkEnd w:id="1569"/>
      <w:bookmarkEnd w:id="1570"/>
      <w:bookmarkEnd w:id="1571"/>
      <w:bookmarkEnd w:id="1576"/>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577" w:name="_Toc13110"/>
      <w:bookmarkStart w:id="1578" w:name="_Toc9613"/>
      <w:bookmarkStart w:id="1579" w:name="_Toc23615"/>
      <w:bookmarkStart w:id="1580" w:name="_Toc16489"/>
      <w:bookmarkStart w:id="1581" w:name="_Toc26250"/>
      <w:bookmarkStart w:id="1582" w:name="_Toc25750680"/>
      <w:bookmarkStart w:id="1583" w:name="_Toc29688"/>
      <w:bookmarkStart w:id="1584" w:name="_Toc31181"/>
      <w:bookmarkStart w:id="1585" w:name="_Toc1771"/>
      <w:bookmarkStart w:id="1586" w:name="_Toc12983552"/>
      <w:bookmarkStart w:id="1587" w:name="_Toc492478808"/>
      <w:bookmarkStart w:id="1588" w:name="_Toc24326"/>
      <w:bookmarkStart w:id="1589" w:name="_Toc9560"/>
      <w:bookmarkStart w:id="1590" w:name="_Toc19766"/>
      <w:bookmarkStart w:id="1591" w:name="_Toc25419"/>
      <w:bookmarkStart w:id="1592" w:name="_Toc9861"/>
      <w:bookmarkStart w:id="1593" w:name="_Toc375564355"/>
      <w:bookmarkStart w:id="1594" w:name="_Toc12951"/>
      <w:bookmarkStart w:id="1595" w:name="_Toc414290526"/>
      <w:bookmarkStart w:id="1596" w:name="_Toc30929"/>
      <w:bookmarkStart w:id="1597" w:name="_Toc18516"/>
      <w:bookmarkStart w:id="1598" w:name="_Toc13980"/>
      <w:bookmarkStart w:id="1599" w:name="_Toc12984812"/>
      <w:bookmarkStart w:id="1600" w:name="_Toc1158"/>
      <w:bookmarkStart w:id="1601" w:name="_Toc7004"/>
      <w:bookmarkStart w:id="1602" w:name="_Toc18340"/>
      <w:bookmarkStart w:id="1603" w:name="_Toc5880"/>
      <w:bookmarkStart w:id="1604" w:name="_Toc29231"/>
      <w:bookmarkStart w:id="1605" w:name="_Toc486"/>
      <w:bookmarkStart w:id="1606" w:name="_Toc24487"/>
      <w:bookmarkStart w:id="1607" w:name="_Toc10991"/>
      <w:bookmarkStart w:id="1608" w:name="_Toc6992"/>
      <w:bookmarkStart w:id="1609" w:name="_Toc27610"/>
      <w:bookmarkStart w:id="1610" w:name="_Toc20291"/>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1比选申请报价一览表</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snapToGrid w:val="0"/>
        <w:spacing w:after="50"/>
        <w:ind w:right="-57" w:firstLine="0"/>
        <w:jc w:val="center"/>
        <w:outlineLvl w:val="9"/>
        <w:rPr>
          <w:rFonts w:ascii="宋体" w:hAnsi="宋体"/>
          <w:b/>
          <w:color w:val="auto"/>
          <w:sz w:val="24"/>
          <w:szCs w:val="24"/>
          <w:highlight w:val="none"/>
        </w:rPr>
      </w:pPr>
      <w:bookmarkStart w:id="1611" w:name="_Toc17514"/>
      <w:bookmarkStart w:id="1612" w:name="_Toc30168"/>
      <w:bookmarkStart w:id="1613" w:name="_Toc3867_WPSOffice_Level2"/>
      <w:bookmarkStart w:id="1614" w:name="_Toc27456"/>
      <w:bookmarkStart w:id="1615" w:name="_Toc3164"/>
      <w:bookmarkStart w:id="1616" w:name="_Toc17085"/>
      <w:bookmarkStart w:id="1617" w:name="_Toc2776"/>
      <w:bookmarkStart w:id="1618" w:name="_Toc9630"/>
      <w:bookmarkStart w:id="1619" w:name="_Toc23678"/>
      <w:bookmarkStart w:id="1620" w:name="_Toc7728"/>
      <w:bookmarkStart w:id="1621" w:name="_Toc10392"/>
      <w:r>
        <w:rPr>
          <w:rFonts w:hint="eastAsia" w:ascii="宋体" w:hAnsi="宋体"/>
          <w:b/>
          <w:color w:val="auto"/>
          <w:sz w:val="24"/>
          <w:szCs w:val="24"/>
          <w:highlight w:val="none"/>
        </w:rPr>
        <w:t>比选申请报价一览表</w:t>
      </w:r>
      <w:bookmarkEnd w:id="1611"/>
      <w:bookmarkEnd w:id="1612"/>
      <w:bookmarkEnd w:id="1613"/>
      <w:bookmarkEnd w:id="1614"/>
      <w:bookmarkEnd w:id="1615"/>
      <w:bookmarkEnd w:id="1616"/>
      <w:bookmarkEnd w:id="1617"/>
      <w:bookmarkEnd w:id="1618"/>
      <w:bookmarkEnd w:id="1619"/>
      <w:bookmarkEnd w:id="1620"/>
      <w:bookmarkEnd w:id="1621"/>
    </w:p>
    <w:p>
      <w:pPr>
        <w:widowControl w:val="0"/>
        <w:snapToGrid w:val="0"/>
        <w:spacing w:before="0" w:after="0" w:afterAutospacing="0"/>
        <w:ind w:left="0" w:right="-57" w:rightChars="-27" w:firstLine="0"/>
        <w:rPr>
          <w:rFonts w:hint="eastAsia" w:ascii="宋体" w:hAnsi="宋体" w:eastAsia="宋体"/>
          <w:color w:val="auto"/>
          <w:kern w:val="2"/>
          <w:highlight w:val="none"/>
          <w:lang w:eastAsia="zh-CN"/>
        </w:rPr>
      </w:pPr>
      <w:r>
        <w:rPr>
          <w:rFonts w:hint="eastAsia" w:ascii="宋体" w:hAnsi="宋体"/>
          <w:color w:val="auto"/>
          <w:kern w:val="2"/>
          <w:highlight w:val="none"/>
        </w:rPr>
        <w:t>项目名称：</w:t>
      </w:r>
      <w:r>
        <w:rPr>
          <w:rFonts w:hint="eastAsia" w:ascii="宋体" w:hAnsi="宋体"/>
          <w:color w:val="auto"/>
          <w:kern w:val="2"/>
          <w:highlight w:val="none"/>
          <w:lang w:eastAsia="zh-CN"/>
        </w:rPr>
        <w:t>南宁轨道交通1、2、3、4号线专用通信、AFC系统故障件维修委外服务项目（2024-2026年）</w:t>
      </w:r>
      <w:r>
        <w:rPr>
          <w:rFonts w:hint="eastAsia" w:ascii="宋体" w:hAnsi="宋体"/>
          <w:color w:val="auto"/>
          <w:kern w:val="2"/>
          <w:highlight w:val="none"/>
        </w:rPr>
        <w:t>项目编号：</w:t>
      </w:r>
      <w:r>
        <w:rPr>
          <w:rFonts w:hint="eastAsia" w:ascii="宋体" w:hAnsi="宋体"/>
          <w:color w:val="auto"/>
          <w:kern w:val="2"/>
          <w:highlight w:val="none"/>
          <w:lang w:eastAsia="zh-CN"/>
        </w:rPr>
        <w:t>202309210001</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31"/>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lang w:val="en-US" w:eastAsia="zh-CN"/>
              </w:rPr>
              <w:t>比选申请</w:t>
            </w:r>
            <w:r>
              <w:rPr>
                <w:rFonts w:hint="eastAsia" w:ascii="宋体" w:hAnsi="宋体"/>
                <w:b/>
                <w:bCs/>
                <w:kern w:val="2"/>
              </w:rPr>
              <w:t>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投标总报价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gridSpan w:val="2"/>
            <w:tcBorders>
              <w:bottom w:val="single" w:color="auto" w:sz="4" w:space="0"/>
            </w:tcBorders>
            <w:vAlign w:val="center"/>
          </w:tcPr>
          <w:p>
            <w:pPr>
              <w:widowControl w:val="0"/>
              <w:snapToGrid w:val="0"/>
              <w:spacing w:before="0" w:after="0" w:afterAutospacing="0"/>
              <w:ind w:right="-57" w:rightChars="-27"/>
              <w:jc w:val="left"/>
              <w:rPr>
                <w:rFonts w:ascii="宋体" w:hAnsi="宋体"/>
                <w:b/>
                <w:kern w:val="2"/>
                <w:u w:val="single"/>
              </w:rPr>
            </w:pPr>
            <w:r>
              <w:rPr>
                <w:rFonts w:hint="eastAsia" w:ascii="宋体" w:hAnsi="宋体"/>
                <w:b/>
                <w:kern w:val="2"/>
              </w:rPr>
              <w:t>小写：</w:t>
            </w:r>
          </w:p>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tcBorders>
              <w:bottom w:val="single" w:color="auto" w:sz="4" w:space="0"/>
            </w:tcBorders>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其中</w:t>
            </w: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ascii="宋体" w:hAnsi="宋体"/>
                <w:b/>
                <w:kern w:val="2"/>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ascii="宋体" w:hAnsi="宋体"/>
                <w:b/>
                <w:kern w:val="2"/>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rPr>
            </w:pPr>
            <w:r>
              <w:rPr>
                <w:rFonts w:hint="eastAsia" w:ascii="宋体" w:hAnsi="宋体"/>
                <w:b/>
                <w:kern w:val="2"/>
              </w:rPr>
              <w:t>小写：</w:t>
            </w:r>
          </w:p>
        </w:tc>
        <w:tc>
          <w:tcPr>
            <w:tcW w:w="1178" w:type="dxa"/>
            <w:vMerge w:val="restart"/>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vMerge w:val="continue"/>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r>
              <w:rPr>
                <w:rFonts w:ascii="宋体" w:hAnsi="宋体"/>
                <w:b/>
                <w:kern w:val="2"/>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rPr>
            </w:pPr>
            <w:r>
              <w:rPr>
                <w:rFonts w:hint="eastAsia" w:ascii="宋体" w:hAnsi="宋体"/>
                <w:b/>
                <w:kern w:val="2"/>
              </w:rPr>
              <w:t>小写：</w:t>
            </w:r>
          </w:p>
        </w:tc>
        <w:tc>
          <w:tcPr>
            <w:tcW w:w="1178" w:type="dxa"/>
            <w:vMerge w:val="restart"/>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rPr>
            </w:pPr>
            <w:r>
              <w:rPr>
                <w:rFonts w:hint="eastAsia" w:ascii="宋体" w:hAnsi="宋体"/>
                <w:b/>
                <w:kern w:val="2"/>
              </w:rPr>
              <w:t>大写：</w:t>
            </w:r>
          </w:p>
        </w:tc>
        <w:tc>
          <w:tcPr>
            <w:tcW w:w="1178" w:type="dxa"/>
            <w:vMerge w:val="continue"/>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hint="default" w:ascii="宋体" w:hAnsi="宋体" w:eastAsia="宋体"/>
                <w:b/>
                <w:kern w:val="2"/>
                <w:lang w:val="en-US" w:eastAsia="zh-CN"/>
              </w:rPr>
            </w:pPr>
            <w:r>
              <w:rPr>
                <w:rFonts w:hint="eastAsia" w:ascii="宋体" w:hAnsi="宋体"/>
                <w:b/>
                <w:kern w:val="2"/>
                <w:lang w:val="en-US" w:eastAsia="zh-CN"/>
              </w:rPr>
              <w:t>4号线</w:t>
            </w:r>
          </w:p>
        </w:tc>
        <w:tc>
          <w:tcPr>
            <w:tcW w:w="3668" w:type="dxa"/>
            <w:tcBorders>
              <w:left w:val="single" w:color="auto" w:sz="4" w:space="0"/>
            </w:tcBorders>
            <w:vAlign w:val="center"/>
          </w:tcPr>
          <w:p>
            <w:pPr>
              <w:widowControl w:val="0"/>
              <w:snapToGrid w:val="0"/>
              <w:spacing w:before="0" w:after="0" w:afterAutospacing="0"/>
              <w:ind w:left="709" w:leftChars="0" w:right="-57" w:rightChars="-27" w:hanging="709" w:firstLineChars="0"/>
              <w:jc w:val="left"/>
              <w:rPr>
                <w:rFonts w:ascii="宋体" w:hAnsi="宋体"/>
                <w:b/>
                <w:kern w:val="2"/>
              </w:rPr>
            </w:pPr>
            <w:r>
              <w:rPr>
                <w:rFonts w:hint="eastAsia" w:ascii="宋体" w:hAnsi="宋体"/>
                <w:b/>
                <w:kern w:val="2"/>
              </w:rPr>
              <w:t>小写：</w:t>
            </w:r>
          </w:p>
        </w:tc>
        <w:tc>
          <w:tcPr>
            <w:tcW w:w="1178" w:type="dxa"/>
            <w:vMerge w:val="restart"/>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trPr>
        <w:tc>
          <w:tcPr>
            <w:tcW w:w="2446" w:type="dxa"/>
            <w:vMerge w:val="continue"/>
          </w:tcPr>
          <w:p>
            <w:pPr>
              <w:widowControl w:val="0"/>
              <w:snapToGrid w:val="0"/>
              <w:spacing w:before="0" w:after="0" w:afterAutospacing="0"/>
              <w:ind w:right="-57" w:rightChars="-27"/>
              <w:rPr>
                <w:rFonts w:ascii="宋体" w:hAnsi="宋体"/>
                <w:b/>
                <w:kern w:val="2"/>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rPr>
            </w:pPr>
          </w:p>
        </w:tc>
        <w:tc>
          <w:tcPr>
            <w:tcW w:w="3668" w:type="dxa"/>
            <w:tcBorders>
              <w:left w:val="single" w:color="auto" w:sz="4" w:space="0"/>
            </w:tcBorders>
            <w:vAlign w:val="center"/>
          </w:tcPr>
          <w:p>
            <w:pPr>
              <w:widowControl w:val="0"/>
              <w:snapToGrid w:val="0"/>
              <w:spacing w:before="0" w:after="0" w:afterAutospacing="0"/>
              <w:ind w:left="0" w:leftChars="0" w:right="-57" w:rightChars="-27" w:firstLine="0" w:firstLineChars="0"/>
              <w:jc w:val="left"/>
              <w:rPr>
                <w:rFonts w:ascii="宋体" w:hAnsi="宋体"/>
                <w:b/>
                <w:kern w:val="2"/>
              </w:rPr>
            </w:pPr>
            <w:r>
              <w:rPr>
                <w:rFonts w:hint="eastAsia" w:ascii="宋体" w:hAnsi="宋体"/>
                <w:b/>
                <w:kern w:val="2"/>
              </w:rPr>
              <w:t>大写：</w:t>
            </w:r>
          </w:p>
        </w:tc>
        <w:tc>
          <w:tcPr>
            <w:tcW w:w="1178" w:type="dxa"/>
            <w:vMerge w:val="continue"/>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交货期</w:t>
            </w:r>
          </w:p>
        </w:tc>
        <w:tc>
          <w:tcPr>
            <w:tcW w:w="6309" w:type="dxa"/>
            <w:gridSpan w:val="3"/>
            <w:vAlign w:val="center"/>
          </w:tcPr>
          <w:p>
            <w:pPr>
              <w:widowControl w:val="0"/>
              <w:snapToGrid w:val="0"/>
              <w:spacing w:before="0" w:after="0" w:afterAutospacing="0"/>
              <w:ind w:right="-57" w:rightChars="-27"/>
              <w:rPr>
                <w:rFonts w:ascii="宋体" w:hAnsi="宋体"/>
                <w:b/>
                <w:kern w:val="2"/>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比选申请报价应包括故障件从送修至返还的全过程所产生的包装、运输、检测、维修，修复件的出厂检验、运输、软硬件的调试及质保期内出现故障免费维修等一切履行合同标的全过程产生的除增值税外所有费用。</w:t>
      </w: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pStyle w:val="5"/>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622" w:name="_Toc58124833"/>
      <w:bookmarkStart w:id="1623" w:name="_Toc61680485"/>
      <w:bookmarkStart w:id="1624" w:name="_Toc110413986"/>
      <w:bookmarkStart w:id="1625" w:name="_Toc68859063"/>
      <w:bookmarkStart w:id="1626" w:name="_Toc27536"/>
      <w:bookmarkStart w:id="1627" w:name="_Toc375564356"/>
      <w:bookmarkStart w:id="1628" w:name="_Toc20864"/>
      <w:bookmarkStart w:id="1629" w:name="_Toc29761"/>
      <w:bookmarkStart w:id="1630" w:name="_Toc17112"/>
      <w:bookmarkStart w:id="1631" w:name="_Toc2257"/>
      <w:bookmarkStart w:id="1632" w:name="_Toc18111"/>
      <w:bookmarkStart w:id="1633" w:name="_Toc31608"/>
      <w:bookmarkStart w:id="1634" w:name="_Toc6270"/>
      <w:bookmarkStart w:id="1635" w:name="_Toc241920153"/>
      <w:bookmarkStart w:id="1636" w:name="_Toc14859"/>
      <w:bookmarkStart w:id="1637" w:name="_Toc20737"/>
      <w:bookmarkStart w:id="1638" w:name="_Toc14593"/>
      <w:bookmarkStart w:id="1639" w:name="_Toc8079"/>
      <w:bookmarkStart w:id="1640" w:name="_Toc8713"/>
      <w:bookmarkStart w:id="1641" w:name="_Toc25750681"/>
      <w:bookmarkStart w:id="1642" w:name="_Toc25869"/>
      <w:bookmarkStart w:id="1643" w:name="_Toc414290527"/>
      <w:bookmarkStart w:id="1644" w:name="_Toc29702"/>
      <w:bookmarkStart w:id="1645" w:name="_Toc21109"/>
      <w:bookmarkStart w:id="1646" w:name="_Toc13686"/>
      <w:bookmarkStart w:id="1647" w:name="_Toc12984813"/>
      <w:bookmarkStart w:id="1648" w:name="_Toc4976"/>
      <w:bookmarkStart w:id="1649" w:name="_Toc6833"/>
      <w:bookmarkStart w:id="1650" w:name="_Toc492478809"/>
      <w:bookmarkStart w:id="1651" w:name="_Toc10260"/>
      <w:bookmarkStart w:id="1652" w:name="_Toc32224"/>
      <w:bookmarkStart w:id="1653" w:name="_Toc15419"/>
      <w:bookmarkStart w:id="1654" w:name="_Toc11438"/>
      <w:bookmarkStart w:id="1655" w:name="_Toc508"/>
      <w:bookmarkStart w:id="1656" w:name="_Toc17974"/>
      <w:bookmarkStart w:id="1657" w:name="_Toc12983553"/>
      <w:bookmarkStart w:id="1658" w:name="_Toc11065"/>
      <w:bookmarkStart w:id="1659" w:name="_Toc2585"/>
      <w:bookmarkStart w:id="1660" w:name="_Toc14503"/>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2比选申请</w:t>
      </w:r>
      <w:bookmarkEnd w:id="1622"/>
      <w:bookmarkEnd w:id="1623"/>
      <w:bookmarkEnd w:id="1624"/>
      <w:bookmarkEnd w:id="1625"/>
      <w:r>
        <w:rPr>
          <w:rFonts w:ascii="宋体" w:hAnsi="宋体" w:eastAsia="宋体"/>
          <w:color w:val="auto"/>
          <w:sz w:val="21"/>
          <w:szCs w:val="21"/>
          <w:highlight w:val="none"/>
        </w:rPr>
        <w:t>函格式</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hint="eastAsia" w:ascii="宋体" w:hAnsi="宋体"/>
          <w:color w:val="auto"/>
          <w:highlight w:val="none"/>
          <w:u w:val="single"/>
          <w:lang w:eastAsia="zh-CN"/>
        </w:rPr>
        <w:t>南宁轨道交通1、2、3、4号线专用通信、AFC系统故障件维修委外服务项目（2024-2026年）</w:t>
      </w:r>
      <w:r>
        <w:rPr>
          <w:rFonts w:ascii="宋体" w:hAnsi="宋体"/>
          <w:color w:val="auto"/>
          <w:highlight w:val="none"/>
        </w:rPr>
        <w:t>比选申请邀请</w:t>
      </w:r>
      <w:r>
        <w:rPr>
          <w:rFonts w:hint="eastAsia" w:ascii="宋体" w:hAnsi="宋体"/>
          <w:color w:val="auto"/>
          <w:highlight w:val="none"/>
        </w:rPr>
        <w:t>（</w:t>
      </w:r>
      <w:r>
        <w:rPr>
          <w:rFonts w:ascii="宋体" w:hAnsi="宋体"/>
          <w:color w:val="auto"/>
          <w:highlight w:val="none"/>
        </w:rPr>
        <w:t>项目编号：</w:t>
      </w:r>
      <w:r>
        <w:rPr>
          <w:rFonts w:hint="eastAsia" w:ascii="宋体" w:hAnsi="宋体"/>
          <w:color w:val="auto"/>
          <w:highlight w:val="none"/>
          <w:lang w:eastAsia="zh-CN"/>
        </w:rPr>
        <w:t>202309210001</w:t>
      </w:r>
      <w:r>
        <w:rPr>
          <w:rFonts w:hint="eastAsia" w:ascii="宋体" w:hAnsi="宋体"/>
          <w:color w:val="auto"/>
          <w:highlight w:val="none"/>
        </w:rPr>
        <w:t>）</w:t>
      </w:r>
      <w:r>
        <w:rPr>
          <w:rFonts w:ascii="宋体" w:hAnsi="宋体"/>
          <w:color w:val="auto"/>
          <w:highlight w:val="none"/>
        </w:rPr>
        <w:t>，签字人</w:t>
      </w:r>
      <w:r>
        <w:rPr>
          <w:rFonts w:hint="eastAsia" w:ascii="宋体" w:hAnsi="宋体"/>
          <w:color w:val="auto"/>
          <w:highlight w:val="none"/>
        </w:rPr>
        <w:t>（</w:t>
      </w:r>
      <w:r>
        <w:rPr>
          <w:rFonts w:ascii="宋体" w:hAnsi="宋体"/>
          <w:color w:val="auto"/>
          <w:highlight w:val="none"/>
          <w:u w:val="single"/>
        </w:rPr>
        <w:t>全名、职务</w:t>
      </w:r>
      <w:r>
        <w:rPr>
          <w:rFonts w:hint="eastAsia" w:ascii="宋体" w:hAnsi="宋体"/>
          <w:color w:val="auto"/>
          <w:highlight w:val="none"/>
          <w:u w:val="single"/>
        </w:rPr>
        <w:t>）</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661" w:name="_Toc375564357"/>
      <w:r>
        <w:rPr>
          <w:rFonts w:ascii="宋体" w:hAnsi="宋体"/>
          <w:color w:val="auto"/>
          <w:highlight w:val="none"/>
        </w:rPr>
        <w:t>1. 按比选文件要求规定的应提交和交付的</w:t>
      </w:r>
      <w:r>
        <w:rPr>
          <w:rFonts w:hint="eastAsia" w:ascii="宋体" w:hAnsi="宋体"/>
          <w:color w:val="auto"/>
          <w:highlight w:val="none"/>
        </w:rPr>
        <w:t>修复件</w:t>
      </w:r>
      <w:r>
        <w:rPr>
          <w:rFonts w:ascii="宋体" w:hAnsi="宋体"/>
          <w:color w:val="auto"/>
          <w:highlight w:val="none"/>
        </w:rPr>
        <w:t>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661"/>
    </w:p>
    <w:p>
      <w:pPr>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10" w:type="first"/>
          <w:headerReference r:id="rId9" w:type="default"/>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5"/>
        <w:tabs>
          <w:tab w:val="left" w:pos="567"/>
          <w:tab w:val="left" w:pos="720"/>
        </w:tabs>
        <w:snapToGrid w:val="0"/>
        <w:spacing w:after="100" w:line="360" w:lineRule="auto"/>
        <w:ind w:right="0" w:firstLine="0"/>
        <w:jc w:val="left"/>
        <w:outlineLvl w:val="0"/>
        <w:rPr>
          <w:rFonts w:ascii="宋体" w:hAnsi="宋体" w:eastAsia="宋体"/>
          <w:color w:val="auto"/>
          <w:sz w:val="21"/>
          <w:szCs w:val="21"/>
          <w:highlight w:val="none"/>
        </w:rPr>
      </w:pPr>
      <w:bookmarkStart w:id="1662" w:name="_Toc8101"/>
      <w:bookmarkStart w:id="1663" w:name="_Toc32679"/>
      <w:bookmarkStart w:id="1664" w:name="_Toc24000"/>
      <w:bookmarkStart w:id="1665" w:name="_Toc13611"/>
      <w:bookmarkStart w:id="1666" w:name="_Toc26731"/>
      <w:bookmarkStart w:id="1667" w:name="_Toc27821"/>
      <w:bookmarkStart w:id="1668" w:name="_Toc30121"/>
      <w:bookmarkStart w:id="1669" w:name="_Toc414290528"/>
      <w:bookmarkStart w:id="1670" w:name="_Toc12983554"/>
      <w:bookmarkStart w:id="1671" w:name="_Toc20116"/>
      <w:bookmarkStart w:id="1672" w:name="_Toc16176"/>
      <w:bookmarkStart w:id="1673" w:name="_Toc21539"/>
      <w:bookmarkStart w:id="1674" w:name="_Toc12917"/>
      <w:bookmarkStart w:id="1675" w:name="_Toc20353"/>
      <w:bookmarkStart w:id="1676" w:name="_Toc28049"/>
      <w:bookmarkStart w:id="1677" w:name="_Toc4583"/>
      <w:bookmarkStart w:id="1678" w:name="_Toc3968"/>
      <w:bookmarkStart w:id="1679" w:name="_Toc492478810"/>
      <w:bookmarkStart w:id="1680" w:name="_Toc6910"/>
      <w:bookmarkStart w:id="1681" w:name="_Toc23071"/>
      <w:bookmarkStart w:id="1682" w:name="_Toc28944"/>
      <w:bookmarkStart w:id="1683" w:name="_Toc12984814"/>
      <w:bookmarkStart w:id="1684" w:name="_Toc17092"/>
      <w:bookmarkStart w:id="1685" w:name="_Toc7203"/>
      <w:bookmarkStart w:id="1686" w:name="_Toc25750682"/>
      <w:bookmarkStart w:id="1687" w:name="_Toc15276"/>
      <w:bookmarkStart w:id="1688" w:name="_Toc15469"/>
      <w:bookmarkStart w:id="1689" w:name="_Toc27284"/>
      <w:bookmarkStart w:id="1690" w:name="_Toc24785"/>
      <w:bookmarkStart w:id="1691" w:name="_Toc14488"/>
      <w:bookmarkStart w:id="1692" w:name="_Toc12702"/>
      <w:bookmarkStart w:id="1693" w:name="_Toc14478"/>
      <w:bookmarkStart w:id="1694" w:name="_Toc4138"/>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3比选申请报价表格式</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2910"/>
        <w:gridCol w:w="399"/>
        <w:gridCol w:w="1108"/>
        <w:gridCol w:w="2184"/>
        <w:gridCol w:w="399"/>
        <w:gridCol w:w="563"/>
        <w:gridCol w:w="563"/>
        <w:gridCol w:w="563"/>
        <w:gridCol w:w="563"/>
        <w:gridCol w:w="1344"/>
        <w:gridCol w:w="1473"/>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602" w:type="dxa"/>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910" w:type="dxa"/>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标注</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品牌或厂家</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规格型号</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1号线</w:t>
            </w:r>
            <w:r>
              <w:rPr>
                <w:rFonts w:hint="eastAsia" w:ascii="宋体" w:hAnsi="宋体" w:cs="宋体"/>
                <w:color w:val="auto"/>
                <w:highlight w:val="none"/>
                <w:lang w:val="en-US" w:eastAsia="zh-CN"/>
              </w:rPr>
              <w:t>①</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号线</w:t>
            </w:r>
            <w:r>
              <w:rPr>
                <w:rFonts w:hint="eastAsia" w:ascii="宋体" w:hAnsi="宋体" w:cs="宋体"/>
                <w:color w:val="auto"/>
                <w:highlight w:val="none"/>
                <w:lang w:val="en-US" w:eastAsia="zh-CN"/>
              </w:rPr>
              <w:t>②</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号线</w:t>
            </w:r>
            <w:r>
              <w:rPr>
                <w:rFonts w:hint="eastAsia" w:ascii="宋体" w:hAnsi="宋体" w:cs="宋体"/>
                <w:color w:val="auto"/>
                <w:highlight w:val="none"/>
                <w:lang w:val="en-US" w:eastAsia="zh-CN"/>
              </w:rPr>
              <w:t>③</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号线</w:t>
            </w:r>
            <w:r>
              <w:rPr>
                <w:rFonts w:hint="eastAsia" w:ascii="宋体" w:hAnsi="宋体" w:cs="宋体"/>
                <w:color w:val="auto"/>
                <w:highlight w:val="none"/>
                <w:lang w:val="en-US" w:eastAsia="zh-CN"/>
              </w:rPr>
              <w:t>④</w:t>
            </w:r>
          </w:p>
        </w:tc>
        <w:tc>
          <w:tcPr>
            <w:tcW w:w="0" w:type="auto"/>
            <w:tcBorders>
              <w:tl2br w:val="nil"/>
              <w:tr2bl w:val="nil"/>
            </w:tcBorders>
            <w:shd w:val="clear" w:color="000000" w:fill="F2F2F2"/>
            <w:vAlign w:val="center"/>
          </w:tcPr>
          <w:p>
            <w:pPr>
              <w:spacing w:line="240" w:lineRule="auto"/>
              <w:ind w:left="0" w:firstLine="0"/>
              <w:jc w:val="center"/>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总</w:t>
            </w:r>
            <w:r>
              <w:rPr>
                <w:rFonts w:hint="eastAsia" w:ascii="宋体" w:hAnsi="宋体" w:eastAsia="宋体" w:cs="宋体"/>
                <w:color w:val="auto"/>
                <w:highlight w:val="none"/>
              </w:rPr>
              <w:t>数量</w:t>
            </w:r>
            <w:r>
              <w:rPr>
                <w:rFonts w:hint="eastAsia" w:ascii="宋体" w:hAnsi="宋体" w:cs="宋体"/>
                <w:color w:val="auto"/>
                <w:highlight w:val="none"/>
                <w:lang w:val="en-US" w:eastAsia="zh-CN"/>
              </w:rPr>
              <w:t>⑤=</w:t>
            </w:r>
          </w:p>
          <w:p>
            <w:pPr>
              <w:spacing w:line="240" w:lineRule="auto"/>
              <w:ind w:left="0" w:firstLine="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①+②+③+④</w:t>
            </w:r>
          </w:p>
        </w:tc>
        <w:tc>
          <w:tcPr>
            <w:tcW w:w="1473" w:type="dxa"/>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不含税单价（元）</w:t>
            </w:r>
            <w:r>
              <w:rPr>
                <w:rFonts w:hint="eastAsia" w:ascii="宋体" w:hAnsi="宋体" w:cs="宋体"/>
                <w:color w:val="auto"/>
                <w:highlight w:val="none"/>
                <w:lang w:val="en-US" w:eastAsia="zh-CN"/>
              </w:rPr>
              <w:t>⑥</w:t>
            </w:r>
          </w:p>
        </w:tc>
        <w:tc>
          <w:tcPr>
            <w:tcW w:w="1661" w:type="dxa"/>
            <w:tcBorders>
              <w:tl2br w:val="nil"/>
              <w:tr2bl w:val="nil"/>
            </w:tcBorders>
            <w:shd w:val="clear" w:color="000000" w:fill="F2F2F2"/>
            <w:vAlign w:val="center"/>
          </w:tcPr>
          <w:p>
            <w:pPr>
              <w:spacing w:line="240" w:lineRule="auto"/>
              <w:ind w:left="0" w:firstLine="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不含税合价（元）</w:t>
            </w:r>
            <w:r>
              <w:rPr>
                <w:rFonts w:hint="eastAsia" w:ascii="宋体" w:hAnsi="宋体" w:cs="宋体"/>
                <w:color w:val="auto"/>
                <w:highlight w:val="none"/>
                <w:lang w:val="en-US" w:eastAsia="zh-CN"/>
              </w:rPr>
              <w:t>⑦</w:t>
            </w:r>
            <w:r>
              <w:rPr>
                <w:rFonts w:hint="eastAsia" w:ascii="宋体" w:hAnsi="宋体" w:eastAsia="宋体" w:cs="宋体"/>
                <w:color w:val="auto"/>
                <w:highlight w:val="none"/>
              </w:rPr>
              <w:t>=</w:t>
            </w:r>
            <w:r>
              <w:rPr>
                <w:rFonts w:hint="eastAsia" w:ascii="宋体" w:hAnsi="宋体" w:cs="宋体"/>
                <w:color w:val="auto"/>
                <w:highlight w:val="none"/>
                <w:lang w:val="en-US" w:eastAsia="zh-CN"/>
              </w:rPr>
              <w:t>⑤</w:t>
            </w:r>
            <w:r>
              <w:rPr>
                <w:rFonts w:hint="eastAsia" w:ascii="宋体" w:hAnsi="宋体" w:eastAsia="宋体" w:cs="宋体"/>
                <w:color w:val="auto"/>
                <w:highlight w:val="none"/>
              </w:rPr>
              <w:t>×</w:t>
            </w:r>
            <w:r>
              <w:rPr>
                <w:rFonts w:hint="eastAsia" w:ascii="宋体" w:hAnsi="宋体" w:cs="宋体"/>
                <w:color w:val="auto"/>
                <w:highlight w:val="none"/>
                <w:lang w:val="en-US" w:eastAsia="zh-CN"/>
              </w:rPr>
              <w:t>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H3C WX5540E 无线控制器主机</w:t>
            </w:r>
          </w:p>
        </w:tc>
        <w:tc>
          <w:tcPr>
            <w:tcW w:w="0" w:type="auto"/>
            <w:tcBorders>
              <w:tl2br w:val="nil"/>
              <w:tr2bl w:val="nil"/>
            </w:tcBorders>
            <w:vAlign w:val="center"/>
          </w:tcPr>
          <w:p>
            <w:pPr>
              <w:ind w:left="0" w:firstLine="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华三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EWP-WX5540E</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OPS光接收模块</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EL-LK-H-R</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司机室车载服务器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EL-TMC-E02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电源时序控制器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EL-PWC</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主控板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GISB</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64路POTS用户板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PTWVN</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广播控制主机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霍尼韦尔</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HN-CP500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网络控制器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HID</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V1000P</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RS422扩展箱</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烟台持久</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CJ-EBS-32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网络视频存储设备主控板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霍尼韦尔</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HUS-IPS-6100D</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视频分析管理服务器主板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 xml:space="preserve"> HP </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DL380-主板</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视频分析管理服务器网卡</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 xml:space="preserve"> HP </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DL380-网卡</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电源模块</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9" w:leftChars="0" w:right="-27" w:rightChars="0" w:hanging="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东莞毓华电子科技有限公司</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GPR700-12A</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F型交叉时钟板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color w:val="auto"/>
                <w:highlight w:val="none"/>
              </w:rPr>
            </w:pPr>
            <w:r>
              <w:rPr>
                <w:rFonts w:hint="eastAsia" w:ascii="宋体" w:hAnsi="宋体" w:eastAsia="宋体" w:cs="宋体"/>
                <w:i w:val="0"/>
                <w:color w:val="auto"/>
                <w:sz w:val="21"/>
                <w:szCs w:val="21"/>
                <w:highlight w:val="none"/>
                <w:u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CSF</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内嵌RPR交换处理板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RSEB</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910" w:type="dxa"/>
            <w:tcBorders>
              <w:tl2br w:val="nil"/>
              <w:tr2bl w:val="nil"/>
            </w:tcBorders>
            <w:vAlign w:val="center"/>
          </w:tcPr>
          <w:p>
            <w:pPr>
              <w:keepNext w:val="0"/>
              <w:keepLines w:val="0"/>
              <w:widowControl/>
              <w:suppressLineNumbers w:val="0"/>
              <w:ind w:left="229" w:leftChars="0" w:right="-27" w:rightChars="0" w:hanging="22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主控交叉时钟盘（含交换、主控、时钟）</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烽火</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CXC5B</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BITS网络同步设备</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烟台持久</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CJ-BITS-SERVER</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数字中继板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4DTU</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时隙交换板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MXU</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网络交换板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EXU</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模拟用户板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河北远东</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ALUR</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电源板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易事特</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EA89II-80K</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辅助电源板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易事特</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EA89Ⅱ-45K</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基站PSU电源备件</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WAPN4335</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基站控制器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GMCN4737A</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光复用器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邮通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YT-0MUX02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车载台主机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海能达</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CZT 812-A-2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虚拟专用网络路由器VPN</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ProSAEE</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SRX5308</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核心路由器CG（E）\ER</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S6000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核心交换机CLANS</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惠普</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2620-48</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广域网协同路由器CWR</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GLN1172G</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MUX多路复用器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DXC</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DXC-30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基站收发信机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GMTF4695A</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IPN服务器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SR250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数据库服务器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x3250 M6</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三层交换机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新华三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S7503E-M</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应用三层交换机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新华三</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S5130S-52S-HI</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ATCA 计算板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研华</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 xml:space="preserve">MIC-5345/4G/128GSSD </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调度服务器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SR650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核心交换机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S5560-54C-EI</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二次开发交换机</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S5130S-52P-EI</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纸币找零单元主控板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CDM6240-ZKB001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硬币单元主控板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高见泽</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3PCB100030A-01-10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纸币识别单元主板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982262001P1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发行单元主控板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中软</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YT7.820.0866</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硬币识别器</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CAS-006D</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单程票回收机构主控板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CAS-006F</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硬币单元循环找零Hopper</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PSU-3201A</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硬币模块控制板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YT2.480.0603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SC服务器主板</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X3650M5</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2"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2910"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SC服务器网卡</w:t>
            </w:r>
          </w:p>
        </w:tc>
        <w:tc>
          <w:tcPr>
            <w:tcW w:w="0" w:type="auto"/>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X3650M5</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0" w:type="auto"/>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2" w:type="dxa"/>
            <w:gridSpan w:val="2"/>
            <w:tcBorders>
              <w:tl2br w:val="nil"/>
              <w:tr2bl w:val="nil"/>
            </w:tcBorders>
            <w:vAlign w:val="center"/>
          </w:tcPr>
          <w:p>
            <w:pPr>
              <w:ind w:left="0" w:leftChars="0" w:right="-27" w:righ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sz w:val="21"/>
                <w:szCs w:val="21"/>
              </w:rPr>
              <w:t>1号线小计</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72</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0" w:type="auto"/>
            <w:tcBorders>
              <w:tl2br w:val="nil"/>
              <w:tr2bl w:val="nil"/>
            </w:tcBorders>
            <w:vAlign w:val="center"/>
          </w:tcPr>
          <w:p>
            <w:pPr>
              <w:ind w:left="0" w:firstLine="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473" w:type="dxa"/>
            <w:tcBorders>
              <w:tl2br w:val="nil"/>
              <w:tr2bl w:val="nil"/>
            </w:tcBorders>
            <w:vAlign w:val="center"/>
          </w:tcPr>
          <w:p>
            <w:pPr>
              <w:ind w:left="0" w:firstLine="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2" w:type="dxa"/>
            <w:gridSpan w:val="2"/>
            <w:tcBorders>
              <w:tl2br w:val="nil"/>
              <w:tr2bl w:val="nil"/>
            </w:tcBorders>
            <w:vAlign w:val="center"/>
          </w:tcPr>
          <w:p>
            <w:pPr>
              <w:ind w:left="0" w:leftChars="0" w:right="-27" w:righ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sz w:val="21"/>
                <w:szCs w:val="21"/>
              </w:rPr>
              <w:t>2号线小计</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35</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0" w:type="auto"/>
            <w:tcBorders>
              <w:tl2br w:val="nil"/>
              <w:tr2bl w:val="nil"/>
            </w:tcBorders>
            <w:vAlign w:val="center"/>
          </w:tcPr>
          <w:p>
            <w:pPr>
              <w:ind w:left="0" w:firstLine="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473" w:type="dxa"/>
            <w:tcBorders>
              <w:tl2br w:val="nil"/>
              <w:tr2bl w:val="nil"/>
            </w:tcBorders>
            <w:vAlign w:val="center"/>
          </w:tcPr>
          <w:p>
            <w:pPr>
              <w:ind w:left="0" w:firstLine="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2" w:type="dxa"/>
            <w:gridSpan w:val="2"/>
            <w:tcBorders>
              <w:tl2br w:val="nil"/>
              <w:tr2bl w:val="nil"/>
            </w:tcBorders>
            <w:vAlign w:val="center"/>
          </w:tcPr>
          <w:p>
            <w:pPr>
              <w:ind w:left="0" w:leftChars="0" w:right="-27" w:righ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sz w:val="21"/>
                <w:szCs w:val="21"/>
              </w:rPr>
              <w:t>3号线小计</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18</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0" w:type="auto"/>
            <w:tcBorders>
              <w:tl2br w:val="nil"/>
              <w:tr2bl w:val="nil"/>
            </w:tcBorders>
            <w:vAlign w:val="center"/>
          </w:tcPr>
          <w:p>
            <w:pPr>
              <w:ind w:left="0" w:firstLine="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473" w:type="dxa"/>
            <w:tcBorders>
              <w:tl2br w:val="nil"/>
              <w:tr2bl w:val="nil"/>
            </w:tcBorders>
            <w:vAlign w:val="center"/>
          </w:tcPr>
          <w:p>
            <w:pPr>
              <w:ind w:left="0" w:firstLine="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2" w:type="dxa"/>
            <w:gridSpan w:val="2"/>
            <w:tcBorders>
              <w:tl2br w:val="nil"/>
              <w:tr2bl w:val="nil"/>
            </w:tcBorders>
            <w:vAlign w:val="center"/>
          </w:tcPr>
          <w:p>
            <w:pPr>
              <w:ind w:left="0" w:leftChars="0" w:right="-27" w:righ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sz w:val="21"/>
                <w:szCs w:val="21"/>
                <w:lang w:val="en-US" w:eastAsia="zh-CN"/>
              </w:rPr>
              <w:t>4</w:t>
            </w:r>
            <w:r>
              <w:rPr>
                <w:rFonts w:hint="eastAsia" w:ascii="宋体" w:hAnsi="宋体"/>
                <w:sz w:val="21"/>
                <w:szCs w:val="21"/>
              </w:rPr>
              <w:t>号线小计</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33</w:t>
            </w:r>
          </w:p>
        </w:tc>
        <w:tc>
          <w:tcPr>
            <w:tcW w:w="0" w:type="auto"/>
            <w:tcBorders>
              <w:tl2br w:val="nil"/>
              <w:tr2bl w:val="nil"/>
            </w:tcBorders>
            <w:vAlign w:val="center"/>
          </w:tcPr>
          <w:p>
            <w:pPr>
              <w:ind w:left="0" w:firstLine="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w:t>
            </w:r>
          </w:p>
        </w:tc>
        <w:tc>
          <w:tcPr>
            <w:tcW w:w="1473" w:type="dxa"/>
            <w:tcBorders>
              <w:tl2br w:val="nil"/>
              <w:tr2bl w:val="nil"/>
            </w:tcBorders>
            <w:vAlign w:val="center"/>
          </w:tcPr>
          <w:p>
            <w:pPr>
              <w:ind w:left="0" w:firstLine="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2" w:type="dxa"/>
            <w:gridSpan w:val="2"/>
            <w:tcBorders>
              <w:tl2br w:val="nil"/>
              <w:tr2bl w:val="nil"/>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0" w:type="auto"/>
            <w:tcBorders>
              <w:tl2br w:val="nil"/>
              <w:tr2bl w:val="nil"/>
            </w:tcBorders>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w:t>
            </w:r>
          </w:p>
        </w:tc>
        <w:tc>
          <w:tcPr>
            <w:tcW w:w="0" w:type="auto"/>
            <w:tcBorders>
              <w:tl2br w:val="nil"/>
              <w:tr2bl w:val="nil"/>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0" w:type="auto"/>
            <w:tcBorders>
              <w:tl2br w:val="nil"/>
              <w:tr2bl w:val="nil"/>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0" w:type="auto"/>
            <w:tcBorders>
              <w:tl2br w:val="nil"/>
              <w:tr2bl w:val="nil"/>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72</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35</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w:t>
            </w:r>
          </w:p>
        </w:tc>
        <w:tc>
          <w:tcPr>
            <w:tcW w:w="563"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33</w:t>
            </w:r>
          </w:p>
        </w:tc>
        <w:tc>
          <w:tcPr>
            <w:tcW w:w="0" w:type="auto"/>
            <w:tcBorders>
              <w:tl2br w:val="nil"/>
              <w:tr2bl w:val="nil"/>
            </w:tcBorders>
            <w:vAlign w:val="center"/>
          </w:tcPr>
          <w:p>
            <w:pPr>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158</w:t>
            </w:r>
          </w:p>
        </w:tc>
        <w:tc>
          <w:tcPr>
            <w:tcW w:w="1473" w:type="dxa"/>
            <w:tcBorders>
              <w:tl2br w:val="nil"/>
              <w:tr2bl w:val="nil"/>
            </w:tcBorders>
            <w:vAlign w:val="center"/>
          </w:tcPr>
          <w:p>
            <w:pPr>
              <w:ind w:left="0" w:firstLine="0"/>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w:t>
            </w:r>
          </w:p>
        </w:tc>
        <w:tc>
          <w:tcPr>
            <w:tcW w:w="1661" w:type="dxa"/>
            <w:tcBorders>
              <w:tl2br w:val="nil"/>
              <w:tr2bl w:val="nil"/>
            </w:tcBorders>
            <w:vAlign w:val="center"/>
          </w:tcPr>
          <w:p>
            <w:pPr>
              <w:ind w:left="0" w:firstLine="0"/>
              <w:jc w:val="center"/>
              <w:rPr>
                <w:rFonts w:hint="eastAsia" w:ascii="宋体" w:hAnsi="宋体" w:eastAsia="宋体" w:cs="宋体"/>
                <w:color w:val="auto"/>
                <w:highlight w:val="none"/>
              </w:rPr>
            </w:pPr>
          </w:p>
        </w:tc>
      </w:tr>
    </w:tbl>
    <w:p>
      <w:pPr>
        <w:spacing w:before="0" w:after="0" w:afterAutospacing="0"/>
        <w:ind w:left="0" w:right="0" w:firstLine="0"/>
        <w:rPr>
          <w:rFonts w:ascii="宋体" w:hAnsi="宋体"/>
          <w:color w:val="auto"/>
          <w:highlight w:val="none"/>
        </w:rPr>
      </w:pPr>
    </w:p>
    <w:p>
      <w:pPr>
        <w:pStyle w:val="30"/>
        <w:ind w:firstLine="48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pStyle w:val="30"/>
        <w:numPr>
          <w:ilvl w:val="0"/>
          <w:numId w:val="18"/>
        </w:numPr>
        <w:ind w:firstLine="960" w:firstLineChars="400"/>
        <w:rPr>
          <w:rFonts w:hint="eastAsia" w:ascii="宋体" w:hAnsi="宋体"/>
          <w:color w:val="auto"/>
          <w:highlight w:val="none"/>
        </w:rPr>
      </w:pPr>
      <w:r>
        <w:rPr>
          <w:rFonts w:hint="eastAsia" w:ascii="宋体" w:hAnsi="宋体"/>
          <w:color w:val="auto"/>
          <w:highlight w:val="none"/>
        </w:rPr>
        <w:t>同一规格、型号的故障件在各分项报价中应为同一单价。比选申请人对每种故障件（指完全相同的同一故障件）只允许有一个报价，如有不同报价，则以最低报价为准。</w:t>
      </w:r>
    </w:p>
    <w:p>
      <w:pPr>
        <w:pStyle w:val="30"/>
        <w:numPr>
          <w:ilvl w:val="0"/>
          <w:numId w:val="18"/>
        </w:numPr>
        <w:ind w:firstLine="960" w:firstLineChars="400"/>
        <w:rPr>
          <w:rFonts w:hint="eastAsia" w:ascii="宋体" w:hAnsi="宋体"/>
          <w:color w:val="auto"/>
          <w:highlight w:val="none"/>
        </w:rPr>
      </w:pPr>
      <w:r>
        <w:rPr>
          <w:rFonts w:hint="eastAsia" w:ascii="宋体" w:hAnsi="宋体" w:eastAsia="宋体"/>
          <w:color w:val="auto"/>
          <w:highlight w:val="none"/>
          <w:lang w:eastAsia="zh-CN"/>
        </w:rPr>
        <w:t>标注</w:t>
      </w:r>
      <w:r>
        <w:rPr>
          <w:rFonts w:hint="eastAsia" w:ascii="宋体" w:hAnsi="宋体"/>
          <w:color w:val="auto"/>
          <w:highlight w:val="none"/>
        </w:rPr>
        <w:t>带</w:t>
      </w:r>
      <w:r>
        <w:rPr>
          <w:rFonts w:hint="eastAsia" w:ascii="宋体" w:hAnsi="宋体" w:eastAsia="宋体"/>
          <w:color w:val="auto"/>
          <w:highlight w:val="none"/>
          <w:lang w:eastAsia="zh-CN"/>
        </w:rPr>
        <w:t>“</w:t>
      </w:r>
      <w:r>
        <w:rPr>
          <w:rFonts w:hint="eastAsia" w:ascii="宋体" w:hAnsi="宋体"/>
          <w:color w:val="auto"/>
          <w:highlight w:val="none"/>
        </w:rPr>
        <w:t>△</w:t>
      </w:r>
      <w:r>
        <w:rPr>
          <w:rFonts w:hint="eastAsia" w:ascii="宋体" w:hAnsi="宋体" w:eastAsia="宋体"/>
          <w:color w:val="auto"/>
          <w:highlight w:val="none"/>
          <w:lang w:eastAsia="zh-CN"/>
        </w:rPr>
        <w:t>”</w:t>
      </w:r>
      <w:r>
        <w:rPr>
          <w:rFonts w:hint="eastAsia" w:ascii="宋体" w:hAnsi="宋体"/>
          <w:color w:val="auto"/>
          <w:highlight w:val="none"/>
        </w:rPr>
        <w:t>的故障件每一项的单项报价均不能</w:t>
      </w:r>
      <w:r>
        <w:rPr>
          <w:rFonts w:hint="eastAsia" w:ascii="宋体" w:hAnsi="宋体" w:eastAsia="宋体"/>
          <w:color w:val="auto"/>
          <w:highlight w:val="none"/>
          <w:lang w:eastAsia="zh-CN"/>
        </w:rPr>
        <w:t>高于</w:t>
      </w:r>
      <w:r>
        <w:rPr>
          <w:rFonts w:hint="eastAsia" w:ascii="宋体" w:hAnsi="宋体"/>
          <w:color w:val="auto"/>
          <w:highlight w:val="none"/>
        </w:rPr>
        <w:t>第七章</w:t>
      </w:r>
      <w:r>
        <w:rPr>
          <w:rFonts w:hint="eastAsia" w:ascii="宋体" w:hAnsi="宋体" w:eastAsia="宋体"/>
          <w:color w:val="auto"/>
          <w:highlight w:val="none"/>
          <w:lang w:val="en-US" w:eastAsia="zh-CN"/>
        </w:rPr>
        <w:t xml:space="preserve"> </w:t>
      </w:r>
      <w:r>
        <w:rPr>
          <w:rFonts w:hint="eastAsia" w:ascii="宋体" w:hAnsi="宋体"/>
          <w:color w:val="auto"/>
          <w:highlight w:val="none"/>
        </w:rPr>
        <w:t>比选控制价中设置的不含增值税控制价单价(元)</w:t>
      </w:r>
      <w:r>
        <w:rPr>
          <w:rFonts w:hint="eastAsia" w:ascii="宋体" w:hAnsi="宋体" w:eastAsia="宋体"/>
          <w:color w:val="auto"/>
          <w:highlight w:val="none"/>
          <w:lang w:eastAsia="zh-CN"/>
        </w:rPr>
        <w:t>，否则将按否决比选处理。</w:t>
      </w:r>
    </w:p>
    <w:p>
      <w:pPr>
        <w:pStyle w:val="30"/>
        <w:ind w:firstLine="480"/>
        <w:rPr>
          <w:color w:val="auto"/>
          <w:highlight w:val="none"/>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b/>
          <w:color w:val="auto"/>
          <w:highlight w:val="none"/>
        </w:rPr>
      </w:pPr>
      <w:r>
        <w:rPr>
          <w:rFonts w:hint="eastAsia" w:ascii="宋体" w:hAnsi="宋体"/>
          <w:color w:val="auto"/>
          <w:highlight w:val="none"/>
        </w:rPr>
        <w:t>日期：    年  月  日</w:t>
      </w:r>
    </w:p>
    <w:p>
      <w:pPr>
        <w:snapToGrid w:val="0"/>
        <w:spacing w:before="0" w:after="0" w:afterAutospacing="0"/>
        <w:ind w:left="0" w:right="-57" w:firstLine="0"/>
        <w:jc w:val="center"/>
        <w:rPr>
          <w:rFonts w:ascii="宋体" w:hAnsi="宋体"/>
          <w:b/>
          <w:color w:val="auto"/>
          <w:highlight w:val="none"/>
        </w:rPr>
        <w:sectPr>
          <w:pgSz w:w="16838" w:h="11905" w:orient="landscape"/>
          <w:pgMar w:top="1418" w:right="1418" w:bottom="1418" w:left="1304"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2"/>
        <w:pageBreakBefore/>
        <w:ind w:right="-57"/>
        <w:jc w:val="center"/>
        <w:outlineLvl w:val="0"/>
        <w:rPr>
          <w:rStyle w:val="45"/>
          <w:rFonts w:hint="eastAsia" w:ascii="宋体" w:hAnsi="宋体" w:eastAsia="宋体" w:cs="Times New Roman"/>
          <w:color w:val="auto"/>
          <w:highlight w:val="none"/>
        </w:rPr>
      </w:pPr>
      <w:bookmarkStart w:id="1695" w:name="_Toc24720"/>
      <w:bookmarkStart w:id="1696" w:name="_Toc25049"/>
      <w:r>
        <w:rPr>
          <w:rStyle w:val="45"/>
          <w:rFonts w:hint="eastAsia" w:ascii="宋体" w:hAnsi="宋体" w:eastAsia="宋体" w:cs="Times New Roman"/>
          <w:color w:val="auto"/>
          <w:highlight w:val="none"/>
        </w:rPr>
        <w:t>第五章用户需求书</w:t>
      </w:r>
      <w:bookmarkEnd w:id="1695"/>
      <w:bookmarkEnd w:id="1696"/>
    </w:p>
    <w:p>
      <w:pPr>
        <w:pStyle w:val="2"/>
        <w:pageBreakBefore/>
        <w:widowControl w:val="0"/>
        <w:spacing w:before="0" w:after="0" w:afterAutospacing="0" w:line="360" w:lineRule="auto"/>
        <w:ind w:left="0" w:right="-57" w:firstLine="0"/>
        <w:jc w:val="center"/>
        <w:outlineLvl w:val="1"/>
        <w:rPr>
          <w:rFonts w:hint="eastAsia" w:ascii="宋体" w:hAnsi="宋体" w:eastAsia="宋体" w:cs="宋体"/>
          <w:color w:val="auto"/>
          <w:kern w:val="2"/>
          <w:sz w:val="44"/>
          <w:szCs w:val="44"/>
          <w:highlight w:val="none"/>
        </w:rPr>
      </w:pPr>
      <w:bookmarkStart w:id="1697" w:name="_Toc8629"/>
      <w:r>
        <w:rPr>
          <w:rFonts w:hint="eastAsia" w:ascii="宋体" w:hAnsi="宋体" w:eastAsia="宋体" w:cs="宋体"/>
          <w:color w:val="auto"/>
          <w:kern w:val="2"/>
          <w:sz w:val="44"/>
          <w:szCs w:val="44"/>
          <w:highlight w:val="none"/>
        </w:rPr>
        <w:t>南宁轨道交通1、2、3、4号线专用</w:t>
      </w:r>
      <w:bookmarkEnd w:id="1697"/>
    </w:p>
    <w:p>
      <w:pPr>
        <w:widowControl w:val="0"/>
        <w:spacing w:before="0" w:after="0" w:afterAutospacing="0" w:line="360" w:lineRule="auto"/>
        <w:ind w:left="0" w:right="0" w:firstLine="0"/>
        <w:jc w:val="center"/>
        <w:outlineLvl w:val="0"/>
        <w:rPr>
          <w:rFonts w:hint="eastAsia" w:ascii="宋体" w:hAnsi="宋体" w:eastAsia="宋体" w:cs="宋体"/>
          <w:color w:val="auto"/>
          <w:kern w:val="2"/>
          <w:sz w:val="44"/>
          <w:szCs w:val="44"/>
          <w:highlight w:val="none"/>
        </w:rPr>
      </w:pPr>
      <w:bookmarkStart w:id="1698" w:name="_Toc22202"/>
      <w:r>
        <w:rPr>
          <w:rFonts w:hint="eastAsia" w:ascii="宋体" w:hAnsi="宋体" w:eastAsia="宋体" w:cs="宋体"/>
          <w:color w:val="auto"/>
          <w:kern w:val="2"/>
          <w:sz w:val="44"/>
          <w:szCs w:val="44"/>
          <w:highlight w:val="none"/>
        </w:rPr>
        <w:t>通信、AFC系统故障件</w:t>
      </w:r>
      <w:r>
        <w:rPr>
          <w:rFonts w:hint="eastAsia" w:ascii="宋体" w:hAnsi="宋体" w:eastAsia="宋体" w:cs="宋体"/>
          <w:color w:val="auto"/>
          <w:kern w:val="2"/>
          <w:sz w:val="44"/>
          <w:szCs w:val="44"/>
          <w:highlight w:val="none"/>
          <w:lang w:eastAsia="zh-CN"/>
        </w:rPr>
        <w:t>委外</w:t>
      </w:r>
      <w:r>
        <w:rPr>
          <w:rFonts w:hint="eastAsia" w:ascii="宋体" w:hAnsi="宋体" w:eastAsia="宋体" w:cs="宋体"/>
          <w:color w:val="auto"/>
          <w:kern w:val="2"/>
          <w:sz w:val="44"/>
          <w:szCs w:val="44"/>
          <w:highlight w:val="none"/>
        </w:rPr>
        <w:t>维修</w:t>
      </w:r>
      <w:bookmarkEnd w:id="1698"/>
    </w:p>
    <w:p>
      <w:pPr>
        <w:widowControl w:val="0"/>
        <w:spacing w:before="0" w:after="0" w:afterAutospacing="0" w:line="360" w:lineRule="auto"/>
        <w:ind w:left="0" w:right="0" w:firstLine="0"/>
        <w:jc w:val="center"/>
        <w:rPr>
          <w:rFonts w:hint="eastAsia" w:ascii="宋体" w:hAnsi="宋体" w:eastAsia="宋体" w:cs="宋体"/>
          <w:color w:val="auto"/>
          <w:kern w:val="2"/>
          <w:sz w:val="44"/>
          <w:szCs w:val="44"/>
          <w:highlight w:val="none"/>
        </w:rPr>
      </w:pPr>
      <w:r>
        <w:rPr>
          <w:rFonts w:hint="eastAsia" w:ascii="宋体" w:hAnsi="宋体" w:eastAsia="宋体" w:cs="宋体"/>
          <w:color w:val="auto"/>
          <w:kern w:val="2"/>
          <w:sz w:val="44"/>
          <w:szCs w:val="44"/>
          <w:highlight w:val="none"/>
        </w:rPr>
        <w:t>服务项目（2024-2026年）</w:t>
      </w:r>
    </w:p>
    <w:p>
      <w:pPr>
        <w:widowControl w:val="0"/>
        <w:jc w:val="both"/>
        <w:rPr>
          <w:rFonts w:hint="eastAsia" w:ascii="宋体" w:hAnsi="Courier New" w:eastAsia="宋体" w:cs="Courier New"/>
          <w:color w:val="auto"/>
          <w:kern w:val="2"/>
          <w:sz w:val="21"/>
          <w:szCs w:val="21"/>
          <w:highlight w:val="none"/>
          <w:lang w:val="en-US" w:eastAsia="zh-CN" w:bidi="ar-SA"/>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240" w:lineRule="auto"/>
        <w:ind w:left="0" w:right="0" w:firstLine="0"/>
        <w:rPr>
          <w:rFonts w:ascii="宋体" w:hAnsi="宋体" w:eastAsia="宋体" w:cs="宋体"/>
          <w:b/>
          <w:bCs/>
          <w:color w:val="auto"/>
          <w:kern w:val="2"/>
          <w:szCs w:val="24"/>
          <w:highlight w:val="none"/>
        </w:rPr>
      </w:pPr>
    </w:p>
    <w:p>
      <w:pPr>
        <w:widowControl w:val="0"/>
        <w:spacing w:before="0" w:after="0" w:afterAutospacing="0" w:line="360" w:lineRule="auto"/>
        <w:ind w:left="0" w:right="0" w:firstLine="0"/>
        <w:jc w:val="center"/>
        <w:outlineLvl w:val="0"/>
        <w:rPr>
          <w:rFonts w:hint="eastAsia" w:ascii="宋体" w:hAnsi="宋体" w:eastAsia="宋体" w:cs="宋体"/>
          <w:color w:val="auto"/>
          <w:kern w:val="2"/>
          <w:sz w:val="52"/>
          <w:szCs w:val="52"/>
          <w:highlight w:val="none"/>
        </w:rPr>
      </w:pPr>
      <w:bookmarkStart w:id="1699" w:name="_Toc14805"/>
      <w:r>
        <w:rPr>
          <w:rFonts w:hint="eastAsia" w:ascii="宋体" w:hAnsi="宋体" w:eastAsia="宋体" w:cs="宋体"/>
          <w:color w:val="auto"/>
          <w:kern w:val="2"/>
          <w:sz w:val="52"/>
          <w:szCs w:val="52"/>
          <w:highlight w:val="none"/>
        </w:rPr>
        <w:t>用户需求书</w:t>
      </w:r>
      <w:bookmarkEnd w:id="1699"/>
    </w:p>
    <w:p>
      <w:pPr>
        <w:widowControl w:val="0"/>
        <w:spacing w:before="0" w:after="0" w:afterAutospacing="0" w:line="240" w:lineRule="auto"/>
        <w:ind w:left="0" w:right="0" w:firstLine="0"/>
        <w:jc w:val="center"/>
        <w:rPr>
          <w:rFonts w:ascii="宋体" w:hAnsi="宋体" w:eastAsia="宋体" w:cs="宋体"/>
          <w:b/>
          <w:bCs/>
          <w:color w:val="auto"/>
          <w:kern w:val="2"/>
          <w:sz w:val="52"/>
          <w:szCs w:val="52"/>
          <w:highlight w:val="none"/>
        </w:rPr>
      </w:pPr>
    </w:p>
    <w:p>
      <w:pPr>
        <w:widowControl w:val="0"/>
        <w:spacing w:before="0" w:after="0" w:afterAutospacing="0" w:line="240" w:lineRule="auto"/>
        <w:ind w:left="0" w:right="0" w:firstLine="0"/>
        <w:jc w:val="center"/>
        <w:rPr>
          <w:rFonts w:ascii="宋体" w:hAnsi="宋体" w:eastAsia="宋体" w:cs="宋体"/>
          <w:color w:val="auto"/>
          <w:kern w:val="2"/>
          <w:sz w:val="52"/>
          <w:szCs w:val="52"/>
          <w:highlight w:val="none"/>
        </w:rPr>
      </w:pPr>
    </w:p>
    <w:p>
      <w:pPr>
        <w:widowControl w:val="0"/>
        <w:spacing w:before="0" w:after="0" w:afterAutospacing="0" w:line="240" w:lineRule="auto"/>
        <w:ind w:left="0" w:right="0" w:firstLine="0"/>
        <w:rPr>
          <w:rFonts w:ascii="宋体" w:hAnsi="宋体" w:eastAsia="宋体" w:cs="宋体"/>
          <w:color w:val="auto"/>
          <w:kern w:val="2"/>
          <w:szCs w:val="24"/>
          <w:highlight w:val="none"/>
        </w:rPr>
      </w:pPr>
    </w:p>
    <w:p>
      <w:pPr>
        <w:keepNext/>
        <w:keepLines/>
        <w:widowControl w:val="0"/>
        <w:numPr>
          <w:ilvl w:val="0"/>
          <w:numId w:val="0"/>
        </w:numPr>
        <w:spacing w:beforeLines="0" w:afterLines="0" w:line="360" w:lineRule="auto"/>
        <w:ind w:left="864" w:leftChars="0" w:hanging="864" w:firstLineChars="0"/>
        <w:jc w:val="left"/>
        <w:outlineLvl w:val="9"/>
        <w:rPr>
          <w:rFonts w:ascii="Times New Roman" w:hAnsi="Times New Roman" w:eastAsia="宋体" w:cs="Times New Roman"/>
          <w:b/>
          <w:bCs/>
          <w:color w:val="auto"/>
          <w:kern w:val="2"/>
          <w:sz w:val="21"/>
          <w:szCs w:val="28"/>
          <w:highlight w:val="none"/>
          <w:lang w:val="en-US" w:eastAsia="zh-CN" w:bidi="ar-SA"/>
        </w:rPr>
      </w:pPr>
    </w:p>
    <w:p>
      <w:pPr>
        <w:widowControl w:val="0"/>
        <w:spacing w:before="0" w:after="0" w:afterAutospacing="0" w:line="240" w:lineRule="auto"/>
        <w:ind w:left="0" w:right="0" w:firstLine="0"/>
        <w:rPr>
          <w:rFonts w:ascii="宋体" w:hAnsi="宋体" w:eastAsia="宋体" w:cs="宋体"/>
          <w:color w:val="auto"/>
          <w:kern w:val="2"/>
          <w:sz w:val="28"/>
          <w:szCs w:val="28"/>
          <w:highlight w:val="none"/>
        </w:rPr>
      </w:pPr>
    </w:p>
    <w:p>
      <w:pPr>
        <w:widowControl w:val="0"/>
        <w:spacing w:before="0" w:after="0" w:afterAutospacing="0" w:line="360" w:lineRule="auto"/>
        <w:ind w:left="0" w:right="0" w:firstLine="0"/>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南宁轨道交通</w:t>
      </w:r>
      <w:r>
        <w:rPr>
          <w:rFonts w:hint="eastAsia" w:ascii="宋体" w:hAnsi="宋体" w:eastAsia="宋体" w:cs="宋体"/>
          <w:color w:val="auto"/>
          <w:kern w:val="0"/>
          <w:sz w:val="32"/>
          <w:szCs w:val="32"/>
          <w:highlight w:val="none"/>
          <w:lang w:eastAsia="zh-CN"/>
        </w:rPr>
        <w:t>运营有限</w:t>
      </w:r>
      <w:r>
        <w:rPr>
          <w:rFonts w:hint="eastAsia" w:ascii="宋体" w:hAnsi="宋体" w:eastAsia="宋体" w:cs="宋体"/>
          <w:color w:val="auto"/>
          <w:kern w:val="0"/>
          <w:sz w:val="32"/>
          <w:szCs w:val="32"/>
          <w:highlight w:val="none"/>
        </w:rPr>
        <w:t>公司</w:t>
      </w:r>
    </w:p>
    <w:p>
      <w:pPr>
        <w:widowControl w:val="0"/>
        <w:spacing w:before="0" w:after="0" w:afterAutospacing="0" w:line="240" w:lineRule="auto"/>
        <w:ind w:left="0" w:right="0" w:firstLine="0"/>
        <w:jc w:val="center"/>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20</w:t>
      </w:r>
      <w:r>
        <w:rPr>
          <w:rFonts w:hint="eastAsia" w:ascii="宋体" w:hAnsi="宋体" w:eastAsia="宋体" w:cs="宋体"/>
          <w:color w:val="auto"/>
          <w:kern w:val="2"/>
          <w:sz w:val="32"/>
          <w:szCs w:val="32"/>
          <w:highlight w:val="none"/>
          <w:lang w:val="en-US" w:eastAsia="zh-CN"/>
        </w:rPr>
        <w:t>23</w:t>
      </w:r>
      <w:r>
        <w:rPr>
          <w:rFonts w:hint="eastAsia" w:ascii="宋体" w:hAnsi="宋体" w:eastAsia="宋体" w:cs="宋体"/>
          <w:color w:val="auto"/>
          <w:kern w:val="2"/>
          <w:sz w:val="32"/>
          <w:szCs w:val="32"/>
          <w:highlight w:val="none"/>
        </w:rPr>
        <w:t>年</w:t>
      </w:r>
      <w:r>
        <w:rPr>
          <w:rFonts w:hint="eastAsia" w:ascii="宋体" w:hAnsi="宋体" w:eastAsia="宋体" w:cs="宋体"/>
          <w:color w:val="auto"/>
          <w:kern w:val="2"/>
          <w:sz w:val="32"/>
          <w:szCs w:val="32"/>
          <w:highlight w:val="none"/>
          <w:lang w:val="en-US" w:eastAsia="zh-CN"/>
        </w:rPr>
        <w:t>9</w:t>
      </w:r>
      <w:r>
        <w:rPr>
          <w:rFonts w:hint="eastAsia" w:ascii="宋体" w:hAnsi="宋体" w:eastAsia="宋体" w:cs="宋体"/>
          <w:color w:val="auto"/>
          <w:kern w:val="2"/>
          <w:sz w:val="32"/>
          <w:szCs w:val="32"/>
          <w:highlight w:val="none"/>
        </w:rPr>
        <w:t>月</w:t>
      </w:r>
      <w:r>
        <w:rPr>
          <w:rFonts w:hint="eastAsia" w:ascii="宋体" w:hAnsi="宋体" w:eastAsia="宋体" w:cs="宋体"/>
          <w:color w:val="auto"/>
          <w:kern w:val="2"/>
          <w:sz w:val="32"/>
          <w:szCs w:val="32"/>
          <w:highlight w:val="none"/>
          <w:lang w:val="en-US" w:eastAsia="zh-CN"/>
        </w:rPr>
        <w:t>19</w:t>
      </w:r>
      <w:r>
        <w:rPr>
          <w:rFonts w:hint="eastAsia" w:ascii="宋体" w:hAnsi="宋体" w:eastAsia="宋体" w:cs="宋体"/>
          <w:color w:val="auto"/>
          <w:kern w:val="2"/>
          <w:sz w:val="32"/>
          <w:szCs w:val="32"/>
          <w:highlight w:val="none"/>
        </w:rPr>
        <w:t>日</w:t>
      </w:r>
    </w:p>
    <w:p>
      <w:pPr>
        <w:jc w:val="center"/>
        <w:rPr>
          <w:rFonts w:ascii="宋体" w:hAnsi="宋体" w:cs="宋体"/>
          <w:color w:val="auto"/>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widowControl w:val="0"/>
        <w:numPr>
          <w:ilvl w:val="0"/>
          <w:numId w:val="0"/>
        </w:numPr>
        <w:tabs>
          <w:tab w:val="left" w:pos="0"/>
          <w:tab w:val="left" w:pos="420"/>
        </w:tabs>
        <w:spacing w:before="156" w:beforeLines="50" w:after="156" w:afterLines="50" w:line="240" w:lineRule="auto"/>
        <w:ind w:left="432" w:hanging="432"/>
        <w:jc w:val="center"/>
        <w:outlineLvl w:val="0"/>
        <w:rPr>
          <w:rFonts w:hint="eastAsia" w:ascii="黑体" w:hAnsi="黑体" w:eastAsia="黑体" w:cs="黑体"/>
          <w:b/>
          <w:bCs/>
          <w:color w:val="auto"/>
          <w:kern w:val="44"/>
          <w:sz w:val="28"/>
          <w:szCs w:val="28"/>
          <w:highlight w:val="none"/>
          <w:lang w:val="en-US" w:eastAsia="zh-CN" w:bidi="ar-SA"/>
        </w:rPr>
      </w:pPr>
      <w:bookmarkStart w:id="1700" w:name="_Toc10804"/>
      <w:bookmarkStart w:id="1701" w:name="_Toc5544"/>
      <w:bookmarkStart w:id="1702" w:name="_Toc28487"/>
      <w:bookmarkStart w:id="1703" w:name="_Toc30392"/>
      <w:bookmarkStart w:id="1704" w:name="_Toc534613550"/>
      <w:bookmarkStart w:id="1705" w:name="_Toc534612213"/>
      <w:bookmarkStart w:id="1706" w:name="_Toc22726"/>
      <w:bookmarkStart w:id="1707" w:name="_Toc25408"/>
      <w:bookmarkStart w:id="1708" w:name="_Toc10677"/>
      <w:bookmarkStart w:id="1709" w:name="_Toc533760358"/>
      <w:bookmarkStart w:id="1710" w:name="_Toc19004"/>
      <w:bookmarkStart w:id="1711" w:name="_Toc14169"/>
      <w:bookmarkStart w:id="1712" w:name="_Toc2379"/>
      <w:bookmarkStart w:id="1713" w:name="_Toc23919"/>
      <w:bookmarkStart w:id="1714" w:name="_Toc31565"/>
      <w:bookmarkStart w:id="1715" w:name="_Toc641"/>
      <w:bookmarkStart w:id="1716" w:name="_Toc3765"/>
      <w:bookmarkStart w:id="1717" w:name="_Toc28068"/>
      <w:bookmarkStart w:id="1718" w:name="_Toc364"/>
      <w:bookmarkStart w:id="1719" w:name="_Toc26682"/>
      <w:bookmarkStart w:id="1720" w:name="_Toc32032"/>
      <w:r>
        <w:rPr>
          <w:rFonts w:hint="eastAsia" w:ascii="黑体" w:hAnsi="黑体" w:eastAsia="黑体" w:cs="黑体"/>
          <w:b/>
          <w:bCs/>
          <w:color w:val="auto"/>
          <w:kern w:val="44"/>
          <w:sz w:val="28"/>
          <w:szCs w:val="28"/>
          <w:highlight w:val="none"/>
          <w:lang w:val="en-US" w:eastAsia="zh-CN" w:bidi="ar-SA"/>
        </w:rPr>
        <w:t>目  录</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TOC \o "1-2" \h \u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_Toc21518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 xml:space="preserve">1 </w:t>
      </w:r>
      <w:r>
        <w:rPr>
          <w:rFonts w:hint="eastAsia" w:ascii="宋体" w:hAnsi="宋体" w:eastAsia="宋体" w:cs="宋体"/>
          <w:bCs/>
          <w:color w:val="auto"/>
          <w:kern w:val="2"/>
          <w:sz w:val="21"/>
          <w:szCs w:val="21"/>
          <w:highlight w:val="none"/>
          <w:lang w:val="en-US" w:eastAsia="zh-CN" w:bidi="ar-SA"/>
        </w:rPr>
        <w:t>委外维修项目概况</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_Toc21518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75</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_Toc23128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1.1 委外维修项目名称</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_Toc23128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75</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_Toc22551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1.2 南宁轨道交通1、2、3、4号线线路概况</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_Toc22551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75</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_Toc26807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1.3 专用通信、AFC系统概况</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_Toc26807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75</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_Toc9772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1.4 甲乙双方</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_Toc9772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_Toc14591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2 委外维修项目范围</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_Toc14591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18</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_Toc4959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2.1 委外维修项目范围及内容</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_Toc4959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_Toc11878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3 委外维修项目承包方式及服务期</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_Toc11878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_Toc30417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3.1 承包方式</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_Toc30417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_Toc18750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3.2 计划服务期</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_Toc18750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_Toc9819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4 项目管理</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_Toc9819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_Toc19339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4.1 乙方资质要求</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_Toc19339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_Toc14674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4.2 知识产权</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_Toc14674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77</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_Toc24358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5 项目要求</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_Toc24358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77</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_Toc19106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5.1 维修要求</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_Toc19106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77</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_Toc12789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5.2 维修标准</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_Toc12789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78</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_Toc31896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5.3 质量要求</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_Toc31896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78</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_Toc24844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6 考核</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_Toc24844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_Toc21514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6.1 合同期违约处理</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_Toc21514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79</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_Toc4530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7 验收</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_Toc4530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80</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_Toc28102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8 附件</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_Toc28102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80</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_Toc20375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附件1：故障件清单</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_Toc20375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81</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_Toc26731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附件2：维修报告</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_Toc26731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66</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_Toc16839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bCs/>
          <w:color w:val="auto"/>
          <w:kern w:val="2"/>
          <w:sz w:val="21"/>
          <w:szCs w:val="21"/>
          <w:highlight w:val="none"/>
          <w:lang w:val="en-US" w:eastAsia="zh-CN" w:bidi="ar-SA"/>
        </w:rPr>
        <w:t>附件3：性能测试验收报告</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_Toc16839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85</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widowControl w:val="0"/>
        <w:tabs>
          <w:tab w:val="right" w:leader="dot" w:pos="8306"/>
        </w:tabs>
        <w:ind w:left="1129"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HYPERLINK \l _Toc28187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附件4：运营公司委外项目合同违约处理通知单</w:t>
      </w:r>
      <w:r>
        <w:rPr>
          <w:rFonts w:hint="eastAsia" w:ascii="宋体" w:hAnsi="宋体" w:eastAsia="宋体" w:cs="宋体"/>
          <w:color w:val="auto"/>
          <w:kern w:val="2"/>
          <w:sz w:val="21"/>
          <w:szCs w:val="21"/>
          <w:highlight w:val="none"/>
          <w:lang w:val="en-US" w:eastAsia="zh-CN" w:bidi="ar-SA"/>
        </w:rPr>
        <w:tab/>
      </w:r>
      <w:r>
        <w:rPr>
          <w:rFonts w:hint="eastAsia" w:ascii="宋体" w:hAnsi="宋体" w:eastAsia="宋体" w:cs="宋体"/>
          <w:color w:val="auto"/>
          <w:kern w:val="2"/>
          <w:sz w:val="21"/>
          <w:szCs w:val="21"/>
          <w:highlight w:val="none"/>
          <w:lang w:val="en-US" w:eastAsia="zh-CN" w:bidi="ar-SA"/>
        </w:rPr>
        <w:fldChar w:fldCharType="begin"/>
      </w:r>
      <w:r>
        <w:rPr>
          <w:rFonts w:hint="eastAsia" w:ascii="宋体" w:hAnsi="宋体" w:eastAsia="宋体" w:cs="宋体"/>
          <w:color w:val="auto"/>
          <w:kern w:val="2"/>
          <w:sz w:val="21"/>
          <w:szCs w:val="21"/>
          <w:highlight w:val="none"/>
          <w:lang w:val="en-US" w:eastAsia="zh-CN" w:bidi="ar-SA"/>
        </w:rPr>
        <w:instrText xml:space="preserve"> PAGEREF _Toc28187 \h </w:instrText>
      </w:r>
      <w:r>
        <w:rPr>
          <w:rFonts w:hint="eastAsia" w:ascii="宋体" w:hAnsi="宋体" w:eastAsia="宋体" w:cs="宋体"/>
          <w:color w:val="auto"/>
          <w:kern w:val="2"/>
          <w:sz w:val="21"/>
          <w:szCs w:val="21"/>
          <w:highlight w:val="none"/>
          <w:lang w:val="en-US" w:eastAsia="zh-CN" w:bidi="ar-SA"/>
        </w:rPr>
        <w:fldChar w:fldCharType="separate"/>
      </w:r>
      <w:r>
        <w:rPr>
          <w:rFonts w:hint="eastAsia" w:ascii="宋体" w:hAnsi="宋体" w:eastAsia="宋体" w:cs="宋体"/>
          <w:color w:val="auto"/>
          <w:kern w:val="2"/>
          <w:sz w:val="21"/>
          <w:szCs w:val="21"/>
          <w:highlight w:val="none"/>
          <w:lang w:val="en-US" w:eastAsia="zh-CN" w:bidi="ar-SA"/>
        </w:rPr>
        <w:t>93</w:t>
      </w:r>
      <w:r>
        <w:rPr>
          <w:rFonts w:hint="eastAsia" w:ascii="宋体" w:hAnsi="宋体" w:eastAsia="宋体" w:cs="宋体"/>
          <w:color w:val="auto"/>
          <w:kern w:val="2"/>
          <w:sz w:val="21"/>
          <w:szCs w:val="21"/>
          <w:highlight w:val="none"/>
          <w:lang w:val="en-US" w:eastAsia="zh-CN" w:bidi="ar-SA"/>
        </w:rPr>
        <w:fldChar w:fldCharType="end"/>
      </w:r>
      <w:r>
        <w:rPr>
          <w:rFonts w:hint="eastAsia" w:ascii="宋体" w:hAnsi="宋体" w:eastAsia="宋体" w:cs="宋体"/>
          <w:color w:val="auto"/>
          <w:kern w:val="2"/>
          <w:sz w:val="21"/>
          <w:szCs w:val="21"/>
          <w:highlight w:val="none"/>
          <w:lang w:val="en-US"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1129" w:leftChars="200"/>
        <w:jc w:val="both"/>
        <w:textAlignment w:val="auto"/>
        <w:rPr>
          <w:rFonts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1"/>
          <w:szCs w:val="21"/>
          <w:highlight w:val="none"/>
          <w:lang w:val="en-US" w:eastAsia="zh-CN" w:bidi="ar-SA"/>
        </w:rPr>
        <w:fldChar w:fldCharType="end"/>
      </w:r>
    </w:p>
    <w:p>
      <w:pPr>
        <w:spacing w:line="288" w:lineRule="auto"/>
        <w:rPr>
          <w:rFonts w:ascii="宋体" w:hAnsi="宋体" w:cs="宋体"/>
          <w:color w:val="auto"/>
          <w:highlight w:val="none"/>
        </w:rPr>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pageBreakBefore w:val="0"/>
        <w:widowControl w:val="0"/>
        <w:numPr>
          <w:ilvl w:val="0"/>
          <w:numId w:val="19"/>
        </w:numPr>
        <w:kinsoku/>
        <w:wordWrap/>
        <w:overflowPunct/>
        <w:topLinePunct w:val="0"/>
        <w:autoSpaceDE/>
        <w:autoSpaceDN/>
        <w:bidi w:val="0"/>
        <w:adjustRightInd/>
        <w:snapToGrid/>
        <w:spacing w:beforeLines="0" w:afterLines="0" w:line="360" w:lineRule="auto"/>
        <w:ind w:left="431" w:hanging="431"/>
        <w:jc w:val="left"/>
        <w:textAlignment w:val="auto"/>
        <w:outlineLvl w:val="1"/>
        <w:rPr>
          <w:rFonts w:hint="eastAsia" w:ascii="Times New Roman" w:hAnsi="Times New Roman" w:eastAsia="宋体" w:cs="Times New Roman"/>
          <w:b/>
          <w:bCs/>
          <w:color w:val="auto"/>
          <w:kern w:val="44"/>
          <w:sz w:val="28"/>
          <w:szCs w:val="44"/>
          <w:highlight w:val="none"/>
          <w:lang w:val="en-US" w:eastAsia="zh-CN" w:bidi="ar-SA"/>
        </w:rPr>
      </w:pPr>
      <w:bookmarkStart w:id="1721" w:name="_Toc27896_WPSOffice_Level1"/>
      <w:bookmarkStart w:id="1722" w:name="_Toc21747"/>
      <w:bookmarkStart w:id="1723" w:name="_Toc7084"/>
      <w:bookmarkStart w:id="1724" w:name="_Toc30496"/>
      <w:bookmarkStart w:id="1725" w:name="_Toc4344"/>
      <w:bookmarkStart w:id="1726" w:name="_Toc15279_WPSOffice_Level2"/>
      <w:bookmarkStart w:id="1727" w:name="_Toc377652888"/>
      <w:bookmarkStart w:id="1728" w:name="_Toc27506"/>
      <w:bookmarkStart w:id="1729" w:name="_Toc30296"/>
      <w:bookmarkStart w:id="1730" w:name="_Toc32429_WPSOffice_Level1"/>
      <w:bookmarkStart w:id="1731" w:name="_Toc21518"/>
      <w:bookmarkStart w:id="1732" w:name="_Toc427229174"/>
      <w:bookmarkStart w:id="1733" w:name="_Toc30786"/>
      <w:bookmarkStart w:id="1734" w:name="_Toc23401_WPSOffice_Level1"/>
      <w:bookmarkStart w:id="1735" w:name="_Toc1724604"/>
      <w:r>
        <w:rPr>
          <w:rFonts w:hint="eastAsia" w:ascii="黑体" w:hAnsi="黑体" w:eastAsia="黑体" w:cs="黑体"/>
          <w:b/>
          <w:bCs/>
          <w:color w:val="auto"/>
          <w:kern w:val="44"/>
          <w:sz w:val="24"/>
          <w:szCs w:val="24"/>
          <w:highlight w:val="none"/>
          <w:lang w:val="en-US" w:eastAsia="zh-CN" w:bidi="ar-SA"/>
        </w:rPr>
        <w:t>委外维修项目概况</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36" w:name="_Toc4691"/>
      <w:bookmarkStart w:id="1737" w:name="_Toc23128"/>
      <w:r>
        <w:rPr>
          <w:rFonts w:hint="eastAsia" w:ascii="Times New Roman" w:hAnsi="Times New Roman" w:eastAsia="宋体" w:cs="Times New Roman"/>
          <w:b/>
          <w:bCs/>
          <w:color w:val="auto"/>
          <w:kern w:val="2"/>
          <w:sz w:val="24"/>
          <w:szCs w:val="32"/>
          <w:highlight w:val="none"/>
          <w:lang w:val="en-US" w:eastAsia="zh-CN" w:bidi="ar-SA"/>
        </w:rPr>
        <w:t>委外维修项目名称</w:t>
      </w:r>
      <w:bookmarkEnd w:id="1736"/>
      <w:bookmarkEnd w:id="1737"/>
    </w:p>
    <w:p>
      <w:pPr>
        <w:widowControl w:val="0"/>
        <w:spacing w:before="0" w:after="0" w:afterAutospacing="0" w:line="240" w:lineRule="auto"/>
        <w:ind w:left="0" w:right="0"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南宁轨道交通1、2、3、4号线专用通信、AFC系统故障件委外维修服务项目（2024-2026年）。</w:t>
      </w:r>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38" w:name="_Toc22551"/>
      <w:bookmarkStart w:id="1739" w:name="_Toc14545"/>
      <w:r>
        <w:rPr>
          <w:rFonts w:hint="eastAsia" w:ascii="Times New Roman" w:hAnsi="Times New Roman" w:eastAsia="宋体" w:cs="Times New Roman"/>
          <w:b/>
          <w:bCs/>
          <w:color w:val="auto"/>
          <w:kern w:val="2"/>
          <w:sz w:val="24"/>
          <w:szCs w:val="32"/>
          <w:highlight w:val="none"/>
          <w:lang w:val="en-US" w:eastAsia="zh-CN" w:bidi="ar-SA"/>
        </w:rPr>
        <w:t>南宁轨道交通1、2、3、4号线线路概况</w:t>
      </w:r>
      <w:bookmarkEnd w:id="1738"/>
      <w:bookmarkEnd w:id="1739"/>
    </w:p>
    <w:p>
      <w:pPr>
        <w:widowControl w:val="0"/>
        <w:spacing w:before="0" w:after="0" w:afterAutospacing="0" w:line="360" w:lineRule="auto"/>
        <w:ind w:left="0" w:right="0" w:firstLine="420" w:firstLineChars="200"/>
        <w:rPr>
          <w:rFonts w:hint="eastAsia" w:ascii="宋体" w:hAnsi="宋体" w:eastAsia="宋体" w:cs="宋体"/>
          <w:color w:val="auto"/>
          <w:kern w:val="2"/>
          <w:szCs w:val="21"/>
          <w:highlight w:val="none"/>
        </w:rPr>
      </w:pPr>
      <w:bookmarkStart w:id="1740" w:name="_Toc3694_WPSOffice_Level2"/>
      <w:bookmarkStart w:id="1741" w:name="_Toc6812_WPSOffice_Level2"/>
      <w:r>
        <w:rPr>
          <w:rFonts w:hint="eastAsia" w:ascii="宋体" w:hAnsi="宋体" w:eastAsia="宋体" w:cs="宋体"/>
          <w:color w:val="auto"/>
          <w:kern w:val="2"/>
          <w:szCs w:val="21"/>
          <w:highlight w:val="none"/>
        </w:rPr>
        <w:t>南宁市轨道交通1号线西起石埠站，途经西乡塘区、兴宁区、青秀区，东至火车东站。1号线全长约32.1千米，共设25座车站，均为地下站，其中广西大学站、火车站、朝阳广场站、金湖广场站4座车站为换乘车站。设屯里车辆段和西乡塘停车场各1座，设万力主变电站和秋屋主变电站各1座，控制中心1座。</w:t>
      </w:r>
    </w:p>
    <w:p>
      <w:pPr>
        <w:widowControl w:val="0"/>
        <w:spacing w:before="0" w:after="0" w:afterAutospacing="0" w:line="360" w:lineRule="auto"/>
        <w:ind w:left="0" w:right="0"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南宁市轨道交通2号线南起坛泽站，途经良庆区、江南区、兴宁区和西乡塘区，北至西津站。2号线全长21.2千米，共设23座车站，均为地下站，其中安吉客运站、明秀路站、火车站、朝阳广场站、大沙田站、平良立交站6座车站为换乘站。设安吉车辆段1座，与3号线共用新村停车场1座，设朋云主变电站和秀灵主变电站各1座，与1号线共用控制中心。</w:t>
      </w:r>
    </w:p>
    <w:p>
      <w:pPr>
        <w:widowControl w:val="0"/>
        <w:spacing w:before="0" w:after="0" w:afterAutospacing="0" w:line="360" w:lineRule="auto"/>
        <w:ind w:left="0" w:right="0"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南宁市轨道交通3号线北起科园大道站，途经西乡塘区、兴宁区、青秀区、良庆区，南至平良立交站。3号线全长约27.9千米，共设23座车站，均为地下站，其中安吉客运站、小鸡村站、金湖广场站、总部基地站、平良立交站5座车站为换乘站。设心圩车辆段1座，与2号线共用新村停车场1座，设荔园主变电站和乐荣主变电站各1座，与1号线共用控制中心。</w:t>
      </w:r>
    </w:p>
    <w:p>
      <w:pPr>
        <w:widowControl w:val="0"/>
        <w:spacing w:before="0" w:after="0" w:afterAutospacing="0" w:line="360" w:lineRule="auto"/>
        <w:ind w:left="0" w:right="0"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南宁轨道交通4号线一期工程洪运路站至楞塘村站（含）以洪运路站为起点，终点为楞塘村站（含），线路长约21.42km，共设车站16座，均为地下车站，</w:t>
      </w:r>
      <w:r>
        <w:rPr>
          <w:rFonts w:hint="eastAsia" w:ascii="宋体" w:hAnsi="宋体" w:eastAsia="宋体" w:cs="宋体"/>
          <w:color w:val="auto"/>
          <w:kern w:val="2"/>
          <w:szCs w:val="21"/>
          <w:highlight w:val="none"/>
          <w:lang w:eastAsia="zh-CN"/>
        </w:rPr>
        <w:t>其中</w:t>
      </w:r>
      <w:r>
        <w:rPr>
          <w:rFonts w:hint="eastAsia" w:ascii="宋体" w:hAnsi="宋体" w:eastAsia="宋体" w:cs="宋体"/>
          <w:color w:val="auto"/>
          <w:kern w:val="2"/>
          <w:szCs w:val="21"/>
          <w:highlight w:val="none"/>
        </w:rPr>
        <w:t>总部基地站、大沙田站、那洪立交站3座</w:t>
      </w:r>
      <w:r>
        <w:rPr>
          <w:rFonts w:hint="eastAsia" w:ascii="宋体" w:hAnsi="宋体" w:eastAsia="宋体" w:cs="宋体"/>
          <w:color w:val="auto"/>
          <w:kern w:val="2"/>
          <w:szCs w:val="21"/>
          <w:highlight w:val="none"/>
          <w:lang w:eastAsia="zh-CN"/>
        </w:rPr>
        <w:t>车站为换乘站。</w:t>
      </w:r>
      <w:r>
        <w:rPr>
          <w:rFonts w:hint="eastAsia" w:ascii="宋体" w:hAnsi="宋体" w:eastAsia="宋体" w:cs="宋体"/>
          <w:color w:val="auto"/>
          <w:kern w:val="2"/>
          <w:szCs w:val="21"/>
          <w:highlight w:val="none"/>
        </w:rPr>
        <w:t>设置五象车辆段及综合维修基地1座，位于楞塘村站附近</w:t>
      </w:r>
      <w:r>
        <w:rPr>
          <w:rFonts w:hint="eastAsia" w:ascii="宋体" w:hAnsi="宋体" w:eastAsia="宋体" w:cs="宋体"/>
          <w:color w:val="auto"/>
          <w:kern w:val="2"/>
          <w:szCs w:val="21"/>
          <w:highlight w:val="none"/>
          <w:lang w:eastAsia="zh-CN"/>
        </w:rPr>
        <w:t>，</w:t>
      </w:r>
      <w:r>
        <w:rPr>
          <w:rFonts w:hint="eastAsia" w:ascii="宋体" w:hAnsi="宋体" w:eastAsia="宋体" w:cs="宋体"/>
          <w:color w:val="auto"/>
          <w:kern w:val="2"/>
          <w:szCs w:val="21"/>
          <w:highlight w:val="none"/>
        </w:rPr>
        <w:t>设壮宁主变电所1座，与2号线共用朋云主变电所，控制中心与南宁轨道交通线网统一共用</w:t>
      </w:r>
      <w:r>
        <w:rPr>
          <w:rFonts w:hint="eastAsia" w:ascii="宋体" w:hAnsi="宋体" w:eastAsia="宋体" w:cs="宋体"/>
          <w:color w:val="auto"/>
          <w:kern w:val="2"/>
          <w:szCs w:val="21"/>
          <w:highlight w:val="none"/>
          <w:lang w:eastAsia="zh-CN"/>
        </w:rPr>
        <w:t>。</w:t>
      </w:r>
    </w:p>
    <w:bookmarkEnd w:id="1740"/>
    <w:bookmarkEnd w:id="1741"/>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42" w:name="_Toc26807"/>
      <w:bookmarkStart w:id="1743" w:name="_Toc8994"/>
      <w:r>
        <w:rPr>
          <w:rFonts w:hint="eastAsia" w:ascii="Times New Roman" w:hAnsi="Times New Roman" w:eastAsia="宋体" w:cs="Times New Roman"/>
          <w:b/>
          <w:bCs/>
          <w:color w:val="auto"/>
          <w:kern w:val="2"/>
          <w:sz w:val="24"/>
          <w:szCs w:val="32"/>
          <w:highlight w:val="none"/>
          <w:lang w:val="en-US" w:eastAsia="zh-CN" w:bidi="ar-SA"/>
        </w:rPr>
        <w:t>专用通信、AFC系统概况</w:t>
      </w:r>
      <w:bookmarkEnd w:id="1742"/>
      <w:bookmarkEnd w:id="1743"/>
    </w:p>
    <w:p>
      <w:pPr>
        <w:widowControl w:val="0"/>
        <w:spacing w:before="0" w:after="0" w:afterAutospacing="0" w:line="360" w:lineRule="auto"/>
        <w:ind w:left="0" w:right="0"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专用通信系统含专用传输、专用无线、专用电话、公务电话、广播、时钟、电源、视频监控、乘客信息、门禁等10个子系统，是轨道交通运营指挥、生产管理、乘客服务、治安反恐、应急指挥的网络平台，是轨道交通正常运转的神经系统。</w:t>
      </w:r>
    </w:p>
    <w:p>
      <w:pPr>
        <w:widowControl w:val="0"/>
        <w:spacing w:before="0" w:after="0" w:afterAutospacing="0" w:line="360" w:lineRule="auto"/>
        <w:ind w:left="0" w:right="0" w:firstLine="420" w:firstLineChars="20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自动售检票系统（以下简称“AFC系统”）是一个计程、计时的封闭式收费系统。系统采用自动、半自动售票，以自动售票为主，人工售票为辅，自动检票，使用非接触式IC卡、二维码作为车票媒体。自动售检票系统主要由各车站计算机系统SC、各车站终端自动售票机、自动充值机、半自动售票机、自动检票机、票务工作站、维修工作站、维修系统设备及培训系统设备、其他辅助配套设备及相关接口等组成。</w:t>
      </w:r>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44" w:name="_Toc32067"/>
      <w:bookmarkStart w:id="1745" w:name="_Toc9772"/>
      <w:r>
        <w:rPr>
          <w:rFonts w:hint="eastAsia" w:ascii="Times New Roman" w:hAnsi="Times New Roman" w:eastAsia="宋体" w:cs="Times New Roman"/>
          <w:b/>
          <w:bCs/>
          <w:color w:val="auto"/>
          <w:kern w:val="2"/>
          <w:sz w:val="24"/>
          <w:szCs w:val="32"/>
          <w:highlight w:val="none"/>
          <w:lang w:val="en-US" w:eastAsia="zh-CN" w:bidi="ar-SA"/>
        </w:rPr>
        <w:t>甲乙双方</w:t>
      </w:r>
      <w:bookmarkEnd w:id="1744"/>
      <w:bookmarkEnd w:id="1745"/>
    </w:p>
    <w:p>
      <w:pPr>
        <w:widowControl w:val="0"/>
        <w:spacing w:line="360" w:lineRule="auto"/>
        <w:ind w:firstLine="40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甲方：南宁轨道交通运营有限公司。</w:t>
      </w:r>
    </w:p>
    <w:p>
      <w:pPr>
        <w:widowControl w:val="0"/>
        <w:spacing w:line="360" w:lineRule="auto"/>
        <w:ind w:firstLine="400"/>
        <w:jc w:val="both"/>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乙方：响应比选、参加比选申请竞争的法人或组织。</w:t>
      </w:r>
    </w:p>
    <w:p>
      <w:pPr>
        <w:keepNext/>
        <w:keepLines/>
        <w:widowControl w:val="0"/>
        <w:numPr>
          <w:ilvl w:val="0"/>
          <w:numId w:val="19"/>
        </w:numPr>
        <w:tabs>
          <w:tab w:val="left" w:pos="0"/>
        </w:tabs>
        <w:spacing w:beforeLines="0" w:afterLines="0" w:line="360" w:lineRule="auto"/>
        <w:ind w:left="432" w:hanging="432"/>
        <w:jc w:val="left"/>
        <w:outlineLvl w:val="1"/>
        <w:rPr>
          <w:rFonts w:hint="eastAsia" w:ascii="宋体" w:hAnsi="宋体" w:eastAsia="宋体" w:cs="Times New Roman"/>
          <w:b/>
          <w:bCs/>
          <w:color w:val="auto"/>
          <w:kern w:val="44"/>
          <w:sz w:val="28"/>
          <w:szCs w:val="21"/>
          <w:highlight w:val="none"/>
          <w:lang w:val="en-US" w:eastAsia="zh-CN" w:bidi="ar-SA"/>
        </w:rPr>
      </w:pPr>
      <w:bookmarkStart w:id="1746" w:name="_Toc30895"/>
      <w:bookmarkStart w:id="1747" w:name="_Toc13930_WPSOffice_Level1"/>
      <w:bookmarkStart w:id="1748" w:name="_Toc5958_WPSOffice_Level1"/>
      <w:bookmarkStart w:id="1749" w:name="_Toc19544"/>
      <w:bookmarkStart w:id="1750" w:name="_Toc4174"/>
      <w:r>
        <w:rPr>
          <w:rFonts w:hint="eastAsia" w:ascii="Times New Roman" w:hAnsi="Times New Roman" w:eastAsia="宋体" w:cs="Times New Roman"/>
          <w:b/>
          <w:bCs/>
          <w:color w:val="auto"/>
          <w:kern w:val="44"/>
          <w:sz w:val="28"/>
          <w:szCs w:val="44"/>
          <w:highlight w:val="none"/>
          <w:lang w:val="en-US" w:eastAsia="zh-CN" w:bidi="ar-SA"/>
        </w:rPr>
        <w:t>委外维修项目范围</w:t>
      </w:r>
      <w:bookmarkEnd w:id="1746"/>
      <w:bookmarkEnd w:id="1747"/>
      <w:bookmarkEnd w:id="1748"/>
      <w:bookmarkEnd w:id="1749"/>
      <w:bookmarkEnd w:id="1750"/>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51" w:name="_Toc3230"/>
      <w:bookmarkStart w:id="1752" w:name="_Toc4959"/>
      <w:r>
        <w:rPr>
          <w:rFonts w:hint="eastAsia" w:ascii="Times New Roman" w:hAnsi="Times New Roman" w:eastAsia="宋体" w:cs="Times New Roman"/>
          <w:b/>
          <w:bCs/>
          <w:color w:val="auto"/>
          <w:kern w:val="2"/>
          <w:sz w:val="24"/>
          <w:szCs w:val="32"/>
          <w:highlight w:val="none"/>
          <w:lang w:val="en-US" w:eastAsia="zh-CN" w:bidi="ar-SA"/>
        </w:rPr>
        <w:t>委外维修项目范围及内容</w:t>
      </w:r>
      <w:bookmarkEnd w:id="1751"/>
      <w:bookmarkEnd w:id="1752"/>
    </w:p>
    <w:p>
      <w:pPr>
        <w:widowControl w:val="0"/>
        <w:tabs>
          <w:tab w:val="left" w:pos="0"/>
        </w:tabs>
        <w:spacing w:before="0" w:after="0" w:afterAutospacing="0" w:line="360" w:lineRule="auto"/>
        <w:ind w:left="0" w:right="0" w:firstLine="420" w:firstLineChars="20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委外维修项目范围及内容包括南宁轨道交通1、2、3、4号线专用通信、AFC系统故障件共计约5</w:t>
      </w:r>
      <w:r>
        <w:rPr>
          <w:rFonts w:hint="default" w:ascii="宋体" w:hAnsi="宋体" w:eastAsia="宋体" w:cs="Times New Roman"/>
          <w:color w:val="auto"/>
          <w:kern w:val="2"/>
          <w:szCs w:val="21"/>
          <w:highlight w:val="none"/>
          <w:lang w:val="en-US"/>
        </w:rPr>
        <w:t>1</w:t>
      </w:r>
      <w:r>
        <w:rPr>
          <w:rFonts w:hint="eastAsia" w:ascii="宋体" w:hAnsi="宋体" w:eastAsia="宋体" w:cs="Times New Roman"/>
          <w:color w:val="auto"/>
          <w:kern w:val="2"/>
          <w:szCs w:val="21"/>
          <w:highlight w:val="none"/>
        </w:rPr>
        <w:t>项</w:t>
      </w:r>
      <w:r>
        <w:rPr>
          <w:rFonts w:hint="default" w:ascii="宋体" w:hAnsi="宋体" w:eastAsia="宋体" w:cs="Times New Roman"/>
          <w:color w:val="auto"/>
          <w:kern w:val="2"/>
          <w:szCs w:val="21"/>
          <w:highlight w:val="none"/>
          <w:lang w:val="en-US"/>
        </w:rPr>
        <w:t>15</w:t>
      </w:r>
      <w:r>
        <w:rPr>
          <w:rFonts w:hint="default" w:ascii="宋体" w:hAnsi="宋体" w:eastAsia="宋体" w:cs="Times New Roman"/>
          <w:color w:val="auto"/>
          <w:kern w:val="2"/>
          <w:szCs w:val="21"/>
          <w:highlight w:val="none"/>
          <w:lang w:val="en-US" w:eastAsia="zh-CN"/>
        </w:rPr>
        <w:t>8</w:t>
      </w:r>
      <w:r>
        <w:rPr>
          <w:rFonts w:hint="eastAsia" w:ascii="宋体" w:hAnsi="宋体" w:eastAsia="宋体" w:cs="Times New Roman"/>
          <w:color w:val="auto"/>
          <w:kern w:val="2"/>
          <w:szCs w:val="21"/>
          <w:highlight w:val="none"/>
        </w:rPr>
        <w:t>件故障件的维修及修后质保服务工作，故障件清单详见附件1。故障件的维修包含故障件的包装、运输、检测、维修，修复件的出厂检验、运输、软硬件的调试及质保期内出现故障免费维修等。</w:t>
      </w:r>
    </w:p>
    <w:p>
      <w:pPr>
        <w:keepNext/>
        <w:keepLines/>
        <w:widowControl w:val="0"/>
        <w:numPr>
          <w:ilvl w:val="0"/>
          <w:numId w:val="19"/>
        </w:numPr>
        <w:tabs>
          <w:tab w:val="left" w:pos="0"/>
        </w:tabs>
        <w:spacing w:beforeLines="0" w:afterLines="0" w:line="360" w:lineRule="auto"/>
        <w:ind w:left="432" w:hanging="432"/>
        <w:jc w:val="left"/>
        <w:outlineLvl w:val="1"/>
        <w:rPr>
          <w:rFonts w:hint="eastAsia" w:ascii="宋体" w:hAnsi="宋体" w:eastAsia="宋体" w:cs="Times New Roman"/>
          <w:b/>
          <w:bCs/>
          <w:color w:val="auto"/>
          <w:kern w:val="44"/>
          <w:sz w:val="28"/>
          <w:szCs w:val="21"/>
          <w:highlight w:val="none"/>
          <w:lang w:val="en-US" w:eastAsia="zh-CN" w:bidi="ar-SA"/>
        </w:rPr>
      </w:pPr>
      <w:bookmarkStart w:id="1753" w:name="_Toc12650"/>
      <w:bookmarkStart w:id="1754" w:name="_Toc11878"/>
      <w:r>
        <w:rPr>
          <w:rFonts w:hint="eastAsia" w:ascii="Times New Roman" w:hAnsi="Times New Roman" w:eastAsia="宋体" w:cs="Times New Roman"/>
          <w:b/>
          <w:bCs/>
          <w:color w:val="auto"/>
          <w:kern w:val="44"/>
          <w:sz w:val="28"/>
          <w:szCs w:val="44"/>
          <w:highlight w:val="none"/>
          <w:lang w:val="en-US" w:eastAsia="zh-CN" w:bidi="ar-SA"/>
        </w:rPr>
        <w:t>委外维修项目承包方式及服务期</w:t>
      </w:r>
      <w:bookmarkEnd w:id="1753"/>
      <w:bookmarkEnd w:id="1754"/>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55" w:name="_Toc30417"/>
      <w:bookmarkStart w:id="1756" w:name="_Toc1947"/>
      <w:r>
        <w:rPr>
          <w:rFonts w:hint="eastAsia" w:ascii="Times New Roman" w:hAnsi="Times New Roman" w:eastAsia="宋体" w:cs="Times New Roman"/>
          <w:b/>
          <w:bCs/>
          <w:color w:val="auto"/>
          <w:kern w:val="2"/>
          <w:sz w:val="24"/>
          <w:szCs w:val="32"/>
          <w:highlight w:val="none"/>
          <w:lang w:val="en-US" w:eastAsia="zh-CN" w:bidi="ar-SA"/>
        </w:rPr>
        <w:t>承包方式</w:t>
      </w:r>
      <w:bookmarkEnd w:id="1755"/>
      <w:bookmarkEnd w:id="1756"/>
    </w:p>
    <w:p>
      <w:pPr>
        <w:widowControl w:val="0"/>
        <w:tabs>
          <w:tab w:val="left" w:pos="0"/>
        </w:tabs>
        <w:spacing w:before="0" w:after="0" w:afterAutospacing="0" w:line="360" w:lineRule="auto"/>
        <w:ind w:left="0" w:right="0" w:firstLine="420" w:firstLineChars="20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本项目故障件维修拟采用包工包料的承包方式，包工包料的内容包括：南宁轨道交通1、2、3、4号线专用通信、AFC系统故障件从送修到返还的全过程所产生的包装、运输、检测、维修，修复件的出厂检验、运输、软硬件的调试及质保期内出现故障免费维修等一切费用。此期间发生的所有费用统一按合同签订的每种故障件固定修复单价来按件结算，乙方必须保证送修的故障件修复率不低于故障件总数量的90%，个别不能修复的故障件乙方必须返还甲方，并提供故障件无法修复的分析说明。</w:t>
      </w:r>
    </w:p>
    <w:p>
      <w:pPr>
        <w:widowControl w:val="0"/>
        <w:tabs>
          <w:tab w:val="left" w:pos="0"/>
        </w:tabs>
        <w:spacing w:before="0" w:after="0" w:afterAutospacing="0" w:line="360" w:lineRule="auto"/>
        <w:ind w:left="0" w:right="0" w:firstLine="420" w:firstLineChars="20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本项目的故障件修复以“固定单价”的方式进行计价，最终以实际发生的数量进行结算。</w:t>
      </w:r>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57" w:name="_Toc5884"/>
      <w:bookmarkStart w:id="1758" w:name="_Toc18750"/>
      <w:r>
        <w:rPr>
          <w:rFonts w:hint="eastAsia" w:ascii="Times New Roman" w:hAnsi="Times New Roman" w:eastAsia="宋体" w:cs="Times New Roman"/>
          <w:b/>
          <w:bCs/>
          <w:color w:val="auto"/>
          <w:kern w:val="2"/>
          <w:sz w:val="24"/>
          <w:szCs w:val="32"/>
          <w:highlight w:val="none"/>
          <w:lang w:val="en-US" w:eastAsia="zh-CN" w:bidi="ar-SA"/>
        </w:rPr>
        <w:t>计划服务期</w:t>
      </w:r>
      <w:bookmarkEnd w:id="1757"/>
      <w:bookmarkEnd w:id="1758"/>
    </w:p>
    <w:p>
      <w:pPr>
        <w:keepNext w:val="0"/>
        <w:keepLines w:val="0"/>
        <w:pageBreakBefore w:val="0"/>
        <w:widowControl w:val="0"/>
        <w:numPr>
          <w:ilvl w:val="0"/>
          <w:numId w:val="20"/>
        </w:numPr>
        <w:tabs>
          <w:tab w:val="left" w:pos="1050"/>
          <w:tab w:val="left" w:pos="1260"/>
          <w:tab w:val="clear" w:pos="420"/>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本项目计划服务期为2年（自合同签订之日起开始计算24个月）。</w:t>
      </w:r>
    </w:p>
    <w:p>
      <w:pPr>
        <w:keepNext w:val="0"/>
        <w:keepLines w:val="0"/>
        <w:pageBreakBefore w:val="0"/>
        <w:widowControl w:val="0"/>
        <w:numPr>
          <w:ilvl w:val="0"/>
          <w:numId w:val="20"/>
        </w:numPr>
        <w:tabs>
          <w:tab w:val="left" w:pos="1050"/>
          <w:tab w:val="left" w:pos="1260"/>
          <w:tab w:val="clear" w:pos="420"/>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修复件的质保期为一年，质保期自双方签字验收之日起计算，每件返修件单独计算质保期。若返修件质保期内发生故障，则由乙方免费修复后重新计算质保期。</w:t>
      </w:r>
    </w:p>
    <w:p>
      <w:pPr>
        <w:keepNext/>
        <w:keepLines/>
        <w:widowControl w:val="0"/>
        <w:numPr>
          <w:ilvl w:val="0"/>
          <w:numId w:val="19"/>
        </w:numPr>
        <w:spacing w:beforeLines="0" w:afterLines="0" w:line="360" w:lineRule="auto"/>
        <w:ind w:left="432" w:hanging="432"/>
        <w:jc w:val="left"/>
        <w:outlineLvl w:val="1"/>
        <w:rPr>
          <w:rFonts w:hint="eastAsia" w:ascii="Times New Roman" w:hAnsi="Times New Roman" w:eastAsia="宋体" w:cs="Times New Roman"/>
          <w:b/>
          <w:bCs/>
          <w:color w:val="auto"/>
          <w:kern w:val="44"/>
          <w:sz w:val="28"/>
          <w:szCs w:val="44"/>
          <w:highlight w:val="none"/>
          <w:lang w:val="en-US" w:eastAsia="zh-CN" w:bidi="ar-SA"/>
        </w:rPr>
      </w:pPr>
      <w:bookmarkStart w:id="1759" w:name="_Toc9819"/>
      <w:bookmarkStart w:id="1760" w:name="_Toc21485"/>
      <w:bookmarkStart w:id="1761" w:name="_Toc30296_WPSOffice_Level1"/>
      <w:bookmarkStart w:id="1762" w:name="_Toc19829"/>
      <w:bookmarkStart w:id="1763" w:name="_Toc1336"/>
      <w:r>
        <w:rPr>
          <w:rFonts w:hint="eastAsia" w:ascii="Times New Roman" w:hAnsi="Times New Roman" w:eastAsia="宋体" w:cs="Times New Roman"/>
          <w:b/>
          <w:bCs/>
          <w:color w:val="auto"/>
          <w:kern w:val="44"/>
          <w:sz w:val="28"/>
          <w:szCs w:val="44"/>
          <w:highlight w:val="none"/>
          <w:lang w:val="en-US" w:eastAsia="zh-CN" w:bidi="ar-SA"/>
        </w:rPr>
        <w:t>项目管理</w:t>
      </w:r>
      <w:bookmarkEnd w:id="1759"/>
      <w:bookmarkEnd w:id="1760"/>
      <w:bookmarkEnd w:id="1761"/>
      <w:bookmarkEnd w:id="1762"/>
      <w:bookmarkEnd w:id="1763"/>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64" w:name="_Toc523247450"/>
      <w:bookmarkStart w:id="1765" w:name="_Toc9960"/>
      <w:bookmarkStart w:id="1766" w:name="_Toc14604"/>
      <w:bookmarkStart w:id="1767" w:name="_Toc12938"/>
      <w:bookmarkStart w:id="1768" w:name="_Toc19339"/>
      <w:r>
        <w:rPr>
          <w:rFonts w:hint="eastAsia" w:ascii="Times New Roman" w:hAnsi="Times New Roman" w:eastAsia="宋体" w:cs="Times New Roman"/>
          <w:b/>
          <w:bCs/>
          <w:color w:val="auto"/>
          <w:kern w:val="2"/>
          <w:sz w:val="24"/>
          <w:szCs w:val="32"/>
          <w:highlight w:val="none"/>
          <w:lang w:val="en-US" w:eastAsia="zh-CN" w:bidi="ar-SA"/>
        </w:rPr>
        <w:t>乙方资质</w:t>
      </w:r>
      <w:bookmarkEnd w:id="1764"/>
      <w:r>
        <w:rPr>
          <w:rFonts w:hint="eastAsia" w:ascii="Times New Roman" w:hAnsi="Times New Roman" w:eastAsia="宋体" w:cs="Times New Roman"/>
          <w:b/>
          <w:bCs/>
          <w:color w:val="auto"/>
          <w:kern w:val="2"/>
          <w:sz w:val="24"/>
          <w:szCs w:val="32"/>
          <w:highlight w:val="none"/>
          <w:lang w:val="en-US" w:eastAsia="zh-CN" w:bidi="ar-SA"/>
        </w:rPr>
        <w:t>要求</w:t>
      </w:r>
      <w:bookmarkEnd w:id="1765"/>
      <w:bookmarkEnd w:id="1766"/>
      <w:bookmarkEnd w:id="1767"/>
      <w:bookmarkEnd w:id="1768"/>
    </w:p>
    <w:p>
      <w:pPr>
        <w:keepNext w:val="0"/>
        <w:keepLines w:val="0"/>
        <w:pageBreakBefore w:val="0"/>
        <w:widowControl w:val="0"/>
        <w:numPr>
          <w:ilvl w:val="0"/>
          <w:numId w:val="21"/>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lang w:eastAsia="zh-CN"/>
        </w:rPr>
        <w:t>乙方为中华人民共和国境内依法设立的法人或其他组织。</w:t>
      </w:r>
    </w:p>
    <w:p>
      <w:pPr>
        <w:keepNext w:val="0"/>
        <w:keepLines w:val="0"/>
        <w:pageBreakBefore w:val="0"/>
        <w:widowControl w:val="0"/>
        <w:numPr>
          <w:ilvl w:val="0"/>
          <w:numId w:val="21"/>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lang w:val="en-US" w:eastAsia="zh-CN"/>
        </w:rPr>
        <w:t>乙方自2019年1月1日至</w:t>
      </w:r>
      <w:r>
        <w:rPr>
          <w:rFonts w:hint="eastAsia" w:ascii="宋体" w:hAnsi="宋体" w:eastAsia="宋体" w:cs="Times New Roman"/>
          <w:color w:val="auto"/>
          <w:kern w:val="2"/>
          <w:szCs w:val="21"/>
          <w:highlight w:val="none"/>
          <w:lang w:eastAsia="zh-CN"/>
        </w:rPr>
        <w:t>截标时间前至少承接过</w:t>
      </w:r>
      <w:r>
        <w:rPr>
          <w:rFonts w:hint="eastAsia" w:ascii="宋体" w:hAnsi="宋体" w:eastAsia="宋体" w:cs="Times New Roman"/>
          <w:color w:val="auto"/>
          <w:kern w:val="2"/>
          <w:szCs w:val="21"/>
          <w:highlight w:val="none"/>
          <w:lang w:val="en-US" w:eastAsia="zh-CN"/>
        </w:rPr>
        <w:t>1项合同金额不低于20万的</w:t>
      </w:r>
      <w:r>
        <w:rPr>
          <w:rFonts w:hint="eastAsia" w:ascii="宋体" w:hAnsi="宋体" w:eastAsia="宋体" w:cs="Times New Roman"/>
          <w:color w:val="auto"/>
          <w:kern w:val="2"/>
          <w:szCs w:val="21"/>
          <w:highlight w:val="none"/>
          <w:lang w:eastAsia="zh-CN"/>
        </w:rPr>
        <w:t>轨道交通通信或自动售检故障件维修项目，并提供项目业绩证明材料。（业绩证明材料为合同，业绩证明材料中须体现出合同双方、合同签订时间、合同服务、合同金额等内容。）。</w:t>
      </w:r>
    </w:p>
    <w:p>
      <w:pPr>
        <w:keepNext w:val="0"/>
        <w:keepLines w:val="0"/>
        <w:pageBreakBefore w:val="0"/>
        <w:widowControl w:val="0"/>
        <w:numPr>
          <w:ilvl w:val="0"/>
          <w:numId w:val="21"/>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lang w:eastAsia="zh-CN"/>
        </w:rPr>
        <w:t>乙方没有处于行政主管部门或业主取消投标资格的处罚期内，且没有被责令停业，财产被接管，破产状态；在投标截止时间前3年内没有骗取中标、严重违约或重大质量安全责任事故的情况。</w:t>
      </w:r>
    </w:p>
    <w:p>
      <w:pPr>
        <w:keepNext w:val="0"/>
        <w:keepLines w:val="0"/>
        <w:pageBreakBefore w:val="0"/>
        <w:widowControl w:val="0"/>
        <w:numPr>
          <w:ilvl w:val="0"/>
          <w:numId w:val="21"/>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lang w:eastAsia="zh-CN"/>
        </w:rPr>
        <w:t>单位负责人为同一人或者存在控股、管理关系的不同单位，不得参加同一标段投标或者未划分标段的同一招标项目投标。</w:t>
      </w:r>
    </w:p>
    <w:p>
      <w:pPr>
        <w:keepNext w:val="0"/>
        <w:keepLines w:val="0"/>
        <w:pageBreakBefore w:val="0"/>
        <w:widowControl w:val="0"/>
        <w:numPr>
          <w:ilvl w:val="0"/>
          <w:numId w:val="21"/>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lang w:eastAsia="zh-CN"/>
        </w:rPr>
        <w:t>本项目不接受联合体投标。</w:t>
      </w:r>
    </w:p>
    <w:p>
      <w:pPr>
        <w:keepNext w:val="0"/>
        <w:keepLines w:val="0"/>
        <w:pageBreakBefore w:val="0"/>
        <w:widowControl w:val="0"/>
        <w:numPr>
          <w:ilvl w:val="0"/>
          <w:numId w:val="21"/>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lang w:eastAsia="zh-CN"/>
        </w:rPr>
        <w:t>乙方未列入甲方不良信用名单的。</w:t>
      </w:r>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69" w:name="_Toc24144"/>
      <w:bookmarkStart w:id="1770" w:name="_Toc14674"/>
      <w:bookmarkStart w:id="1771" w:name="_Toc2275"/>
      <w:bookmarkStart w:id="1772" w:name="_Toc8904"/>
      <w:bookmarkStart w:id="1773" w:name="_Toc7851_WPSOffice_Level2"/>
      <w:r>
        <w:rPr>
          <w:rFonts w:hint="eastAsia" w:ascii="Times New Roman" w:hAnsi="Times New Roman" w:eastAsia="宋体" w:cs="Times New Roman"/>
          <w:b/>
          <w:bCs/>
          <w:color w:val="auto"/>
          <w:kern w:val="2"/>
          <w:sz w:val="24"/>
          <w:szCs w:val="32"/>
          <w:highlight w:val="none"/>
          <w:lang w:val="en-US" w:eastAsia="zh-CN" w:bidi="ar-SA"/>
        </w:rPr>
        <w:t>知识产权</w:t>
      </w:r>
      <w:bookmarkEnd w:id="1769"/>
      <w:bookmarkEnd w:id="1770"/>
    </w:p>
    <w:p>
      <w:pPr>
        <w:keepNext w:val="0"/>
        <w:keepLines w:val="0"/>
        <w:pageBreakBefore w:val="0"/>
        <w:widowControl w:val="0"/>
        <w:numPr>
          <w:ilvl w:val="0"/>
          <w:numId w:val="22"/>
        </w:numPr>
        <w:tabs>
          <w:tab w:val="left" w:pos="-261"/>
        </w:tabs>
        <w:kinsoku/>
        <w:wordWrap/>
        <w:overflowPunct/>
        <w:topLinePunct w:val="0"/>
        <w:autoSpaceDE/>
        <w:autoSpaceDN/>
        <w:bidi w:val="0"/>
        <w:adjustRightInd/>
        <w:snapToGrid/>
        <w:spacing w:before="0" w:after="0" w:afterAutospacing="0" w:line="360" w:lineRule="auto"/>
        <w:ind w:left="-261"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乙方保证依据本合同所提供的任何产品、资料、物件及服务均不构成对第三方合法权益的侵犯，包括但不限于知识产权，即甲方在中国使用乙方提供的产品及产品的任何一部分、资料或服务无产权纠纷。</w:t>
      </w:r>
    </w:p>
    <w:p>
      <w:pPr>
        <w:keepNext w:val="0"/>
        <w:keepLines w:val="0"/>
        <w:pageBreakBefore w:val="0"/>
        <w:widowControl w:val="0"/>
        <w:numPr>
          <w:ilvl w:val="0"/>
          <w:numId w:val="22"/>
        </w:numPr>
        <w:tabs>
          <w:tab w:val="left" w:pos="-261"/>
        </w:tabs>
        <w:kinsoku/>
        <w:wordWrap/>
        <w:overflowPunct/>
        <w:topLinePunct w:val="0"/>
        <w:autoSpaceDE/>
        <w:autoSpaceDN/>
        <w:bidi w:val="0"/>
        <w:adjustRightInd/>
        <w:snapToGrid/>
        <w:spacing w:before="0" w:after="0" w:afterAutospacing="0" w:line="360" w:lineRule="auto"/>
        <w:ind w:left="-261"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在乙方履行合同过程中，需使用第三人专利、专有技术、技术秘密、商业秘密、著作权、商标权等知识产权的，乙方应取得甲方同意，所使用的知识产权应支付的费用由乙方承担。</w:t>
      </w:r>
    </w:p>
    <w:p>
      <w:pPr>
        <w:keepNext w:val="0"/>
        <w:keepLines w:val="0"/>
        <w:pageBreakBefore w:val="0"/>
        <w:widowControl w:val="0"/>
        <w:numPr>
          <w:ilvl w:val="0"/>
          <w:numId w:val="22"/>
        </w:numPr>
        <w:tabs>
          <w:tab w:val="left" w:pos="-261"/>
        </w:tabs>
        <w:kinsoku/>
        <w:wordWrap/>
        <w:overflowPunct/>
        <w:topLinePunct w:val="0"/>
        <w:autoSpaceDE/>
        <w:autoSpaceDN/>
        <w:bidi w:val="0"/>
        <w:adjustRightInd/>
        <w:snapToGrid/>
        <w:spacing w:before="0" w:after="0" w:afterAutospacing="0" w:line="360" w:lineRule="auto"/>
        <w:ind w:left="-261"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因乙方提供的任何产品、资料、物件及服务引起的知识产权纠纷，由乙方负责与第三人交涉、参加诉讼、进行辩护，并承担由此引起的一切法律和经济上的责任。上述纠纷包括但不限于因乙方拥有或者有权许可的知识产权存在瑕疵导致产品瑕疵引起的索赔、诉讼或损失，因上述知识产权未在中国申请知识产权保护或海关备案而引起的侵权纠纷。</w:t>
      </w:r>
    </w:p>
    <w:p>
      <w:pPr>
        <w:keepNext w:val="0"/>
        <w:keepLines w:val="0"/>
        <w:pageBreakBefore w:val="0"/>
        <w:widowControl w:val="0"/>
        <w:numPr>
          <w:ilvl w:val="0"/>
          <w:numId w:val="22"/>
        </w:numPr>
        <w:tabs>
          <w:tab w:val="left" w:pos="-261"/>
        </w:tabs>
        <w:kinsoku/>
        <w:wordWrap/>
        <w:overflowPunct/>
        <w:topLinePunct w:val="0"/>
        <w:autoSpaceDE/>
        <w:autoSpaceDN/>
        <w:bidi w:val="0"/>
        <w:adjustRightInd/>
        <w:snapToGrid/>
        <w:spacing w:before="0" w:after="0" w:afterAutospacing="0" w:line="360" w:lineRule="auto"/>
        <w:ind w:left="-261"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如乙方拒绝、怠于履行上述义务或出现知识产权纠纷，甲方有权解除合同。甲方被第三方起诉或以其他方式追究责任，乙方应赔偿因甲方被第三方索赔所引起的一切损失，包括但不限于甲方所支付的侵权损害赔偿费、律师费、诉讼费、仲裁费、办案差旅费等因应诉、沟通协调所发的一切费用。</w:t>
      </w:r>
    </w:p>
    <w:p>
      <w:pPr>
        <w:keepNext/>
        <w:keepLines/>
        <w:widowControl w:val="0"/>
        <w:numPr>
          <w:ilvl w:val="0"/>
          <w:numId w:val="19"/>
        </w:numPr>
        <w:spacing w:beforeLines="0" w:afterLines="0" w:line="360" w:lineRule="auto"/>
        <w:ind w:left="432" w:hanging="432"/>
        <w:jc w:val="left"/>
        <w:outlineLvl w:val="1"/>
        <w:rPr>
          <w:rFonts w:hint="eastAsia" w:ascii="Times New Roman" w:hAnsi="Times New Roman" w:eastAsia="宋体" w:cs="Times New Roman"/>
          <w:b/>
          <w:bCs/>
          <w:color w:val="auto"/>
          <w:kern w:val="44"/>
          <w:sz w:val="28"/>
          <w:szCs w:val="44"/>
          <w:highlight w:val="none"/>
          <w:lang w:val="en-US" w:eastAsia="zh-CN" w:bidi="ar-SA"/>
        </w:rPr>
      </w:pPr>
      <w:bookmarkStart w:id="1774" w:name="_Toc24358"/>
      <w:bookmarkStart w:id="1775" w:name="_Toc14156"/>
      <w:r>
        <w:rPr>
          <w:rFonts w:hint="eastAsia" w:ascii="Times New Roman" w:hAnsi="Times New Roman" w:eastAsia="宋体" w:cs="Times New Roman"/>
          <w:b/>
          <w:bCs/>
          <w:color w:val="auto"/>
          <w:kern w:val="44"/>
          <w:sz w:val="28"/>
          <w:szCs w:val="44"/>
          <w:highlight w:val="none"/>
          <w:lang w:val="en-US" w:eastAsia="zh-CN" w:bidi="ar-SA"/>
        </w:rPr>
        <w:t>项目要求</w:t>
      </w:r>
      <w:bookmarkEnd w:id="1774"/>
      <w:bookmarkEnd w:id="1775"/>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76" w:name="_Toc19106"/>
      <w:bookmarkStart w:id="1777" w:name="_Toc15850"/>
      <w:r>
        <w:rPr>
          <w:rFonts w:hint="eastAsia" w:ascii="Times New Roman" w:hAnsi="Times New Roman" w:eastAsia="宋体" w:cs="Times New Roman"/>
          <w:b/>
          <w:bCs/>
          <w:color w:val="auto"/>
          <w:kern w:val="2"/>
          <w:sz w:val="24"/>
          <w:szCs w:val="32"/>
          <w:highlight w:val="none"/>
          <w:lang w:val="en-US" w:eastAsia="zh-CN" w:bidi="ar-SA"/>
        </w:rPr>
        <w:t>维修要求</w:t>
      </w:r>
      <w:bookmarkEnd w:id="1776"/>
      <w:bookmarkEnd w:id="1777"/>
    </w:p>
    <w:p>
      <w:pPr>
        <w:keepNext w:val="0"/>
        <w:keepLines w:val="0"/>
        <w:pageBreakBefore w:val="0"/>
        <w:widowControl w:val="0"/>
        <w:numPr>
          <w:ilvl w:val="0"/>
          <w:numId w:val="23"/>
        </w:numPr>
        <w:tabs>
          <w:tab w:val="left" w:pos="-261"/>
        </w:tabs>
        <w:kinsoku/>
        <w:wordWrap/>
        <w:overflowPunct/>
        <w:topLinePunct w:val="0"/>
        <w:autoSpaceDE/>
        <w:autoSpaceDN/>
        <w:bidi w:val="0"/>
        <w:adjustRightInd/>
        <w:snapToGrid/>
        <w:spacing w:before="0" w:after="0" w:afterAutospacing="0" w:line="360" w:lineRule="auto"/>
        <w:ind w:left="0"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合同签订后，甲方根据故障件维修需求不定期向乙方移交需维修的故障件，乙方收到甲方的故障件之日（甲方采取物流方式的，以乙方签收时间为准）起30个自然日内完成维修工作并返回至乙方指定地址（乙方采取物流方式的，以乙方发出时间为准）。所有维修时间需经甲方确认，乙方有正当理由的经报备甲方并经甲方同意后可延长维修时间。</w:t>
      </w:r>
    </w:p>
    <w:p>
      <w:pPr>
        <w:keepNext w:val="0"/>
        <w:keepLines w:val="0"/>
        <w:pageBreakBefore w:val="0"/>
        <w:widowControl w:val="0"/>
        <w:numPr>
          <w:ilvl w:val="0"/>
          <w:numId w:val="23"/>
        </w:numPr>
        <w:tabs>
          <w:tab w:val="left" w:pos="-261"/>
        </w:tabs>
        <w:kinsoku/>
        <w:wordWrap/>
        <w:overflowPunct/>
        <w:topLinePunct w:val="0"/>
        <w:autoSpaceDE/>
        <w:autoSpaceDN/>
        <w:bidi w:val="0"/>
        <w:adjustRightInd/>
        <w:snapToGrid/>
        <w:spacing w:before="0" w:after="0" w:afterAutospacing="0" w:line="360" w:lineRule="auto"/>
        <w:ind w:left="0"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货物运输、包装应按国家相关标准规定执行，由于运输、包装不善引起的货物损坏和损失均由乙方承担。</w:t>
      </w:r>
    </w:p>
    <w:p>
      <w:pPr>
        <w:keepNext w:val="0"/>
        <w:keepLines w:val="0"/>
        <w:pageBreakBefore w:val="0"/>
        <w:widowControl w:val="0"/>
        <w:numPr>
          <w:ilvl w:val="0"/>
          <w:numId w:val="23"/>
        </w:numPr>
        <w:tabs>
          <w:tab w:val="left" w:pos="-261"/>
        </w:tabs>
        <w:kinsoku/>
        <w:wordWrap/>
        <w:overflowPunct/>
        <w:topLinePunct w:val="0"/>
        <w:autoSpaceDE/>
        <w:autoSpaceDN/>
        <w:bidi w:val="0"/>
        <w:adjustRightInd/>
        <w:snapToGrid/>
        <w:spacing w:before="0" w:after="0" w:afterAutospacing="0" w:line="360" w:lineRule="auto"/>
        <w:ind w:left="0" w:leftChars="0" w:right="0" w:firstLine="403" w:firstLineChars="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故障件维修完成后，乙方需提供故障件维修清单（维修清单包括故障件型号、故障原因、维修内容、更换配件（仅指故障件内的零配件）等内容）、维修报告、返修件出厂检测报告等，并提交甲方。</w:t>
      </w:r>
    </w:p>
    <w:p>
      <w:pPr>
        <w:keepNext/>
        <w:keepLines/>
        <w:widowControl w:val="0"/>
        <w:numPr>
          <w:ilvl w:val="1"/>
          <w:numId w:val="19"/>
        </w:numPr>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778" w:name="_Toc5672"/>
      <w:bookmarkStart w:id="1779" w:name="_Toc1938"/>
      <w:bookmarkStart w:id="1780" w:name="_Toc29068"/>
      <w:bookmarkStart w:id="1781" w:name="_Toc14830"/>
      <w:bookmarkStart w:id="1782" w:name="_Toc1118"/>
      <w:bookmarkStart w:id="1783" w:name="_Toc576"/>
      <w:bookmarkStart w:id="1784" w:name="_Toc12789"/>
      <w:bookmarkStart w:id="1785" w:name="_Toc8829"/>
      <w:r>
        <w:rPr>
          <w:rFonts w:hint="eastAsia" w:ascii="Times New Roman" w:hAnsi="Times New Roman" w:eastAsia="宋体" w:cs="Times New Roman"/>
          <w:b/>
          <w:bCs/>
          <w:color w:val="auto"/>
          <w:kern w:val="2"/>
          <w:sz w:val="24"/>
          <w:szCs w:val="32"/>
          <w:highlight w:val="none"/>
          <w:lang w:val="en-US" w:eastAsia="zh-CN" w:bidi="ar-SA"/>
        </w:rPr>
        <w:t>维修标准</w:t>
      </w:r>
      <w:bookmarkEnd w:id="1778"/>
      <w:bookmarkEnd w:id="1779"/>
      <w:bookmarkEnd w:id="1780"/>
      <w:bookmarkEnd w:id="1781"/>
      <w:bookmarkEnd w:id="1782"/>
      <w:bookmarkEnd w:id="1783"/>
      <w:bookmarkEnd w:id="1784"/>
      <w:bookmarkEnd w:id="1785"/>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乙方应当派遣技术熟练、经验丰富的技术人员对甲方的设备进行检测、维修。检测维修需要的工具、仪器均由乙方负责提供。</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乙方保证所更换的零部件未侵犯任何第三方的知识产权，包括但不限于著作权、商标权、专利权、商业秘密权及其他合法权益。</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3"/>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乙方不得更换不需维修的部件，不得损坏甲方的设备。</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如因乙方对故障判断错误、更换了不该更换的部件，乙方承担全部费用。</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在维修过程中，因乙方原因造成设备损坏或丢失的，乙方承担赔偿责任。</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在维修过程中，如涉及软件处理的，包括对软件的删除、更改、重装等需要征得甲方相关人员的同意。</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在维修过程中，如因乙方原因造成板卡原有系统或固件损坏的，乙方须承担板卡系统或固件重装的全部费用。</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乙方在维修过程中，非经甲方相关人员的签字认可，不得删除或者更改甲方设备中的任何信息。</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3"/>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乙方保证通过维修后，设备能够正常工作。</w:t>
      </w:r>
    </w:p>
    <w:p>
      <w:pPr>
        <w:keepNext w:val="0"/>
        <w:keepLines w:val="0"/>
        <w:pageBreakBefore w:val="0"/>
        <w:widowControl w:val="0"/>
        <w:numPr>
          <w:ilvl w:val="0"/>
          <w:numId w:val="24"/>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乙方人员的财产与人身安全由乙方自行负责，乙方应当爱护甲方财物，如乙方造成甲方财产损失或者造成甲方及第三方人员伤亡事故的，乙方承担全部责任。</w:t>
      </w:r>
    </w:p>
    <w:p>
      <w:pPr>
        <w:keepNext/>
        <w:keepLines/>
        <w:widowControl w:val="0"/>
        <w:numPr>
          <w:ilvl w:val="1"/>
          <w:numId w:val="19"/>
        </w:numPr>
        <w:spacing w:beforeLines="0" w:afterLines="0" w:line="360" w:lineRule="auto"/>
        <w:ind w:left="575" w:hanging="575"/>
        <w:jc w:val="left"/>
        <w:outlineLvl w:val="2"/>
        <w:rPr>
          <w:rFonts w:hint="default" w:ascii="Times New Roman" w:hAnsi="Times New Roman" w:eastAsia="宋体" w:cs="Times New Roman"/>
          <w:b/>
          <w:bCs/>
          <w:color w:val="auto"/>
          <w:kern w:val="2"/>
          <w:sz w:val="24"/>
          <w:szCs w:val="32"/>
          <w:highlight w:val="none"/>
          <w:lang w:val="en-US" w:eastAsia="zh-CN" w:bidi="ar-SA"/>
        </w:rPr>
      </w:pPr>
      <w:bookmarkStart w:id="1786" w:name="_Toc12806"/>
      <w:bookmarkStart w:id="1787" w:name="_Toc31896"/>
      <w:bookmarkStart w:id="1788" w:name="_Toc19362"/>
      <w:bookmarkStart w:id="1789" w:name="_Toc14683"/>
      <w:bookmarkStart w:id="1790" w:name="_Toc13215"/>
      <w:bookmarkStart w:id="1791" w:name="_Toc11902"/>
      <w:bookmarkStart w:id="1792" w:name="_Toc522"/>
      <w:bookmarkStart w:id="1793" w:name="_Toc20678"/>
      <w:r>
        <w:rPr>
          <w:rFonts w:hint="default" w:ascii="Times New Roman" w:hAnsi="Times New Roman" w:eastAsia="宋体" w:cs="Times New Roman"/>
          <w:b/>
          <w:bCs/>
          <w:color w:val="auto"/>
          <w:kern w:val="2"/>
          <w:sz w:val="24"/>
          <w:szCs w:val="32"/>
          <w:highlight w:val="none"/>
          <w:lang w:val="en-US" w:eastAsia="zh-CN" w:bidi="ar-SA"/>
        </w:rPr>
        <w:t>质量</w:t>
      </w:r>
      <w:r>
        <w:rPr>
          <w:rFonts w:hint="eastAsia" w:ascii="Times New Roman" w:hAnsi="Times New Roman" w:eastAsia="宋体" w:cs="Times New Roman"/>
          <w:b/>
          <w:bCs/>
          <w:color w:val="auto"/>
          <w:kern w:val="2"/>
          <w:sz w:val="24"/>
          <w:szCs w:val="32"/>
          <w:highlight w:val="none"/>
          <w:lang w:val="en-US" w:eastAsia="zh-CN" w:bidi="ar-SA"/>
        </w:rPr>
        <w:t>要求</w:t>
      </w:r>
      <w:bookmarkEnd w:id="1786"/>
      <w:bookmarkEnd w:id="1787"/>
      <w:bookmarkEnd w:id="1788"/>
      <w:bookmarkEnd w:id="1789"/>
      <w:bookmarkEnd w:id="1790"/>
      <w:bookmarkEnd w:id="1791"/>
      <w:bookmarkEnd w:id="1792"/>
      <w:bookmarkEnd w:id="1793"/>
    </w:p>
    <w:p>
      <w:pPr>
        <w:keepNext w:val="0"/>
        <w:keepLines w:val="0"/>
        <w:pageBreakBefore w:val="0"/>
        <w:widowControl w:val="0"/>
        <w:numPr>
          <w:ilvl w:val="0"/>
          <w:numId w:val="25"/>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乙方应按法律、行政法规或国家关于服务质量保修的相关规定，对交付使用的修复件在质量保修期内承担质量保修责任。</w:t>
      </w:r>
    </w:p>
    <w:p>
      <w:pPr>
        <w:keepNext w:val="0"/>
        <w:keepLines w:val="0"/>
        <w:pageBreakBefore w:val="0"/>
        <w:widowControl w:val="0"/>
        <w:numPr>
          <w:ilvl w:val="0"/>
          <w:numId w:val="25"/>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乙方对</w:t>
      </w:r>
      <w:r>
        <w:rPr>
          <w:rFonts w:hint="default" w:ascii="宋体" w:hAnsi="宋体" w:eastAsia="宋体" w:cs="Times New Roman"/>
          <w:color w:val="auto"/>
          <w:kern w:val="2"/>
          <w:szCs w:val="21"/>
          <w:highlight w:val="none"/>
          <w:lang w:val="en-US" w:eastAsia="zh-CN"/>
        </w:rPr>
        <w:t>修复</w:t>
      </w:r>
      <w:r>
        <w:rPr>
          <w:rFonts w:hint="eastAsia" w:ascii="宋体" w:hAnsi="宋体" w:eastAsia="宋体" w:cs="Times New Roman"/>
          <w:color w:val="auto"/>
          <w:kern w:val="2"/>
          <w:szCs w:val="21"/>
          <w:highlight w:val="none"/>
          <w:lang w:val="en-US" w:eastAsia="zh-CN"/>
        </w:rPr>
        <w:t>件进行检测，确保其各项指标达到要求，</w:t>
      </w:r>
      <w:r>
        <w:rPr>
          <w:rFonts w:hint="default" w:ascii="宋体" w:hAnsi="宋体" w:eastAsia="宋体" w:cs="Times New Roman"/>
          <w:color w:val="auto"/>
          <w:kern w:val="2"/>
          <w:szCs w:val="21"/>
          <w:highlight w:val="none"/>
          <w:lang w:val="en-US" w:eastAsia="zh-CN"/>
        </w:rPr>
        <w:t>并</w:t>
      </w:r>
      <w:r>
        <w:rPr>
          <w:rFonts w:hint="eastAsia" w:ascii="宋体" w:hAnsi="宋体" w:eastAsia="宋体" w:cs="Times New Roman"/>
          <w:color w:val="auto"/>
          <w:kern w:val="2"/>
          <w:szCs w:val="21"/>
          <w:highlight w:val="none"/>
          <w:lang w:val="en-US" w:eastAsia="zh-CN"/>
        </w:rPr>
        <w:t>提供维修报告（详见附件2</w:t>
      </w:r>
      <w:r>
        <w:rPr>
          <w:rFonts w:hint="default" w:ascii="宋体" w:hAnsi="宋体" w:eastAsia="宋体" w:cs="Times New Roman"/>
          <w:color w:val="auto"/>
          <w:kern w:val="2"/>
          <w:szCs w:val="21"/>
          <w:highlight w:val="none"/>
          <w:lang w:val="en-US" w:eastAsia="zh-CN"/>
        </w:rPr>
        <w:t>）。</w:t>
      </w:r>
      <w:r>
        <w:rPr>
          <w:rFonts w:hint="eastAsia" w:ascii="宋体" w:hAnsi="宋体" w:eastAsia="宋体" w:cs="Times New Roman"/>
          <w:color w:val="auto"/>
          <w:kern w:val="2"/>
          <w:szCs w:val="21"/>
          <w:highlight w:val="none"/>
          <w:lang w:val="en-US" w:eastAsia="zh-CN"/>
        </w:rPr>
        <w:t>甲方收到修复件</w:t>
      </w:r>
      <w:r>
        <w:rPr>
          <w:rFonts w:hint="default" w:ascii="宋体" w:hAnsi="宋体" w:eastAsia="宋体" w:cs="Times New Roman"/>
          <w:color w:val="auto"/>
          <w:kern w:val="2"/>
          <w:szCs w:val="21"/>
          <w:highlight w:val="none"/>
          <w:lang w:val="en-US" w:eastAsia="zh-CN"/>
        </w:rPr>
        <w:t>后开展现场功能测试，如验收不合格则</w:t>
      </w:r>
      <w:r>
        <w:rPr>
          <w:rFonts w:hint="eastAsia" w:ascii="宋体" w:hAnsi="宋体" w:eastAsia="宋体" w:cs="Times New Roman"/>
          <w:color w:val="auto"/>
          <w:kern w:val="2"/>
          <w:szCs w:val="21"/>
          <w:highlight w:val="none"/>
          <w:lang w:val="en-US" w:eastAsia="zh-CN"/>
        </w:rPr>
        <w:t>再次返修（所有故障件仅限返修一次，如返修后验收不合格则视为无法修复），乙方收到甲方的返修件之日（甲方采取物流方式的，以乙方签收时间为准）起15个自然日内完成维修工作并返回至乙方指定地址（乙方采取物流方式的，以乙方发出时间为准）。</w:t>
      </w:r>
    </w:p>
    <w:p>
      <w:pPr>
        <w:keepNext w:val="0"/>
        <w:keepLines w:val="0"/>
        <w:pageBreakBefore w:val="0"/>
        <w:widowControl w:val="0"/>
        <w:numPr>
          <w:ilvl w:val="0"/>
          <w:numId w:val="25"/>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没有通过现场功能测试确认的</w:t>
      </w:r>
      <w:r>
        <w:rPr>
          <w:rFonts w:hint="default" w:ascii="宋体" w:hAnsi="宋体" w:eastAsia="宋体" w:cs="Times New Roman"/>
          <w:color w:val="auto"/>
          <w:kern w:val="2"/>
          <w:szCs w:val="21"/>
          <w:highlight w:val="none"/>
          <w:lang w:val="en-US" w:eastAsia="zh-CN"/>
        </w:rPr>
        <w:t>修复</w:t>
      </w:r>
      <w:r>
        <w:rPr>
          <w:rFonts w:hint="eastAsia" w:ascii="宋体" w:hAnsi="宋体" w:eastAsia="宋体" w:cs="Times New Roman"/>
          <w:color w:val="auto"/>
          <w:kern w:val="2"/>
          <w:szCs w:val="21"/>
          <w:highlight w:val="none"/>
          <w:lang w:val="en-US" w:eastAsia="zh-CN"/>
        </w:rPr>
        <w:t>件，由乙方负责再次修复工作并承担所有费用。再次送修的故障件的修复时限和质保期按照以上确定的办法重复循环。</w:t>
      </w:r>
    </w:p>
    <w:p>
      <w:pPr>
        <w:keepNext w:val="0"/>
        <w:keepLines w:val="0"/>
        <w:pageBreakBefore w:val="0"/>
        <w:widowControl w:val="0"/>
        <w:numPr>
          <w:ilvl w:val="0"/>
          <w:numId w:val="25"/>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乙方如无法在30个自然日内修复的，应在收到故障件后7个自然日内书面告知甲方，经甲方同意后可延长修复期限，修复最长期限为45个自然日。</w:t>
      </w:r>
    </w:p>
    <w:p>
      <w:pPr>
        <w:keepNext w:val="0"/>
        <w:keepLines w:val="0"/>
        <w:pageBreakBefore w:val="0"/>
        <w:widowControl w:val="0"/>
        <w:numPr>
          <w:ilvl w:val="0"/>
          <w:numId w:val="25"/>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default"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在质保期内，修复件出现故障或损坏，均由乙方免费负责维修，质保期重新计算。</w:t>
      </w:r>
    </w:p>
    <w:p>
      <w:pPr>
        <w:keepNext w:val="0"/>
        <w:keepLines w:val="0"/>
        <w:pageBreakBefore w:val="0"/>
        <w:widowControl w:val="0"/>
        <w:numPr>
          <w:ilvl w:val="0"/>
          <w:numId w:val="25"/>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3"/>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对于无法修复的故障件，返回时应出具说明材料。</w:t>
      </w:r>
      <w:bookmarkEnd w:id="1771"/>
      <w:bookmarkEnd w:id="1772"/>
      <w:bookmarkEnd w:id="1773"/>
    </w:p>
    <w:p>
      <w:pPr>
        <w:keepNext/>
        <w:keepLines/>
        <w:widowControl w:val="0"/>
        <w:numPr>
          <w:ilvl w:val="0"/>
          <w:numId w:val="19"/>
        </w:numPr>
        <w:spacing w:beforeLines="0" w:afterLines="0" w:line="360" w:lineRule="auto"/>
        <w:ind w:left="432" w:hanging="432"/>
        <w:jc w:val="left"/>
        <w:outlineLvl w:val="1"/>
        <w:rPr>
          <w:rFonts w:hint="eastAsia" w:ascii="Times New Roman" w:hAnsi="Times New Roman" w:eastAsia="宋体" w:cs="Times New Roman"/>
          <w:b/>
          <w:bCs/>
          <w:color w:val="auto"/>
          <w:kern w:val="44"/>
          <w:sz w:val="28"/>
          <w:szCs w:val="44"/>
          <w:highlight w:val="none"/>
          <w:lang w:val="en-US" w:eastAsia="zh-CN" w:bidi="ar-SA"/>
        </w:rPr>
      </w:pPr>
      <w:bookmarkStart w:id="1794" w:name="_Toc29"/>
      <w:bookmarkStart w:id="1795" w:name="_Toc21403_WPSOffice_Level1"/>
      <w:bookmarkStart w:id="1796" w:name="_Toc5936"/>
      <w:bookmarkStart w:id="1797" w:name="_Toc5420"/>
      <w:bookmarkStart w:id="1798" w:name="_Toc22181_WPSOffice_Level1"/>
      <w:bookmarkStart w:id="1799" w:name="_Toc15389"/>
      <w:r>
        <w:rPr>
          <w:rFonts w:hint="eastAsia" w:ascii="Times New Roman" w:hAnsi="Times New Roman" w:eastAsia="宋体" w:cs="Times New Roman"/>
          <w:b/>
          <w:bCs/>
          <w:color w:val="auto"/>
          <w:kern w:val="44"/>
          <w:sz w:val="28"/>
          <w:szCs w:val="44"/>
          <w:highlight w:val="none"/>
          <w:lang w:val="en-US" w:eastAsia="zh-CN" w:bidi="ar-SA"/>
        </w:rPr>
        <w:t>考核</w:t>
      </w:r>
      <w:bookmarkEnd w:id="1794"/>
      <w:bookmarkEnd w:id="1795"/>
      <w:bookmarkEnd w:id="1796"/>
      <w:bookmarkEnd w:id="1797"/>
      <w:bookmarkEnd w:id="1798"/>
      <w:bookmarkEnd w:id="1799"/>
    </w:p>
    <w:p>
      <w:pPr>
        <w:keepNext/>
        <w:keepLines/>
        <w:widowControl w:val="0"/>
        <w:numPr>
          <w:ilvl w:val="1"/>
          <w:numId w:val="19"/>
        </w:numPr>
        <w:bidi w:val="0"/>
        <w:spacing w:beforeLines="0" w:afterLines="0" w:line="360" w:lineRule="auto"/>
        <w:ind w:left="575" w:hanging="575"/>
        <w:jc w:val="left"/>
        <w:outlineLvl w:val="2"/>
        <w:rPr>
          <w:rFonts w:hint="eastAsia" w:ascii="Times New Roman" w:hAnsi="Times New Roman" w:eastAsia="宋体" w:cs="Times New Roman"/>
          <w:b/>
          <w:bCs/>
          <w:color w:val="auto"/>
          <w:kern w:val="2"/>
          <w:sz w:val="24"/>
          <w:szCs w:val="32"/>
          <w:highlight w:val="none"/>
          <w:lang w:val="en-US" w:eastAsia="zh-CN" w:bidi="ar-SA"/>
        </w:rPr>
      </w:pPr>
      <w:bookmarkStart w:id="1800" w:name="_Toc21514"/>
      <w:bookmarkStart w:id="1801" w:name="_Toc5479"/>
      <w:bookmarkStart w:id="1802" w:name="_Toc22777"/>
      <w:bookmarkStart w:id="1803" w:name="_Toc21361"/>
      <w:bookmarkStart w:id="1804" w:name="_Toc7456"/>
      <w:r>
        <w:rPr>
          <w:rFonts w:hint="eastAsia" w:ascii="Times New Roman" w:hAnsi="Times New Roman" w:eastAsia="宋体" w:cs="Times New Roman"/>
          <w:b/>
          <w:bCs/>
          <w:color w:val="auto"/>
          <w:kern w:val="2"/>
          <w:sz w:val="24"/>
          <w:szCs w:val="32"/>
          <w:highlight w:val="none"/>
          <w:lang w:val="en-US" w:eastAsia="zh-CN" w:bidi="ar-SA"/>
        </w:rPr>
        <w:t>合同期违约处理</w:t>
      </w:r>
      <w:bookmarkEnd w:id="1800"/>
      <w:bookmarkEnd w:id="1801"/>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乙方应严格执行《南宁轨道交通1、2、3、4号线专用通信、AFC系统故障件维修委外服务项目》合同，自觉履行合同约定的相关义务，因乙方责任造成解除合同的，由乙方承担相应的责任，并赔偿相应损失。</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在合同期内，乙方应按项目要求对故障电路板、设备零部件进行维修，对于违反项目要求的，依下述条款执行：</w:t>
      </w:r>
    </w:p>
    <w:p>
      <w:pPr>
        <w:keepNext w:val="0"/>
        <w:keepLines w:val="0"/>
        <w:pageBreakBefore w:val="0"/>
        <w:widowControl w:val="0"/>
        <w:numPr>
          <w:ilvl w:val="0"/>
          <w:numId w:val="26"/>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由于乙方提供的维修服务不符合要求或由此造成甲方损失，乙方应负责甲方的相关损失所发生的费用。</w:t>
      </w:r>
    </w:p>
    <w:p>
      <w:pPr>
        <w:keepNext w:val="0"/>
        <w:keepLines w:val="0"/>
        <w:pageBreakBefore w:val="0"/>
        <w:widowControl w:val="0"/>
        <w:numPr>
          <w:ilvl w:val="0"/>
          <w:numId w:val="26"/>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由于乙方原因造成板卡原有系统或固件损坏的，乙方应负责甲方重装系统或固件所发生的费用。</w:t>
      </w:r>
    </w:p>
    <w:p>
      <w:pPr>
        <w:keepNext w:val="0"/>
        <w:keepLines w:val="0"/>
        <w:pageBreakBefore w:val="0"/>
        <w:widowControl w:val="0"/>
        <w:numPr>
          <w:ilvl w:val="0"/>
          <w:numId w:val="26"/>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乙方未按规定时间内修复完成，违约金按当期未完成修复的故障件合同维修金额的10%扣除且本故障件不予计算维修费用。</w:t>
      </w:r>
    </w:p>
    <w:p>
      <w:pPr>
        <w:keepNext w:val="0"/>
        <w:keepLines w:val="0"/>
        <w:pageBreakBefore w:val="0"/>
        <w:widowControl w:val="0"/>
        <w:numPr>
          <w:ilvl w:val="0"/>
          <w:numId w:val="26"/>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乙方未提供修复件的维修清单、维修报告、返修件出厂检测报告，违约金按未提供材料的故障件维修金额的10%扣除。</w:t>
      </w:r>
    </w:p>
    <w:p>
      <w:pPr>
        <w:keepNext w:val="0"/>
        <w:keepLines w:val="0"/>
        <w:pageBreakBefore w:val="0"/>
        <w:widowControl w:val="0"/>
        <w:numPr>
          <w:ilvl w:val="0"/>
          <w:numId w:val="26"/>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当期故障件修复率不低于当期故障件送修总数量的90%，如低于90%，则扣除当期故障件总修复费用的10%作为违约金，如低于80%则扣除当期故障件总修复费用20%的违约金。如修复率低于70%则扣除当期故障件总修复费用30%的违约金，且甲方有权要求乙方将不可修复的故障件送第三方检测，检测费用由乙方负责。</w:t>
      </w:r>
    </w:p>
    <w:p>
      <w:pPr>
        <w:keepNext w:val="0"/>
        <w:keepLines w:val="0"/>
        <w:pageBreakBefore w:val="0"/>
        <w:widowControl w:val="0"/>
        <w:numPr>
          <w:ilvl w:val="0"/>
          <w:numId w:val="26"/>
        </w:numPr>
        <w:tabs>
          <w:tab w:val="left" w:pos="-261"/>
        </w:tabs>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故障件维修完成1个月内发生重复故障的，乙方需向甲方支付违约金500元/次，并免费修复故障件，若因该故障件导致的故障涉及运营安全等重大影响的扣除违约金10000元/次，必要时追究相关责任。此外，同一个故障件修复后一年内不得因同一质量问题返修超过3次，否则扣除该故障件修复金额50%的费用，同时要求由乙方技术经理带技术团队赴现场进行故障调查，如质量问题无法得到甲方认可的有效解决，甲方有权单方面解除合同，并追究乙方违约责任。</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宋体"/>
          <w:color w:val="auto"/>
          <w:kern w:val="2"/>
          <w:szCs w:val="21"/>
          <w:highlight w:val="none"/>
          <w:lang w:val="en-US" w:eastAsia="zh-CN"/>
        </w:rPr>
      </w:pPr>
      <w:bookmarkStart w:id="1805" w:name="_Toc14261383"/>
      <w:bookmarkStart w:id="1806" w:name="_Toc14257660"/>
      <w:r>
        <w:rPr>
          <w:rFonts w:hint="eastAsia" w:ascii="宋体" w:hAnsi="宋体" w:eastAsia="宋体" w:cs="宋体"/>
          <w:color w:val="auto"/>
          <w:kern w:val="2"/>
          <w:szCs w:val="21"/>
          <w:highlight w:val="none"/>
          <w:lang w:val="en-US" w:eastAsia="zh-CN"/>
        </w:rPr>
        <w:t>如乙方违反上述条款的由甲方填写《运营公司委外项目合同违约处理通知单》（附件4），乙方如有意见，须在《运营公司委外项目合同违约处理通知单》送达后2个工作日内向项目主办部门提交正式申诉材料提出申诉，否则视为接受违约处理意见，项目主办部门在收到申诉材料后须在5个工作日给予回复。否则由此进度款迟延支付，由乙方承担。</w:t>
      </w:r>
    </w:p>
    <w:bookmarkEnd w:id="1805"/>
    <w:bookmarkEnd w:id="1806"/>
    <w:p>
      <w:pPr>
        <w:keepNext/>
        <w:keepLines/>
        <w:widowControl w:val="0"/>
        <w:numPr>
          <w:ilvl w:val="0"/>
          <w:numId w:val="19"/>
        </w:numPr>
        <w:spacing w:beforeLines="0" w:afterLines="0" w:line="360" w:lineRule="auto"/>
        <w:ind w:left="432" w:hanging="432"/>
        <w:jc w:val="left"/>
        <w:outlineLvl w:val="1"/>
        <w:rPr>
          <w:rFonts w:hint="eastAsia" w:ascii="Times New Roman" w:hAnsi="Times New Roman" w:eastAsia="宋体" w:cs="Times New Roman"/>
          <w:b/>
          <w:bCs/>
          <w:color w:val="auto"/>
          <w:kern w:val="44"/>
          <w:sz w:val="28"/>
          <w:szCs w:val="44"/>
          <w:highlight w:val="none"/>
          <w:lang w:val="en-US" w:eastAsia="zh-CN" w:bidi="ar-SA"/>
        </w:rPr>
      </w:pPr>
      <w:bookmarkStart w:id="1807" w:name="_Toc4530"/>
      <w:bookmarkStart w:id="1808" w:name="_Toc16850_WPSOffice_Level1"/>
      <w:bookmarkStart w:id="1809" w:name="_Toc21646"/>
      <w:bookmarkStart w:id="1810" w:name="_Toc29293_WPSOffice_Level1"/>
      <w:bookmarkStart w:id="1811" w:name="_Toc8377_WPSOffice_Level1"/>
      <w:bookmarkStart w:id="1812" w:name="_Toc164"/>
      <w:r>
        <w:rPr>
          <w:rFonts w:hint="eastAsia" w:ascii="Times New Roman" w:hAnsi="Times New Roman" w:eastAsia="宋体" w:cs="Times New Roman"/>
          <w:b/>
          <w:bCs/>
          <w:color w:val="auto"/>
          <w:kern w:val="44"/>
          <w:sz w:val="28"/>
          <w:szCs w:val="44"/>
          <w:highlight w:val="none"/>
          <w:lang w:val="en-US" w:eastAsia="zh-CN" w:bidi="ar-SA"/>
        </w:rPr>
        <w:t>验收</w:t>
      </w:r>
      <w:bookmarkEnd w:id="1807"/>
      <w:bookmarkEnd w:id="1808"/>
      <w:bookmarkEnd w:id="1809"/>
      <w:bookmarkEnd w:id="1810"/>
      <w:bookmarkEnd w:id="1811"/>
      <w:bookmarkEnd w:id="1812"/>
    </w:p>
    <w:p>
      <w:pPr>
        <w:keepNext w:val="0"/>
        <w:keepLines w:val="0"/>
        <w:pageBreakBefore w:val="0"/>
        <w:widowControl w:val="0"/>
        <w:numPr>
          <w:ilvl w:val="0"/>
          <w:numId w:val="27"/>
        </w:numPr>
        <w:tabs>
          <w:tab w:val="left" w:pos="420"/>
          <w:tab w:val="clear" w:pos="0"/>
        </w:tabs>
        <w:kinsoku/>
        <w:wordWrap/>
        <w:overflowPunct/>
        <w:topLinePunct w:val="0"/>
        <w:autoSpaceDE/>
        <w:autoSpaceDN/>
        <w:bidi w:val="0"/>
        <w:adjustRightInd/>
        <w:snapToGrid/>
        <w:spacing w:before="0" w:after="0" w:afterAutospacing="0" w:line="360" w:lineRule="auto"/>
        <w:ind w:left="0" w:leftChars="0" w:right="0" w:firstLine="420" w:firstLineChars="200"/>
        <w:jc w:val="left"/>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设备维修完毕，乙方自检，准备验收报告，通知甲方验收，验收时各项技术指标应达到相关验收标准，验收时双方签具性能测试验收报告（详见附件3）。</w:t>
      </w:r>
    </w:p>
    <w:p>
      <w:pPr>
        <w:keepNext w:val="0"/>
        <w:keepLines w:val="0"/>
        <w:pageBreakBefore w:val="0"/>
        <w:widowControl w:val="0"/>
        <w:numPr>
          <w:ilvl w:val="0"/>
          <w:numId w:val="27"/>
        </w:numPr>
        <w:tabs>
          <w:tab w:val="left" w:pos="420"/>
          <w:tab w:val="clear" w:pos="0"/>
        </w:tabs>
        <w:kinsoku/>
        <w:wordWrap/>
        <w:overflowPunct/>
        <w:topLinePunct w:val="0"/>
        <w:autoSpaceDE/>
        <w:autoSpaceDN/>
        <w:bidi w:val="0"/>
        <w:adjustRightInd/>
        <w:snapToGrid/>
        <w:spacing w:before="0" w:after="0" w:afterAutospacing="0" w:line="360" w:lineRule="auto"/>
        <w:ind w:left="0" w:leftChars="0" w:right="0" w:firstLine="420" w:firstLineChars="200"/>
        <w:jc w:val="left"/>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甲方如提出与所供材料质量有关的问题，乙方应在1周内给予答复。</w:t>
      </w:r>
    </w:p>
    <w:p>
      <w:pPr>
        <w:keepNext w:val="0"/>
        <w:keepLines w:val="0"/>
        <w:pageBreakBefore w:val="0"/>
        <w:widowControl w:val="0"/>
        <w:numPr>
          <w:ilvl w:val="0"/>
          <w:numId w:val="27"/>
        </w:numPr>
        <w:tabs>
          <w:tab w:val="left" w:pos="420"/>
          <w:tab w:val="clear" w:pos="0"/>
        </w:tabs>
        <w:kinsoku/>
        <w:wordWrap/>
        <w:overflowPunct/>
        <w:topLinePunct w:val="0"/>
        <w:autoSpaceDE/>
        <w:autoSpaceDN/>
        <w:bidi w:val="0"/>
        <w:adjustRightInd/>
        <w:snapToGrid/>
        <w:spacing w:before="0" w:after="0" w:afterAutospacing="0" w:line="360" w:lineRule="auto"/>
        <w:ind w:left="0" w:leftChars="0" w:right="0" w:firstLine="420" w:firstLineChars="200"/>
        <w:jc w:val="left"/>
        <w:textAlignment w:val="auto"/>
        <w:rPr>
          <w:rFonts w:hint="eastAsia" w:ascii="宋体" w:hAnsi="宋体" w:eastAsia="宋体" w:cs="Times New Roman"/>
          <w:color w:val="auto"/>
          <w:kern w:val="2"/>
          <w:szCs w:val="21"/>
          <w:highlight w:val="none"/>
          <w:lang w:val="en-US" w:eastAsia="zh-CN"/>
        </w:rPr>
      </w:pPr>
      <w:r>
        <w:rPr>
          <w:rFonts w:hint="eastAsia" w:ascii="宋体" w:hAnsi="宋体" w:eastAsia="宋体" w:cs="Times New Roman"/>
          <w:color w:val="auto"/>
          <w:kern w:val="2"/>
          <w:szCs w:val="21"/>
          <w:highlight w:val="none"/>
          <w:lang w:val="en-US" w:eastAsia="zh-CN"/>
        </w:rPr>
        <w:t>若现场验收中发现有诸如数量、型号和品种与规定不符或合同材料和包装外观损坏，乙方应负责更换或补齐。若产品验收不合格，乙方应立即整改，直到达到合格要求。</w:t>
      </w:r>
    </w:p>
    <w:bookmarkEnd w:id="1802"/>
    <w:bookmarkEnd w:id="1803"/>
    <w:bookmarkEnd w:id="1804"/>
    <w:p>
      <w:pPr>
        <w:keepNext/>
        <w:keepLines/>
        <w:widowControl w:val="0"/>
        <w:numPr>
          <w:ilvl w:val="0"/>
          <w:numId w:val="19"/>
        </w:numPr>
        <w:spacing w:beforeLines="0" w:afterLines="0" w:line="360" w:lineRule="auto"/>
        <w:ind w:left="432" w:hanging="432"/>
        <w:jc w:val="left"/>
        <w:outlineLvl w:val="1"/>
        <w:rPr>
          <w:rFonts w:hint="eastAsia" w:ascii="Times New Roman" w:hAnsi="Times New Roman" w:eastAsia="宋体" w:cs="Times New Roman"/>
          <w:b/>
          <w:bCs/>
          <w:color w:val="auto"/>
          <w:kern w:val="44"/>
          <w:sz w:val="28"/>
          <w:szCs w:val="44"/>
          <w:highlight w:val="none"/>
          <w:lang w:val="en-US" w:eastAsia="zh-CN" w:bidi="ar-SA"/>
        </w:rPr>
      </w:pPr>
      <w:bookmarkStart w:id="1813" w:name="_Toc4174_WPSOffice_Level1"/>
      <w:bookmarkStart w:id="1814" w:name="_Toc28102"/>
      <w:bookmarkStart w:id="1815" w:name="_Toc20809"/>
      <w:bookmarkStart w:id="1816" w:name="_Toc1872_WPSOffice_Level1"/>
      <w:bookmarkStart w:id="1817" w:name="_Toc11305"/>
      <w:bookmarkStart w:id="1818" w:name="_Toc15769_WPSOffice_Level1"/>
      <w:bookmarkStart w:id="1819" w:name="_Toc5242"/>
      <w:r>
        <w:rPr>
          <w:rFonts w:hint="eastAsia" w:ascii="Times New Roman" w:hAnsi="Times New Roman" w:eastAsia="宋体" w:cs="Times New Roman"/>
          <w:b/>
          <w:bCs/>
          <w:color w:val="auto"/>
          <w:kern w:val="44"/>
          <w:sz w:val="28"/>
          <w:szCs w:val="44"/>
          <w:highlight w:val="none"/>
          <w:lang w:val="en-US" w:eastAsia="zh-CN" w:bidi="ar-SA"/>
        </w:rPr>
        <w:t>附件</w:t>
      </w:r>
      <w:bookmarkEnd w:id="1813"/>
      <w:bookmarkEnd w:id="1814"/>
      <w:bookmarkEnd w:id="1815"/>
      <w:bookmarkEnd w:id="1816"/>
      <w:bookmarkEnd w:id="1817"/>
      <w:bookmarkEnd w:id="1818"/>
      <w:bookmarkEnd w:id="1819"/>
    </w:p>
    <w:p>
      <w:pPr>
        <w:widowControl w:val="0"/>
        <w:tabs>
          <w:tab w:val="left" w:pos="1060"/>
        </w:tabs>
        <w:spacing w:before="0" w:after="0" w:afterAutospacing="0" w:line="360" w:lineRule="auto"/>
        <w:ind w:left="0" w:right="0" w:firstLine="420" w:firstLineChars="200"/>
        <w:outlineLvl w:val="0"/>
        <w:rPr>
          <w:rFonts w:hint="eastAsia" w:ascii="宋体" w:hAnsi="宋体" w:eastAsia="宋体" w:cs="Times New Roman"/>
          <w:color w:val="auto"/>
          <w:kern w:val="2"/>
          <w:szCs w:val="21"/>
          <w:highlight w:val="none"/>
        </w:rPr>
      </w:pPr>
      <w:bookmarkStart w:id="1820" w:name="_Toc322"/>
      <w:bookmarkStart w:id="1821" w:name="_Toc14699_WPSOffice_Level1"/>
      <w:bookmarkStart w:id="1822" w:name="_Toc20061_WPSOffice_Level1"/>
      <w:bookmarkStart w:id="1823" w:name="_Toc7851_WPSOffice_Level1"/>
      <w:r>
        <w:rPr>
          <w:rFonts w:hint="eastAsia"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lang w:val="en-US" w:eastAsia="zh-CN"/>
        </w:rPr>
        <w:t>1</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lang w:eastAsia="zh-CN"/>
        </w:rPr>
        <w:t>故障件清单</w:t>
      </w:r>
      <w:bookmarkEnd w:id="1820"/>
    </w:p>
    <w:p>
      <w:pPr>
        <w:widowControl w:val="0"/>
        <w:tabs>
          <w:tab w:val="left" w:pos="1060"/>
        </w:tabs>
        <w:spacing w:before="0" w:after="0" w:afterAutospacing="0" w:line="360" w:lineRule="auto"/>
        <w:ind w:left="0" w:right="0" w:firstLine="420" w:firstLineChars="200"/>
        <w:outlineLvl w:val="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lang w:val="en-US" w:eastAsia="zh-CN"/>
        </w:rPr>
        <w:t>2</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lang w:eastAsia="zh-CN"/>
        </w:rPr>
        <w:t>维修报告</w:t>
      </w:r>
    </w:p>
    <w:p>
      <w:pPr>
        <w:widowControl w:val="0"/>
        <w:tabs>
          <w:tab w:val="left" w:pos="1060"/>
        </w:tabs>
        <w:spacing w:before="0" w:after="0" w:afterAutospacing="0" w:line="360" w:lineRule="auto"/>
        <w:ind w:left="0" w:right="0" w:firstLine="420" w:firstLineChars="200"/>
        <w:outlineLvl w:val="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lang w:val="en-US" w:eastAsia="zh-CN"/>
        </w:rPr>
        <w:t>3</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lang w:eastAsia="zh-CN"/>
        </w:rPr>
        <w:t>性能测试报告</w:t>
      </w:r>
    </w:p>
    <w:p>
      <w:pPr>
        <w:widowControl w:val="0"/>
        <w:tabs>
          <w:tab w:val="left" w:pos="1060"/>
        </w:tabs>
        <w:spacing w:before="0" w:after="0" w:afterAutospacing="0" w:line="360" w:lineRule="auto"/>
        <w:ind w:left="0" w:right="0" w:firstLine="420" w:firstLineChars="200"/>
        <w:outlineLvl w:val="0"/>
        <w:rPr>
          <w:rFonts w:hint="eastAsia" w:ascii="宋体" w:hAnsi="宋体" w:eastAsia="宋体" w:cs="Times New Roman"/>
          <w:color w:val="auto"/>
          <w:kern w:val="2"/>
          <w:szCs w:val="21"/>
          <w:highlight w:val="none"/>
        </w:rPr>
        <w:sectPr>
          <w:headerReference r:id="rId13" w:type="default"/>
          <w:footerReference r:id="rId14" w:type="default"/>
          <w:pgSz w:w="11906" w:h="16838"/>
          <w:pgMar w:top="1440" w:right="1797" w:bottom="1440" w:left="1440" w:header="567" w:footer="590"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fldChar w:fldCharType="begin"/>
      </w:r>
      <w:r>
        <w:rPr>
          <w:rFonts w:hint="eastAsia" w:ascii="宋体" w:hAnsi="宋体" w:eastAsia="宋体" w:cs="Times New Roman"/>
          <w:color w:val="auto"/>
          <w:kern w:val="2"/>
          <w:szCs w:val="21"/>
          <w:highlight w:val="none"/>
        </w:rPr>
        <w:instrText xml:space="preserve"> SEQ 附件 \* ARABIC </w:instrText>
      </w:r>
      <w:r>
        <w:rPr>
          <w:rFonts w:hint="eastAsia" w:ascii="宋体" w:hAnsi="宋体" w:eastAsia="宋体" w:cs="Times New Roman"/>
          <w:color w:val="auto"/>
          <w:kern w:val="2"/>
          <w:szCs w:val="21"/>
          <w:highlight w:val="none"/>
        </w:rPr>
        <w:fldChar w:fldCharType="separate"/>
      </w:r>
      <w:r>
        <w:rPr>
          <w:rFonts w:hint="eastAsia" w:ascii="宋体" w:hAnsi="宋体" w:eastAsia="宋体" w:cs="Times New Roman"/>
          <w:color w:val="auto"/>
          <w:kern w:val="2"/>
          <w:szCs w:val="21"/>
          <w:highlight w:val="none"/>
        </w:rPr>
        <w:t>4</w:t>
      </w:r>
      <w:r>
        <w:rPr>
          <w:rFonts w:hint="eastAsia" w:ascii="宋体" w:hAnsi="宋体" w:eastAsia="宋体" w:cs="Times New Roman"/>
          <w:color w:val="auto"/>
          <w:kern w:val="2"/>
          <w:szCs w:val="21"/>
          <w:highlight w:val="none"/>
        </w:rPr>
        <w:fldChar w:fldCharType="end"/>
      </w:r>
      <w:r>
        <w:rPr>
          <w:rFonts w:hint="eastAsia" w:ascii="宋体" w:hAnsi="宋体" w:eastAsia="宋体" w:cs="Times New Roman"/>
          <w:color w:val="auto"/>
          <w:kern w:val="2"/>
          <w:szCs w:val="21"/>
          <w:highlight w:val="none"/>
        </w:rPr>
        <w:t>：</w:t>
      </w:r>
      <w:bookmarkEnd w:id="1821"/>
      <w:bookmarkEnd w:id="1822"/>
      <w:bookmarkEnd w:id="1823"/>
      <w:bookmarkStart w:id="1824" w:name="_Toc4473_WPSOffice_Level1"/>
      <w:bookmarkStart w:id="1825" w:name="_Toc2022_WPSOffice_Level1"/>
      <w:bookmarkStart w:id="1826" w:name="_Toc20143"/>
      <w:bookmarkStart w:id="1827" w:name="_Toc1960_WPSOffice_Level1"/>
      <w:bookmarkStart w:id="1828" w:name="_Toc523247482"/>
      <w:bookmarkStart w:id="1829" w:name="_Toc25920_WPSOffice_Level1"/>
      <w:bookmarkStart w:id="1830" w:name="_Toc18404_WPSOffice_Level1"/>
      <w:bookmarkStart w:id="1831" w:name="_Toc27677"/>
      <w:bookmarkStart w:id="1832" w:name="_Toc22559"/>
      <w:r>
        <w:rPr>
          <w:rFonts w:hint="eastAsia" w:ascii="宋体" w:hAnsi="宋体" w:eastAsia="宋体" w:cs="Times New Roman"/>
          <w:color w:val="auto"/>
          <w:kern w:val="2"/>
          <w:szCs w:val="21"/>
          <w:highlight w:val="none"/>
        </w:rPr>
        <w:t>运营公司委外项目合同违约处理通知单</w:t>
      </w:r>
    </w:p>
    <w:p>
      <w:pPr>
        <w:keepNext w:val="0"/>
        <w:keepLines w:val="0"/>
        <w:widowControl w:val="0"/>
        <w:numPr>
          <w:ilvl w:val="0"/>
          <w:numId w:val="0"/>
        </w:numPr>
        <w:spacing w:beforeLines="0" w:afterLines="0" w:line="360" w:lineRule="auto"/>
        <w:ind w:left="575" w:hanging="575"/>
        <w:jc w:val="left"/>
        <w:outlineLvl w:val="0"/>
        <w:rPr>
          <w:rFonts w:hint="eastAsia" w:ascii="Times New Roman" w:hAnsi="Times New Roman" w:eastAsia="宋体" w:cs="Times New Roman"/>
          <w:b/>
          <w:bCs/>
          <w:color w:val="auto"/>
          <w:kern w:val="2"/>
          <w:sz w:val="24"/>
          <w:szCs w:val="32"/>
          <w:highlight w:val="none"/>
          <w:lang w:val="en-US" w:eastAsia="zh-CN" w:bidi="ar-SA"/>
        </w:rPr>
      </w:pPr>
      <w:bookmarkStart w:id="1833" w:name="_Toc20375"/>
      <w:bookmarkStart w:id="1834" w:name="_Toc1846"/>
      <w:r>
        <w:rPr>
          <w:rFonts w:hint="eastAsia" w:ascii="Times New Roman" w:hAnsi="Times New Roman" w:eastAsia="宋体" w:cs="Times New Roman"/>
          <w:b/>
          <w:bCs/>
          <w:color w:val="auto"/>
          <w:kern w:val="2"/>
          <w:sz w:val="24"/>
          <w:szCs w:val="32"/>
          <w:highlight w:val="none"/>
          <w:lang w:val="en-US" w:eastAsia="zh-CN" w:bidi="ar-SA"/>
        </w:rPr>
        <w:t>附件1：故障件清单</w:t>
      </w:r>
      <w:bookmarkEnd w:id="1833"/>
      <w:bookmarkEnd w:id="1834"/>
    </w:p>
    <w:tbl>
      <w:tblPr>
        <w:tblStyle w:val="31"/>
        <w:tblW w:w="9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719"/>
        <w:gridCol w:w="1289"/>
        <w:gridCol w:w="859"/>
        <w:gridCol w:w="1289"/>
        <w:gridCol w:w="514"/>
        <w:gridCol w:w="730"/>
        <w:gridCol w:w="730"/>
        <w:gridCol w:w="730"/>
        <w:gridCol w:w="73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514"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b/>
                <w:bCs/>
                <w:caps/>
                <w:color w:val="auto"/>
                <w:kern w:val="2"/>
                <w:sz w:val="21"/>
                <w:szCs w:val="21"/>
                <w:highlight w:val="none"/>
              </w:rPr>
            </w:pPr>
            <w:r>
              <w:rPr>
                <w:rFonts w:hint="eastAsia" w:ascii="宋体" w:hAnsi="宋体" w:eastAsia="宋体" w:cs="宋体"/>
                <w:b/>
                <w:bCs/>
                <w:color w:val="auto"/>
                <w:kern w:val="2"/>
                <w:sz w:val="21"/>
                <w:szCs w:val="21"/>
                <w:highlight w:val="none"/>
              </w:rPr>
              <w:t>序号</w:t>
            </w:r>
          </w:p>
        </w:tc>
        <w:tc>
          <w:tcPr>
            <w:tcW w:w="1719"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b/>
                <w:bCs/>
                <w:caps/>
                <w:color w:val="auto"/>
                <w:kern w:val="2"/>
                <w:sz w:val="21"/>
                <w:szCs w:val="21"/>
                <w:highlight w:val="none"/>
              </w:rPr>
            </w:pPr>
            <w:r>
              <w:rPr>
                <w:rFonts w:hint="eastAsia" w:ascii="宋体" w:hAnsi="宋体" w:eastAsia="宋体" w:cs="宋体"/>
                <w:b/>
                <w:bCs/>
                <w:color w:val="auto"/>
                <w:kern w:val="2"/>
                <w:sz w:val="21"/>
                <w:szCs w:val="21"/>
                <w:highlight w:val="none"/>
              </w:rPr>
              <w:t>备件名称</w:t>
            </w:r>
          </w:p>
        </w:tc>
        <w:tc>
          <w:tcPr>
            <w:tcW w:w="1289"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b/>
                <w:bCs/>
                <w:caps/>
                <w:color w:val="auto"/>
                <w:kern w:val="2"/>
                <w:sz w:val="21"/>
                <w:szCs w:val="21"/>
                <w:highlight w:val="none"/>
              </w:rPr>
            </w:pPr>
            <w:r>
              <w:rPr>
                <w:rFonts w:hint="eastAsia" w:ascii="宋体" w:hAnsi="宋体" w:eastAsia="宋体" w:cs="宋体"/>
                <w:b/>
                <w:bCs/>
                <w:color w:val="auto"/>
                <w:kern w:val="2"/>
                <w:sz w:val="21"/>
                <w:szCs w:val="21"/>
                <w:highlight w:val="none"/>
              </w:rPr>
              <w:t>规格型号</w:t>
            </w:r>
          </w:p>
        </w:tc>
        <w:tc>
          <w:tcPr>
            <w:tcW w:w="859"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b/>
                <w:bCs/>
                <w:caps/>
                <w:color w:val="auto"/>
                <w:kern w:val="2"/>
                <w:sz w:val="21"/>
                <w:szCs w:val="21"/>
                <w:highlight w:val="none"/>
              </w:rPr>
            </w:pPr>
            <w:r>
              <w:rPr>
                <w:rFonts w:hint="eastAsia" w:ascii="宋体" w:hAnsi="宋体" w:eastAsia="宋体" w:cs="宋体"/>
                <w:b/>
                <w:bCs/>
                <w:color w:val="auto"/>
                <w:kern w:val="2"/>
                <w:sz w:val="21"/>
                <w:szCs w:val="21"/>
                <w:highlight w:val="none"/>
              </w:rPr>
              <w:t>品牌</w:t>
            </w:r>
          </w:p>
        </w:tc>
        <w:tc>
          <w:tcPr>
            <w:tcW w:w="1289"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b/>
                <w:bCs/>
                <w:caps/>
                <w:color w:val="auto"/>
                <w:kern w:val="2"/>
                <w:sz w:val="21"/>
                <w:szCs w:val="21"/>
                <w:highlight w:val="none"/>
              </w:rPr>
            </w:pPr>
            <w:r>
              <w:rPr>
                <w:rFonts w:hint="eastAsia" w:ascii="宋体" w:hAnsi="宋体" w:eastAsia="宋体" w:cs="宋体"/>
                <w:b/>
                <w:bCs/>
                <w:color w:val="auto"/>
                <w:kern w:val="2"/>
                <w:sz w:val="21"/>
                <w:szCs w:val="21"/>
                <w:highlight w:val="none"/>
              </w:rPr>
              <w:t>所属系统</w:t>
            </w:r>
          </w:p>
        </w:tc>
        <w:tc>
          <w:tcPr>
            <w:tcW w:w="514" w:type="dxa"/>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b/>
                <w:bCs/>
                <w:caps/>
                <w:color w:val="auto"/>
                <w:kern w:val="2"/>
                <w:sz w:val="21"/>
                <w:szCs w:val="21"/>
                <w:highlight w:val="none"/>
              </w:rPr>
            </w:pPr>
            <w:r>
              <w:rPr>
                <w:rFonts w:hint="eastAsia" w:ascii="宋体" w:hAnsi="宋体" w:eastAsia="宋体" w:cs="宋体"/>
                <w:b/>
                <w:bCs/>
                <w:color w:val="auto"/>
                <w:kern w:val="2"/>
                <w:sz w:val="21"/>
                <w:szCs w:val="21"/>
                <w:highlight w:val="none"/>
              </w:rPr>
              <w:t>单位</w:t>
            </w:r>
          </w:p>
        </w:tc>
        <w:tc>
          <w:tcPr>
            <w:tcW w:w="730" w:type="dxa"/>
            <w:noWrap w:val="0"/>
            <w:vAlign w:val="center"/>
          </w:tcPr>
          <w:p>
            <w:pPr>
              <w:pStyle w:val="64"/>
              <w:jc w:val="center"/>
              <w:rPr>
                <w:rFonts w:hint="eastAsia" w:ascii="宋体" w:hAnsi="宋体" w:eastAsia="宋体" w:cs="宋体"/>
                <w:b/>
                <w:bCs/>
                <w:caps/>
                <w:color w:val="auto"/>
                <w:sz w:val="21"/>
                <w:szCs w:val="21"/>
                <w:highlight w:val="none"/>
                <w:lang w:eastAsia="zh-CN"/>
              </w:rPr>
            </w:pPr>
            <w:r>
              <w:rPr>
                <w:rFonts w:hint="eastAsia" w:ascii="宋体" w:hAnsi="宋体" w:eastAsia="宋体" w:cs="宋体"/>
                <w:b/>
                <w:bCs/>
                <w:caps/>
                <w:color w:val="auto"/>
                <w:sz w:val="21"/>
                <w:szCs w:val="21"/>
                <w:highlight w:val="none"/>
                <w:lang w:eastAsia="zh-CN"/>
              </w:rPr>
              <w:t>预估</w:t>
            </w:r>
          </w:p>
          <w:p>
            <w:pPr>
              <w:pStyle w:val="64"/>
              <w:jc w:val="center"/>
              <w:rPr>
                <w:rFonts w:hint="eastAsia" w:ascii="宋体" w:hAnsi="宋体" w:eastAsia="宋体" w:cs="宋体"/>
                <w:b/>
                <w:bCs/>
                <w:caps/>
                <w:color w:val="auto"/>
                <w:sz w:val="21"/>
                <w:szCs w:val="21"/>
                <w:highlight w:val="none"/>
              </w:rPr>
            </w:pPr>
            <w:r>
              <w:rPr>
                <w:rFonts w:hint="eastAsia" w:ascii="宋体" w:hAnsi="宋体" w:eastAsia="宋体" w:cs="宋体"/>
                <w:b/>
                <w:bCs/>
                <w:caps/>
                <w:color w:val="auto"/>
                <w:sz w:val="21"/>
                <w:szCs w:val="21"/>
                <w:highlight w:val="none"/>
              </w:rPr>
              <w:t>数量</w:t>
            </w:r>
          </w:p>
        </w:tc>
        <w:tc>
          <w:tcPr>
            <w:tcW w:w="730" w:type="dxa"/>
            <w:noWrap w:val="0"/>
            <w:vAlign w:val="center"/>
          </w:tcPr>
          <w:p>
            <w:pPr>
              <w:pStyle w:val="64"/>
              <w:jc w:val="center"/>
              <w:rPr>
                <w:rFonts w:hint="default" w:ascii="宋体" w:hAnsi="宋体" w:eastAsia="宋体" w:cs="宋体"/>
                <w:b/>
                <w:bCs/>
                <w:caps/>
                <w:color w:val="auto"/>
                <w:sz w:val="21"/>
                <w:szCs w:val="21"/>
                <w:highlight w:val="none"/>
                <w:lang w:val="en-US" w:eastAsia="zh-CN"/>
              </w:rPr>
            </w:pPr>
            <w:r>
              <w:rPr>
                <w:rFonts w:hint="eastAsia" w:hAnsi="宋体" w:cs="宋体"/>
                <w:b/>
                <w:bCs/>
                <w:caps/>
                <w:color w:val="auto"/>
                <w:sz w:val="21"/>
                <w:szCs w:val="21"/>
                <w:highlight w:val="none"/>
                <w:lang w:val="en-US" w:eastAsia="zh-CN"/>
              </w:rPr>
              <w:t>1号线</w:t>
            </w:r>
          </w:p>
        </w:tc>
        <w:tc>
          <w:tcPr>
            <w:tcW w:w="730" w:type="dxa"/>
            <w:noWrap w:val="0"/>
            <w:vAlign w:val="center"/>
          </w:tcPr>
          <w:p>
            <w:pPr>
              <w:pStyle w:val="64"/>
              <w:jc w:val="center"/>
              <w:rPr>
                <w:rFonts w:hint="default" w:ascii="宋体" w:hAnsi="宋体" w:eastAsia="宋体" w:cs="宋体"/>
                <w:b/>
                <w:bCs/>
                <w:caps/>
                <w:color w:val="auto"/>
                <w:sz w:val="21"/>
                <w:szCs w:val="21"/>
                <w:highlight w:val="none"/>
                <w:lang w:val="en-US" w:eastAsia="zh-CN"/>
              </w:rPr>
            </w:pPr>
            <w:r>
              <w:rPr>
                <w:rFonts w:hint="eastAsia" w:hAnsi="宋体" w:cs="宋体"/>
                <w:b/>
                <w:bCs/>
                <w:caps/>
                <w:color w:val="auto"/>
                <w:sz w:val="21"/>
                <w:szCs w:val="21"/>
                <w:highlight w:val="none"/>
                <w:lang w:val="en-US" w:eastAsia="zh-CN"/>
              </w:rPr>
              <w:t>2号线</w:t>
            </w:r>
          </w:p>
        </w:tc>
        <w:tc>
          <w:tcPr>
            <w:tcW w:w="730" w:type="dxa"/>
            <w:noWrap w:val="0"/>
            <w:vAlign w:val="center"/>
          </w:tcPr>
          <w:p>
            <w:pPr>
              <w:pStyle w:val="64"/>
              <w:jc w:val="center"/>
              <w:rPr>
                <w:rFonts w:hint="default" w:ascii="宋体" w:hAnsi="宋体" w:eastAsia="宋体" w:cs="宋体"/>
                <w:b/>
                <w:bCs/>
                <w:caps/>
                <w:color w:val="auto"/>
                <w:sz w:val="21"/>
                <w:szCs w:val="21"/>
                <w:highlight w:val="none"/>
                <w:lang w:val="en-US" w:eastAsia="zh-CN"/>
              </w:rPr>
            </w:pPr>
            <w:r>
              <w:rPr>
                <w:rFonts w:hint="eastAsia" w:hAnsi="宋体" w:cs="宋体"/>
                <w:b/>
                <w:bCs/>
                <w:caps/>
                <w:color w:val="auto"/>
                <w:sz w:val="21"/>
                <w:szCs w:val="21"/>
                <w:highlight w:val="none"/>
                <w:lang w:val="en-US" w:eastAsia="zh-CN"/>
              </w:rPr>
              <w:t>3号线</w:t>
            </w:r>
          </w:p>
        </w:tc>
        <w:tc>
          <w:tcPr>
            <w:tcW w:w="730" w:type="dxa"/>
            <w:noWrap w:val="0"/>
            <w:vAlign w:val="center"/>
          </w:tcPr>
          <w:p>
            <w:pPr>
              <w:pStyle w:val="64"/>
              <w:jc w:val="center"/>
              <w:rPr>
                <w:rFonts w:hint="default" w:ascii="宋体" w:hAnsi="宋体" w:eastAsia="宋体" w:cs="宋体"/>
                <w:b/>
                <w:bCs/>
                <w:caps/>
                <w:color w:val="auto"/>
                <w:sz w:val="21"/>
                <w:szCs w:val="21"/>
                <w:highlight w:val="none"/>
                <w:lang w:val="en-US" w:eastAsia="zh-CN"/>
              </w:rPr>
            </w:pPr>
            <w:r>
              <w:rPr>
                <w:rFonts w:hint="eastAsia" w:hAnsi="宋体" w:cs="宋体"/>
                <w:b/>
                <w:bCs/>
                <w:caps/>
                <w:color w:val="auto"/>
                <w:sz w:val="21"/>
                <w:szCs w:val="21"/>
                <w:highlight w:val="none"/>
                <w:lang w:val="en-US" w:eastAsia="zh-CN"/>
              </w:rPr>
              <w:t>4号线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H3C WX5540E 无线控制器主机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EWP-WX5540E</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华三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OPS光接收模块</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EL-LK-H-R</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司机室车载服务器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EL-TMC-E02</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电源时序控制器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EL-PWC</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主控板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GISB</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公务电话系统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64路POTS用户板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PTWVN</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公务电话系统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广播控制主机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HN-CP500</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霍尼韦尔</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广播系统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网络控制器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V1000P</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HID</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门禁系统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RS422扩展箱</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CJ-EBS-32</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烟台持久</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时钟系统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网络视频存储设备主控板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HUS-IPS-6100D</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霍尼韦尔</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视频监视系统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keepNext w:val="0"/>
              <w:keepLines w:val="0"/>
              <w:widowControl/>
              <w:numPr>
                <w:ilvl w:val="0"/>
                <w:numId w:val="28"/>
              </w:numPr>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视频分析管理服务器主板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DL380-主板</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 xml:space="preserve"> HP </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视频监视系统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keepNext w:val="0"/>
              <w:keepLines w:val="0"/>
              <w:widowControl/>
              <w:numPr>
                <w:ilvl w:val="0"/>
                <w:numId w:val="28"/>
              </w:numPr>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视频分析管理服务器网卡</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DL380-网卡</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 xml:space="preserve"> HP </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视频监视系统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default" w:ascii="宋体" w:hAnsi="宋体" w:eastAsia="宋体" w:cs="宋体"/>
                <w:color w:val="auto"/>
                <w:kern w:val="0"/>
                <w:sz w:val="21"/>
                <w:szCs w:val="21"/>
                <w:highlight w:val="none"/>
                <w:lang w:val="en-US" w:bidi="ar"/>
              </w:rPr>
            </w:pPr>
            <w:r>
              <w:rPr>
                <w:rFonts w:hint="eastAsia" w:ascii="宋体" w:hAnsi="宋体" w:eastAsia="宋体" w:cs="宋体"/>
                <w:color w:val="auto"/>
                <w:kern w:val="0"/>
                <w:sz w:val="21"/>
                <w:szCs w:val="21"/>
                <w:highlight w:val="none"/>
                <w:lang w:val="en-US" w:eastAsia="zh-CN" w:bidi="ar"/>
              </w:rPr>
              <w:t xml:space="preserve"> </w:t>
            </w: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电源模块</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GPR700-12A</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东莞毓华电子科技有限公司</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视频监视系统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F型交叉时钟板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CSF</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内嵌RPR交换处理板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RSEB</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主控交叉时钟盘（含交换、主控、时钟）</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CXC5B</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烽火</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BITS网络同步设备</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CJ-BITS-SERVER</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烟台持久</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数字中继板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4DTU</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时隙交换板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MXU</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网络交换板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EXU</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模拟用户板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ALUR</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河北远东</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电源板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EA89II-80K</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易事特</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专用电源系统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辅助电源板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EA89Ⅱ-45K</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易事特</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专用电源系统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基站PSU电源备件</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WAPN4335</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基站控制器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GMCN4737A</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光复用器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YT-0MUX02</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邮通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车载台主机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CZT 812-A-2</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海能达</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虚拟专用网络路由器VPN</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SRX5308</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ProSAEE</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核心路由器CG（E）\ER</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S6000</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核心交换机CLANS</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2620-48</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惠普</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广域网协同路由器CWR</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GLN1172G</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MUX多路复用器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DXC-30</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DXC</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基站收发信机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GMTF4695A</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IPN服务器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SR250</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数据库服务器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x3250 M6</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strike w:val="0"/>
                <w:dstrike w:val="0"/>
                <w:color w:val="auto"/>
                <w:kern w:val="0"/>
                <w:sz w:val="21"/>
                <w:szCs w:val="21"/>
                <w:highlight w:val="none"/>
                <w:lang w:val="en-US" w:eastAsia="zh-CN" w:bidi="ar"/>
              </w:rPr>
              <w:t>三层交换机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S7503E-M</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新华三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strike w:val="0"/>
                <w:dstrike w:val="0"/>
                <w:color w:val="auto"/>
                <w:kern w:val="0"/>
                <w:sz w:val="21"/>
                <w:szCs w:val="21"/>
                <w:highlight w:val="none"/>
                <w:lang w:val="en-US" w:eastAsia="zh-CN" w:bidi="ar"/>
              </w:rPr>
              <w:t>应用三层交换机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S5130S-52S-HI</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新华三</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ATCA 计算板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MIC-5345/4G/128GSSD </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研华</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调度服务器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SR650</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strike w:val="0"/>
                <w:dstrike w:val="0"/>
                <w:color w:val="auto"/>
                <w:kern w:val="0"/>
                <w:sz w:val="21"/>
                <w:szCs w:val="21"/>
                <w:highlight w:val="none"/>
                <w:lang w:val="en-US" w:eastAsia="zh-CN" w:bidi="ar"/>
              </w:rPr>
              <w:t>核心交换机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S5560-54C-EI</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strike w:val="0"/>
                <w:dstrike w:val="0"/>
                <w:color w:val="auto"/>
                <w:kern w:val="0"/>
                <w:sz w:val="21"/>
                <w:szCs w:val="21"/>
                <w:highlight w:val="none"/>
                <w:lang w:val="en-US" w:eastAsia="zh-CN" w:bidi="ar"/>
              </w:rPr>
              <w:t>二次开发交换机</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S5130S-52P-EI</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台</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纸币找零单元主控板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CDM6240-ZKB001</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硬币单元主控板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3PCB100030A-01-10</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高见泽</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纸币识别单元主板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982262001P1</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发行单元主控板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YT7.820.0866</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中软</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硬币识别器</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CAS-006D</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单程票回收机构主控板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CAS-006F</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硬币单元循环找零Hopper</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PSU-3201A</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widowControl/>
              <w:numPr>
                <w:ilvl w:val="0"/>
                <w:numId w:val="28"/>
              </w:numPr>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硬币模块控制板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YT2.480.0603</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keepNext w:val="0"/>
              <w:keepLines w:val="0"/>
              <w:widowControl/>
              <w:numPr>
                <w:ilvl w:val="0"/>
                <w:numId w:val="28"/>
              </w:numPr>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SC服务器主板</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X3650M5</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14" w:type="dxa"/>
            <w:noWrap w:val="0"/>
            <w:vAlign w:val="center"/>
          </w:tcPr>
          <w:p>
            <w:pPr>
              <w:keepNext w:val="0"/>
              <w:keepLines w:val="0"/>
              <w:widowControl/>
              <w:numPr>
                <w:ilvl w:val="0"/>
                <w:numId w:val="28"/>
              </w:numPr>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71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SC服务器网卡</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X3650M5</w:t>
            </w:r>
          </w:p>
        </w:tc>
        <w:tc>
          <w:tcPr>
            <w:tcW w:w="85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联想</w:t>
            </w:r>
          </w:p>
        </w:tc>
        <w:tc>
          <w:tcPr>
            <w:tcW w:w="1289"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514"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块</w:t>
            </w:r>
          </w:p>
        </w:tc>
        <w:tc>
          <w:tcPr>
            <w:tcW w:w="730" w:type="dxa"/>
            <w:noWrap w:val="0"/>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184" w:type="dxa"/>
            <w:gridSpan w:val="6"/>
            <w:noWrap w:val="0"/>
            <w:vAlign w:val="center"/>
          </w:tcPr>
          <w:p>
            <w:pPr>
              <w:widowControl/>
              <w:spacing w:before="0" w:after="0" w:afterAutospacing="0" w:line="240" w:lineRule="auto"/>
              <w:ind w:left="0" w:right="0" w:firstLine="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合计</w:t>
            </w:r>
          </w:p>
        </w:tc>
        <w:tc>
          <w:tcPr>
            <w:tcW w:w="730" w:type="dxa"/>
            <w:noWrap w:val="0"/>
            <w:vAlign w:val="center"/>
          </w:tcPr>
          <w:p>
            <w:pPr>
              <w:widowControl/>
              <w:spacing w:before="0" w:after="0" w:afterAutospacing="0" w:line="240" w:lineRule="auto"/>
              <w:ind w:left="0" w:right="0" w:firstLine="0"/>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158</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72</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18</w:t>
            </w:r>
          </w:p>
        </w:tc>
        <w:tc>
          <w:tcPr>
            <w:tcW w:w="730" w:type="dxa"/>
            <w:noWrap w:val="0"/>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33</w:t>
            </w:r>
          </w:p>
        </w:tc>
      </w:tr>
    </w:tbl>
    <w:p>
      <w:pPr>
        <w:widowControl w:val="0"/>
        <w:spacing w:before="0" w:after="0" w:afterAutospacing="0" w:line="240" w:lineRule="auto"/>
        <w:ind w:left="0" w:right="0" w:firstLine="0"/>
        <w:rPr>
          <w:rFonts w:hint="eastAsia" w:ascii="Times New Roman" w:hAnsi="Times New Roman" w:eastAsia="宋体" w:cs="Times New Roman"/>
          <w:b/>
          <w:bCs/>
          <w:color w:val="auto"/>
          <w:kern w:val="2"/>
          <w:szCs w:val="24"/>
          <w:highlight w:val="none"/>
        </w:rPr>
      </w:pPr>
    </w:p>
    <w:p>
      <w:pPr>
        <w:spacing w:line="360" w:lineRule="auto"/>
        <w:ind w:firstLine="420" w:firstLineChars="200"/>
        <w:jc w:val="center"/>
        <w:rPr>
          <w:rFonts w:hint="eastAsia" w:ascii="宋体" w:hAnsi="宋体" w:cs="宋体"/>
          <w:color w:val="auto"/>
          <w:szCs w:val="21"/>
          <w:highlight w:val="none"/>
        </w:rPr>
        <w:sectPr>
          <w:footerReference r:id="rId15" w:type="default"/>
          <w:pgSz w:w="11906" w:h="16838"/>
          <w:pgMar w:top="1440" w:right="1797" w:bottom="1440" w:left="1440" w:header="964" w:footer="992"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widowControl w:val="0"/>
        <w:numPr>
          <w:ilvl w:val="0"/>
          <w:numId w:val="0"/>
        </w:numPr>
        <w:spacing w:beforeLines="0" w:afterLines="0" w:line="360" w:lineRule="auto"/>
        <w:ind w:left="575" w:hanging="575"/>
        <w:jc w:val="left"/>
        <w:outlineLvl w:val="0"/>
        <w:rPr>
          <w:rFonts w:hint="eastAsia" w:ascii="Times New Roman" w:hAnsi="Times New Roman" w:eastAsia="宋体" w:cs="Times New Roman"/>
          <w:b/>
          <w:bCs/>
          <w:color w:val="auto"/>
          <w:kern w:val="2"/>
          <w:sz w:val="24"/>
          <w:szCs w:val="32"/>
          <w:highlight w:val="none"/>
          <w:lang w:val="en-US" w:eastAsia="zh-CN" w:bidi="ar-SA"/>
        </w:rPr>
      </w:pPr>
      <w:bookmarkStart w:id="1835" w:name="_Toc23203"/>
      <w:bookmarkStart w:id="1836" w:name="_Ref24423"/>
      <w:r>
        <w:rPr>
          <w:rFonts w:hint="eastAsia" w:ascii="Times New Roman" w:hAnsi="Times New Roman" w:eastAsia="宋体" w:cs="Times New Roman"/>
          <w:b/>
          <w:bCs/>
          <w:color w:val="auto"/>
          <w:kern w:val="2"/>
          <w:sz w:val="24"/>
          <w:szCs w:val="32"/>
          <w:highlight w:val="none"/>
          <w:lang w:val="en-US" w:eastAsia="zh-CN" w:bidi="ar-SA"/>
        </w:rPr>
        <w:t>附件2：维修报告</w:t>
      </w:r>
      <w:bookmarkEnd w:id="1835"/>
      <w:bookmarkEnd w:id="1836"/>
    </w:p>
    <w:p>
      <w:pPr>
        <w:widowControl w:val="0"/>
        <w:spacing w:before="0" w:after="0" w:afterAutospacing="0" w:line="240" w:lineRule="auto"/>
        <w:ind w:left="0" w:right="0" w:firstLine="0"/>
        <w:jc w:val="center"/>
        <w:outlineLvl w:val="0"/>
        <w:rPr>
          <w:rFonts w:ascii="Times New Roman" w:hAnsi="Times New Roman" w:eastAsia="宋体" w:cs="宋体"/>
          <w:b/>
          <w:bCs w:val="0"/>
          <w:color w:val="auto"/>
          <w:kern w:val="2"/>
          <w:sz w:val="21"/>
          <w:szCs w:val="21"/>
          <w:highlight w:val="none"/>
        </w:rPr>
      </w:pPr>
      <w:bookmarkStart w:id="1837" w:name="_Toc4591"/>
      <w:r>
        <w:rPr>
          <w:rFonts w:hint="eastAsia" w:ascii="Times New Roman" w:hAnsi="Times New Roman" w:eastAsia="宋体" w:cs="宋体"/>
          <w:b/>
          <w:bCs w:val="0"/>
          <w:color w:val="auto"/>
          <w:kern w:val="2"/>
          <w:sz w:val="21"/>
          <w:szCs w:val="21"/>
          <w:highlight w:val="none"/>
        </w:rPr>
        <w:t>维修报告（每</w:t>
      </w:r>
      <w:r>
        <w:rPr>
          <w:rFonts w:hint="eastAsia" w:ascii="Times New Roman" w:hAnsi="Times New Roman" w:eastAsia="宋体" w:cs="宋体"/>
          <w:b/>
          <w:bCs w:val="0"/>
          <w:color w:val="auto"/>
          <w:kern w:val="2"/>
          <w:sz w:val="21"/>
          <w:szCs w:val="21"/>
          <w:highlight w:val="none"/>
          <w:lang w:eastAsia="zh-CN"/>
        </w:rPr>
        <w:t>个</w:t>
      </w:r>
      <w:r>
        <w:rPr>
          <w:rFonts w:hint="eastAsia" w:ascii="Times New Roman" w:hAnsi="Times New Roman" w:eastAsia="宋体" w:cs="宋体"/>
          <w:b/>
          <w:bCs w:val="0"/>
          <w:color w:val="auto"/>
          <w:kern w:val="2"/>
          <w:sz w:val="21"/>
          <w:szCs w:val="21"/>
          <w:highlight w:val="none"/>
        </w:rPr>
        <w:t>故障件需提供一份维修报告）</w:t>
      </w:r>
      <w:bookmarkEnd w:id="1837"/>
    </w:p>
    <w:tbl>
      <w:tblPr>
        <w:tblStyle w:val="31"/>
        <w:tblW w:w="9032" w:type="dxa"/>
        <w:tblInd w:w="0" w:type="dxa"/>
        <w:tblLayout w:type="autofit"/>
        <w:tblCellMar>
          <w:top w:w="0" w:type="dxa"/>
          <w:left w:w="108" w:type="dxa"/>
          <w:bottom w:w="0" w:type="dxa"/>
          <w:right w:w="108" w:type="dxa"/>
        </w:tblCellMar>
      </w:tblPr>
      <w:tblGrid>
        <w:gridCol w:w="5384"/>
        <w:gridCol w:w="3648"/>
      </w:tblGrid>
      <w:tr>
        <w:tblPrEx>
          <w:tblCellMar>
            <w:top w:w="0" w:type="dxa"/>
            <w:left w:w="108" w:type="dxa"/>
            <w:bottom w:w="0" w:type="dxa"/>
            <w:right w:w="108" w:type="dxa"/>
          </w:tblCellMar>
        </w:tblPrEx>
        <w:trPr>
          <w:trHeight w:val="631" w:hRule="atLeast"/>
        </w:trPr>
        <w:tc>
          <w:tcPr>
            <w:tcW w:w="9032" w:type="dxa"/>
            <w:gridSpan w:val="2"/>
            <w:tcBorders>
              <w:top w:val="single" w:color="auto" w:sz="8" w:space="0"/>
              <w:left w:val="single" w:color="auto" w:sz="8" w:space="0"/>
              <w:bottom w:val="single" w:color="auto" w:sz="8" w:space="0"/>
              <w:right w:val="single" w:color="000000" w:sz="8" w:space="0"/>
            </w:tcBorders>
            <w:noWrap/>
            <w:vAlign w:val="center"/>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维修单位：</w:t>
            </w:r>
          </w:p>
        </w:tc>
      </w:tr>
      <w:tr>
        <w:tblPrEx>
          <w:tblCellMar>
            <w:top w:w="0" w:type="dxa"/>
            <w:left w:w="108" w:type="dxa"/>
            <w:bottom w:w="0" w:type="dxa"/>
            <w:right w:w="108" w:type="dxa"/>
          </w:tblCellMar>
        </w:tblPrEx>
        <w:trPr>
          <w:trHeight w:val="1128" w:hRule="atLeast"/>
        </w:trPr>
        <w:tc>
          <w:tcPr>
            <w:tcW w:w="5384" w:type="dxa"/>
            <w:tcBorders>
              <w:top w:val="nil"/>
              <w:left w:val="single" w:color="auto" w:sz="8" w:space="0"/>
              <w:bottom w:val="single" w:color="auto" w:sz="8" w:space="0"/>
              <w:right w:val="single" w:color="auto" w:sz="8" w:space="0"/>
            </w:tcBorders>
            <w:noWrap/>
            <w:vAlign w:val="center"/>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故障件归属系统：</w:t>
            </w:r>
          </w:p>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故障件</w:t>
            </w:r>
            <w:r>
              <w:rPr>
                <w:rFonts w:hint="eastAsia" w:ascii="宋体" w:hAnsi="宋体" w:eastAsia="宋体" w:cs="宋体"/>
                <w:b w:val="0"/>
                <w:bCs w:val="0"/>
                <w:color w:val="auto"/>
                <w:kern w:val="2"/>
                <w:sz w:val="21"/>
                <w:szCs w:val="21"/>
                <w:highlight w:val="none"/>
                <w:lang w:val="en-US" w:eastAsia="zh-CN"/>
              </w:rPr>
              <w:t>名称</w:t>
            </w:r>
            <w:r>
              <w:rPr>
                <w:rFonts w:hint="eastAsia" w:ascii="宋体" w:hAnsi="宋体" w:eastAsia="宋体" w:cs="宋体"/>
                <w:b w:val="0"/>
                <w:bCs w:val="0"/>
                <w:color w:val="auto"/>
                <w:kern w:val="2"/>
                <w:sz w:val="21"/>
                <w:szCs w:val="21"/>
                <w:highlight w:val="none"/>
              </w:rPr>
              <w:t>型号：</w:t>
            </w:r>
          </w:p>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序列号：</w:t>
            </w:r>
          </w:p>
          <w:p>
            <w:pPr>
              <w:widowControl w:val="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软件版本号：</w:t>
            </w:r>
          </w:p>
        </w:tc>
        <w:tc>
          <w:tcPr>
            <w:tcW w:w="3648" w:type="dxa"/>
            <w:tcBorders>
              <w:top w:val="nil"/>
              <w:left w:val="single" w:color="auto" w:sz="8" w:space="0"/>
              <w:bottom w:val="single" w:color="auto" w:sz="8" w:space="0"/>
              <w:right w:val="single" w:color="auto" w:sz="8" w:space="0"/>
            </w:tcBorders>
            <w:noWrap/>
            <w:vAlign w:val="center"/>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接收时间：</w:t>
            </w:r>
          </w:p>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修复时间：</w:t>
            </w:r>
          </w:p>
        </w:tc>
      </w:tr>
      <w:tr>
        <w:tblPrEx>
          <w:tblCellMar>
            <w:top w:w="0" w:type="dxa"/>
            <w:left w:w="108" w:type="dxa"/>
            <w:bottom w:w="0" w:type="dxa"/>
            <w:right w:w="108" w:type="dxa"/>
          </w:tblCellMar>
        </w:tblPrEx>
        <w:trPr>
          <w:trHeight w:val="1748" w:hRule="atLeast"/>
        </w:trPr>
        <w:tc>
          <w:tcPr>
            <w:tcW w:w="9032" w:type="dxa"/>
            <w:gridSpan w:val="2"/>
            <w:tcBorders>
              <w:top w:val="nil"/>
              <w:left w:val="single" w:color="auto" w:sz="8" w:space="0"/>
              <w:bottom w:val="single" w:color="000000" w:sz="8" w:space="0"/>
              <w:right w:val="single" w:color="auto" w:sz="8" w:space="0"/>
            </w:tcBorders>
            <w:noWrap/>
            <w:vAlign w:val="top"/>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故障件故障现象：</w:t>
            </w: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591" w:hRule="atLeast"/>
        </w:trPr>
        <w:tc>
          <w:tcPr>
            <w:tcW w:w="9032" w:type="dxa"/>
            <w:gridSpan w:val="2"/>
            <w:vMerge w:val="restart"/>
            <w:tcBorders>
              <w:top w:val="single" w:color="auto" w:sz="8" w:space="0"/>
              <w:left w:val="single" w:color="auto" w:sz="8" w:space="0"/>
              <w:bottom w:val="single" w:color="000000" w:sz="8" w:space="0"/>
              <w:right w:val="single" w:color="000000" w:sz="8" w:space="0"/>
            </w:tcBorders>
            <w:noWrap/>
            <w:vAlign w:val="top"/>
          </w:tcPr>
          <w:p>
            <w:pPr>
              <w:widowControl w:val="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故障件的维修测试说明（包含故障点描述）：</w:t>
            </w: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1124" w:hRule="atLeast"/>
        </w:trPr>
        <w:tc>
          <w:tcPr>
            <w:tcW w:w="9032" w:type="dxa"/>
            <w:gridSpan w:val="2"/>
            <w:vMerge w:val="continue"/>
            <w:tcBorders>
              <w:top w:val="single" w:color="auto" w:sz="8" w:space="0"/>
              <w:left w:val="single" w:color="auto" w:sz="8" w:space="0"/>
              <w:bottom w:val="single" w:color="000000" w:sz="8" w:space="0"/>
              <w:right w:val="single" w:color="000000" w:sz="8" w:space="0"/>
            </w:tcBorders>
            <w:noWrap/>
            <w:vAlign w:val="center"/>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p>
        </w:tc>
      </w:tr>
      <w:tr>
        <w:tblPrEx>
          <w:tblCellMar>
            <w:top w:w="0" w:type="dxa"/>
            <w:left w:w="108" w:type="dxa"/>
            <w:bottom w:w="0" w:type="dxa"/>
            <w:right w:w="108" w:type="dxa"/>
          </w:tblCellMar>
        </w:tblPrEx>
        <w:trPr>
          <w:trHeight w:val="90" w:hRule="atLeast"/>
        </w:trPr>
        <w:tc>
          <w:tcPr>
            <w:tcW w:w="9032" w:type="dxa"/>
            <w:gridSpan w:val="2"/>
            <w:tcBorders>
              <w:top w:val="single" w:color="auto" w:sz="8" w:space="0"/>
              <w:left w:val="single" w:color="auto" w:sz="8" w:space="0"/>
              <w:bottom w:val="single" w:color="auto" w:sz="8" w:space="0"/>
              <w:right w:val="single" w:color="000000" w:sz="8" w:space="0"/>
            </w:tcBorders>
            <w:noWrap/>
            <w:vAlign w:val="top"/>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故障件的软硬件更换记录：</w:t>
            </w: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1047" w:hRule="atLeast"/>
        </w:trPr>
        <w:tc>
          <w:tcPr>
            <w:tcW w:w="9032" w:type="dxa"/>
            <w:gridSpan w:val="2"/>
            <w:tcBorders>
              <w:top w:val="single" w:color="auto" w:sz="8" w:space="0"/>
              <w:left w:val="single" w:color="auto" w:sz="8" w:space="0"/>
              <w:bottom w:val="single" w:color="auto" w:sz="8" w:space="0"/>
              <w:right w:val="single" w:color="000000" w:sz="8" w:space="0"/>
            </w:tcBorders>
            <w:noWrap/>
            <w:vAlign w:val="top"/>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故障件维修结果：</w:t>
            </w: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1047" w:hRule="atLeast"/>
        </w:trPr>
        <w:tc>
          <w:tcPr>
            <w:tcW w:w="9032" w:type="dxa"/>
            <w:gridSpan w:val="2"/>
            <w:tcBorders>
              <w:top w:val="single" w:color="auto" w:sz="8" w:space="0"/>
              <w:left w:val="single" w:color="auto" w:sz="8" w:space="0"/>
              <w:bottom w:val="single" w:color="auto" w:sz="8" w:space="0"/>
              <w:right w:val="single" w:color="000000" w:sz="8" w:space="0"/>
            </w:tcBorders>
            <w:noWrap/>
            <w:vAlign w:val="top"/>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使用建议、维护注意事项</w:t>
            </w:r>
            <w:r>
              <w:rPr>
                <w:rFonts w:hint="eastAsia" w:ascii="宋体" w:hAnsi="宋体" w:eastAsia="宋体" w:cs="宋体"/>
                <w:b w:val="0"/>
                <w:bCs w:val="0"/>
                <w:color w:val="auto"/>
                <w:kern w:val="2"/>
                <w:sz w:val="21"/>
                <w:szCs w:val="21"/>
                <w:highlight w:val="none"/>
                <w:lang w:eastAsia="zh-CN"/>
              </w:rPr>
              <w:t>：</w:t>
            </w: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p>
            <w:pPr>
              <w:widowControl w:val="0"/>
              <w:jc w:val="both"/>
              <w:rPr>
                <w:rFonts w:hint="eastAsia" w:ascii="宋体" w:hAnsi="宋体" w:eastAsia="宋体" w:cs="宋体"/>
                <w:b w:val="0"/>
                <w:bCs w:val="0"/>
                <w:color w:val="auto"/>
                <w:kern w:val="2"/>
                <w:sz w:val="21"/>
                <w:szCs w:val="21"/>
                <w:highlight w:val="none"/>
                <w:lang w:val="en-US" w:eastAsia="zh-CN" w:bidi="ar-SA"/>
              </w:rPr>
            </w:pPr>
          </w:p>
        </w:tc>
      </w:tr>
      <w:tr>
        <w:tblPrEx>
          <w:tblCellMar>
            <w:top w:w="0" w:type="dxa"/>
            <w:left w:w="108" w:type="dxa"/>
            <w:bottom w:w="0" w:type="dxa"/>
            <w:right w:w="108" w:type="dxa"/>
          </w:tblCellMar>
        </w:tblPrEx>
        <w:trPr>
          <w:trHeight w:val="1231" w:hRule="atLeast"/>
        </w:trPr>
        <w:tc>
          <w:tcPr>
            <w:tcW w:w="9032" w:type="dxa"/>
            <w:gridSpan w:val="2"/>
            <w:tcBorders>
              <w:top w:val="single" w:color="auto" w:sz="8" w:space="0"/>
              <w:left w:val="single" w:color="auto" w:sz="8" w:space="0"/>
              <w:bottom w:val="single" w:color="auto" w:sz="8" w:space="0"/>
              <w:right w:val="single" w:color="000000" w:sz="8" w:space="0"/>
            </w:tcBorders>
            <w:noWrap/>
            <w:vAlign w:val="top"/>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维修工程师签名：                                  盖章</w:t>
            </w:r>
          </w:p>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维修日期：</w:t>
            </w:r>
          </w:p>
        </w:tc>
      </w:tr>
    </w:tbl>
    <w:p>
      <w:pPr>
        <w:rPr>
          <w:rFonts w:hint="eastAsia"/>
          <w:color w:val="auto"/>
          <w:highlight w:val="none"/>
          <w:lang w:val="en-US" w:eastAsia="zh-CN"/>
        </w:rPr>
        <w:sectPr>
          <w:footerReference r:id="rId16" w:type="default"/>
          <w:pgSz w:w="11906" w:h="16838"/>
          <w:pgMar w:top="1440" w:right="1797" w:bottom="1440" w:left="1440" w:header="567" w:footer="964" w:gutter="0"/>
          <w:pgBorders>
            <w:top w:val="none" w:sz="0" w:space="0"/>
            <w:left w:val="none" w:sz="0" w:space="0"/>
            <w:bottom w:val="none" w:sz="0" w:space="0"/>
            <w:right w:val="none" w:sz="0" w:space="0"/>
          </w:pgBorders>
          <w:pgNumType w:fmt="decimal"/>
          <w:cols w:space="720" w:num="1"/>
          <w:docGrid w:linePitch="312" w:charSpace="0"/>
        </w:sectPr>
      </w:pPr>
    </w:p>
    <w:p>
      <w:pPr>
        <w:widowControl w:val="0"/>
        <w:jc w:val="both"/>
        <w:outlineLvl w:val="0"/>
        <w:rPr>
          <w:rFonts w:hint="eastAsia" w:ascii="Times New Roman" w:hAnsi="Times New Roman" w:eastAsia="宋体" w:cs="Times New Roman"/>
          <w:b/>
          <w:bCs/>
          <w:color w:val="auto"/>
          <w:kern w:val="2"/>
          <w:sz w:val="21"/>
          <w:szCs w:val="21"/>
          <w:highlight w:val="none"/>
          <w:lang w:val="en-US" w:eastAsia="zh-CN" w:bidi="ar-SA"/>
        </w:rPr>
      </w:pPr>
      <w:bookmarkStart w:id="1838" w:name="_Toc29442"/>
      <w:bookmarkStart w:id="1839" w:name="_Toc16839"/>
      <w:r>
        <w:rPr>
          <w:rFonts w:hint="eastAsia" w:ascii="Times New Roman" w:hAnsi="Times New Roman" w:eastAsia="宋体" w:cs="Times New Roman"/>
          <w:b/>
          <w:bCs/>
          <w:color w:val="auto"/>
          <w:kern w:val="2"/>
          <w:sz w:val="24"/>
          <w:szCs w:val="32"/>
          <w:highlight w:val="none"/>
          <w:lang w:val="en-US" w:eastAsia="zh-CN" w:bidi="ar-SA"/>
        </w:rPr>
        <w:t>附件3：性能测试验收报告</w:t>
      </w:r>
      <w:bookmarkEnd w:id="1838"/>
    </w:p>
    <w:bookmarkEnd w:id="1839"/>
    <w:p>
      <w:pPr>
        <w:widowControl w:val="0"/>
        <w:spacing w:before="0" w:after="0" w:afterAutospacing="0" w:line="240" w:lineRule="auto"/>
        <w:ind w:left="0" w:right="0" w:firstLine="0"/>
        <w:jc w:val="center"/>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性能测试</w:t>
      </w:r>
      <w:r>
        <w:rPr>
          <w:rFonts w:hint="eastAsia" w:ascii="宋体" w:hAnsi="宋体" w:eastAsia="宋体" w:cs="宋体"/>
          <w:b/>
          <w:color w:val="auto"/>
          <w:kern w:val="2"/>
          <w:sz w:val="21"/>
          <w:szCs w:val="21"/>
          <w:highlight w:val="none"/>
          <w:lang w:val="en-US" w:eastAsia="zh-CN"/>
        </w:rPr>
        <w:t>验收</w:t>
      </w:r>
      <w:r>
        <w:rPr>
          <w:rFonts w:hint="eastAsia" w:ascii="宋体" w:hAnsi="宋体" w:eastAsia="宋体" w:cs="宋体"/>
          <w:b/>
          <w:color w:val="auto"/>
          <w:kern w:val="2"/>
          <w:sz w:val="21"/>
          <w:szCs w:val="21"/>
          <w:highlight w:val="none"/>
        </w:rPr>
        <w:t>报告</w:t>
      </w:r>
    </w:p>
    <w:tbl>
      <w:tblPr>
        <w:tblStyle w:val="32"/>
        <w:tblpPr w:leftFromText="180" w:rightFromText="180" w:vertAnchor="text" w:tblpXSpec="center" w:tblpY="1"/>
        <w:tblOverlap w:val="never"/>
        <w:tblW w:w="56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18"/>
        <w:gridCol w:w="1276"/>
        <w:gridCol w:w="1007"/>
        <w:gridCol w:w="855"/>
        <w:gridCol w:w="3045"/>
        <w:gridCol w:w="1315"/>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blHeader/>
        </w:trPr>
        <w:tc>
          <w:tcPr>
            <w:tcW w:w="5000" w:type="pct"/>
            <w:gridSpan w:val="8"/>
            <w:noWrap w:val="0"/>
            <w:vAlign w:val="center"/>
          </w:tcPr>
          <w:p>
            <w:pPr>
              <w:keepNext w:val="0"/>
              <w:keepLines w:val="0"/>
              <w:widowControl w:val="0"/>
              <w:suppressLineNumbers w:val="0"/>
              <w:spacing w:before="0" w:beforeAutospacing="0" w:after="0" w:afterAutospacing="0" w:line="240" w:lineRule="auto"/>
              <w:ind w:left="0" w:right="0" w:firstLine="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测试验收时间：</w:t>
            </w:r>
          </w:p>
          <w:p>
            <w:pPr>
              <w:keepNext w:val="0"/>
              <w:keepLines w:val="0"/>
              <w:widowControl w:val="0"/>
              <w:suppressLineNumbers w:val="0"/>
              <w:spacing w:before="0" w:beforeAutospacing="0" w:after="0" w:afterAutospacing="0" w:line="240" w:lineRule="auto"/>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测试验收地点：</w:t>
            </w:r>
          </w:p>
          <w:p>
            <w:pPr>
              <w:keepNext w:val="0"/>
              <w:keepLines w:val="0"/>
              <w:widowControl w:val="0"/>
              <w:suppressLineNumbers w:val="0"/>
              <w:spacing w:before="0" w:beforeAutospacing="0" w:after="0" w:afterAutospacing="0" w:line="240" w:lineRule="auto"/>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测试验收人员：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suppressLineNumbers w:val="0"/>
              <w:spacing w:before="0" w:beforeAutospacing="0" w:after="0" w:afterAutospacing="0"/>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476" w:type="pct"/>
            <w:noWrap w:val="0"/>
            <w:vAlign w:val="center"/>
          </w:tcPr>
          <w:p>
            <w:pPr>
              <w:keepNext w:val="0"/>
              <w:keepLines w:val="0"/>
              <w:widowControl w:val="0"/>
              <w:suppressLineNumbers w:val="0"/>
              <w:spacing w:before="0" w:beforeAutospacing="0" w:after="0" w:afterAutospacing="0"/>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归属系统</w:t>
            </w:r>
          </w:p>
        </w:tc>
        <w:tc>
          <w:tcPr>
            <w:tcW w:w="661"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名称</w:t>
            </w:r>
          </w:p>
        </w:tc>
        <w:tc>
          <w:tcPr>
            <w:tcW w:w="522"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型号</w:t>
            </w:r>
          </w:p>
        </w:tc>
        <w:tc>
          <w:tcPr>
            <w:tcW w:w="443" w:type="pct"/>
            <w:noWrap w:val="0"/>
            <w:vAlign w:val="center"/>
          </w:tcPr>
          <w:p>
            <w:pPr>
              <w:keepNext w:val="0"/>
              <w:keepLines w:val="0"/>
              <w:widowControl w:val="0"/>
              <w:suppressLineNumbers w:val="0"/>
              <w:spacing w:before="0" w:beforeAutospacing="0" w:after="0" w:afterAutospacing="0"/>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序列号</w:t>
            </w:r>
          </w:p>
        </w:tc>
        <w:tc>
          <w:tcPr>
            <w:tcW w:w="1579"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测试验收内容及标准</w:t>
            </w:r>
          </w:p>
        </w:tc>
        <w:tc>
          <w:tcPr>
            <w:tcW w:w="681" w:type="pct"/>
            <w:noWrap w:val="0"/>
            <w:vAlign w:val="center"/>
          </w:tcPr>
          <w:p>
            <w:pPr>
              <w:keepNext w:val="0"/>
              <w:keepLines w:val="0"/>
              <w:widowControl w:val="0"/>
              <w:suppressLineNumbers w:val="0"/>
              <w:spacing w:before="0" w:beforeAutospacing="0" w:after="0" w:afterAutospacing="0"/>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测试结果</w:t>
            </w:r>
          </w:p>
        </w:tc>
        <w:tc>
          <w:tcPr>
            <w:tcW w:w="343" w:type="pct"/>
            <w:noWrap w:val="0"/>
            <w:vAlign w:val="center"/>
          </w:tcPr>
          <w:p>
            <w:pPr>
              <w:keepNext w:val="0"/>
              <w:keepLines w:val="0"/>
              <w:widowControl w:val="0"/>
              <w:suppressLineNumbers w:val="0"/>
              <w:spacing w:before="0" w:beforeAutospacing="0" w:after="0" w:afterAutospacing="0"/>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H3C WX5540E 无线控制器主机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EWP-WX5540E</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FE"/>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3.系统检测无告警；</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4.管理无线AP正常。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OPS光接收模块</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EL-LK-H-R</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3.正常接收N+1视频切换矩阵光信号；</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4.正常提供LCD屏所需视频源信号。</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司机室车载服务器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EL-TMC-E02</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3.到交换机的以太网业务可以正常使用；</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4.网管软件无相关告警。</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乘客信息系统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电源时序控制器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EL-PWC</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3.到交换机的以太网业务可以正常使用；</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4.为LCD屏正常供电。</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公务电话系统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主控板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GISB</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eastAsia="zh-CN" w:bidi="ar"/>
              </w:rPr>
            </w:pPr>
            <w:r>
              <w:rPr>
                <w:rFonts w:hint="eastAsia" w:ascii="宋体" w:hAnsi="宋体" w:eastAsia="宋体" w:cs="宋体"/>
                <w:color w:val="auto"/>
                <w:kern w:val="0"/>
                <w:sz w:val="21"/>
                <w:szCs w:val="21"/>
                <w:highlight w:val="none"/>
                <w:u w:val="none"/>
                <w:lang w:eastAsia="zh-CN" w:bidi="ar"/>
              </w:rPr>
              <w:t>1.</w:t>
            </w:r>
            <w:r>
              <w:rPr>
                <w:rFonts w:hint="eastAsia" w:ascii="宋体" w:hAnsi="宋体" w:eastAsia="宋体" w:cs="宋体"/>
                <w:color w:val="auto"/>
                <w:kern w:val="0"/>
                <w:sz w:val="21"/>
                <w:szCs w:val="21"/>
                <w:highlight w:val="none"/>
                <w:u w:val="none"/>
                <w:lang w:val="en-US" w:eastAsia="zh-CN" w:bidi="ar"/>
              </w:rPr>
              <w:t>上电时正常工作；</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eastAsia="zh-CN" w:bidi="ar"/>
              </w:rPr>
            </w:pPr>
            <w:r>
              <w:rPr>
                <w:rFonts w:hint="eastAsia" w:ascii="宋体" w:hAnsi="宋体" w:eastAsia="宋体" w:cs="宋体"/>
                <w:color w:val="auto"/>
                <w:kern w:val="0"/>
                <w:sz w:val="21"/>
                <w:szCs w:val="21"/>
                <w:highlight w:val="none"/>
                <w:u w:val="none"/>
                <w:lang w:eastAsia="zh-CN" w:bidi="ar"/>
              </w:rPr>
              <w:t>2.</w:t>
            </w:r>
            <w:r>
              <w:rPr>
                <w:rFonts w:hint="eastAsia" w:ascii="宋体" w:hAnsi="宋体" w:eastAsia="宋体" w:cs="宋体"/>
                <w:color w:val="auto"/>
                <w:kern w:val="0"/>
                <w:sz w:val="21"/>
                <w:szCs w:val="21"/>
                <w:highlight w:val="none"/>
                <w:u w:val="none"/>
                <w:lang w:val="en-US" w:eastAsia="zh-CN" w:bidi="ar"/>
              </w:rPr>
              <w:t>指示灯显示正常；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u w:val="none"/>
                <w:lang w:eastAsia="zh-CN" w:bidi="ar"/>
              </w:rPr>
              <w:t>3.</w:t>
            </w:r>
            <w:r>
              <w:rPr>
                <w:rFonts w:hint="eastAsia" w:ascii="宋体" w:hAnsi="宋体" w:eastAsia="宋体" w:cs="宋体"/>
                <w:color w:val="auto"/>
                <w:kern w:val="0"/>
                <w:sz w:val="21"/>
                <w:szCs w:val="21"/>
                <w:highlight w:val="none"/>
                <w:u w:val="none"/>
                <w:lang w:val="en-US" w:eastAsia="zh-CN" w:bidi="ar"/>
              </w:rPr>
              <w:t>网管检测板卡无告警；</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0"/>
                <w:sz w:val="21"/>
                <w:szCs w:val="21"/>
                <w:highlight w:val="none"/>
                <w:u w:val="none"/>
                <w:lang w:eastAsia="zh-CN" w:bidi="ar"/>
              </w:rPr>
            </w:pPr>
            <w:r>
              <w:rPr>
                <w:rFonts w:hint="eastAsia" w:ascii="宋体" w:hAnsi="宋体" w:eastAsia="宋体" w:cs="宋体"/>
                <w:color w:val="auto"/>
                <w:kern w:val="0"/>
                <w:sz w:val="21"/>
                <w:szCs w:val="21"/>
                <w:highlight w:val="none"/>
                <w:u w:val="none"/>
                <w:lang w:val="en-US" w:eastAsia="zh-CN" w:bidi="ar"/>
              </w:rPr>
              <w:t>4.公务电话功能正常。</w:t>
            </w:r>
            <w:r>
              <w:rPr>
                <w:rFonts w:hint="eastAsia" w:ascii="宋体" w:hAnsi="宋体" w:eastAsia="宋体" w:cs="宋体"/>
                <w:color w:val="auto"/>
                <w:kern w:val="2"/>
                <w:sz w:val="21"/>
                <w:szCs w:val="21"/>
                <w:highlight w:val="none"/>
                <w:u w:val="none"/>
                <w:lang w:val="en-US" w:eastAsia="zh-CN"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公务电话系统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64路POTS用户板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PTWVN</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3.网管检测板卡无告警；</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0"/>
                <w:sz w:val="21"/>
                <w:szCs w:val="21"/>
                <w:highlight w:val="none"/>
                <w:u w:val="none"/>
                <w:lang w:eastAsia="zh-CN" w:bidi="ar"/>
              </w:rPr>
            </w:pPr>
            <w:r>
              <w:rPr>
                <w:rFonts w:hint="eastAsia" w:ascii="宋体" w:hAnsi="宋体" w:eastAsia="宋体" w:cs="宋体"/>
                <w:color w:val="auto"/>
                <w:kern w:val="2"/>
                <w:sz w:val="21"/>
                <w:szCs w:val="21"/>
                <w:highlight w:val="none"/>
                <w:u w:val="none"/>
                <w:lang w:bidi="ar"/>
              </w:rPr>
              <w:t>4.公务电话功能正常。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广播系统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广播控制主机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HN-CP500</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3.能正常启动并进入系统；</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4.系统显示CPU、内存占用率均低于50%。</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门禁系统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网络控制器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V1000P</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3.与交换机、就地控制器、消防主机、IBP盘通信正常；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4.网络控制功能正常。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时钟系统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RS422扩展箱</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CJ-EBS-32</w:t>
            </w:r>
          </w:p>
        </w:tc>
        <w:tc>
          <w:tcPr>
            <w:tcW w:w="443"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0"/>
                <w:sz w:val="21"/>
                <w:szCs w:val="21"/>
                <w:highlight w:val="none"/>
                <w:u w:val="none"/>
                <w:lang w:val="en-US" w:eastAsia="zh-CN" w:bidi="ar"/>
              </w:rPr>
            </w:pPr>
            <w:r>
              <w:rPr>
                <w:rFonts w:hint="eastAsia" w:ascii="宋体" w:hAnsi="宋体" w:eastAsia="宋体" w:cs="宋体"/>
                <w:color w:val="auto"/>
                <w:kern w:val="2"/>
                <w:sz w:val="21"/>
                <w:szCs w:val="21"/>
                <w:highlight w:val="none"/>
                <w:u w:val="none"/>
                <w:lang w:bidi="ar"/>
              </w:rPr>
              <w:t>3.培训台功能测试；</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视频监控系统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网络视频存储设备主控板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HUS-IPS-6100D</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3.直连主控板可查询设备IP；</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4.NVR软件可正常对主控板进行各项参数配置；</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0"/>
                <w:sz w:val="21"/>
                <w:szCs w:val="21"/>
                <w:highlight w:val="none"/>
                <w:u w:val="none"/>
                <w:lang w:val="en-US" w:eastAsia="zh-CN" w:bidi="ar"/>
              </w:rPr>
            </w:pPr>
            <w:r>
              <w:rPr>
                <w:rFonts w:hint="eastAsia" w:ascii="宋体" w:hAnsi="宋体" w:eastAsia="宋体" w:cs="宋体"/>
                <w:color w:val="auto"/>
                <w:kern w:val="2"/>
                <w:sz w:val="21"/>
                <w:szCs w:val="21"/>
                <w:highlight w:val="none"/>
                <w:u w:val="none"/>
                <w:lang w:bidi="ar"/>
              </w:rPr>
              <w:t>5.与冗余主控板能正常切换。</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视频监控系统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视频分析管理服务器主板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DL380-主板</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3.服务器各板卡工作正常；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4.服务器能正常运行系统及业务软件；</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视频监控系统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视频分析管理服务器网卡</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DL380-网卡</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3.服务器</w:t>
            </w:r>
            <w:r>
              <w:rPr>
                <w:rFonts w:hint="default" w:ascii="宋体" w:hAnsi="宋体" w:eastAsia="宋体" w:cs="宋体"/>
                <w:color w:val="auto"/>
                <w:kern w:val="2"/>
                <w:sz w:val="21"/>
                <w:szCs w:val="21"/>
                <w:highlight w:val="none"/>
                <w:u w:val="none"/>
                <w:lang w:bidi="ar"/>
              </w:rPr>
              <w:t>网络功能正常</w:t>
            </w:r>
            <w:r>
              <w:rPr>
                <w:rFonts w:hint="eastAsia" w:ascii="宋体" w:hAnsi="宋体" w:eastAsia="宋体" w:cs="宋体"/>
                <w:color w:val="auto"/>
                <w:kern w:val="2"/>
                <w:sz w:val="21"/>
                <w:szCs w:val="21"/>
                <w:highlight w:val="none"/>
                <w:u w:val="none"/>
                <w:lang w:bidi="ar"/>
              </w:rPr>
              <w:t>；</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CCTV系统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电源模块</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GPR700-12A</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3.存储主机检测电源模块无告警；</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4.带载功能正常。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5.散热功能正常。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F型交叉时钟板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CSF</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eastAsia="zh-CN" w:bidi="ar"/>
              </w:rPr>
              <w:t>1.</w:t>
            </w:r>
            <w:r>
              <w:rPr>
                <w:rFonts w:hint="eastAsia" w:ascii="宋体" w:hAnsi="宋体" w:eastAsia="宋体" w:cs="宋体"/>
                <w:color w:val="auto"/>
                <w:kern w:val="2"/>
                <w:sz w:val="21"/>
                <w:szCs w:val="21"/>
                <w:highlight w:val="none"/>
                <w:u w:val="none"/>
                <w:lang w:val="en-US" w:eastAsia="zh-CN" w:bidi="ar"/>
              </w:rPr>
              <w:t>上电时正常工作；</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eastAsia="zh-CN" w:bidi="ar"/>
              </w:rPr>
              <w:t>2.</w:t>
            </w:r>
            <w:r>
              <w:rPr>
                <w:rFonts w:hint="eastAsia" w:ascii="宋体" w:hAnsi="宋体" w:eastAsia="宋体" w:cs="宋体"/>
                <w:color w:val="auto"/>
                <w:kern w:val="2"/>
                <w:sz w:val="21"/>
                <w:szCs w:val="21"/>
                <w:highlight w:val="none"/>
                <w:u w:val="none"/>
                <w:lang w:val="en-US" w:eastAsia="zh-CN" w:bidi="ar"/>
              </w:rPr>
              <w:t>指示灯显示正常；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eastAsia="zh-CN" w:bidi="ar"/>
              </w:rPr>
              <w:t>3.</w:t>
            </w:r>
            <w:r>
              <w:rPr>
                <w:rFonts w:hint="eastAsia" w:ascii="宋体" w:hAnsi="宋体" w:eastAsia="宋体" w:cs="宋体"/>
                <w:color w:val="auto"/>
                <w:kern w:val="2"/>
                <w:sz w:val="21"/>
                <w:szCs w:val="21"/>
                <w:highlight w:val="none"/>
                <w:u w:val="none"/>
                <w:lang w:val="en-US" w:eastAsia="zh-CN" w:bidi="ar"/>
              </w:rPr>
              <w:t>板卡倒换时间在50ms内完成；</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eastAsia="zh-CN" w:bidi="ar"/>
              </w:rPr>
              <w:t>4.</w:t>
            </w:r>
            <w:r>
              <w:rPr>
                <w:rFonts w:hint="eastAsia" w:ascii="宋体" w:hAnsi="宋体" w:eastAsia="宋体" w:cs="宋体"/>
                <w:color w:val="auto"/>
                <w:kern w:val="2"/>
                <w:sz w:val="21"/>
                <w:szCs w:val="21"/>
                <w:highlight w:val="none"/>
                <w:u w:val="none"/>
                <w:lang w:val="en-US" w:eastAsia="zh-CN" w:bidi="ar"/>
              </w:rPr>
              <w:t>业务和开销的交叉功能及系统时钟功能正常；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5.系统全网时钟同步功能正常。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6.</w:t>
            </w:r>
            <w:r>
              <w:rPr>
                <w:rFonts w:hint="eastAsia" w:ascii="宋体" w:hAnsi="宋体" w:eastAsia="宋体" w:cs="宋体"/>
                <w:color w:val="auto"/>
                <w:kern w:val="2"/>
                <w:sz w:val="21"/>
                <w:szCs w:val="21"/>
                <w:highlight w:val="none"/>
                <w:u w:val="none"/>
                <w:lang w:eastAsia="zh-CN" w:bidi="ar"/>
              </w:rPr>
              <w:t>网管无板卡相关告警。</w:t>
            </w:r>
            <w:r>
              <w:rPr>
                <w:rFonts w:hint="eastAsia" w:ascii="宋体" w:hAnsi="宋体" w:eastAsia="宋体" w:cs="宋体"/>
                <w:color w:val="auto"/>
                <w:kern w:val="2"/>
                <w:sz w:val="21"/>
                <w:szCs w:val="21"/>
                <w:highlight w:val="none"/>
                <w:u w:val="none"/>
                <w:lang w:val="en-US" w:eastAsia="zh-CN"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内嵌RPR交换处理板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RSEB</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top"/>
          </w:tcPr>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eastAsia="zh-CN" w:bidi="ar"/>
              </w:rPr>
              <w:t>1.</w:t>
            </w:r>
            <w:r>
              <w:rPr>
                <w:rFonts w:hint="eastAsia" w:ascii="宋体" w:hAnsi="宋体" w:eastAsia="宋体" w:cs="宋体"/>
                <w:color w:val="auto"/>
                <w:kern w:val="2"/>
                <w:sz w:val="21"/>
                <w:szCs w:val="21"/>
                <w:highlight w:val="none"/>
                <w:u w:val="none"/>
                <w:lang w:val="en-US" w:eastAsia="zh-CN" w:bidi="ar"/>
              </w:rPr>
              <w:t>上电时正常</w:t>
            </w:r>
            <w:r>
              <w:rPr>
                <w:rFonts w:hint="eastAsia" w:ascii="宋体" w:hAnsi="宋体" w:eastAsia="宋体" w:cs="宋体"/>
                <w:color w:val="auto"/>
                <w:kern w:val="2"/>
                <w:sz w:val="21"/>
                <w:szCs w:val="21"/>
                <w:highlight w:val="none"/>
                <w:u w:val="none"/>
                <w:lang w:eastAsia="zh-CN" w:bidi="ar"/>
              </w:rPr>
              <w:t>工</w:t>
            </w:r>
            <w:r>
              <w:rPr>
                <w:rFonts w:hint="eastAsia" w:ascii="宋体" w:hAnsi="宋体" w:eastAsia="宋体" w:cs="宋体"/>
                <w:color w:val="auto"/>
                <w:kern w:val="2"/>
                <w:sz w:val="21"/>
                <w:szCs w:val="21"/>
                <w:highlight w:val="none"/>
                <w:u w:val="none"/>
                <w:lang w:val="en-US" w:eastAsia="zh-CN" w:bidi="ar"/>
              </w:rPr>
              <w:t>作；</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eastAsia="zh-CN" w:bidi="ar"/>
              </w:rPr>
              <w:t>2.</w:t>
            </w:r>
            <w:r>
              <w:rPr>
                <w:rFonts w:hint="eastAsia" w:ascii="宋体" w:hAnsi="宋体" w:eastAsia="宋体" w:cs="宋体"/>
                <w:color w:val="auto"/>
                <w:kern w:val="2"/>
                <w:sz w:val="21"/>
                <w:szCs w:val="21"/>
                <w:highlight w:val="none"/>
                <w:u w:val="none"/>
                <w:lang w:val="en-US" w:eastAsia="zh-CN" w:bidi="ar"/>
              </w:rPr>
              <w:t>指示灯显示正常；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3.以太网业务到弹性分组环（RPR）的映射正常；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4.提供RPR所需的双环拓扑结构，完成RPR节点的环形正常互连；</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0"/>
                <w:sz w:val="21"/>
                <w:szCs w:val="21"/>
                <w:highlight w:val="none"/>
                <w:u w:val="none"/>
                <w:lang w:eastAsia="zh-CN" w:bidi="ar"/>
              </w:rPr>
            </w:pPr>
            <w:r>
              <w:rPr>
                <w:rFonts w:hint="eastAsia" w:ascii="宋体" w:hAnsi="宋体" w:eastAsia="宋体" w:cs="宋体"/>
                <w:color w:val="auto"/>
                <w:kern w:val="2"/>
                <w:sz w:val="21"/>
                <w:szCs w:val="21"/>
                <w:highlight w:val="none"/>
                <w:u w:val="none"/>
                <w:lang w:val="en-US" w:eastAsia="zh-CN" w:bidi="ar"/>
              </w:rPr>
              <w:t>5.</w:t>
            </w:r>
            <w:r>
              <w:rPr>
                <w:rFonts w:hint="eastAsia" w:ascii="宋体" w:hAnsi="宋体" w:eastAsia="宋体" w:cs="宋体"/>
                <w:color w:val="auto"/>
                <w:kern w:val="2"/>
                <w:sz w:val="21"/>
                <w:szCs w:val="21"/>
                <w:highlight w:val="none"/>
                <w:u w:val="none"/>
                <w:lang w:eastAsia="zh-CN" w:bidi="ar"/>
              </w:rPr>
              <w:t>网管无板卡相关告</w:t>
            </w:r>
            <w:r>
              <w:rPr>
                <w:rFonts w:hint="eastAsia" w:ascii="宋体" w:hAnsi="宋体" w:eastAsia="宋体" w:cs="宋体"/>
                <w:color w:val="auto"/>
                <w:kern w:val="0"/>
                <w:sz w:val="21"/>
                <w:szCs w:val="21"/>
                <w:highlight w:val="none"/>
                <w:u w:val="none"/>
                <w:lang w:eastAsia="zh-CN" w:bidi="ar"/>
              </w:rPr>
              <w:t>警；</w:t>
            </w:r>
            <w:r>
              <w:rPr>
                <w:rFonts w:hint="eastAsia" w:ascii="宋体" w:hAnsi="宋体" w:eastAsia="宋体" w:cs="宋体"/>
                <w:color w:val="auto"/>
                <w:kern w:val="0"/>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eastAsia="zh-CN" w:bidi="ar"/>
              </w:rPr>
              <w:t>6.以太网业务可以正常使用。</w:t>
            </w:r>
            <w:r>
              <w:rPr>
                <w:rFonts w:hint="eastAsia" w:ascii="宋体" w:hAnsi="宋体" w:eastAsia="宋体" w:cs="宋体"/>
                <w:color w:val="auto"/>
                <w:kern w:val="0"/>
                <w:sz w:val="21"/>
                <w:szCs w:val="21"/>
                <w:highlight w:val="none"/>
                <w:u w:val="none"/>
                <w:lang w:val="en-US" w:eastAsia="zh-CN"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主控交叉时钟盘（含交换、主控、时钟）</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CXC5B</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测试设备各项功能均正常；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使用PC测试软件可正常检测各功能、设置参数。</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专用传输系统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BITS网络同步设备</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CJ-BITS-SERVER</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3.网管检测无告警；</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4.板卡同步功能正常。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数字中继板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4DTU</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3.网管检测板卡无告警；</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4.专用电话功能正常。</w:t>
            </w:r>
            <w:r>
              <w:rPr>
                <w:rFonts w:hint="eastAsia" w:ascii="宋体" w:hAnsi="宋体" w:eastAsia="宋体" w:cs="宋体"/>
                <w:color w:val="auto"/>
                <w:kern w:val="2"/>
                <w:sz w:val="21"/>
                <w:szCs w:val="21"/>
                <w:highlight w:val="none"/>
                <w:u w:val="none"/>
                <w:lang w:val="en-US" w:eastAsia="zh-CN"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时隙交换板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MXU</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eastAsia="zh-CN" w:bidi="ar"/>
              </w:rPr>
              <w:t>1.</w:t>
            </w:r>
            <w:r>
              <w:rPr>
                <w:rFonts w:hint="eastAsia" w:ascii="宋体" w:hAnsi="宋体" w:eastAsia="宋体" w:cs="宋体"/>
                <w:color w:val="auto"/>
                <w:kern w:val="0"/>
                <w:sz w:val="21"/>
                <w:szCs w:val="21"/>
                <w:highlight w:val="none"/>
                <w:u w:val="none"/>
                <w:lang w:val="en-US" w:eastAsia="zh-CN" w:bidi="ar"/>
              </w:rPr>
              <w:t>上电时正常工作；</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eastAsia="zh-CN" w:bidi="ar"/>
              </w:rPr>
              <w:t>2.</w:t>
            </w:r>
            <w:r>
              <w:rPr>
                <w:rFonts w:hint="eastAsia" w:ascii="宋体" w:hAnsi="宋体" w:eastAsia="宋体" w:cs="宋体"/>
                <w:color w:val="auto"/>
                <w:kern w:val="0"/>
                <w:sz w:val="21"/>
                <w:szCs w:val="21"/>
                <w:highlight w:val="none"/>
                <w:u w:val="none"/>
                <w:lang w:val="en-US" w:eastAsia="zh-CN" w:bidi="ar"/>
              </w:rPr>
              <w:t>指示灯显示正常；</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eastAsia="zh-CN" w:bidi="ar"/>
              </w:rPr>
              <w:t>3.</w:t>
            </w:r>
            <w:r>
              <w:rPr>
                <w:rFonts w:hint="eastAsia" w:ascii="宋体" w:hAnsi="宋体" w:eastAsia="宋体" w:cs="宋体"/>
                <w:color w:val="auto"/>
                <w:kern w:val="0"/>
                <w:sz w:val="21"/>
                <w:szCs w:val="21"/>
                <w:highlight w:val="none"/>
                <w:u w:val="none"/>
                <w:lang w:val="en-US" w:eastAsia="zh-CN" w:bidi="ar"/>
              </w:rPr>
              <w:t>网管检测板卡无告警。</w:t>
            </w:r>
            <w:r>
              <w:rPr>
                <w:rFonts w:hint="eastAsia" w:ascii="宋体" w:hAnsi="宋体" w:eastAsia="宋体" w:cs="宋体"/>
                <w:color w:val="auto"/>
                <w:kern w:val="2"/>
                <w:sz w:val="21"/>
                <w:szCs w:val="21"/>
                <w:highlight w:val="none"/>
                <w:u w:val="none"/>
                <w:lang w:val="en-US" w:eastAsia="zh-CN"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网络交换板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EXU</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eastAsia="zh-CN" w:bidi="ar"/>
              </w:rPr>
              <w:t>1.</w:t>
            </w:r>
            <w:r>
              <w:rPr>
                <w:rFonts w:hint="eastAsia" w:ascii="宋体" w:hAnsi="宋体" w:eastAsia="宋体" w:cs="宋体"/>
                <w:color w:val="auto"/>
                <w:kern w:val="0"/>
                <w:sz w:val="21"/>
                <w:szCs w:val="21"/>
                <w:highlight w:val="none"/>
                <w:u w:val="none"/>
                <w:lang w:val="en-US" w:eastAsia="zh-CN" w:bidi="ar"/>
              </w:rPr>
              <w:t>上</w:t>
            </w:r>
            <w:r>
              <w:rPr>
                <w:rFonts w:hint="eastAsia" w:ascii="宋体" w:hAnsi="宋体" w:eastAsia="宋体" w:cs="宋体"/>
                <w:color w:val="auto"/>
                <w:kern w:val="2"/>
                <w:sz w:val="21"/>
                <w:szCs w:val="21"/>
                <w:highlight w:val="none"/>
                <w:u w:val="none"/>
                <w:lang w:val="en-US" w:eastAsia="zh-CN" w:bidi="ar"/>
              </w:rPr>
              <w:t>电时正常工作；</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eastAsia="zh-CN" w:bidi="ar"/>
              </w:rPr>
            </w:pPr>
            <w:r>
              <w:rPr>
                <w:rFonts w:hint="eastAsia" w:ascii="宋体" w:hAnsi="宋体" w:eastAsia="宋体" w:cs="宋体"/>
                <w:color w:val="auto"/>
                <w:kern w:val="2"/>
                <w:sz w:val="21"/>
                <w:szCs w:val="21"/>
                <w:highlight w:val="none"/>
                <w:u w:val="none"/>
                <w:lang w:eastAsia="zh-CN" w:bidi="ar"/>
              </w:rPr>
              <w:t>2.</w:t>
            </w:r>
            <w:r>
              <w:rPr>
                <w:rFonts w:hint="eastAsia" w:ascii="宋体" w:hAnsi="宋体" w:eastAsia="宋体" w:cs="宋体"/>
                <w:color w:val="auto"/>
                <w:kern w:val="2"/>
                <w:sz w:val="21"/>
                <w:szCs w:val="21"/>
                <w:highlight w:val="none"/>
                <w:u w:val="none"/>
                <w:lang w:val="en-US" w:eastAsia="zh-CN" w:bidi="ar"/>
              </w:rPr>
              <w:t>指示灯显示正常</w:t>
            </w:r>
            <w:r>
              <w:rPr>
                <w:rFonts w:hint="eastAsia" w:ascii="宋体" w:hAnsi="宋体" w:eastAsia="宋体" w:cs="宋体"/>
                <w:color w:val="auto"/>
                <w:kern w:val="0"/>
                <w:sz w:val="21"/>
                <w:szCs w:val="21"/>
                <w:highlight w:val="none"/>
                <w:u w:val="none"/>
                <w:lang w:val="en-US" w:eastAsia="zh-CN" w:bidi="ar"/>
              </w:rPr>
              <w:t>；</w:t>
            </w:r>
            <w:r>
              <w:rPr>
                <w:rFonts w:hint="eastAsia" w:ascii="宋体" w:hAnsi="宋体" w:eastAsia="宋体" w:cs="宋体"/>
                <w:color w:val="auto"/>
                <w:kern w:val="2"/>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u w:val="none"/>
                <w:lang w:eastAsia="zh-CN" w:bidi="ar"/>
              </w:rPr>
              <w:t>3.网元链路正常</w:t>
            </w:r>
            <w:r>
              <w:rPr>
                <w:rFonts w:hint="eastAsia" w:ascii="宋体" w:hAnsi="宋体" w:eastAsia="宋体" w:cs="宋体"/>
                <w:color w:val="auto"/>
                <w:kern w:val="0"/>
                <w:sz w:val="21"/>
                <w:szCs w:val="21"/>
                <w:highlight w:val="none"/>
                <w:u w:val="none"/>
                <w:lang w:val="en-US" w:eastAsia="zh-CN" w:bidi="ar"/>
              </w:rPr>
              <w:t>。</w:t>
            </w:r>
            <w:r>
              <w:rPr>
                <w:rFonts w:hint="eastAsia" w:ascii="宋体" w:hAnsi="宋体" w:eastAsia="宋体" w:cs="宋体"/>
                <w:color w:val="auto"/>
                <w:kern w:val="0"/>
                <w:sz w:val="21"/>
                <w:szCs w:val="21"/>
                <w:highlight w:val="none"/>
                <w:u w:val="none"/>
                <w:lang w:val="en-US" w:eastAsia="zh-CN"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4.本端/远端数据库登录正常</w:t>
            </w:r>
            <w:r>
              <w:rPr>
                <w:rFonts w:hint="eastAsia" w:ascii="宋体" w:hAnsi="宋体" w:eastAsia="宋体" w:cs="宋体"/>
                <w:color w:val="auto"/>
                <w:kern w:val="0"/>
                <w:sz w:val="21"/>
                <w:szCs w:val="21"/>
                <w:highlight w:val="none"/>
                <w:u w:val="none"/>
                <w:lang w:val="en-US" w:eastAsia="zh-CN"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专用电话系统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模拟用户板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ALUR</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3.网管检测板卡无告警；</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4.专用电话功能正常。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专用电源系统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电源板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EA89II-80K</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3.测试设备各项功能均正常；</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4.测试电源输入接口功能正常；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5.测试电源输出接口功能正常。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专用电源系统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辅助电源板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EA89Ⅱ-45K</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3.测试设备各项功能均正常 ；</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4.测试电源输入接口功能正常 ；</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5.测试电源输出接口功能正常 。</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基站PSU电源备件</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WAPN4335</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上电时</w:t>
            </w:r>
            <w:r>
              <w:rPr>
                <w:rFonts w:hint="eastAsia" w:ascii="宋体" w:hAnsi="宋体" w:eastAsia="宋体" w:cs="宋体"/>
                <w:color w:val="auto"/>
                <w:kern w:val="2"/>
                <w:sz w:val="21"/>
                <w:szCs w:val="21"/>
                <w:highlight w:val="none"/>
                <w:u w:val="none"/>
                <w:lang w:val="en-US" w:eastAsia="zh-CN" w:bidi="ar"/>
              </w:rPr>
              <w:t>业务</w:t>
            </w:r>
            <w:r>
              <w:rPr>
                <w:rFonts w:hint="eastAsia" w:ascii="宋体" w:hAnsi="宋体" w:eastAsia="宋体" w:cs="宋体"/>
                <w:color w:val="auto"/>
                <w:kern w:val="2"/>
                <w:sz w:val="21"/>
                <w:szCs w:val="21"/>
                <w:highlight w:val="none"/>
                <w:u w:val="none"/>
                <w:lang w:bidi="ar"/>
              </w:rPr>
              <w:t>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能正常输出48V直流电压和12V直流电压；</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序列号能正常被基站控制器识别。</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基站控制器</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GMCN4737A</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使用PC测试软件可正常检测各功能、设置参数。</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光复用器</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YT-0MUX02</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测试设备各项功能均正常；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车载台主机</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CZT 812-A-2</w:t>
            </w:r>
          </w:p>
        </w:tc>
        <w:tc>
          <w:tcPr>
            <w:tcW w:w="443"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测试设备各项功能均正常；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使用PC测试软件可正常检测各功能、设置参数。</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虚拟专用网络路由器VPN</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SRX5308</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3.测试设备各项功能均正常  </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4.虚拟网络接口功能均正常  </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核心路由器CG（E）\ER</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S6000</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3.测试设备各项功能均正常  </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4.能正常与CWR通信，数据转发正常 </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核心交换机CLANS</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2620-48</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3.测试设备各项功能均正常  </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4.网络数据能正常发送与接收  </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广域网协同路由器CWR</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GLN1172G</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3.测试设备各项功能均正常  </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4.能正常与核心路由通信，数据转发正常 </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MUX多路复用器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DXC-30</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3.测试设备各项功能均正常  </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 xml:space="preserve">4.2M数据转换正常 </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基站收发信机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GMTF4695A</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3.网管检测模块无告警；</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4.专用无线基站功能正常。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IPN服务器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SR250</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3.能正常启动并进入系统；</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4.能下载无线系统数据到服务器，服务器正常运行，专用无线功能正常。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数据库服务器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x3250 M6</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3.能正常启动并进入系统；</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4.能开启服务器，服务器正常运行，专用无线功能正常。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三层交换机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S7503E-M</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3.能正常启动并导入交换机配置；</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4.交换机正常运行，专用无线功能正常。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应用三层交换机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S5130S-52S-HI</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3.能正常启动并导入交换机配置；</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4.交换机正常运行，专用无线功能正常。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ATCA 计算板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MIC-5345/4G/128GSSD </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3.能正常启动并导交换管理中心数据配置；</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4.计算板正常运行，专用无线功能正常。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调度服务器</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SR650</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3.能正常启动并进入系统；</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4.能开启服务器，服务器正常运行，专用无线功能正常。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核心交换机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S5560-54C-EI</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3.能正常启动并导入交换机配置；</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4.交换机正常运行，专用无线功能正常。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专用无线系统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二次开发交换机</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S5130S-52P-EI</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1.上电时正常工作；</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2.指示灯显示正常；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0"/>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3.能正常启动并导入交换机配置；</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0"/>
                <w:sz w:val="21"/>
                <w:szCs w:val="21"/>
                <w:highlight w:val="none"/>
                <w:u w:val="none"/>
                <w:lang w:val="en-US" w:eastAsia="zh-CN" w:bidi="ar"/>
              </w:rPr>
              <w:t>4.交换机正常运行，专用无线功能正常。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纸币找零单元主控板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CDM6240-ZKB001</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上电后模块指示灯正常；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正常识别废钞箱、1元找零箱、5元找零箱ID</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1元、5元找零箱正常找出纸币</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废钞箱正常回收残缺纸币</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5.</w:t>
            </w:r>
            <w:r>
              <w:rPr>
                <w:rFonts w:hint="eastAsia" w:ascii="宋体" w:hAnsi="宋体" w:eastAsia="宋体" w:cs="宋体"/>
                <w:color w:val="auto"/>
                <w:kern w:val="2"/>
                <w:sz w:val="21"/>
                <w:szCs w:val="21"/>
                <w:highlight w:val="none"/>
                <w:u w:val="none"/>
                <w:lang w:bidi="ar"/>
              </w:rPr>
              <w:t>正常补充纸币、结账，数据与实际一致</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6.</w:t>
            </w:r>
            <w:r>
              <w:rPr>
                <w:rFonts w:hint="eastAsia" w:ascii="宋体" w:hAnsi="宋体" w:eastAsia="宋体" w:cs="宋体"/>
                <w:color w:val="auto"/>
                <w:kern w:val="2"/>
                <w:sz w:val="21"/>
                <w:szCs w:val="21"/>
                <w:highlight w:val="none"/>
                <w:u w:val="none"/>
                <w:lang w:bidi="ar"/>
              </w:rPr>
              <w:t>无故障代码。</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硬币单元主控板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3PCB100030A-01-10</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上电后模块指示灯正常；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正常识别后备找零箱、回收箱ID</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正常使用硬币、纸币+硬币方式购票</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正常找零</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5.</w:t>
            </w:r>
            <w:r>
              <w:rPr>
                <w:rFonts w:hint="eastAsia" w:ascii="宋体" w:hAnsi="宋体" w:eastAsia="宋体" w:cs="宋体"/>
                <w:color w:val="auto"/>
                <w:kern w:val="2"/>
                <w:sz w:val="21"/>
                <w:szCs w:val="21"/>
                <w:highlight w:val="none"/>
                <w:u w:val="none"/>
                <w:lang w:bidi="ar"/>
              </w:rPr>
              <w:t>正常补充硬币、结账，数据与实际一致</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6.无故障代码</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纸币识别单元主板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982262001P1</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上电后模块指示灯正常；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维修面板无相关故障代码；</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能完成纸币识别、暂存、退还、存储功能</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napToGrid/>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snapToGrid/>
                <w:color w:val="auto"/>
                <w:kern w:val="0"/>
                <w:sz w:val="21"/>
                <w:szCs w:val="21"/>
                <w:highlight w:val="none"/>
                <w:u w:val="none"/>
                <w:lang w:val="en-US" w:eastAsia="zh-CN" w:bidi="ar"/>
              </w:rPr>
              <w:t>若交易被中途取消，则保存在暂存机构中的所有纸币被一并退出</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napToGrid/>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5.</w:t>
            </w:r>
            <w:r>
              <w:rPr>
                <w:rFonts w:hint="eastAsia" w:ascii="宋体" w:hAnsi="宋体" w:eastAsia="宋体" w:cs="宋体"/>
                <w:color w:val="auto"/>
                <w:kern w:val="2"/>
                <w:sz w:val="21"/>
                <w:szCs w:val="21"/>
                <w:highlight w:val="none"/>
                <w:u w:val="none"/>
                <w:lang w:bidi="ar"/>
              </w:rPr>
              <w:t>正确上传纸币处理数据</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发行单元主控板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YT7.820.0866</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1.</w:t>
            </w:r>
            <w:r>
              <w:rPr>
                <w:rFonts w:hint="eastAsia" w:ascii="宋体" w:hAnsi="宋体" w:eastAsia="宋体" w:cs="宋体"/>
                <w:color w:val="auto"/>
                <w:kern w:val="2"/>
                <w:sz w:val="21"/>
                <w:szCs w:val="21"/>
                <w:highlight w:val="none"/>
                <w:u w:val="none"/>
                <w:lang w:bidi="ar"/>
              </w:rPr>
              <w:t>上电后模块指示灯正常；</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2.</w:t>
            </w:r>
            <w:r>
              <w:rPr>
                <w:rFonts w:hint="eastAsia" w:ascii="宋体" w:hAnsi="宋体" w:eastAsia="宋体" w:cs="宋体"/>
                <w:color w:val="auto"/>
                <w:kern w:val="2"/>
                <w:sz w:val="21"/>
                <w:szCs w:val="21"/>
                <w:highlight w:val="none"/>
                <w:u w:val="none"/>
                <w:lang w:bidi="ar"/>
              </w:rPr>
              <w:t>正常识别补票箱回收箱、废票箱ID</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3.</w:t>
            </w:r>
            <w:r>
              <w:rPr>
                <w:rFonts w:hint="eastAsia" w:ascii="宋体" w:hAnsi="宋体" w:eastAsia="宋体" w:cs="宋体"/>
                <w:color w:val="auto"/>
                <w:kern w:val="2"/>
                <w:sz w:val="21"/>
                <w:szCs w:val="21"/>
                <w:highlight w:val="none"/>
                <w:u w:val="none"/>
                <w:lang w:bidi="ar"/>
              </w:rPr>
              <w:t>正常售票、回收车票，对读写失败的车票，能将其放入废票箱。正常找零</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正常补充车票、结账，数据与实际一致。</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5.</w:t>
            </w:r>
            <w:r>
              <w:rPr>
                <w:rFonts w:hint="eastAsia" w:ascii="宋体" w:hAnsi="宋体" w:eastAsia="宋体" w:cs="宋体"/>
                <w:color w:val="auto"/>
                <w:kern w:val="2"/>
                <w:sz w:val="21"/>
                <w:szCs w:val="21"/>
                <w:highlight w:val="none"/>
                <w:u w:val="none"/>
                <w:lang w:bidi="ar"/>
              </w:rPr>
              <w:t>无故障代码</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硬币识别器</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CAS-006D</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2.维修面板无相关故障代码；</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eastAsia="zh-CN" w:bidi="ar"/>
              </w:rPr>
            </w:pPr>
            <w:r>
              <w:rPr>
                <w:rFonts w:hint="eastAsia" w:ascii="宋体" w:hAnsi="宋体" w:eastAsia="宋体" w:cs="宋体"/>
                <w:color w:val="auto"/>
                <w:kern w:val="2"/>
                <w:sz w:val="21"/>
                <w:szCs w:val="21"/>
                <w:highlight w:val="none"/>
                <w:u w:val="none"/>
                <w:lang w:bidi="ar"/>
              </w:rPr>
              <w:t>3.测试硬币识别及硬币接收币处理模块等</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val="en-US" w:eastAsia="zh-CN" w:bidi="ar"/>
              </w:rPr>
              <w:t>4.</w:t>
            </w:r>
            <w:r>
              <w:rPr>
                <w:rFonts w:hint="eastAsia" w:ascii="宋体" w:hAnsi="宋体" w:eastAsia="宋体" w:cs="宋体"/>
                <w:color w:val="auto"/>
                <w:kern w:val="2"/>
                <w:sz w:val="21"/>
                <w:szCs w:val="21"/>
                <w:highlight w:val="none"/>
                <w:u w:val="none"/>
                <w:lang w:bidi="ar"/>
              </w:rPr>
              <w:t>各项功能均正常。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单程票回收机构主控板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CAS-006F</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numPr>
                <w:ilvl w:val="0"/>
                <w:numId w:val="0"/>
              </w:numPr>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上电后模块正常运行；</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numPr>
                <w:ilvl w:val="0"/>
                <w:numId w:val="0"/>
              </w:numPr>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2.上电后测试回收电磁铁动作正常。</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硬币单元循环找零Hopper</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PSU-3201A</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3.测试设备各项功能均正常</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4.能完成硬币找零功能。</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硬币模块控制板</w:t>
            </w:r>
          </w:p>
        </w:tc>
        <w:tc>
          <w:tcPr>
            <w:tcW w:w="522"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YT2.480.0603</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t></w:t>
            </w:r>
            <w:r>
              <w:rPr>
                <w:rFonts w:hint="eastAsia" w:ascii="宋体" w:hAnsi="宋体" w:eastAsia="宋体" w:cs="宋体"/>
                <w:color w:val="auto"/>
                <w:kern w:val="2"/>
                <w:sz w:val="21"/>
                <w:szCs w:val="21"/>
                <w:highlight w:val="none"/>
                <w:u w:val="none"/>
                <w:lang w:bidi="ar"/>
              </w:rPr>
              <w:sym w:font="Wingdings" w:char="00A8"/>
            </w:r>
          </w:p>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3.测试设备各项功能均正常</w:t>
            </w:r>
            <w:r>
              <w:rPr>
                <w:rFonts w:hint="eastAsia" w:ascii="宋体" w:hAnsi="宋体" w:eastAsia="宋体" w:cs="宋体"/>
                <w:color w:val="auto"/>
                <w:kern w:val="2"/>
                <w:sz w:val="21"/>
                <w:szCs w:val="21"/>
                <w:highlight w:val="none"/>
                <w:u w:val="none"/>
                <w:lang w:eastAsia="zh-CN" w:bidi="ar"/>
              </w:rPr>
              <w:t>；</w:t>
            </w: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4.能完成硬币识别、暂存、退还、补充、找零、回收、清空等功能。</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SC服务器</w:t>
            </w:r>
            <w:r>
              <w:rPr>
                <w:rFonts w:hint="default" w:ascii="宋体" w:hAnsi="宋体" w:eastAsia="宋体" w:cs="宋体"/>
                <w:i w:val="0"/>
                <w:iCs w:val="0"/>
                <w:color w:val="auto"/>
                <w:kern w:val="0"/>
                <w:sz w:val="21"/>
                <w:szCs w:val="21"/>
                <w:highlight w:val="none"/>
                <w:u w:val="none"/>
                <w:lang w:eastAsia="zh-CN" w:bidi="ar"/>
              </w:rPr>
              <w:t>主板</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X3650M5</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3.服务器各板卡工作正常；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4.服务器能正常运行系统及业务软件；</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1" w:type="pct"/>
            <w:noWrap w:val="0"/>
            <w:vAlign w:val="center"/>
          </w:tcPr>
          <w:p>
            <w:pPr>
              <w:keepNext w:val="0"/>
              <w:keepLines w:val="0"/>
              <w:widowControl w:val="0"/>
              <w:numPr>
                <w:ilvl w:val="0"/>
                <w:numId w:val="29"/>
              </w:numPr>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rPr>
            </w:pPr>
          </w:p>
        </w:tc>
        <w:tc>
          <w:tcPr>
            <w:tcW w:w="476"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AFC系统</w:t>
            </w:r>
          </w:p>
        </w:tc>
        <w:tc>
          <w:tcPr>
            <w:tcW w:w="6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color w:val="auto"/>
                <w:kern w:val="2"/>
                <w:sz w:val="21"/>
                <w:szCs w:val="21"/>
                <w:highlight w:val="none"/>
                <w:u w:val="none"/>
                <w:lang w:bidi="ar"/>
              </w:rPr>
            </w:pPr>
            <w:r>
              <w:rPr>
                <w:rFonts w:hint="eastAsia" w:ascii="宋体" w:hAnsi="宋体" w:eastAsia="宋体" w:cs="宋体"/>
                <w:i w:val="0"/>
                <w:iCs w:val="0"/>
                <w:color w:val="auto"/>
                <w:kern w:val="0"/>
                <w:sz w:val="21"/>
                <w:szCs w:val="21"/>
                <w:highlight w:val="none"/>
                <w:u w:val="none"/>
                <w:lang w:val="en-US" w:eastAsia="zh-CN" w:bidi="ar"/>
              </w:rPr>
              <w:t>SC服务器</w:t>
            </w:r>
            <w:r>
              <w:rPr>
                <w:rFonts w:hint="default" w:ascii="宋体" w:hAnsi="宋体" w:eastAsia="宋体" w:cs="宋体"/>
                <w:i w:val="0"/>
                <w:iCs w:val="0"/>
                <w:color w:val="auto"/>
                <w:kern w:val="0"/>
                <w:sz w:val="21"/>
                <w:szCs w:val="21"/>
                <w:highlight w:val="none"/>
                <w:u w:val="none"/>
                <w:lang w:eastAsia="zh-CN" w:bidi="ar"/>
              </w:rPr>
              <w:t>网卡</w:t>
            </w:r>
          </w:p>
        </w:tc>
        <w:tc>
          <w:tcPr>
            <w:tcW w:w="522" w:type="pct"/>
            <w:noWrap w:val="0"/>
            <w:vAlign w:val="center"/>
          </w:tcPr>
          <w:p>
            <w:pPr>
              <w:keepNext w:val="0"/>
              <w:keepLines w:val="0"/>
              <w:widowControl/>
              <w:suppressLineNumbers w:val="0"/>
              <w:spacing w:before="0" w:after="0" w:afterAutospacing="0" w:line="240" w:lineRule="auto"/>
              <w:ind w:left="0" w:right="0" w:firstLine="0"/>
              <w:jc w:val="left"/>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X3650M5</w:t>
            </w:r>
          </w:p>
        </w:tc>
        <w:tc>
          <w:tcPr>
            <w:tcW w:w="443" w:type="pct"/>
            <w:noWrap w:val="0"/>
            <w:vAlign w:val="center"/>
          </w:tcPr>
          <w:p>
            <w:pPr>
              <w:keepNext w:val="0"/>
              <w:keepLines w:val="0"/>
              <w:widowControl/>
              <w:suppressLineNumbers w:val="0"/>
              <w:spacing w:before="0" w:beforeAutospacing="0" w:after="0" w:afterAutospacing="0" w:line="240" w:lineRule="auto"/>
              <w:ind w:left="0" w:leftChars="0" w:right="0" w:rightChars="0" w:firstLine="0"/>
              <w:jc w:val="left"/>
              <w:rPr>
                <w:rFonts w:hint="eastAsia" w:ascii="宋体" w:hAnsi="宋体" w:eastAsia="宋体" w:cs="宋体"/>
                <w:color w:val="auto"/>
                <w:kern w:val="2"/>
                <w:sz w:val="21"/>
                <w:szCs w:val="21"/>
                <w:highlight w:val="none"/>
                <w:u w:val="none"/>
                <w:lang w:bidi="ar"/>
              </w:rPr>
            </w:pPr>
          </w:p>
        </w:tc>
        <w:tc>
          <w:tcPr>
            <w:tcW w:w="1579"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1.上电时正常工作；</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2.指示灯显示正常；</w:t>
            </w:r>
            <w:r>
              <w:rPr>
                <w:rFonts w:hint="eastAsia" w:ascii="宋体" w:hAnsi="宋体" w:eastAsia="宋体" w:cs="宋体"/>
                <w:color w:val="auto"/>
                <w:kern w:val="2"/>
                <w:sz w:val="21"/>
                <w:szCs w:val="21"/>
                <w:highlight w:val="none"/>
                <w:u w:val="none"/>
                <w:lang w:bidi="ar"/>
              </w:rPr>
              <w:sym w:font="Wingdings" w:char="00A8"/>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t>3.服务器</w:t>
            </w:r>
            <w:r>
              <w:rPr>
                <w:rFonts w:hint="default" w:ascii="宋体" w:hAnsi="宋体" w:eastAsia="宋体" w:cs="宋体"/>
                <w:color w:val="auto"/>
                <w:kern w:val="2"/>
                <w:sz w:val="21"/>
                <w:szCs w:val="21"/>
                <w:highlight w:val="none"/>
                <w:u w:val="none"/>
                <w:lang w:bidi="ar"/>
              </w:rPr>
              <w:t>网络功能正常</w:t>
            </w:r>
            <w:r>
              <w:rPr>
                <w:rFonts w:hint="eastAsia" w:ascii="宋体" w:hAnsi="宋体" w:eastAsia="宋体" w:cs="宋体"/>
                <w:color w:val="auto"/>
                <w:kern w:val="2"/>
                <w:sz w:val="21"/>
                <w:szCs w:val="21"/>
                <w:highlight w:val="none"/>
                <w:u w:val="none"/>
                <w:lang w:bidi="ar"/>
              </w:rPr>
              <w:t>；</w:t>
            </w:r>
            <w:r>
              <w:rPr>
                <w:rFonts w:hint="eastAsia" w:ascii="宋体" w:hAnsi="宋体" w:eastAsia="宋体" w:cs="宋体"/>
                <w:color w:val="auto"/>
                <w:kern w:val="2"/>
                <w:sz w:val="21"/>
                <w:szCs w:val="21"/>
                <w:highlight w:val="none"/>
                <w:u w:val="none"/>
                <w:lang w:bidi="ar"/>
              </w:rPr>
              <w:sym w:font="Wingdings" w:char="00A8"/>
            </w:r>
          </w:p>
        </w:tc>
        <w:tc>
          <w:tcPr>
            <w:tcW w:w="681" w:type="pct"/>
            <w:noWrap w:val="0"/>
            <w:vAlign w:val="center"/>
          </w:tcPr>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通过</w:t>
            </w:r>
          </w:p>
          <w:p>
            <w:pPr>
              <w:widowControl/>
              <w:spacing w:before="0" w:after="0" w:afterAutospacing="0" w:line="240" w:lineRule="auto"/>
              <w:ind w:left="0" w:right="0" w:firstLine="0"/>
              <w:jc w:val="left"/>
              <w:rPr>
                <w:rFonts w:hint="eastAsia" w:ascii="宋体" w:hAnsi="宋体" w:eastAsia="宋体" w:cs="宋体"/>
                <w:color w:val="auto"/>
                <w:kern w:val="2"/>
                <w:sz w:val="21"/>
                <w:szCs w:val="21"/>
                <w:highlight w:val="none"/>
                <w:u w:val="none"/>
                <w:lang w:bidi="ar"/>
              </w:rPr>
            </w:pPr>
            <w:r>
              <w:rPr>
                <w:rFonts w:hint="eastAsia" w:ascii="宋体" w:hAnsi="宋体" w:eastAsia="宋体" w:cs="宋体"/>
                <w:color w:val="auto"/>
                <w:kern w:val="2"/>
                <w:sz w:val="21"/>
                <w:szCs w:val="21"/>
                <w:highlight w:val="none"/>
                <w:u w:val="none"/>
                <w:lang w:bidi="ar"/>
              </w:rPr>
              <w:sym w:font="Wingdings" w:char="00A8"/>
            </w:r>
            <w:r>
              <w:rPr>
                <w:rFonts w:hint="eastAsia" w:ascii="宋体" w:hAnsi="宋体" w:eastAsia="宋体" w:cs="宋体"/>
                <w:color w:val="auto"/>
                <w:kern w:val="2"/>
                <w:sz w:val="21"/>
                <w:szCs w:val="21"/>
                <w:highlight w:val="none"/>
                <w:u w:val="none"/>
                <w:lang w:bidi="ar"/>
              </w:rPr>
              <w:t>不通过</w:t>
            </w:r>
          </w:p>
        </w:tc>
        <w:tc>
          <w:tcPr>
            <w:tcW w:w="343" w:type="pct"/>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color w:val="auto"/>
                <w:kern w:val="2"/>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0" w:afterAutospacing="0" w:line="360" w:lineRule="auto"/>
        <w:ind w:left="0" w:right="0" w:firstLine="0"/>
        <w:textAlignment w:val="auto"/>
        <w:outlineLvl w:val="0"/>
        <w:rPr>
          <w:rFonts w:hint="eastAsia" w:ascii="Times New Roman" w:hAnsi="Times New Roman" w:eastAsia="宋体" w:cs="Times New Roman"/>
          <w:color w:val="auto"/>
          <w:kern w:val="2"/>
          <w:szCs w:val="24"/>
          <w:highlight w:val="none"/>
        </w:rPr>
      </w:pPr>
      <w:r>
        <w:rPr>
          <w:rFonts w:hint="eastAsia" w:ascii="Times New Roman" w:hAnsi="Times New Roman" w:eastAsia="宋体" w:cs="Times New Roman"/>
          <w:color w:val="auto"/>
          <w:kern w:val="2"/>
          <w:szCs w:val="24"/>
          <w:highlight w:val="none"/>
        </w:rPr>
        <w:br w:type="page"/>
      </w:r>
      <w:bookmarkEnd w:id="1824"/>
      <w:bookmarkEnd w:id="1825"/>
      <w:bookmarkEnd w:id="1826"/>
      <w:bookmarkEnd w:id="1827"/>
      <w:bookmarkEnd w:id="1828"/>
      <w:bookmarkEnd w:id="1829"/>
      <w:bookmarkEnd w:id="1830"/>
      <w:bookmarkEnd w:id="1831"/>
      <w:bookmarkEnd w:id="1832"/>
      <w:bookmarkStart w:id="1840" w:name="_Toc10198"/>
      <w:bookmarkStart w:id="1841" w:name="_Toc28187"/>
      <w:r>
        <w:rPr>
          <w:rFonts w:hint="eastAsia" w:ascii="Times New Roman" w:hAnsi="Times New Roman" w:eastAsia="宋体" w:cs="Times New Roman"/>
          <w:b/>
          <w:bCs/>
          <w:color w:val="auto"/>
          <w:kern w:val="2"/>
          <w:sz w:val="24"/>
          <w:szCs w:val="32"/>
          <w:highlight w:val="none"/>
        </w:rPr>
        <w:t>附件4：运营公司委外项目合同违约处理通知单</w:t>
      </w:r>
      <w:bookmarkEnd w:id="1840"/>
    </w:p>
    <w:bookmarkEnd w:id="1734"/>
    <w:bookmarkEnd w:id="1735"/>
    <w:bookmarkEnd w:id="1841"/>
    <w:p>
      <w:pPr>
        <w:widowControl w:val="0"/>
        <w:spacing w:before="0" w:after="0" w:afterAutospacing="0" w:line="240" w:lineRule="auto"/>
        <w:ind w:left="0" w:right="0" w:firstLine="0"/>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NGYF/Q-GL-SC-11A8</w:t>
      </w:r>
    </w:p>
    <w:p>
      <w:pPr>
        <w:widowControl w:val="0"/>
        <w:spacing w:before="0" w:after="0" w:afterAutospacing="0" w:line="240" w:lineRule="auto"/>
        <w:ind w:left="0" w:right="0" w:firstLine="0"/>
        <w:jc w:val="center"/>
        <w:outlineLvl w:val="0"/>
        <w:rPr>
          <w:rFonts w:hint="eastAsia" w:ascii="宋体" w:hAnsi="宋体" w:eastAsia="宋体" w:cs="宋体"/>
          <w:b/>
          <w:bCs/>
          <w:color w:val="auto"/>
          <w:kern w:val="2"/>
          <w:sz w:val="21"/>
          <w:szCs w:val="21"/>
          <w:highlight w:val="none"/>
        </w:rPr>
      </w:pPr>
      <w:bookmarkStart w:id="1842" w:name="_Toc1038"/>
      <w:r>
        <w:rPr>
          <w:rFonts w:hint="eastAsia" w:ascii="宋体" w:hAnsi="宋体" w:eastAsia="宋体" w:cs="宋体"/>
          <w:b/>
          <w:bCs/>
          <w:color w:val="auto"/>
          <w:kern w:val="2"/>
          <w:sz w:val="21"/>
          <w:szCs w:val="21"/>
          <w:highlight w:val="none"/>
        </w:rPr>
        <w:t>运营公司委外项目合同违约处理通知单</w:t>
      </w:r>
      <w:bookmarkEnd w:id="1842"/>
    </w:p>
    <w:p>
      <w:pPr>
        <w:widowControl w:val="0"/>
        <w:spacing w:before="0" w:after="0" w:afterAutospacing="0" w:line="240" w:lineRule="auto"/>
        <w:ind w:left="0" w:right="0" w:firstLine="0"/>
        <w:jc w:val="right"/>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编号</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合同编号-年月-两位数流水号</w:t>
      </w:r>
    </w:p>
    <w:tbl>
      <w:tblPr>
        <w:tblStyle w:val="31"/>
        <w:tblpPr w:leftFromText="180" w:rightFromText="180" w:vertAnchor="text" w:tblpXSpec="center" w:tblpY="1"/>
        <w:tblOverlap w:val="never"/>
        <w:tblW w:w="10217" w:type="dxa"/>
        <w:jc w:val="center"/>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763"/>
        <w:gridCol w:w="1833"/>
        <w:gridCol w:w="1171"/>
        <w:gridCol w:w="244"/>
        <w:gridCol w:w="2231"/>
        <w:gridCol w:w="2436"/>
      </w:tblGrid>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PrEx>
        <w:trPr>
          <w:trHeight w:val="454" w:hRule="atLeast"/>
          <w:jc w:val="center"/>
        </w:trPr>
        <w:tc>
          <w:tcPr>
            <w:tcW w:w="2302"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项目名称</w:t>
            </w:r>
          </w:p>
        </w:tc>
        <w:tc>
          <w:tcPr>
            <w:tcW w:w="3004"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c>
          <w:tcPr>
            <w:tcW w:w="2475"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rPr>
              <w:t>合同编号</w:t>
            </w:r>
          </w:p>
        </w:tc>
        <w:tc>
          <w:tcPr>
            <w:tcW w:w="2436" w:type="dxa"/>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2"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承包商</w:t>
            </w:r>
          </w:p>
        </w:tc>
        <w:tc>
          <w:tcPr>
            <w:tcW w:w="3004"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c>
          <w:tcPr>
            <w:tcW w:w="2475"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lang w:eastAsia="zh-CN"/>
              </w:rPr>
              <w:t>运营公司</w:t>
            </w:r>
            <w:r>
              <w:rPr>
                <w:rFonts w:hint="eastAsia" w:ascii="宋体" w:hAnsi="宋体" w:eastAsia="宋体" w:cs="宋体"/>
                <w:b w:val="0"/>
                <w:bCs w:val="0"/>
                <w:color w:val="auto"/>
                <w:kern w:val="2"/>
                <w:sz w:val="21"/>
                <w:szCs w:val="21"/>
                <w:highlight w:val="none"/>
              </w:rPr>
              <w:t>主办部门</w:t>
            </w:r>
          </w:p>
        </w:tc>
        <w:tc>
          <w:tcPr>
            <w:tcW w:w="2436" w:type="dxa"/>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02"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lang w:eastAsia="zh-CN"/>
              </w:rPr>
              <w:t>合同违约情况</w:t>
            </w:r>
          </w:p>
        </w:tc>
        <w:tc>
          <w:tcPr>
            <w:tcW w:w="7915" w:type="dxa"/>
            <w:gridSpan w:val="5"/>
            <w:tcBorders>
              <w:tl2br w:val="nil"/>
              <w:tr2bl w:val="nil"/>
            </w:tcBorders>
            <w:noWrap w:val="0"/>
            <w:vAlign w:val="center"/>
          </w:tcPr>
          <w:p>
            <w:pPr>
              <w:widowControl w:val="0"/>
              <w:jc w:val="center"/>
              <w:rPr>
                <w:rFonts w:hint="eastAsia" w:ascii="宋体" w:hAnsi="宋体" w:eastAsia="宋体" w:cs="宋体"/>
                <w:b w:val="0"/>
                <w:bCs w:val="0"/>
                <w:color w:val="auto"/>
                <w:kern w:val="2"/>
                <w:sz w:val="21"/>
                <w:szCs w:val="21"/>
                <w:highlight w:val="none"/>
                <w:lang w:val="en-US" w:eastAsia="zh-CN" w:bidi="ar-SA"/>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02" w:type="dxa"/>
            <w:gridSpan w:val="2"/>
            <w:tcBorders>
              <w:tl2br w:val="nil"/>
              <w:tr2bl w:val="nil"/>
            </w:tcBorders>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违约处理意向</w:t>
            </w:r>
          </w:p>
        </w:tc>
        <w:tc>
          <w:tcPr>
            <w:tcW w:w="7915" w:type="dxa"/>
            <w:gridSpan w:val="5"/>
            <w:tcBorders>
              <w:tl2br w:val="nil"/>
              <w:tr2bl w:val="nil"/>
            </w:tcBorders>
            <w:noWrap w:val="0"/>
            <w:vAlign w:val="center"/>
          </w:tcPr>
          <w:p>
            <w:pPr>
              <w:widowControl w:val="0"/>
              <w:jc w:val="center"/>
              <w:rPr>
                <w:rFonts w:hint="eastAsia" w:ascii="宋体" w:hAnsi="宋体" w:eastAsia="宋体" w:cs="宋体"/>
                <w:b w:val="0"/>
                <w:bCs w:val="0"/>
                <w:color w:val="auto"/>
                <w:kern w:val="2"/>
                <w:sz w:val="21"/>
                <w:szCs w:val="21"/>
                <w:highlight w:val="none"/>
                <w:lang w:val="en-US" w:eastAsia="zh-CN" w:bidi="ar-SA"/>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39" w:type="dxa"/>
            <w:vMerge w:val="restart"/>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运营公司审批意见</w:t>
            </w:r>
          </w:p>
        </w:tc>
        <w:tc>
          <w:tcPr>
            <w:tcW w:w="1763" w:type="dxa"/>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主办部门</w:t>
            </w:r>
          </w:p>
        </w:tc>
        <w:tc>
          <w:tcPr>
            <w:tcW w:w="7915" w:type="dxa"/>
            <w:gridSpan w:val="5"/>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39" w:type="dxa"/>
            <w:vMerge w:val="continue"/>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rPr>
            </w:pPr>
          </w:p>
        </w:tc>
        <w:tc>
          <w:tcPr>
            <w:tcW w:w="1763" w:type="dxa"/>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总工程师办公室</w:t>
            </w:r>
          </w:p>
        </w:tc>
        <w:tc>
          <w:tcPr>
            <w:tcW w:w="7915" w:type="dxa"/>
            <w:gridSpan w:val="5"/>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39" w:type="dxa"/>
            <w:vMerge w:val="continue"/>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rPr>
            </w:pPr>
          </w:p>
        </w:tc>
        <w:tc>
          <w:tcPr>
            <w:tcW w:w="1763" w:type="dxa"/>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合约法规部</w:t>
            </w:r>
          </w:p>
        </w:tc>
        <w:tc>
          <w:tcPr>
            <w:tcW w:w="7915" w:type="dxa"/>
            <w:gridSpan w:val="5"/>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39" w:type="dxa"/>
            <w:vMerge w:val="continue"/>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rPr>
            </w:pPr>
          </w:p>
        </w:tc>
        <w:tc>
          <w:tcPr>
            <w:tcW w:w="1763" w:type="dxa"/>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主办部门</w:t>
            </w:r>
          </w:p>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分管副总经理</w:t>
            </w:r>
          </w:p>
        </w:tc>
        <w:tc>
          <w:tcPr>
            <w:tcW w:w="7915" w:type="dxa"/>
            <w:gridSpan w:val="5"/>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39" w:type="dxa"/>
            <w:vMerge w:val="continue"/>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rPr>
            </w:pPr>
          </w:p>
        </w:tc>
        <w:tc>
          <w:tcPr>
            <w:tcW w:w="1763" w:type="dxa"/>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总经理</w:t>
            </w:r>
          </w:p>
        </w:tc>
        <w:tc>
          <w:tcPr>
            <w:tcW w:w="7915" w:type="dxa"/>
            <w:gridSpan w:val="5"/>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39" w:type="dxa"/>
            <w:vMerge w:val="continue"/>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rPr>
            </w:pPr>
          </w:p>
        </w:tc>
        <w:tc>
          <w:tcPr>
            <w:tcW w:w="1763" w:type="dxa"/>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董事长（执行董事）</w:t>
            </w:r>
          </w:p>
        </w:tc>
        <w:tc>
          <w:tcPr>
            <w:tcW w:w="7915" w:type="dxa"/>
            <w:gridSpan w:val="5"/>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2302" w:type="dxa"/>
            <w:gridSpan w:val="2"/>
            <w:tcBorders>
              <w:tl2br w:val="nil"/>
              <w:tr2bl w:val="nil"/>
            </w:tcBorders>
            <w:noWrap w:val="0"/>
            <w:vAlign w:val="center"/>
          </w:tcPr>
          <w:p>
            <w:pPr>
              <w:widowControl w:val="0"/>
              <w:spacing w:before="0" w:after="0" w:afterAutospacing="0" w:line="240" w:lineRule="auto"/>
              <w:ind w:left="113" w:right="113" w:firstLine="0"/>
              <w:jc w:val="center"/>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送达日期</w:t>
            </w:r>
          </w:p>
        </w:tc>
        <w:tc>
          <w:tcPr>
            <w:tcW w:w="1833" w:type="dxa"/>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rPr>
            </w:pPr>
          </w:p>
        </w:tc>
        <w:tc>
          <w:tcPr>
            <w:tcW w:w="1415" w:type="dxa"/>
            <w:gridSpan w:val="2"/>
            <w:tcBorders>
              <w:tl2br w:val="nil"/>
              <w:tr2bl w:val="nil"/>
            </w:tcBorders>
            <w:noWrap w:val="0"/>
            <w:vAlign w:val="center"/>
          </w:tcPr>
          <w:p>
            <w:pPr>
              <w:widowControl/>
              <w:spacing w:before="0" w:after="0" w:afterAutospacing="0" w:line="240" w:lineRule="auto"/>
              <w:ind w:left="0" w:right="0" w:firstLine="0"/>
              <w:jc w:val="center"/>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eastAsia="zh-CN"/>
              </w:rPr>
              <w:t>送达方式</w:t>
            </w:r>
          </w:p>
        </w:tc>
        <w:tc>
          <w:tcPr>
            <w:tcW w:w="4667" w:type="dxa"/>
            <w:gridSpan w:val="2"/>
            <w:tcBorders>
              <w:tl2br w:val="nil"/>
              <w:tr2bl w:val="nil"/>
            </w:tcBorders>
            <w:noWrap w:val="0"/>
            <w:vAlign w:val="center"/>
          </w:tcPr>
          <w:p>
            <w:pPr>
              <w:widowControl/>
              <w:spacing w:before="0" w:after="0" w:afterAutospacing="0" w:line="240" w:lineRule="auto"/>
              <w:ind w:left="0" w:right="0" w:firstLine="0"/>
              <w:jc w:val="left"/>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eastAsia="zh-CN"/>
              </w:rPr>
              <w:t>直接送达</w:t>
            </w:r>
            <w:r>
              <w:rPr>
                <w:rFonts w:hint="eastAsia" w:ascii="宋体" w:hAnsi="宋体" w:eastAsia="宋体" w:cs="宋体"/>
                <w:b w:val="0"/>
                <w:bCs w:val="0"/>
                <w:color w:val="auto"/>
                <w:kern w:val="2"/>
                <w:sz w:val="21"/>
                <w:szCs w:val="21"/>
                <w:highlight w:val="none"/>
                <w:lang w:eastAsia="zh-CN"/>
              </w:rPr>
              <w:sym w:font="Wingdings 2" w:char="00A3"/>
            </w:r>
            <w:r>
              <w:rPr>
                <w:rFonts w:hint="eastAsia" w:ascii="宋体" w:hAnsi="宋体" w:eastAsia="宋体" w:cs="宋体"/>
                <w:b w:val="0"/>
                <w:bCs w:val="0"/>
                <w:color w:val="auto"/>
                <w:kern w:val="2"/>
                <w:sz w:val="21"/>
                <w:szCs w:val="21"/>
                <w:highlight w:val="none"/>
                <w:lang w:val="en-US" w:eastAsia="zh-CN"/>
              </w:rPr>
              <w:t xml:space="preserve">   </w:t>
            </w:r>
            <w:r>
              <w:rPr>
                <w:rFonts w:hint="eastAsia" w:ascii="宋体" w:hAnsi="宋体" w:eastAsia="宋体" w:cs="宋体"/>
                <w:b w:val="0"/>
                <w:bCs w:val="0"/>
                <w:color w:val="auto"/>
                <w:kern w:val="2"/>
                <w:sz w:val="21"/>
                <w:szCs w:val="21"/>
                <w:highlight w:val="none"/>
                <w:lang w:eastAsia="zh-CN"/>
              </w:rPr>
              <w:t>签收人：</w:t>
            </w:r>
          </w:p>
          <w:p>
            <w:pPr>
              <w:widowControl w:val="0"/>
              <w:ind w:left="0" w:leftChars="0"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留置送达</w:t>
            </w:r>
            <w:r>
              <w:rPr>
                <w:rFonts w:hint="eastAsia" w:ascii="宋体" w:hAnsi="宋体" w:eastAsia="宋体" w:cs="宋体"/>
                <w:b w:val="0"/>
                <w:bCs w:val="0"/>
                <w:color w:val="auto"/>
                <w:kern w:val="2"/>
                <w:sz w:val="21"/>
                <w:szCs w:val="21"/>
                <w:highlight w:val="none"/>
                <w:lang w:val="en-US" w:eastAsia="zh-CN" w:bidi="ar-SA"/>
              </w:rPr>
              <w:sym w:font="Wingdings 2" w:char="00A3"/>
            </w:r>
            <w:r>
              <w:rPr>
                <w:rFonts w:hint="eastAsia" w:ascii="宋体" w:hAnsi="宋体" w:eastAsia="宋体" w:cs="宋体"/>
                <w:b w:val="0"/>
                <w:bCs w:val="0"/>
                <w:color w:val="auto"/>
                <w:kern w:val="2"/>
                <w:sz w:val="21"/>
                <w:szCs w:val="21"/>
                <w:highlight w:val="none"/>
                <w:lang w:val="en-US" w:eastAsia="zh-CN" w:bidi="ar-SA"/>
              </w:rPr>
              <w:t xml:space="preserve">  送达地址：</w:t>
            </w:r>
          </w:p>
          <w:p>
            <w:pPr>
              <w:widowControl w:val="0"/>
              <w:ind w:firstLine="420"/>
              <w:jc w:val="left"/>
              <w:rPr>
                <w:rFonts w:hint="eastAsia" w:ascii="宋体" w:hAnsi="宋体" w:eastAsia="宋体" w:cs="宋体"/>
                <w:b w:val="0"/>
                <w:bCs w:val="0"/>
                <w:color w:val="auto"/>
                <w:kern w:val="2"/>
                <w:sz w:val="21"/>
                <w:szCs w:val="21"/>
                <w:highlight w:val="none"/>
                <w:lang w:val="en-US" w:eastAsia="zh-CN" w:bidi="ar-SA"/>
              </w:rPr>
            </w:pPr>
          </w:p>
          <w:p>
            <w:pPr>
              <w:widowControl w:val="0"/>
              <w:ind w:left="0" w:leftChars="0"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电子送达</w:t>
            </w:r>
            <w:r>
              <w:rPr>
                <w:rFonts w:hint="eastAsia" w:ascii="宋体" w:hAnsi="宋体" w:eastAsia="宋体" w:cs="宋体"/>
                <w:b w:val="0"/>
                <w:bCs w:val="0"/>
                <w:color w:val="auto"/>
                <w:kern w:val="2"/>
                <w:sz w:val="21"/>
                <w:szCs w:val="21"/>
                <w:highlight w:val="none"/>
                <w:lang w:val="en-US" w:eastAsia="zh-CN" w:bidi="ar-SA"/>
              </w:rPr>
              <w:sym w:font="Wingdings 2" w:char="00A3"/>
            </w:r>
            <w:r>
              <w:rPr>
                <w:rFonts w:hint="eastAsia" w:ascii="宋体" w:hAnsi="宋体" w:eastAsia="宋体" w:cs="宋体"/>
                <w:b w:val="0"/>
                <w:bCs w:val="0"/>
                <w:color w:val="auto"/>
                <w:kern w:val="2"/>
                <w:sz w:val="21"/>
                <w:szCs w:val="21"/>
                <w:highlight w:val="none"/>
                <w:lang w:val="en-US" w:eastAsia="zh-CN" w:bidi="ar-SA"/>
              </w:rPr>
              <w:t xml:space="preserve">  收件人邮箱地址：</w:t>
            </w:r>
          </w:p>
        </w:tc>
      </w:tr>
    </w:tbl>
    <w:p>
      <w:pPr>
        <w:keepNext w:val="0"/>
        <w:keepLines w:val="0"/>
        <w:pageBreakBefore w:val="0"/>
        <w:widowControl w:val="0"/>
        <w:kinsoku/>
        <w:wordWrap/>
        <w:overflowPunct/>
        <w:topLinePunct w:val="0"/>
        <w:autoSpaceDE/>
        <w:autoSpaceDN/>
        <w:bidi w:val="0"/>
        <w:adjustRightInd w:val="0"/>
        <w:snapToGrid/>
        <w:spacing w:before="0" w:after="0" w:afterAutospacing="0" w:line="240" w:lineRule="atLeast"/>
        <w:ind w:left="-210" w:leftChars="-400" w:right="-92" w:rightChars="-44" w:hanging="630" w:hangingChars="300"/>
        <w:jc w:val="left"/>
        <w:textAlignment w:val="baseline"/>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rPr>
        <w:t>说明</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lang w:val="en-US" w:eastAsia="zh-CN"/>
        </w:rPr>
        <w:t>1.</w:t>
      </w:r>
      <w:r>
        <w:rPr>
          <w:rFonts w:hint="eastAsia" w:ascii="宋体" w:hAnsi="宋体" w:eastAsia="宋体" w:cs="宋体"/>
          <w:b w:val="0"/>
          <w:bCs w:val="0"/>
          <w:color w:val="auto"/>
          <w:kern w:val="2"/>
          <w:sz w:val="21"/>
          <w:szCs w:val="21"/>
          <w:highlight w:val="none"/>
        </w:rPr>
        <w:t>本表单一式三份，承包商执一份，运营公司执两份，由运营公司主办部门在合同执行过程中发现问题时填写</w:t>
      </w:r>
      <w:r>
        <w:rPr>
          <w:rFonts w:hint="eastAsia" w:ascii="宋体" w:hAnsi="宋体" w:eastAsia="宋体" w:cs="宋体"/>
          <w:b w:val="0"/>
          <w:bCs w:val="0"/>
          <w:color w:val="auto"/>
          <w:kern w:val="2"/>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before="0" w:after="0" w:afterAutospacing="0" w:line="240" w:lineRule="atLeast"/>
        <w:ind w:left="-286" w:leftChars="-136" w:right="-92" w:rightChars="-44" w:firstLine="0" w:firstLineChars="0"/>
        <w:jc w:val="left"/>
        <w:textAlignment w:val="baseline"/>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val="en-US" w:eastAsia="zh-CN"/>
        </w:rPr>
        <w:t>2.</w:t>
      </w:r>
      <w:r>
        <w:rPr>
          <w:rFonts w:hint="eastAsia" w:ascii="宋体" w:hAnsi="宋体" w:eastAsia="宋体" w:cs="宋体"/>
          <w:b w:val="0"/>
          <w:bCs w:val="0"/>
          <w:color w:val="auto"/>
          <w:kern w:val="2"/>
          <w:sz w:val="21"/>
          <w:szCs w:val="21"/>
          <w:highlight w:val="none"/>
        </w:rPr>
        <w:t>承包商若对本次违约处理有意见，须在本表单送达后</w:t>
      </w:r>
      <w:r>
        <w:rPr>
          <w:rFonts w:hint="eastAsia" w:ascii="宋体" w:hAnsi="宋体" w:eastAsia="宋体" w:cs="宋体"/>
          <w:b w:val="0"/>
          <w:bCs w:val="0"/>
          <w:color w:val="auto"/>
          <w:kern w:val="2"/>
          <w:sz w:val="21"/>
          <w:szCs w:val="21"/>
          <w:highlight w:val="none"/>
          <w:lang w:val="en-US" w:eastAsia="zh-CN"/>
        </w:rPr>
        <w:t>2</w:t>
      </w:r>
      <w:r>
        <w:rPr>
          <w:rFonts w:hint="eastAsia" w:ascii="宋体" w:hAnsi="宋体" w:eastAsia="宋体" w:cs="宋体"/>
          <w:b w:val="0"/>
          <w:bCs w:val="0"/>
          <w:color w:val="auto"/>
          <w:kern w:val="2"/>
          <w:sz w:val="21"/>
          <w:szCs w:val="21"/>
          <w:highlight w:val="none"/>
        </w:rPr>
        <w:t>个工作日内向运营公司主办部门提交正式申诉材料提出申诉，否则视为接受违约处理意见，主办部门在收到中诉材料后须在</w:t>
      </w:r>
      <w:r>
        <w:rPr>
          <w:rFonts w:hint="eastAsia" w:ascii="宋体" w:hAnsi="宋体" w:eastAsia="宋体" w:cs="宋体"/>
          <w:b w:val="0"/>
          <w:bCs w:val="0"/>
          <w:color w:val="auto"/>
          <w:kern w:val="2"/>
          <w:sz w:val="21"/>
          <w:szCs w:val="21"/>
          <w:highlight w:val="none"/>
          <w:lang w:val="en-US" w:eastAsia="zh-CN"/>
        </w:rPr>
        <w:t>5</w:t>
      </w:r>
      <w:r>
        <w:rPr>
          <w:rFonts w:hint="eastAsia" w:ascii="宋体" w:hAnsi="宋体" w:eastAsia="宋体" w:cs="宋体"/>
          <w:b w:val="0"/>
          <w:bCs w:val="0"/>
          <w:color w:val="auto"/>
          <w:kern w:val="2"/>
          <w:sz w:val="21"/>
          <w:szCs w:val="21"/>
          <w:highlight w:val="none"/>
        </w:rPr>
        <w:t>个工作日给予回复</w:t>
      </w:r>
      <w:r>
        <w:rPr>
          <w:rFonts w:hint="eastAsia" w:ascii="宋体" w:hAnsi="宋体" w:eastAsia="宋体" w:cs="宋体"/>
          <w:b w:val="0"/>
          <w:bCs w:val="0"/>
          <w:color w:val="auto"/>
          <w:kern w:val="2"/>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before="0" w:after="0" w:afterAutospacing="0" w:line="240" w:lineRule="atLeast"/>
        <w:ind w:left="-286" w:leftChars="-136" w:right="-92" w:rightChars="-44" w:firstLine="0" w:firstLineChars="0"/>
        <w:jc w:val="left"/>
        <w:textAlignment w:val="baseline"/>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lang w:val="en-US" w:eastAsia="zh-CN"/>
        </w:rPr>
        <w:t>3.</w:t>
      </w:r>
      <w:r>
        <w:rPr>
          <w:rFonts w:hint="eastAsia" w:ascii="宋体" w:hAnsi="宋体" w:eastAsia="宋体" w:cs="宋体"/>
          <w:b w:val="0"/>
          <w:bCs w:val="0"/>
          <w:color w:val="auto"/>
          <w:kern w:val="2"/>
          <w:sz w:val="21"/>
          <w:szCs w:val="21"/>
          <w:highlight w:val="none"/>
        </w:rPr>
        <w:t>本表单按照违约处理决定的金额和授权方案逐级签批或用印，5000元(含)以下由主办部门签批，5000元(不含) -10000元(含)签批至分管主办部门的副总经理并用运营公司印，10000元(不含)-20000元(含)签批至总经理同时报董事长(执行董事) 知悉并用运营公司印，20000元(不含) 以上签批至董事长(执行董事)并用运营公司印</w:t>
      </w:r>
      <w:r>
        <w:rPr>
          <w:rFonts w:hint="eastAsia" w:ascii="宋体" w:hAnsi="宋体" w:eastAsia="宋体" w:cs="宋体"/>
          <w:b w:val="0"/>
          <w:bCs w:val="0"/>
          <w:color w:val="auto"/>
          <w:kern w:val="2"/>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before="0" w:after="0" w:afterAutospacing="0" w:line="240" w:lineRule="atLeast"/>
        <w:ind w:left="-286" w:leftChars="-136" w:right="-92" w:rightChars="-44" w:firstLine="0" w:firstLineChars="0"/>
        <w:jc w:val="left"/>
        <w:textAlignment w:val="baseline"/>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lang w:val="en-US" w:eastAsia="zh-CN"/>
        </w:rPr>
        <w:t>4.</w:t>
      </w:r>
      <w:r>
        <w:rPr>
          <w:rFonts w:hint="eastAsia" w:ascii="宋体" w:hAnsi="宋体" w:eastAsia="宋体" w:cs="宋体"/>
          <w:b w:val="0"/>
          <w:bCs w:val="0"/>
          <w:color w:val="auto"/>
          <w:kern w:val="2"/>
          <w:sz w:val="21"/>
          <w:szCs w:val="21"/>
          <w:highlight w:val="none"/>
        </w:rPr>
        <w:t>本表单自送达之日起生效。送达时间基准为:(1)直接送达以签收人签收时间为准</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(2)留置送达以本表单送达指定地点时间为准，如出现拒签的情况以本表单送达指定地点时派送人现场照片或物流信息显示送达时间为准</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(3)电子送达以发送人发出电子邮件时间为准。</w:t>
      </w:r>
    </w:p>
    <w:p>
      <w:pPr>
        <w:pStyle w:val="2"/>
        <w:pageBreakBefore/>
        <w:ind w:right="-57"/>
        <w:jc w:val="center"/>
        <w:outlineLvl w:val="0"/>
        <w:rPr>
          <w:rStyle w:val="45"/>
          <w:rFonts w:hint="eastAsia" w:ascii="宋体" w:hAnsi="宋体" w:eastAsia="宋体"/>
          <w:color w:val="auto"/>
          <w:highlight w:val="none"/>
        </w:rPr>
      </w:pPr>
      <w:bookmarkStart w:id="1843" w:name="_Toc31558"/>
      <w:bookmarkStart w:id="1844" w:name="_Toc2673_WPSOffice_Level1"/>
      <w:bookmarkStart w:id="1845" w:name="_Toc23643_WPSOffice_Level1"/>
      <w:bookmarkStart w:id="1846" w:name="_Toc29853"/>
      <w:bookmarkStart w:id="1847" w:name="_Toc10294"/>
      <w:bookmarkStart w:id="1848" w:name="_Toc5917_WPSOffice_Level1"/>
      <w:bookmarkStart w:id="1849" w:name="_Toc16555_WPSOffice_Level2"/>
      <w:bookmarkStart w:id="1850" w:name="_Toc26656"/>
      <w:bookmarkStart w:id="1851" w:name="_Toc13195"/>
      <w:bookmarkStart w:id="1852" w:name="_Toc9673"/>
      <w:bookmarkStart w:id="1853" w:name="_Toc13943"/>
      <w:bookmarkStart w:id="1854" w:name="_Toc24439"/>
      <w:r>
        <w:rPr>
          <w:rStyle w:val="45"/>
          <w:rFonts w:hint="eastAsia" w:ascii="宋体" w:hAnsi="宋体" w:eastAsia="宋体" w:cs="宋体"/>
          <w:color w:val="auto"/>
          <w:highlight w:val="none"/>
        </w:rPr>
        <w:t>第六章评</w:t>
      </w:r>
      <w:r>
        <w:rPr>
          <w:rStyle w:val="45"/>
          <w:rFonts w:hint="eastAsia" w:ascii="宋体" w:hAnsi="宋体" w:eastAsia="宋体" w:cs="宋体"/>
          <w:color w:val="auto"/>
          <w:highlight w:val="none"/>
          <w:lang w:val="en-US" w:eastAsia="zh-CN"/>
        </w:rPr>
        <w:t>审</w:t>
      </w:r>
      <w:r>
        <w:rPr>
          <w:rStyle w:val="45"/>
          <w:rFonts w:hint="eastAsia" w:ascii="宋体" w:hAnsi="宋体" w:eastAsia="宋体" w:cs="宋体"/>
          <w:color w:val="auto"/>
          <w:highlight w:val="none"/>
        </w:rPr>
        <w:t>办法</w:t>
      </w:r>
      <w:bookmarkEnd w:id="1843"/>
      <w:bookmarkEnd w:id="1844"/>
      <w:bookmarkEnd w:id="1845"/>
      <w:bookmarkEnd w:id="1846"/>
      <w:bookmarkEnd w:id="1847"/>
      <w:bookmarkEnd w:id="1848"/>
      <w:bookmarkEnd w:id="1849"/>
      <w:bookmarkEnd w:id="1850"/>
      <w:bookmarkEnd w:id="1851"/>
      <w:bookmarkEnd w:id="1852"/>
      <w:bookmarkEnd w:id="1853"/>
      <w:bookmarkEnd w:id="1854"/>
    </w:p>
    <w:p>
      <w:pPr>
        <w:spacing w:before="0" w:after="0" w:afterAutospacing="0"/>
        <w:ind w:left="0" w:right="0" w:firstLine="562" w:firstLineChars="200"/>
        <w:outlineLvl w:val="1"/>
        <w:rPr>
          <w:rFonts w:ascii="宋体" w:hAnsi="宋体" w:cs="Arial"/>
          <w:b/>
          <w:bCs/>
          <w:color w:val="auto"/>
          <w:sz w:val="28"/>
          <w:szCs w:val="28"/>
          <w:highlight w:val="none"/>
        </w:rPr>
      </w:pPr>
      <w:bookmarkStart w:id="1855" w:name="_Toc2473"/>
      <w:bookmarkStart w:id="1856" w:name="_Toc31827"/>
      <w:bookmarkStart w:id="1857" w:name="_Toc31832_WPSOffice_Level2"/>
      <w:bookmarkStart w:id="1858" w:name="_Toc18587"/>
      <w:bookmarkStart w:id="1859" w:name="_Toc21498_WPSOffice_Level2"/>
      <w:bookmarkStart w:id="1860" w:name="_Toc8452"/>
      <w:bookmarkStart w:id="1861" w:name="_Toc14813"/>
      <w:bookmarkStart w:id="1862" w:name="_Toc28153"/>
      <w:bookmarkStart w:id="1863" w:name="_Toc3630"/>
      <w:bookmarkStart w:id="1864" w:name="_Toc25750692"/>
      <w:bookmarkStart w:id="1865" w:name="_Toc5870"/>
      <w:r>
        <w:rPr>
          <w:rFonts w:hint="eastAsia" w:ascii="宋体" w:hAnsi="宋体" w:cs="Arial"/>
          <w:b/>
          <w:bCs/>
          <w:color w:val="auto"/>
          <w:sz w:val="28"/>
          <w:szCs w:val="28"/>
          <w:highlight w:val="none"/>
        </w:rPr>
        <w:t>一、评审原则</w:t>
      </w:r>
      <w:bookmarkEnd w:id="1855"/>
      <w:bookmarkEnd w:id="1856"/>
      <w:bookmarkEnd w:id="1857"/>
      <w:bookmarkEnd w:id="1858"/>
      <w:bookmarkEnd w:id="1859"/>
      <w:bookmarkEnd w:id="1860"/>
      <w:bookmarkEnd w:id="1861"/>
      <w:bookmarkEnd w:id="1862"/>
      <w:bookmarkEnd w:id="1863"/>
      <w:bookmarkEnd w:id="1864"/>
      <w:bookmarkEnd w:id="1865"/>
    </w:p>
    <w:p>
      <w:pPr>
        <w:spacing w:before="0" w:after="0" w:afterAutospacing="0"/>
        <w:ind w:left="0" w:right="0" w:firstLine="420" w:firstLineChars="200"/>
        <w:rPr>
          <w:rFonts w:hint="eastAsia" w:ascii="宋体" w:hAnsi="宋体" w:cs="Arial"/>
          <w:bCs/>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评审委员会成员构成：本项目由南宁轨道交通运营有限公司3人及以上单数组成评审小组，对比选申请文件按评审标准进行评审；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866" w:name="_Toc27487_WPSOffice_Level2"/>
      <w:bookmarkStart w:id="1867" w:name="_Toc5136"/>
      <w:bookmarkStart w:id="1868" w:name="_Toc25750693"/>
      <w:bookmarkStart w:id="1869" w:name="_Toc478566177"/>
      <w:bookmarkStart w:id="1870" w:name="_Toc30719_WPSOffice_Level2"/>
      <w:bookmarkStart w:id="1871" w:name="_Toc15880"/>
      <w:bookmarkStart w:id="1872" w:name="_Toc12723"/>
      <w:bookmarkStart w:id="1873" w:name="_Toc25191"/>
      <w:bookmarkStart w:id="1874" w:name="_Toc26646"/>
      <w:bookmarkStart w:id="1875" w:name="_Toc11240"/>
      <w:bookmarkStart w:id="1876" w:name="_Toc7612"/>
      <w:bookmarkStart w:id="1877" w:name="_Toc10270"/>
      <w:bookmarkStart w:id="1878" w:name="_Toc11611"/>
      <w:bookmarkStart w:id="1879" w:name="_Toc1102"/>
      <w:bookmarkStart w:id="1880" w:name="_Toc29000"/>
      <w:bookmarkStart w:id="1881" w:name="_Toc12174"/>
      <w:r>
        <w:rPr>
          <w:rFonts w:hint="eastAsia" w:ascii="宋体" w:hAnsi="宋体" w:cs="Arial"/>
          <w:b/>
          <w:bCs/>
          <w:color w:val="auto"/>
          <w:sz w:val="28"/>
          <w:szCs w:val="28"/>
          <w:highlight w:val="none"/>
        </w:rPr>
        <w:t>二、评定方法</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2.1对资格性和符合性检查合格的比选申请文件，采用综合评分法进行评审；</w:t>
      </w:r>
      <w:r>
        <w:rPr>
          <w:rFonts w:hint="eastAsia"/>
          <w:color w:val="auto"/>
          <w:highlight w:val="none"/>
        </w:rPr>
        <w:t>满分100分，其中技术满分20分，价格满分80分。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2.2评审委员会将依照本比选文件相关要求，对照比选申请文件的应答进行比较，并对各比选申请文件的技术、价格内容进行评审打分。</w:t>
      </w:r>
    </w:p>
    <w:p>
      <w:pPr>
        <w:spacing w:before="0" w:after="0" w:afterAutospacing="0"/>
        <w:ind w:left="0" w:right="0" w:firstLine="420" w:firstLineChars="200"/>
        <w:rPr>
          <w:color w:val="auto"/>
          <w:highlight w:val="none"/>
        </w:rPr>
      </w:pPr>
      <w:r>
        <w:rPr>
          <w:rFonts w:hint="eastAsia" w:ascii="宋体" w:hAnsi="宋体" w:cs="Arial"/>
          <w:color w:val="auto"/>
          <w:highlight w:val="none"/>
        </w:rPr>
        <w:t>2.3</w:t>
      </w:r>
      <w:r>
        <w:rPr>
          <w:rFonts w:hint="eastAsia"/>
          <w:color w:val="auto"/>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color w:val="auto"/>
          <w:highlight w:val="none"/>
        </w:rPr>
      </w:pPr>
      <w:r>
        <w:rPr>
          <w:rFonts w:hint="eastAsia" w:ascii="宋体" w:hAnsi="宋体" w:cs="宋体"/>
          <w:color w:val="auto"/>
          <w:highlight w:val="none"/>
        </w:rPr>
        <w:t>2.4总分=技术得分</w:t>
      </w:r>
      <w:r>
        <w:rPr>
          <w:rFonts w:hint="eastAsia"/>
          <w:color w:val="auto"/>
          <w:highlight w:val="none"/>
        </w:rPr>
        <w:t>+价格得分。各项指标的分数计算四舍五入，取小数点后两位。计算比选申请人综合评分，并按照总分（综合得分）由高到低的顺序提出1-3名中选候选人，并编写评审报告。</w:t>
      </w:r>
      <w:r>
        <w:rPr>
          <w:rFonts w:hint="eastAsia" w:ascii="宋体" w:hAnsi="宋体" w:cs="Arial"/>
          <w:color w:val="auto"/>
          <w:highlight w:val="none"/>
        </w:rPr>
        <w:t>若比选申请人的综合得分相等时，技术评分高者优先；技术评分也相等的，比选报价评分高者优先，比选报价评分也相等的，以评审委</w:t>
      </w:r>
      <w:r>
        <w:rPr>
          <w:rFonts w:hint="eastAsia" w:ascii="宋体" w:hAnsi="宋体"/>
          <w:color w:val="auto"/>
          <w:highlight w:val="none"/>
        </w:rPr>
        <w:t>员会记名投票的方式按少数服从多数的原则决定其排名顺序。</w:t>
      </w:r>
    </w:p>
    <w:p>
      <w:pPr>
        <w:spacing w:before="0" w:after="0" w:afterAutospacing="0"/>
        <w:ind w:left="0" w:right="0" w:firstLine="562" w:firstLineChars="200"/>
        <w:outlineLvl w:val="1"/>
        <w:rPr>
          <w:rFonts w:ascii="宋体" w:hAnsi="宋体" w:cs="Arial"/>
          <w:b/>
          <w:bCs/>
          <w:color w:val="auto"/>
          <w:sz w:val="28"/>
          <w:szCs w:val="28"/>
          <w:highlight w:val="none"/>
        </w:rPr>
      </w:pPr>
      <w:bookmarkStart w:id="1882" w:name="_Toc18906"/>
      <w:bookmarkStart w:id="1883" w:name="_Toc15705"/>
      <w:bookmarkStart w:id="1884" w:name="_Toc31331"/>
      <w:bookmarkStart w:id="1885" w:name="_Toc20336"/>
      <w:bookmarkStart w:id="1886" w:name="_Toc30212_WPSOffice_Level2"/>
      <w:bookmarkStart w:id="1887" w:name="_Toc10520"/>
      <w:bookmarkStart w:id="1888" w:name="_Toc17241"/>
      <w:bookmarkStart w:id="1889" w:name="_Toc475"/>
      <w:bookmarkStart w:id="1890" w:name="_Toc10661_WPSOffice_Level2"/>
      <w:r>
        <w:rPr>
          <w:rFonts w:hint="eastAsia" w:ascii="宋体" w:hAnsi="宋体" w:cs="Arial"/>
          <w:b/>
          <w:bCs/>
          <w:color w:val="auto"/>
          <w:sz w:val="28"/>
          <w:szCs w:val="28"/>
          <w:highlight w:val="none"/>
        </w:rPr>
        <w:t>三、评审流程</w:t>
      </w:r>
      <w:bookmarkEnd w:id="1882"/>
      <w:bookmarkEnd w:id="1883"/>
      <w:bookmarkEnd w:id="1884"/>
      <w:bookmarkEnd w:id="1885"/>
      <w:bookmarkEnd w:id="1886"/>
      <w:bookmarkEnd w:id="1887"/>
      <w:bookmarkEnd w:id="1888"/>
      <w:bookmarkEnd w:id="1889"/>
      <w:bookmarkEnd w:id="1890"/>
    </w:p>
    <w:p>
      <w:pPr>
        <w:tabs>
          <w:tab w:val="left" w:pos="567"/>
        </w:tabs>
        <w:spacing w:before="0" w:after="0" w:afterAutospacing="0"/>
        <w:ind w:left="422" w:right="0" w:firstLine="0"/>
        <w:outlineLvl w:val="2"/>
        <w:rPr>
          <w:rFonts w:ascii="宋体" w:hAnsi="宋体"/>
          <w:b/>
          <w:color w:val="auto"/>
          <w:highlight w:val="none"/>
        </w:rPr>
      </w:pPr>
      <w:bookmarkStart w:id="1891" w:name="_Toc10661_WPSOffice_Level3"/>
      <w:r>
        <w:rPr>
          <w:rFonts w:hint="eastAsia" w:ascii="宋体" w:hAnsi="宋体"/>
          <w:b/>
          <w:color w:val="auto"/>
          <w:highlight w:val="none"/>
        </w:rPr>
        <w:t>3.1资格审查</w:t>
      </w:r>
      <w:bookmarkEnd w:id="189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bookmarkStart w:id="1892" w:name="_Toc27221_WPSOffice_Level3"/>
      <w:r>
        <w:rPr>
          <w:rFonts w:hint="eastAsia" w:ascii="宋体" w:hAnsi="宋体"/>
          <w:b/>
          <w:color w:val="auto"/>
          <w:highlight w:val="none"/>
        </w:rPr>
        <w:t>3.2初步评审</w:t>
      </w:r>
      <w:bookmarkEnd w:id="1892"/>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符合性</w:t>
      </w:r>
      <w:r>
        <w:rPr>
          <w:rFonts w:hAnsi="宋体"/>
          <w:color w:val="auto"/>
          <w:highlight w:val="none"/>
        </w:rPr>
        <w:t>评审表》。</w:t>
      </w:r>
    </w:p>
    <w:p>
      <w:pPr>
        <w:tabs>
          <w:tab w:val="left" w:pos="851"/>
          <w:tab w:val="left" w:pos="1134"/>
        </w:tabs>
        <w:spacing w:before="0" w:after="0" w:afterAutospacing="0"/>
        <w:ind w:left="422" w:right="0" w:firstLine="0"/>
        <w:outlineLvl w:val="2"/>
        <w:rPr>
          <w:rFonts w:ascii="宋体" w:hAnsi="宋体"/>
          <w:b/>
          <w:color w:val="auto"/>
          <w:highlight w:val="none"/>
        </w:rPr>
      </w:pPr>
      <w:bookmarkStart w:id="1893" w:name="_Toc7439_WPSOffice_Level3"/>
      <w:r>
        <w:rPr>
          <w:rFonts w:hint="eastAsia" w:ascii="宋体" w:hAnsi="宋体"/>
          <w:b/>
          <w:color w:val="auto"/>
          <w:highlight w:val="none"/>
        </w:rPr>
        <w:t>3.3详细评审</w:t>
      </w:r>
      <w:bookmarkEnd w:id="1893"/>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3.3.1评审委员会对通过初步评审的投标文件的资信文件和技术文件进行详细评审。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3.3.2评审委员会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rPr>
        <w:t>3.3.3价格评审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3.3.3.1</w:t>
      </w:r>
      <w:r>
        <w:rPr>
          <w:rFonts w:hint="eastAsia" w:hAnsi="宋体"/>
          <w:color w:val="auto"/>
          <w:highlight w:val="none"/>
        </w:rPr>
        <w:t>评审委员会对通过初步评审的投标文件的报价文件进行详细评审。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3.3.3.2</w:t>
      </w:r>
      <w:r>
        <w:rPr>
          <w:rFonts w:hint="eastAsia" w:hAnsi="宋体"/>
          <w:color w:val="auto"/>
          <w:highlight w:val="none"/>
        </w:rPr>
        <w:t>投标报价有算术错误的，评标委员会按以下原则对投标报价进行修正，修正的价格经比选申请人书面确认后具有约束力。比选申请人不接受修正价格的，其投标作否决投标处理：</w:t>
      </w:r>
    </w:p>
    <w:p>
      <w:pPr>
        <w:numPr>
          <w:ilvl w:val="0"/>
          <w:numId w:val="30"/>
        </w:num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比选申请文件中的大写金额与小写金额不一致的，以大写金额为准；</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（2）总价金额与依据单价计算出的结果不一致的，以单价金额为准修正总价，但单价金额小数点有明显错误的除外；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（3）若修正后的总价与投标报价不相等，则评标总价和中标价均以修正后的总价为准，如</w:t>
      </w:r>
      <w:r>
        <w:rPr>
          <w:rFonts w:hint="eastAsia" w:hAnsi="宋体"/>
          <w:color w:val="auto"/>
          <w:highlight w:val="none"/>
        </w:rPr>
        <w:t>比选申请人</w:t>
      </w:r>
      <w:r>
        <w:rPr>
          <w:rFonts w:hint="eastAsia" w:ascii="宋体" w:hAnsi="宋体" w:cs="宋体"/>
          <w:color w:val="auto"/>
          <w:highlight w:val="none"/>
        </w:rPr>
        <w:t>不接受按以上规则确定的评标总价和中标价，则其投标将被拒绝。</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3.3.3.3出现下列情况的比选申请文件将予以否决：</w:t>
      </w:r>
    </w:p>
    <w:p>
      <w:pPr>
        <w:tabs>
          <w:tab w:val="left" w:pos="851"/>
          <w:tab w:val="left" w:pos="1134"/>
        </w:tabs>
        <w:spacing w:before="0" w:after="0" w:afterAutospacing="0"/>
        <w:ind w:left="0" w:right="0" w:firstLine="420" w:firstLineChars="200"/>
        <w:jc w:val="left"/>
        <w:rPr>
          <w:rFonts w:ascii="宋体" w:hAnsi="宋体" w:cs="宋体"/>
          <w:bCs/>
          <w:color w:val="auto"/>
          <w:highlight w:val="none"/>
        </w:rPr>
      </w:pPr>
      <w:r>
        <w:rPr>
          <w:rFonts w:hint="eastAsia" w:ascii="宋体" w:hAnsi="宋体" w:cs="宋体"/>
          <w:color w:val="auto"/>
          <w:highlight w:val="none"/>
        </w:rPr>
        <w:t>（1）评审委员会</w:t>
      </w:r>
      <w:r>
        <w:rPr>
          <w:rFonts w:hint="eastAsia" w:ascii="宋体" w:hAnsi="宋体" w:cs="宋体"/>
          <w:bCs/>
          <w:color w:val="auto"/>
          <w:highlight w:val="none"/>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rFonts w:hint="eastAsia" w:ascii="宋体" w:hAnsi="宋体" w:cs="宋体"/>
          <w:color w:val="auto"/>
          <w:highlight w:val="none"/>
        </w:rPr>
        <w:t>评审</w:t>
      </w:r>
      <w:r>
        <w:rPr>
          <w:rFonts w:hint="eastAsia" w:ascii="宋体" w:hAnsi="宋体" w:cs="宋体"/>
          <w:bCs/>
          <w:color w:val="auto"/>
          <w:highlight w:val="none"/>
        </w:rPr>
        <w:t>委员会应当认定该比选申请人以低于成本报价投标，否决其投标。</w:t>
      </w:r>
    </w:p>
    <w:p>
      <w:pPr>
        <w:tabs>
          <w:tab w:val="left" w:pos="851"/>
          <w:tab w:val="left" w:pos="1134"/>
        </w:tabs>
        <w:spacing w:before="0" w:after="0" w:afterAutospacing="0"/>
        <w:ind w:left="0" w:right="0" w:firstLine="420" w:firstLineChars="200"/>
        <w:jc w:val="left"/>
        <w:outlineLvl w:val="4"/>
        <w:rPr>
          <w:rFonts w:ascii="宋体" w:hAnsi="宋体" w:cs="宋体"/>
          <w:b/>
          <w:bCs/>
          <w:color w:val="auto"/>
          <w:highlight w:val="none"/>
        </w:rPr>
      </w:pPr>
      <w:bookmarkStart w:id="1894" w:name="_Hlk36511445"/>
      <w:r>
        <w:rPr>
          <w:rFonts w:hint="eastAsia" w:ascii="宋体" w:hAnsi="宋体" w:cs="宋体"/>
          <w:bCs/>
          <w:color w:val="auto"/>
          <w:highlight w:val="none"/>
        </w:rPr>
        <w:t>（2）</w:t>
      </w:r>
      <w:r>
        <w:rPr>
          <w:rFonts w:hint="eastAsia" w:ascii="宋体" w:hAnsi="宋体" w:cs="宋体"/>
          <w:b/>
          <w:bCs/>
          <w:color w:val="auto"/>
          <w:highlight w:val="none"/>
        </w:rPr>
        <w:t>投标报价清单如有漏项的投标文件，将予以否决。</w:t>
      </w:r>
      <w:bookmarkEnd w:id="1894"/>
    </w:p>
    <w:p>
      <w:pPr>
        <w:tabs>
          <w:tab w:val="left" w:pos="851"/>
        </w:tabs>
        <w:spacing w:before="0" w:after="0" w:afterAutospacing="0"/>
        <w:ind w:left="0" w:right="0" w:firstLine="420" w:firstLineChars="200"/>
        <w:rPr>
          <w:rFonts w:ascii="宋体" w:hAnsi="宋体" w:cs="宋体"/>
          <w:color w:val="auto"/>
          <w:highlight w:val="none"/>
        </w:rPr>
      </w:pPr>
      <w:r>
        <w:rPr>
          <w:rFonts w:hint="eastAsia" w:ascii="宋体" w:hAnsi="宋体" w:cs="宋体"/>
          <w:bCs/>
          <w:color w:val="auto"/>
          <w:highlight w:val="none"/>
        </w:rPr>
        <w:t>3.3.4.4</w:t>
      </w:r>
      <w:r>
        <w:rPr>
          <w:rFonts w:hint="eastAsia" w:ascii="宋体" w:hAnsi="宋体" w:cs="宋体"/>
          <w:color w:val="auto"/>
          <w:highlight w:val="none"/>
        </w:rPr>
        <w:t>评审委员会按照附表四《比选报价评分表》规定的量化因素和分值，对各比选申请人的投标报价评审，并计算出价格得分（得分出现小数点，保留小数点后二位，第三位小数四舍五入）。</w:t>
      </w:r>
    </w:p>
    <w:p>
      <w:pPr>
        <w:tabs>
          <w:tab w:val="left" w:pos="851"/>
          <w:tab w:val="left" w:pos="1134"/>
        </w:tabs>
        <w:spacing w:before="0" w:after="0" w:afterAutospacing="0"/>
        <w:ind w:left="422" w:right="0" w:firstLine="0"/>
        <w:outlineLvl w:val="3"/>
        <w:rPr>
          <w:rFonts w:ascii="宋体" w:hAnsi="宋体"/>
          <w:b/>
          <w:color w:val="auto"/>
          <w:highlight w:val="none"/>
        </w:rPr>
      </w:pPr>
      <w:r>
        <w:rPr>
          <w:rFonts w:hint="eastAsia" w:ascii="宋体" w:hAnsi="宋体"/>
          <w:b/>
          <w:color w:val="auto"/>
          <w:highlight w:val="none"/>
        </w:rPr>
        <w:t>3.3.5评审结果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通过价格评审计算出比选申请人的实际评审总价，填写《比选申请评审表》（见附表五），由评审委员会根据通过资格审查及符合性评审的比选申请人</w:t>
      </w:r>
      <w:r>
        <w:rPr>
          <w:rFonts w:ascii="宋体" w:hAnsi="宋体"/>
          <w:color w:val="auto"/>
          <w:highlight w:val="none"/>
        </w:rPr>
        <w:t>综合评分按照由高到低的顺序进行排序</w:t>
      </w:r>
      <w:r>
        <w:rPr>
          <w:rFonts w:hint="eastAsia" w:ascii="宋体" w:hAnsi="宋体" w:cs="Arial"/>
          <w:color w:val="auto"/>
          <w:highlight w:val="none"/>
        </w:rPr>
        <w:t>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outlineLvl w:val="2"/>
        <w:rPr>
          <w:rFonts w:ascii="宋体" w:hAnsi="宋体"/>
          <w:b/>
          <w:color w:val="auto"/>
          <w:highlight w:val="none"/>
        </w:rPr>
      </w:pPr>
      <w:bookmarkStart w:id="1895" w:name="_Toc1392_WPSOffice_Level3"/>
      <w:r>
        <w:rPr>
          <w:rFonts w:hint="eastAsia" w:ascii="宋体" w:hAnsi="宋体"/>
          <w:b/>
          <w:color w:val="auto"/>
          <w:highlight w:val="none"/>
        </w:rPr>
        <w:t>3.4</w:t>
      </w:r>
      <w:r>
        <w:rPr>
          <w:rFonts w:ascii="宋体" w:hAnsi="宋体"/>
          <w:b/>
          <w:color w:val="auto"/>
          <w:highlight w:val="none"/>
        </w:rPr>
        <w:t>澄清或补正</w:t>
      </w:r>
      <w:bookmarkEnd w:id="1895"/>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ascii="宋体" w:hAnsi="宋体"/>
          <w:color w:val="auto"/>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bookmarkStart w:id="1896" w:name="_Toc28111_WPSOffice_Level3"/>
      <w:r>
        <w:rPr>
          <w:rFonts w:hint="eastAsia" w:ascii="宋体" w:hAnsi="宋体"/>
          <w:b/>
          <w:color w:val="auto"/>
          <w:highlight w:val="none"/>
        </w:rPr>
        <w:t>3.5</w:t>
      </w:r>
      <w:r>
        <w:rPr>
          <w:rFonts w:ascii="宋体" w:hAnsi="宋体"/>
          <w:b/>
          <w:color w:val="auto"/>
          <w:highlight w:val="none"/>
        </w:rPr>
        <w:t>评审报告</w:t>
      </w:r>
      <w:bookmarkEnd w:id="1896"/>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）评审委员会根据综合评分由高到低顺序推荐中选候选人。综合评分相同时，则技术得分较高的排名靠前；如技术得分也相同，则价格得分较高的排名靠前；如价格得分也相同，</w:t>
      </w:r>
      <w:bookmarkStart w:id="1897" w:name="_Hlk31877730"/>
      <w:r>
        <w:rPr>
          <w:rFonts w:hint="eastAsia" w:ascii="宋体" w:hAnsi="宋体"/>
          <w:color w:val="auto"/>
          <w:highlight w:val="none"/>
        </w:rPr>
        <w:t>则由</w:t>
      </w:r>
      <w:bookmarkEnd w:id="1897"/>
      <w:r>
        <w:rPr>
          <w:rFonts w:hint="eastAsia" w:ascii="宋体" w:hAnsi="宋体"/>
          <w:color w:val="auto"/>
          <w:highlight w:val="none"/>
        </w:rPr>
        <w:t>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bookmarkStart w:id="1898" w:name="_Toc9883_WPSOffice_Level3"/>
      <w:r>
        <w:rPr>
          <w:rFonts w:hint="eastAsia" w:ascii="宋体" w:hAnsi="宋体"/>
          <w:b/>
          <w:color w:val="auto"/>
          <w:highlight w:val="none"/>
        </w:rPr>
        <w:t>3.6</w:t>
      </w:r>
      <w:r>
        <w:rPr>
          <w:rFonts w:ascii="宋体" w:hAnsi="宋体"/>
          <w:b/>
          <w:color w:val="auto"/>
          <w:highlight w:val="none"/>
        </w:rPr>
        <w:t>否决比选申请条件</w:t>
      </w:r>
      <w:bookmarkEnd w:id="1898"/>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outlineLvl w:val="3"/>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docGrid w:type="lines" w:linePitch="319" w:charSpace="0"/>
        </w:sectPr>
      </w:pPr>
    </w:p>
    <w:p>
      <w:pPr>
        <w:pStyle w:val="4"/>
        <w:spacing w:after="0" w:line="360" w:lineRule="auto"/>
        <w:ind w:right="-57" w:firstLine="0"/>
        <w:outlineLvl w:val="4"/>
        <w:rPr>
          <w:color w:val="auto"/>
          <w:sz w:val="21"/>
          <w:szCs w:val="21"/>
          <w:highlight w:val="none"/>
        </w:rPr>
      </w:pPr>
      <w:bookmarkStart w:id="1899" w:name="_Toc10968"/>
      <w:bookmarkStart w:id="1900" w:name="_Toc5435"/>
      <w:bookmarkStart w:id="1901" w:name="_Toc434"/>
      <w:bookmarkStart w:id="1902" w:name="_Toc18096"/>
      <w:bookmarkStart w:id="1903" w:name="_Toc16364"/>
      <w:bookmarkStart w:id="1904" w:name="_Toc1685_WPSOffice_Level1"/>
      <w:bookmarkStart w:id="1905" w:name="_Toc29245"/>
      <w:bookmarkStart w:id="1906" w:name="_Toc15224"/>
      <w:bookmarkStart w:id="1907" w:name="_Toc25750694"/>
      <w:bookmarkStart w:id="1908" w:name="_Toc492478849"/>
      <w:bookmarkStart w:id="1909" w:name="_Toc22464"/>
      <w:bookmarkStart w:id="1910" w:name="_Toc29642"/>
      <w:bookmarkStart w:id="1911" w:name="_Toc21113"/>
      <w:bookmarkStart w:id="1912" w:name="_Toc12639"/>
      <w:bookmarkStart w:id="1913" w:name="_Toc23314"/>
      <w:bookmarkStart w:id="1914" w:name="_Toc32279"/>
      <w:bookmarkStart w:id="1915" w:name="_Toc29923"/>
      <w:bookmarkStart w:id="1916" w:name="_Toc29190"/>
      <w:bookmarkStart w:id="1917" w:name="_Toc9189"/>
      <w:bookmarkStart w:id="1918" w:name="_Toc20294"/>
      <w:bookmarkStart w:id="1919" w:name="_Toc9588"/>
      <w:bookmarkStart w:id="1920" w:name="_Toc19557"/>
      <w:bookmarkStart w:id="1921" w:name="_Toc15073"/>
      <w:bookmarkStart w:id="1922" w:name="_Toc20237"/>
      <w:bookmarkStart w:id="1923" w:name="_Toc27271"/>
      <w:bookmarkStart w:id="1924" w:name="_Toc414290583"/>
      <w:bookmarkStart w:id="1925" w:name="_Toc31611"/>
      <w:bookmarkStart w:id="1926" w:name="_Toc8139"/>
      <w:bookmarkStart w:id="1927" w:name="_Toc15435_WPSOffice_Level1"/>
      <w:bookmarkStart w:id="1928" w:name="_Toc28404"/>
      <w:bookmarkStart w:id="1929" w:name="_Toc28500"/>
      <w:bookmarkStart w:id="1930" w:name="_Toc9730"/>
      <w:bookmarkStart w:id="1931" w:name="_Toc1286_WPSOffice_Level1"/>
      <w:bookmarkStart w:id="1932" w:name="_Toc17692_WPSOffice_Level1"/>
      <w:bookmarkStart w:id="1933" w:name="_Toc5661"/>
      <w:bookmarkStart w:id="1934" w:name="_Toc19950_WPSOffice_Level1"/>
      <w:r>
        <w:rPr>
          <w:rFonts w:hint="eastAsia"/>
          <w:color w:val="auto"/>
          <w:sz w:val="21"/>
          <w:szCs w:val="21"/>
          <w:highlight w:val="none"/>
        </w:rPr>
        <w:t>附表一 资格审查表</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snapToGrid w:val="0"/>
        <w:spacing w:before="0" w:line="360" w:lineRule="exact"/>
        <w:ind w:left="420" w:right="240" w:firstLine="0"/>
        <w:jc w:val="center"/>
        <w:rPr>
          <w:rFonts w:ascii="宋体" w:hAnsi="宋体"/>
          <w:b/>
          <w:color w:val="auto"/>
          <w:sz w:val="24"/>
          <w:szCs w:val="24"/>
          <w:highlight w:val="none"/>
        </w:rPr>
      </w:pPr>
      <w:bookmarkStart w:id="1935" w:name="_Toc27221_WPSOffice_Level2"/>
      <w:bookmarkStart w:id="1936" w:name="_Toc22586_WPSOffice_Level2"/>
      <w:bookmarkStart w:id="1937" w:name="_Toc4549_WPSOffice_Level2"/>
      <w:bookmarkStart w:id="1938" w:name="_Toc29364_WPSOffice_Level2"/>
      <w:r>
        <w:rPr>
          <w:rFonts w:hint="eastAsia" w:ascii="宋体" w:hAnsi="宋体"/>
          <w:b/>
          <w:color w:val="auto"/>
          <w:sz w:val="24"/>
          <w:szCs w:val="24"/>
          <w:highlight w:val="none"/>
        </w:rPr>
        <w:t>资格审查表</w:t>
      </w:r>
      <w:bookmarkEnd w:id="1935"/>
      <w:bookmarkEnd w:id="1936"/>
      <w:bookmarkEnd w:id="1937"/>
      <w:bookmarkEnd w:id="1938"/>
    </w:p>
    <w:tbl>
      <w:tblPr>
        <w:tblStyle w:val="31"/>
        <w:tblW w:w="958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820"/>
        <w:gridCol w:w="3129"/>
        <w:gridCol w:w="1379"/>
        <w:gridCol w:w="1094"/>
        <w:gridCol w:w="27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820"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312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72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身份证明材料</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比选申请人资格</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16"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820" w:type="dxa"/>
            <w:vAlign w:val="center"/>
          </w:tcPr>
          <w:p>
            <w:pPr>
              <w:spacing w:before="0" w:after="0" w:afterAutospacing="0"/>
              <w:ind w:left="0" w:right="0" w:firstLine="0"/>
              <w:rPr>
                <w:color w:val="auto"/>
                <w:highlight w:val="none"/>
              </w:rPr>
            </w:pPr>
            <w:r>
              <w:rPr>
                <w:rFonts w:hint="eastAsia"/>
                <w:color w:val="auto"/>
                <w:highlight w:val="none"/>
              </w:rPr>
              <w:t>比选申请人业绩条件</w:t>
            </w:r>
          </w:p>
        </w:tc>
        <w:tc>
          <w:tcPr>
            <w:tcW w:w="3129" w:type="dxa"/>
            <w:vAlign w:val="center"/>
          </w:tcPr>
          <w:p>
            <w:pPr>
              <w:spacing w:before="0" w:after="0" w:afterAutospacing="0"/>
              <w:ind w:left="0" w:right="0" w:firstLine="0"/>
              <w:rPr>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自2019年1月1日至截标时间前至少承接过1项合同金额不低于20万的轨道交通通信或自动售检故障件维修项目，并提供项目业绩证明材料。（业绩证明材料为合同，业绩证明材料中须体现出合同双方、合同签订时间、合同服务、合同金额等内容。）。</w:t>
            </w:r>
          </w:p>
        </w:tc>
        <w:tc>
          <w:tcPr>
            <w:tcW w:w="1379" w:type="dxa"/>
            <w:vAlign w:val="center"/>
          </w:tcPr>
          <w:p>
            <w:pPr>
              <w:spacing w:before="0" w:after="0" w:afterAutospacing="0"/>
              <w:ind w:left="0" w:right="0" w:firstLine="0"/>
              <w:rPr>
                <w:color w:val="auto"/>
                <w:highlight w:val="none"/>
              </w:rPr>
            </w:pPr>
            <w:r>
              <w:rPr>
                <w:rFonts w:hint="eastAsia"/>
                <w:color w:val="auto"/>
                <w:highlight w:val="none"/>
              </w:rPr>
              <w:t>比选申请人相应的业绩证明</w:t>
            </w:r>
          </w:p>
        </w:tc>
        <w:tc>
          <w:tcPr>
            <w:tcW w:w="1094" w:type="dxa"/>
            <w:vAlign w:val="center"/>
          </w:tcPr>
          <w:p>
            <w:pPr>
              <w:spacing w:before="0" w:after="0" w:afterAutospacing="0"/>
              <w:ind w:left="0" w:right="0" w:firstLine="0"/>
              <w:rPr>
                <w:color w:val="auto"/>
                <w:highlight w:val="none"/>
              </w:rPr>
            </w:pPr>
          </w:p>
        </w:tc>
        <w:tc>
          <w:tcPr>
            <w:tcW w:w="2721" w:type="dxa"/>
            <w:vAlign w:val="center"/>
          </w:tcPr>
          <w:p>
            <w:pPr>
              <w:spacing w:before="0" w:after="0" w:afterAutospacing="0"/>
              <w:ind w:left="0" w:right="0" w:firstLine="0"/>
              <w:rPr>
                <w:color w:val="auto"/>
                <w:highlight w:val="none"/>
              </w:rPr>
            </w:pPr>
            <w:r>
              <w:rPr>
                <w:rFonts w:hint="eastAsia" w:ascii="宋体" w:hAnsi="宋体"/>
                <w:color w:val="auto"/>
                <w:highlight w:val="none"/>
              </w:rPr>
              <w:t>提供</w:t>
            </w:r>
            <w:r>
              <w:rPr>
                <w:rFonts w:hint="eastAsia"/>
                <w:color w:val="auto"/>
                <w:highlight w:val="none"/>
              </w:rPr>
              <w:t>比选申请人</w:t>
            </w:r>
            <w:r>
              <w:rPr>
                <w:rFonts w:hint="eastAsia" w:ascii="宋体" w:hAnsi="宋体"/>
                <w:color w:val="auto"/>
                <w:highlight w:val="none"/>
              </w:rPr>
              <w:t>的</w:t>
            </w:r>
            <w:r>
              <w:rPr>
                <w:rFonts w:hint="eastAsia"/>
                <w:color w:val="auto"/>
                <w:highlight w:val="none"/>
              </w:rPr>
              <w:t>业绩证明等文件，并加盖公章。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4</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r>
              <w:rPr>
                <w:rFonts w:ascii="宋体" w:hAnsi="宋体"/>
                <w:b/>
                <w:color w:val="auto"/>
                <w:spacing w:val="1"/>
                <w:position w:val="-2"/>
                <w:highlight w:val="none"/>
              </w:rPr>
              <w:t>与其他</w:t>
            </w:r>
            <w:r>
              <w:rPr>
                <w:rFonts w:hint="eastAsia" w:ascii="宋体" w:hAnsi="宋体"/>
                <w:b/>
                <w:color w:val="auto"/>
                <w:spacing w:val="1"/>
                <w:position w:val="-2"/>
                <w:highlight w:val="none"/>
              </w:rPr>
              <w:t>比选申请</w:t>
            </w:r>
            <w:r>
              <w:rPr>
                <w:rFonts w:ascii="宋体" w:hAnsi="宋体"/>
                <w:b/>
                <w:color w:val="auto"/>
                <w:spacing w:val="1"/>
                <w:position w:val="-2"/>
                <w:highlight w:val="none"/>
              </w:rPr>
              <w:t>人之间不存在单位负责人为同一人或者控股、管理关系的情况。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bookmarkStart w:id="1939" w:name="_Toc25393_WPSOffice_Level3"/>
      <w:r>
        <w:rPr>
          <w:rFonts w:hint="eastAsia" w:ascii="宋体" w:hAnsi="宋体"/>
          <w:b/>
          <w:color w:val="auto"/>
          <w:highlight w:val="none"/>
        </w:rPr>
        <w:t>注：</w:t>
      </w:r>
      <w:bookmarkEnd w:id="1939"/>
    </w:p>
    <w:p>
      <w:pPr>
        <w:snapToGrid w:val="0"/>
        <w:spacing w:before="0" w:after="0" w:afterAutospacing="0" w:line="240" w:lineRule="auto"/>
        <w:ind w:left="0" w:right="0" w:firstLine="0"/>
        <w:outlineLvl w:val="4"/>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4"/>
        <w:spacing w:after="0" w:line="360" w:lineRule="auto"/>
        <w:ind w:right="-57" w:firstLine="0"/>
        <w:rPr>
          <w:color w:val="auto"/>
          <w:sz w:val="24"/>
          <w:szCs w:val="24"/>
          <w:highlight w:val="none"/>
        </w:rPr>
      </w:pPr>
      <w:r>
        <w:rPr>
          <w:rFonts w:ascii="宋体" w:hAnsi="宋体"/>
          <w:color w:val="auto"/>
          <w:highlight w:val="none"/>
        </w:rPr>
        <w:br w:type="page"/>
      </w:r>
      <w:bookmarkStart w:id="1940" w:name="_Toc2663"/>
      <w:bookmarkStart w:id="1941" w:name="_Toc2601"/>
      <w:bookmarkStart w:id="1942" w:name="_Toc2812_WPSOffice_Level1"/>
      <w:bookmarkStart w:id="1943" w:name="_Toc322_WPSOffice_Level1"/>
      <w:bookmarkStart w:id="1944" w:name="_Toc22472"/>
      <w:bookmarkStart w:id="1945" w:name="_Toc25750695"/>
      <w:bookmarkStart w:id="1946" w:name="_Toc7500_WPSOffice_Level1"/>
      <w:bookmarkStart w:id="1947" w:name="_Toc11148"/>
      <w:bookmarkStart w:id="1948" w:name="_Toc25393_WPSOffice_Level1"/>
      <w:bookmarkStart w:id="1949" w:name="_Toc12550"/>
      <w:bookmarkStart w:id="1950" w:name="_Toc21165"/>
      <w:bookmarkStart w:id="1951" w:name="_Toc12949_WPSOffice_Level1"/>
      <w:bookmarkStart w:id="1952" w:name="_Toc5413"/>
      <w:bookmarkStart w:id="1953" w:name="_Toc19120"/>
      <w:bookmarkStart w:id="1954" w:name="_Toc17023"/>
      <w:bookmarkStart w:id="1955" w:name="_Toc31210"/>
      <w:bookmarkStart w:id="1956" w:name="_Toc3671"/>
      <w:bookmarkStart w:id="1957" w:name="_Toc20215"/>
      <w:bookmarkStart w:id="1958" w:name="_Toc6612"/>
      <w:bookmarkStart w:id="1959" w:name="_Toc31487"/>
      <w:bookmarkStart w:id="1960" w:name="_Toc12984826"/>
      <w:bookmarkStart w:id="1961" w:name="_Toc5811"/>
      <w:bookmarkStart w:id="1962" w:name="_Toc12983557"/>
      <w:bookmarkStart w:id="1963" w:name="_Toc22635"/>
      <w:bookmarkStart w:id="1964" w:name="_Toc7852"/>
      <w:bookmarkStart w:id="1965" w:name="_Toc6102"/>
      <w:bookmarkStart w:id="1966" w:name="_Toc191"/>
      <w:bookmarkStart w:id="1967" w:name="_Toc15103"/>
      <w:bookmarkStart w:id="1968" w:name="_Toc19299"/>
      <w:bookmarkStart w:id="1969" w:name="_Toc5737"/>
      <w:bookmarkStart w:id="1970" w:name="_Toc29670"/>
      <w:bookmarkStart w:id="1971" w:name="_Toc3409"/>
      <w:bookmarkStart w:id="1972" w:name="_Toc8945"/>
      <w:bookmarkStart w:id="1973" w:name="_Toc9343"/>
      <w:bookmarkStart w:id="1974" w:name="_Toc492478850"/>
      <w:bookmarkStart w:id="1975" w:name="_Toc1459"/>
      <w:bookmarkStart w:id="1976" w:name="_Toc25123"/>
      <w:r>
        <w:rPr>
          <w:color w:val="auto"/>
          <w:sz w:val="21"/>
          <w:szCs w:val="21"/>
          <w:highlight w:val="none"/>
        </w:rPr>
        <w:t>附表二</w:t>
      </w:r>
      <w:r>
        <w:rPr>
          <w:rFonts w:hint="eastAsia"/>
          <w:color w:val="auto"/>
          <w:sz w:val="21"/>
          <w:szCs w:val="21"/>
          <w:highlight w:val="none"/>
        </w:rPr>
        <w:t xml:space="preserve"> 符合性</w:t>
      </w:r>
      <w:r>
        <w:rPr>
          <w:color w:val="auto"/>
          <w:sz w:val="21"/>
          <w:szCs w:val="21"/>
          <w:highlight w:val="none"/>
        </w:rPr>
        <w:t>评审表</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spacing w:before="0"/>
        <w:ind w:right="0" w:firstLine="0"/>
        <w:jc w:val="center"/>
        <w:rPr>
          <w:b/>
          <w:color w:val="auto"/>
          <w:sz w:val="24"/>
          <w:szCs w:val="24"/>
          <w:highlight w:val="none"/>
        </w:rPr>
      </w:pPr>
      <w:bookmarkStart w:id="1977" w:name="_Toc16614_WPSOffice_Level2"/>
      <w:bookmarkStart w:id="1978" w:name="_Toc18472_WPSOffice_Level2"/>
      <w:bookmarkStart w:id="1979" w:name="_Toc15442_WPSOffice_Level2"/>
      <w:bookmarkStart w:id="1980" w:name="_Toc7439_WPSOffice_Level2"/>
      <w:r>
        <w:rPr>
          <w:rFonts w:hint="eastAsia" w:hAnsi="宋体"/>
          <w:b/>
          <w:color w:val="auto"/>
          <w:sz w:val="24"/>
          <w:szCs w:val="24"/>
          <w:highlight w:val="none"/>
        </w:rPr>
        <w:t>符合性</w:t>
      </w:r>
      <w:r>
        <w:rPr>
          <w:rFonts w:hAnsi="宋体"/>
          <w:b/>
          <w:color w:val="auto"/>
          <w:sz w:val="24"/>
          <w:szCs w:val="24"/>
          <w:highlight w:val="none"/>
        </w:rPr>
        <w:t>评审表</w:t>
      </w:r>
      <w:bookmarkEnd w:id="1977"/>
      <w:bookmarkEnd w:id="1978"/>
      <w:bookmarkEnd w:id="1979"/>
      <w:bookmarkEnd w:id="1980"/>
    </w:p>
    <w:tbl>
      <w:tblPr>
        <w:tblStyle w:val="31"/>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比选申请文件按规定签署和盖章</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比选申请人在资格审查文件或技术文件中未透露有关报价的信息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ind w:left="0" w:firstLine="0"/>
              <w:rPr>
                <w:color w:val="auto"/>
                <w:highlight w:val="none"/>
              </w:rPr>
            </w:pPr>
            <w:r>
              <w:rPr>
                <w:rFonts w:hint="eastAsia"/>
                <w:color w:val="auto"/>
                <w:highlight w:val="none"/>
              </w:rPr>
              <w:t>技术部分响应、偏离情况说明无负偏离的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比选申请文件按比选文件要求提供按期完成承诺书的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ind w:right="0" w:firstLine="0"/>
        <w:jc w:val="center"/>
        <w:rPr>
          <w:color w:val="auto"/>
          <w:highlight w:val="none"/>
        </w:rPr>
        <w:sectPr>
          <w:footerReference r:id="rId17"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docGrid w:type="lines" w:linePitch="319" w:charSpace="0"/>
        </w:sectPr>
      </w:pPr>
    </w:p>
    <w:p>
      <w:pPr>
        <w:pStyle w:val="4"/>
        <w:rPr>
          <w:color w:val="auto"/>
          <w:sz w:val="21"/>
          <w:szCs w:val="21"/>
          <w:highlight w:val="none"/>
        </w:rPr>
      </w:pPr>
      <w:bookmarkStart w:id="1981" w:name="_Toc29537"/>
      <w:bookmarkStart w:id="1982" w:name="_Toc30588"/>
      <w:bookmarkStart w:id="1983" w:name="_Toc11064"/>
      <w:bookmarkStart w:id="1984" w:name="_Toc26828_WPSOffice_Level1"/>
      <w:bookmarkStart w:id="1985" w:name="_Toc7056"/>
      <w:bookmarkStart w:id="1986" w:name="_Toc32262_WPSOffice_Level1"/>
      <w:bookmarkStart w:id="1987" w:name="_Toc15696_WPSOffice_Level1"/>
      <w:bookmarkStart w:id="1988" w:name="_Toc20344"/>
      <w:bookmarkStart w:id="1989" w:name="_Toc8707"/>
      <w:bookmarkStart w:id="1990" w:name="_Toc28883_WPSOffice_Level1"/>
      <w:bookmarkStart w:id="1991" w:name="_Toc15329_WPSOffice_Level1"/>
      <w:bookmarkStart w:id="1992" w:name="_Toc23073"/>
      <w:bookmarkStart w:id="1993" w:name="_Toc3838"/>
      <w:bookmarkStart w:id="1994" w:name="_Toc20730"/>
      <w:bookmarkStart w:id="1995" w:name="_Toc393"/>
      <w:bookmarkStart w:id="1996" w:name="_Toc47864324"/>
      <w:bookmarkStart w:id="1997" w:name="_Toc18642"/>
      <w:r>
        <w:rPr>
          <w:rFonts w:hint="eastAsia"/>
          <w:color w:val="auto"/>
          <w:sz w:val="21"/>
          <w:szCs w:val="21"/>
          <w:highlight w:val="none"/>
        </w:rPr>
        <w:t>附表三 技术文件评分标准表</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tbl>
      <w:tblPr>
        <w:tblStyle w:val="31"/>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421"/>
        <w:gridCol w:w="1361"/>
        <w:gridCol w:w="5954"/>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22"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bookmarkStart w:id="1998" w:name="_Toc47864325"/>
            <w:r>
              <w:rPr>
                <w:rFonts w:ascii="宋体" w:hAnsi="宋体"/>
                <w:b/>
                <w:bCs/>
                <w:color w:val="auto"/>
                <w:kern w:val="2"/>
                <w:highlight w:val="none"/>
              </w:rPr>
              <w:t>序号</w:t>
            </w:r>
          </w:p>
        </w:tc>
        <w:tc>
          <w:tcPr>
            <w:tcW w:w="1421"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评审内容及分值</w:t>
            </w:r>
          </w:p>
        </w:tc>
        <w:tc>
          <w:tcPr>
            <w:tcW w:w="1361"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ascii="宋体" w:hAnsi="宋体"/>
                <w:b/>
                <w:bCs/>
                <w:color w:val="auto"/>
                <w:kern w:val="2"/>
                <w:highlight w:val="none"/>
              </w:rPr>
              <w:t>标准分</w:t>
            </w:r>
          </w:p>
        </w:tc>
        <w:tc>
          <w:tcPr>
            <w:tcW w:w="5954"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评审标准</w:t>
            </w:r>
          </w:p>
        </w:tc>
        <w:tc>
          <w:tcPr>
            <w:tcW w:w="678"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1</w:t>
            </w:r>
          </w:p>
        </w:tc>
        <w:tc>
          <w:tcPr>
            <w:tcW w:w="1421" w:type="dxa"/>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企业业绩（满分</w:t>
            </w:r>
            <w:r>
              <w:rPr>
                <w:rFonts w:hint="eastAsia" w:ascii="宋体" w:hAnsi="宋体"/>
                <w:bCs/>
                <w:color w:val="auto"/>
                <w:kern w:val="2"/>
                <w:highlight w:val="none"/>
                <w:lang w:val="en-US" w:eastAsia="zh-CN"/>
              </w:rPr>
              <w:t>9</w:t>
            </w:r>
            <w:r>
              <w:rPr>
                <w:rFonts w:hint="eastAsia" w:ascii="宋体" w:hAnsi="宋体"/>
                <w:bCs/>
                <w:color w:val="auto"/>
                <w:kern w:val="2"/>
                <w:highlight w:val="none"/>
              </w:rPr>
              <w:t>分）</w:t>
            </w:r>
          </w:p>
        </w:tc>
        <w:tc>
          <w:tcPr>
            <w:tcW w:w="1361" w:type="dxa"/>
            <w:vAlign w:val="center"/>
          </w:tcPr>
          <w:p>
            <w:pPr>
              <w:snapToGrid w:val="0"/>
              <w:spacing w:afterAutospacing="0" w:line="288" w:lineRule="auto"/>
              <w:jc w:val="center"/>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9</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每提供一项合同金额不少于</w:t>
            </w:r>
            <w:r>
              <w:rPr>
                <w:rFonts w:hint="eastAsia" w:ascii="宋体" w:hAnsi="宋体"/>
                <w:bCs/>
                <w:color w:val="auto"/>
                <w:kern w:val="2"/>
                <w:highlight w:val="none"/>
                <w:lang w:val="en-US" w:eastAsia="zh-CN"/>
              </w:rPr>
              <w:t>2</w:t>
            </w:r>
            <w:r>
              <w:rPr>
                <w:rFonts w:hint="eastAsia" w:ascii="宋体" w:hAnsi="宋体"/>
                <w:bCs/>
                <w:color w:val="auto"/>
                <w:kern w:val="2"/>
                <w:highlight w:val="none"/>
              </w:rPr>
              <w:t>0万元的轨道交通通信或自动售检票故障件维修业绩（自2019年11月 1日至截标时间前已完成的业绩）得3分，本项满分</w:t>
            </w:r>
            <w:r>
              <w:rPr>
                <w:rFonts w:hint="eastAsia" w:ascii="宋体" w:hAnsi="宋体"/>
                <w:bCs/>
                <w:color w:val="auto"/>
                <w:kern w:val="2"/>
                <w:highlight w:val="none"/>
                <w:lang w:val="en-US" w:eastAsia="zh-CN"/>
              </w:rPr>
              <w:t>9</w:t>
            </w:r>
            <w:r>
              <w:rPr>
                <w:rFonts w:hint="eastAsia" w:ascii="宋体" w:hAnsi="宋体"/>
                <w:bCs/>
                <w:color w:val="auto"/>
                <w:kern w:val="2"/>
                <w:highlight w:val="none"/>
              </w:rPr>
              <w:t>分。</w:t>
            </w:r>
          </w:p>
        </w:tc>
        <w:tc>
          <w:tcPr>
            <w:tcW w:w="678" w:type="dxa"/>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2</w:t>
            </w:r>
          </w:p>
        </w:tc>
        <w:tc>
          <w:tcPr>
            <w:tcW w:w="1421" w:type="dxa"/>
            <w:vMerge w:val="restart"/>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质量控制文件（满分</w:t>
            </w:r>
            <w:r>
              <w:rPr>
                <w:rFonts w:hint="eastAsia" w:ascii="宋体" w:hAnsi="宋体"/>
                <w:bCs/>
                <w:color w:val="auto"/>
                <w:kern w:val="2"/>
                <w:highlight w:val="none"/>
                <w:lang w:val="en-US" w:eastAsia="zh-CN"/>
              </w:rPr>
              <w:t>7</w:t>
            </w:r>
            <w:r>
              <w:rPr>
                <w:rFonts w:hint="eastAsia" w:ascii="宋体" w:hAnsi="宋体"/>
                <w:bCs/>
                <w:color w:val="auto"/>
                <w:kern w:val="2"/>
                <w:highlight w:val="none"/>
              </w:rPr>
              <w:t>分）</w:t>
            </w:r>
          </w:p>
        </w:tc>
        <w:tc>
          <w:tcPr>
            <w:tcW w:w="1361" w:type="dxa"/>
            <w:vAlign w:val="center"/>
          </w:tcPr>
          <w:p>
            <w:pPr>
              <w:widowControl w:val="0"/>
              <w:snapToGrid w:val="0"/>
              <w:spacing w:afterAutospacing="0" w:line="276" w:lineRule="auto"/>
              <w:ind w:left="0" w:firstLine="0"/>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5.6</w:t>
            </w:r>
            <w:r>
              <w:rPr>
                <w:rFonts w:hint="eastAsia" w:ascii="宋体" w:hAnsi="宋体"/>
                <w:bCs/>
                <w:color w:val="auto"/>
                <w:kern w:val="2"/>
                <w:highlight w:val="none"/>
              </w:rPr>
              <w:t>≤m≤</w:t>
            </w:r>
            <w:r>
              <w:rPr>
                <w:rFonts w:hint="eastAsia" w:ascii="宋体" w:hAnsi="宋体"/>
                <w:bCs/>
                <w:color w:val="auto"/>
                <w:kern w:val="2"/>
                <w:highlight w:val="none"/>
                <w:lang w:val="en-US" w:eastAsia="zh-CN"/>
              </w:rPr>
              <w:t>7</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提供2019年以来加盖单位公章的电子板件类维修项目的质量控制方案、《返修件维修报告》等能够体现维修作业质量和质量控制的类似文件，文件详细、清晰，方案科学合理，可操作性强。</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hint="default"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4.2</w:t>
            </w:r>
            <w:r>
              <w:rPr>
                <w:rFonts w:hint="eastAsia" w:ascii="宋体" w:hAnsi="宋体"/>
                <w:bCs/>
                <w:color w:val="auto"/>
                <w:kern w:val="2"/>
                <w:highlight w:val="none"/>
              </w:rPr>
              <w:t>≤m＜</w:t>
            </w:r>
            <w:r>
              <w:rPr>
                <w:rFonts w:hint="eastAsia" w:ascii="宋体" w:hAnsi="宋体"/>
                <w:bCs/>
                <w:color w:val="auto"/>
                <w:kern w:val="2"/>
                <w:highlight w:val="none"/>
                <w:lang w:val="en-US" w:eastAsia="zh-CN"/>
              </w:rPr>
              <w:t>5.6</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提供2019年以来加盖单位公章的电子板件类维修项目的质量控制方案、《返修件维修报告》等能够体现维修作业质量和质量控制的类似文件，文件详细、清晰，方案合理，具有可操作性。</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hint="default" w:ascii="宋体" w:hAnsi="宋体" w:eastAsia="宋体"/>
                <w:bCs/>
                <w:color w:val="auto"/>
                <w:kern w:val="2"/>
                <w:highlight w:val="none"/>
                <w:lang w:val="en-US" w:eastAsia="zh-CN"/>
              </w:rPr>
            </w:pPr>
            <w:r>
              <w:rPr>
                <w:rFonts w:hint="eastAsia" w:ascii="宋体" w:hAnsi="宋体"/>
                <w:bCs/>
                <w:color w:val="auto"/>
                <w:kern w:val="2"/>
                <w:highlight w:val="none"/>
              </w:rPr>
              <w:t>0≤m＜</w:t>
            </w:r>
            <w:r>
              <w:rPr>
                <w:rFonts w:hint="eastAsia" w:ascii="宋体" w:hAnsi="宋体"/>
                <w:bCs/>
                <w:color w:val="auto"/>
                <w:kern w:val="2"/>
                <w:highlight w:val="none"/>
                <w:lang w:val="en-US" w:eastAsia="zh-CN"/>
              </w:rPr>
              <w:t>4.2</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提供2019年以来加盖单位公章的电子板件类维修项目的质量控制方案、《返修件维修报告》等能够体现维修作业质量和质量控制的类似文件，文件粗略、笼统，方案基本合理，可操作性较差。</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3</w:t>
            </w:r>
          </w:p>
        </w:tc>
        <w:tc>
          <w:tcPr>
            <w:tcW w:w="1421" w:type="dxa"/>
            <w:vMerge w:val="restart"/>
            <w:vAlign w:val="center"/>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售后服务承诺（满分</w:t>
            </w:r>
            <w:r>
              <w:rPr>
                <w:rFonts w:hint="eastAsia" w:ascii="宋体" w:hAnsi="宋体"/>
                <w:bCs/>
                <w:color w:val="auto"/>
                <w:kern w:val="2"/>
                <w:highlight w:val="none"/>
                <w:lang w:val="en-US" w:eastAsia="zh-CN"/>
              </w:rPr>
              <w:t>4</w:t>
            </w:r>
            <w:r>
              <w:rPr>
                <w:rFonts w:hint="eastAsia" w:ascii="宋体" w:hAnsi="宋体"/>
                <w:bCs/>
                <w:color w:val="auto"/>
                <w:kern w:val="2"/>
                <w:highlight w:val="none"/>
              </w:rPr>
              <w:t>分）</w:t>
            </w:r>
          </w:p>
        </w:tc>
        <w:tc>
          <w:tcPr>
            <w:tcW w:w="1361" w:type="dxa"/>
            <w:vAlign w:val="center"/>
          </w:tcPr>
          <w:p>
            <w:pPr>
              <w:widowControl w:val="0"/>
              <w:snapToGrid w:val="0"/>
              <w:spacing w:afterAutospacing="0" w:line="276" w:lineRule="auto"/>
              <w:ind w:left="0" w:firstLine="0"/>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3.2</w:t>
            </w:r>
            <w:r>
              <w:rPr>
                <w:rFonts w:hint="eastAsia" w:ascii="宋体" w:hAnsi="宋体"/>
                <w:bCs/>
                <w:color w:val="auto"/>
                <w:kern w:val="2"/>
                <w:highlight w:val="none"/>
              </w:rPr>
              <w:t>≤m≤</w:t>
            </w:r>
            <w:r>
              <w:rPr>
                <w:rFonts w:hint="eastAsia" w:ascii="宋体" w:hAnsi="宋体"/>
                <w:bCs/>
                <w:color w:val="auto"/>
                <w:kern w:val="2"/>
                <w:highlight w:val="none"/>
                <w:lang w:val="en-US" w:eastAsia="zh-CN"/>
              </w:rPr>
              <w:t>4</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承诺建立动态修复件清单，对电子板件使用环境和预防性故障等提出改善措施和建议，措施及建议科学合理，可实施性强。</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hint="default"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2.4</w:t>
            </w:r>
            <w:r>
              <w:rPr>
                <w:rFonts w:hint="eastAsia" w:ascii="宋体" w:hAnsi="宋体"/>
                <w:bCs/>
                <w:color w:val="auto"/>
                <w:kern w:val="2"/>
                <w:highlight w:val="none"/>
              </w:rPr>
              <w:t>≤m＜</w:t>
            </w:r>
            <w:r>
              <w:rPr>
                <w:rFonts w:hint="eastAsia" w:ascii="宋体" w:hAnsi="宋体"/>
                <w:bCs/>
                <w:color w:val="auto"/>
                <w:kern w:val="2"/>
                <w:highlight w:val="none"/>
                <w:lang w:val="en-US" w:eastAsia="zh-CN"/>
              </w:rPr>
              <w:t>3.2</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承诺建立动态修复件清单，对电子板件使用环境和预防性故障等提出改善措施和建议，措施及建议科学合理，具有可实施性。</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vMerge w:val="continue"/>
            <w:vAlign w:val="center"/>
          </w:tcPr>
          <w:p>
            <w:pPr>
              <w:widowControl w:val="0"/>
              <w:snapToGrid w:val="0"/>
              <w:spacing w:afterAutospacing="0" w:line="276" w:lineRule="auto"/>
              <w:ind w:left="0" w:firstLine="0"/>
              <w:rPr>
                <w:rFonts w:ascii="宋体" w:hAnsi="宋体"/>
                <w:bCs/>
                <w:color w:val="auto"/>
                <w:kern w:val="2"/>
                <w:highlight w:val="none"/>
              </w:rPr>
            </w:pPr>
          </w:p>
        </w:tc>
        <w:tc>
          <w:tcPr>
            <w:tcW w:w="1361" w:type="dxa"/>
            <w:vAlign w:val="center"/>
          </w:tcPr>
          <w:p>
            <w:pPr>
              <w:widowControl w:val="0"/>
              <w:snapToGrid w:val="0"/>
              <w:spacing w:afterAutospacing="0" w:line="276" w:lineRule="auto"/>
              <w:ind w:left="0" w:firstLine="0"/>
              <w:rPr>
                <w:rFonts w:hint="default" w:ascii="宋体" w:hAnsi="宋体" w:eastAsia="宋体"/>
                <w:bCs/>
                <w:color w:val="auto"/>
                <w:kern w:val="2"/>
                <w:highlight w:val="none"/>
                <w:lang w:val="en-US" w:eastAsia="zh-CN"/>
              </w:rPr>
            </w:pPr>
            <w:r>
              <w:rPr>
                <w:rFonts w:hint="eastAsia" w:ascii="宋体" w:hAnsi="宋体"/>
                <w:bCs/>
                <w:color w:val="auto"/>
                <w:kern w:val="2"/>
                <w:highlight w:val="none"/>
              </w:rPr>
              <w:t>0≤m＜</w:t>
            </w:r>
            <w:r>
              <w:rPr>
                <w:rFonts w:hint="eastAsia" w:ascii="宋体" w:hAnsi="宋体"/>
                <w:bCs/>
                <w:color w:val="auto"/>
                <w:kern w:val="2"/>
                <w:highlight w:val="none"/>
                <w:lang w:val="en-US" w:eastAsia="zh-CN"/>
              </w:rPr>
              <w:t>2.4</w:t>
            </w:r>
          </w:p>
        </w:tc>
        <w:tc>
          <w:tcPr>
            <w:tcW w:w="5954" w:type="dxa"/>
          </w:tcPr>
          <w:p>
            <w:pPr>
              <w:widowControl w:val="0"/>
              <w:snapToGrid w:val="0"/>
              <w:spacing w:afterAutospacing="0" w:line="276" w:lineRule="auto"/>
              <w:ind w:left="0" w:firstLine="0"/>
              <w:rPr>
                <w:rFonts w:ascii="宋体" w:hAnsi="宋体"/>
                <w:bCs/>
                <w:color w:val="auto"/>
                <w:kern w:val="2"/>
                <w:highlight w:val="none"/>
              </w:rPr>
            </w:pPr>
            <w:r>
              <w:rPr>
                <w:rFonts w:hint="eastAsia" w:ascii="宋体" w:hAnsi="宋体"/>
                <w:bCs/>
                <w:color w:val="auto"/>
                <w:kern w:val="2"/>
                <w:highlight w:val="none"/>
              </w:rPr>
              <w:t>承诺建立动态修复件清单，对电子板件使用环境和预防性故障等提出改善措施和建议，措施及建议基本合理，可实施性较差。</w:t>
            </w:r>
          </w:p>
        </w:tc>
        <w:tc>
          <w:tcPr>
            <w:tcW w:w="678" w:type="dxa"/>
            <w:vAlign w:val="center"/>
          </w:tcPr>
          <w:p>
            <w:pPr>
              <w:widowControl w:val="0"/>
              <w:snapToGrid w:val="0"/>
              <w:spacing w:afterAutospacing="0" w:line="276" w:lineRule="auto"/>
              <w:ind w:left="0" w:firstLine="0"/>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943" w:type="dxa"/>
            <w:gridSpan w:val="2"/>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ascii="宋体" w:hAnsi="宋体"/>
                <w:bCs/>
                <w:color w:val="auto"/>
                <w:kern w:val="2"/>
                <w:highlight w:val="none"/>
              </w:rPr>
              <w:t>技术</w:t>
            </w:r>
            <w:r>
              <w:rPr>
                <w:rFonts w:hint="eastAsia" w:ascii="宋体" w:hAnsi="宋体"/>
                <w:bCs/>
                <w:color w:val="auto"/>
                <w:kern w:val="2"/>
                <w:highlight w:val="none"/>
              </w:rPr>
              <w:t>评审总分</w:t>
            </w:r>
          </w:p>
        </w:tc>
        <w:tc>
          <w:tcPr>
            <w:tcW w:w="1361" w:type="dxa"/>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20</w:t>
            </w:r>
            <w:r>
              <w:rPr>
                <w:rFonts w:ascii="宋体" w:hAnsi="宋体"/>
                <w:color w:val="auto"/>
                <w:kern w:val="2"/>
                <w:highlight w:val="none"/>
              </w:rPr>
              <w:t>分</w:t>
            </w:r>
          </w:p>
        </w:tc>
        <w:tc>
          <w:tcPr>
            <w:tcW w:w="6632" w:type="dxa"/>
            <w:gridSpan w:val="2"/>
            <w:vAlign w:val="center"/>
          </w:tcPr>
          <w:p>
            <w:pPr>
              <w:widowControl w:val="0"/>
              <w:spacing w:before="0" w:after="0" w:afterAutospacing="0" w:line="276" w:lineRule="auto"/>
              <w:ind w:left="0" w:right="0" w:firstLine="0"/>
              <w:rPr>
                <w:rFonts w:ascii="宋体" w:hAnsi="宋体"/>
                <w:color w:val="auto"/>
                <w:kern w:val="2"/>
                <w:highlight w:val="none"/>
              </w:rPr>
            </w:pPr>
          </w:p>
        </w:tc>
      </w:tr>
      <w:bookmarkEnd w:id="1998"/>
    </w:tbl>
    <w:p>
      <w:pPr>
        <w:rPr>
          <w:color w:val="auto"/>
          <w:highlight w:val="none"/>
        </w:rPr>
      </w:pPr>
      <w:r>
        <w:rPr>
          <w:rFonts w:hint="eastAsia"/>
          <w:color w:val="auto"/>
          <w:highlight w:val="none"/>
        </w:rPr>
        <w:br w:type="page"/>
      </w:r>
    </w:p>
    <w:p>
      <w:pPr>
        <w:pStyle w:val="4"/>
        <w:rPr>
          <w:color w:val="auto"/>
          <w:sz w:val="21"/>
          <w:szCs w:val="21"/>
          <w:highlight w:val="none"/>
        </w:rPr>
      </w:pPr>
      <w:bookmarkStart w:id="1999" w:name="_Toc21285"/>
      <w:bookmarkStart w:id="2000" w:name="_Toc8121"/>
      <w:bookmarkStart w:id="2001" w:name="_Toc47864326"/>
      <w:bookmarkStart w:id="2002" w:name="_Toc18909_WPSOffice_Level1"/>
      <w:bookmarkStart w:id="2003" w:name="_Toc10899"/>
      <w:bookmarkStart w:id="2004" w:name="_Toc18651"/>
      <w:bookmarkStart w:id="2005" w:name="_Toc22743_WPSOffice_Level1"/>
      <w:bookmarkStart w:id="2006" w:name="_Toc21963"/>
      <w:bookmarkStart w:id="2007" w:name="_Toc2569"/>
      <w:bookmarkStart w:id="2008" w:name="_Toc15387"/>
      <w:bookmarkStart w:id="2009" w:name="_Toc14106_WPSOffice_Level1"/>
      <w:bookmarkStart w:id="2010" w:name="_Toc1350_WPSOffice_Level1"/>
      <w:bookmarkStart w:id="2011" w:name="_Toc7817"/>
      <w:bookmarkStart w:id="2012" w:name="_Toc1073_WPSOffice_Level1"/>
      <w:bookmarkStart w:id="2013" w:name="_Toc21121"/>
      <w:bookmarkStart w:id="2014" w:name="_Toc24780"/>
      <w:bookmarkStart w:id="2015" w:name="_Toc13233"/>
      <w:r>
        <w:rPr>
          <w:rFonts w:hint="eastAsia"/>
          <w:color w:val="auto"/>
          <w:sz w:val="21"/>
          <w:szCs w:val="21"/>
          <w:highlight w:val="none"/>
        </w:rPr>
        <w:t>附表四 比选报价评分表</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widowControl w:val="0"/>
        <w:spacing w:before="0" w:after="0" w:afterAutospacing="0"/>
        <w:ind w:left="0" w:right="0" w:firstLine="0"/>
        <w:jc w:val="center"/>
        <w:rPr>
          <w:rFonts w:ascii="宋体" w:hAnsi="宋体"/>
          <w:color w:val="auto"/>
          <w:kern w:val="2"/>
          <w:highlight w:val="none"/>
        </w:rPr>
      </w:pPr>
      <w:bookmarkStart w:id="2016" w:name="_Toc16906_WPSOffice_Level2"/>
      <w:bookmarkStart w:id="2017" w:name="_Toc28111_WPSOffice_Level2"/>
      <w:bookmarkStart w:id="2018" w:name="_Toc15921_WPSOffice_Level2"/>
      <w:bookmarkStart w:id="2019" w:name="_Toc28768_WPSOffice_Level2"/>
      <w:r>
        <w:rPr>
          <w:rFonts w:hint="eastAsia" w:ascii="Calibri" w:hAnsi="宋体"/>
          <w:b/>
          <w:color w:val="auto"/>
          <w:kern w:val="2"/>
          <w:sz w:val="24"/>
          <w:szCs w:val="24"/>
          <w:highlight w:val="none"/>
        </w:rPr>
        <w:t>比选报价评分表</w:t>
      </w:r>
      <w:bookmarkEnd w:id="2016"/>
      <w:bookmarkEnd w:id="2017"/>
      <w:bookmarkEnd w:id="2018"/>
      <w:bookmarkEnd w:id="2019"/>
    </w:p>
    <w:tbl>
      <w:tblPr>
        <w:tblStyle w:val="31"/>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序号</w:t>
            </w:r>
          </w:p>
        </w:tc>
        <w:tc>
          <w:tcPr>
            <w:tcW w:w="1104"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项目</w:t>
            </w:r>
          </w:p>
        </w:tc>
        <w:tc>
          <w:tcPr>
            <w:tcW w:w="3032"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hint="eastAsia" w:ascii="宋体" w:hAnsi="宋体"/>
                <w:b/>
                <w:color w:val="auto"/>
                <w:kern w:val="2"/>
                <w:highlight w:val="none"/>
              </w:rPr>
              <w:t>基准价</w:t>
            </w:r>
          </w:p>
        </w:tc>
        <w:tc>
          <w:tcPr>
            <w:tcW w:w="2977"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评分标准</w:t>
            </w:r>
          </w:p>
        </w:tc>
        <w:tc>
          <w:tcPr>
            <w:tcW w:w="1129"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分值</w:t>
            </w:r>
          </w:p>
        </w:tc>
        <w:tc>
          <w:tcPr>
            <w:tcW w:w="708"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1</w:t>
            </w:r>
          </w:p>
        </w:tc>
        <w:tc>
          <w:tcPr>
            <w:tcW w:w="1104" w:type="dxa"/>
            <w:vAlign w:val="center"/>
          </w:tcPr>
          <w:p>
            <w:pPr>
              <w:widowControl w:val="0"/>
              <w:spacing w:before="0" w:after="0" w:afterAutospacing="0"/>
              <w:ind w:left="0" w:right="0" w:firstLine="0"/>
              <w:jc w:val="left"/>
              <w:rPr>
                <w:rFonts w:ascii="宋体" w:hAnsi="宋体"/>
                <w:color w:val="auto"/>
                <w:kern w:val="2"/>
                <w:highlight w:val="none"/>
              </w:rPr>
            </w:pPr>
            <w:r>
              <w:rPr>
                <w:rFonts w:hint="eastAsia" w:ascii="宋体" w:hAnsi="宋体"/>
                <w:color w:val="auto"/>
                <w:kern w:val="2"/>
                <w:highlight w:val="none"/>
              </w:rPr>
              <w:t>比选报价</w:t>
            </w:r>
          </w:p>
        </w:tc>
        <w:tc>
          <w:tcPr>
            <w:tcW w:w="3032" w:type="dxa"/>
            <w:vAlign w:val="center"/>
          </w:tcPr>
          <w:p>
            <w:pPr>
              <w:widowControl w:val="0"/>
              <w:snapToGrid w:val="0"/>
              <w:ind w:left="0" w:firstLine="0"/>
              <w:jc w:val="left"/>
              <w:rPr>
                <w:rFonts w:ascii="宋体" w:hAnsi="宋体"/>
                <w:b/>
                <w:color w:val="auto"/>
                <w:kern w:val="2"/>
                <w:highlight w:val="none"/>
              </w:rPr>
            </w:pPr>
            <w:r>
              <w:rPr>
                <w:rFonts w:hint="eastAsia" w:ascii="宋体" w:hAnsi="宋体"/>
                <w:b/>
                <w:color w:val="auto"/>
                <w:kern w:val="2"/>
                <w:highlight w:val="none"/>
              </w:rPr>
              <w:t>进入商务文件评审的比选申请</w:t>
            </w:r>
          </w:p>
          <w:p>
            <w:pPr>
              <w:widowControl w:val="0"/>
              <w:snapToGrid w:val="0"/>
              <w:ind w:left="0" w:firstLine="0"/>
              <w:jc w:val="left"/>
              <w:rPr>
                <w:rFonts w:ascii="宋体" w:hAnsi="宋体"/>
                <w:b/>
                <w:color w:val="auto"/>
                <w:kern w:val="2"/>
                <w:highlight w:val="none"/>
              </w:rPr>
            </w:pPr>
            <w:r>
              <w:rPr>
                <w:rFonts w:hint="eastAsia" w:ascii="宋体" w:hAnsi="宋体"/>
                <w:b/>
                <w:color w:val="auto"/>
                <w:kern w:val="2"/>
                <w:highlight w:val="none"/>
              </w:rPr>
              <w:t>人才能进行价格分评审。</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s="宋体"/>
                <w:color w:val="auto"/>
                <w:kern w:val="2"/>
                <w:szCs w:val="24"/>
                <w:highlight w:val="none"/>
              </w:rPr>
              <w:t>以</w:t>
            </w:r>
            <w:r>
              <w:rPr>
                <w:rFonts w:hint="eastAsia" w:ascii="宋体" w:hAnsi="宋体"/>
                <w:color w:val="auto"/>
                <w:kern w:val="2"/>
                <w:highlight w:val="none"/>
              </w:rPr>
              <w:t>进入商务文件评审、</w:t>
            </w:r>
            <w:r>
              <w:rPr>
                <w:rFonts w:hint="eastAsia" w:ascii="宋体" w:hAnsi="宋体" w:cs="宋体"/>
                <w:color w:val="auto"/>
                <w:kern w:val="2"/>
                <w:szCs w:val="24"/>
                <w:highlight w:val="none"/>
              </w:rPr>
              <w:t>满足比选文件要求且评比报价最低的报价为评比基准价。</w:t>
            </w:r>
          </w:p>
        </w:tc>
        <w:tc>
          <w:tcPr>
            <w:tcW w:w="2977" w:type="dxa"/>
            <w:vAlign w:val="center"/>
          </w:tcPr>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s="宋体"/>
                <w:color w:val="auto"/>
                <w:kern w:val="2"/>
                <w:szCs w:val="24"/>
                <w:highlight w:val="none"/>
              </w:rPr>
              <w:t>等于评比基准价的价格分为满分80分。其他</w:t>
            </w:r>
            <w:r>
              <w:rPr>
                <w:rFonts w:hint="eastAsia" w:ascii="宋体" w:hAnsi="宋体"/>
                <w:color w:val="auto"/>
                <w:kern w:val="2"/>
                <w:highlight w:val="none"/>
              </w:rPr>
              <w:t>进入商务文件评审</w:t>
            </w:r>
            <w:r>
              <w:rPr>
                <w:rFonts w:hint="eastAsia" w:ascii="宋体" w:hAnsi="宋体" w:cs="宋体"/>
                <w:color w:val="auto"/>
                <w:kern w:val="2"/>
                <w:szCs w:val="24"/>
                <w:highlight w:val="none"/>
              </w:rPr>
              <w:t>比选人的价格分统一按照下列公式计算：</w:t>
            </w:r>
            <w:r>
              <w:rPr>
                <w:rFonts w:hint="eastAsia" w:ascii="Calibri" w:hAnsi="宋体"/>
                <w:color w:val="auto"/>
                <w:kern w:val="2"/>
                <w:szCs w:val="24"/>
                <w:highlight w:val="none"/>
              </w:rPr>
              <w:t>某比选人价格分＝评比基准价/</w:t>
            </w:r>
            <w:r>
              <w:rPr>
                <w:rFonts w:hint="eastAsia" w:ascii="宋体" w:hAnsi="宋体"/>
                <w:color w:val="auto"/>
                <w:kern w:val="2"/>
                <w:highlight w:val="none"/>
              </w:rPr>
              <w:t>进入商务文件评审的</w:t>
            </w:r>
            <w:r>
              <w:rPr>
                <w:rFonts w:hint="eastAsia" w:ascii="Calibri" w:hAnsi="宋体"/>
                <w:color w:val="auto"/>
                <w:kern w:val="2"/>
                <w:szCs w:val="24"/>
                <w:highlight w:val="none"/>
              </w:rPr>
              <w:t>某比选人评比报价×80分。</w:t>
            </w:r>
          </w:p>
        </w:tc>
        <w:tc>
          <w:tcPr>
            <w:tcW w:w="1129" w:type="dxa"/>
            <w:vAlign w:val="center"/>
          </w:tcPr>
          <w:p>
            <w:pPr>
              <w:widowControl w:val="0"/>
              <w:spacing w:before="0" w:after="0" w:afterAutospacing="0"/>
              <w:ind w:left="0" w:right="0" w:firstLine="0"/>
              <w:rPr>
                <w:rFonts w:ascii="宋体" w:hAnsi="宋体"/>
                <w:color w:val="auto"/>
                <w:kern w:val="2"/>
                <w:highlight w:val="none"/>
              </w:rPr>
            </w:pPr>
            <w:r>
              <w:rPr>
                <w:rFonts w:ascii="宋体" w:hAnsi="宋体"/>
                <w:color w:val="auto"/>
                <w:kern w:val="2"/>
                <w:highlight w:val="none"/>
              </w:rPr>
              <w:t>0</w:t>
            </w:r>
            <w:r>
              <w:rPr>
                <w:rFonts w:hint="eastAsia" w:ascii="宋体" w:hAnsi="宋体"/>
                <w:color w:val="auto"/>
                <w:kern w:val="2"/>
                <w:highlight w:val="none"/>
              </w:rPr>
              <w:t>≤</w:t>
            </w:r>
            <w:r>
              <w:rPr>
                <w:rFonts w:ascii="宋体" w:hAnsi="宋体"/>
                <w:color w:val="auto"/>
                <w:kern w:val="2"/>
                <w:highlight w:val="none"/>
              </w:rPr>
              <w:t>m</w:t>
            </w:r>
            <w:r>
              <w:rPr>
                <w:rFonts w:hint="eastAsia" w:ascii="宋体" w:hAnsi="宋体"/>
                <w:color w:val="auto"/>
                <w:kern w:val="2"/>
                <w:highlight w:val="none"/>
              </w:rPr>
              <w:t>≤80</w:t>
            </w:r>
          </w:p>
        </w:tc>
        <w:tc>
          <w:tcPr>
            <w:tcW w:w="708" w:type="dxa"/>
            <w:vAlign w:val="center"/>
          </w:tcPr>
          <w:p>
            <w:pPr>
              <w:widowControl w:val="0"/>
              <w:spacing w:before="0" w:after="0" w:afterAutospacing="0"/>
              <w:ind w:left="0" w:right="0" w:firstLine="420" w:firstLineChars="200"/>
              <w:rPr>
                <w:rFonts w:ascii="宋体" w:hAnsi="宋体"/>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54" w:type="dxa"/>
            <w:gridSpan w:val="2"/>
          </w:tcPr>
          <w:p>
            <w:pPr>
              <w:widowControl w:val="0"/>
              <w:spacing w:before="0" w:after="0" w:afterAutospacing="0"/>
              <w:ind w:left="0" w:right="0" w:firstLine="420" w:firstLineChars="200"/>
              <w:rPr>
                <w:rFonts w:ascii="宋体" w:hAnsi="宋体"/>
                <w:color w:val="auto"/>
                <w:kern w:val="2"/>
                <w:highlight w:val="none"/>
              </w:rPr>
            </w:pPr>
          </w:p>
        </w:tc>
        <w:tc>
          <w:tcPr>
            <w:tcW w:w="3032" w:type="dxa"/>
          </w:tcPr>
          <w:p>
            <w:pPr>
              <w:widowControl w:val="0"/>
              <w:spacing w:before="0" w:after="0" w:afterAutospacing="0"/>
              <w:ind w:left="0" w:right="0" w:firstLine="420" w:firstLineChars="200"/>
              <w:rPr>
                <w:rFonts w:ascii="宋体" w:hAnsi="宋体"/>
                <w:color w:val="auto"/>
                <w:kern w:val="2"/>
                <w:highlight w:val="none"/>
              </w:rPr>
            </w:pPr>
          </w:p>
        </w:tc>
        <w:tc>
          <w:tcPr>
            <w:tcW w:w="2977"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80</w:t>
            </w:r>
          </w:p>
        </w:tc>
        <w:tc>
          <w:tcPr>
            <w:tcW w:w="1129" w:type="dxa"/>
            <w:vAlign w:val="center"/>
          </w:tcPr>
          <w:p>
            <w:pPr>
              <w:widowControl w:val="0"/>
              <w:spacing w:before="0" w:after="0" w:afterAutospacing="0"/>
              <w:ind w:left="0" w:right="0" w:firstLine="420" w:firstLineChars="200"/>
              <w:jc w:val="center"/>
              <w:rPr>
                <w:rFonts w:ascii="宋体" w:hAnsi="宋体"/>
                <w:color w:val="auto"/>
                <w:kern w:val="2"/>
                <w:highlight w:val="none"/>
              </w:rPr>
            </w:pPr>
          </w:p>
        </w:tc>
        <w:tc>
          <w:tcPr>
            <w:tcW w:w="708" w:type="dxa"/>
          </w:tcPr>
          <w:p>
            <w:pPr>
              <w:widowControl w:val="0"/>
              <w:spacing w:before="0" w:after="0" w:afterAutospacing="0"/>
              <w:ind w:left="0" w:right="0" w:firstLine="420" w:firstLineChars="200"/>
              <w:rPr>
                <w:rFonts w:ascii="宋体" w:hAnsi="宋体"/>
                <w:color w:val="auto"/>
                <w:kern w:val="2"/>
                <w:highlight w:val="none"/>
              </w:rPr>
            </w:pPr>
          </w:p>
        </w:tc>
      </w:tr>
    </w:tbl>
    <w:p>
      <w:pPr>
        <w:widowControl w:val="0"/>
        <w:spacing w:before="0" w:after="0" w:afterAutospacing="0"/>
        <w:ind w:left="0" w:right="0" w:firstLine="0"/>
        <w:rPr>
          <w:rFonts w:ascii="Calibri" w:hAnsi="宋体"/>
          <w:bCs/>
          <w:color w:val="auto"/>
          <w:kern w:val="2"/>
          <w:highlight w:val="none"/>
        </w:rPr>
        <w:sectPr>
          <w:headerReference r:id="rId18" w:type="default"/>
          <w:footerReference r:id="rId19"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docGrid w:type="lines" w:linePitch="319" w:charSpace="0"/>
        </w:sectPr>
      </w:pPr>
      <w:r>
        <w:rPr>
          <w:rFonts w:hint="eastAsia" w:ascii="Calibri" w:hAnsi="宋体"/>
          <w:bCs/>
          <w:color w:val="auto"/>
          <w:kern w:val="2"/>
          <w:highlight w:val="none"/>
        </w:rPr>
        <w:t>注：比选报价如有修正，需填写附表《比选报价修正表》并由比选人代表签字确认。</w:t>
      </w:r>
    </w:p>
    <w:p>
      <w:pPr>
        <w:rPr>
          <w:rFonts w:ascii="Calibri" w:hAnsi="宋体"/>
          <w:bCs/>
          <w:color w:val="auto"/>
          <w:kern w:val="2"/>
          <w:highlight w:val="none"/>
        </w:rPr>
      </w:pPr>
    </w:p>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Pr>
        <w:pStyle w:val="4"/>
        <w:spacing w:after="0" w:line="360" w:lineRule="auto"/>
        <w:ind w:right="-57" w:firstLine="0"/>
        <w:rPr>
          <w:b w:val="0"/>
          <w:color w:val="auto"/>
          <w:highlight w:val="none"/>
        </w:rPr>
      </w:pPr>
      <w:bookmarkStart w:id="2020" w:name="_Toc6960"/>
      <w:bookmarkStart w:id="2021" w:name="_Toc9220"/>
      <w:bookmarkStart w:id="2022" w:name="_Toc32287"/>
      <w:bookmarkStart w:id="2023" w:name="_Toc1145"/>
      <w:bookmarkStart w:id="2024" w:name="_Toc10654"/>
      <w:bookmarkStart w:id="2025" w:name="_Toc10414"/>
      <w:bookmarkStart w:id="2026" w:name="_Toc10322"/>
      <w:bookmarkStart w:id="2027" w:name="_Toc11048"/>
      <w:bookmarkStart w:id="2028" w:name="_Toc27431"/>
      <w:bookmarkStart w:id="2029" w:name="_Toc22594"/>
      <w:bookmarkStart w:id="2030" w:name="_Toc21541"/>
      <w:bookmarkStart w:id="2031" w:name="_Toc20211"/>
      <w:bookmarkStart w:id="2032" w:name="_Toc3510_WPSOffice_Level1"/>
      <w:bookmarkStart w:id="2033" w:name="_Toc9464"/>
      <w:bookmarkStart w:id="2034" w:name="_Toc14445"/>
      <w:bookmarkStart w:id="2035" w:name="_Toc10014"/>
      <w:bookmarkStart w:id="2036" w:name="_Toc4223"/>
      <w:bookmarkStart w:id="2037" w:name="_Toc24793"/>
      <w:bookmarkStart w:id="2038" w:name="_Toc7827_WPSOffice_Level1"/>
      <w:bookmarkStart w:id="2039" w:name="_Toc27679_WPSOffice_Level1"/>
      <w:bookmarkStart w:id="2040" w:name="_Toc15799_WPSOffice_Level1"/>
      <w:bookmarkStart w:id="2041" w:name="_Toc17992"/>
      <w:bookmarkStart w:id="2042" w:name="_Toc8803"/>
      <w:bookmarkStart w:id="2043" w:name="_Toc11134_WPSOffice_Level1"/>
      <w:bookmarkStart w:id="2044" w:name="_Toc22896"/>
      <w:bookmarkStart w:id="2045" w:name="_Toc7701"/>
      <w:bookmarkStart w:id="2046" w:name="_Toc414290588"/>
      <w:bookmarkStart w:id="2047" w:name="_Toc32127"/>
      <w:bookmarkStart w:id="2048" w:name="_Toc492478858"/>
      <w:bookmarkStart w:id="2049" w:name="_Toc1480"/>
      <w:bookmarkStart w:id="2050" w:name="_Toc6932"/>
      <w:bookmarkStart w:id="2051" w:name="_Toc21194"/>
      <w:bookmarkStart w:id="2052" w:name="_Toc15706"/>
      <w:bookmarkStart w:id="2053" w:name="_Toc9428"/>
      <w:bookmarkStart w:id="2054" w:name="_Toc32725"/>
      <w:r>
        <w:rPr>
          <w:rFonts w:hint="eastAsia"/>
          <w:color w:val="auto"/>
          <w:sz w:val="21"/>
          <w:szCs w:val="21"/>
          <w:highlight w:val="none"/>
        </w:rPr>
        <w:t>附表五比选申请价格评审表</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spacing w:before="159"/>
        <w:ind w:right="-57" w:firstLine="0"/>
        <w:jc w:val="center"/>
        <w:rPr>
          <w:rFonts w:ascii="宋体" w:hAnsi="宋体"/>
          <w:b/>
          <w:color w:val="auto"/>
          <w:sz w:val="28"/>
          <w:szCs w:val="28"/>
          <w:highlight w:val="none"/>
        </w:rPr>
      </w:pPr>
      <w:bookmarkStart w:id="2055" w:name="_Toc15251_WPSOffice_Level2"/>
      <w:bookmarkStart w:id="2056" w:name="_Toc29563_WPSOffice_Level2"/>
      <w:bookmarkStart w:id="2057" w:name="_Toc3087_WPSOffice_Level2"/>
      <w:bookmarkStart w:id="2058" w:name="_Toc28821_WPSOffice_Level1"/>
      <w:r>
        <w:rPr>
          <w:rFonts w:hint="eastAsia" w:ascii="宋体" w:hAnsi="宋体"/>
          <w:b/>
          <w:color w:val="auto"/>
          <w:sz w:val="28"/>
          <w:szCs w:val="28"/>
          <w:highlight w:val="none"/>
        </w:rPr>
        <w:t>比选申请价格评审表</w:t>
      </w:r>
      <w:bookmarkEnd w:id="2055"/>
      <w:bookmarkEnd w:id="2056"/>
      <w:bookmarkEnd w:id="2057"/>
      <w:bookmarkEnd w:id="2058"/>
    </w:p>
    <w:tbl>
      <w:tblPr>
        <w:tblStyle w:val="31"/>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2.若修正后的总价与投标报价不相等，则评标总价和中标价均以修正后的总价为准，如比选申请人不接受按以上规则确定的评标总价和中标价，则其投标将被拒绝。</w:t>
      </w:r>
    </w:p>
    <w:p>
      <w:pPr>
        <w:spacing w:before="159"/>
        <w:ind w:right="-57" w:firstLine="0"/>
        <w:jc w:val="center"/>
        <w:rPr>
          <w:rFonts w:ascii="宋体" w:hAnsi="宋体"/>
          <w:b/>
          <w:color w:val="auto"/>
          <w:sz w:val="28"/>
          <w:szCs w:val="28"/>
          <w:highlight w:val="none"/>
        </w:rPr>
      </w:pPr>
      <w:bookmarkStart w:id="2059" w:name="_Toc28898_WPSOffice_Level1"/>
      <w:bookmarkStart w:id="2060" w:name="_Toc2108_WPSOffice_Level2"/>
      <w:bookmarkStart w:id="2061" w:name="_Toc2608_WPSOffice_Level2"/>
      <w:bookmarkStart w:id="2062" w:name="_Toc8857_WPSOffice_Level2"/>
      <w:r>
        <w:rPr>
          <w:rFonts w:hint="eastAsia" w:ascii="宋体" w:hAnsi="宋体"/>
          <w:b/>
          <w:color w:val="auto"/>
          <w:sz w:val="28"/>
          <w:szCs w:val="28"/>
          <w:highlight w:val="none"/>
        </w:rPr>
        <w:t>附表六：比选申请报价修正表</w:t>
      </w:r>
      <w:bookmarkEnd w:id="2059"/>
      <w:bookmarkEnd w:id="2060"/>
      <w:bookmarkEnd w:id="2061"/>
      <w:bookmarkEnd w:id="2062"/>
    </w:p>
    <w:tbl>
      <w:tblPr>
        <w:tblStyle w:val="31"/>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color w:val="auto"/>
                <w:sz w:val="24"/>
                <w:szCs w:val="24"/>
                <w:highlight w:val="none"/>
              </w:rPr>
            </w:pPr>
            <w:r>
              <w:rPr>
                <w:rFonts w:hint="eastAsia" w:ascii="宋体" w:hAnsi="宋体"/>
                <w:b/>
                <w:color w:val="auto"/>
                <w:sz w:val="24"/>
                <w:szCs w:val="24"/>
                <w:highlight w:val="none"/>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hint="eastAsia" w:ascii="宋体" w:hAnsi="宋体"/>
          <w:color w:val="auto"/>
          <w:highlight w:val="none"/>
        </w:rPr>
        <w:sectPr>
          <w:headerReference r:id="rId20" w:type="default"/>
          <w:footerReference r:id="rId21" w:type="default"/>
          <w:pgSz w:w="16838" w:h="11905" w:orient="landscape"/>
          <w:pgMar w:top="1803" w:right="1440" w:bottom="1803" w:left="1440" w:header="850" w:footer="992" w:gutter="0"/>
          <w:pgBorders>
            <w:top w:val="none" w:sz="0" w:space="0"/>
            <w:left w:val="none" w:sz="0" w:space="0"/>
            <w:bottom w:val="none" w:sz="0" w:space="0"/>
            <w:right w:val="none" w:sz="0" w:space="0"/>
          </w:pgBorders>
          <w:pgNumType w:fmt="decimal"/>
          <w:cols w:space="0" w:num="1"/>
          <w:docGrid w:type="lines" w:linePitch="319" w:charSpace="0"/>
        </w:sectPr>
      </w:pPr>
      <w:r>
        <w:rPr>
          <w:rFonts w:hint="eastAsia" w:ascii="宋体" w:hAnsi="宋体"/>
          <w:color w:val="auto"/>
          <w:highlight w:val="none"/>
        </w:rPr>
        <w:t>注：若修正后的总价与投标报价不相等，则评标总价和中标价均以修正后的总价为准，如比选申请人不接受按以上规则确定的评标总价和中标价，则其投标将被拒绝。</w:t>
      </w:r>
    </w:p>
    <w:p>
      <w:pPr>
        <w:pStyle w:val="2"/>
        <w:pageBreakBefore/>
        <w:ind w:right="-57"/>
        <w:jc w:val="center"/>
        <w:outlineLvl w:val="0"/>
        <w:rPr>
          <w:rStyle w:val="45"/>
          <w:rFonts w:hint="eastAsia" w:ascii="宋体" w:hAnsi="宋体" w:eastAsia="宋体" w:cs="Times New Roman"/>
          <w:color w:val="auto"/>
          <w:highlight w:val="none"/>
        </w:rPr>
      </w:pPr>
      <w:bookmarkStart w:id="2063" w:name="_Toc1223"/>
      <w:bookmarkStart w:id="2064" w:name="_Toc13285"/>
      <w:r>
        <w:rPr>
          <w:rStyle w:val="45"/>
          <w:rFonts w:hint="eastAsia" w:ascii="宋体" w:hAnsi="宋体" w:eastAsia="宋体" w:cs="Times New Roman"/>
          <w:color w:val="auto"/>
          <w:highlight w:val="none"/>
        </w:rPr>
        <w:t>第</w:t>
      </w:r>
      <w:r>
        <w:rPr>
          <w:rStyle w:val="45"/>
          <w:rFonts w:hint="eastAsia" w:ascii="宋体" w:hAnsi="宋体" w:eastAsia="宋体" w:cs="Times New Roman"/>
          <w:color w:val="auto"/>
          <w:highlight w:val="none"/>
          <w:lang w:val="en-US" w:eastAsia="zh-CN"/>
        </w:rPr>
        <w:t>七</w:t>
      </w:r>
      <w:r>
        <w:rPr>
          <w:rStyle w:val="45"/>
          <w:rFonts w:hint="eastAsia" w:ascii="宋体" w:hAnsi="宋体" w:eastAsia="宋体" w:cs="Times New Roman"/>
          <w:color w:val="auto"/>
          <w:highlight w:val="none"/>
        </w:rPr>
        <w:t>章</w:t>
      </w:r>
      <w:r>
        <w:rPr>
          <w:rStyle w:val="45"/>
          <w:rFonts w:hint="eastAsia" w:ascii="宋体" w:hAnsi="宋体" w:eastAsia="宋体" w:cs="Times New Roman"/>
          <w:color w:val="auto"/>
          <w:highlight w:val="none"/>
          <w:lang w:val="en-US" w:eastAsia="zh-CN"/>
        </w:rPr>
        <w:t xml:space="preserve"> 比选控制价</w:t>
      </w:r>
      <w:bookmarkEnd w:id="2063"/>
      <w:bookmarkEnd w:id="2064"/>
    </w:p>
    <w:p>
      <w:pPr>
        <w:widowControl w:val="0"/>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本项目不含增值税</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控制价为人民币</w:t>
      </w:r>
      <w:r>
        <w:rPr>
          <w:rFonts w:hint="eastAsia" w:ascii="宋体" w:hAnsi="宋体" w:cs="宋体"/>
          <w:color w:val="auto"/>
          <w:highlight w:val="none"/>
          <w:lang w:val="en-US" w:eastAsia="zh-CN"/>
        </w:rPr>
        <w:t>肆拾肆万贰仟元整</w:t>
      </w:r>
      <w:r>
        <w:rPr>
          <w:rFonts w:hint="eastAsia" w:ascii="宋体" w:hAnsi="宋体" w:eastAsia="宋体" w:cs="宋体"/>
          <w:color w:val="auto"/>
          <w:highlight w:val="none"/>
        </w:rPr>
        <w:t>（¥</w:t>
      </w:r>
      <w:r>
        <w:rPr>
          <w:rFonts w:hint="eastAsia" w:ascii="宋体" w:hAnsi="宋体" w:cs="宋体"/>
          <w:color w:val="auto"/>
          <w:highlight w:val="none"/>
          <w:lang w:val="en-US" w:eastAsia="zh-CN"/>
        </w:rPr>
        <w:t>442000.00</w:t>
      </w:r>
      <w:r>
        <w:rPr>
          <w:rFonts w:hint="eastAsia" w:ascii="宋体" w:hAnsi="宋体" w:eastAsia="宋体" w:cs="宋体"/>
          <w:color w:val="auto"/>
          <w:highlight w:val="none"/>
        </w:rPr>
        <w:t>元），</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总报价高于</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控制价的</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文件将按否决</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处理。本项目对</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第四章比选申请文件格式</w:t>
      </w:r>
      <w:r>
        <w:rPr>
          <w:rFonts w:hint="eastAsia" w:ascii="宋体" w:hAnsi="宋体" w:eastAsia="宋体" w:cs="宋体"/>
          <w:color w:val="auto"/>
          <w:highlight w:val="none"/>
          <w:lang w:val="en-US" w:eastAsia="zh-CN"/>
        </w:rPr>
        <w:t xml:space="preserve"> B3比选申请报价表格式 比选申请报价表 </w:t>
      </w:r>
      <w:r>
        <w:rPr>
          <w:rFonts w:hint="eastAsia" w:ascii="宋体" w:hAnsi="宋体" w:eastAsia="宋体" w:cs="宋体"/>
          <w:color w:val="auto"/>
          <w:highlight w:val="none"/>
        </w:rPr>
        <w:t>标注中带“△”的</w:t>
      </w:r>
      <w:r>
        <w:rPr>
          <w:rFonts w:hint="eastAsia" w:ascii="宋体" w:hAnsi="宋体" w:eastAsia="宋体" w:cs="宋体"/>
          <w:color w:val="auto"/>
          <w:highlight w:val="none"/>
          <w:lang w:val="en-US" w:eastAsia="zh-CN"/>
        </w:rPr>
        <w:t>故障件</w:t>
      </w:r>
      <w:r>
        <w:rPr>
          <w:rFonts w:hint="eastAsia" w:ascii="宋体" w:hAnsi="宋体" w:eastAsia="宋体" w:cs="宋体"/>
          <w:color w:val="auto"/>
          <w:highlight w:val="none"/>
        </w:rPr>
        <w:t>设置</w:t>
      </w:r>
      <w:r>
        <w:rPr>
          <w:rFonts w:hint="eastAsia" w:ascii="宋体" w:hAnsi="宋体" w:eastAsia="宋体" w:cs="宋体"/>
          <w:color w:val="auto"/>
          <w:highlight w:val="none"/>
          <w:lang w:val="en-US" w:eastAsia="zh-CN"/>
        </w:rPr>
        <w:t>比选</w:t>
      </w:r>
      <w:r>
        <w:rPr>
          <w:rFonts w:hint="eastAsia" w:ascii="宋体" w:hAnsi="宋体" w:eastAsia="宋体" w:cs="宋体"/>
          <w:color w:val="auto"/>
          <w:highlight w:val="none"/>
        </w:rPr>
        <w:t>控制单价。比选申请人对带“△”</w:t>
      </w:r>
      <w:r>
        <w:rPr>
          <w:rFonts w:hint="eastAsia" w:ascii="宋体" w:hAnsi="宋体" w:eastAsia="宋体" w:cs="宋体"/>
          <w:color w:val="auto"/>
          <w:highlight w:val="none"/>
          <w:lang w:val="en-US" w:eastAsia="zh-CN"/>
        </w:rPr>
        <w:t>故障件</w:t>
      </w:r>
      <w:r>
        <w:rPr>
          <w:rFonts w:hint="eastAsia" w:ascii="宋体" w:hAnsi="宋体" w:eastAsia="宋体" w:cs="宋体"/>
          <w:color w:val="auto"/>
          <w:highlight w:val="none"/>
        </w:rPr>
        <w:t>的比选申请报价每一项都不得超过下表内相应的不含增值税控制价单价，否则将按否决</w:t>
      </w:r>
      <w:r>
        <w:rPr>
          <w:rFonts w:hint="eastAsia" w:ascii="宋体" w:hAnsi="宋体" w:cs="宋体"/>
          <w:color w:val="auto"/>
          <w:highlight w:val="none"/>
          <w:lang w:eastAsia="zh-CN"/>
        </w:rPr>
        <w:t>比选</w:t>
      </w:r>
      <w:r>
        <w:rPr>
          <w:rFonts w:hint="eastAsia" w:ascii="宋体" w:hAnsi="宋体" w:eastAsia="宋体" w:cs="宋体"/>
          <w:color w:val="auto"/>
          <w:highlight w:val="none"/>
        </w:rPr>
        <w:t>处理。</w:t>
      </w:r>
    </w:p>
    <w:p>
      <w:pPr>
        <w:widowControl w:val="0"/>
        <w:spacing w:before="0" w:after="0" w:afterAutospacing="0"/>
        <w:ind w:left="0" w:right="0" w:firstLine="420" w:firstLineChars="200"/>
        <w:jc w:val="center"/>
        <w:outlineLvl w:val="0"/>
        <w:rPr>
          <w:rFonts w:hint="eastAsia" w:ascii="宋体" w:hAnsi="宋体" w:eastAsia="宋体" w:cs="宋体"/>
          <w:color w:val="auto"/>
          <w:highlight w:val="none"/>
          <w:lang w:eastAsia="zh-CN"/>
        </w:rPr>
      </w:pPr>
      <w:r>
        <w:rPr>
          <w:rFonts w:hint="eastAsia" w:ascii="宋体" w:hAnsi="宋体" w:cs="宋体"/>
          <w:color w:val="auto"/>
          <w:highlight w:val="none"/>
          <w:lang w:eastAsia="zh-CN"/>
        </w:rPr>
        <w:t>比选上限控制价单价一览表</w:t>
      </w:r>
    </w:p>
    <w:tbl>
      <w:tblPr>
        <w:tblStyle w:val="31"/>
        <w:tblW w:w="11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324"/>
        <w:gridCol w:w="850"/>
        <w:gridCol w:w="1701"/>
        <w:gridCol w:w="1984"/>
        <w:gridCol w:w="113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020"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序号</w:t>
            </w:r>
          </w:p>
        </w:tc>
        <w:tc>
          <w:tcPr>
            <w:tcW w:w="2324" w:type="dxa"/>
            <w:tcBorders>
              <w:tl2br w:val="nil"/>
              <w:tr2bl w:val="nil"/>
            </w:tcBorders>
            <w:shd w:val="clear" w:color="000000" w:fill="F2F2F2"/>
            <w:vAlign w:val="center"/>
          </w:tcPr>
          <w:p>
            <w:pPr>
              <w:spacing w:line="240" w:lineRule="auto"/>
              <w:ind w:left="0" w:firstLine="0"/>
              <w:jc w:val="center"/>
              <w:rPr>
                <w:rFonts w:ascii="宋体" w:hAnsi="宋体"/>
                <w:color w:val="auto"/>
                <w:highlight w:val="none"/>
              </w:rPr>
            </w:pPr>
            <w:r>
              <w:rPr>
                <w:rFonts w:hint="eastAsia" w:ascii="宋体" w:hAnsi="宋体"/>
                <w:color w:val="auto"/>
                <w:highlight w:val="none"/>
              </w:rPr>
              <w:t>名称</w:t>
            </w:r>
          </w:p>
        </w:tc>
        <w:tc>
          <w:tcPr>
            <w:tcW w:w="850"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标注</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品牌或厂家</w:t>
            </w:r>
          </w:p>
        </w:tc>
        <w:tc>
          <w:tcPr>
            <w:tcW w:w="1984"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规格型号</w:t>
            </w:r>
          </w:p>
        </w:tc>
        <w:tc>
          <w:tcPr>
            <w:tcW w:w="1134"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单位</w:t>
            </w:r>
          </w:p>
        </w:tc>
        <w:tc>
          <w:tcPr>
            <w:tcW w:w="1134"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数量</w:t>
            </w:r>
          </w:p>
        </w:tc>
        <w:tc>
          <w:tcPr>
            <w:tcW w:w="1701" w:type="dxa"/>
            <w:tcBorders>
              <w:tl2br w:val="nil"/>
              <w:tr2bl w:val="nil"/>
            </w:tcBorders>
            <w:shd w:val="clear" w:color="000000" w:fill="F2F2F2"/>
            <w:vAlign w:val="center"/>
          </w:tcPr>
          <w:p>
            <w:pPr>
              <w:spacing w:line="240" w:lineRule="auto"/>
              <w:ind w:left="0" w:firstLine="0"/>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不含增值税</w:t>
            </w:r>
            <w:r>
              <w:rPr>
                <w:rFonts w:hint="eastAsia" w:ascii="宋体" w:hAnsi="宋体" w:eastAsia="宋体" w:cs="Times New Roman"/>
                <w:color w:val="auto"/>
                <w:highlight w:val="none"/>
                <w:lang w:eastAsia="zh-CN"/>
              </w:rPr>
              <w:t>控制价</w:t>
            </w:r>
            <w:r>
              <w:rPr>
                <w:rFonts w:hint="eastAsia" w:ascii="宋体" w:hAnsi="宋体" w:eastAsia="宋体" w:cs="Times New Roman"/>
                <w:color w:val="auto"/>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H3C WX5540E 无线控制器主机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华三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EWP-WX5540E</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4250.00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OPS光接收模块</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EL-LK-H-R</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1890.00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司机室车载服务器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EL-TMC-E02</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电源时序控制器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英龙华通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EL-PWC</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GISB</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64路POTS用户板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PTWVN</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广播控制主机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霍尼韦尔</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HN-CP500</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网络控制器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HID</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V1000P</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RS422扩展箱</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烟台持久</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CJ-EBS-32</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950.00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网络视频存储设备主控板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霍尼韦尔</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HUS-IPS-6100D</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7550.00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视频分析管理服务器主板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 xml:space="preserve"> HP </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DL380-主板</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视频分析管理服务器网卡</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 xml:space="preserve"> HP </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DL380-网卡</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电源模块</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东莞毓华电子科技有限公司</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GPR700-12A</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F型交叉时钟板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CSF</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内嵌RPR交换处理板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中兴通讯</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RSEB</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主控交叉时钟盘（含交换、主控、时钟）</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烽火</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CXC5B</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BITS网络同步设备</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烟台持久</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CJ-BITS-SERVER</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数字中继板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4DTU</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时隙交换板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MXU</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网络交换板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远东通信</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EXU</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模拟用户板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河北远东</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ALUR</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电源板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易事特</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EA89II-80K</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辅助电源板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易事特</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EA89Ⅱ-45K</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基站PSU电源备件</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WAPN4335</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基站控制器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GMCN4737A</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光复用器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邮通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YT-0MUX02</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7600.00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车载台主机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海能达</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CZT 812-A-2</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5700.00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虚拟专用网络路由器VPN</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ProSAEE</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SRX5308</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核心路由器CG（E）\ER</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S6000</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核心交换机CLANS</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惠普</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2620-48</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广域网协同路由器CWR</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GLN1172G</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MUX多路复用器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DXC</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DXC-30</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基站收发信机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摩托罗拉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GMTF4695A</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IPN服务器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SR250</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4800.00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数据库服务器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x3250 M6</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三层交换机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新华三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S7503E-M</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5200.00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应用三层交换机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新华三</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S5130S-52S-HI</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ATCA 计算板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研华</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 xml:space="preserve">MIC-5345/4G/128GSSD </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调度服务器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SR650</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5700.00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核心交换机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S5560-54C-EI</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二次开发交换机</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S5130S-52P-EI</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纸币找零单元主控板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CDM6240-ZKB001</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高见泽</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3PCB100030A-01-10</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纸币识别单元主板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982262001P1</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发行单元主控板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中软</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YT7.820.0866</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硬币识别器</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CAS-006D</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单程票回收机构主控板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CAS-006F</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硬币单元循环找零Hopper</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PSU-3201A</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硬币模块控制板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广电运通</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YT2.480.0603</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SC服务器主板</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X3650M5</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20"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232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SC服务器网卡</w:t>
            </w:r>
          </w:p>
        </w:tc>
        <w:tc>
          <w:tcPr>
            <w:tcW w:w="850" w:type="dxa"/>
            <w:tcBorders>
              <w:tl2br w:val="nil"/>
              <w:tr2bl w:val="nil"/>
            </w:tcBorders>
            <w:vAlign w:val="center"/>
          </w:tcPr>
          <w:p>
            <w:pPr>
              <w:ind w:left="709" w:leftChars="0" w:right="-27" w:rightChars="0" w:hanging="709" w:firstLineChars="0"/>
              <w:jc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highlight w:val="none"/>
              </w:rPr>
              <w:t>△</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联想</w:t>
            </w:r>
          </w:p>
        </w:tc>
        <w:tc>
          <w:tcPr>
            <w:tcW w:w="1984" w:type="dxa"/>
            <w:tcBorders>
              <w:tl2br w:val="nil"/>
              <w:tr2bl w:val="nil"/>
            </w:tcBorders>
            <w:vAlign w:val="center"/>
          </w:tcPr>
          <w:p>
            <w:pPr>
              <w:keepNext w:val="0"/>
              <w:keepLines w:val="0"/>
              <w:widowControl/>
              <w:suppressLineNumbers w:val="0"/>
              <w:ind w:left="709" w:leftChars="0" w:right="-27" w:rightChars="0" w:hanging="709" w:firstLineChars="0"/>
              <w:jc w:val="left"/>
              <w:textAlignment w:val="center"/>
              <w:rPr>
                <w:rFonts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X3650M5</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1134"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701" w:type="dxa"/>
            <w:tcBorders>
              <w:tl2br w:val="nil"/>
              <w:tr2bl w:val="nil"/>
            </w:tcBorders>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Times New Roman"/>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 xml:space="preserve">1000.00 </w:t>
            </w:r>
          </w:p>
        </w:tc>
      </w:tr>
    </w:tbl>
    <w:p>
      <w:pPr>
        <w:rPr>
          <w:color w:val="auto"/>
          <w:highlight w:val="none"/>
        </w:rPr>
      </w:pPr>
    </w:p>
    <w:sectPr>
      <w:pgSz w:w="16838" w:h="11905" w:orient="landscape"/>
      <w:pgMar w:top="1803" w:right="1440" w:bottom="1803" w:left="1440" w:header="850" w:footer="992" w:gutter="0"/>
      <w:pgBorders>
        <w:top w:val="none" w:sz="0" w:space="0"/>
        <w:left w:val="none" w:sz="0" w:space="0"/>
        <w:bottom w:val="none" w:sz="0" w:space="0"/>
        <w:right w:val="none" w:sz="0" w:space="0"/>
      </w:pgBorders>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_x0000_s1047" o:spid="_x0000_s104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102</w:t>
                </w:r>
                <w:r>
                  <w:fldChar w:fldCharType="end"/>
                </w:r>
                <w:r>
                  <w:t xml:space="preserve"> 页 共 </w:t>
                </w:r>
                <w:r>
                  <w:rPr>
                    <w:rFonts w:hint="eastAsia"/>
                    <w:lang w:val="en-US" w:eastAsia="zh-CN"/>
                  </w:rPr>
                  <w:t>110</w:t>
                </w:r>
                <w:r>
                  <w:t xml:space="preserve"> 页</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_x0000_s1048" o:spid="_x0000_s104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104</w:t>
                </w:r>
                <w:r>
                  <w:fldChar w:fldCharType="end"/>
                </w:r>
                <w:r>
                  <w:t xml:space="preserve"> 页 共 </w:t>
                </w:r>
                <w:r>
                  <w:rPr>
                    <w:rFonts w:hint="eastAsia"/>
                    <w:lang w:val="en-US" w:eastAsia="zh-CN"/>
                  </w:rPr>
                  <w:t>110</w:t>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sdt>
                <w:sdtPr>
                  <w:id w:val="-1078750833"/>
                </w:sdtPr>
                <w:sdtContent>
                  <w:p>
                    <w:pPr>
                      <w:pStyle w:val="18"/>
                      <w:jc w:val="center"/>
                    </w:pPr>
                  </w:p>
                </w:sdtContent>
              </w:sdt>
              <w:p/>
            </w:txbxContent>
          </v:textbox>
        </v:shape>
      </w:pict>
    </w:r>
  </w:p>
  <w:p>
    <w:pPr>
      <w:pStyle w:val="19"/>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1054" o:spid="_x0000_s1054"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110</w:t>
                </w:r>
                <w:r>
                  <w:t xml:space="preserve"> 页</w:t>
                </w:r>
              </w:p>
            </w:txbxContent>
          </v:textbox>
        </v:shape>
      </w:pict>
    </w:r>
    <w:r>
      <w:pict>
        <v:shape id="_x0000_s1055" o:spid="_x0000_s1055"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sdt>
                <w:sdtPr>
                  <w:id w:val="-1078750833"/>
                </w:sdtPr>
                <w:sdtContent>
                  <w:p>
                    <w:pPr>
                      <w:pStyle w:val="18"/>
                      <w:jc w:val="center"/>
                    </w:pPr>
                  </w:p>
                </w:sdtContent>
              </w:sdt>
              <w:p/>
            </w:txbxContent>
          </v:textbox>
        </v:shape>
      </w:pict>
    </w:r>
  </w:p>
  <w:p>
    <w:pPr>
      <w:pStyle w:val="19"/>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w:pict>
        <v:shape id="_x0000_s1053" o:spid="_x0000_s105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75</w:t>
                </w:r>
                <w:r>
                  <w:fldChar w:fldCharType="end"/>
                </w:r>
                <w:r>
                  <w:t xml:space="preserve"> 页 共 </w:t>
                </w:r>
                <w:r>
                  <w:rPr>
                    <w:rFonts w:hint="eastAsia"/>
                    <w:lang w:val="en-US" w:eastAsia="zh-CN"/>
                  </w:rPr>
                  <w:t>110</w:t>
                </w:r>
                <w:r>
                  <w:t xml:space="preserve"> 页</w:t>
                </w:r>
              </w:p>
            </w:txbxContent>
          </v:textbox>
        </v:shape>
      </w:pict>
    </w:r>
    <w:r>
      <w:rPr>
        <w:rFonts w:ascii="Times New Roman" w:hAnsi="Times New Roman" w:eastAsia="宋体" w:cs="Times New Roman"/>
        <w:kern w:val="2"/>
        <w:sz w:val="18"/>
        <w:szCs w:val="18"/>
        <w:lang w:val="en-US" w:eastAsia="zh-CN" w:bidi="ar-SA"/>
      </w:rPr>
      <w:pict>
        <v:shape id="_x0000_s1040" o:spid="_x0000_s104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pict>
        <v:shape id="_x0000_s1049" o:spid="_x0000_s1049"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cs="Times New Roman"/>
                    <w:kern w:val="2"/>
                    <w:sz w:val="18"/>
                    <w:szCs w:val="18"/>
                    <w:lang w:val="en-US" w:eastAsia="zh-CN" w:bidi="ar-SA"/>
                  </w:rPr>
                  <w:t xml:space="preserve">第 </w:t>
                </w:r>
                <w:r>
                  <w:rPr>
                    <w:rFonts w:cs="Times New Roman"/>
                    <w:kern w:val="2"/>
                    <w:sz w:val="18"/>
                    <w:szCs w:val="18"/>
                    <w:lang w:val="en-US" w:eastAsia="zh-CN" w:bidi="ar-SA"/>
                  </w:rPr>
                  <w:fldChar w:fldCharType="begin"/>
                </w:r>
                <w:r>
                  <w:rPr>
                    <w:rFonts w:cs="Times New Roman"/>
                    <w:kern w:val="2"/>
                    <w:sz w:val="18"/>
                    <w:szCs w:val="18"/>
                    <w:lang w:val="en-US" w:eastAsia="zh-CN" w:bidi="ar-SA"/>
                  </w:rPr>
                  <w:instrText xml:space="preserve"> PAGE  \* MERGEFORMAT </w:instrText>
                </w:r>
                <w:r>
                  <w:rPr>
                    <w:rFonts w:cs="Times New Roman"/>
                    <w:kern w:val="2"/>
                    <w:sz w:val="18"/>
                    <w:szCs w:val="18"/>
                    <w:lang w:val="en-US" w:eastAsia="zh-CN" w:bidi="ar-SA"/>
                  </w:rPr>
                  <w:fldChar w:fldCharType="separate"/>
                </w:r>
                <w:r>
                  <w:rPr>
                    <w:rFonts w:cs="Times New Roman"/>
                    <w:kern w:val="2"/>
                    <w:sz w:val="18"/>
                    <w:szCs w:val="18"/>
                    <w:lang w:val="en-US" w:eastAsia="zh-CN" w:bidi="ar-SA"/>
                  </w:rPr>
                  <w:t>76</w:t>
                </w:r>
                <w:r>
                  <w:rPr>
                    <w:rFonts w:cs="Times New Roman"/>
                    <w:kern w:val="2"/>
                    <w:sz w:val="18"/>
                    <w:szCs w:val="18"/>
                    <w:lang w:val="en-US" w:eastAsia="zh-CN" w:bidi="ar-SA"/>
                  </w:rPr>
                  <w:fldChar w:fldCharType="end"/>
                </w:r>
                <w:r>
                  <w:rPr>
                    <w:rFonts w:cs="Times New Roman"/>
                    <w:kern w:val="2"/>
                    <w:sz w:val="18"/>
                    <w:szCs w:val="18"/>
                    <w:lang w:val="en-US" w:eastAsia="zh-CN" w:bidi="ar-SA"/>
                  </w:rPr>
                  <w:t xml:space="preserve"> 页 共 </w:t>
                </w:r>
                <w:r>
                  <w:rPr>
                    <w:rFonts w:cs="Times New Roman"/>
                    <w:kern w:val="2"/>
                    <w:sz w:val="18"/>
                    <w:szCs w:val="18"/>
                    <w:lang w:val="en-US" w:eastAsia="zh-CN" w:bidi="ar-SA"/>
                  </w:rPr>
                  <w:fldChar w:fldCharType="begin"/>
                </w:r>
                <w:r>
                  <w:rPr>
                    <w:rFonts w:cs="Times New Roman"/>
                    <w:kern w:val="2"/>
                    <w:sz w:val="18"/>
                    <w:szCs w:val="18"/>
                    <w:lang w:val="en-US" w:eastAsia="zh-CN" w:bidi="ar-SA"/>
                  </w:rPr>
                  <w:instrText xml:space="preserve"> NUMPAGES  \* MERGEFORMAT </w:instrText>
                </w:r>
                <w:r>
                  <w:rPr>
                    <w:rFonts w:cs="Times New Roman"/>
                    <w:kern w:val="2"/>
                    <w:sz w:val="18"/>
                    <w:szCs w:val="18"/>
                    <w:lang w:val="en-US" w:eastAsia="zh-CN" w:bidi="ar-SA"/>
                  </w:rPr>
                  <w:fldChar w:fldCharType="separate"/>
                </w:r>
                <w:r>
                  <w:rPr>
                    <w:rFonts w:cs="Times New Roman"/>
                    <w:kern w:val="2"/>
                    <w:sz w:val="18"/>
                    <w:szCs w:val="18"/>
                    <w:lang w:val="en-US" w:eastAsia="zh-CN" w:bidi="ar-SA"/>
                  </w:rPr>
                  <w:t>112</w:t>
                </w:r>
                <w:r>
                  <w:rPr>
                    <w:rFonts w:cs="Times New Roman"/>
                    <w:kern w:val="2"/>
                    <w:sz w:val="18"/>
                    <w:szCs w:val="18"/>
                    <w:lang w:val="en-US" w:eastAsia="zh-CN" w:bidi="ar-SA"/>
                  </w:rPr>
                  <w:fldChar w:fldCharType="end"/>
                </w:r>
                <w:r>
                  <w:rPr>
                    <w:rFonts w:cs="Times New Roman"/>
                    <w:kern w:val="2"/>
                    <w:sz w:val="18"/>
                    <w:szCs w:val="18"/>
                    <w:lang w:val="en-US" w:eastAsia="zh-CN" w:bidi="ar-SA"/>
                  </w:rPr>
                  <w:t xml:space="preserve"> 页</w:t>
                </w:r>
              </w:p>
            </w:txbxContent>
          </v:textbox>
        </v:shape>
      </w:pict>
    </w:r>
    <w:r>
      <w:rPr>
        <w:rFonts w:ascii="Times New Roman" w:hAnsi="Times New Roman" w:eastAsia="宋体" w:cs="Times New Roman"/>
        <w:kern w:val="2"/>
        <w:sz w:val="18"/>
        <w:szCs w:val="18"/>
        <w:lang w:val="en-US" w:eastAsia="zh-CN" w:bidi="ar-SA"/>
      </w:rPr>
      <w:pict>
        <v:shape id="_x0000_s1050" o:spid="_x0000_s105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pict>
        <v:shape id="文本框 7" o:spid="_x0000_s1041" o:spt="202" type="#_x0000_t202" style="position:absolute;left:0pt;margin-top:0pt;height:12.05pt;width:10.55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widowControl w:val="0"/>
                  <w:snapToGrid w:val="0"/>
                  <w:spacing w:before="0" w:after="0" w:afterAutospacing="0" w:line="240" w:lineRule="auto"/>
                  <w:ind w:left="0" w:right="0" w:firstLine="0"/>
                  <w:rPr>
                    <w:rFonts w:ascii="Times New Roman" w:hAnsi="Times New Roman" w:eastAsia="宋体" w:cs="Times New Roman"/>
                    <w:kern w:val="2"/>
                    <w:sz w:val="18"/>
                    <w:szCs w:val="24"/>
                  </w:rPr>
                </w:pPr>
                <w:r>
                  <w:rPr>
                    <w:rFonts w:cs="Times New Roman"/>
                    <w:kern w:val="2"/>
                    <w:sz w:val="18"/>
                    <w:szCs w:val="24"/>
                  </w:rPr>
                  <w:t xml:space="preserve">第 </w:t>
                </w:r>
                <w:r>
                  <w:rPr>
                    <w:rFonts w:cs="Times New Roman"/>
                    <w:kern w:val="2"/>
                    <w:sz w:val="18"/>
                    <w:szCs w:val="24"/>
                  </w:rPr>
                  <w:fldChar w:fldCharType="begin"/>
                </w:r>
                <w:r>
                  <w:rPr>
                    <w:rFonts w:cs="Times New Roman"/>
                    <w:kern w:val="2"/>
                    <w:sz w:val="18"/>
                    <w:szCs w:val="24"/>
                  </w:rPr>
                  <w:instrText xml:space="preserve"> PAGE  \* MERGEFORMAT </w:instrText>
                </w:r>
                <w:r>
                  <w:rPr>
                    <w:rFonts w:cs="Times New Roman"/>
                    <w:kern w:val="2"/>
                    <w:sz w:val="18"/>
                    <w:szCs w:val="24"/>
                  </w:rPr>
                  <w:fldChar w:fldCharType="separate"/>
                </w:r>
                <w:r>
                  <w:rPr>
                    <w:rFonts w:cs="Times New Roman"/>
                    <w:kern w:val="2"/>
                    <w:sz w:val="18"/>
                    <w:szCs w:val="24"/>
                  </w:rPr>
                  <w:t>77</w:t>
                </w:r>
                <w:r>
                  <w:rPr>
                    <w:rFonts w:cs="Times New Roman"/>
                    <w:kern w:val="2"/>
                    <w:sz w:val="18"/>
                    <w:szCs w:val="24"/>
                  </w:rPr>
                  <w:fldChar w:fldCharType="end"/>
                </w:r>
                <w:r>
                  <w:rPr>
                    <w:rFonts w:cs="Times New Roman"/>
                    <w:kern w:val="2"/>
                    <w:sz w:val="18"/>
                    <w:szCs w:val="24"/>
                  </w:rPr>
                  <w:t xml:space="preserve"> 页 共 </w:t>
                </w:r>
                <w:r>
                  <w:rPr>
                    <w:rFonts w:hint="eastAsia" w:cs="Times New Roman"/>
                    <w:kern w:val="2"/>
                    <w:sz w:val="18"/>
                    <w:szCs w:val="24"/>
                    <w:lang w:val="en-US" w:eastAsia="zh-CN"/>
                  </w:rPr>
                  <w:t>110</w:t>
                </w:r>
                <w:r>
                  <w:rPr>
                    <w:rFonts w:cs="Times New Roman"/>
                    <w:kern w:val="2"/>
                    <w:sz w:val="18"/>
                    <w:szCs w:val="24"/>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bidi w:val="0"/>
      <w:snapToGrid w:val="0"/>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pict>
        <v:shape id="_x0000_s1042" o:spid="_x0000_s104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cs="Times New Roman"/>
                    <w:kern w:val="2"/>
                    <w:sz w:val="18"/>
                    <w:szCs w:val="18"/>
                    <w:lang w:val="en-US" w:eastAsia="zh-CN" w:bidi="ar-SA"/>
                  </w:rPr>
                  <w:t xml:space="preserve">第 </w:t>
                </w:r>
                <w:r>
                  <w:rPr>
                    <w:rFonts w:cs="Times New Roman"/>
                    <w:kern w:val="2"/>
                    <w:sz w:val="18"/>
                    <w:szCs w:val="18"/>
                    <w:lang w:val="en-US" w:eastAsia="zh-CN" w:bidi="ar-SA"/>
                  </w:rPr>
                  <w:fldChar w:fldCharType="begin"/>
                </w:r>
                <w:r>
                  <w:rPr>
                    <w:rFonts w:cs="Times New Roman"/>
                    <w:kern w:val="2"/>
                    <w:sz w:val="18"/>
                    <w:szCs w:val="18"/>
                    <w:lang w:val="en-US" w:eastAsia="zh-CN" w:bidi="ar-SA"/>
                  </w:rPr>
                  <w:instrText xml:space="preserve"> PAGE  \* MERGEFORMAT </w:instrText>
                </w:r>
                <w:r>
                  <w:rPr>
                    <w:rFonts w:cs="Times New Roman"/>
                    <w:kern w:val="2"/>
                    <w:sz w:val="18"/>
                    <w:szCs w:val="18"/>
                    <w:lang w:val="en-US" w:eastAsia="zh-CN" w:bidi="ar-SA"/>
                  </w:rPr>
                  <w:fldChar w:fldCharType="separate"/>
                </w:r>
                <w:r>
                  <w:rPr>
                    <w:rFonts w:cs="Times New Roman"/>
                    <w:kern w:val="2"/>
                    <w:sz w:val="18"/>
                    <w:szCs w:val="18"/>
                    <w:lang w:val="en-US" w:eastAsia="zh-CN" w:bidi="ar-SA"/>
                  </w:rPr>
                  <w:t>81</w:t>
                </w:r>
                <w:r>
                  <w:rPr>
                    <w:rFonts w:cs="Times New Roman"/>
                    <w:kern w:val="2"/>
                    <w:sz w:val="18"/>
                    <w:szCs w:val="18"/>
                    <w:lang w:val="en-US" w:eastAsia="zh-CN" w:bidi="ar-SA"/>
                  </w:rPr>
                  <w:fldChar w:fldCharType="end"/>
                </w:r>
                <w:r>
                  <w:rPr>
                    <w:rFonts w:cs="Times New Roman"/>
                    <w:kern w:val="2"/>
                    <w:sz w:val="18"/>
                    <w:szCs w:val="18"/>
                    <w:lang w:val="en-US" w:eastAsia="zh-CN" w:bidi="ar-SA"/>
                  </w:rPr>
                  <w:t xml:space="preserve"> 页 共 </w:t>
                </w:r>
                <w:r>
                  <w:rPr>
                    <w:rFonts w:hint="eastAsia" w:cs="Times New Roman"/>
                    <w:kern w:val="2"/>
                    <w:sz w:val="18"/>
                    <w:szCs w:val="18"/>
                    <w:lang w:val="en-US" w:eastAsia="zh-CN" w:bidi="ar-SA"/>
                  </w:rPr>
                  <w:t xml:space="preserve">110 </w:t>
                </w:r>
                <w:r>
                  <w:rPr>
                    <w:rFonts w:cs="Times New Roman"/>
                    <w:kern w:val="2"/>
                    <w:sz w:val="18"/>
                    <w:szCs w:val="18"/>
                    <w:lang w:val="en-US" w:eastAsia="zh-CN" w:bidi="ar-SA"/>
                  </w:rPr>
                  <w:t>页</w:t>
                </w:r>
              </w:p>
            </w:txbxContent>
          </v:textbox>
        </v:shape>
      </w:pict>
    </w:r>
    <w:r>
      <w:rPr>
        <w:rFonts w:hint="eastAsia" w:ascii="宋体" w:hAnsi="宋体" w:eastAsia="宋体" w:cs="宋体"/>
        <w:kern w:val="2"/>
        <w:sz w:val="18"/>
        <w:szCs w:val="18"/>
        <w:lang w:val="en-US" w:eastAsia="zh-CN" w:bidi="ar-SA"/>
      </w:rPr>
      <w:pict>
        <v:shape id="_x0000_s1043" o:spid="_x0000_s1043" o:spt="202" type="#_x0000_t202" style="position:absolute;left:0pt;margin-top:0pt;height:12.05pt;width:10.55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widowControl w:val="0"/>
                  <w:snapToGrid w:val="0"/>
                  <w:spacing w:before="0" w:after="0" w:afterAutospacing="0" w:line="240" w:lineRule="auto"/>
                  <w:ind w:left="0" w:right="0" w:firstLine="0"/>
                  <w:rPr>
                    <w:rFonts w:hint="eastAsia" w:ascii="Times New Roman" w:hAnsi="Times New Roman" w:eastAsia="宋体" w:cs="Times New Roman"/>
                    <w:kern w:val="2"/>
                    <w:sz w:val="18"/>
                    <w:szCs w:val="24"/>
                    <w:lang w:val="en-US" w:eastAsia="zh-CN"/>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bidi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pict>
        <v:shape id="_x0000_s1044" o:spid="_x0000_s104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cs="Times New Roman"/>
                    <w:kern w:val="2"/>
                    <w:sz w:val="18"/>
                    <w:szCs w:val="18"/>
                    <w:lang w:val="en-US" w:eastAsia="zh-CN" w:bidi="ar-SA"/>
                  </w:rPr>
                  <w:t xml:space="preserve">第 </w:t>
                </w:r>
                <w:r>
                  <w:rPr>
                    <w:rFonts w:cs="Times New Roman"/>
                    <w:kern w:val="2"/>
                    <w:sz w:val="18"/>
                    <w:szCs w:val="18"/>
                    <w:lang w:val="en-US" w:eastAsia="zh-CN" w:bidi="ar-SA"/>
                  </w:rPr>
                  <w:fldChar w:fldCharType="begin"/>
                </w:r>
                <w:r>
                  <w:rPr>
                    <w:rFonts w:cs="Times New Roman"/>
                    <w:kern w:val="2"/>
                    <w:sz w:val="18"/>
                    <w:szCs w:val="18"/>
                    <w:lang w:val="en-US" w:eastAsia="zh-CN" w:bidi="ar-SA"/>
                  </w:rPr>
                  <w:instrText xml:space="preserve"> PAGE  \* MERGEFORMAT </w:instrText>
                </w:r>
                <w:r>
                  <w:rPr>
                    <w:rFonts w:cs="Times New Roman"/>
                    <w:kern w:val="2"/>
                    <w:sz w:val="18"/>
                    <w:szCs w:val="18"/>
                    <w:lang w:val="en-US" w:eastAsia="zh-CN" w:bidi="ar-SA"/>
                  </w:rPr>
                  <w:fldChar w:fldCharType="separate"/>
                </w:r>
                <w:r>
                  <w:rPr>
                    <w:rFonts w:cs="Times New Roman"/>
                    <w:kern w:val="2"/>
                    <w:sz w:val="18"/>
                    <w:szCs w:val="18"/>
                    <w:lang w:val="en-US" w:eastAsia="zh-CN" w:bidi="ar-SA"/>
                  </w:rPr>
                  <w:t>84</w:t>
                </w:r>
                <w:r>
                  <w:rPr>
                    <w:rFonts w:cs="Times New Roman"/>
                    <w:kern w:val="2"/>
                    <w:sz w:val="18"/>
                    <w:szCs w:val="18"/>
                    <w:lang w:val="en-US" w:eastAsia="zh-CN" w:bidi="ar-SA"/>
                  </w:rPr>
                  <w:fldChar w:fldCharType="end"/>
                </w:r>
                <w:r>
                  <w:rPr>
                    <w:rFonts w:cs="Times New Roman"/>
                    <w:kern w:val="2"/>
                    <w:sz w:val="18"/>
                    <w:szCs w:val="18"/>
                    <w:lang w:val="en-US" w:eastAsia="zh-CN" w:bidi="ar-SA"/>
                  </w:rPr>
                  <w:t xml:space="preserve"> 页 共 </w:t>
                </w:r>
                <w:r>
                  <w:rPr>
                    <w:rFonts w:hint="eastAsia" w:cs="Times New Roman"/>
                    <w:kern w:val="2"/>
                    <w:sz w:val="18"/>
                    <w:szCs w:val="18"/>
                    <w:lang w:val="en-US" w:eastAsia="zh-CN" w:bidi="ar-SA"/>
                  </w:rPr>
                  <w:t>110</w:t>
                </w:r>
                <w:r>
                  <w:rPr>
                    <w:rFonts w:cs="Times New Roman"/>
                    <w:kern w:val="2"/>
                    <w:sz w:val="18"/>
                    <w:szCs w:val="18"/>
                    <w:lang w:val="en-US" w:eastAsia="zh-CN" w:bidi="ar-SA"/>
                  </w:rPr>
                  <w:t xml:space="preserve"> 页</w:t>
                </w:r>
              </w:p>
            </w:txbxContent>
          </v:textbox>
        </v:shape>
      </w:pict>
    </w:r>
    <w:r>
      <w:rPr>
        <w:rFonts w:ascii="Times New Roman" w:hAnsi="Times New Roman" w:eastAsia="宋体" w:cs="Times New Roman"/>
        <w:kern w:val="2"/>
        <w:sz w:val="18"/>
        <w:szCs w:val="18"/>
        <w:lang w:val="en-US" w:eastAsia="zh-CN" w:bidi="ar-SA"/>
      </w:rPr>
      <w:pict>
        <v:shape id="_x0000_s1045" o:spid="_x0000_s1045" o:spt="202" type="#_x0000_t202" style="position:absolute;left:0pt;margin-top:0pt;height:12.05pt;width:10.55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widowControl w:val="0"/>
                  <w:snapToGrid w:val="0"/>
                  <w:spacing w:before="0" w:after="0" w:afterAutospacing="0" w:line="240" w:lineRule="auto"/>
                  <w:ind w:left="0" w:right="0" w:firstLine="0"/>
                  <w:rPr>
                    <w:rFonts w:hint="eastAsia" w:ascii="Times New Roman" w:hAnsi="Times New Roman" w:eastAsia="宋体" w:cs="Times New Roman"/>
                    <w:kern w:val="2"/>
                    <w:sz w:val="18"/>
                    <w:szCs w:val="24"/>
                    <w:lang w:val="en-US" w:eastAsia="zh-CN"/>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文本框 6" o:spid="_x0000_s104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99</w:t>
                </w:r>
                <w:r>
                  <w:fldChar w:fldCharType="end"/>
                </w:r>
                <w:r>
                  <w:t xml:space="preserve"> 页 共</w:t>
                </w:r>
                <w:r>
                  <w:rPr>
                    <w:rFonts w:hint="eastAsia"/>
                    <w:lang w:val="en-US" w:eastAsia="zh-CN"/>
                  </w:rPr>
                  <w:t xml:space="preserve"> 110</w:t>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center"/>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07470"/>
    <w:multiLevelType w:val="singleLevel"/>
    <w:tmpl w:val="8F607470"/>
    <w:lvl w:ilvl="0" w:tentative="0">
      <w:start w:val="1"/>
      <w:numFmt w:val="decimal"/>
      <w:lvlText w:val="%1."/>
      <w:lvlJc w:val="left"/>
      <w:pPr>
        <w:tabs>
          <w:tab w:val="left" w:pos="312"/>
        </w:tabs>
      </w:pPr>
    </w:lvl>
  </w:abstractNum>
  <w:abstractNum w:abstractNumId="1">
    <w:nsid w:val="93E37518"/>
    <w:multiLevelType w:val="singleLevel"/>
    <w:tmpl w:val="93E37518"/>
    <w:lvl w:ilvl="0" w:tentative="0">
      <w:start w:val="1"/>
      <w:numFmt w:val="decimal"/>
      <w:suff w:val="nothing"/>
      <w:lvlText w:val="5.3.%1 "/>
      <w:lvlJc w:val="left"/>
      <w:pPr>
        <w:tabs>
          <w:tab w:val="left" w:pos="0"/>
        </w:tabs>
        <w:ind w:left="-261" w:firstLine="403"/>
      </w:pPr>
      <w:rPr>
        <w:rFonts w:hint="default" w:ascii="宋体" w:hAnsi="宋体" w:eastAsia="宋体" w:cs="宋体"/>
      </w:rPr>
    </w:lvl>
  </w:abstractNum>
  <w:abstractNum w:abstractNumId="2">
    <w:nsid w:val="B5553480"/>
    <w:multiLevelType w:val="singleLevel"/>
    <w:tmpl w:val="B5553480"/>
    <w:lvl w:ilvl="0" w:tentative="0">
      <w:start w:val="1"/>
      <w:numFmt w:val="decimal"/>
      <w:suff w:val="nothing"/>
      <w:lvlText w:val="（%1）"/>
      <w:lvlJc w:val="left"/>
    </w:lvl>
  </w:abstractNum>
  <w:abstractNum w:abstractNumId="3">
    <w:nsid w:val="D2B88343"/>
    <w:multiLevelType w:val="singleLevel"/>
    <w:tmpl w:val="D2B88343"/>
    <w:lvl w:ilvl="0" w:tentative="0">
      <w:start w:val="1"/>
      <w:numFmt w:val="decimal"/>
      <w:suff w:val="nothing"/>
      <w:lvlText w:val="%1"/>
      <w:lvlJc w:val="center"/>
      <w:pPr>
        <w:tabs>
          <w:tab w:val="left" w:pos="0"/>
        </w:tabs>
        <w:ind w:left="0" w:firstLine="0"/>
      </w:pPr>
      <w:rPr>
        <w:rFonts w:hint="default" w:ascii="宋体" w:hAnsi="宋体" w:eastAsia="宋体" w:cs="宋体"/>
      </w:rPr>
    </w:lvl>
  </w:abstractNum>
  <w:abstractNum w:abstractNumId="4">
    <w:nsid w:val="DED1C2EC"/>
    <w:multiLevelType w:val="singleLevel"/>
    <w:tmpl w:val="DED1C2EC"/>
    <w:lvl w:ilvl="0" w:tentative="0">
      <w:start w:val="1"/>
      <w:numFmt w:val="decimal"/>
      <w:suff w:val="nothing"/>
      <w:lvlText w:val="%1"/>
      <w:lvlJc w:val="left"/>
      <w:pPr>
        <w:tabs>
          <w:tab w:val="left" w:pos="312"/>
        </w:tabs>
      </w:pPr>
      <w:rPr>
        <w:rFonts w:hint="default" w:ascii="宋体" w:hAnsi="宋体" w:eastAsia="宋体" w:cs="宋体"/>
      </w:rPr>
    </w:lvl>
  </w:abstractNum>
  <w:abstractNum w:abstractNumId="5">
    <w:nsid w:val="DEECD395"/>
    <w:multiLevelType w:val="singleLevel"/>
    <w:tmpl w:val="DEECD395"/>
    <w:lvl w:ilvl="0" w:tentative="0">
      <w:start w:val="1"/>
      <w:numFmt w:val="decimal"/>
      <w:suff w:val="nothing"/>
      <w:lvlText w:val="（%1）"/>
      <w:lvlJc w:val="left"/>
    </w:lvl>
  </w:abstractNum>
  <w:abstractNum w:abstractNumId="6">
    <w:nsid w:val="E708E029"/>
    <w:multiLevelType w:val="singleLevel"/>
    <w:tmpl w:val="E708E029"/>
    <w:lvl w:ilvl="0" w:tentative="0">
      <w:start w:val="1"/>
      <w:numFmt w:val="decimal"/>
      <w:suff w:val="nothing"/>
      <w:lvlText w:val="6.1.%1 "/>
      <w:lvlJc w:val="left"/>
      <w:pPr>
        <w:tabs>
          <w:tab w:val="left" w:pos="0"/>
        </w:tabs>
        <w:ind w:left="-261" w:firstLine="403"/>
      </w:pPr>
      <w:rPr>
        <w:rFonts w:hint="default" w:ascii="宋体" w:hAnsi="宋体" w:eastAsia="宋体" w:cs="宋体"/>
      </w:rPr>
    </w:lvl>
  </w:abstractNum>
  <w:abstractNum w:abstractNumId="7">
    <w:nsid w:val="EA5626B2"/>
    <w:multiLevelType w:val="singleLevel"/>
    <w:tmpl w:val="EA5626B2"/>
    <w:lvl w:ilvl="0" w:tentative="0">
      <w:start w:val="1"/>
      <w:numFmt w:val="decimal"/>
      <w:suff w:val="nothing"/>
      <w:lvlText w:val="4.1.%1 "/>
      <w:lvlJc w:val="left"/>
      <w:pPr>
        <w:tabs>
          <w:tab w:val="left" w:pos="0"/>
        </w:tabs>
        <w:ind w:left="-261" w:firstLine="403"/>
      </w:pPr>
      <w:rPr>
        <w:rFonts w:hint="default" w:ascii="宋体" w:hAnsi="宋体" w:eastAsia="宋体" w:cs="宋体"/>
      </w:rPr>
    </w:lvl>
  </w:abstractNum>
  <w:abstractNum w:abstractNumId="8">
    <w:nsid w:val="F7FE8223"/>
    <w:multiLevelType w:val="singleLevel"/>
    <w:tmpl w:val="F7FE8223"/>
    <w:lvl w:ilvl="0" w:tentative="0">
      <w:start w:val="1"/>
      <w:numFmt w:val="decimal"/>
      <w:suff w:val="nothing"/>
      <w:lvlText w:val="4.2.%1 "/>
      <w:lvlJc w:val="left"/>
      <w:pPr>
        <w:tabs>
          <w:tab w:val="left" w:pos="0"/>
        </w:tabs>
        <w:ind w:left="-261" w:firstLine="403"/>
      </w:pPr>
      <w:rPr>
        <w:rFonts w:hint="default" w:ascii="宋体" w:hAnsi="宋体" w:eastAsia="宋体" w:cs="宋体"/>
      </w:rPr>
    </w:lvl>
  </w:abstractNum>
  <w:abstractNum w:abstractNumId="9">
    <w:nsid w:val="191EE18F"/>
    <w:multiLevelType w:val="singleLevel"/>
    <w:tmpl w:val="191EE18F"/>
    <w:lvl w:ilvl="0" w:tentative="0">
      <w:start w:val="1"/>
      <w:numFmt w:val="decimal"/>
      <w:suff w:val="space"/>
      <w:lvlText w:val="7.%1"/>
      <w:lvlJc w:val="left"/>
      <w:pPr>
        <w:tabs>
          <w:tab w:val="left" w:pos="0"/>
        </w:tabs>
        <w:ind w:left="420" w:hanging="420"/>
      </w:pPr>
      <w:rPr>
        <w:rFonts w:hint="default" w:ascii="宋体" w:hAnsi="宋体" w:eastAsia="宋体" w:cs="宋体"/>
      </w:rPr>
    </w:lvl>
  </w:abstractNum>
  <w:abstractNum w:abstractNumId="10">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11">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1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13">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21">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2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23">
    <w:nsid w:val="4178128C"/>
    <w:multiLevelType w:val="multilevel"/>
    <w:tmpl w:val="4178128C"/>
    <w:lvl w:ilvl="0" w:tentative="0">
      <w:start w:val="1"/>
      <w:numFmt w:val="decimal"/>
      <w:suff w:val="space"/>
      <w:lvlText w:val="%1"/>
      <w:lvlJc w:val="left"/>
      <w:pPr>
        <w:ind w:left="0" w:firstLine="0"/>
      </w:pPr>
      <w:rPr>
        <w:rFonts w:hint="eastAsia" w:ascii="黑体" w:hAnsi="黑体" w:eastAsia="黑体"/>
        <w:b w:val="0"/>
        <w:i w:val="0"/>
        <w:sz w:val="30"/>
      </w:rPr>
    </w:lvl>
    <w:lvl w:ilvl="1" w:tentative="0">
      <w:start w:val="1"/>
      <w:numFmt w:val="decimal"/>
      <w:suff w:val="space"/>
      <w:lvlText w:val="%1.%2"/>
      <w:lvlJc w:val="left"/>
      <w:pPr>
        <w:ind w:left="0" w:firstLine="0"/>
      </w:pPr>
      <w:rPr>
        <w:rFonts w:hint="eastAsia" w:ascii="黑体" w:hAnsi="宋体" w:eastAsia="黑体" w:cs="宋体"/>
        <w:b w:val="0"/>
        <w:i w:val="0"/>
        <w:sz w:val="28"/>
        <w:szCs w:val="24"/>
      </w:rPr>
    </w:lvl>
    <w:lvl w:ilvl="2" w:tentative="0">
      <w:start w:val="1"/>
      <w:numFmt w:val="decimal"/>
      <w:suff w:val="space"/>
      <w:lvlText w:val="%1.%2.%3"/>
      <w:lvlJc w:val="left"/>
      <w:pPr>
        <w:ind w:left="0" w:firstLine="0"/>
      </w:pPr>
      <w:rPr>
        <w:rFonts w:hint="eastAsia" w:ascii="黑体" w:hAnsi="宋体" w:eastAsia="黑体" w:cs="宋体"/>
        <w:b w:val="0"/>
        <w:i w:val="0"/>
        <w:sz w:val="24"/>
      </w:rPr>
    </w:lvl>
    <w:lvl w:ilvl="3" w:tentative="0">
      <w:start w:val="1"/>
      <w:numFmt w:val="decimal"/>
      <w:pStyle w:val="3"/>
      <w:suff w:val="space"/>
      <w:lvlText w:val="%1.%2.%3.%4"/>
      <w:lvlJc w:val="left"/>
      <w:pPr>
        <w:ind w:left="0" w:firstLine="0"/>
      </w:pPr>
      <w:rPr>
        <w:rFonts w:hint="eastAsia" w:ascii="黑体" w:hAnsi="黑体" w:eastAsia="黑体"/>
        <w:b w:val="0"/>
        <w:i w:val="0"/>
        <w:sz w:val="21"/>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4">
    <w:nsid w:val="4A63F7D1"/>
    <w:multiLevelType w:val="singleLevel"/>
    <w:tmpl w:val="4A63F7D1"/>
    <w:lvl w:ilvl="0" w:tentative="0">
      <w:start w:val="2"/>
      <w:numFmt w:val="decimal"/>
      <w:suff w:val="nothing"/>
      <w:lvlText w:val="%1、"/>
      <w:lvlJc w:val="left"/>
    </w:lvl>
  </w:abstractNum>
  <w:abstractNum w:abstractNumId="25">
    <w:nsid w:val="4A8C372F"/>
    <w:multiLevelType w:val="singleLevel"/>
    <w:tmpl w:val="4A8C372F"/>
    <w:lvl w:ilvl="0" w:tentative="0">
      <w:start w:val="1"/>
      <w:numFmt w:val="decimal"/>
      <w:suff w:val="space"/>
      <w:lvlText w:val="3.2.%1"/>
      <w:lvlJc w:val="left"/>
      <w:pPr>
        <w:tabs>
          <w:tab w:val="left" w:pos="420"/>
        </w:tabs>
        <w:ind w:left="420" w:hanging="420"/>
      </w:pPr>
      <w:rPr>
        <w:rFonts w:hint="default" w:ascii="宋体" w:hAnsi="宋体" w:eastAsia="宋体" w:cs="宋体"/>
      </w:rPr>
    </w:lvl>
  </w:abstractNum>
  <w:abstractNum w:abstractNumId="26">
    <w:nsid w:val="54EE5697"/>
    <w:multiLevelType w:val="singleLevel"/>
    <w:tmpl w:val="54EE5697"/>
    <w:lvl w:ilvl="0" w:tentative="0">
      <w:start w:val="1"/>
      <w:numFmt w:val="decimal"/>
      <w:suff w:val="nothing"/>
      <w:lvlText w:val="5.2.%1 "/>
      <w:lvlJc w:val="left"/>
      <w:pPr>
        <w:tabs>
          <w:tab w:val="left" w:pos="0"/>
        </w:tabs>
        <w:ind w:left="-261" w:firstLine="403"/>
      </w:pPr>
      <w:rPr>
        <w:rFonts w:hint="default" w:ascii="宋体" w:hAnsi="宋体" w:eastAsia="宋体" w:cs="宋体"/>
      </w:rPr>
    </w:lvl>
  </w:abstractNum>
  <w:abstractNum w:abstractNumId="27">
    <w:nsid w:val="582BA484"/>
    <w:multiLevelType w:val="multilevel"/>
    <w:tmpl w:val="582BA484"/>
    <w:lvl w:ilvl="0" w:tentative="0">
      <w:start w:val="1"/>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575"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8">
    <w:nsid w:val="6F9E2924"/>
    <w:multiLevelType w:val="singleLevel"/>
    <w:tmpl w:val="6F9E2924"/>
    <w:lvl w:ilvl="0" w:tentative="0">
      <w:start w:val="8"/>
      <w:numFmt w:val="decimal"/>
      <w:lvlText w:val="%1."/>
      <w:lvlJc w:val="left"/>
      <w:pPr>
        <w:tabs>
          <w:tab w:val="left" w:pos="312"/>
        </w:tabs>
      </w:pPr>
    </w:lvl>
  </w:abstractNum>
  <w:abstractNum w:abstractNumId="29">
    <w:nsid w:val="78572741"/>
    <w:multiLevelType w:val="singleLevel"/>
    <w:tmpl w:val="78572741"/>
    <w:lvl w:ilvl="0" w:tentative="0">
      <w:start w:val="1"/>
      <w:numFmt w:val="decimal"/>
      <w:suff w:val="nothing"/>
      <w:lvlText w:val="5.1.%1 "/>
      <w:lvlJc w:val="left"/>
      <w:pPr>
        <w:tabs>
          <w:tab w:val="left" w:pos="0"/>
        </w:tabs>
        <w:ind w:left="-261" w:firstLine="403"/>
      </w:pPr>
      <w:rPr>
        <w:rFonts w:hint="default" w:ascii="宋体" w:hAnsi="宋体" w:eastAsia="宋体" w:cs="宋体"/>
      </w:rPr>
    </w:lvl>
  </w:abstractNum>
  <w:num w:numId="1">
    <w:abstractNumId w:val="23"/>
  </w:num>
  <w:num w:numId="2">
    <w:abstractNumId w:val="0"/>
  </w:num>
  <w:num w:numId="3">
    <w:abstractNumId w:val="15"/>
  </w:num>
  <w:num w:numId="4">
    <w:abstractNumId w:val="22"/>
  </w:num>
  <w:num w:numId="5">
    <w:abstractNumId w:val="11"/>
  </w:num>
  <w:num w:numId="6">
    <w:abstractNumId w:val="10"/>
  </w:num>
  <w:num w:numId="7">
    <w:abstractNumId w:val="21"/>
  </w:num>
  <w:num w:numId="8">
    <w:abstractNumId w:val="20"/>
  </w:num>
  <w:num w:numId="9">
    <w:abstractNumId w:val="13"/>
  </w:num>
  <w:num w:numId="10">
    <w:abstractNumId w:val="19"/>
  </w:num>
  <w:num w:numId="11">
    <w:abstractNumId w:val="14"/>
  </w:num>
  <w:num w:numId="12">
    <w:abstractNumId w:val="17"/>
  </w:num>
  <w:num w:numId="13">
    <w:abstractNumId w:val="12"/>
  </w:num>
  <w:num w:numId="14">
    <w:abstractNumId w:val="18"/>
  </w:num>
  <w:num w:numId="15">
    <w:abstractNumId w:val="28"/>
  </w:num>
  <w:num w:numId="16">
    <w:abstractNumId w:val="16"/>
  </w:num>
  <w:num w:numId="17">
    <w:abstractNumId w:val="5"/>
  </w:num>
  <w:num w:numId="18">
    <w:abstractNumId w:val="24"/>
  </w:num>
  <w:num w:numId="19">
    <w:abstractNumId w:val="27"/>
  </w:num>
  <w:num w:numId="20">
    <w:abstractNumId w:val="25"/>
  </w:num>
  <w:num w:numId="21">
    <w:abstractNumId w:val="7"/>
  </w:num>
  <w:num w:numId="22">
    <w:abstractNumId w:val="8"/>
  </w:num>
  <w:num w:numId="23">
    <w:abstractNumId w:val="29"/>
  </w:num>
  <w:num w:numId="24">
    <w:abstractNumId w:val="26"/>
  </w:num>
  <w:num w:numId="25">
    <w:abstractNumId w:val="1"/>
  </w:num>
  <w:num w:numId="26">
    <w:abstractNumId w:val="6"/>
  </w:num>
  <w:num w:numId="27">
    <w:abstractNumId w:val="9"/>
  </w:num>
  <w:num w:numId="28">
    <w:abstractNumId w:val="4"/>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1ZjNhMjk0MGM3ZTAyYWExN2RmN2NmOGFhMmFkZDIifQ=="/>
  </w:docVars>
  <w:rsids>
    <w:rsidRoot w:val="00172A27"/>
    <w:rsid w:val="000000F2"/>
    <w:rsid w:val="00000139"/>
    <w:rsid w:val="000045EA"/>
    <w:rsid w:val="00007C3F"/>
    <w:rsid w:val="00011781"/>
    <w:rsid w:val="000143B4"/>
    <w:rsid w:val="00015B06"/>
    <w:rsid w:val="00022F88"/>
    <w:rsid w:val="00030F30"/>
    <w:rsid w:val="000437E6"/>
    <w:rsid w:val="00043E88"/>
    <w:rsid w:val="00050898"/>
    <w:rsid w:val="0005200D"/>
    <w:rsid w:val="00070470"/>
    <w:rsid w:val="00074337"/>
    <w:rsid w:val="0008222E"/>
    <w:rsid w:val="00092270"/>
    <w:rsid w:val="0009493E"/>
    <w:rsid w:val="00095B78"/>
    <w:rsid w:val="000A0870"/>
    <w:rsid w:val="000A1767"/>
    <w:rsid w:val="000A49C9"/>
    <w:rsid w:val="000B34C7"/>
    <w:rsid w:val="000B44D3"/>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1670"/>
    <w:rsid w:val="001445DC"/>
    <w:rsid w:val="001520D4"/>
    <w:rsid w:val="0015296D"/>
    <w:rsid w:val="00155FD4"/>
    <w:rsid w:val="0017175E"/>
    <w:rsid w:val="00180594"/>
    <w:rsid w:val="00183519"/>
    <w:rsid w:val="00186A28"/>
    <w:rsid w:val="001A37D3"/>
    <w:rsid w:val="001A3FCA"/>
    <w:rsid w:val="001B0893"/>
    <w:rsid w:val="001C0C50"/>
    <w:rsid w:val="001D3646"/>
    <w:rsid w:val="001E0D82"/>
    <w:rsid w:val="001E0D93"/>
    <w:rsid w:val="001E5985"/>
    <w:rsid w:val="001E5F4A"/>
    <w:rsid w:val="002041A6"/>
    <w:rsid w:val="00206D2E"/>
    <w:rsid w:val="00210D44"/>
    <w:rsid w:val="00212AF9"/>
    <w:rsid w:val="00226768"/>
    <w:rsid w:val="00226771"/>
    <w:rsid w:val="00226B2E"/>
    <w:rsid w:val="00226D0E"/>
    <w:rsid w:val="00237A98"/>
    <w:rsid w:val="0024287B"/>
    <w:rsid w:val="002441F7"/>
    <w:rsid w:val="0024741B"/>
    <w:rsid w:val="00247716"/>
    <w:rsid w:val="002600EF"/>
    <w:rsid w:val="00261C93"/>
    <w:rsid w:val="00265564"/>
    <w:rsid w:val="00272F80"/>
    <w:rsid w:val="0027764C"/>
    <w:rsid w:val="0028366D"/>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5261"/>
    <w:rsid w:val="00510E4D"/>
    <w:rsid w:val="00512701"/>
    <w:rsid w:val="00512A45"/>
    <w:rsid w:val="0052634A"/>
    <w:rsid w:val="00532363"/>
    <w:rsid w:val="00536377"/>
    <w:rsid w:val="00541401"/>
    <w:rsid w:val="005418DB"/>
    <w:rsid w:val="0054269C"/>
    <w:rsid w:val="005448AD"/>
    <w:rsid w:val="00545844"/>
    <w:rsid w:val="00562190"/>
    <w:rsid w:val="00564C20"/>
    <w:rsid w:val="00571D43"/>
    <w:rsid w:val="00574C3B"/>
    <w:rsid w:val="00575AB8"/>
    <w:rsid w:val="0057690D"/>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B89"/>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2F69"/>
    <w:rsid w:val="00677925"/>
    <w:rsid w:val="00677A8A"/>
    <w:rsid w:val="006922EC"/>
    <w:rsid w:val="00695EDE"/>
    <w:rsid w:val="006A23E9"/>
    <w:rsid w:val="006A2F07"/>
    <w:rsid w:val="006A4D72"/>
    <w:rsid w:val="006A543A"/>
    <w:rsid w:val="006B6F3C"/>
    <w:rsid w:val="006C2D0C"/>
    <w:rsid w:val="006C4DC3"/>
    <w:rsid w:val="006C77CD"/>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6B31"/>
    <w:rsid w:val="00956FA8"/>
    <w:rsid w:val="00957AA0"/>
    <w:rsid w:val="009604CB"/>
    <w:rsid w:val="00961F4A"/>
    <w:rsid w:val="00965538"/>
    <w:rsid w:val="0097464F"/>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249A4"/>
    <w:rsid w:val="00A2528E"/>
    <w:rsid w:val="00A34C49"/>
    <w:rsid w:val="00A461C1"/>
    <w:rsid w:val="00A54F86"/>
    <w:rsid w:val="00A63392"/>
    <w:rsid w:val="00A722C5"/>
    <w:rsid w:val="00A859DC"/>
    <w:rsid w:val="00A872DA"/>
    <w:rsid w:val="00A9122E"/>
    <w:rsid w:val="00A91F36"/>
    <w:rsid w:val="00A93A7F"/>
    <w:rsid w:val="00AA0FB3"/>
    <w:rsid w:val="00AB6B27"/>
    <w:rsid w:val="00AD6B25"/>
    <w:rsid w:val="00AD6ED0"/>
    <w:rsid w:val="00AE2C17"/>
    <w:rsid w:val="00AE5333"/>
    <w:rsid w:val="00AE6F3C"/>
    <w:rsid w:val="00AF196A"/>
    <w:rsid w:val="00AF54E1"/>
    <w:rsid w:val="00B04E81"/>
    <w:rsid w:val="00B14E6B"/>
    <w:rsid w:val="00B16089"/>
    <w:rsid w:val="00B266B6"/>
    <w:rsid w:val="00B31CA2"/>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44F13"/>
    <w:rsid w:val="00D479CD"/>
    <w:rsid w:val="00D74E9C"/>
    <w:rsid w:val="00D829D0"/>
    <w:rsid w:val="00D841A1"/>
    <w:rsid w:val="00D84F11"/>
    <w:rsid w:val="00D92C17"/>
    <w:rsid w:val="00D930BB"/>
    <w:rsid w:val="00D932AD"/>
    <w:rsid w:val="00D93779"/>
    <w:rsid w:val="00D95A48"/>
    <w:rsid w:val="00D95A4C"/>
    <w:rsid w:val="00DB181C"/>
    <w:rsid w:val="00DE249D"/>
    <w:rsid w:val="00DE77B9"/>
    <w:rsid w:val="00E01672"/>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6EDD"/>
    <w:rsid w:val="00E57591"/>
    <w:rsid w:val="00E653F5"/>
    <w:rsid w:val="00E72F1F"/>
    <w:rsid w:val="00E763ED"/>
    <w:rsid w:val="00E86025"/>
    <w:rsid w:val="00E8709E"/>
    <w:rsid w:val="00E93BCC"/>
    <w:rsid w:val="00E9439E"/>
    <w:rsid w:val="00E96E54"/>
    <w:rsid w:val="00EA11E5"/>
    <w:rsid w:val="00EA1ED7"/>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37B5A"/>
    <w:rsid w:val="00F40FBF"/>
    <w:rsid w:val="00F41ABA"/>
    <w:rsid w:val="00F43D41"/>
    <w:rsid w:val="00F502E0"/>
    <w:rsid w:val="00F52F5A"/>
    <w:rsid w:val="00F56501"/>
    <w:rsid w:val="00F603CC"/>
    <w:rsid w:val="00F74EBD"/>
    <w:rsid w:val="00F82ADB"/>
    <w:rsid w:val="00F831B3"/>
    <w:rsid w:val="00F86B8B"/>
    <w:rsid w:val="00F8733F"/>
    <w:rsid w:val="00F94057"/>
    <w:rsid w:val="00FB3AAB"/>
    <w:rsid w:val="00FC02B4"/>
    <w:rsid w:val="00FD1370"/>
    <w:rsid w:val="00FD5F55"/>
    <w:rsid w:val="00FE3364"/>
    <w:rsid w:val="00FE6711"/>
    <w:rsid w:val="00FF2D5E"/>
    <w:rsid w:val="00FF3FB5"/>
    <w:rsid w:val="00FF5A2F"/>
    <w:rsid w:val="01213FB1"/>
    <w:rsid w:val="0130508B"/>
    <w:rsid w:val="01787557"/>
    <w:rsid w:val="017C090E"/>
    <w:rsid w:val="018B7BC6"/>
    <w:rsid w:val="01E4322D"/>
    <w:rsid w:val="020164F2"/>
    <w:rsid w:val="0217664C"/>
    <w:rsid w:val="027F6B1B"/>
    <w:rsid w:val="02A30710"/>
    <w:rsid w:val="02A340CA"/>
    <w:rsid w:val="02DA018C"/>
    <w:rsid w:val="03022C88"/>
    <w:rsid w:val="03084FF3"/>
    <w:rsid w:val="038721C4"/>
    <w:rsid w:val="03E6553E"/>
    <w:rsid w:val="044743F3"/>
    <w:rsid w:val="044A271C"/>
    <w:rsid w:val="04784101"/>
    <w:rsid w:val="04AA53AF"/>
    <w:rsid w:val="04DB0CDE"/>
    <w:rsid w:val="04E47D2C"/>
    <w:rsid w:val="05777F14"/>
    <w:rsid w:val="05845150"/>
    <w:rsid w:val="05C375FE"/>
    <w:rsid w:val="05D857C5"/>
    <w:rsid w:val="05DB51F8"/>
    <w:rsid w:val="064B73FA"/>
    <w:rsid w:val="06BF620A"/>
    <w:rsid w:val="06C17CBB"/>
    <w:rsid w:val="06C9199F"/>
    <w:rsid w:val="06F573D9"/>
    <w:rsid w:val="071543CF"/>
    <w:rsid w:val="07287718"/>
    <w:rsid w:val="073271B4"/>
    <w:rsid w:val="07786722"/>
    <w:rsid w:val="077D2001"/>
    <w:rsid w:val="07814D10"/>
    <w:rsid w:val="078721A2"/>
    <w:rsid w:val="079B615C"/>
    <w:rsid w:val="07AD0554"/>
    <w:rsid w:val="07B04790"/>
    <w:rsid w:val="07D8585A"/>
    <w:rsid w:val="07E67CE7"/>
    <w:rsid w:val="07E74D67"/>
    <w:rsid w:val="082C4C88"/>
    <w:rsid w:val="08440AE6"/>
    <w:rsid w:val="088077E4"/>
    <w:rsid w:val="08826D4F"/>
    <w:rsid w:val="08B507A0"/>
    <w:rsid w:val="08C32B39"/>
    <w:rsid w:val="08D76578"/>
    <w:rsid w:val="090300F4"/>
    <w:rsid w:val="090F4FC5"/>
    <w:rsid w:val="09290881"/>
    <w:rsid w:val="09395B12"/>
    <w:rsid w:val="0953194B"/>
    <w:rsid w:val="0961688A"/>
    <w:rsid w:val="09AD78B7"/>
    <w:rsid w:val="0A695495"/>
    <w:rsid w:val="0A864A1A"/>
    <w:rsid w:val="0A8A11FC"/>
    <w:rsid w:val="0A9271D9"/>
    <w:rsid w:val="0AA1085A"/>
    <w:rsid w:val="0AC36E49"/>
    <w:rsid w:val="0AE6502D"/>
    <w:rsid w:val="0AF279BB"/>
    <w:rsid w:val="0AFA3A06"/>
    <w:rsid w:val="0B00330C"/>
    <w:rsid w:val="0B196315"/>
    <w:rsid w:val="0B28634D"/>
    <w:rsid w:val="0B2F3296"/>
    <w:rsid w:val="0B3F715E"/>
    <w:rsid w:val="0B413076"/>
    <w:rsid w:val="0B616AE4"/>
    <w:rsid w:val="0B924E43"/>
    <w:rsid w:val="0BA62D96"/>
    <w:rsid w:val="0C2F56F5"/>
    <w:rsid w:val="0C5C4E22"/>
    <w:rsid w:val="0CCA57BB"/>
    <w:rsid w:val="0D1D60C0"/>
    <w:rsid w:val="0D460BF6"/>
    <w:rsid w:val="0D924BBF"/>
    <w:rsid w:val="0D9F012F"/>
    <w:rsid w:val="0DEB1241"/>
    <w:rsid w:val="0DF23FDE"/>
    <w:rsid w:val="0EAC7990"/>
    <w:rsid w:val="0ECD2B25"/>
    <w:rsid w:val="0F5D5800"/>
    <w:rsid w:val="0F9F1EB0"/>
    <w:rsid w:val="0FA347B8"/>
    <w:rsid w:val="0FBB08E1"/>
    <w:rsid w:val="0FF80A8B"/>
    <w:rsid w:val="0FFB0A97"/>
    <w:rsid w:val="10057015"/>
    <w:rsid w:val="101D256D"/>
    <w:rsid w:val="105253A5"/>
    <w:rsid w:val="105F015B"/>
    <w:rsid w:val="107B6211"/>
    <w:rsid w:val="108A1444"/>
    <w:rsid w:val="10CA2ED3"/>
    <w:rsid w:val="10CC380A"/>
    <w:rsid w:val="10E440C2"/>
    <w:rsid w:val="10E64929"/>
    <w:rsid w:val="113B3540"/>
    <w:rsid w:val="11630DAF"/>
    <w:rsid w:val="118F76C4"/>
    <w:rsid w:val="11954AE4"/>
    <w:rsid w:val="11A704B8"/>
    <w:rsid w:val="11AD4A82"/>
    <w:rsid w:val="11B161BA"/>
    <w:rsid w:val="11D525FA"/>
    <w:rsid w:val="11FC69B0"/>
    <w:rsid w:val="11FF0A75"/>
    <w:rsid w:val="1249051A"/>
    <w:rsid w:val="1331784B"/>
    <w:rsid w:val="13421AE4"/>
    <w:rsid w:val="13496E60"/>
    <w:rsid w:val="137610F9"/>
    <w:rsid w:val="138B2620"/>
    <w:rsid w:val="1393476A"/>
    <w:rsid w:val="13AF5E02"/>
    <w:rsid w:val="13F66165"/>
    <w:rsid w:val="142F43C4"/>
    <w:rsid w:val="143202B4"/>
    <w:rsid w:val="1457788F"/>
    <w:rsid w:val="14DE1D5E"/>
    <w:rsid w:val="14E37E2E"/>
    <w:rsid w:val="14E86739"/>
    <w:rsid w:val="14EA78E4"/>
    <w:rsid w:val="158E449E"/>
    <w:rsid w:val="15D448EB"/>
    <w:rsid w:val="15F83974"/>
    <w:rsid w:val="16361726"/>
    <w:rsid w:val="169925C2"/>
    <w:rsid w:val="17585656"/>
    <w:rsid w:val="17E56999"/>
    <w:rsid w:val="180F7DB5"/>
    <w:rsid w:val="1838227D"/>
    <w:rsid w:val="18B17601"/>
    <w:rsid w:val="18B25B8C"/>
    <w:rsid w:val="190C1E15"/>
    <w:rsid w:val="194F6127"/>
    <w:rsid w:val="196A4DAA"/>
    <w:rsid w:val="19B36784"/>
    <w:rsid w:val="1A121912"/>
    <w:rsid w:val="1A796653"/>
    <w:rsid w:val="1AC61B68"/>
    <w:rsid w:val="1B1E6E11"/>
    <w:rsid w:val="1B31036C"/>
    <w:rsid w:val="1B5E7C00"/>
    <w:rsid w:val="1B8C0C76"/>
    <w:rsid w:val="1BE737B4"/>
    <w:rsid w:val="1C220782"/>
    <w:rsid w:val="1C6208BC"/>
    <w:rsid w:val="1D132BC2"/>
    <w:rsid w:val="1D1B10E7"/>
    <w:rsid w:val="1D345293"/>
    <w:rsid w:val="1DF7203E"/>
    <w:rsid w:val="1EB13D33"/>
    <w:rsid w:val="1EC05C79"/>
    <w:rsid w:val="1F17181A"/>
    <w:rsid w:val="1F19071E"/>
    <w:rsid w:val="1F1964A1"/>
    <w:rsid w:val="1F343953"/>
    <w:rsid w:val="1F676E3B"/>
    <w:rsid w:val="1FDB0EFC"/>
    <w:rsid w:val="1FFF700C"/>
    <w:rsid w:val="200246A9"/>
    <w:rsid w:val="20101A7D"/>
    <w:rsid w:val="20454830"/>
    <w:rsid w:val="20A0720D"/>
    <w:rsid w:val="20B66C8A"/>
    <w:rsid w:val="20B7513D"/>
    <w:rsid w:val="20BF47E2"/>
    <w:rsid w:val="20C50288"/>
    <w:rsid w:val="20CD34A1"/>
    <w:rsid w:val="20D645E7"/>
    <w:rsid w:val="214577B9"/>
    <w:rsid w:val="2158329D"/>
    <w:rsid w:val="21734800"/>
    <w:rsid w:val="220B6A30"/>
    <w:rsid w:val="2244344D"/>
    <w:rsid w:val="2266696B"/>
    <w:rsid w:val="22B7201E"/>
    <w:rsid w:val="22D46655"/>
    <w:rsid w:val="22F45ED4"/>
    <w:rsid w:val="23024E6A"/>
    <w:rsid w:val="23171EF9"/>
    <w:rsid w:val="23172E6F"/>
    <w:rsid w:val="23D20CE0"/>
    <w:rsid w:val="240A6BCA"/>
    <w:rsid w:val="241328D0"/>
    <w:rsid w:val="24272032"/>
    <w:rsid w:val="24376499"/>
    <w:rsid w:val="24572B1C"/>
    <w:rsid w:val="2466767A"/>
    <w:rsid w:val="246B3E41"/>
    <w:rsid w:val="24B72351"/>
    <w:rsid w:val="24CC3412"/>
    <w:rsid w:val="25134BD5"/>
    <w:rsid w:val="262C481C"/>
    <w:rsid w:val="26492DAF"/>
    <w:rsid w:val="26671C0A"/>
    <w:rsid w:val="26866E27"/>
    <w:rsid w:val="27406608"/>
    <w:rsid w:val="27680B4D"/>
    <w:rsid w:val="277A3B68"/>
    <w:rsid w:val="281C077C"/>
    <w:rsid w:val="28357E80"/>
    <w:rsid w:val="284B172A"/>
    <w:rsid w:val="28DC43AF"/>
    <w:rsid w:val="29374CA2"/>
    <w:rsid w:val="294E1F1B"/>
    <w:rsid w:val="295F1582"/>
    <w:rsid w:val="29842A7C"/>
    <w:rsid w:val="29F574D6"/>
    <w:rsid w:val="2A2065E7"/>
    <w:rsid w:val="2A927BCD"/>
    <w:rsid w:val="2A9916A4"/>
    <w:rsid w:val="2B0D6EB6"/>
    <w:rsid w:val="2B397506"/>
    <w:rsid w:val="2B4C0426"/>
    <w:rsid w:val="2B5540BE"/>
    <w:rsid w:val="2B5C2949"/>
    <w:rsid w:val="2B8C5716"/>
    <w:rsid w:val="2C251BC9"/>
    <w:rsid w:val="2C416A03"/>
    <w:rsid w:val="2C4A7F23"/>
    <w:rsid w:val="2C4E729D"/>
    <w:rsid w:val="2C6C24CC"/>
    <w:rsid w:val="2CDE3B9B"/>
    <w:rsid w:val="2D4F4BD4"/>
    <w:rsid w:val="2D654E64"/>
    <w:rsid w:val="2D9932FD"/>
    <w:rsid w:val="2E99326E"/>
    <w:rsid w:val="2E9D1C0D"/>
    <w:rsid w:val="2EB413C5"/>
    <w:rsid w:val="2EB711FE"/>
    <w:rsid w:val="2ECF024A"/>
    <w:rsid w:val="2ED74E40"/>
    <w:rsid w:val="2EFF75EA"/>
    <w:rsid w:val="2F010905"/>
    <w:rsid w:val="2F081A5A"/>
    <w:rsid w:val="2F10716F"/>
    <w:rsid w:val="2F2E627A"/>
    <w:rsid w:val="2F612CA4"/>
    <w:rsid w:val="2FC31E25"/>
    <w:rsid w:val="2FF3137B"/>
    <w:rsid w:val="304D6572"/>
    <w:rsid w:val="30952FFA"/>
    <w:rsid w:val="30BF09EC"/>
    <w:rsid w:val="30D24E4C"/>
    <w:rsid w:val="311D3092"/>
    <w:rsid w:val="31756B67"/>
    <w:rsid w:val="31E97E74"/>
    <w:rsid w:val="322857B0"/>
    <w:rsid w:val="32316D8F"/>
    <w:rsid w:val="32362708"/>
    <w:rsid w:val="323F0874"/>
    <w:rsid w:val="32A76BC1"/>
    <w:rsid w:val="32D768C7"/>
    <w:rsid w:val="337077FE"/>
    <w:rsid w:val="33B8742F"/>
    <w:rsid w:val="33F61ED8"/>
    <w:rsid w:val="34071E01"/>
    <w:rsid w:val="342506A6"/>
    <w:rsid w:val="34296AEF"/>
    <w:rsid w:val="342C6189"/>
    <w:rsid w:val="3438403C"/>
    <w:rsid w:val="343E1A7A"/>
    <w:rsid w:val="348446A7"/>
    <w:rsid w:val="34955763"/>
    <w:rsid w:val="34E611F1"/>
    <w:rsid w:val="354C4305"/>
    <w:rsid w:val="35621232"/>
    <w:rsid w:val="358A53D7"/>
    <w:rsid w:val="35AC55A3"/>
    <w:rsid w:val="35DA411D"/>
    <w:rsid w:val="35E2145D"/>
    <w:rsid w:val="366854D4"/>
    <w:rsid w:val="36FE3358"/>
    <w:rsid w:val="371C7C30"/>
    <w:rsid w:val="37215D2D"/>
    <w:rsid w:val="379E54EB"/>
    <w:rsid w:val="37A73AA7"/>
    <w:rsid w:val="37AB4176"/>
    <w:rsid w:val="37D5522B"/>
    <w:rsid w:val="387A07D1"/>
    <w:rsid w:val="388C1028"/>
    <w:rsid w:val="38B045B2"/>
    <w:rsid w:val="38B1729A"/>
    <w:rsid w:val="38B607CA"/>
    <w:rsid w:val="38D85BBB"/>
    <w:rsid w:val="38DA47C9"/>
    <w:rsid w:val="39080405"/>
    <w:rsid w:val="391C699B"/>
    <w:rsid w:val="39555B04"/>
    <w:rsid w:val="39650F35"/>
    <w:rsid w:val="396C51DE"/>
    <w:rsid w:val="39BD016C"/>
    <w:rsid w:val="3A30455A"/>
    <w:rsid w:val="3A3F654C"/>
    <w:rsid w:val="3A541FF7"/>
    <w:rsid w:val="3A894290"/>
    <w:rsid w:val="3AB56034"/>
    <w:rsid w:val="3AEC50AC"/>
    <w:rsid w:val="3B650A6B"/>
    <w:rsid w:val="3B6F342F"/>
    <w:rsid w:val="3B833E6B"/>
    <w:rsid w:val="3B847305"/>
    <w:rsid w:val="3BAB6F8A"/>
    <w:rsid w:val="3BCD6DA3"/>
    <w:rsid w:val="3BE06D42"/>
    <w:rsid w:val="3BFB3D3B"/>
    <w:rsid w:val="3C016745"/>
    <w:rsid w:val="3C99629A"/>
    <w:rsid w:val="3CD93584"/>
    <w:rsid w:val="3CFE4337"/>
    <w:rsid w:val="3D070D4A"/>
    <w:rsid w:val="3D5B5962"/>
    <w:rsid w:val="3D6147DA"/>
    <w:rsid w:val="3D6632CE"/>
    <w:rsid w:val="3D8D710B"/>
    <w:rsid w:val="3DB91846"/>
    <w:rsid w:val="3DCC213F"/>
    <w:rsid w:val="3E2B5D23"/>
    <w:rsid w:val="3E316DF3"/>
    <w:rsid w:val="3E4F63D7"/>
    <w:rsid w:val="3E54068E"/>
    <w:rsid w:val="3E76388C"/>
    <w:rsid w:val="3E88226F"/>
    <w:rsid w:val="3E9A3951"/>
    <w:rsid w:val="3ECD068F"/>
    <w:rsid w:val="3EED56EA"/>
    <w:rsid w:val="3F0A24D4"/>
    <w:rsid w:val="3F146D2B"/>
    <w:rsid w:val="3FA33A67"/>
    <w:rsid w:val="40211191"/>
    <w:rsid w:val="40223D84"/>
    <w:rsid w:val="40381A73"/>
    <w:rsid w:val="4059071F"/>
    <w:rsid w:val="4077464C"/>
    <w:rsid w:val="40A10F8E"/>
    <w:rsid w:val="40D57DED"/>
    <w:rsid w:val="40DE2D1A"/>
    <w:rsid w:val="40FE32B3"/>
    <w:rsid w:val="41C35F6F"/>
    <w:rsid w:val="41CD565A"/>
    <w:rsid w:val="420863C6"/>
    <w:rsid w:val="42A4658C"/>
    <w:rsid w:val="42B02D14"/>
    <w:rsid w:val="42D77C69"/>
    <w:rsid w:val="432F1177"/>
    <w:rsid w:val="434349A6"/>
    <w:rsid w:val="43785ACB"/>
    <w:rsid w:val="438E3CAA"/>
    <w:rsid w:val="43A26E9A"/>
    <w:rsid w:val="43BF2938"/>
    <w:rsid w:val="440631D2"/>
    <w:rsid w:val="44174F5D"/>
    <w:rsid w:val="4469630C"/>
    <w:rsid w:val="44E40569"/>
    <w:rsid w:val="44ED6C2E"/>
    <w:rsid w:val="44FF45BE"/>
    <w:rsid w:val="450979EC"/>
    <w:rsid w:val="452239BF"/>
    <w:rsid w:val="45584061"/>
    <w:rsid w:val="455F63DC"/>
    <w:rsid w:val="45743558"/>
    <w:rsid w:val="457C0654"/>
    <w:rsid w:val="464E0F39"/>
    <w:rsid w:val="468F5C52"/>
    <w:rsid w:val="470A61D8"/>
    <w:rsid w:val="471054F8"/>
    <w:rsid w:val="4711072F"/>
    <w:rsid w:val="475C00F9"/>
    <w:rsid w:val="47740AFF"/>
    <w:rsid w:val="47E210AF"/>
    <w:rsid w:val="48566D3E"/>
    <w:rsid w:val="48AC6673"/>
    <w:rsid w:val="48C11DB5"/>
    <w:rsid w:val="49DC546C"/>
    <w:rsid w:val="4A3B2059"/>
    <w:rsid w:val="4A6956FC"/>
    <w:rsid w:val="4A6A169B"/>
    <w:rsid w:val="4A770851"/>
    <w:rsid w:val="4A8F4381"/>
    <w:rsid w:val="4B1D1F96"/>
    <w:rsid w:val="4B252D91"/>
    <w:rsid w:val="4B3B0B98"/>
    <w:rsid w:val="4BA07F06"/>
    <w:rsid w:val="4BB26449"/>
    <w:rsid w:val="4BBC7BF0"/>
    <w:rsid w:val="4BF150D6"/>
    <w:rsid w:val="4C27769E"/>
    <w:rsid w:val="4CB16860"/>
    <w:rsid w:val="4CBF2E37"/>
    <w:rsid w:val="4D383760"/>
    <w:rsid w:val="4D453E76"/>
    <w:rsid w:val="4DAA0B52"/>
    <w:rsid w:val="4E681F96"/>
    <w:rsid w:val="4E9D5D8E"/>
    <w:rsid w:val="4EA80241"/>
    <w:rsid w:val="4ECC54AE"/>
    <w:rsid w:val="4EE132FB"/>
    <w:rsid w:val="4EF409BA"/>
    <w:rsid w:val="4F182BFF"/>
    <w:rsid w:val="4FFB5474"/>
    <w:rsid w:val="500740EA"/>
    <w:rsid w:val="500E6783"/>
    <w:rsid w:val="504873B8"/>
    <w:rsid w:val="506F4756"/>
    <w:rsid w:val="50A567B0"/>
    <w:rsid w:val="50CE1D0F"/>
    <w:rsid w:val="510D7126"/>
    <w:rsid w:val="511620BD"/>
    <w:rsid w:val="5150242E"/>
    <w:rsid w:val="51783B1A"/>
    <w:rsid w:val="52311060"/>
    <w:rsid w:val="52551BCC"/>
    <w:rsid w:val="525E2CFD"/>
    <w:rsid w:val="529202A5"/>
    <w:rsid w:val="52D60626"/>
    <w:rsid w:val="532871F5"/>
    <w:rsid w:val="535473C0"/>
    <w:rsid w:val="536C018C"/>
    <w:rsid w:val="5393394C"/>
    <w:rsid w:val="53BF3688"/>
    <w:rsid w:val="53D955CB"/>
    <w:rsid w:val="54B12F7D"/>
    <w:rsid w:val="54D04FB3"/>
    <w:rsid w:val="54EF7EB6"/>
    <w:rsid w:val="551536D3"/>
    <w:rsid w:val="55195495"/>
    <w:rsid w:val="552B1B77"/>
    <w:rsid w:val="552D1721"/>
    <w:rsid w:val="55447CDF"/>
    <w:rsid w:val="55CB6A7A"/>
    <w:rsid w:val="55E331DC"/>
    <w:rsid w:val="55E72F2E"/>
    <w:rsid w:val="56042F71"/>
    <w:rsid w:val="56625F70"/>
    <w:rsid w:val="567E3B55"/>
    <w:rsid w:val="569926B2"/>
    <w:rsid w:val="5704247D"/>
    <w:rsid w:val="57056B40"/>
    <w:rsid w:val="57695B0A"/>
    <w:rsid w:val="57B01E21"/>
    <w:rsid w:val="57D61598"/>
    <w:rsid w:val="58204E76"/>
    <w:rsid w:val="5823265B"/>
    <w:rsid w:val="5852256D"/>
    <w:rsid w:val="5915010C"/>
    <w:rsid w:val="595B05E2"/>
    <w:rsid w:val="59987242"/>
    <w:rsid w:val="59B16A48"/>
    <w:rsid w:val="59C84F5E"/>
    <w:rsid w:val="59D230C2"/>
    <w:rsid w:val="59DF76D7"/>
    <w:rsid w:val="5A397F78"/>
    <w:rsid w:val="5A5615B7"/>
    <w:rsid w:val="5A5E3B17"/>
    <w:rsid w:val="5AC51C77"/>
    <w:rsid w:val="5AD4043A"/>
    <w:rsid w:val="5AED4C29"/>
    <w:rsid w:val="5AF81503"/>
    <w:rsid w:val="5AFB04E9"/>
    <w:rsid w:val="5B096777"/>
    <w:rsid w:val="5B6D1238"/>
    <w:rsid w:val="5C5F5653"/>
    <w:rsid w:val="5C7529E6"/>
    <w:rsid w:val="5C8C06C4"/>
    <w:rsid w:val="5C9563A0"/>
    <w:rsid w:val="5CF33CE4"/>
    <w:rsid w:val="5D080B76"/>
    <w:rsid w:val="5D0F5F09"/>
    <w:rsid w:val="5D4E7FF6"/>
    <w:rsid w:val="5D992303"/>
    <w:rsid w:val="5DA161B6"/>
    <w:rsid w:val="5E13248A"/>
    <w:rsid w:val="5E16485C"/>
    <w:rsid w:val="5E1F1F77"/>
    <w:rsid w:val="5E280555"/>
    <w:rsid w:val="5E5800D8"/>
    <w:rsid w:val="5E9B3D95"/>
    <w:rsid w:val="5EB72FB2"/>
    <w:rsid w:val="5EDE29A0"/>
    <w:rsid w:val="5EF268B7"/>
    <w:rsid w:val="5F0A1D8B"/>
    <w:rsid w:val="5F2B4C33"/>
    <w:rsid w:val="5F65274C"/>
    <w:rsid w:val="6051475F"/>
    <w:rsid w:val="60672100"/>
    <w:rsid w:val="60B27C11"/>
    <w:rsid w:val="60C930A3"/>
    <w:rsid w:val="60EC6712"/>
    <w:rsid w:val="611D239D"/>
    <w:rsid w:val="61413A18"/>
    <w:rsid w:val="61505ADA"/>
    <w:rsid w:val="615C153A"/>
    <w:rsid w:val="616B08A7"/>
    <w:rsid w:val="61A80F58"/>
    <w:rsid w:val="621F12BB"/>
    <w:rsid w:val="622B4360"/>
    <w:rsid w:val="624D4042"/>
    <w:rsid w:val="62E06A7E"/>
    <w:rsid w:val="62EA23D9"/>
    <w:rsid w:val="638C4E42"/>
    <w:rsid w:val="63A96A1B"/>
    <w:rsid w:val="63E01C83"/>
    <w:rsid w:val="63FC785D"/>
    <w:rsid w:val="641C001A"/>
    <w:rsid w:val="64D54656"/>
    <w:rsid w:val="65305BAD"/>
    <w:rsid w:val="65982D92"/>
    <w:rsid w:val="65DC61D2"/>
    <w:rsid w:val="66090822"/>
    <w:rsid w:val="661A5903"/>
    <w:rsid w:val="666A1AC0"/>
    <w:rsid w:val="66941556"/>
    <w:rsid w:val="66B8435A"/>
    <w:rsid w:val="67974034"/>
    <w:rsid w:val="67DE02D8"/>
    <w:rsid w:val="67F31A96"/>
    <w:rsid w:val="682F730D"/>
    <w:rsid w:val="68440D9C"/>
    <w:rsid w:val="6846709B"/>
    <w:rsid w:val="685D1798"/>
    <w:rsid w:val="6881195A"/>
    <w:rsid w:val="68990AED"/>
    <w:rsid w:val="68AA5D9D"/>
    <w:rsid w:val="692C7C16"/>
    <w:rsid w:val="69325004"/>
    <w:rsid w:val="69360264"/>
    <w:rsid w:val="69821243"/>
    <w:rsid w:val="69934E0E"/>
    <w:rsid w:val="69B47723"/>
    <w:rsid w:val="69F3488C"/>
    <w:rsid w:val="69FB7002"/>
    <w:rsid w:val="6A036190"/>
    <w:rsid w:val="6A246A40"/>
    <w:rsid w:val="6A303B47"/>
    <w:rsid w:val="6A58267B"/>
    <w:rsid w:val="6AA5305A"/>
    <w:rsid w:val="6AD13E3B"/>
    <w:rsid w:val="6B0F5943"/>
    <w:rsid w:val="6B4157B0"/>
    <w:rsid w:val="6BC739B0"/>
    <w:rsid w:val="6C111659"/>
    <w:rsid w:val="6C1E26D5"/>
    <w:rsid w:val="6C282117"/>
    <w:rsid w:val="6C403F43"/>
    <w:rsid w:val="6C47040F"/>
    <w:rsid w:val="6C841C62"/>
    <w:rsid w:val="6C9F278B"/>
    <w:rsid w:val="6CA1460D"/>
    <w:rsid w:val="6CBB38CE"/>
    <w:rsid w:val="6CE65F04"/>
    <w:rsid w:val="6D035501"/>
    <w:rsid w:val="6D1E5432"/>
    <w:rsid w:val="6D7A6383"/>
    <w:rsid w:val="6D8A0652"/>
    <w:rsid w:val="6E1E514C"/>
    <w:rsid w:val="6E283195"/>
    <w:rsid w:val="6F815922"/>
    <w:rsid w:val="702C664F"/>
    <w:rsid w:val="707904AF"/>
    <w:rsid w:val="7091759B"/>
    <w:rsid w:val="709B2BC7"/>
    <w:rsid w:val="70C26FB3"/>
    <w:rsid w:val="714F25C0"/>
    <w:rsid w:val="7152607C"/>
    <w:rsid w:val="71CF1B01"/>
    <w:rsid w:val="71E52F59"/>
    <w:rsid w:val="71F92EA9"/>
    <w:rsid w:val="71FC5E0C"/>
    <w:rsid w:val="72023F3B"/>
    <w:rsid w:val="72560310"/>
    <w:rsid w:val="726A58BA"/>
    <w:rsid w:val="72FE2E90"/>
    <w:rsid w:val="734A0296"/>
    <w:rsid w:val="734A7A5A"/>
    <w:rsid w:val="736373B0"/>
    <w:rsid w:val="73731BD4"/>
    <w:rsid w:val="737D289A"/>
    <w:rsid w:val="7393126F"/>
    <w:rsid w:val="73A000A1"/>
    <w:rsid w:val="73A25647"/>
    <w:rsid w:val="73C03C7E"/>
    <w:rsid w:val="73E52222"/>
    <w:rsid w:val="74195CE6"/>
    <w:rsid w:val="7443040B"/>
    <w:rsid w:val="74612C1D"/>
    <w:rsid w:val="74930B93"/>
    <w:rsid w:val="74AE19FE"/>
    <w:rsid w:val="74F75CD7"/>
    <w:rsid w:val="75094617"/>
    <w:rsid w:val="751A51C6"/>
    <w:rsid w:val="752B6DF9"/>
    <w:rsid w:val="754E66A1"/>
    <w:rsid w:val="75A00A2D"/>
    <w:rsid w:val="75C80A05"/>
    <w:rsid w:val="75CA0DE4"/>
    <w:rsid w:val="75E46227"/>
    <w:rsid w:val="761F5892"/>
    <w:rsid w:val="76320F53"/>
    <w:rsid w:val="764C7224"/>
    <w:rsid w:val="769235C3"/>
    <w:rsid w:val="76961E6D"/>
    <w:rsid w:val="769E6F58"/>
    <w:rsid w:val="76EF08C5"/>
    <w:rsid w:val="77005CCF"/>
    <w:rsid w:val="771A238B"/>
    <w:rsid w:val="776C4A05"/>
    <w:rsid w:val="77B0567C"/>
    <w:rsid w:val="77B6171C"/>
    <w:rsid w:val="77C33C69"/>
    <w:rsid w:val="77DC2927"/>
    <w:rsid w:val="78077DCC"/>
    <w:rsid w:val="78743289"/>
    <w:rsid w:val="787D2AB6"/>
    <w:rsid w:val="78935EA4"/>
    <w:rsid w:val="78A84CE1"/>
    <w:rsid w:val="78F543CA"/>
    <w:rsid w:val="792A158E"/>
    <w:rsid w:val="79300964"/>
    <w:rsid w:val="79654891"/>
    <w:rsid w:val="7989261E"/>
    <w:rsid w:val="79A01E9C"/>
    <w:rsid w:val="79D0483B"/>
    <w:rsid w:val="7A1D71A1"/>
    <w:rsid w:val="7A8119C2"/>
    <w:rsid w:val="7B2A7B12"/>
    <w:rsid w:val="7B342BAE"/>
    <w:rsid w:val="7BB155B8"/>
    <w:rsid w:val="7BD35900"/>
    <w:rsid w:val="7BDE6B92"/>
    <w:rsid w:val="7C136915"/>
    <w:rsid w:val="7C2A0F97"/>
    <w:rsid w:val="7C37538B"/>
    <w:rsid w:val="7C4D03AB"/>
    <w:rsid w:val="7CC04D74"/>
    <w:rsid w:val="7CDE7884"/>
    <w:rsid w:val="7CFE68F8"/>
    <w:rsid w:val="7D1B1A86"/>
    <w:rsid w:val="7D2975CE"/>
    <w:rsid w:val="7D440197"/>
    <w:rsid w:val="7D892353"/>
    <w:rsid w:val="7DC9372F"/>
    <w:rsid w:val="7E1651F8"/>
    <w:rsid w:val="7E177DCA"/>
    <w:rsid w:val="7E492153"/>
    <w:rsid w:val="7F372EA9"/>
    <w:rsid w:val="7F8864B9"/>
    <w:rsid w:val="7F9101A9"/>
    <w:rsid w:val="7FCA244A"/>
    <w:rsid w:val="7FD50FF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link w:val="45"/>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widowControl w:val="0"/>
      <w:numPr>
        <w:ilvl w:val="3"/>
        <w:numId w:val="1"/>
      </w:numPr>
      <w:tabs>
        <w:tab w:val="left" w:pos="0"/>
      </w:tabs>
      <w:jc w:val="left"/>
      <w:outlineLvl w:val="3"/>
    </w:pPr>
    <w:rPr>
      <w:rFonts w:ascii="黑体" w:hAnsi="黑体" w:eastAsia="黑体"/>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3"/>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qFormat/>
    <w:uiPriority w:val="0"/>
    <w:pPr>
      <w:ind w:firstLine="420"/>
      <w:jc w:val="left"/>
    </w:pPr>
    <w:rPr>
      <w:kern w:val="2"/>
      <w:sz w:val="20"/>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link w:val="55"/>
    <w:semiHidden/>
    <w:unhideWhenUsed/>
    <w:qFormat/>
    <w:uiPriority w:val="99"/>
    <w:pPr>
      <w:spacing w:after="120"/>
    </w:pPr>
  </w:style>
  <w:style w:type="paragraph" w:styleId="12">
    <w:name w:val="Body Text Indent"/>
    <w:basedOn w:val="1"/>
    <w:qFormat/>
    <w:uiPriority w:val="0"/>
    <w:pPr>
      <w:spacing w:line="480" w:lineRule="exact"/>
      <w:ind w:firstLine="560" w:firstLineChars="200"/>
    </w:pPr>
    <w:rPr>
      <w:sz w:val="24"/>
    </w:r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Date"/>
    <w:basedOn w:val="1"/>
    <w:next w:val="1"/>
    <w:link w:val="57"/>
    <w:semiHidden/>
    <w:unhideWhenUsed/>
    <w:qFormat/>
    <w:uiPriority w:val="99"/>
    <w:pPr>
      <w:ind w:left="100" w:leftChars="2500"/>
    </w:p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semiHidden/>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semiHidden/>
    <w:unhideWhenUsed/>
    <w:qFormat/>
    <w:uiPriority w:val="99"/>
    <w:rPr>
      <w:sz w:val="24"/>
    </w:rPr>
  </w:style>
  <w:style w:type="paragraph" w:styleId="29">
    <w:name w:val="annotation subject"/>
    <w:basedOn w:val="10"/>
    <w:next w:val="10"/>
    <w:semiHidden/>
    <w:unhideWhenUsed/>
    <w:qFormat/>
    <w:uiPriority w:val="0"/>
    <w:rPr>
      <w:b/>
    </w:rPr>
  </w:style>
  <w:style w:type="paragraph" w:styleId="30">
    <w:name w:val="Body Text First Indent 2"/>
    <w:basedOn w:val="12"/>
    <w:unhideWhenUsed/>
    <w:qFormat/>
    <w:uiPriority w:val="0"/>
    <w:pPr>
      <w:spacing w:after="120" w:line="240" w:lineRule="auto"/>
      <w:ind w:left="420" w:leftChars="200" w:firstLine="420"/>
    </w:pPr>
    <w:rPr>
      <w:rFonts w:ascii="Calibri" w:hAnsi="Calibri" w:eastAsia="Times New Roman"/>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Hyperlink"/>
    <w:basedOn w:val="33"/>
    <w:unhideWhenUsed/>
    <w:qFormat/>
    <w:uiPriority w:val="99"/>
    <w:rPr>
      <w:color w:val="0000FF"/>
      <w:u w:val="single"/>
    </w:rPr>
  </w:style>
  <w:style w:type="character" w:styleId="37">
    <w:name w:val="annotation reference"/>
    <w:basedOn w:val="33"/>
    <w:unhideWhenUsed/>
    <w:qFormat/>
    <w:uiPriority w:val="0"/>
    <w:rPr>
      <w:sz w:val="21"/>
      <w:szCs w:val="21"/>
    </w:rPr>
  </w:style>
  <w:style w:type="character" w:styleId="38">
    <w:name w:val="footnote reference"/>
    <w:basedOn w:val="33"/>
    <w:semiHidden/>
    <w:unhideWhenUsed/>
    <w:qFormat/>
    <w:uiPriority w:val="0"/>
    <w:rPr>
      <w:vertAlign w:val="superscript"/>
    </w:rPr>
  </w:style>
  <w:style w:type="paragraph" w:customStyle="1" w:styleId="39">
    <w:name w:val="正文1"/>
    <w:qFormat/>
    <w:uiPriority w:val="0"/>
    <w:pPr>
      <w:adjustRightInd w:val="0"/>
      <w:snapToGrid w:val="0"/>
      <w:spacing w:line="360" w:lineRule="auto"/>
      <w:ind w:firstLine="480" w:firstLineChars="200"/>
    </w:pPr>
    <w:rPr>
      <w:rFonts w:ascii="宋体" w:hAnsi="宋体" w:eastAsia="宋体" w:cs="Times New Roman"/>
      <w:kern w:val="2"/>
      <w:szCs w:val="24"/>
      <w:lang w:val="en-US" w:eastAsia="zh-CN" w:bidi="ar-SA"/>
    </w:rPr>
  </w:style>
  <w:style w:type="paragraph" w:styleId="40">
    <w:name w:val="List Paragraph"/>
    <w:basedOn w:val="1"/>
    <w:qFormat/>
    <w:uiPriority w:val="34"/>
    <w:pPr>
      <w:ind w:firstLine="200"/>
    </w:pPr>
    <w:rPr>
      <w:rFonts w:ascii="Calibri" w:hAnsi="Calibri"/>
    </w:rPr>
  </w:style>
  <w:style w:type="character" w:customStyle="1" w:styleId="41">
    <w:name w:val="正文文本 2 Char"/>
    <w:basedOn w:val="33"/>
    <w:qFormat/>
    <w:uiPriority w:val="0"/>
    <w:rPr>
      <w:rFonts w:ascii="Times New Roman" w:hAnsi="Times New Roman" w:eastAsia="宋体" w:cs="Times New Roman"/>
    </w:rPr>
  </w:style>
  <w:style w:type="character" w:customStyle="1" w:styleId="42">
    <w:name w:val="16"/>
    <w:basedOn w:val="33"/>
    <w:qFormat/>
    <w:uiPriority w:val="0"/>
    <w:rPr>
      <w:rFonts w:hint="default" w:ascii="Times New Roman" w:hAnsi="Times New Roman" w:cs="Times New Roman"/>
      <w:color w:val="0000FF"/>
      <w:u w:val="single"/>
    </w:rPr>
  </w:style>
  <w:style w:type="character" w:customStyle="1" w:styleId="43">
    <w:name w:val="15"/>
    <w:basedOn w:val="33"/>
    <w:qFormat/>
    <w:uiPriority w:val="0"/>
    <w:rPr>
      <w:rFonts w:hint="default" w:ascii="Times New Roman" w:hAnsi="Times New Roman" w:cs="Times New Roman"/>
      <w:color w:val="0000FF"/>
      <w:u w:val="single"/>
    </w:rPr>
  </w:style>
  <w:style w:type="character" w:customStyle="1" w:styleId="44">
    <w:name w:val="标题 3 Char"/>
    <w:qFormat/>
    <w:uiPriority w:val="0"/>
    <w:rPr>
      <w:b/>
      <w:sz w:val="24"/>
      <w:szCs w:val="24"/>
    </w:rPr>
  </w:style>
  <w:style w:type="character" w:customStyle="1" w:styleId="45">
    <w:name w:val="标题 2 Char"/>
    <w:link w:val="5"/>
    <w:qFormat/>
    <w:uiPriority w:val="0"/>
    <w:rPr>
      <w:rFonts w:ascii="Arial" w:hAnsi="Arial" w:eastAsia="黑体"/>
      <w:b/>
      <w:sz w:val="32"/>
      <w:szCs w:val="32"/>
    </w:rPr>
  </w:style>
  <w:style w:type="character" w:customStyle="1" w:styleId="46">
    <w:name w:val="批注框文本 Char"/>
    <w:basedOn w:val="33"/>
    <w:semiHidden/>
    <w:qFormat/>
    <w:uiPriority w:val="0"/>
    <w:rPr>
      <w:sz w:val="18"/>
      <w:szCs w:val="18"/>
    </w:rPr>
  </w:style>
  <w:style w:type="character" w:customStyle="1" w:styleId="47">
    <w:name w:val="批注文字 Char"/>
    <w:basedOn w:val="33"/>
    <w:semiHidden/>
    <w:qFormat/>
    <w:uiPriority w:val="0"/>
    <w:rPr>
      <w:sz w:val="21"/>
      <w:szCs w:val="21"/>
    </w:rPr>
  </w:style>
  <w:style w:type="character" w:customStyle="1" w:styleId="48">
    <w:name w:val="批注主题 Char"/>
    <w:basedOn w:val="47"/>
    <w:semiHidden/>
    <w:qFormat/>
    <w:uiPriority w:val="0"/>
    <w:rPr>
      <w:b/>
      <w:sz w:val="21"/>
      <w:szCs w:val="21"/>
    </w:rPr>
  </w:style>
  <w:style w:type="character" w:customStyle="1" w:styleId="49">
    <w:name w:val="文档结构图 Char"/>
    <w:basedOn w:val="33"/>
    <w:semiHidden/>
    <w:qFormat/>
    <w:uiPriority w:val="0"/>
    <w:rPr>
      <w:rFonts w:ascii="宋体"/>
      <w:sz w:val="18"/>
      <w:szCs w:val="18"/>
    </w:rPr>
  </w:style>
  <w:style w:type="character" w:customStyle="1" w:styleId="50">
    <w:name w:val="页脚 Char"/>
    <w:qFormat/>
    <w:uiPriority w:val="99"/>
    <w:rPr>
      <w:sz w:val="18"/>
      <w:szCs w:val="18"/>
    </w:rPr>
  </w:style>
  <w:style w:type="character" w:customStyle="1" w:styleId="51">
    <w:name w:val="脚注文本 Char"/>
    <w:basedOn w:val="33"/>
    <w:semiHidden/>
    <w:qFormat/>
    <w:uiPriority w:val="0"/>
    <w:rPr>
      <w:sz w:val="18"/>
      <w:szCs w:val="18"/>
    </w:rPr>
  </w:style>
  <w:style w:type="paragraph" w:customStyle="1" w:styleId="52">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3">
    <w:name w:val="纯文本 Char"/>
    <w:link w:val="2"/>
    <w:qFormat/>
    <w:locked/>
    <w:uiPriority w:val="0"/>
    <w:rPr>
      <w:rFonts w:ascii="宋体" w:hAnsi="Courier New" w:cs="宋体"/>
    </w:rPr>
  </w:style>
  <w:style w:type="paragraph" w:customStyle="1" w:styleId="54">
    <w:name w:val="修订1"/>
    <w:hidden/>
    <w:semiHidden/>
    <w:qFormat/>
    <w:uiPriority w:val="99"/>
    <w:rPr>
      <w:rFonts w:ascii="Times New Roman" w:hAnsi="Times New Roman" w:eastAsia="宋体" w:cs="Times New Roman"/>
      <w:sz w:val="21"/>
      <w:szCs w:val="21"/>
      <w:lang w:val="en-US" w:eastAsia="zh-CN" w:bidi="ar-SA"/>
    </w:rPr>
  </w:style>
  <w:style w:type="character" w:customStyle="1" w:styleId="55">
    <w:name w:val="正文文本 Char"/>
    <w:basedOn w:val="33"/>
    <w:link w:val="11"/>
    <w:semiHidden/>
    <w:qFormat/>
    <w:uiPriority w:val="99"/>
    <w:rPr>
      <w:sz w:val="21"/>
      <w:szCs w:val="21"/>
    </w:rPr>
  </w:style>
  <w:style w:type="paragraph" w:customStyle="1" w:styleId="56">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7">
    <w:name w:val="日期 Char"/>
    <w:basedOn w:val="33"/>
    <w:link w:val="16"/>
    <w:semiHidden/>
    <w:qFormat/>
    <w:uiPriority w:val="99"/>
    <w:rPr>
      <w:sz w:val="21"/>
      <w:szCs w:val="21"/>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表格标题"/>
    <w:qFormat/>
    <w:uiPriority w:val="99"/>
    <w:pPr>
      <w:widowControl w:val="0"/>
      <w:jc w:val="center"/>
    </w:pPr>
    <w:rPr>
      <w:rFonts w:ascii="Arial" w:hAnsi="Arial" w:eastAsia="Times New Roman" w:cs="Times New Roman"/>
      <w:b/>
      <w:sz w:val="24"/>
      <w:szCs w:val="24"/>
      <w:lang w:val="en-US" w:eastAsia="zh-CN" w:bidi="ar-SA"/>
    </w:rPr>
  </w:style>
  <w:style w:type="paragraph" w:customStyle="1" w:styleId="6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6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6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63">
    <w:name w:val="Table Paragraph"/>
    <w:basedOn w:val="1"/>
    <w:qFormat/>
    <w:uiPriority w:val="1"/>
    <w:rPr>
      <w:rFonts w:ascii="宋体" w:hAnsi="宋体" w:eastAsia="宋体" w:cs="宋体"/>
      <w:lang w:val="zh-CN" w:eastAsia="zh-CN" w:bidi="zh-CN"/>
    </w:rPr>
  </w:style>
  <w:style w:type="paragraph" w:customStyle="1" w:styleId="64">
    <w:name w:val="表格文字"/>
    <w:qFormat/>
    <w:uiPriority w:val="0"/>
    <w:pPr>
      <w:autoSpaceDE w:val="0"/>
      <w:autoSpaceDN w:val="0"/>
      <w:adjustRightInd w:val="0"/>
      <w:snapToGrid w:val="0"/>
      <w:jc w:val="center"/>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5.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54"/>
    <customShpInfo spid="_x0000_s1055"/>
    <customShpInfo spid="_x0000_s1053" textRotate="1"/>
    <customShpInfo spid="_x0000_s1040" textRotate="1"/>
    <customShpInfo spid="_x0000_s1049" textRotate="1"/>
    <customShpInfo spid="_x0000_s1050" textRotate="1"/>
    <customShpInfo spid="_x0000_s1041"/>
    <customShpInfo spid="_x0000_s1042" textRotate="1"/>
    <customShpInfo spid="_x0000_s1043"/>
    <customShpInfo spid="_x0000_s1044" textRotate="1"/>
    <customShpInfo spid="_x0000_s1045"/>
    <customShpInfo spid="_x0000_s1046"/>
    <customShpInfo spid="_x0000_s1047"/>
    <customShpInfo spid="_x0000_s1048"/>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3FF0-6EBA-4C15-88D4-F03E4AA6587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52742</Words>
  <Characters>56840</Characters>
  <Lines>1</Lines>
  <Paragraphs>1</Paragraphs>
  <TotalTime>27</TotalTime>
  <ScaleCrop>false</ScaleCrop>
  <LinksUpToDate>false</LinksUpToDate>
  <CharactersWithSpaces>58008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lbq</cp:lastModifiedBy>
  <cp:lastPrinted>2023-12-19T01:58:00Z</cp:lastPrinted>
  <dcterms:modified xsi:type="dcterms:W3CDTF">2023-12-19T03:14:50Z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8EA8508F482D400CA180E25954BE364A</vt:lpwstr>
  </property>
  <property fmtid="{D5CDD505-2E9C-101B-9397-08002B2CF9AE}" pid="4" name="commondata">
    <vt:lpwstr>eyJoZGlkIjoiNWE4MWE4OWU4ZTc4Y2FiZDRlZDk3YTI5ZGVhMWVjYWQifQ==</vt:lpwstr>
  </property>
</Properties>
</file>