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pStyle w:val="29"/>
        <w:spacing w:before="0"/>
        <w:jc w:val="center"/>
        <w:rPr>
          <w:rFonts w:ascii="宋体" w:hAnsi="宋体"/>
          <w:b/>
          <w:color w:val="auto"/>
          <w:spacing w:val="-4"/>
          <w:sz w:val="44"/>
          <w:szCs w:val="44"/>
          <w:highlight w:val="none"/>
        </w:rPr>
      </w:pPr>
      <w:r>
        <w:rPr>
          <w:rFonts w:hint="eastAsia" w:ascii="宋体" w:hAnsi="宋体"/>
          <w:b/>
          <w:color w:val="auto"/>
          <w:spacing w:val="-4"/>
          <w:sz w:val="44"/>
          <w:szCs w:val="44"/>
          <w:highlight w:val="none"/>
        </w:rPr>
        <w:t>南宁轨道交通1-5号线办公网交换机设备委外维保维修服务采购项目（2023年-2024年）</w:t>
      </w:r>
    </w:p>
    <w:p>
      <w:pPr>
        <w:pStyle w:val="29"/>
        <w:spacing w:before="0"/>
        <w:ind w:right="-57"/>
        <w:jc w:val="center"/>
        <w:rPr>
          <w:rFonts w:ascii="宋体" w:hAnsi="宋体"/>
          <w:b/>
          <w:color w:val="auto"/>
          <w:spacing w:val="-4"/>
          <w:sz w:val="44"/>
          <w:szCs w:val="44"/>
          <w:highlight w:val="none"/>
        </w:rPr>
      </w:pPr>
    </w:p>
    <w:p>
      <w:pPr>
        <w:spacing w:before="0"/>
        <w:ind w:right="-57" w:firstLine="0"/>
        <w:jc w:val="center"/>
        <w:rPr>
          <w:rFonts w:ascii="宋体" w:hAnsi="宋体"/>
          <w:color w:val="auto"/>
          <w:sz w:val="32"/>
          <w:szCs w:val="32"/>
          <w:highlight w:val="none"/>
        </w:rPr>
      </w:pPr>
      <w:r>
        <w:rPr>
          <w:rFonts w:hint="eastAsia" w:ascii="宋体" w:hAnsi="宋体"/>
          <w:color w:val="auto"/>
          <w:sz w:val="72"/>
          <w:szCs w:val="72"/>
          <w:highlight w:val="none"/>
        </w:rPr>
        <w:t>比选</w:t>
      </w:r>
      <w:r>
        <w:rPr>
          <w:rFonts w:ascii="宋体" w:hAnsi="宋体"/>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rPr>
          <w:rFonts w:ascii="宋体" w:hAnsi="宋体"/>
          <w:b/>
          <w:color w:val="auto"/>
          <w:sz w:val="32"/>
          <w:szCs w:val="32"/>
          <w:highlight w:val="none"/>
        </w:rPr>
      </w:pPr>
      <w:r>
        <w:rPr>
          <w:rFonts w:hint="eastAsia" w:ascii="宋体" w:hAnsi="宋体"/>
          <w:b/>
          <w:color w:val="auto"/>
          <w:sz w:val="32"/>
          <w:szCs w:val="32"/>
          <w:highlight w:val="none"/>
        </w:rPr>
        <w:t>项目编号：202311030002</w:t>
      </w:r>
    </w:p>
    <w:p>
      <w:pPr>
        <w:spacing w:before="0"/>
        <w:ind w:left="1801" w:right="-57" w:hanging="180"/>
        <w:rPr>
          <w:rFonts w:ascii="宋体" w:hAnsi="宋体"/>
          <w:color w:val="auto"/>
          <w:sz w:val="30"/>
          <w:szCs w:val="30"/>
          <w:highlight w:val="none"/>
        </w:rPr>
      </w:pPr>
      <w:r>
        <w:rPr>
          <w:rFonts w:ascii="宋体" w:hAnsi="宋体"/>
          <w:b/>
          <w:color w:val="auto"/>
          <w:sz w:val="32"/>
          <w:szCs w:val="32"/>
          <w:highlight w:val="none"/>
        </w:rPr>
        <w:t>比选人：</w:t>
      </w:r>
      <w:r>
        <w:rPr>
          <w:rFonts w:ascii="宋体" w:hAnsi="宋体"/>
          <w:b/>
          <w:color w:val="auto"/>
          <w:sz w:val="32"/>
          <w:szCs w:val="32"/>
          <w:highlight w:val="none"/>
          <w:u w:val="single"/>
        </w:rPr>
        <w:t>南宁轨道交通</w:t>
      </w:r>
      <w:r>
        <w:rPr>
          <w:rFonts w:hint="eastAsia" w:ascii="宋体" w:hAnsi="宋体"/>
          <w:b/>
          <w:color w:val="auto"/>
          <w:sz w:val="32"/>
          <w:szCs w:val="32"/>
          <w:highlight w:val="none"/>
          <w:u w:val="single"/>
        </w:rPr>
        <w:t>运营</w:t>
      </w:r>
      <w:r>
        <w:rPr>
          <w:rFonts w:ascii="宋体" w:hAnsi="宋体"/>
          <w:b/>
          <w:color w:val="auto"/>
          <w:sz w:val="32"/>
          <w:szCs w:val="32"/>
          <w:highlight w:val="none"/>
          <w:u w:val="single"/>
        </w:rPr>
        <w:t>有限公司</w:t>
      </w:r>
    </w:p>
    <w:p>
      <w:pPr>
        <w:spacing w:before="0"/>
        <w:ind w:right="-57" w:firstLine="0"/>
        <w:jc w:val="center"/>
        <w:rPr>
          <w:rFonts w:ascii="宋体" w:hAnsi="宋体"/>
          <w:color w:val="auto"/>
          <w:highlight w:val="none"/>
        </w:rPr>
      </w:pPr>
      <w:r>
        <w:rPr>
          <w:rFonts w:hint="eastAsia" w:ascii="宋体" w:hAnsi="宋体"/>
          <w:b/>
          <w:color w:val="auto"/>
          <w:sz w:val="36"/>
          <w:szCs w:val="36"/>
          <w:highlight w:val="none"/>
        </w:rPr>
        <w:t>2023</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12</w:t>
      </w:r>
      <w:r>
        <w:rPr>
          <w:rFonts w:ascii="宋体" w:hAnsi="宋体"/>
          <w:b/>
          <w:color w:val="auto"/>
          <w:sz w:val="36"/>
          <w:szCs w:val="36"/>
          <w:highlight w:val="none"/>
        </w:rPr>
        <w:t>月</w:t>
      </w:r>
    </w:p>
    <w:p>
      <w:pPr>
        <w:ind w:left="0" w:right="-57" w:firstLine="0"/>
        <w:rPr>
          <w:rFonts w:ascii="宋体" w:hAnsi="宋体"/>
          <w:color w:val="auto"/>
          <w:sz w:val="36"/>
          <w:szCs w:val="36"/>
          <w:highlight w:val="none"/>
        </w:rPr>
        <w:sectPr>
          <w:headerReference r:id="rId5" w:type="default"/>
          <w:footerReference r:id="rId6" w:type="default"/>
          <w:pgSz w:w="11905" w:h="16838"/>
          <w:pgMar w:top="1417" w:right="1417" w:bottom="1417" w:left="1417" w:header="0" w:footer="0" w:gutter="0"/>
          <w:pgNumType w:fmt="decimal" w:start="1" w:chapStyle="1"/>
          <w:cols w:space="720" w:num="1"/>
          <w:docGrid w:linePitch="312" w:charSpace="0"/>
        </w:sectPr>
      </w:pPr>
    </w:p>
    <w:p>
      <w:pPr>
        <w:spacing w:before="0" w:beforeLines="-2147483648" w:after="0" w:afterLines="-2147483648" w:line="240" w:lineRule="auto"/>
        <w:ind w:left="0" w:leftChars="0" w:right="0" w:rightChars="0" w:firstLine="0" w:firstLineChars="0"/>
        <w:jc w:val="center"/>
        <w:rPr>
          <w:b/>
          <w:bCs/>
          <w:color w:val="auto"/>
          <w:sz w:val="32"/>
          <w:szCs w:val="32"/>
          <w:highlight w:val="none"/>
        </w:rPr>
      </w:pPr>
      <w:r>
        <w:rPr>
          <w:rFonts w:ascii="宋体" w:hAnsi="宋体" w:eastAsia="宋体"/>
          <w:b/>
          <w:bCs/>
          <w:color w:val="auto"/>
          <w:sz w:val="32"/>
          <w:szCs w:val="32"/>
          <w:highlight w:val="none"/>
        </w:rPr>
        <w:t>目</w:t>
      </w:r>
      <w:r>
        <w:rPr>
          <w:rFonts w:hint="eastAsia" w:ascii="宋体" w:hAnsi="宋体" w:eastAsia="宋体"/>
          <w:b/>
          <w:bCs/>
          <w:color w:val="auto"/>
          <w:sz w:val="32"/>
          <w:szCs w:val="32"/>
          <w:highlight w:val="none"/>
          <w:lang w:val="en-US" w:eastAsia="zh-CN"/>
        </w:rPr>
        <w:t xml:space="preserve">  </w:t>
      </w:r>
      <w:r>
        <w:rPr>
          <w:rFonts w:ascii="宋体" w:hAnsi="宋体" w:eastAsia="宋体"/>
          <w:b/>
          <w:bCs/>
          <w:color w:val="auto"/>
          <w:sz w:val="32"/>
          <w:szCs w:val="32"/>
          <w:highlight w:val="none"/>
        </w:rPr>
        <w:t>录</w:t>
      </w:r>
    </w:p>
    <w:p>
      <w:pPr>
        <w:pStyle w:val="22"/>
        <w:tabs>
          <w:tab w:val="right" w:leader="dot" w:pos="9071"/>
        </w:tabs>
        <w:rPr>
          <w:color w:val="auto"/>
        </w:rPr>
      </w:pPr>
      <w:r>
        <w:rPr>
          <w:color w:val="auto"/>
          <w:highlight w:val="none"/>
        </w:rPr>
        <w:fldChar w:fldCharType="begin"/>
      </w:r>
      <w:r>
        <w:rPr>
          <w:color w:val="auto"/>
          <w:highlight w:val="none"/>
        </w:rPr>
        <w:instrText xml:space="preserve">TOC \o "1-2" \h \u </w:instrText>
      </w:r>
      <w:r>
        <w:rPr>
          <w:color w:val="auto"/>
          <w:highlight w:val="none"/>
        </w:rPr>
        <w:fldChar w:fldCharType="separate"/>
      </w:r>
      <w:r>
        <w:rPr>
          <w:color w:val="auto"/>
          <w:highlight w:val="none"/>
        </w:rPr>
        <w:fldChar w:fldCharType="begin"/>
      </w:r>
      <w:r>
        <w:rPr>
          <w:color w:val="auto"/>
          <w:highlight w:val="none"/>
        </w:rPr>
        <w:instrText xml:space="preserve"> HYPERLINK \l _Toc28635 </w:instrText>
      </w:r>
      <w:r>
        <w:rPr>
          <w:color w:val="auto"/>
          <w:highlight w:val="none"/>
        </w:rPr>
        <w:fldChar w:fldCharType="separate"/>
      </w:r>
      <w:r>
        <w:rPr>
          <w:rFonts w:hint="eastAsia" w:ascii="宋体" w:hAnsi="宋体" w:eastAsia="宋体"/>
          <w:color w:val="auto"/>
          <w:highlight w:val="none"/>
        </w:rPr>
        <w:t>第一章比选公告</w:t>
      </w:r>
      <w:r>
        <w:rPr>
          <w:color w:val="auto"/>
        </w:rPr>
        <w:tab/>
      </w:r>
      <w:r>
        <w:rPr>
          <w:color w:val="auto"/>
        </w:rPr>
        <w:fldChar w:fldCharType="begin"/>
      </w:r>
      <w:r>
        <w:rPr>
          <w:color w:val="auto"/>
        </w:rPr>
        <w:instrText xml:space="preserve"> PAGEREF _Toc28635 \h </w:instrText>
      </w:r>
      <w:r>
        <w:rPr>
          <w:color w:val="auto"/>
        </w:rPr>
        <w:fldChar w:fldCharType="separate"/>
      </w:r>
      <w:r>
        <w:rPr>
          <w:color w:val="auto"/>
        </w:rPr>
        <w:t>8</w:t>
      </w:r>
      <w:r>
        <w:rPr>
          <w:color w:val="auto"/>
        </w:rPr>
        <w:fldChar w:fldCharType="end"/>
      </w:r>
      <w:r>
        <w:rPr>
          <w:color w:val="auto"/>
          <w:highlight w:val="none"/>
        </w:rPr>
        <w:fldChar w:fldCharType="end"/>
      </w:r>
    </w:p>
    <w:p>
      <w:pPr>
        <w:pStyle w:val="22"/>
        <w:tabs>
          <w:tab w:val="right" w:leader="dot" w:pos="9071"/>
        </w:tabs>
        <w:rPr>
          <w:color w:val="auto"/>
        </w:rPr>
      </w:pPr>
      <w:r>
        <w:rPr>
          <w:color w:val="auto"/>
          <w:highlight w:val="none"/>
        </w:rPr>
        <w:fldChar w:fldCharType="begin"/>
      </w:r>
      <w:r>
        <w:rPr>
          <w:color w:val="auto"/>
          <w:highlight w:val="none"/>
        </w:rPr>
        <w:instrText xml:space="preserve"> HYPERLINK \l _Toc24737 </w:instrText>
      </w:r>
      <w:r>
        <w:rPr>
          <w:color w:val="auto"/>
          <w:highlight w:val="none"/>
        </w:rPr>
        <w:fldChar w:fldCharType="separate"/>
      </w:r>
      <w:r>
        <w:rPr>
          <w:rFonts w:hint="eastAsia" w:ascii="宋体" w:hAnsi="宋体" w:eastAsia="宋体"/>
          <w:color w:val="auto"/>
          <w:highlight w:val="none"/>
        </w:rPr>
        <w:t>第二章比选申请须知</w:t>
      </w:r>
      <w:r>
        <w:rPr>
          <w:color w:val="auto"/>
        </w:rPr>
        <w:tab/>
      </w:r>
      <w:r>
        <w:rPr>
          <w:color w:val="auto"/>
        </w:rPr>
        <w:fldChar w:fldCharType="begin"/>
      </w:r>
      <w:r>
        <w:rPr>
          <w:color w:val="auto"/>
        </w:rPr>
        <w:instrText xml:space="preserve"> PAGEREF _Toc24737 \h </w:instrText>
      </w:r>
      <w:r>
        <w:rPr>
          <w:color w:val="auto"/>
        </w:rPr>
        <w:fldChar w:fldCharType="separate"/>
      </w:r>
      <w:r>
        <w:rPr>
          <w:color w:val="auto"/>
        </w:rPr>
        <w:t>10</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_Toc31407 </w:instrText>
      </w:r>
      <w:r>
        <w:rPr>
          <w:color w:val="auto"/>
          <w:highlight w:val="none"/>
        </w:rPr>
        <w:fldChar w:fldCharType="separate"/>
      </w:r>
      <w:r>
        <w:rPr>
          <w:rFonts w:hint="eastAsia" w:ascii="宋体" w:hAnsi="宋体" w:eastAsia="宋体"/>
          <w:color w:val="auto"/>
          <w:szCs w:val="24"/>
          <w:highlight w:val="none"/>
        </w:rPr>
        <w:t>一、</w:t>
      </w:r>
      <w:r>
        <w:rPr>
          <w:rFonts w:ascii="宋体" w:hAnsi="宋体" w:eastAsia="宋体"/>
          <w:color w:val="auto"/>
          <w:szCs w:val="24"/>
          <w:highlight w:val="none"/>
        </w:rPr>
        <w:t>说明</w:t>
      </w:r>
      <w:r>
        <w:rPr>
          <w:color w:val="auto"/>
        </w:rPr>
        <w:tab/>
      </w:r>
      <w:r>
        <w:rPr>
          <w:color w:val="auto"/>
        </w:rPr>
        <w:fldChar w:fldCharType="begin"/>
      </w:r>
      <w:r>
        <w:rPr>
          <w:color w:val="auto"/>
        </w:rPr>
        <w:instrText xml:space="preserve"> PAGEREF _Toc31407 \h </w:instrText>
      </w:r>
      <w:r>
        <w:rPr>
          <w:color w:val="auto"/>
        </w:rPr>
        <w:fldChar w:fldCharType="separate"/>
      </w:r>
      <w:r>
        <w:rPr>
          <w:color w:val="auto"/>
        </w:rPr>
        <w:t>14</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_Toc6420 </w:instrText>
      </w:r>
      <w:r>
        <w:rPr>
          <w:color w:val="auto"/>
          <w:highlight w:val="none"/>
        </w:rPr>
        <w:fldChar w:fldCharType="separate"/>
      </w:r>
      <w:r>
        <w:rPr>
          <w:rFonts w:hint="eastAsia" w:ascii="宋体" w:hAnsi="宋体" w:eastAsia="宋体"/>
          <w:color w:val="auto"/>
          <w:szCs w:val="24"/>
          <w:highlight w:val="none"/>
        </w:rPr>
        <w:t>二、</w:t>
      </w:r>
      <w:r>
        <w:rPr>
          <w:rFonts w:ascii="宋体" w:hAnsi="宋体" w:eastAsia="宋体"/>
          <w:color w:val="auto"/>
          <w:szCs w:val="24"/>
          <w:highlight w:val="none"/>
        </w:rPr>
        <w:t>比选文件</w:t>
      </w:r>
      <w:r>
        <w:rPr>
          <w:color w:val="auto"/>
        </w:rPr>
        <w:tab/>
      </w:r>
      <w:r>
        <w:rPr>
          <w:color w:val="auto"/>
        </w:rPr>
        <w:fldChar w:fldCharType="begin"/>
      </w:r>
      <w:r>
        <w:rPr>
          <w:color w:val="auto"/>
        </w:rPr>
        <w:instrText xml:space="preserve"> PAGEREF _Toc6420 \h </w:instrText>
      </w:r>
      <w:r>
        <w:rPr>
          <w:color w:val="auto"/>
        </w:rPr>
        <w:fldChar w:fldCharType="separate"/>
      </w:r>
      <w:r>
        <w:rPr>
          <w:color w:val="auto"/>
        </w:rPr>
        <w:t>15</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_Toc9001 </w:instrText>
      </w:r>
      <w:r>
        <w:rPr>
          <w:color w:val="auto"/>
          <w:highlight w:val="none"/>
        </w:rPr>
        <w:fldChar w:fldCharType="separate"/>
      </w:r>
      <w:r>
        <w:rPr>
          <w:rFonts w:hint="eastAsia" w:ascii="宋体" w:hAnsi="宋体" w:eastAsia="宋体"/>
          <w:color w:val="auto"/>
          <w:szCs w:val="24"/>
          <w:highlight w:val="none"/>
        </w:rPr>
        <w:t>三、</w:t>
      </w:r>
      <w:r>
        <w:rPr>
          <w:rFonts w:ascii="宋体" w:hAnsi="宋体" w:eastAsia="宋体"/>
          <w:color w:val="auto"/>
          <w:szCs w:val="24"/>
          <w:highlight w:val="none"/>
        </w:rPr>
        <w:t>比选申请文件的编制</w:t>
      </w:r>
      <w:r>
        <w:rPr>
          <w:color w:val="auto"/>
        </w:rPr>
        <w:tab/>
      </w:r>
      <w:r>
        <w:rPr>
          <w:color w:val="auto"/>
        </w:rPr>
        <w:fldChar w:fldCharType="begin"/>
      </w:r>
      <w:r>
        <w:rPr>
          <w:color w:val="auto"/>
        </w:rPr>
        <w:instrText xml:space="preserve"> PAGEREF _Toc9001 \h </w:instrText>
      </w:r>
      <w:r>
        <w:rPr>
          <w:color w:val="auto"/>
        </w:rPr>
        <w:fldChar w:fldCharType="separate"/>
      </w:r>
      <w:r>
        <w:rPr>
          <w:color w:val="auto"/>
        </w:rPr>
        <w:t>16</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_Toc5192 </w:instrText>
      </w:r>
      <w:r>
        <w:rPr>
          <w:color w:val="auto"/>
          <w:highlight w:val="none"/>
        </w:rPr>
        <w:fldChar w:fldCharType="separate"/>
      </w:r>
      <w:r>
        <w:rPr>
          <w:rFonts w:hint="eastAsia" w:ascii="宋体" w:hAnsi="宋体" w:eastAsia="宋体"/>
          <w:color w:val="auto"/>
          <w:szCs w:val="24"/>
          <w:highlight w:val="none"/>
        </w:rPr>
        <w:t>四、</w:t>
      </w:r>
      <w:r>
        <w:rPr>
          <w:rFonts w:ascii="宋体" w:hAnsi="宋体" w:eastAsia="宋体"/>
          <w:color w:val="auto"/>
          <w:szCs w:val="24"/>
          <w:highlight w:val="none"/>
        </w:rPr>
        <w:t>比选申请文件</w:t>
      </w:r>
      <w:r>
        <w:rPr>
          <w:rFonts w:hint="eastAsia" w:ascii="宋体" w:hAnsi="宋体" w:eastAsia="宋体"/>
          <w:color w:val="auto"/>
          <w:szCs w:val="24"/>
          <w:highlight w:val="none"/>
        </w:rPr>
        <w:t>的密封和递交</w:t>
      </w:r>
      <w:r>
        <w:rPr>
          <w:color w:val="auto"/>
        </w:rPr>
        <w:tab/>
      </w:r>
      <w:r>
        <w:rPr>
          <w:color w:val="auto"/>
        </w:rPr>
        <w:fldChar w:fldCharType="begin"/>
      </w:r>
      <w:r>
        <w:rPr>
          <w:color w:val="auto"/>
        </w:rPr>
        <w:instrText xml:space="preserve"> PAGEREF _Toc5192 \h </w:instrText>
      </w:r>
      <w:r>
        <w:rPr>
          <w:color w:val="auto"/>
        </w:rPr>
        <w:fldChar w:fldCharType="separate"/>
      </w:r>
      <w:r>
        <w:rPr>
          <w:color w:val="auto"/>
        </w:rPr>
        <w:t>18</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_Toc5443 </w:instrText>
      </w:r>
      <w:r>
        <w:rPr>
          <w:color w:val="auto"/>
          <w:highlight w:val="none"/>
        </w:rPr>
        <w:fldChar w:fldCharType="separate"/>
      </w:r>
      <w:r>
        <w:rPr>
          <w:rFonts w:hint="eastAsia" w:ascii="宋体" w:hAnsi="宋体" w:eastAsia="宋体"/>
          <w:color w:val="auto"/>
          <w:szCs w:val="24"/>
          <w:highlight w:val="none"/>
        </w:rPr>
        <w:t>五、比选申请文件递交与评审</w:t>
      </w:r>
      <w:r>
        <w:rPr>
          <w:color w:val="auto"/>
        </w:rPr>
        <w:tab/>
      </w:r>
      <w:r>
        <w:rPr>
          <w:color w:val="auto"/>
        </w:rPr>
        <w:fldChar w:fldCharType="begin"/>
      </w:r>
      <w:r>
        <w:rPr>
          <w:color w:val="auto"/>
        </w:rPr>
        <w:instrText xml:space="preserve"> PAGEREF _Toc5443 \h </w:instrText>
      </w:r>
      <w:r>
        <w:rPr>
          <w:color w:val="auto"/>
        </w:rPr>
        <w:fldChar w:fldCharType="separate"/>
      </w:r>
      <w:r>
        <w:rPr>
          <w:color w:val="auto"/>
        </w:rPr>
        <w:t>19</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_Toc19966 </w:instrText>
      </w:r>
      <w:r>
        <w:rPr>
          <w:color w:val="auto"/>
          <w:highlight w:val="none"/>
        </w:rPr>
        <w:fldChar w:fldCharType="separate"/>
      </w:r>
      <w:r>
        <w:rPr>
          <w:rFonts w:hint="eastAsia" w:ascii="宋体" w:hAnsi="宋体" w:eastAsia="宋体"/>
          <w:color w:val="auto"/>
          <w:szCs w:val="24"/>
          <w:highlight w:val="none"/>
        </w:rPr>
        <w:t>六、</w:t>
      </w:r>
      <w:r>
        <w:rPr>
          <w:rFonts w:ascii="宋体" w:hAnsi="宋体" w:eastAsia="宋体"/>
          <w:color w:val="auto"/>
          <w:szCs w:val="24"/>
          <w:highlight w:val="none"/>
        </w:rPr>
        <w:t>授予合同</w:t>
      </w:r>
      <w:r>
        <w:rPr>
          <w:color w:val="auto"/>
        </w:rPr>
        <w:tab/>
      </w:r>
      <w:r>
        <w:rPr>
          <w:color w:val="auto"/>
        </w:rPr>
        <w:fldChar w:fldCharType="begin"/>
      </w:r>
      <w:r>
        <w:rPr>
          <w:color w:val="auto"/>
        </w:rPr>
        <w:instrText xml:space="preserve"> PAGEREF _Toc19966 \h </w:instrText>
      </w:r>
      <w:r>
        <w:rPr>
          <w:color w:val="auto"/>
        </w:rPr>
        <w:fldChar w:fldCharType="separate"/>
      </w:r>
      <w:r>
        <w:rPr>
          <w:color w:val="auto"/>
        </w:rPr>
        <w:t>22</w:t>
      </w:r>
      <w:r>
        <w:rPr>
          <w:color w:val="auto"/>
        </w:rPr>
        <w:fldChar w:fldCharType="end"/>
      </w:r>
      <w:r>
        <w:rPr>
          <w:color w:val="auto"/>
          <w:highlight w:val="none"/>
        </w:rPr>
        <w:fldChar w:fldCharType="end"/>
      </w:r>
    </w:p>
    <w:p>
      <w:pPr>
        <w:pStyle w:val="22"/>
        <w:tabs>
          <w:tab w:val="right" w:leader="dot" w:pos="9071"/>
        </w:tabs>
        <w:rPr>
          <w:color w:val="auto"/>
        </w:rPr>
      </w:pPr>
      <w:r>
        <w:rPr>
          <w:color w:val="auto"/>
          <w:highlight w:val="none"/>
        </w:rPr>
        <w:fldChar w:fldCharType="begin"/>
      </w:r>
      <w:r>
        <w:rPr>
          <w:color w:val="auto"/>
          <w:highlight w:val="none"/>
        </w:rPr>
        <w:instrText xml:space="preserve"> HYPERLINK \l _Toc1718 </w:instrText>
      </w:r>
      <w:r>
        <w:rPr>
          <w:color w:val="auto"/>
          <w:highlight w:val="none"/>
        </w:rPr>
        <w:fldChar w:fldCharType="separate"/>
      </w:r>
      <w:r>
        <w:rPr>
          <w:rFonts w:hint="eastAsia" w:ascii="宋体" w:hAnsi="宋体" w:eastAsia="宋体"/>
          <w:color w:val="auto"/>
          <w:highlight w:val="none"/>
        </w:rPr>
        <w:t>第三章合同条款及格式</w:t>
      </w:r>
      <w:r>
        <w:rPr>
          <w:color w:val="auto"/>
        </w:rPr>
        <w:tab/>
      </w:r>
      <w:r>
        <w:rPr>
          <w:color w:val="auto"/>
        </w:rPr>
        <w:fldChar w:fldCharType="begin"/>
      </w:r>
      <w:r>
        <w:rPr>
          <w:color w:val="auto"/>
        </w:rPr>
        <w:instrText xml:space="preserve"> PAGEREF _Toc1718 \h </w:instrText>
      </w:r>
      <w:r>
        <w:rPr>
          <w:color w:val="auto"/>
        </w:rPr>
        <w:fldChar w:fldCharType="separate"/>
      </w:r>
      <w:r>
        <w:rPr>
          <w:color w:val="auto"/>
        </w:rPr>
        <w:t>25</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_Toc12801 </w:instrText>
      </w:r>
      <w:r>
        <w:rPr>
          <w:color w:val="auto"/>
          <w:highlight w:val="none"/>
        </w:rPr>
        <w:fldChar w:fldCharType="separate"/>
      </w:r>
      <w:r>
        <w:rPr>
          <w:rFonts w:hint="eastAsia" w:ascii="宋体" w:hAnsi="宋体"/>
          <w:color w:val="auto"/>
          <w:szCs w:val="24"/>
          <w:highlight w:val="none"/>
        </w:rPr>
        <w:t>一、合同协议书</w:t>
      </w:r>
      <w:r>
        <w:rPr>
          <w:color w:val="auto"/>
        </w:rPr>
        <w:tab/>
      </w:r>
      <w:r>
        <w:rPr>
          <w:color w:val="auto"/>
        </w:rPr>
        <w:fldChar w:fldCharType="begin"/>
      </w:r>
      <w:r>
        <w:rPr>
          <w:color w:val="auto"/>
        </w:rPr>
        <w:instrText xml:space="preserve"> PAGEREF _Toc12801 \h </w:instrText>
      </w:r>
      <w:r>
        <w:rPr>
          <w:color w:val="auto"/>
        </w:rPr>
        <w:fldChar w:fldCharType="separate"/>
      </w:r>
      <w:r>
        <w:rPr>
          <w:color w:val="auto"/>
        </w:rPr>
        <w:t>25</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_Toc30010 </w:instrText>
      </w:r>
      <w:r>
        <w:rPr>
          <w:color w:val="auto"/>
          <w:highlight w:val="none"/>
        </w:rPr>
        <w:fldChar w:fldCharType="separate"/>
      </w:r>
      <w:r>
        <w:rPr>
          <w:rFonts w:hint="eastAsia" w:ascii="宋体" w:hAnsi="宋体"/>
          <w:color w:val="auto"/>
          <w:szCs w:val="24"/>
          <w:highlight w:val="none"/>
        </w:rPr>
        <w:t>二、合同条款</w:t>
      </w:r>
      <w:r>
        <w:rPr>
          <w:color w:val="auto"/>
        </w:rPr>
        <w:tab/>
      </w:r>
      <w:r>
        <w:rPr>
          <w:color w:val="auto"/>
        </w:rPr>
        <w:fldChar w:fldCharType="begin"/>
      </w:r>
      <w:r>
        <w:rPr>
          <w:color w:val="auto"/>
        </w:rPr>
        <w:instrText xml:space="preserve"> PAGEREF _Toc30010 \h </w:instrText>
      </w:r>
      <w:r>
        <w:rPr>
          <w:color w:val="auto"/>
        </w:rPr>
        <w:fldChar w:fldCharType="separate"/>
      </w:r>
      <w:r>
        <w:rPr>
          <w:color w:val="auto"/>
        </w:rPr>
        <w:t>28</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_Toc22398 </w:instrText>
      </w:r>
      <w:r>
        <w:rPr>
          <w:color w:val="auto"/>
          <w:highlight w:val="none"/>
        </w:rPr>
        <w:fldChar w:fldCharType="separate"/>
      </w:r>
      <w:r>
        <w:rPr>
          <w:rFonts w:hint="eastAsia" w:ascii="宋体" w:hAnsi="宋体" w:eastAsia="宋体" w:cs="宋体"/>
          <w:color w:val="auto"/>
          <w:highlight w:val="none"/>
        </w:rPr>
        <w:t>1.定义及解释</w:t>
      </w:r>
      <w:r>
        <w:rPr>
          <w:color w:val="auto"/>
        </w:rPr>
        <w:tab/>
      </w:r>
      <w:r>
        <w:rPr>
          <w:color w:val="auto"/>
        </w:rPr>
        <w:fldChar w:fldCharType="begin"/>
      </w:r>
      <w:r>
        <w:rPr>
          <w:color w:val="auto"/>
        </w:rPr>
        <w:instrText xml:space="preserve"> PAGEREF _Toc22398 \h </w:instrText>
      </w:r>
      <w:r>
        <w:rPr>
          <w:color w:val="auto"/>
        </w:rPr>
        <w:fldChar w:fldCharType="separate"/>
      </w:r>
      <w:r>
        <w:rPr>
          <w:color w:val="auto"/>
        </w:rPr>
        <w:t>28</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_Toc29413 </w:instrText>
      </w:r>
      <w:r>
        <w:rPr>
          <w:color w:val="auto"/>
          <w:highlight w:val="none"/>
        </w:rPr>
        <w:fldChar w:fldCharType="separate"/>
      </w:r>
      <w:r>
        <w:rPr>
          <w:rFonts w:hint="eastAsia" w:ascii="宋体" w:hAnsi="宋体" w:eastAsia="宋体" w:cs="宋体"/>
          <w:color w:val="auto"/>
          <w:highlight w:val="none"/>
        </w:rPr>
        <w:t>2.适用性</w:t>
      </w:r>
      <w:r>
        <w:rPr>
          <w:color w:val="auto"/>
        </w:rPr>
        <w:tab/>
      </w:r>
      <w:r>
        <w:rPr>
          <w:color w:val="auto"/>
        </w:rPr>
        <w:fldChar w:fldCharType="begin"/>
      </w:r>
      <w:r>
        <w:rPr>
          <w:color w:val="auto"/>
        </w:rPr>
        <w:instrText xml:space="preserve"> PAGEREF _Toc29413 \h </w:instrText>
      </w:r>
      <w:r>
        <w:rPr>
          <w:color w:val="auto"/>
        </w:rPr>
        <w:fldChar w:fldCharType="separate"/>
      </w:r>
      <w:r>
        <w:rPr>
          <w:color w:val="auto"/>
        </w:rPr>
        <w:t>28</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_Toc24343 </w:instrText>
      </w:r>
      <w:r>
        <w:rPr>
          <w:color w:val="auto"/>
          <w:highlight w:val="none"/>
        </w:rPr>
        <w:fldChar w:fldCharType="separate"/>
      </w:r>
      <w:r>
        <w:rPr>
          <w:rFonts w:hint="eastAsia" w:ascii="宋体" w:hAnsi="宋体" w:eastAsia="宋体" w:cs="宋体"/>
          <w:color w:val="auto"/>
          <w:highlight w:val="none"/>
        </w:rPr>
        <w:t>3.</w:t>
      </w:r>
      <w:r>
        <w:rPr>
          <w:rFonts w:hint="eastAsia" w:ascii="宋体" w:hAnsi="宋体" w:eastAsia="宋体" w:cs="宋体"/>
          <w:bCs/>
          <w:color w:val="auto"/>
          <w:highlight w:val="none"/>
        </w:rPr>
        <w:t>语言文字</w:t>
      </w:r>
      <w:r>
        <w:rPr>
          <w:color w:val="auto"/>
        </w:rPr>
        <w:tab/>
      </w:r>
      <w:r>
        <w:rPr>
          <w:color w:val="auto"/>
        </w:rPr>
        <w:fldChar w:fldCharType="begin"/>
      </w:r>
      <w:r>
        <w:rPr>
          <w:color w:val="auto"/>
        </w:rPr>
        <w:instrText xml:space="preserve"> PAGEREF _Toc24343 \h </w:instrText>
      </w:r>
      <w:r>
        <w:rPr>
          <w:color w:val="auto"/>
        </w:rPr>
        <w:fldChar w:fldCharType="separate"/>
      </w:r>
      <w:r>
        <w:rPr>
          <w:color w:val="auto"/>
        </w:rPr>
        <w:t>28</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_Toc13823 </w:instrText>
      </w:r>
      <w:r>
        <w:rPr>
          <w:color w:val="auto"/>
          <w:highlight w:val="none"/>
        </w:rPr>
        <w:fldChar w:fldCharType="separate"/>
      </w:r>
      <w:r>
        <w:rPr>
          <w:rFonts w:hint="eastAsia" w:ascii="宋体" w:hAnsi="宋体" w:eastAsia="宋体" w:cs="宋体"/>
          <w:color w:val="auto"/>
          <w:highlight w:val="none"/>
        </w:rPr>
        <w:t>4.</w:t>
      </w:r>
      <w:r>
        <w:rPr>
          <w:rFonts w:hint="eastAsia" w:ascii="宋体" w:hAnsi="宋体" w:eastAsia="宋体" w:cs="宋体"/>
          <w:bCs/>
          <w:color w:val="auto"/>
          <w:highlight w:val="none"/>
        </w:rPr>
        <w:t>适用法律、标准和规范</w:t>
      </w:r>
      <w:r>
        <w:rPr>
          <w:color w:val="auto"/>
        </w:rPr>
        <w:tab/>
      </w:r>
      <w:r>
        <w:rPr>
          <w:color w:val="auto"/>
        </w:rPr>
        <w:fldChar w:fldCharType="begin"/>
      </w:r>
      <w:r>
        <w:rPr>
          <w:color w:val="auto"/>
        </w:rPr>
        <w:instrText xml:space="preserve"> PAGEREF _Toc13823 \h </w:instrText>
      </w:r>
      <w:r>
        <w:rPr>
          <w:color w:val="auto"/>
        </w:rPr>
        <w:fldChar w:fldCharType="separate"/>
      </w:r>
      <w:r>
        <w:rPr>
          <w:color w:val="auto"/>
        </w:rPr>
        <w:t>29</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_Toc6844 </w:instrText>
      </w:r>
      <w:r>
        <w:rPr>
          <w:color w:val="auto"/>
          <w:highlight w:val="none"/>
        </w:rPr>
        <w:fldChar w:fldCharType="separate"/>
      </w:r>
      <w:r>
        <w:rPr>
          <w:rFonts w:hint="eastAsia" w:ascii="宋体" w:hAnsi="宋体" w:eastAsia="宋体" w:cs="宋体"/>
          <w:color w:val="auto"/>
          <w:highlight w:val="none"/>
        </w:rPr>
        <w:t>5.合同文件、资料及使用</w:t>
      </w:r>
      <w:r>
        <w:rPr>
          <w:color w:val="auto"/>
        </w:rPr>
        <w:tab/>
      </w:r>
      <w:r>
        <w:rPr>
          <w:color w:val="auto"/>
        </w:rPr>
        <w:fldChar w:fldCharType="begin"/>
      </w:r>
      <w:r>
        <w:rPr>
          <w:color w:val="auto"/>
        </w:rPr>
        <w:instrText xml:space="preserve"> PAGEREF _Toc6844 \h </w:instrText>
      </w:r>
      <w:r>
        <w:rPr>
          <w:color w:val="auto"/>
        </w:rPr>
        <w:fldChar w:fldCharType="separate"/>
      </w:r>
      <w:r>
        <w:rPr>
          <w:color w:val="auto"/>
        </w:rPr>
        <w:t>29</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_Toc15447 </w:instrText>
      </w:r>
      <w:r>
        <w:rPr>
          <w:color w:val="auto"/>
          <w:highlight w:val="none"/>
        </w:rPr>
        <w:fldChar w:fldCharType="separate"/>
      </w:r>
      <w:r>
        <w:rPr>
          <w:rFonts w:hint="eastAsia" w:ascii="宋体" w:hAnsi="宋体" w:eastAsia="宋体" w:cs="宋体"/>
          <w:color w:val="auto"/>
          <w:highlight w:val="none"/>
        </w:rPr>
        <w:t>6.知识产权</w:t>
      </w:r>
      <w:r>
        <w:rPr>
          <w:color w:val="auto"/>
        </w:rPr>
        <w:tab/>
      </w:r>
      <w:r>
        <w:rPr>
          <w:color w:val="auto"/>
        </w:rPr>
        <w:fldChar w:fldCharType="begin"/>
      </w:r>
      <w:r>
        <w:rPr>
          <w:color w:val="auto"/>
        </w:rPr>
        <w:instrText xml:space="preserve"> PAGEREF _Toc15447 \h </w:instrText>
      </w:r>
      <w:r>
        <w:rPr>
          <w:color w:val="auto"/>
        </w:rPr>
        <w:fldChar w:fldCharType="separate"/>
      </w:r>
      <w:r>
        <w:rPr>
          <w:color w:val="auto"/>
        </w:rPr>
        <w:t>29</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_Toc900 </w:instrText>
      </w:r>
      <w:r>
        <w:rPr>
          <w:color w:val="auto"/>
          <w:highlight w:val="none"/>
        </w:rPr>
        <w:fldChar w:fldCharType="separate"/>
      </w:r>
      <w:r>
        <w:rPr>
          <w:rFonts w:hint="eastAsia" w:ascii="宋体" w:hAnsi="宋体" w:eastAsia="宋体" w:cs="宋体"/>
          <w:color w:val="auto"/>
          <w:highlight w:val="none"/>
        </w:rPr>
        <w:t>7.履约担保</w:t>
      </w:r>
      <w:r>
        <w:rPr>
          <w:color w:val="auto"/>
        </w:rPr>
        <w:tab/>
      </w:r>
      <w:r>
        <w:rPr>
          <w:color w:val="auto"/>
        </w:rPr>
        <w:fldChar w:fldCharType="begin"/>
      </w:r>
      <w:r>
        <w:rPr>
          <w:color w:val="auto"/>
        </w:rPr>
        <w:instrText xml:space="preserve"> PAGEREF _Toc900 \h </w:instrText>
      </w:r>
      <w:r>
        <w:rPr>
          <w:color w:val="auto"/>
        </w:rPr>
        <w:fldChar w:fldCharType="separate"/>
      </w:r>
      <w:r>
        <w:rPr>
          <w:color w:val="auto"/>
        </w:rPr>
        <w:t>30</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_Toc6064 </w:instrText>
      </w:r>
      <w:r>
        <w:rPr>
          <w:color w:val="auto"/>
          <w:highlight w:val="none"/>
        </w:rPr>
        <w:fldChar w:fldCharType="separate"/>
      </w:r>
      <w:r>
        <w:rPr>
          <w:rFonts w:hint="eastAsia" w:ascii="宋体" w:hAnsi="宋体" w:eastAsia="宋体" w:cs="宋体"/>
          <w:color w:val="auto"/>
          <w:szCs w:val="21"/>
          <w:highlight w:val="none"/>
          <w:lang w:val="en-US" w:eastAsia="zh-CN"/>
        </w:rPr>
        <w:t>8.验收文档及其要求</w:t>
      </w:r>
      <w:r>
        <w:rPr>
          <w:color w:val="auto"/>
        </w:rPr>
        <w:tab/>
      </w:r>
      <w:r>
        <w:rPr>
          <w:color w:val="auto"/>
        </w:rPr>
        <w:fldChar w:fldCharType="begin"/>
      </w:r>
      <w:r>
        <w:rPr>
          <w:color w:val="auto"/>
        </w:rPr>
        <w:instrText xml:space="preserve"> PAGEREF _Toc6064 \h </w:instrText>
      </w:r>
      <w:r>
        <w:rPr>
          <w:color w:val="auto"/>
        </w:rPr>
        <w:fldChar w:fldCharType="separate"/>
      </w:r>
      <w:r>
        <w:rPr>
          <w:color w:val="auto"/>
        </w:rPr>
        <w:t>30</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_Toc5385 </w:instrText>
      </w:r>
      <w:r>
        <w:rPr>
          <w:color w:val="auto"/>
          <w:highlight w:val="none"/>
        </w:rPr>
        <w:fldChar w:fldCharType="separate"/>
      </w:r>
      <w:r>
        <w:rPr>
          <w:rFonts w:hint="eastAsia" w:ascii="宋体" w:hAnsi="宋体" w:eastAsia="宋体" w:cs="宋体"/>
          <w:color w:val="auto"/>
          <w:highlight w:val="none"/>
          <w:lang w:eastAsia="zh-CN"/>
        </w:rPr>
        <w:t>9</w:t>
      </w:r>
      <w:r>
        <w:rPr>
          <w:rFonts w:hint="eastAsia" w:ascii="宋体" w:hAnsi="宋体" w:eastAsia="宋体" w:cs="宋体"/>
          <w:color w:val="auto"/>
          <w:highlight w:val="none"/>
        </w:rPr>
        <w:t>.合同价款支付方式</w:t>
      </w:r>
      <w:r>
        <w:rPr>
          <w:color w:val="auto"/>
        </w:rPr>
        <w:tab/>
      </w:r>
      <w:r>
        <w:rPr>
          <w:color w:val="auto"/>
        </w:rPr>
        <w:fldChar w:fldCharType="begin"/>
      </w:r>
      <w:r>
        <w:rPr>
          <w:color w:val="auto"/>
        </w:rPr>
        <w:instrText xml:space="preserve"> PAGEREF _Toc5385 \h </w:instrText>
      </w:r>
      <w:r>
        <w:rPr>
          <w:color w:val="auto"/>
        </w:rPr>
        <w:fldChar w:fldCharType="separate"/>
      </w:r>
      <w:r>
        <w:rPr>
          <w:color w:val="auto"/>
        </w:rPr>
        <w:t>31</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_Toc19093 </w:instrText>
      </w:r>
      <w:r>
        <w:rPr>
          <w:color w:val="auto"/>
          <w:highlight w:val="none"/>
        </w:rPr>
        <w:fldChar w:fldCharType="separate"/>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.合同价格</w:t>
      </w:r>
      <w:r>
        <w:rPr>
          <w:color w:val="auto"/>
        </w:rPr>
        <w:tab/>
      </w:r>
      <w:r>
        <w:rPr>
          <w:color w:val="auto"/>
        </w:rPr>
        <w:fldChar w:fldCharType="begin"/>
      </w:r>
      <w:r>
        <w:rPr>
          <w:color w:val="auto"/>
        </w:rPr>
        <w:instrText xml:space="preserve"> PAGEREF _Toc19093 \h </w:instrText>
      </w:r>
      <w:r>
        <w:rPr>
          <w:color w:val="auto"/>
        </w:rPr>
        <w:fldChar w:fldCharType="separate"/>
      </w:r>
      <w:r>
        <w:rPr>
          <w:color w:val="auto"/>
        </w:rPr>
        <w:t>32</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_Toc20374 </w:instrText>
      </w:r>
      <w:r>
        <w:rPr>
          <w:color w:val="auto"/>
          <w:highlight w:val="none"/>
        </w:rPr>
        <w:fldChar w:fldCharType="separate"/>
      </w: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.合同变更与修改</w:t>
      </w:r>
      <w:r>
        <w:rPr>
          <w:color w:val="auto"/>
        </w:rPr>
        <w:tab/>
      </w:r>
      <w:r>
        <w:rPr>
          <w:color w:val="auto"/>
        </w:rPr>
        <w:fldChar w:fldCharType="begin"/>
      </w:r>
      <w:r>
        <w:rPr>
          <w:color w:val="auto"/>
        </w:rPr>
        <w:instrText xml:space="preserve"> PAGEREF _Toc20374 \h </w:instrText>
      </w:r>
      <w:r>
        <w:rPr>
          <w:color w:val="auto"/>
        </w:rPr>
        <w:fldChar w:fldCharType="separate"/>
      </w:r>
      <w:r>
        <w:rPr>
          <w:color w:val="auto"/>
        </w:rPr>
        <w:t>32</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_Toc1109 </w:instrText>
      </w:r>
      <w:r>
        <w:rPr>
          <w:color w:val="auto"/>
          <w:highlight w:val="none"/>
        </w:rPr>
        <w:fldChar w:fldCharType="separate"/>
      </w:r>
      <w:r>
        <w:rPr>
          <w:rFonts w:hint="eastAsia" w:ascii="宋体" w:hAnsi="宋体" w:eastAsia="宋体" w:cs="宋体"/>
          <w:color w:val="auto"/>
          <w:highlight w:val="none"/>
          <w:lang w:val="en-US" w:eastAsia="zh-CN"/>
        </w:rPr>
        <w:t>12.</w:t>
      </w:r>
      <w:r>
        <w:rPr>
          <w:rFonts w:hint="eastAsia" w:ascii="宋体" w:hAnsi="宋体" w:eastAsia="宋体" w:cs="宋体"/>
          <w:color w:val="auto"/>
          <w:szCs w:val="21"/>
          <w:highlight w:val="none"/>
        </w:rPr>
        <w:t>考核</w:t>
      </w:r>
      <w:r>
        <w:rPr>
          <w:rFonts w:hint="eastAsia" w:ascii="宋体" w:hAnsi="宋体" w:eastAsia="宋体" w:cs="宋体"/>
          <w:color w:val="auto"/>
          <w:szCs w:val="21"/>
          <w:highlight w:val="none"/>
          <w:lang w:val="en-US" w:eastAsia="zh-CN"/>
        </w:rPr>
        <w:t>评价</w:t>
      </w:r>
      <w:r>
        <w:rPr>
          <w:color w:val="auto"/>
        </w:rPr>
        <w:tab/>
      </w:r>
      <w:r>
        <w:rPr>
          <w:color w:val="auto"/>
        </w:rPr>
        <w:fldChar w:fldCharType="begin"/>
      </w:r>
      <w:r>
        <w:rPr>
          <w:color w:val="auto"/>
        </w:rPr>
        <w:instrText xml:space="preserve"> PAGEREF _Toc1109 \h </w:instrText>
      </w:r>
      <w:r>
        <w:rPr>
          <w:color w:val="auto"/>
        </w:rPr>
        <w:fldChar w:fldCharType="separate"/>
      </w:r>
      <w:r>
        <w:rPr>
          <w:color w:val="auto"/>
        </w:rPr>
        <w:t>33</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_Toc15559 </w:instrText>
      </w:r>
      <w:r>
        <w:rPr>
          <w:color w:val="auto"/>
          <w:highlight w:val="none"/>
        </w:rPr>
        <w:fldChar w:fldCharType="separate"/>
      </w:r>
      <w:r>
        <w:rPr>
          <w:rFonts w:hint="eastAsia" w:ascii="宋体" w:hAnsi="宋体" w:eastAsia="宋体" w:cs="宋体"/>
          <w:color w:val="auto"/>
          <w:highlight w:val="none"/>
          <w:lang w:val="en-US" w:eastAsia="zh-CN"/>
        </w:rPr>
        <w:t>13</w:t>
      </w:r>
      <w:r>
        <w:rPr>
          <w:rFonts w:hint="eastAsia" w:ascii="宋体" w:hAnsi="宋体" w:eastAsia="宋体" w:cs="宋体"/>
          <w:color w:val="auto"/>
          <w:highlight w:val="none"/>
        </w:rPr>
        <w:t>.违约责任</w:t>
      </w:r>
      <w:r>
        <w:rPr>
          <w:color w:val="auto"/>
        </w:rPr>
        <w:tab/>
      </w:r>
      <w:r>
        <w:rPr>
          <w:color w:val="auto"/>
        </w:rPr>
        <w:fldChar w:fldCharType="begin"/>
      </w:r>
      <w:r>
        <w:rPr>
          <w:color w:val="auto"/>
        </w:rPr>
        <w:instrText xml:space="preserve"> PAGEREF _Toc15559 \h </w:instrText>
      </w:r>
      <w:r>
        <w:rPr>
          <w:color w:val="auto"/>
        </w:rPr>
        <w:fldChar w:fldCharType="separate"/>
      </w:r>
      <w:r>
        <w:rPr>
          <w:color w:val="auto"/>
        </w:rPr>
        <w:t>33</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_Toc27022 </w:instrText>
      </w:r>
      <w:r>
        <w:rPr>
          <w:color w:val="auto"/>
          <w:highlight w:val="none"/>
        </w:rPr>
        <w:fldChar w:fldCharType="separate"/>
      </w:r>
      <w:r>
        <w:rPr>
          <w:rFonts w:hint="eastAsia" w:ascii="宋体" w:hAnsi="宋体" w:eastAsia="宋体" w:cs="宋体"/>
          <w:color w:val="auto"/>
          <w:highlight w:val="none"/>
          <w:lang w:val="en-US" w:eastAsia="zh-CN"/>
        </w:rPr>
        <w:t>14</w:t>
      </w:r>
      <w:r>
        <w:rPr>
          <w:rFonts w:hint="eastAsia" w:ascii="宋体" w:hAnsi="宋体" w:eastAsia="宋体" w:cs="宋体"/>
          <w:color w:val="auto"/>
          <w:highlight w:val="none"/>
        </w:rPr>
        <w:t>.</w:t>
      </w:r>
      <w:r>
        <w:rPr>
          <w:rFonts w:hint="eastAsia" w:ascii="宋体" w:hAnsi="宋体" w:eastAsia="宋体" w:cs="宋体"/>
          <w:bCs/>
          <w:color w:val="auto"/>
          <w:highlight w:val="none"/>
        </w:rPr>
        <w:t>合同解除和终止</w:t>
      </w:r>
      <w:r>
        <w:rPr>
          <w:color w:val="auto"/>
        </w:rPr>
        <w:tab/>
      </w:r>
      <w:r>
        <w:rPr>
          <w:color w:val="auto"/>
        </w:rPr>
        <w:fldChar w:fldCharType="begin"/>
      </w:r>
      <w:r>
        <w:rPr>
          <w:color w:val="auto"/>
        </w:rPr>
        <w:instrText xml:space="preserve"> PAGEREF _Toc27022 \h </w:instrText>
      </w:r>
      <w:r>
        <w:rPr>
          <w:color w:val="auto"/>
        </w:rPr>
        <w:fldChar w:fldCharType="separate"/>
      </w:r>
      <w:r>
        <w:rPr>
          <w:color w:val="auto"/>
        </w:rPr>
        <w:t>34</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_Toc4689 </w:instrText>
      </w:r>
      <w:r>
        <w:rPr>
          <w:color w:val="auto"/>
          <w:highlight w:val="none"/>
        </w:rPr>
        <w:fldChar w:fldCharType="separate"/>
      </w:r>
      <w:r>
        <w:rPr>
          <w:rFonts w:hint="eastAsia" w:ascii="宋体" w:hAnsi="宋体" w:eastAsia="宋体" w:cs="宋体"/>
          <w:color w:val="auto"/>
          <w:highlight w:val="none"/>
          <w:lang w:val="en-US" w:eastAsia="zh-CN"/>
        </w:rPr>
        <w:t>16</w:t>
      </w:r>
      <w:r>
        <w:rPr>
          <w:rFonts w:hint="eastAsia" w:ascii="宋体" w:hAnsi="宋体" w:eastAsia="宋体" w:cs="宋体"/>
          <w:color w:val="auto"/>
          <w:highlight w:val="none"/>
        </w:rPr>
        <w:t>.转让和分包</w:t>
      </w:r>
      <w:r>
        <w:rPr>
          <w:color w:val="auto"/>
        </w:rPr>
        <w:tab/>
      </w:r>
      <w:r>
        <w:rPr>
          <w:color w:val="auto"/>
        </w:rPr>
        <w:fldChar w:fldCharType="begin"/>
      </w:r>
      <w:r>
        <w:rPr>
          <w:color w:val="auto"/>
        </w:rPr>
        <w:instrText xml:space="preserve"> PAGEREF _Toc4689 \h </w:instrText>
      </w:r>
      <w:r>
        <w:rPr>
          <w:color w:val="auto"/>
        </w:rPr>
        <w:fldChar w:fldCharType="separate"/>
      </w:r>
      <w:r>
        <w:rPr>
          <w:color w:val="auto"/>
        </w:rPr>
        <w:t>35</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_Toc13938 </w:instrText>
      </w:r>
      <w:r>
        <w:rPr>
          <w:color w:val="auto"/>
          <w:highlight w:val="none"/>
        </w:rPr>
        <w:fldChar w:fldCharType="separate"/>
      </w:r>
      <w:r>
        <w:rPr>
          <w:rFonts w:hint="eastAsia" w:ascii="宋体" w:hAnsi="宋体" w:eastAsia="宋体" w:cs="宋体"/>
          <w:color w:val="auto"/>
          <w:highlight w:val="none"/>
          <w:lang w:val="en-US" w:eastAsia="zh-CN"/>
        </w:rPr>
        <w:t>17</w:t>
      </w:r>
      <w:r>
        <w:rPr>
          <w:rFonts w:hint="eastAsia" w:ascii="宋体" w:hAnsi="宋体" w:eastAsia="宋体" w:cs="宋体"/>
          <w:color w:val="auto"/>
          <w:highlight w:val="none"/>
        </w:rPr>
        <w:t>.通知</w:t>
      </w:r>
      <w:r>
        <w:rPr>
          <w:color w:val="auto"/>
        </w:rPr>
        <w:tab/>
      </w:r>
      <w:r>
        <w:rPr>
          <w:color w:val="auto"/>
        </w:rPr>
        <w:fldChar w:fldCharType="begin"/>
      </w:r>
      <w:r>
        <w:rPr>
          <w:color w:val="auto"/>
        </w:rPr>
        <w:instrText xml:space="preserve"> PAGEREF _Toc13938 \h </w:instrText>
      </w:r>
      <w:r>
        <w:rPr>
          <w:color w:val="auto"/>
        </w:rPr>
        <w:fldChar w:fldCharType="separate"/>
      </w:r>
      <w:r>
        <w:rPr>
          <w:color w:val="auto"/>
        </w:rPr>
        <w:t>35</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_Toc11200 </w:instrText>
      </w:r>
      <w:r>
        <w:rPr>
          <w:color w:val="auto"/>
          <w:highlight w:val="none"/>
        </w:rPr>
        <w:fldChar w:fldCharType="separate"/>
      </w:r>
      <w:r>
        <w:rPr>
          <w:rFonts w:hint="eastAsia" w:ascii="宋体" w:hAnsi="宋体" w:eastAsia="宋体" w:cs="宋体"/>
          <w:color w:val="auto"/>
          <w:highlight w:val="none"/>
          <w:lang w:val="en-US" w:eastAsia="zh-CN"/>
        </w:rPr>
        <w:t>18</w:t>
      </w:r>
      <w:r>
        <w:rPr>
          <w:rFonts w:hint="eastAsia" w:ascii="宋体" w:hAnsi="宋体" w:eastAsia="宋体" w:cs="宋体"/>
          <w:color w:val="auto"/>
          <w:highlight w:val="none"/>
        </w:rPr>
        <w:t>.争端的解决</w:t>
      </w:r>
      <w:r>
        <w:rPr>
          <w:color w:val="auto"/>
        </w:rPr>
        <w:tab/>
      </w:r>
      <w:r>
        <w:rPr>
          <w:color w:val="auto"/>
        </w:rPr>
        <w:fldChar w:fldCharType="begin"/>
      </w:r>
      <w:r>
        <w:rPr>
          <w:color w:val="auto"/>
        </w:rPr>
        <w:instrText xml:space="preserve"> PAGEREF _Toc11200 \h </w:instrText>
      </w:r>
      <w:r>
        <w:rPr>
          <w:color w:val="auto"/>
        </w:rPr>
        <w:fldChar w:fldCharType="separate"/>
      </w:r>
      <w:r>
        <w:rPr>
          <w:color w:val="auto"/>
        </w:rPr>
        <w:t>36</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_Toc12276 </w:instrText>
      </w:r>
      <w:r>
        <w:rPr>
          <w:color w:val="auto"/>
          <w:highlight w:val="none"/>
        </w:rPr>
        <w:fldChar w:fldCharType="separate"/>
      </w:r>
      <w:r>
        <w:rPr>
          <w:rFonts w:hint="eastAsia" w:ascii="宋体" w:hAnsi="宋体" w:eastAsia="宋体" w:cs="宋体"/>
          <w:color w:val="auto"/>
          <w:highlight w:val="none"/>
          <w:lang w:val="en-US" w:eastAsia="zh-CN"/>
        </w:rPr>
        <w:t>19</w:t>
      </w:r>
      <w:r>
        <w:rPr>
          <w:rFonts w:hint="eastAsia" w:ascii="宋体" w:hAnsi="宋体" w:eastAsia="宋体" w:cs="宋体"/>
          <w:color w:val="auto"/>
          <w:highlight w:val="none"/>
        </w:rPr>
        <w:t>.合同生效和签约地</w:t>
      </w:r>
      <w:r>
        <w:rPr>
          <w:color w:val="auto"/>
        </w:rPr>
        <w:tab/>
      </w:r>
      <w:r>
        <w:rPr>
          <w:color w:val="auto"/>
        </w:rPr>
        <w:fldChar w:fldCharType="begin"/>
      </w:r>
      <w:r>
        <w:rPr>
          <w:color w:val="auto"/>
        </w:rPr>
        <w:instrText xml:space="preserve"> PAGEREF _Toc12276 \h </w:instrText>
      </w:r>
      <w:r>
        <w:rPr>
          <w:color w:val="auto"/>
        </w:rPr>
        <w:fldChar w:fldCharType="separate"/>
      </w:r>
      <w:r>
        <w:rPr>
          <w:color w:val="auto"/>
        </w:rPr>
        <w:t>36</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_Toc7023 </w:instrText>
      </w:r>
      <w:r>
        <w:rPr>
          <w:color w:val="auto"/>
          <w:highlight w:val="none"/>
        </w:rPr>
        <w:fldChar w:fldCharType="separate"/>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.其他</w:t>
      </w:r>
      <w:r>
        <w:rPr>
          <w:color w:val="auto"/>
        </w:rPr>
        <w:tab/>
      </w:r>
      <w:r>
        <w:rPr>
          <w:color w:val="auto"/>
        </w:rPr>
        <w:fldChar w:fldCharType="begin"/>
      </w:r>
      <w:r>
        <w:rPr>
          <w:color w:val="auto"/>
        </w:rPr>
        <w:instrText xml:space="preserve"> PAGEREF _Toc7023 \h </w:instrText>
      </w:r>
      <w:r>
        <w:rPr>
          <w:color w:val="auto"/>
        </w:rPr>
        <w:fldChar w:fldCharType="separate"/>
      </w:r>
      <w:r>
        <w:rPr>
          <w:color w:val="auto"/>
        </w:rPr>
        <w:t>36</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_Toc17263 </w:instrText>
      </w:r>
      <w:r>
        <w:rPr>
          <w:color w:val="auto"/>
          <w:highlight w:val="none"/>
        </w:rPr>
        <w:fldChar w:fldCharType="separate"/>
      </w:r>
      <w:r>
        <w:rPr>
          <w:rFonts w:hint="eastAsia" w:ascii="宋体" w:hAnsi="宋体"/>
          <w:color w:val="auto"/>
          <w:szCs w:val="24"/>
          <w:highlight w:val="none"/>
          <w:lang w:val="en-US" w:eastAsia="zh-CN"/>
        </w:rPr>
        <w:t>三</w:t>
      </w:r>
      <w:r>
        <w:rPr>
          <w:rFonts w:hint="eastAsia" w:ascii="宋体" w:hAnsi="宋体"/>
          <w:color w:val="auto"/>
          <w:szCs w:val="24"/>
          <w:highlight w:val="none"/>
        </w:rPr>
        <w:t>、合同附件及格式</w:t>
      </w:r>
      <w:r>
        <w:rPr>
          <w:color w:val="auto"/>
        </w:rPr>
        <w:tab/>
      </w:r>
      <w:r>
        <w:rPr>
          <w:color w:val="auto"/>
        </w:rPr>
        <w:fldChar w:fldCharType="begin"/>
      </w:r>
      <w:r>
        <w:rPr>
          <w:color w:val="auto"/>
        </w:rPr>
        <w:instrText xml:space="preserve"> PAGEREF _Toc17263 \h </w:instrText>
      </w:r>
      <w:r>
        <w:rPr>
          <w:color w:val="auto"/>
        </w:rPr>
        <w:fldChar w:fldCharType="separate"/>
      </w:r>
      <w:r>
        <w:rPr>
          <w:color w:val="auto"/>
        </w:rPr>
        <w:t>37</w:t>
      </w:r>
      <w:r>
        <w:rPr>
          <w:color w:val="auto"/>
        </w:rPr>
        <w:fldChar w:fldCharType="end"/>
      </w:r>
      <w:r>
        <w:rPr>
          <w:color w:val="auto"/>
          <w:highlight w:val="none"/>
        </w:rPr>
        <w:fldChar w:fldCharType="end"/>
      </w:r>
    </w:p>
    <w:p>
      <w:pPr>
        <w:pStyle w:val="22"/>
        <w:tabs>
          <w:tab w:val="right" w:leader="dot" w:pos="9071"/>
        </w:tabs>
        <w:rPr>
          <w:color w:val="auto"/>
        </w:rPr>
      </w:pPr>
      <w:r>
        <w:rPr>
          <w:color w:val="auto"/>
          <w:highlight w:val="none"/>
        </w:rPr>
        <w:fldChar w:fldCharType="begin"/>
      </w:r>
      <w:r>
        <w:rPr>
          <w:color w:val="auto"/>
          <w:highlight w:val="none"/>
        </w:rPr>
        <w:instrText xml:space="preserve"> HYPERLINK \l _Toc21515 </w:instrText>
      </w:r>
      <w:r>
        <w:rPr>
          <w:color w:val="auto"/>
          <w:highlight w:val="none"/>
        </w:rPr>
        <w:fldChar w:fldCharType="separate"/>
      </w:r>
      <w:r>
        <w:rPr>
          <w:rFonts w:hint="eastAsia" w:ascii="宋体" w:hAnsi="宋体" w:eastAsia="宋体"/>
          <w:color w:val="auto"/>
          <w:highlight w:val="none"/>
        </w:rPr>
        <w:t>第四章比选申请文件格式</w:t>
      </w:r>
      <w:r>
        <w:rPr>
          <w:color w:val="auto"/>
        </w:rPr>
        <w:tab/>
      </w:r>
      <w:r>
        <w:rPr>
          <w:color w:val="auto"/>
        </w:rPr>
        <w:fldChar w:fldCharType="begin"/>
      </w:r>
      <w:r>
        <w:rPr>
          <w:color w:val="auto"/>
        </w:rPr>
        <w:instrText xml:space="preserve"> PAGEREF _Toc21515 \h </w:instrText>
      </w:r>
      <w:r>
        <w:rPr>
          <w:color w:val="auto"/>
        </w:rPr>
        <w:fldChar w:fldCharType="separate"/>
      </w:r>
      <w:r>
        <w:rPr>
          <w:color w:val="auto"/>
        </w:rPr>
        <w:t>44</w:t>
      </w:r>
      <w:r>
        <w:rPr>
          <w:color w:val="auto"/>
        </w:rPr>
        <w:fldChar w:fldCharType="end"/>
      </w:r>
      <w:r>
        <w:rPr>
          <w:color w:val="auto"/>
          <w:highlight w:val="none"/>
        </w:rPr>
        <w:fldChar w:fldCharType="end"/>
      </w:r>
    </w:p>
    <w:p>
      <w:pPr>
        <w:pStyle w:val="22"/>
        <w:tabs>
          <w:tab w:val="right" w:leader="dot" w:pos="9071"/>
        </w:tabs>
        <w:rPr>
          <w:color w:val="auto"/>
        </w:rPr>
      </w:pPr>
      <w:r>
        <w:rPr>
          <w:color w:val="auto"/>
          <w:highlight w:val="none"/>
        </w:rPr>
        <w:fldChar w:fldCharType="begin"/>
      </w:r>
      <w:r>
        <w:rPr>
          <w:color w:val="auto"/>
          <w:highlight w:val="none"/>
        </w:rPr>
        <w:instrText xml:space="preserve"> HYPERLINK \l _Toc28817 </w:instrText>
      </w:r>
      <w:r>
        <w:rPr>
          <w:color w:val="auto"/>
          <w:highlight w:val="none"/>
        </w:rPr>
        <w:fldChar w:fldCharType="separate"/>
      </w:r>
      <w:r>
        <w:rPr>
          <w:color w:val="auto"/>
          <w:szCs w:val="24"/>
          <w:highlight w:val="none"/>
        </w:rPr>
        <w:t>A 资格审查</w:t>
      </w:r>
      <w:r>
        <w:rPr>
          <w:rFonts w:hint="eastAsia"/>
          <w:color w:val="auto"/>
          <w:szCs w:val="24"/>
          <w:highlight w:val="none"/>
        </w:rPr>
        <w:t>文件</w:t>
      </w:r>
      <w:r>
        <w:rPr>
          <w:color w:val="auto"/>
        </w:rPr>
        <w:tab/>
      </w:r>
      <w:r>
        <w:rPr>
          <w:color w:val="auto"/>
        </w:rPr>
        <w:fldChar w:fldCharType="begin"/>
      </w:r>
      <w:r>
        <w:rPr>
          <w:color w:val="auto"/>
        </w:rPr>
        <w:instrText xml:space="preserve"> PAGEREF _Toc28817 \h </w:instrText>
      </w:r>
      <w:r>
        <w:rPr>
          <w:color w:val="auto"/>
        </w:rPr>
        <w:fldChar w:fldCharType="separate"/>
      </w:r>
      <w:r>
        <w:rPr>
          <w:color w:val="auto"/>
        </w:rPr>
        <w:t>44</w:t>
      </w:r>
      <w:r>
        <w:rPr>
          <w:color w:val="auto"/>
        </w:rPr>
        <w:fldChar w:fldCharType="end"/>
      </w:r>
      <w:r>
        <w:rPr>
          <w:color w:val="auto"/>
          <w:highlight w:val="none"/>
        </w:rPr>
        <w:fldChar w:fldCharType="end"/>
      </w:r>
    </w:p>
    <w:p>
      <w:pPr>
        <w:pStyle w:val="22"/>
        <w:tabs>
          <w:tab w:val="right" w:leader="dot" w:pos="9071"/>
        </w:tabs>
        <w:rPr>
          <w:color w:val="auto"/>
        </w:rPr>
      </w:pPr>
      <w:r>
        <w:rPr>
          <w:color w:val="auto"/>
          <w:highlight w:val="none"/>
        </w:rPr>
        <w:fldChar w:fldCharType="begin"/>
      </w:r>
      <w:r>
        <w:rPr>
          <w:color w:val="auto"/>
          <w:highlight w:val="none"/>
        </w:rPr>
        <w:instrText xml:space="preserve"> HYPERLINK \l _Toc14173 </w:instrText>
      </w:r>
      <w:r>
        <w:rPr>
          <w:color w:val="auto"/>
          <w:highlight w:val="none"/>
        </w:rPr>
        <w:fldChar w:fldCharType="separate"/>
      </w:r>
      <w:r>
        <w:rPr>
          <w:rFonts w:hint="eastAsia" w:ascii="宋体" w:hAnsi="宋体"/>
          <w:i w:val="0"/>
          <w:color w:val="auto"/>
          <w:szCs w:val="21"/>
        </w:rPr>
        <w:t xml:space="preserve">A1 </w:t>
      </w:r>
      <w:r>
        <w:rPr>
          <w:rFonts w:ascii="宋体" w:hAnsi="宋体"/>
          <w:color w:val="auto"/>
          <w:highlight w:val="none"/>
        </w:rPr>
        <w:t>法定代表人授权书格式</w:t>
      </w:r>
      <w:r>
        <w:rPr>
          <w:color w:val="auto"/>
        </w:rPr>
        <w:tab/>
      </w:r>
      <w:r>
        <w:rPr>
          <w:color w:val="auto"/>
        </w:rPr>
        <w:fldChar w:fldCharType="begin"/>
      </w:r>
      <w:r>
        <w:rPr>
          <w:color w:val="auto"/>
        </w:rPr>
        <w:instrText xml:space="preserve"> PAGEREF _Toc14173 \h </w:instrText>
      </w:r>
      <w:r>
        <w:rPr>
          <w:color w:val="auto"/>
        </w:rPr>
        <w:fldChar w:fldCharType="separate"/>
      </w:r>
      <w:r>
        <w:rPr>
          <w:color w:val="auto"/>
        </w:rPr>
        <w:t>45</w:t>
      </w:r>
      <w:r>
        <w:rPr>
          <w:color w:val="auto"/>
        </w:rPr>
        <w:fldChar w:fldCharType="end"/>
      </w:r>
      <w:r>
        <w:rPr>
          <w:color w:val="auto"/>
          <w:highlight w:val="none"/>
        </w:rPr>
        <w:fldChar w:fldCharType="end"/>
      </w:r>
    </w:p>
    <w:p>
      <w:pPr>
        <w:pStyle w:val="22"/>
        <w:tabs>
          <w:tab w:val="right" w:leader="dot" w:pos="9071"/>
        </w:tabs>
        <w:rPr>
          <w:color w:val="auto"/>
        </w:rPr>
      </w:pPr>
      <w:r>
        <w:rPr>
          <w:color w:val="auto"/>
          <w:highlight w:val="none"/>
        </w:rPr>
        <w:fldChar w:fldCharType="begin"/>
      </w:r>
      <w:r>
        <w:rPr>
          <w:color w:val="auto"/>
          <w:highlight w:val="none"/>
        </w:rPr>
        <w:instrText xml:space="preserve"> HYPERLINK \l _Toc14222 </w:instrText>
      </w:r>
      <w:r>
        <w:rPr>
          <w:color w:val="auto"/>
          <w:highlight w:val="none"/>
        </w:rPr>
        <w:fldChar w:fldCharType="separate"/>
      </w:r>
      <w:r>
        <w:rPr>
          <w:rFonts w:hint="eastAsia" w:ascii="宋体" w:hAnsi="宋体"/>
          <w:i w:val="0"/>
          <w:color w:val="auto"/>
          <w:szCs w:val="21"/>
        </w:rPr>
        <w:t xml:space="preserve">A2 </w:t>
      </w:r>
      <w:r>
        <w:rPr>
          <w:rFonts w:ascii="宋体" w:hAnsi="宋体"/>
          <w:color w:val="auto"/>
          <w:highlight w:val="none"/>
        </w:rPr>
        <w:t>法定代表人资格证明书格式</w:t>
      </w:r>
      <w:r>
        <w:rPr>
          <w:color w:val="auto"/>
        </w:rPr>
        <w:tab/>
      </w:r>
      <w:r>
        <w:rPr>
          <w:color w:val="auto"/>
        </w:rPr>
        <w:fldChar w:fldCharType="begin"/>
      </w:r>
      <w:r>
        <w:rPr>
          <w:color w:val="auto"/>
        </w:rPr>
        <w:instrText xml:space="preserve"> PAGEREF _Toc14222 \h </w:instrText>
      </w:r>
      <w:r>
        <w:rPr>
          <w:color w:val="auto"/>
        </w:rPr>
        <w:fldChar w:fldCharType="separate"/>
      </w:r>
      <w:r>
        <w:rPr>
          <w:color w:val="auto"/>
        </w:rPr>
        <w:t>46</w:t>
      </w:r>
      <w:r>
        <w:rPr>
          <w:color w:val="auto"/>
        </w:rPr>
        <w:fldChar w:fldCharType="end"/>
      </w:r>
      <w:r>
        <w:rPr>
          <w:color w:val="auto"/>
          <w:highlight w:val="none"/>
        </w:rPr>
        <w:fldChar w:fldCharType="end"/>
      </w:r>
    </w:p>
    <w:p>
      <w:pPr>
        <w:pStyle w:val="22"/>
        <w:tabs>
          <w:tab w:val="right" w:leader="dot" w:pos="9071"/>
        </w:tabs>
        <w:rPr>
          <w:color w:val="auto"/>
        </w:rPr>
      </w:pPr>
      <w:r>
        <w:rPr>
          <w:color w:val="auto"/>
          <w:highlight w:val="none"/>
        </w:rPr>
        <w:fldChar w:fldCharType="begin"/>
      </w:r>
      <w:r>
        <w:rPr>
          <w:color w:val="auto"/>
          <w:highlight w:val="none"/>
        </w:rPr>
        <w:instrText xml:space="preserve"> HYPERLINK \l _Toc31792 </w:instrText>
      </w:r>
      <w:r>
        <w:rPr>
          <w:color w:val="auto"/>
          <w:highlight w:val="none"/>
        </w:rPr>
        <w:fldChar w:fldCharType="separate"/>
      </w:r>
      <w:r>
        <w:rPr>
          <w:rFonts w:hint="eastAsia" w:ascii="宋体" w:hAnsi="宋体"/>
          <w:color w:val="auto"/>
          <w:highlight w:val="none"/>
        </w:rPr>
        <w:t xml:space="preserve">A3 </w:t>
      </w:r>
      <w:r>
        <w:rPr>
          <w:rFonts w:ascii="宋体" w:hAnsi="宋体"/>
          <w:color w:val="auto"/>
          <w:highlight w:val="none"/>
        </w:rPr>
        <w:t>承诺书格式</w:t>
      </w:r>
      <w:r>
        <w:rPr>
          <w:color w:val="auto"/>
        </w:rPr>
        <w:tab/>
      </w:r>
      <w:r>
        <w:rPr>
          <w:color w:val="auto"/>
        </w:rPr>
        <w:fldChar w:fldCharType="begin"/>
      </w:r>
      <w:r>
        <w:rPr>
          <w:color w:val="auto"/>
        </w:rPr>
        <w:instrText xml:space="preserve"> PAGEREF _Toc31792 \h </w:instrText>
      </w:r>
      <w:r>
        <w:rPr>
          <w:color w:val="auto"/>
        </w:rPr>
        <w:fldChar w:fldCharType="separate"/>
      </w:r>
      <w:r>
        <w:rPr>
          <w:color w:val="auto"/>
        </w:rPr>
        <w:t>47</w:t>
      </w:r>
      <w:r>
        <w:rPr>
          <w:color w:val="auto"/>
        </w:rPr>
        <w:fldChar w:fldCharType="end"/>
      </w:r>
      <w:r>
        <w:rPr>
          <w:color w:val="auto"/>
          <w:highlight w:val="none"/>
        </w:rPr>
        <w:fldChar w:fldCharType="end"/>
      </w:r>
    </w:p>
    <w:p>
      <w:pPr>
        <w:pStyle w:val="22"/>
        <w:tabs>
          <w:tab w:val="right" w:leader="dot" w:pos="9071"/>
        </w:tabs>
        <w:rPr>
          <w:color w:val="auto"/>
        </w:rPr>
      </w:pPr>
      <w:r>
        <w:rPr>
          <w:color w:val="auto"/>
          <w:highlight w:val="none"/>
        </w:rPr>
        <w:fldChar w:fldCharType="begin"/>
      </w:r>
      <w:r>
        <w:rPr>
          <w:color w:val="auto"/>
          <w:highlight w:val="none"/>
        </w:rPr>
        <w:instrText xml:space="preserve"> HYPERLINK \l _Toc21982 </w:instrText>
      </w:r>
      <w:r>
        <w:rPr>
          <w:color w:val="auto"/>
          <w:highlight w:val="none"/>
        </w:rPr>
        <w:fldChar w:fldCharType="separate"/>
      </w:r>
      <w:r>
        <w:rPr>
          <w:rFonts w:hint="eastAsia" w:ascii="宋体" w:hAnsi="宋体"/>
          <w:color w:val="auto"/>
          <w:highlight w:val="none"/>
        </w:rPr>
        <w:t>A</w:t>
      </w:r>
      <w:r>
        <w:rPr>
          <w:rFonts w:hint="eastAsia" w:ascii="宋体" w:hAnsi="宋体"/>
          <w:color w:val="auto"/>
          <w:highlight w:val="none"/>
          <w:lang w:val="en-US" w:eastAsia="zh-CN"/>
        </w:rPr>
        <w:t>4</w:t>
      </w:r>
      <w:r>
        <w:rPr>
          <w:rFonts w:hint="eastAsia" w:ascii="宋体" w:hAnsi="宋体"/>
          <w:color w:val="auto"/>
          <w:highlight w:val="none"/>
        </w:rPr>
        <w:t xml:space="preserve"> 类似项目业绩表</w:t>
      </w:r>
      <w:r>
        <w:rPr>
          <w:color w:val="auto"/>
        </w:rPr>
        <w:tab/>
      </w:r>
      <w:r>
        <w:rPr>
          <w:color w:val="auto"/>
        </w:rPr>
        <w:fldChar w:fldCharType="begin"/>
      </w:r>
      <w:r>
        <w:rPr>
          <w:color w:val="auto"/>
        </w:rPr>
        <w:instrText xml:space="preserve"> PAGEREF _Toc21982 \h </w:instrText>
      </w:r>
      <w:r>
        <w:rPr>
          <w:color w:val="auto"/>
        </w:rPr>
        <w:fldChar w:fldCharType="separate"/>
      </w:r>
      <w:r>
        <w:rPr>
          <w:color w:val="auto"/>
        </w:rPr>
        <w:t>48</w:t>
      </w:r>
      <w:r>
        <w:rPr>
          <w:color w:val="auto"/>
        </w:rPr>
        <w:fldChar w:fldCharType="end"/>
      </w:r>
      <w:r>
        <w:rPr>
          <w:color w:val="auto"/>
          <w:highlight w:val="none"/>
        </w:rPr>
        <w:fldChar w:fldCharType="end"/>
      </w:r>
    </w:p>
    <w:p>
      <w:pPr>
        <w:pStyle w:val="22"/>
        <w:tabs>
          <w:tab w:val="right" w:leader="dot" w:pos="9071"/>
        </w:tabs>
        <w:rPr>
          <w:color w:val="auto"/>
        </w:rPr>
      </w:pPr>
      <w:r>
        <w:rPr>
          <w:color w:val="auto"/>
          <w:highlight w:val="none"/>
        </w:rPr>
        <w:fldChar w:fldCharType="begin"/>
      </w:r>
      <w:r>
        <w:rPr>
          <w:color w:val="auto"/>
          <w:highlight w:val="none"/>
        </w:rPr>
        <w:instrText xml:space="preserve"> HYPERLINK \l _Toc11399 </w:instrText>
      </w:r>
      <w:r>
        <w:rPr>
          <w:color w:val="auto"/>
          <w:highlight w:val="none"/>
        </w:rPr>
        <w:fldChar w:fldCharType="separate"/>
      </w:r>
      <w:r>
        <w:rPr>
          <w:rFonts w:hint="eastAsia"/>
          <w:color w:val="auto"/>
          <w:szCs w:val="24"/>
          <w:highlight w:val="none"/>
        </w:rPr>
        <w:t xml:space="preserve">B </w:t>
      </w:r>
      <w:r>
        <w:rPr>
          <w:rFonts w:hAnsi="宋体"/>
          <w:color w:val="auto"/>
          <w:szCs w:val="24"/>
          <w:highlight w:val="none"/>
        </w:rPr>
        <w:t>技术</w:t>
      </w:r>
      <w:r>
        <w:rPr>
          <w:rFonts w:hint="eastAsia" w:hAnsi="宋体"/>
          <w:color w:val="auto"/>
          <w:szCs w:val="24"/>
          <w:highlight w:val="none"/>
        </w:rPr>
        <w:t>文件</w:t>
      </w:r>
      <w:r>
        <w:rPr>
          <w:color w:val="auto"/>
        </w:rPr>
        <w:tab/>
      </w:r>
      <w:r>
        <w:rPr>
          <w:color w:val="auto"/>
        </w:rPr>
        <w:fldChar w:fldCharType="begin"/>
      </w:r>
      <w:r>
        <w:rPr>
          <w:color w:val="auto"/>
        </w:rPr>
        <w:instrText xml:space="preserve"> PAGEREF _Toc11399 \h </w:instrText>
      </w:r>
      <w:r>
        <w:rPr>
          <w:color w:val="auto"/>
        </w:rPr>
        <w:fldChar w:fldCharType="separate"/>
      </w:r>
      <w:r>
        <w:rPr>
          <w:color w:val="auto"/>
        </w:rPr>
        <w:t>49</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_Toc11808 </w:instrText>
      </w:r>
      <w:r>
        <w:rPr>
          <w:color w:val="auto"/>
          <w:highlight w:val="none"/>
        </w:rPr>
        <w:fldChar w:fldCharType="separate"/>
      </w:r>
      <w:r>
        <w:rPr>
          <w:rFonts w:hint="eastAsia" w:ascii="宋体" w:hAnsi="宋体" w:eastAsia="宋体"/>
          <w:color w:val="auto"/>
          <w:szCs w:val="21"/>
          <w:highlight w:val="none"/>
        </w:rPr>
        <w:t xml:space="preserve">B1 </w:t>
      </w:r>
      <w:r>
        <w:rPr>
          <w:rFonts w:ascii="宋体" w:hAnsi="宋体" w:eastAsia="宋体"/>
          <w:color w:val="auto"/>
          <w:szCs w:val="21"/>
          <w:highlight w:val="none"/>
        </w:rPr>
        <w:t>技术响应表</w:t>
      </w:r>
      <w:r>
        <w:rPr>
          <w:rFonts w:hint="eastAsia" w:ascii="宋体" w:hAnsi="宋体" w:eastAsia="宋体"/>
          <w:color w:val="auto"/>
          <w:szCs w:val="21"/>
          <w:highlight w:val="none"/>
        </w:rPr>
        <w:t>格式</w:t>
      </w:r>
      <w:r>
        <w:rPr>
          <w:color w:val="auto"/>
        </w:rPr>
        <w:tab/>
      </w:r>
      <w:r>
        <w:rPr>
          <w:color w:val="auto"/>
        </w:rPr>
        <w:fldChar w:fldCharType="begin"/>
      </w:r>
      <w:r>
        <w:rPr>
          <w:color w:val="auto"/>
        </w:rPr>
        <w:instrText xml:space="preserve"> PAGEREF _Toc11808 \h </w:instrText>
      </w:r>
      <w:r>
        <w:rPr>
          <w:color w:val="auto"/>
        </w:rPr>
        <w:fldChar w:fldCharType="separate"/>
      </w:r>
      <w:r>
        <w:rPr>
          <w:color w:val="auto"/>
        </w:rPr>
        <w:t>50</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_Toc18059 </w:instrText>
      </w:r>
      <w:r>
        <w:rPr>
          <w:color w:val="auto"/>
          <w:highlight w:val="none"/>
        </w:rPr>
        <w:fldChar w:fldCharType="separate"/>
      </w:r>
      <w:r>
        <w:rPr>
          <w:rFonts w:hint="eastAsia" w:ascii="宋体" w:hAnsi="宋体" w:eastAsia="宋体"/>
          <w:color w:val="auto"/>
          <w:szCs w:val="21"/>
          <w:highlight w:val="none"/>
        </w:rPr>
        <w:t xml:space="preserve">B2 </w:t>
      </w:r>
      <w:r>
        <w:rPr>
          <w:rFonts w:ascii="宋体" w:hAnsi="宋体" w:eastAsia="宋体"/>
          <w:color w:val="auto"/>
          <w:szCs w:val="21"/>
          <w:highlight w:val="none"/>
        </w:rPr>
        <w:t>按期</w:t>
      </w:r>
      <w:r>
        <w:rPr>
          <w:rFonts w:hint="eastAsia" w:ascii="宋体" w:hAnsi="宋体" w:eastAsia="宋体"/>
          <w:color w:val="auto"/>
          <w:szCs w:val="21"/>
          <w:highlight w:val="none"/>
        </w:rPr>
        <w:t>完成</w:t>
      </w:r>
      <w:r>
        <w:rPr>
          <w:rFonts w:ascii="宋体" w:hAnsi="宋体" w:eastAsia="宋体"/>
          <w:color w:val="auto"/>
          <w:szCs w:val="21"/>
          <w:highlight w:val="none"/>
        </w:rPr>
        <w:t>承诺书</w:t>
      </w:r>
      <w:r>
        <w:rPr>
          <w:color w:val="auto"/>
        </w:rPr>
        <w:tab/>
      </w:r>
      <w:r>
        <w:rPr>
          <w:color w:val="auto"/>
        </w:rPr>
        <w:fldChar w:fldCharType="begin"/>
      </w:r>
      <w:r>
        <w:rPr>
          <w:color w:val="auto"/>
        </w:rPr>
        <w:instrText xml:space="preserve"> PAGEREF _Toc18059 \h </w:instrText>
      </w:r>
      <w:r>
        <w:rPr>
          <w:color w:val="auto"/>
        </w:rPr>
        <w:fldChar w:fldCharType="separate"/>
      </w:r>
      <w:r>
        <w:rPr>
          <w:color w:val="auto"/>
        </w:rPr>
        <w:t>55</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_Toc23506 </w:instrText>
      </w:r>
      <w:r>
        <w:rPr>
          <w:color w:val="auto"/>
          <w:highlight w:val="none"/>
        </w:rPr>
        <w:fldChar w:fldCharType="separate"/>
      </w:r>
      <w:r>
        <w:rPr>
          <w:rFonts w:hint="eastAsia" w:ascii="宋体" w:hAnsi="宋体" w:eastAsia="宋体"/>
          <w:color w:val="auto"/>
          <w:szCs w:val="21"/>
          <w:highlight w:val="none"/>
        </w:rPr>
        <w:t>B3 售后服务承诺书</w:t>
      </w:r>
      <w:r>
        <w:rPr>
          <w:color w:val="auto"/>
        </w:rPr>
        <w:tab/>
      </w:r>
      <w:r>
        <w:rPr>
          <w:color w:val="auto"/>
        </w:rPr>
        <w:fldChar w:fldCharType="begin"/>
      </w:r>
      <w:r>
        <w:rPr>
          <w:color w:val="auto"/>
        </w:rPr>
        <w:instrText xml:space="preserve"> PAGEREF _Toc23506 \h </w:instrText>
      </w:r>
      <w:r>
        <w:rPr>
          <w:color w:val="auto"/>
        </w:rPr>
        <w:fldChar w:fldCharType="separate"/>
      </w:r>
      <w:r>
        <w:rPr>
          <w:color w:val="auto"/>
        </w:rPr>
        <w:t>56</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_Toc7637 </w:instrText>
      </w:r>
      <w:r>
        <w:rPr>
          <w:color w:val="auto"/>
          <w:highlight w:val="none"/>
        </w:rPr>
        <w:fldChar w:fldCharType="separate"/>
      </w:r>
      <w:r>
        <w:rPr>
          <w:rFonts w:hint="eastAsia" w:ascii="宋体" w:hAnsi="宋体" w:eastAsia="宋体"/>
          <w:color w:val="auto"/>
          <w:szCs w:val="21"/>
          <w:highlight w:val="none"/>
        </w:rPr>
        <w:t>B</w:t>
      </w:r>
      <w:r>
        <w:rPr>
          <w:rFonts w:ascii="宋体" w:hAnsi="宋体" w:eastAsia="宋体"/>
          <w:color w:val="auto"/>
          <w:szCs w:val="21"/>
          <w:highlight w:val="none"/>
        </w:rPr>
        <w:t>4</w:t>
      </w:r>
      <w:r>
        <w:rPr>
          <w:rFonts w:hint="eastAsia" w:ascii="宋体" w:hAnsi="宋体" w:eastAsia="宋体"/>
          <w:color w:val="auto"/>
          <w:szCs w:val="21"/>
          <w:highlight w:val="none"/>
        </w:rPr>
        <w:t xml:space="preserve"> 商务响应表</w:t>
      </w:r>
      <w:r>
        <w:rPr>
          <w:rFonts w:ascii="宋体" w:hAnsi="宋体" w:eastAsia="宋体"/>
          <w:color w:val="auto"/>
          <w:szCs w:val="21"/>
          <w:highlight w:val="none"/>
        </w:rPr>
        <w:t>格式</w:t>
      </w:r>
      <w:r>
        <w:rPr>
          <w:color w:val="auto"/>
        </w:rPr>
        <w:tab/>
      </w:r>
      <w:r>
        <w:rPr>
          <w:color w:val="auto"/>
        </w:rPr>
        <w:fldChar w:fldCharType="begin"/>
      </w:r>
      <w:r>
        <w:rPr>
          <w:color w:val="auto"/>
        </w:rPr>
        <w:instrText xml:space="preserve"> PAGEREF _Toc7637 \h </w:instrText>
      </w:r>
      <w:r>
        <w:rPr>
          <w:color w:val="auto"/>
        </w:rPr>
        <w:fldChar w:fldCharType="separate"/>
      </w:r>
      <w:r>
        <w:rPr>
          <w:color w:val="auto"/>
        </w:rPr>
        <w:t>57</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_Toc14841 </w:instrText>
      </w:r>
      <w:r>
        <w:rPr>
          <w:color w:val="auto"/>
          <w:highlight w:val="none"/>
        </w:rPr>
        <w:fldChar w:fldCharType="separate"/>
      </w:r>
      <w:r>
        <w:rPr>
          <w:rFonts w:hint="eastAsia" w:ascii="宋体" w:hAnsi="宋体" w:eastAsia="宋体"/>
          <w:color w:val="auto"/>
          <w:szCs w:val="21"/>
          <w:highlight w:val="none"/>
          <w:lang w:val="en-US" w:eastAsia="zh-CN"/>
        </w:rPr>
        <w:t>B5</w:t>
      </w:r>
      <w:r>
        <w:rPr>
          <w:rFonts w:hint="eastAsia" w:ascii="宋体" w:hAnsi="宋体" w:eastAsia="宋体"/>
          <w:color w:val="auto"/>
          <w:szCs w:val="21"/>
          <w:highlight w:val="none"/>
        </w:rPr>
        <w:t xml:space="preserve"> 维保服务人员配置表</w:t>
      </w:r>
      <w:r>
        <w:rPr>
          <w:color w:val="auto"/>
        </w:rPr>
        <w:tab/>
      </w:r>
      <w:r>
        <w:rPr>
          <w:color w:val="auto"/>
        </w:rPr>
        <w:fldChar w:fldCharType="begin"/>
      </w:r>
      <w:r>
        <w:rPr>
          <w:color w:val="auto"/>
        </w:rPr>
        <w:instrText xml:space="preserve"> PAGEREF _Toc14841 \h </w:instrText>
      </w:r>
      <w:r>
        <w:rPr>
          <w:color w:val="auto"/>
        </w:rPr>
        <w:fldChar w:fldCharType="separate"/>
      </w:r>
      <w:r>
        <w:rPr>
          <w:color w:val="auto"/>
        </w:rPr>
        <w:t>58</w:t>
      </w:r>
      <w:r>
        <w:rPr>
          <w:color w:val="auto"/>
        </w:rPr>
        <w:fldChar w:fldCharType="end"/>
      </w:r>
      <w:r>
        <w:rPr>
          <w:color w:val="auto"/>
          <w:highlight w:val="none"/>
        </w:rPr>
        <w:fldChar w:fldCharType="end"/>
      </w:r>
    </w:p>
    <w:p>
      <w:pPr>
        <w:pStyle w:val="22"/>
        <w:tabs>
          <w:tab w:val="right" w:leader="dot" w:pos="9071"/>
        </w:tabs>
        <w:rPr>
          <w:color w:val="auto"/>
        </w:rPr>
      </w:pPr>
      <w:r>
        <w:rPr>
          <w:color w:val="auto"/>
          <w:highlight w:val="none"/>
        </w:rPr>
        <w:fldChar w:fldCharType="begin"/>
      </w:r>
      <w:r>
        <w:rPr>
          <w:color w:val="auto"/>
          <w:highlight w:val="none"/>
        </w:rPr>
        <w:instrText xml:space="preserve"> HYPERLINK \l _Toc18422 </w:instrText>
      </w:r>
      <w:r>
        <w:rPr>
          <w:color w:val="auto"/>
          <w:highlight w:val="none"/>
        </w:rPr>
        <w:fldChar w:fldCharType="separate"/>
      </w:r>
      <w:r>
        <w:rPr>
          <w:rFonts w:hint="eastAsia" w:ascii="宋体" w:hAnsi="宋体"/>
          <w:color w:val="auto"/>
          <w:szCs w:val="24"/>
          <w:highlight w:val="none"/>
        </w:rPr>
        <w:t>C</w:t>
      </w:r>
      <w:r>
        <w:rPr>
          <w:rFonts w:ascii="宋体" w:hAnsi="宋体"/>
          <w:color w:val="auto"/>
          <w:szCs w:val="24"/>
          <w:highlight w:val="none"/>
        </w:rPr>
        <w:t xml:space="preserve"> </w:t>
      </w:r>
      <w:r>
        <w:rPr>
          <w:rFonts w:hint="eastAsia" w:ascii="宋体" w:hAnsi="宋体"/>
          <w:color w:val="auto"/>
          <w:szCs w:val="24"/>
          <w:highlight w:val="none"/>
        </w:rPr>
        <w:t>价格文件</w:t>
      </w:r>
      <w:r>
        <w:rPr>
          <w:color w:val="auto"/>
        </w:rPr>
        <w:tab/>
      </w:r>
      <w:r>
        <w:rPr>
          <w:color w:val="auto"/>
        </w:rPr>
        <w:fldChar w:fldCharType="begin"/>
      </w:r>
      <w:r>
        <w:rPr>
          <w:color w:val="auto"/>
        </w:rPr>
        <w:instrText xml:space="preserve"> PAGEREF _Toc18422 \h </w:instrText>
      </w:r>
      <w:r>
        <w:rPr>
          <w:color w:val="auto"/>
        </w:rPr>
        <w:fldChar w:fldCharType="separate"/>
      </w:r>
      <w:r>
        <w:rPr>
          <w:color w:val="auto"/>
        </w:rPr>
        <w:t>59</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_Toc7160 </w:instrText>
      </w:r>
      <w:r>
        <w:rPr>
          <w:color w:val="auto"/>
          <w:highlight w:val="none"/>
        </w:rPr>
        <w:fldChar w:fldCharType="separate"/>
      </w:r>
      <w:r>
        <w:rPr>
          <w:rFonts w:hint="eastAsia" w:ascii="宋体" w:hAnsi="宋体" w:eastAsia="宋体"/>
          <w:color w:val="auto"/>
          <w:szCs w:val="21"/>
          <w:highlight w:val="none"/>
        </w:rPr>
        <w:t>C</w:t>
      </w:r>
      <w:r>
        <w:rPr>
          <w:rFonts w:ascii="宋体" w:hAnsi="宋体" w:eastAsia="宋体"/>
          <w:color w:val="auto"/>
          <w:szCs w:val="21"/>
          <w:highlight w:val="none"/>
        </w:rPr>
        <w:t>1</w:t>
      </w:r>
      <w:r>
        <w:rPr>
          <w:rFonts w:hint="eastAsia" w:ascii="宋体" w:hAnsi="宋体" w:eastAsia="宋体"/>
          <w:color w:val="auto"/>
          <w:szCs w:val="21"/>
          <w:highlight w:val="none"/>
        </w:rPr>
        <w:t xml:space="preserve"> </w:t>
      </w:r>
      <w:r>
        <w:rPr>
          <w:rFonts w:ascii="宋体" w:hAnsi="宋体" w:eastAsia="宋体"/>
          <w:color w:val="auto"/>
          <w:szCs w:val="21"/>
          <w:highlight w:val="none"/>
        </w:rPr>
        <w:t>比选申请报价一览表</w:t>
      </w:r>
      <w:r>
        <w:rPr>
          <w:color w:val="auto"/>
        </w:rPr>
        <w:tab/>
      </w:r>
      <w:r>
        <w:rPr>
          <w:color w:val="auto"/>
        </w:rPr>
        <w:fldChar w:fldCharType="begin"/>
      </w:r>
      <w:r>
        <w:rPr>
          <w:color w:val="auto"/>
        </w:rPr>
        <w:instrText xml:space="preserve"> PAGEREF _Toc7160 \h </w:instrText>
      </w:r>
      <w:r>
        <w:rPr>
          <w:color w:val="auto"/>
        </w:rPr>
        <w:fldChar w:fldCharType="separate"/>
      </w:r>
      <w:r>
        <w:rPr>
          <w:color w:val="auto"/>
        </w:rPr>
        <w:t>60</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_Toc30325 </w:instrText>
      </w:r>
      <w:r>
        <w:rPr>
          <w:color w:val="auto"/>
          <w:highlight w:val="none"/>
        </w:rPr>
        <w:fldChar w:fldCharType="separate"/>
      </w:r>
      <w:r>
        <w:rPr>
          <w:rFonts w:hint="eastAsia" w:ascii="宋体" w:hAnsi="宋体" w:eastAsia="宋体"/>
          <w:color w:val="auto"/>
          <w:szCs w:val="21"/>
          <w:highlight w:val="none"/>
        </w:rPr>
        <w:t>C</w:t>
      </w:r>
      <w:r>
        <w:rPr>
          <w:rFonts w:ascii="宋体" w:hAnsi="宋体" w:eastAsia="宋体"/>
          <w:color w:val="auto"/>
          <w:szCs w:val="21"/>
          <w:highlight w:val="none"/>
        </w:rPr>
        <w:t>2</w:t>
      </w:r>
      <w:r>
        <w:rPr>
          <w:rFonts w:hint="eastAsia" w:ascii="宋体" w:hAnsi="宋体" w:eastAsia="宋体"/>
          <w:color w:val="auto"/>
          <w:szCs w:val="21"/>
          <w:highlight w:val="none"/>
        </w:rPr>
        <w:t xml:space="preserve"> </w:t>
      </w:r>
      <w:r>
        <w:rPr>
          <w:rFonts w:ascii="宋体" w:hAnsi="宋体" w:eastAsia="宋体"/>
          <w:color w:val="auto"/>
          <w:szCs w:val="21"/>
          <w:highlight w:val="none"/>
        </w:rPr>
        <w:t>比选申请函格式</w:t>
      </w:r>
      <w:r>
        <w:rPr>
          <w:color w:val="auto"/>
        </w:rPr>
        <w:tab/>
      </w:r>
      <w:r>
        <w:rPr>
          <w:color w:val="auto"/>
        </w:rPr>
        <w:fldChar w:fldCharType="begin"/>
      </w:r>
      <w:r>
        <w:rPr>
          <w:color w:val="auto"/>
        </w:rPr>
        <w:instrText xml:space="preserve"> PAGEREF _Toc30325 \h </w:instrText>
      </w:r>
      <w:r>
        <w:rPr>
          <w:color w:val="auto"/>
        </w:rPr>
        <w:fldChar w:fldCharType="separate"/>
      </w:r>
      <w:r>
        <w:rPr>
          <w:color w:val="auto"/>
        </w:rPr>
        <w:t>61</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_Toc12833 </w:instrText>
      </w:r>
      <w:r>
        <w:rPr>
          <w:color w:val="auto"/>
          <w:highlight w:val="none"/>
        </w:rPr>
        <w:fldChar w:fldCharType="separate"/>
      </w:r>
      <w:r>
        <w:rPr>
          <w:rFonts w:hint="eastAsia" w:ascii="宋体" w:hAnsi="宋体" w:eastAsia="宋体"/>
          <w:color w:val="auto"/>
          <w:szCs w:val="21"/>
          <w:highlight w:val="none"/>
        </w:rPr>
        <w:t>C</w:t>
      </w:r>
      <w:r>
        <w:rPr>
          <w:rFonts w:ascii="宋体" w:hAnsi="宋体" w:eastAsia="宋体"/>
          <w:color w:val="auto"/>
          <w:szCs w:val="21"/>
          <w:highlight w:val="none"/>
        </w:rPr>
        <w:t>3</w:t>
      </w:r>
      <w:r>
        <w:rPr>
          <w:rFonts w:hint="eastAsia" w:ascii="宋体" w:hAnsi="宋体" w:eastAsia="宋体"/>
          <w:color w:val="auto"/>
          <w:szCs w:val="21"/>
          <w:highlight w:val="none"/>
        </w:rPr>
        <w:t xml:space="preserve"> </w:t>
      </w:r>
      <w:r>
        <w:rPr>
          <w:rFonts w:ascii="宋体" w:hAnsi="宋体" w:eastAsia="宋体"/>
          <w:color w:val="auto"/>
          <w:szCs w:val="21"/>
          <w:highlight w:val="none"/>
        </w:rPr>
        <w:t>比选申请报价表格式</w:t>
      </w:r>
      <w:r>
        <w:rPr>
          <w:color w:val="auto"/>
        </w:rPr>
        <w:tab/>
      </w:r>
      <w:r>
        <w:rPr>
          <w:color w:val="auto"/>
        </w:rPr>
        <w:fldChar w:fldCharType="begin"/>
      </w:r>
      <w:r>
        <w:rPr>
          <w:color w:val="auto"/>
        </w:rPr>
        <w:instrText xml:space="preserve"> PAGEREF _Toc12833 \h </w:instrText>
      </w:r>
      <w:r>
        <w:rPr>
          <w:color w:val="auto"/>
        </w:rPr>
        <w:fldChar w:fldCharType="separate"/>
      </w:r>
      <w:r>
        <w:rPr>
          <w:color w:val="auto"/>
        </w:rPr>
        <w:t>62</w:t>
      </w:r>
      <w:r>
        <w:rPr>
          <w:color w:val="auto"/>
        </w:rPr>
        <w:fldChar w:fldCharType="end"/>
      </w:r>
      <w:r>
        <w:rPr>
          <w:color w:val="auto"/>
          <w:highlight w:val="none"/>
        </w:rPr>
        <w:fldChar w:fldCharType="end"/>
      </w:r>
    </w:p>
    <w:p>
      <w:pPr>
        <w:pStyle w:val="22"/>
        <w:tabs>
          <w:tab w:val="right" w:leader="dot" w:pos="9071"/>
        </w:tabs>
        <w:rPr>
          <w:color w:val="auto"/>
        </w:rPr>
      </w:pPr>
      <w:r>
        <w:rPr>
          <w:color w:val="auto"/>
          <w:highlight w:val="none"/>
        </w:rPr>
        <w:fldChar w:fldCharType="begin"/>
      </w:r>
      <w:r>
        <w:rPr>
          <w:color w:val="auto"/>
          <w:highlight w:val="none"/>
        </w:rPr>
        <w:instrText xml:space="preserve"> HYPERLINK \l _Toc29090 </w:instrText>
      </w:r>
      <w:r>
        <w:rPr>
          <w:color w:val="auto"/>
          <w:highlight w:val="none"/>
        </w:rPr>
        <w:fldChar w:fldCharType="separate"/>
      </w:r>
      <w:r>
        <w:rPr>
          <w:rFonts w:hint="eastAsia" w:ascii="宋体" w:hAnsi="宋体" w:eastAsia="宋体"/>
          <w:color w:val="auto"/>
          <w:highlight w:val="none"/>
        </w:rPr>
        <w:t>第五章用户需求书</w:t>
      </w:r>
      <w:r>
        <w:rPr>
          <w:color w:val="auto"/>
        </w:rPr>
        <w:tab/>
      </w:r>
      <w:r>
        <w:rPr>
          <w:color w:val="auto"/>
        </w:rPr>
        <w:fldChar w:fldCharType="begin"/>
      </w:r>
      <w:r>
        <w:rPr>
          <w:color w:val="auto"/>
        </w:rPr>
        <w:instrText xml:space="preserve"> PAGEREF _Toc29090 \h </w:instrText>
      </w:r>
      <w:r>
        <w:rPr>
          <w:color w:val="auto"/>
        </w:rPr>
        <w:fldChar w:fldCharType="separate"/>
      </w:r>
      <w:r>
        <w:rPr>
          <w:color w:val="auto"/>
        </w:rPr>
        <w:t>73</w:t>
      </w:r>
      <w:r>
        <w:rPr>
          <w:color w:val="auto"/>
        </w:rPr>
        <w:fldChar w:fldCharType="end"/>
      </w:r>
      <w:r>
        <w:rPr>
          <w:color w:val="auto"/>
          <w:highlight w:val="none"/>
        </w:rPr>
        <w:fldChar w:fldCharType="end"/>
      </w:r>
    </w:p>
    <w:p>
      <w:pPr>
        <w:pStyle w:val="22"/>
        <w:tabs>
          <w:tab w:val="right" w:leader="dot" w:pos="9071"/>
        </w:tabs>
        <w:rPr>
          <w:color w:val="auto"/>
        </w:rPr>
      </w:pPr>
      <w:r>
        <w:rPr>
          <w:color w:val="auto"/>
          <w:highlight w:val="none"/>
        </w:rPr>
        <w:fldChar w:fldCharType="begin"/>
      </w:r>
      <w:r>
        <w:rPr>
          <w:color w:val="auto"/>
          <w:highlight w:val="none"/>
        </w:rPr>
        <w:instrText xml:space="preserve"> HYPERLINK \l _Toc8571 </w:instrText>
      </w:r>
      <w:r>
        <w:rPr>
          <w:color w:val="auto"/>
          <w:highlight w:val="none"/>
        </w:rPr>
        <w:fldChar w:fldCharType="separate"/>
      </w:r>
      <w:r>
        <w:rPr>
          <w:rFonts w:hint="eastAsia" w:ascii="宋体" w:hAnsi="宋体" w:eastAsia="宋体"/>
          <w:color w:val="auto"/>
          <w:highlight w:val="none"/>
        </w:rPr>
        <w:t>第六章</w:t>
      </w:r>
      <w:r>
        <w:rPr>
          <w:rFonts w:hint="eastAsia" w:hAnsi="宋体"/>
          <w:color w:val="auto"/>
          <w:highlight w:val="none"/>
        </w:rPr>
        <w:t>评审办法</w:t>
      </w:r>
      <w:r>
        <w:rPr>
          <w:color w:val="auto"/>
        </w:rPr>
        <w:tab/>
      </w:r>
      <w:r>
        <w:rPr>
          <w:color w:val="auto"/>
        </w:rPr>
        <w:fldChar w:fldCharType="begin"/>
      </w:r>
      <w:r>
        <w:rPr>
          <w:color w:val="auto"/>
        </w:rPr>
        <w:instrText xml:space="preserve"> PAGEREF _Toc8571 \h </w:instrText>
      </w:r>
      <w:r>
        <w:rPr>
          <w:color w:val="auto"/>
        </w:rPr>
        <w:fldChar w:fldCharType="separate"/>
      </w:r>
      <w:r>
        <w:rPr>
          <w:color w:val="auto"/>
        </w:rPr>
        <w:t>109</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_Toc25929 </w:instrText>
      </w:r>
      <w:r>
        <w:rPr>
          <w:color w:val="auto"/>
          <w:highlight w:val="none"/>
        </w:rPr>
        <w:fldChar w:fldCharType="separate"/>
      </w:r>
      <w:r>
        <w:rPr>
          <w:rFonts w:hint="eastAsia" w:ascii="宋体" w:hAnsi="宋体" w:cs="Arial"/>
          <w:bCs/>
          <w:color w:val="auto"/>
          <w:szCs w:val="28"/>
          <w:highlight w:val="none"/>
        </w:rPr>
        <w:t>一、评审原则</w:t>
      </w:r>
      <w:r>
        <w:rPr>
          <w:color w:val="auto"/>
        </w:rPr>
        <w:tab/>
      </w:r>
      <w:r>
        <w:rPr>
          <w:color w:val="auto"/>
        </w:rPr>
        <w:fldChar w:fldCharType="begin"/>
      </w:r>
      <w:r>
        <w:rPr>
          <w:color w:val="auto"/>
        </w:rPr>
        <w:instrText xml:space="preserve"> PAGEREF _Toc25929 \h </w:instrText>
      </w:r>
      <w:r>
        <w:rPr>
          <w:color w:val="auto"/>
        </w:rPr>
        <w:fldChar w:fldCharType="separate"/>
      </w:r>
      <w:r>
        <w:rPr>
          <w:color w:val="auto"/>
        </w:rPr>
        <w:t>109</w:t>
      </w:r>
      <w:r>
        <w:rPr>
          <w:color w:val="auto"/>
        </w:rPr>
        <w:fldChar w:fldCharType="end"/>
      </w:r>
      <w:r>
        <w:rPr>
          <w:color w:val="auto"/>
          <w:highlight w:val="none"/>
        </w:rPr>
        <w:fldChar w:fldCharType="end"/>
      </w:r>
    </w:p>
    <w:p>
      <w:pPr>
        <w:pStyle w:val="27"/>
        <w:tabs>
          <w:tab w:val="right" w:leader="dot" w:pos="9071"/>
        </w:tabs>
        <w:rPr>
          <w:color w:val="auto"/>
        </w:rPr>
      </w:pPr>
      <w:r>
        <w:rPr>
          <w:color w:val="auto"/>
          <w:highlight w:val="none"/>
        </w:rPr>
        <w:fldChar w:fldCharType="begin"/>
      </w:r>
      <w:r>
        <w:rPr>
          <w:color w:val="auto"/>
          <w:highlight w:val="none"/>
        </w:rPr>
        <w:instrText xml:space="preserve"> HYPERLINK \l _Toc24448 </w:instrText>
      </w:r>
      <w:r>
        <w:rPr>
          <w:color w:val="auto"/>
          <w:highlight w:val="none"/>
        </w:rPr>
        <w:fldChar w:fldCharType="separate"/>
      </w:r>
      <w:r>
        <w:rPr>
          <w:rFonts w:hint="eastAsia" w:ascii="宋体" w:hAnsi="宋体" w:cs="Arial"/>
          <w:bCs/>
          <w:color w:val="auto"/>
          <w:szCs w:val="28"/>
          <w:highlight w:val="none"/>
        </w:rPr>
        <w:t>二、评定方法</w:t>
      </w:r>
      <w:r>
        <w:rPr>
          <w:color w:val="auto"/>
        </w:rPr>
        <w:tab/>
      </w:r>
      <w:r>
        <w:rPr>
          <w:color w:val="auto"/>
        </w:rPr>
        <w:fldChar w:fldCharType="begin"/>
      </w:r>
      <w:r>
        <w:rPr>
          <w:color w:val="auto"/>
        </w:rPr>
        <w:instrText xml:space="preserve"> PAGEREF _Toc24448 \h </w:instrText>
      </w:r>
      <w:r>
        <w:rPr>
          <w:color w:val="auto"/>
        </w:rPr>
        <w:fldChar w:fldCharType="separate"/>
      </w:r>
      <w:r>
        <w:rPr>
          <w:color w:val="auto"/>
        </w:rPr>
        <w:t>109</w:t>
      </w:r>
      <w:r>
        <w:rPr>
          <w:color w:val="auto"/>
        </w:rPr>
        <w:fldChar w:fldCharType="end"/>
      </w:r>
      <w:r>
        <w:rPr>
          <w:color w:val="auto"/>
          <w:highlight w:val="none"/>
        </w:rPr>
        <w:fldChar w:fldCharType="end"/>
      </w:r>
    </w:p>
    <w:p>
      <w:pPr>
        <w:pStyle w:val="22"/>
        <w:tabs>
          <w:tab w:val="right" w:leader="dot" w:pos="9071"/>
        </w:tabs>
        <w:rPr>
          <w:color w:val="auto"/>
        </w:rPr>
      </w:pPr>
      <w:r>
        <w:rPr>
          <w:color w:val="auto"/>
          <w:highlight w:val="none"/>
        </w:rPr>
        <w:fldChar w:fldCharType="begin"/>
      </w:r>
      <w:r>
        <w:rPr>
          <w:color w:val="auto"/>
          <w:highlight w:val="none"/>
        </w:rPr>
        <w:instrText xml:space="preserve"> HYPERLINK \l _Toc21548 </w:instrText>
      </w:r>
      <w:r>
        <w:rPr>
          <w:color w:val="auto"/>
          <w:highlight w:val="none"/>
        </w:rPr>
        <w:fldChar w:fldCharType="separate"/>
      </w:r>
      <w:r>
        <w:rPr>
          <w:rFonts w:hint="eastAsia"/>
          <w:color w:val="auto"/>
          <w:szCs w:val="21"/>
          <w:highlight w:val="none"/>
        </w:rPr>
        <w:t>附表一 资格审查表</w:t>
      </w:r>
      <w:r>
        <w:rPr>
          <w:color w:val="auto"/>
        </w:rPr>
        <w:tab/>
      </w:r>
      <w:r>
        <w:rPr>
          <w:color w:val="auto"/>
        </w:rPr>
        <w:fldChar w:fldCharType="begin"/>
      </w:r>
      <w:r>
        <w:rPr>
          <w:color w:val="auto"/>
        </w:rPr>
        <w:instrText xml:space="preserve"> PAGEREF _Toc21548 \h </w:instrText>
      </w:r>
      <w:r>
        <w:rPr>
          <w:color w:val="auto"/>
        </w:rPr>
        <w:fldChar w:fldCharType="separate"/>
      </w:r>
      <w:r>
        <w:rPr>
          <w:color w:val="auto"/>
        </w:rPr>
        <w:t>112</w:t>
      </w:r>
      <w:r>
        <w:rPr>
          <w:color w:val="auto"/>
        </w:rPr>
        <w:fldChar w:fldCharType="end"/>
      </w:r>
      <w:r>
        <w:rPr>
          <w:color w:val="auto"/>
          <w:highlight w:val="none"/>
        </w:rPr>
        <w:fldChar w:fldCharType="end"/>
      </w:r>
    </w:p>
    <w:p>
      <w:pPr>
        <w:pStyle w:val="22"/>
        <w:tabs>
          <w:tab w:val="right" w:leader="dot" w:pos="9071"/>
        </w:tabs>
        <w:rPr>
          <w:color w:val="auto"/>
        </w:rPr>
      </w:pPr>
      <w:r>
        <w:rPr>
          <w:color w:val="auto"/>
          <w:highlight w:val="none"/>
        </w:rPr>
        <w:fldChar w:fldCharType="begin"/>
      </w:r>
      <w:r>
        <w:rPr>
          <w:color w:val="auto"/>
          <w:highlight w:val="none"/>
        </w:rPr>
        <w:instrText xml:space="preserve"> HYPERLINK \l _Toc28576 </w:instrText>
      </w:r>
      <w:r>
        <w:rPr>
          <w:color w:val="auto"/>
          <w:highlight w:val="none"/>
        </w:rPr>
        <w:fldChar w:fldCharType="separate"/>
      </w:r>
      <w:r>
        <w:rPr>
          <w:rFonts w:hint="eastAsia" w:eastAsia="宋体"/>
          <w:color w:val="auto"/>
          <w:szCs w:val="21"/>
          <w:highlight w:val="none"/>
        </w:rPr>
        <w:t xml:space="preserve">附表二 </w:t>
      </w:r>
      <w:r>
        <w:rPr>
          <w:rFonts w:hint="eastAsia" w:eastAsia="宋体"/>
          <w:color w:val="auto"/>
          <w:szCs w:val="21"/>
          <w:highlight w:val="none"/>
          <w:lang w:val="en-US" w:eastAsia="zh-CN"/>
        </w:rPr>
        <w:t>技术</w:t>
      </w:r>
      <w:r>
        <w:rPr>
          <w:rFonts w:hint="eastAsia" w:eastAsia="宋体"/>
          <w:color w:val="auto"/>
          <w:szCs w:val="21"/>
          <w:highlight w:val="none"/>
        </w:rPr>
        <w:t>符合性评审表</w:t>
      </w:r>
      <w:r>
        <w:rPr>
          <w:color w:val="auto"/>
        </w:rPr>
        <w:tab/>
      </w:r>
      <w:r>
        <w:rPr>
          <w:color w:val="auto"/>
        </w:rPr>
        <w:fldChar w:fldCharType="begin"/>
      </w:r>
      <w:r>
        <w:rPr>
          <w:color w:val="auto"/>
        </w:rPr>
        <w:instrText xml:space="preserve"> PAGEREF _Toc28576 \h </w:instrText>
      </w:r>
      <w:r>
        <w:rPr>
          <w:color w:val="auto"/>
        </w:rPr>
        <w:fldChar w:fldCharType="separate"/>
      </w:r>
      <w:r>
        <w:rPr>
          <w:color w:val="auto"/>
        </w:rPr>
        <w:t>114</w:t>
      </w:r>
      <w:r>
        <w:rPr>
          <w:color w:val="auto"/>
        </w:rPr>
        <w:fldChar w:fldCharType="end"/>
      </w:r>
      <w:r>
        <w:rPr>
          <w:color w:val="auto"/>
          <w:highlight w:val="none"/>
        </w:rPr>
        <w:fldChar w:fldCharType="end"/>
      </w:r>
    </w:p>
    <w:p>
      <w:pPr>
        <w:pStyle w:val="22"/>
        <w:tabs>
          <w:tab w:val="right" w:leader="dot" w:pos="9071"/>
        </w:tabs>
        <w:rPr>
          <w:color w:val="auto"/>
        </w:rPr>
      </w:pPr>
      <w:r>
        <w:rPr>
          <w:color w:val="auto"/>
          <w:highlight w:val="none"/>
        </w:rPr>
        <w:fldChar w:fldCharType="begin"/>
      </w:r>
      <w:r>
        <w:rPr>
          <w:color w:val="auto"/>
          <w:highlight w:val="none"/>
        </w:rPr>
        <w:instrText xml:space="preserve"> HYPERLINK \l _Toc1673 </w:instrText>
      </w:r>
      <w:r>
        <w:rPr>
          <w:color w:val="auto"/>
          <w:highlight w:val="none"/>
        </w:rPr>
        <w:fldChar w:fldCharType="separate"/>
      </w:r>
      <w:r>
        <w:rPr>
          <w:rFonts w:hint="eastAsia"/>
          <w:color w:val="auto"/>
          <w:szCs w:val="21"/>
          <w:highlight w:val="none"/>
        </w:rPr>
        <w:t>附表</w:t>
      </w:r>
      <w:r>
        <w:rPr>
          <w:rFonts w:hint="eastAsia"/>
          <w:color w:val="auto"/>
          <w:szCs w:val="21"/>
          <w:highlight w:val="none"/>
          <w:lang w:val="en-US" w:eastAsia="zh-CN"/>
        </w:rPr>
        <w:t>四</w:t>
      </w:r>
      <w:r>
        <w:rPr>
          <w:color w:val="auto"/>
          <w:szCs w:val="21"/>
          <w:highlight w:val="none"/>
        </w:rPr>
        <w:t xml:space="preserve"> </w:t>
      </w:r>
      <w:r>
        <w:rPr>
          <w:rFonts w:hint="eastAsia"/>
          <w:color w:val="auto"/>
          <w:szCs w:val="21"/>
          <w:highlight w:val="none"/>
        </w:rPr>
        <w:t>比选申请价格评审表</w:t>
      </w:r>
      <w:r>
        <w:rPr>
          <w:color w:val="auto"/>
        </w:rPr>
        <w:tab/>
      </w:r>
      <w:r>
        <w:rPr>
          <w:color w:val="auto"/>
        </w:rPr>
        <w:fldChar w:fldCharType="begin"/>
      </w:r>
      <w:r>
        <w:rPr>
          <w:color w:val="auto"/>
        </w:rPr>
        <w:instrText xml:space="preserve"> PAGEREF _Toc1673 \h </w:instrText>
      </w:r>
      <w:r>
        <w:rPr>
          <w:color w:val="auto"/>
        </w:rPr>
        <w:fldChar w:fldCharType="separate"/>
      </w:r>
      <w:r>
        <w:rPr>
          <w:color w:val="auto"/>
        </w:rPr>
        <w:t>116</w:t>
      </w:r>
      <w:r>
        <w:rPr>
          <w:color w:val="auto"/>
        </w:rPr>
        <w:fldChar w:fldCharType="end"/>
      </w:r>
      <w:r>
        <w:rPr>
          <w:color w:val="auto"/>
          <w:highlight w:val="none"/>
        </w:rPr>
        <w:fldChar w:fldCharType="end"/>
      </w:r>
    </w:p>
    <w:p>
      <w:pPr>
        <w:ind w:left="0" w:firstLine="0"/>
        <w:rPr>
          <w:color w:val="auto"/>
          <w:highlight w:val="none"/>
        </w:rPr>
      </w:pPr>
      <w:r>
        <w:rPr>
          <w:color w:val="auto"/>
          <w:highlight w:val="none"/>
        </w:rPr>
        <w:fldChar w:fldCharType="end"/>
      </w:r>
    </w:p>
    <w:p>
      <w:pPr>
        <w:pStyle w:val="16"/>
        <w:pageBreakBefore/>
        <w:ind w:right="-57" w:firstLine="0"/>
        <w:jc w:val="center"/>
        <w:outlineLvl w:val="0"/>
        <w:rPr>
          <w:rFonts w:hint="eastAsia"/>
          <w:color w:val="auto"/>
          <w:highlight w:val="none"/>
          <w:lang w:eastAsia="zh-CN"/>
        </w:rPr>
        <w:sectPr>
          <w:footerReference r:id="rId7" w:type="default"/>
          <w:pgSz w:w="11905" w:h="16838"/>
          <w:pgMar w:top="1417" w:right="1417" w:bottom="1417" w:left="1417" w:header="454" w:footer="113" w:gutter="0"/>
          <w:pgNumType w:fmt="decimal"/>
          <w:cols w:space="720" w:num="1"/>
          <w:docGrid w:linePitch="312" w:charSpace="0"/>
        </w:sectPr>
      </w:pPr>
    </w:p>
    <w:p>
      <w:pPr>
        <w:pStyle w:val="16"/>
        <w:pageBreakBefore/>
        <w:ind w:right="-57" w:firstLine="0"/>
        <w:jc w:val="center"/>
        <w:outlineLvl w:val="0"/>
        <w:rPr>
          <w:rStyle w:val="46"/>
          <w:rFonts w:ascii="宋体" w:hAnsi="宋体" w:eastAsia="宋体"/>
          <w:color w:val="auto"/>
          <w:highlight w:val="none"/>
        </w:rPr>
      </w:pPr>
      <w:r>
        <w:rPr>
          <w:rFonts w:hint="eastAsia"/>
          <w:color w:val="auto"/>
          <w:highlight w:val="none"/>
          <w:lang w:val="en-US" w:eastAsia="zh-CN"/>
        </w:rPr>
        <w:t xml:space="preserve"> </w:t>
      </w:r>
      <w:r>
        <w:rPr>
          <w:rFonts w:hint="eastAsia"/>
          <w:color w:val="auto"/>
          <w:highlight w:val="none"/>
          <w:lang w:eastAsia="zh-CN"/>
        </w:rPr>
        <w:tab/>
      </w:r>
      <w:bookmarkStart w:id="0" w:name="_Toc17693"/>
      <w:bookmarkStart w:id="1" w:name="_Toc28635"/>
      <w:bookmarkStart w:id="2" w:name="_Toc24217"/>
      <w:bookmarkStart w:id="3" w:name="_Toc25618"/>
      <w:bookmarkStart w:id="4" w:name="_Toc13132"/>
      <w:r>
        <w:rPr>
          <w:rStyle w:val="46"/>
          <w:rFonts w:hint="eastAsia" w:ascii="宋体" w:hAnsi="宋体" w:eastAsia="宋体"/>
          <w:color w:val="auto"/>
          <w:highlight w:val="none"/>
        </w:rPr>
        <w:t>第一章比选公告</w:t>
      </w:r>
      <w:bookmarkEnd w:id="0"/>
      <w:bookmarkEnd w:id="1"/>
      <w:bookmarkEnd w:id="2"/>
      <w:bookmarkEnd w:id="3"/>
      <w:bookmarkEnd w:id="4"/>
    </w:p>
    <w:p>
      <w:pPr>
        <w:spacing w:before="0" w:after="0" w:afterAutospacing="0"/>
        <w:ind w:right="-57" w:firstLine="0"/>
        <w:jc w:val="center"/>
        <w:rPr>
          <w:rFonts w:ascii="宋体" w:hAnsi="宋体"/>
          <w:b/>
          <w:color w:val="auto"/>
          <w:sz w:val="28"/>
          <w:szCs w:val="28"/>
          <w:highlight w:val="none"/>
        </w:rPr>
      </w:pPr>
      <w:bookmarkStart w:id="5" w:name="_Toc7089"/>
      <w:r>
        <w:rPr>
          <w:rFonts w:hint="eastAsia" w:ascii="宋体" w:hAnsi="宋体"/>
          <w:b/>
          <w:color w:val="auto"/>
          <w:sz w:val="28"/>
          <w:szCs w:val="28"/>
          <w:highlight w:val="none"/>
          <w:u w:val="single"/>
          <w:lang w:eastAsia="zh-CN"/>
        </w:rPr>
        <w:t>南宁轨道交通1-5号线办公网交换机设备委外维保维修服务采购项目（2023年-2024年）</w:t>
      </w:r>
      <w:r>
        <w:rPr>
          <w:rFonts w:hint="eastAsia" w:ascii="宋体" w:hAnsi="宋体"/>
          <w:b/>
          <w:color w:val="auto"/>
          <w:sz w:val="28"/>
          <w:szCs w:val="28"/>
          <w:highlight w:val="none"/>
        </w:rPr>
        <w:t>比选公告</w:t>
      </w:r>
      <w:bookmarkEnd w:id="5"/>
    </w:p>
    <w:p>
      <w:pPr>
        <w:spacing w:before="0" w:after="0" w:afterAutospacing="0"/>
        <w:ind w:left="0" w:right="0" w:firstLine="422" w:firstLineChars="200"/>
        <w:rPr>
          <w:rFonts w:ascii="宋体" w:hAnsi="宋体"/>
          <w:b/>
          <w:color w:val="auto"/>
          <w:highlight w:val="none"/>
        </w:rPr>
      </w:pPr>
      <w:bookmarkStart w:id="6" w:name="OLE_LINK4"/>
      <w:bookmarkEnd w:id="6"/>
      <w:bookmarkStart w:id="7" w:name="_Toc8506"/>
      <w:r>
        <w:rPr>
          <w:rFonts w:hint="eastAsia" w:ascii="宋体" w:hAnsi="宋体"/>
          <w:b/>
          <w:color w:val="auto"/>
          <w:highlight w:val="none"/>
        </w:rPr>
        <w:t>1.比选条件</w:t>
      </w:r>
      <w:bookmarkEnd w:id="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lang w:eastAsia="zh-CN"/>
        </w:rPr>
        <w:t>南宁轨道交通1-5号线办公网交换机设备委外维保维修服务采购项目（2023年-2024年）</w:t>
      </w:r>
      <w:r>
        <w:rPr>
          <w:rFonts w:hint="eastAsia" w:ascii="宋体" w:hAnsi="宋体"/>
          <w:color w:val="auto"/>
          <w:highlight w:val="none"/>
        </w:rPr>
        <w:t>比选人为</w:t>
      </w:r>
      <w:r>
        <w:rPr>
          <w:rFonts w:hint="eastAsia" w:ascii="宋体" w:hAnsi="宋体"/>
          <w:color w:val="auto"/>
          <w:highlight w:val="none"/>
          <w:u w:val="single"/>
        </w:rPr>
        <w:t>南宁轨道交通运营有限公司</w:t>
      </w:r>
      <w:r>
        <w:rPr>
          <w:rFonts w:hint="eastAsia" w:ascii="宋体" w:hAnsi="宋体"/>
          <w:color w:val="auto"/>
          <w:highlight w:val="none"/>
        </w:rPr>
        <w:t>，比选项目资金来源为企业自有资金。</w:t>
      </w:r>
    </w:p>
    <w:p>
      <w:pPr>
        <w:spacing w:before="0" w:after="0" w:afterAutospacing="0"/>
        <w:ind w:left="0" w:right="0" w:firstLine="422" w:firstLineChars="200"/>
        <w:rPr>
          <w:rFonts w:ascii="宋体" w:hAnsi="宋体"/>
          <w:b/>
          <w:color w:val="auto"/>
          <w:highlight w:val="none"/>
        </w:rPr>
      </w:pPr>
      <w:bookmarkStart w:id="8" w:name="_Toc28009"/>
      <w:r>
        <w:rPr>
          <w:rFonts w:hint="eastAsia" w:ascii="宋体" w:hAnsi="宋体"/>
          <w:b/>
          <w:color w:val="auto"/>
          <w:highlight w:val="none"/>
        </w:rPr>
        <w:t>2.项目概况与比选范围</w:t>
      </w:r>
      <w:bookmarkEnd w:id="8"/>
    </w:p>
    <w:p>
      <w:pPr>
        <w:spacing w:before="0" w:after="0" w:afterAutospacing="0"/>
        <w:ind w:left="0" w:right="0" w:firstLine="420" w:firstLineChars="200"/>
        <w:rPr>
          <w:rFonts w:hint="eastAsia" w:ascii="宋体" w:hAnsi="宋体" w:eastAsia="宋体"/>
          <w:color w:val="auto"/>
          <w:highlight w:val="none"/>
          <w:u w:val="none"/>
        </w:rPr>
      </w:pPr>
      <w:r>
        <w:rPr>
          <w:rFonts w:hint="eastAsia" w:ascii="宋体" w:hAnsi="宋体" w:eastAsia="宋体"/>
          <w:color w:val="auto"/>
          <w:highlight w:val="none"/>
        </w:rPr>
        <w:t>项目编号：202311030002</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eastAsia="宋体"/>
          <w:color w:val="auto"/>
          <w:highlight w:val="none"/>
        </w:rPr>
        <w:t>项目名称：</w:t>
      </w:r>
      <w:r>
        <w:rPr>
          <w:rFonts w:hint="eastAsia" w:ascii="宋体" w:hAnsi="宋体"/>
          <w:color w:val="auto"/>
          <w:highlight w:val="none"/>
          <w:lang w:eastAsia="zh-CN"/>
        </w:rPr>
        <w:t>南宁轨道交通1-5号线办公网交换机设备委外维保维修服务采购项目（2023年-2024年）</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eastAsia="宋体"/>
          <w:color w:val="auto"/>
          <w:highlight w:val="none"/>
        </w:rPr>
        <w:t>上限控制价：本项目不含税上限控制价为人民币800000.00元，各分项项目的比选报价不得超出各分项控制价，具体详见合同附件6。比选申请报价高于上限控制价（或分项比选控制价）的比选申请文件将按否决比选申请处理。</w:t>
      </w:r>
    </w:p>
    <w:p>
      <w:pPr>
        <w:spacing w:before="0" w:after="0" w:afterAutospacing="0"/>
        <w:ind w:left="0" w:right="0" w:firstLine="420" w:firstLineChars="200"/>
        <w:rPr>
          <w:rFonts w:hint="default" w:ascii="宋体" w:hAnsi="宋体" w:eastAsia="宋体"/>
          <w:color w:val="auto"/>
          <w:highlight w:val="none"/>
          <w:lang w:val="en-US" w:eastAsia="zh-CN"/>
        </w:rPr>
      </w:pPr>
      <w:r>
        <w:rPr>
          <w:rFonts w:hint="eastAsia" w:hAnsi="宋体"/>
          <w:sz w:val="21"/>
          <w:szCs w:val="21"/>
          <w:lang w:val="en-US" w:eastAsia="zh-CN"/>
        </w:rPr>
        <w:t>交货期：</w:t>
      </w:r>
      <w:r>
        <w:rPr>
          <w:rFonts w:hint="eastAsia" w:hAnsi="宋体"/>
          <w:sz w:val="21"/>
          <w:szCs w:val="21"/>
        </w:rPr>
        <w:t>合同签订后，</w:t>
      </w:r>
      <w:r>
        <w:rPr>
          <w:rFonts w:hint="eastAsia" w:hAnsi="宋体"/>
          <w:sz w:val="21"/>
          <w:szCs w:val="21"/>
          <w:lang w:val="en-US" w:eastAsia="zh-CN"/>
        </w:rPr>
        <w:t>60天</w:t>
      </w:r>
      <w:r>
        <w:rPr>
          <w:rFonts w:hint="eastAsia" w:hAnsi="宋体"/>
          <w:sz w:val="21"/>
          <w:szCs w:val="21"/>
        </w:rPr>
        <w:t>内提供核心交换机板卡备件</w:t>
      </w:r>
      <w:r>
        <w:rPr>
          <w:rFonts w:hint="eastAsia" w:hAnsi="宋体"/>
          <w:sz w:val="21"/>
          <w:szCs w:val="21"/>
          <w:lang w:eastAsia="zh-CN"/>
        </w:rPr>
        <w:t>，</w:t>
      </w:r>
      <w:r>
        <w:rPr>
          <w:rFonts w:hint="eastAsia" w:ascii="宋体" w:hAnsi="宋体"/>
          <w:color w:val="auto"/>
          <w:highlight w:val="none"/>
        </w:rPr>
        <w:t>具体详见用户需求书</w:t>
      </w:r>
      <w:r>
        <w:rPr>
          <w:rFonts w:hint="eastAsia" w:ascii="宋体" w:hAnsi="宋体"/>
          <w:color w:val="auto"/>
          <w:highlight w:val="none"/>
          <w:lang w:val="en-US" w:eastAsia="zh-CN"/>
        </w:rPr>
        <w:t>附件3。</w:t>
      </w:r>
    </w:p>
    <w:p>
      <w:pPr>
        <w:spacing w:before="0" w:after="0" w:afterAutospacing="0"/>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服务期：</w:t>
      </w:r>
      <w:r>
        <w:rPr>
          <w:rFonts w:hint="eastAsia" w:ascii="宋体" w:hAnsi="宋体" w:eastAsia="宋体"/>
          <w:color w:val="auto"/>
          <w:sz w:val="21"/>
          <w:szCs w:val="21"/>
          <w:highlight w:val="none"/>
        </w:rPr>
        <w:t>12个月，具体合同开始时间以进场通知书为准</w:t>
      </w:r>
      <w:r>
        <w:rPr>
          <w:rFonts w:hint="eastAsia" w:ascii="宋体" w:hAnsi="宋体"/>
          <w:color w:val="auto"/>
          <w:sz w:val="21"/>
          <w:szCs w:val="21"/>
          <w:highlight w:val="none"/>
          <w:lang w:eastAsia="zh-CN"/>
        </w:rPr>
        <w:t>。</w:t>
      </w:r>
    </w:p>
    <w:p>
      <w:pPr>
        <w:spacing w:before="0" w:after="0" w:afterAutospacing="0"/>
        <w:ind w:left="0" w:right="0" w:firstLine="420" w:firstLineChars="200"/>
        <w:rPr>
          <w:rFonts w:hint="eastAsia" w:ascii="宋体" w:hAnsi="宋体" w:eastAsia="宋体"/>
          <w:color w:val="auto"/>
          <w:highlight w:val="none"/>
        </w:rPr>
      </w:pPr>
      <w:r>
        <w:rPr>
          <w:rFonts w:hint="eastAsia" w:ascii="宋体" w:hAnsi="宋体" w:cs="宋体"/>
          <w:color w:val="auto"/>
          <w:highlight w:val="none"/>
          <w:lang w:val="en-US" w:eastAsia="zh-CN"/>
        </w:rPr>
        <w:t>质保期：备品备件通过验收双方签字确认之日起，往后推算1年（12个月）。</w:t>
      </w:r>
    </w:p>
    <w:p>
      <w:pPr>
        <w:spacing w:before="0" w:after="0" w:afterAutospacing="0"/>
        <w:ind w:left="0" w:right="0" w:firstLine="420" w:firstLineChars="200"/>
        <w:rPr>
          <w:rFonts w:hint="eastAsia" w:ascii="宋体" w:hAnsi="宋体" w:eastAsia="宋体"/>
          <w:color w:val="auto"/>
          <w:highlight w:val="none"/>
          <w:u w:val="none"/>
        </w:rPr>
      </w:pPr>
      <w:r>
        <w:rPr>
          <w:rFonts w:hint="eastAsia" w:ascii="宋体" w:hAnsi="宋体" w:eastAsia="宋体"/>
          <w:color w:val="auto"/>
          <w:highlight w:val="none"/>
        </w:rPr>
        <w:t>项目地点：</w:t>
      </w:r>
      <w:r>
        <w:rPr>
          <w:rFonts w:ascii="宋体" w:hAnsi="宋体"/>
          <w:color w:val="auto"/>
        </w:rPr>
        <w:t>南宁轨道交通控制中心、屯里车辆段、西乡塘停车场、安吉车辆段</w:t>
      </w:r>
      <w:r>
        <w:rPr>
          <w:rFonts w:hint="eastAsia" w:ascii="宋体" w:hAnsi="宋体"/>
          <w:color w:val="auto"/>
        </w:rPr>
        <w:t>、</w:t>
      </w:r>
      <w:r>
        <w:rPr>
          <w:rFonts w:ascii="宋体" w:hAnsi="宋体"/>
          <w:color w:val="auto"/>
        </w:rPr>
        <w:t>心圩车辆段、新村停车场、五象车辆段、那洪车辆段及</w:t>
      </w:r>
      <w:r>
        <w:rPr>
          <w:rFonts w:hint="eastAsia" w:ascii="宋体" w:hAnsi="宋体"/>
          <w:color w:val="auto"/>
        </w:rPr>
        <w:t>1-5号线沿线各站点。</w:t>
      </w:r>
    </w:p>
    <w:p>
      <w:pPr>
        <w:spacing w:before="0" w:after="0" w:afterAutospacing="0"/>
        <w:ind w:left="0" w:right="0" w:firstLine="420" w:firstLineChars="200"/>
        <w:rPr>
          <w:rFonts w:ascii="宋体" w:hAnsi="宋体"/>
          <w:color w:val="auto"/>
          <w:highlight w:val="none"/>
          <w:u w:val="single"/>
        </w:rPr>
      </w:pPr>
      <w:r>
        <w:rPr>
          <w:rFonts w:hint="eastAsia" w:ascii="宋体" w:hAnsi="宋体" w:eastAsia="宋体"/>
          <w:color w:val="auto"/>
          <w:highlight w:val="none"/>
        </w:rPr>
        <w:t>比选范围：</w:t>
      </w:r>
      <w:r>
        <w:rPr>
          <w:rFonts w:hint="eastAsia" w:ascii="宋体" w:hAnsi="宋体"/>
          <w:color w:val="auto"/>
        </w:rPr>
        <w:t>本次项目维保维修的1-5号线办公网交换机设备为509台，分布于轨道大厦控制中心的数据中心机房、商用机房及控制中心大楼各楼层配线间，1号线沿线25个车站、屯里车辆段和西乡塘停车场OA机房及各楼层配线间，2号线沿线23个车站、安吉综合基地通信机房及各楼层配线间，3号线沿线23个车站、心圩车辆段和新村停车场通信机房及各楼层配线间，4号线沿线16个车站、五象车辆段通信机房及各楼层配线间，5号线沿线17个车站、那洪车辆段通信机房及各楼层配线间。服务的项目是为上述这些交换机设备提供维保维修服务，服务内容包括备件供应、</w:t>
      </w:r>
      <w:r>
        <w:rPr>
          <w:rFonts w:hint="eastAsia" w:ascii="宋体" w:hAnsi="宋体"/>
          <w:color w:val="auto"/>
          <w:kern w:val="2"/>
        </w:rPr>
        <w:t>设备故障件维修、现场技术支持、交换机版本软件服务、预防性设备巡检、</w:t>
      </w:r>
      <w:r>
        <w:rPr>
          <w:rFonts w:hAnsi="宋体"/>
          <w:color w:val="auto"/>
        </w:rPr>
        <w:t>重要节点工作保障</w:t>
      </w:r>
      <w:r>
        <w:rPr>
          <w:rFonts w:hint="eastAsia" w:ascii="宋体" w:hAnsi="宋体"/>
          <w:color w:val="auto"/>
          <w:kern w:val="2"/>
        </w:rPr>
        <w:t>、</w:t>
      </w:r>
      <w:r>
        <w:rPr>
          <w:rFonts w:hint="eastAsia" w:hAnsi="宋体"/>
          <w:color w:val="auto"/>
        </w:rPr>
        <w:t>安全加固、</w:t>
      </w:r>
      <w:r>
        <w:rPr>
          <w:rFonts w:hint="eastAsia" w:cs="宋体"/>
          <w:color w:val="auto"/>
        </w:rPr>
        <w:t>技能培训</w:t>
      </w:r>
      <w:r>
        <w:rPr>
          <w:rFonts w:hint="eastAsia" w:ascii="宋体" w:hAnsi="宋体"/>
          <w:color w:val="auto"/>
          <w:kern w:val="2"/>
        </w:rPr>
        <w:t>等</w:t>
      </w:r>
      <w:r>
        <w:rPr>
          <w:rFonts w:hint="eastAsia" w:ascii="宋体" w:hAnsi="宋体"/>
          <w:color w:val="auto"/>
          <w:szCs w:val="24"/>
        </w:rPr>
        <w:t>服务</w:t>
      </w:r>
      <w:bookmarkStart w:id="9" w:name="_Hlk86248325"/>
      <w:r>
        <w:rPr>
          <w:rFonts w:hint="eastAsia" w:ascii="宋体" w:hAnsi="宋体" w:eastAsia="宋体"/>
          <w:color w:val="auto"/>
          <w:szCs w:val="21"/>
          <w:highlight w:val="none"/>
        </w:rPr>
        <w:t>。</w:t>
      </w:r>
      <w:r>
        <w:rPr>
          <w:rFonts w:hint="eastAsia" w:ascii="宋体" w:hAnsi="宋体" w:eastAsia="宋体"/>
          <w:color w:val="auto"/>
          <w:highlight w:val="none"/>
        </w:rPr>
        <w:t>具体详见用户需求书。</w:t>
      </w:r>
      <w:bookmarkEnd w:id="9"/>
    </w:p>
    <w:p>
      <w:pPr>
        <w:spacing w:before="0" w:after="0" w:afterAutospacing="0"/>
        <w:ind w:left="0" w:right="0" w:firstLine="422" w:firstLineChars="200"/>
        <w:rPr>
          <w:rFonts w:ascii="宋体" w:hAnsi="宋体"/>
          <w:color w:val="auto"/>
          <w:highlight w:val="none"/>
        </w:rPr>
      </w:pPr>
      <w:bookmarkStart w:id="10" w:name="_Toc27208"/>
      <w:r>
        <w:rPr>
          <w:rFonts w:hint="eastAsia" w:ascii="宋体" w:hAnsi="宋体"/>
          <w:b/>
          <w:color w:val="auto"/>
          <w:highlight w:val="none"/>
        </w:rPr>
        <w:t>3.比选申请人资格要求</w:t>
      </w:r>
      <w:bookmarkEnd w:id="10"/>
    </w:p>
    <w:p>
      <w:pPr>
        <w:spacing w:before="0" w:after="0" w:afterAutospacing="0"/>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3.1比选申请人为中华人民共和国境内依法设立的法人或其他组织（若以分公司名义参与比选申请，必须出具总公司授权参与的证明。），经营范围至少包括下列范围之一：①计算机技术开发、咨询、转让，②电子信息技术，③计算机网络设备，④信息技术开发、咨询、转让、推广服务，⑤计算机软硬件，⑥系统集成的技术咨询、技术服务、技术开发。⑦信息系统集成等类似经营范围</w:t>
      </w:r>
      <w:r>
        <w:rPr>
          <w:rFonts w:hint="eastAsia" w:ascii="宋体" w:hAnsi="宋体" w:eastAsia="宋体"/>
          <w:color w:val="auto"/>
          <w:highlight w:val="none"/>
          <w:lang w:eastAsia="zh-CN"/>
        </w:rPr>
        <w:t>；</w:t>
      </w:r>
    </w:p>
    <w:p>
      <w:pPr>
        <w:spacing w:before="0" w:after="0" w:afterAutospacing="0"/>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3.</w:t>
      </w:r>
      <w:r>
        <w:rPr>
          <w:rFonts w:hint="eastAsia" w:ascii="宋体" w:hAnsi="宋体"/>
          <w:color w:val="auto"/>
          <w:highlight w:val="none"/>
          <w:lang w:val="en-US" w:eastAsia="zh-CN"/>
        </w:rPr>
        <w:t>2</w:t>
      </w:r>
      <w:r>
        <w:rPr>
          <w:rFonts w:hint="eastAsia" w:ascii="宋体" w:hAnsi="宋体" w:eastAsia="宋体"/>
          <w:color w:val="auto"/>
          <w:sz w:val="21"/>
          <w:szCs w:val="21"/>
          <w:highlight w:val="none"/>
        </w:rPr>
        <w:t>比选申请人没有处于被责令停业，或投标资格被住建部、国家安监总局、广西区或南宁市建设行政主管部门取消，或财产被接管、破产状态；在投标截止前3年内没有骗取中标、严重违约或重大安全质量事故</w:t>
      </w:r>
      <w:r>
        <w:rPr>
          <w:rFonts w:hint="eastAsia" w:ascii="宋体" w:hAnsi="宋体" w:eastAsia="宋体"/>
          <w:color w:val="auto"/>
          <w:highlight w:val="none"/>
        </w:rPr>
        <w:t>；</w:t>
      </w:r>
    </w:p>
    <w:p>
      <w:pPr>
        <w:spacing w:before="0" w:after="0" w:afterAutospacing="0"/>
        <w:ind w:left="0" w:right="0" w:firstLine="420" w:firstLineChars="200"/>
        <w:rPr>
          <w:rFonts w:hint="eastAsia" w:ascii="宋体" w:hAnsi="宋体"/>
          <w:color w:val="auto"/>
          <w:highlight w:val="none"/>
          <w:lang w:val="en-US" w:eastAsia="zh-CN"/>
        </w:rPr>
      </w:pPr>
      <w:r>
        <w:rPr>
          <w:rFonts w:hint="eastAsia" w:ascii="宋体" w:hAnsi="宋体" w:eastAsia="宋体"/>
          <w:color w:val="auto"/>
          <w:highlight w:val="none"/>
        </w:rPr>
        <w:t>3.</w:t>
      </w:r>
      <w:r>
        <w:rPr>
          <w:rFonts w:hint="eastAsia" w:ascii="宋体" w:hAnsi="宋体"/>
          <w:color w:val="auto"/>
          <w:highlight w:val="none"/>
          <w:lang w:val="en-US" w:eastAsia="zh-CN"/>
        </w:rPr>
        <w:t>3</w:t>
      </w:r>
      <w:r>
        <w:rPr>
          <w:rFonts w:hint="eastAsia" w:hAnsi="宋体"/>
          <w:color w:val="auto"/>
          <w:sz w:val="21"/>
          <w:szCs w:val="21"/>
          <w:lang w:val="en-US" w:eastAsia="zh-CN"/>
        </w:rPr>
        <w:t>比选申请人自2021年1月1日至截标时间前至少有1项合同金额为50万元及以上的类似业绩，类似业绩是指网络核心交换机维保维修服务项目业绩。</w:t>
      </w:r>
      <w:r>
        <w:rPr>
          <w:rFonts w:hint="eastAsia" w:hAnsi="宋体"/>
          <w:color w:val="auto"/>
        </w:rPr>
        <w:t>业绩证明文件：项目合同文件（复印件加盖比选申请人公章），证明文件中须体现出合同双方、合同签订时间、合同金额（单价或合价，能统计出相应合同总价的均认可。）、反映业绩特征的内容等，否则视为无效证明文件</w:t>
      </w:r>
      <w:r>
        <w:rPr>
          <w:rFonts w:hint="eastAsia" w:hAnsi="宋体"/>
          <w:color w:val="auto"/>
          <w:sz w:val="21"/>
          <w:szCs w:val="21"/>
          <w:lang w:val="en-US" w:eastAsia="zh-CN"/>
        </w:rPr>
        <w:t>；</w:t>
      </w:r>
    </w:p>
    <w:p>
      <w:pPr>
        <w:spacing w:before="0" w:after="0" w:afterAutospacing="0"/>
        <w:ind w:left="0" w:right="0" w:firstLine="420" w:firstLineChars="200"/>
        <w:rPr>
          <w:rFonts w:hint="eastAsia" w:ascii="宋体" w:hAnsi="宋体" w:eastAsia="宋体"/>
          <w:color w:val="auto"/>
          <w:highlight w:val="none"/>
        </w:rPr>
      </w:pPr>
      <w:r>
        <w:rPr>
          <w:rFonts w:hint="eastAsia" w:ascii="宋体" w:hAnsi="宋体"/>
          <w:color w:val="auto"/>
          <w:highlight w:val="none"/>
          <w:lang w:val="en-US" w:eastAsia="zh-CN"/>
        </w:rPr>
        <w:t>3.4</w:t>
      </w:r>
      <w:r>
        <w:rPr>
          <w:rFonts w:hint="eastAsia" w:ascii="宋体" w:hAnsi="宋体" w:eastAsia="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eastAsia="宋体"/>
          <w:color w:val="auto"/>
          <w:highlight w:val="none"/>
        </w:rPr>
        <w:t>3.</w:t>
      </w:r>
      <w:r>
        <w:rPr>
          <w:rFonts w:hint="eastAsia" w:ascii="宋体" w:hAnsi="宋体"/>
          <w:color w:val="auto"/>
          <w:highlight w:val="none"/>
          <w:lang w:val="en-US" w:eastAsia="zh-CN"/>
        </w:rPr>
        <w:t>5</w:t>
      </w:r>
      <w:r>
        <w:rPr>
          <w:rFonts w:hint="eastAsia" w:ascii="宋体" w:hAnsi="宋体" w:eastAsia="宋体"/>
          <w:color w:val="auto"/>
          <w:highlight w:val="none"/>
        </w:rPr>
        <w:t>本项目不接受联合体比选申请</w:t>
      </w:r>
      <w:r>
        <w:rPr>
          <w:rFonts w:hint="eastAsia" w:ascii="宋体" w:hAnsi="宋体" w:eastAsia="宋体"/>
          <w:color w:val="auto"/>
          <w:highlight w:val="none"/>
          <w:lang w:eastAsia="zh-CN"/>
        </w:rPr>
        <w:t>；</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3.</w:t>
      </w:r>
      <w:r>
        <w:rPr>
          <w:rFonts w:hint="eastAsia" w:ascii="宋体" w:hAnsi="宋体"/>
          <w:color w:val="auto"/>
          <w:highlight w:val="none"/>
          <w:lang w:val="en-US" w:eastAsia="zh-CN"/>
        </w:rPr>
        <w:t>6</w:t>
      </w:r>
      <w:r>
        <w:rPr>
          <w:rFonts w:hint="eastAsia" w:ascii="宋体" w:hAnsi="宋体" w:eastAsia="宋体"/>
          <w:color w:val="auto"/>
          <w:highlight w:val="none"/>
          <w:lang w:val="en-US" w:eastAsia="zh-CN"/>
        </w:rPr>
        <w:t>比选申请人未被列入比选人不良信用名单的。</w:t>
      </w:r>
    </w:p>
    <w:p>
      <w:pPr>
        <w:spacing w:before="0" w:after="0" w:afterAutospacing="0"/>
        <w:ind w:left="0" w:right="0" w:firstLine="422" w:firstLineChars="200"/>
        <w:rPr>
          <w:rFonts w:ascii="宋体" w:hAnsi="宋体"/>
          <w:b/>
          <w:color w:val="auto"/>
          <w:highlight w:val="none"/>
        </w:rPr>
      </w:pPr>
      <w:bookmarkStart w:id="11" w:name="_Toc7836"/>
      <w:r>
        <w:rPr>
          <w:rFonts w:hint="eastAsia" w:ascii="宋体" w:hAnsi="宋体"/>
          <w:b/>
          <w:color w:val="auto"/>
          <w:highlight w:val="none"/>
        </w:rPr>
        <w:t>4.资格审查方式</w:t>
      </w:r>
      <w:bookmarkEnd w:id="11"/>
    </w:p>
    <w:p>
      <w:pPr>
        <w:spacing w:before="0" w:after="0" w:afterAutospacing="0"/>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bookmarkStart w:id="12" w:name="_Toc21304"/>
      <w:r>
        <w:rPr>
          <w:rFonts w:hint="eastAsia" w:ascii="宋体" w:hAnsi="宋体"/>
          <w:b/>
          <w:color w:val="auto"/>
          <w:highlight w:val="none"/>
        </w:rPr>
        <w:t>5.比选文件的获取</w:t>
      </w:r>
      <w:bookmarkEnd w:id="12"/>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bookmarkStart w:id="13" w:name="_Toc2374"/>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bookmarkEnd w:id="13"/>
    </w:p>
    <w:p>
      <w:pPr>
        <w:spacing w:before="0" w:after="0" w:afterAutospacing="0"/>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6.1比选申请文件须密封后于</w:t>
      </w:r>
      <w:r>
        <w:rPr>
          <w:rFonts w:hint="eastAsia" w:ascii="宋体" w:hAnsi="宋体"/>
          <w:color w:val="auto"/>
          <w:highlight w:val="none"/>
          <w:lang w:val="en-US" w:eastAsia="zh-CN"/>
        </w:rPr>
        <w:t>2024</w:t>
      </w:r>
      <w:r>
        <w:rPr>
          <w:rFonts w:hint="eastAsia" w:ascii="宋体" w:hAnsi="宋体" w:eastAsia="宋体"/>
          <w:color w:val="auto"/>
          <w:highlight w:val="none"/>
        </w:rPr>
        <w:t>年</w:t>
      </w:r>
      <w:r>
        <w:rPr>
          <w:rFonts w:hint="eastAsia" w:ascii="宋体" w:hAnsi="宋体"/>
          <w:color w:val="auto"/>
          <w:highlight w:val="none"/>
          <w:lang w:val="en-US" w:eastAsia="zh-CN"/>
        </w:rPr>
        <w:t>1</w:t>
      </w:r>
      <w:r>
        <w:rPr>
          <w:rFonts w:hint="eastAsia" w:ascii="宋体" w:hAnsi="宋体" w:eastAsia="宋体"/>
          <w:color w:val="auto"/>
          <w:highlight w:val="none"/>
        </w:rPr>
        <w:t>月</w:t>
      </w:r>
      <w:r>
        <w:rPr>
          <w:rFonts w:hint="eastAsia" w:ascii="宋体" w:hAnsi="宋体"/>
          <w:color w:val="auto"/>
          <w:highlight w:val="none"/>
          <w:lang w:val="en-US" w:eastAsia="zh-CN"/>
        </w:rPr>
        <w:t>8</w:t>
      </w:r>
      <w:r>
        <w:rPr>
          <w:rFonts w:hint="eastAsia" w:ascii="宋体" w:hAnsi="宋体" w:eastAsia="宋体"/>
          <w:color w:val="auto"/>
          <w:highlight w:val="none"/>
        </w:rPr>
        <w:t>日</w:t>
      </w:r>
      <w:r>
        <w:rPr>
          <w:rFonts w:hint="eastAsia" w:ascii="宋体" w:hAnsi="宋体"/>
          <w:color w:val="auto"/>
          <w:highlight w:val="none"/>
          <w:lang w:val="en-US" w:eastAsia="zh-CN"/>
        </w:rPr>
        <w:t>9</w:t>
      </w:r>
      <w:r>
        <w:rPr>
          <w:rFonts w:hint="eastAsia" w:ascii="宋体" w:hAnsi="宋体" w:eastAsia="宋体"/>
          <w:color w:val="auto"/>
          <w:highlight w:val="none"/>
        </w:rPr>
        <w:t>时</w:t>
      </w:r>
      <w:r>
        <w:rPr>
          <w:rFonts w:hint="eastAsia" w:ascii="宋体" w:hAnsi="宋体"/>
          <w:color w:val="auto"/>
          <w:highlight w:val="none"/>
          <w:lang w:val="en-US" w:eastAsia="zh-CN"/>
        </w:rPr>
        <w:t>00</w:t>
      </w:r>
      <w:r>
        <w:rPr>
          <w:rFonts w:hint="eastAsia" w:ascii="宋体" w:hAnsi="宋体" w:eastAsia="宋体"/>
          <w:color w:val="auto"/>
          <w:highlight w:val="none"/>
        </w:rPr>
        <w:t>分-</w:t>
      </w:r>
      <w:r>
        <w:rPr>
          <w:rFonts w:hint="eastAsia" w:ascii="宋体" w:hAnsi="宋体"/>
          <w:color w:val="auto"/>
          <w:highlight w:val="none"/>
          <w:lang w:val="en-US" w:eastAsia="zh-CN"/>
        </w:rPr>
        <w:t>9</w:t>
      </w:r>
      <w:r>
        <w:rPr>
          <w:rFonts w:hint="eastAsia" w:ascii="宋体" w:hAnsi="宋体" w:eastAsia="宋体"/>
          <w:color w:val="auto"/>
          <w:highlight w:val="none"/>
        </w:rPr>
        <w:t>时</w:t>
      </w:r>
      <w:r>
        <w:rPr>
          <w:rFonts w:hint="eastAsia" w:ascii="宋体" w:hAnsi="宋体"/>
          <w:color w:val="auto"/>
          <w:highlight w:val="none"/>
          <w:lang w:val="en-US" w:eastAsia="zh-CN"/>
        </w:rPr>
        <w:t>30</w:t>
      </w:r>
      <w:r>
        <w:rPr>
          <w:rFonts w:hint="eastAsia" w:ascii="宋体" w:hAnsi="宋体" w:eastAsia="宋体"/>
          <w:color w:val="auto"/>
          <w:highlight w:val="none"/>
        </w:rPr>
        <w:t>分（北京时间）递交，递交地点在广西壮族自治区南宁市青秀区云景路83号南宁轨道交通运营有限公司屯里车辆段综合楼</w:t>
      </w:r>
      <w:r>
        <w:rPr>
          <w:rFonts w:hint="eastAsia" w:ascii="宋体" w:hAnsi="宋体"/>
          <w:color w:val="auto"/>
          <w:highlight w:val="none"/>
          <w:lang w:val="en-US" w:eastAsia="zh-CN"/>
        </w:rPr>
        <w:t>205</w:t>
      </w:r>
      <w:r>
        <w:rPr>
          <w:rFonts w:hint="eastAsia" w:ascii="宋体" w:hAnsi="宋体" w:eastAsia="宋体"/>
          <w:color w:val="auto"/>
          <w:highlight w:val="none"/>
        </w:rPr>
        <w:t>会议室，递交现场联系人：赖工，电话0771-2778326；</w:t>
      </w:r>
    </w:p>
    <w:p>
      <w:pPr>
        <w:spacing w:before="0" w:after="0" w:afterAutospacing="0"/>
        <w:ind w:left="0" w:leftChars="0" w:right="0" w:firstLine="420" w:firstLineChars="200"/>
        <w:rPr>
          <w:rFonts w:hint="eastAsia" w:ascii="宋体" w:hAnsi="宋体" w:eastAsia="宋体"/>
          <w:color w:val="auto"/>
          <w:highlight w:val="none"/>
        </w:rPr>
      </w:pPr>
      <w:r>
        <w:rPr>
          <w:rFonts w:hint="eastAsia" w:ascii="宋体" w:hAnsi="宋体" w:eastAsia="宋体"/>
          <w:color w:val="auto"/>
          <w:highlight w:val="none"/>
        </w:rPr>
        <w:t>6.2逾期送达的或者未送达指定地点或者未按比选文件要求密封的比选申请文件将被拒绝。</w:t>
      </w:r>
    </w:p>
    <w:p>
      <w:pPr>
        <w:spacing w:before="0" w:after="0" w:afterAutospacing="0"/>
        <w:ind w:left="0" w:right="0" w:firstLine="420" w:firstLineChars="200"/>
        <w:rPr>
          <w:rFonts w:ascii="宋体" w:hAnsi="宋体"/>
          <w:color w:val="auto"/>
          <w:highlight w:val="none"/>
        </w:rPr>
      </w:pPr>
      <w:r>
        <w:rPr>
          <w:rFonts w:hint="eastAsia" w:ascii="宋体" w:hAnsi="宋体" w:eastAsia="宋体"/>
          <w:color w:val="auto"/>
          <w:highlight w:val="none"/>
        </w:rPr>
        <w:t>6.3请比选申请人法定代表人或其授权代表携法人委托书原件准时参加。比选申请文件必须由比选申请人法定代表人或其授权代表递交，否则比选人不予受理。</w:t>
      </w:r>
    </w:p>
    <w:p>
      <w:pPr>
        <w:spacing w:before="0" w:after="0" w:afterAutospacing="0"/>
        <w:ind w:left="0" w:right="0" w:firstLine="422" w:firstLineChars="200"/>
        <w:rPr>
          <w:rFonts w:ascii="宋体" w:hAnsi="宋体"/>
          <w:b/>
          <w:color w:val="auto"/>
          <w:highlight w:val="none"/>
        </w:rPr>
      </w:pPr>
      <w:bookmarkStart w:id="14" w:name="_Toc20842"/>
      <w:r>
        <w:rPr>
          <w:rFonts w:hint="eastAsia" w:ascii="宋体" w:hAnsi="宋体"/>
          <w:b/>
          <w:color w:val="auto"/>
          <w:highlight w:val="none"/>
        </w:rPr>
        <w:t>7.发布公告的媒介</w:t>
      </w:r>
      <w:bookmarkEnd w:id="14"/>
    </w:p>
    <w:p>
      <w:pPr>
        <w:spacing w:before="0" w:after="0" w:afterAutospacing="0"/>
        <w:ind w:left="0" w:right="0" w:firstLine="420" w:firstLineChars="200"/>
        <w:rPr>
          <w:rFonts w:ascii="宋体" w:hAnsi="宋体"/>
          <w:color w:val="auto"/>
          <w:highlight w:val="none"/>
        </w:rPr>
      </w:pPr>
      <w:r>
        <w:rPr>
          <w:rFonts w:hint="eastAsia" w:ascii="宋体" w:hAnsi="宋体" w:eastAsia="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lang w:val="en-US" w:eastAsia="zh-CN"/>
        </w:rPr>
        <w:t>8</w:t>
      </w:r>
      <w:r>
        <w:rPr>
          <w:rFonts w:hint="eastAsia" w:ascii="宋体" w:hAnsi="宋体"/>
          <w:b/>
          <w:color w:val="auto"/>
          <w:highlight w:val="none"/>
        </w:rPr>
        <w:t>.联系方式</w:t>
      </w:r>
    </w:p>
    <w:p>
      <w:pPr>
        <w:spacing w:before="0" w:after="0" w:afterAutospacing="0"/>
        <w:ind w:left="0" w:right="0" w:firstLine="420" w:firstLineChars="200"/>
        <w:rPr>
          <w:rFonts w:hint="eastAsia" w:ascii="宋体" w:hAnsi="宋体" w:eastAsia="宋体"/>
          <w:color w:val="auto"/>
          <w:highlight w:val="none"/>
          <w:u w:val="none"/>
        </w:rPr>
      </w:pPr>
      <w:r>
        <w:rPr>
          <w:rFonts w:hint="eastAsia" w:ascii="宋体" w:hAnsi="宋体" w:eastAsia="宋体"/>
          <w:color w:val="auto"/>
          <w:highlight w:val="none"/>
        </w:rPr>
        <w:t xml:space="preserve">比选 人：南宁轨道交通运营有限公司    </w:t>
      </w:r>
    </w:p>
    <w:p>
      <w:pPr>
        <w:spacing w:before="0" w:after="0" w:afterAutospacing="0"/>
        <w:ind w:left="0" w:right="0" w:firstLine="420" w:firstLineChars="200"/>
        <w:rPr>
          <w:rFonts w:hint="eastAsia" w:ascii="宋体" w:hAnsi="宋体" w:eastAsia="宋体"/>
          <w:color w:val="auto"/>
          <w:highlight w:val="none"/>
          <w:u w:val="none"/>
        </w:rPr>
      </w:pPr>
      <w:r>
        <w:rPr>
          <w:rFonts w:hint="eastAsia" w:ascii="宋体" w:hAnsi="宋体" w:eastAsia="宋体"/>
          <w:color w:val="auto"/>
          <w:highlight w:val="none"/>
        </w:rPr>
        <w:t xml:space="preserve">地    址：南宁市青秀区云景路83号         </w:t>
      </w:r>
    </w:p>
    <w:p>
      <w:pPr>
        <w:spacing w:before="0" w:after="0" w:afterAutospacing="0"/>
        <w:ind w:left="0" w:right="0" w:firstLine="420" w:firstLineChars="200"/>
        <w:rPr>
          <w:rFonts w:hint="eastAsia" w:ascii="宋体" w:hAnsi="宋体" w:eastAsia="宋体"/>
          <w:color w:val="auto"/>
          <w:highlight w:val="none"/>
          <w:u w:val="none"/>
        </w:rPr>
      </w:pPr>
      <w:r>
        <w:rPr>
          <w:rFonts w:hint="eastAsia" w:ascii="宋体" w:hAnsi="宋体" w:eastAsia="宋体"/>
          <w:color w:val="auto"/>
          <w:highlight w:val="none"/>
        </w:rPr>
        <w:t xml:space="preserve">邮    编：530022                         </w:t>
      </w:r>
    </w:p>
    <w:p>
      <w:pPr>
        <w:spacing w:before="0" w:after="0" w:afterAutospacing="0"/>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联 系 人：</w:t>
      </w:r>
      <w:r>
        <w:rPr>
          <w:rFonts w:hint="eastAsia" w:ascii="宋体" w:hAnsi="宋体"/>
          <w:color w:val="auto"/>
          <w:highlight w:val="none"/>
          <w:lang w:val="en-US" w:eastAsia="zh-CN"/>
        </w:rPr>
        <w:t>赖工</w:t>
      </w:r>
      <w:r>
        <w:rPr>
          <w:rFonts w:hint="eastAsia" w:ascii="宋体" w:hAnsi="宋体" w:eastAsia="宋体"/>
          <w:color w:val="auto"/>
          <w:highlight w:val="none"/>
        </w:rPr>
        <w:t xml:space="preserve">   </w:t>
      </w:r>
      <w:r>
        <w:rPr>
          <w:rFonts w:hint="eastAsia" w:ascii="宋体" w:hAnsi="宋体" w:eastAsia="宋体"/>
          <w:color w:val="auto"/>
          <w:highlight w:val="none"/>
          <w:lang w:val="en-US" w:eastAsia="zh-CN"/>
        </w:rPr>
        <w:t>李</w:t>
      </w:r>
      <w:r>
        <w:rPr>
          <w:rFonts w:hint="eastAsia" w:ascii="宋体" w:hAnsi="宋体"/>
          <w:color w:val="auto"/>
          <w:highlight w:val="none"/>
          <w:lang w:val="en-US" w:eastAsia="zh-CN"/>
        </w:rPr>
        <w:t>工</w:t>
      </w:r>
      <w:r>
        <w:rPr>
          <w:rFonts w:hint="eastAsia" w:ascii="宋体" w:hAnsi="宋体" w:eastAsia="宋体"/>
          <w:color w:val="auto"/>
          <w:highlight w:val="none"/>
        </w:rPr>
        <w:t xml:space="preserve"> </w:t>
      </w:r>
    </w:p>
    <w:p>
      <w:pPr>
        <w:spacing w:before="0" w:after="0" w:afterAutospacing="0"/>
        <w:ind w:left="0" w:right="0" w:firstLine="420" w:firstLineChars="200"/>
        <w:rPr>
          <w:rFonts w:hint="eastAsia" w:ascii="宋体" w:hAnsi="宋体" w:eastAsia="宋体"/>
          <w:color w:val="auto"/>
          <w:highlight w:val="none"/>
          <w:lang w:val="en-US"/>
        </w:rPr>
      </w:pPr>
      <w:r>
        <w:rPr>
          <w:rFonts w:hint="eastAsia" w:ascii="宋体" w:hAnsi="宋体" w:eastAsia="宋体"/>
          <w:color w:val="auto"/>
          <w:highlight w:val="none"/>
        </w:rPr>
        <w:t>电    话：</w:t>
      </w:r>
      <w:r>
        <w:rPr>
          <w:rFonts w:hint="eastAsia" w:ascii="宋体" w:hAnsi="宋体" w:eastAsia="宋体"/>
          <w:color w:val="auto"/>
          <w:highlight w:val="none"/>
          <w:lang w:val="en-US" w:eastAsia="zh-CN"/>
        </w:rPr>
        <w:t>0771-27783</w:t>
      </w:r>
      <w:r>
        <w:rPr>
          <w:rFonts w:hint="eastAsia" w:ascii="宋体" w:hAnsi="宋体"/>
          <w:color w:val="auto"/>
          <w:highlight w:val="none"/>
          <w:lang w:val="en-US" w:eastAsia="zh-CN"/>
        </w:rPr>
        <w:t>26</w:t>
      </w:r>
      <w:r>
        <w:rPr>
          <w:rFonts w:hint="eastAsia" w:ascii="宋体" w:hAnsi="宋体" w:eastAsia="宋体"/>
          <w:color w:val="auto"/>
          <w:highlight w:val="none"/>
          <w:lang w:val="en-US" w:eastAsia="zh-CN"/>
        </w:rPr>
        <w:t>、0771-</w:t>
      </w:r>
      <w:r>
        <w:rPr>
          <w:rFonts w:hint="eastAsia" w:ascii="宋体" w:hAnsi="宋体" w:eastAsia="宋体" w:cs="Times New Roman"/>
          <w:color w:val="auto"/>
          <w:highlight w:val="none"/>
          <w:lang w:val="en-US" w:eastAsia="zh-CN"/>
        </w:rPr>
        <w:t>2778978</w:t>
      </w:r>
    </w:p>
    <w:p>
      <w:pPr>
        <w:spacing w:before="0" w:after="0" w:afterAutospacing="0" w:line="240" w:lineRule="auto"/>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纪检监察室（举报电话）：</w:t>
      </w:r>
      <w:r>
        <w:rPr>
          <w:rFonts w:hint="eastAsia" w:ascii="宋体" w:hAnsi="宋体" w:eastAsia="宋体"/>
          <w:color w:val="auto"/>
          <w:highlight w:val="none"/>
          <w:u w:val="none"/>
        </w:rPr>
        <w:t>0771-2778084</w:t>
      </w:r>
    </w:p>
    <w:p>
      <w:pPr>
        <w:pStyle w:val="16"/>
        <w:pageBreakBefore/>
        <w:ind w:right="-57" w:firstLine="0"/>
        <w:jc w:val="center"/>
        <w:outlineLvl w:val="0"/>
        <w:rPr>
          <w:rStyle w:val="46"/>
          <w:rFonts w:ascii="宋体" w:hAnsi="宋体" w:eastAsia="宋体"/>
          <w:color w:val="auto"/>
          <w:highlight w:val="none"/>
        </w:rPr>
      </w:pPr>
      <w:bookmarkStart w:id="15" w:name="_Toc322528192"/>
      <w:bookmarkEnd w:id="15"/>
      <w:bookmarkStart w:id="16" w:name="_Toc512357502"/>
      <w:bookmarkStart w:id="17" w:name="_Toc30883"/>
      <w:bookmarkStart w:id="18" w:name="_Toc17735"/>
      <w:bookmarkStart w:id="19" w:name="_Toc21830"/>
      <w:bookmarkStart w:id="20" w:name="_Toc30950"/>
      <w:bookmarkStart w:id="21" w:name="_Toc17240"/>
      <w:bookmarkStart w:id="22" w:name="_Toc22273"/>
      <w:bookmarkStart w:id="23" w:name="_Toc24390"/>
      <w:bookmarkStart w:id="24" w:name="_Toc27268"/>
      <w:bookmarkStart w:id="25" w:name="_Toc2901"/>
      <w:bookmarkStart w:id="26" w:name="_Toc29836"/>
      <w:bookmarkStart w:id="27" w:name="_Toc30725"/>
      <w:bookmarkStart w:id="28" w:name="_Toc20201"/>
      <w:bookmarkStart w:id="29" w:name="_Toc24972"/>
      <w:bookmarkStart w:id="30" w:name="_Toc18454"/>
      <w:bookmarkStart w:id="31" w:name="_Toc1230"/>
      <w:bookmarkStart w:id="32" w:name="_Toc4378"/>
      <w:bookmarkStart w:id="33" w:name="_Toc24737"/>
      <w:bookmarkStart w:id="34" w:name="_Toc2734"/>
      <w:bookmarkStart w:id="35" w:name="_Toc23577"/>
      <w:bookmarkStart w:id="36" w:name="_Toc15976"/>
      <w:bookmarkStart w:id="37" w:name="_Toc17594"/>
      <w:bookmarkStart w:id="38" w:name="_Toc12635"/>
      <w:bookmarkStart w:id="39" w:name="_Toc32503"/>
      <w:bookmarkStart w:id="40" w:name="_Toc28490"/>
      <w:bookmarkStart w:id="41" w:name="_Toc3495"/>
      <w:bookmarkStart w:id="42" w:name="_Toc30820"/>
      <w:r>
        <w:rPr>
          <w:rStyle w:val="46"/>
          <w:rFonts w:hint="eastAsia" w:ascii="宋体" w:hAnsi="宋体" w:eastAsia="宋体"/>
          <w:color w:val="auto"/>
          <w:highlight w:val="none"/>
        </w:rPr>
        <w:t>第二章</w:t>
      </w:r>
      <w:bookmarkEnd w:id="16"/>
      <w:r>
        <w:rPr>
          <w:rStyle w:val="46"/>
          <w:rFonts w:hint="eastAsia" w:ascii="宋体" w:hAnsi="宋体" w:eastAsia="宋体"/>
          <w:color w:val="auto"/>
          <w:highlight w:val="none"/>
        </w:rPr>
        <w:t>比选申请须知</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16"/>
        <w:spacing w:before="0" w:after="0"/>
        <w:ind w:right="0" w:firstLine="0"/>
        <w:jc w:val="center"/>
        <w:rPr>
          <w:rFonts w:hAnsi="宋体"/>
          <w:b/>
          <w:color w:val="auto"/>
          <w:sz w:val="30"/>
          <w:szCs w:val="30"/>
          <w:highlight w:val="none"/>
        </w:rPr>
      </w:pPr>
      <w:bookmarkStart w:id="43" w:name="_Toc19197"/>
      <w:r>
        <w:rPr>
          <w:rFonts w:hint="eastAsia" w:hAnsi="宋体"/>
          <w:b/>
          <w:color w:val="auto"/>
          <w:sz w:val="30"/>
          <w:szCs w:val="30"/>
          <w:highlight w:val="none"/>
        </w:rPr>
        <w:t>比选申请须知前附表</w:t>
      </w:r>
      <w:bookmarkEnd w:id="43"/>
    </w:p>
    <w:tbl>
      <w:tblPr>
        <w:tblStyle w:val="33"/>
        <w:tblW w:w="9117" w:type="dxa"/>
        <w:tblInd w:w="112" w:type="dxa"/>
        <w:tblLayout w:type="fixed"/>
        <w:tblCellMar>
          <w:top w:w="0" w:type="dxa"/>
          <w:left w:w="108" w:type="dxa"/>
          <w:bottom w:w="0" w:type="dxa"/>
          <w:right w:w="108" w:type="dxa"/>
        </w:tblCellMar>
      </w:tblPr>
      <w:tblGrid>
        <w:gridCol w:w="673"/>
        <w:gridCol w:w="1716"/>
        <w:gridCol w:w="6728"/>
      </w:tblGrid>
      <w:tr>
        <w:tblPrEx>
          <w:tblCellMar>
            <w:top w:w="0" w:type="dxa"/>
            <w:left w:w="108" w:type="dxa"/>
            <w:bottom w:w="0" w:type="dxa"/>
            <w:right w:w="108" w:type="dxa"/>
          </w:tblCellMar>
        </w:tblPrEx>
        <w:trPr>
          <w:trHeight w:val="273"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条款号</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条款名称</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详细内容</w:t>
            </w:r>
          </w:p>
        </w:tc>
      </w:tr>
      <w:tr>
        <w:tblPrEx>
          <w:tblCellMar>
            <w:top w:w="0" w:type="dxa"/>
            <w:left w:w="108" w:type="dxa"/>
            <w:bottom w:w="0" w:type="dxa"/>
            <w:right w:w="108" w:type="dxa"/>
          </w:tblCellMar>
        </w:tblPrEx>
        <w:trPr>
          <w:trHeight w:val="1197"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比选人</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名称：南宁轨道交通运营有限公司</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地址：南宁市青秀区云景路83号</w:t>
            </w:r>
          </w:p>
          <w:p>
            <w:pPr>
              <w:keepNext w:val="0"/>
              <w:keepLines w:val="0"/>
              <w:widowControl/>
              <w:suppressLineNumbers w:val="0"/>
              <w:spacing w:before="0" w:beforeAutospacing="0" w:after="0" w:afterAutospacing="0"/>
              <w:ind w:right="0"/>
              <w:rPr>
                <w:rFonts w:hint="eastAsia" w:ascii="宋体" w:hAnsi="宋体" w:eastAsia="宋体" w:cs="宋体"/>
                <w:color w:val="auto"/>
                <w:highlight w:val="none"/>
              </w:rPr>
            </w:pP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赖工</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李</w:t>
            </w:r>
            <w:r>
              <w:rPr>
                <w:rFonts w:hint="eastAsia" w:ascii="宋体" w:hAnsi="宋体" w:cs="宋体"/>
                <w:color w:val="auto"/>
                <w:highlight w:val="none"/>
                <w:lang w:val="en-US" w:eastAsia="zh-CN"/>
              </w:rPr>
              <w:t>工</w:t>
            </w:r>
            <w:r>
              <w:rPr>
                <w:rFonts w:hint="eastAsia" w:ascii="宋体" w:hAnsi="宋体" w:eastAsia="宋体" w:cs="宋体"/>
                <w:color w:val="auto"/>
                <w:highlight w:val="none"/>
              </w:rPr>
              <w:t xml:space="preserve"> </w:t>
            </w:r>
          </w:p>
          <w:p>
            <w:pPr>
              <w:keepNext w:val="0"/>
              <w:keepLines w:val="0"/>
              <w:widowControl/>
              <w:suppressLineNumbers w:val="0"/>
              <w:spacing w:before="0" w:beforeAutospacing="0" w:after="0" w:afterAutospacing="0"/>
              <w:ind w:right="0"/>
              <w:rPr>
                <w:rFonts w:hint="eastAsia" w:ascii="宋体" w:hAnsi="宋体" w:eastAsia="宋体" w:cs="宋体"/>
                <w:color w:val="auto"/>
                <w:highlight w:val="none"/>
                <w:lang w:val="en-US"/>
              </w:rPr>
            </w:pPr>
            <w:r>
              <w:rPr>
                <w:rFonts w:hint="eastAsia" w:ascii="宋体" w:hAnsi="宋体" w:eastAsia="宋体" w:cs="宋体"/>
                <w:color w:val="auto"/>
                <w:highlight w:val="none"/>
              </w:rPr>
              <w:t>电话：</w:t>
            </w:r>
            <w:r>
              <w:rPr>
                <w:rFonts w:hint="eastAsia" w:ascii="宋体" w:hAnsi="宋体" w:eastAsia="宋体" w:cs="宋体"/>
                <w:color w:val="auto"/>
                <w:highlight w:val="none"/>
                <w:lang w:val="en-US" w:eastAsia="zh-CN"/>
              </w:rPr>
              <w:t>0771-27783</w:t>
            </w:r>
            <w:r>
              <w:rPr>
                <w:rFonts w:hint="eastAsia" w:ascii="宋体" w:hAnsi="宋体" w:cs="宋体"/>
                <w:color w:val="auto"/>
                <w:highlight w:val="none"/>
                <w:lang w:val="en-US" w:eastAsia="zh-CN"/>
              </w:rPr>
              <w:t>26</w:t>
            </w:r>
            <w:r>
              <w:rPr>
                <w:rFonts w:hint="eastAsia" w:ascii="宋体" w:hAnsi="宋体" w:eastAsia="宋体" w:cs="宋体"/>
                <w:color w:val="auto"/>
                <w:highlight w:val="none"/>
                <w:lang w:val="en-US" w:eastAsia="zh-CN"/>
              </w:rPr>
              <w:t>、0771-2778978</w:t>
            </w:r>
          </w:p>
        </w:tc>
      </w:tr>
      <w:tr>
        <w:tblPrEx>
          <w:tblCellMar>
            <w:top w:w="0" w:type="dxa"/>
            <w:left w:w="108" w:type="dxa"/>
            <w:bottom w:w="0" w:type="dxa"/>
            <w:right w:w="108" w:type="dxa"/>
          </w:tblCellMar>
        </w:tblPrEx>
        <w:trPr>
          <w:trHeight w:val="14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lang w:eastAsia="zh-CN"/>
              </w:rPr>
            </w:pPr>
            <w:r>
              <w:rPr>
                <w:rFonts w:hint="eastAsia" w:ascii="宋体" w:hAnsi="宋体"/>
                <w:color w:val="auto"/>
                <w:highlight w:val="none"/>
                <w:lang w:eastAsia="zh-CN"/>
              </w:rPr>
              <w:t>南宁轨道交通1-5号线办公网交换机设备委外维保维修服务采购项目（2023年-2024年）</w:t>
            </w:r>
          </w:p>
        </w:tc>
      </w:tr>
      <w:tr>
        <w:tblPrEx>
          <w:tblCellMar>
            <w:top w:w="0" w:type="dxa"/>
            <w:left w:w="108" w:type="dxa"/>
            <w:bottom w:w="0" w:type="dxa"/>
            <w:right w:w="108" w:type="dxa"/>
          </w:tblCellMar>
        </w:tblPrEx>
        <w:trPr>
          <w:trHeight w:val="14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项目编号</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cs="宋体"/>
                <w:color w:val="auto"/>
                <w:highlight w:val="none"/>
              </w:rPr>
              <w:t>202311030002</w:t>
            </w:r>
          </w:p>
        </w:tc>
      </w:tr>
      <w:tr>
        <w:tblPrEx>
          <w:tblCellMar>
            <w:top w:w="0" w:type="dxa"/>
            <w:left w:w="108" w:type="dxa"/>
            <w:bottom w:w="0" w:type="dxa"/>
            <w:right w:w="108" w:type="dxa"/>
          </w:tblCellMar>
        </w:tblPrEx>
        <w:trPr>
          <w:trHeight w:val="14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1.4</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比选范围</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15" w:right="0" w:hanging="14" w:hangingChars="7"/>
              <w:rPr>
                <w:rFonts w:hint="eastAsia" w:ascii="宋体" w:hAnsi="宋体" w:eastAsia="宋体" w:cs="宋体"/>
                <w:color w:val="auto"/>
                <w:highlight w:val="none"/>
              </w:rPr>
            </w:pPr>
            <w:r>
              <w:rPr>
                <w:rFonts w:hint="eastAsia" w:ascii="宋体" w:hAnsi="宋体"/>
                <w:color w:val="auto"/>
              </w:rPr>
              <w:t>本次项目维保维修的1-5号线办公网交换机设备为509台，分布于轨道大厦控制中心的数据中心机房、商用机房及控制中心大楼各楼层配线间，1号线沿线25个车站、屯里车辆段和西乡塘停车场OA机房及各楼层配线间，2号线沿线23个车站、安吉综合基地通信机房及各楼层配线间，3号线沿线23个车站、心圩车辆段和新村停车场通信机房及各楼层配线间，4号线沿线16个车站、五象车辆段通信机房及各楼层配线间，5号线沿线17个车站、那洪车辆段通信机房及各楼层配线间。服务的项目是为上述这些交换机设备提供维保维修服务，服务内容包括备件供应、</w:t>
            </w:r>
            <w:r>
              <w:rPr>
                <w:rFonts w:hint="eastAsia" w:ascii="宋体" w:hAnsi="宋体"/>
                <w:color w:val="auto"/>
                <w:kern w:val="2"/>
              </w:rPr>
              <w:t>设备故障件维修、现场技术支持、交换机版本软件服务、预防性设备巡检、</w:t>
            </w:r>
            <w:r>
              <w:rPr>
                <w:rFonts w:hint="default" w:hAnsi="宋体"/>
                <w:color w:val="auto"/>
              </w:rPr>
              <w:t>重要节点工作保障</w:t>
            </w:r>
            <w:r>
              <w:rPr>
                <w:rFonts w:hint="eastAsia" w:ascii="宋体" w:hAnsi="宋体"/>
                <w:color w:val="auto"/>
                <w:kern w:val="2"/>
              </w:rPr>
              <w:t>、</w:t>
            </w:r>
            <w:r>
              <w:rPr>
                <w:rFonts w:hint="eastAsia" w:hAnsi="宋体"/>
                <w:color w:val="auto"/>
              </w:rPr>
              <w:t>安全加固、</w:t>
            </w:r>
            <w:r>
              <w:rPr>
                <w:rFonts w:hint="eastAsia" w:cs="宋体"/>
                <w:color w:val="auto"/>
              </w:rPr>
              <w:t>技能培训</w:t>
            </w:r>
            <w:r>
              <w:rPr>
                <w:rFonts w:hint="eastAsia" w:ascii="宋体" w:hAnsi="宋体"/>
                <w:color w:val="auto"/>
                <w:kern w:val="2"/>
              </w:rPr>
              <w:t>等</w:t>
            </w:r>
            <w:r>
              <w:rPr>
                <w:rFonts w:hint="eastAsia" w:ascii="宋体" w:hAnsi="宋体"/>
                <w:color w:val="auto"/>
                <w:szCs w:val="24"/>
              </w:rPr>
              <w:t>服务</w:t>
            </w:r>
            <w:r>
              <w:rPr>
                <w:rFonts w:hint="eastAsia" w:ascii="宋体" w:hAnsi="宋体" w:eastAsia="宋体" w:cs="宋体"/>
                <w:color w:val="auto"/>
                <w:highlight w:val="none"/>
              </w:rPr>
              <w:t>。具体详见用户需求书。</w:t>
            </w:r>
          </w:p>
        </w:tc>
      </w:tr>
      <w:tr>
        <w:tblPrEx>
          <w:tblCellMar>
            <w:top w:w="0" w:type="dxa"/>
            <w:left w:w="108" w:type="dxa"/>
            <w:bottom w:w="0" w:type="dxa"/>
            <w:right w:w="108" w:type="dxa"/>
          </w:tblCellMar>
        </w:tblPrEx>
        <w:trPr>
          <w:trHeight w:val="792"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1.5</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交货期</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firstLineChars="0"/>
              <w:jc w:val="left"/>
              <w:rPr>
                <w:rFonts w:hint="eastAsia" w:ascii="宋体" w:hAnsi="宋体" w:eastAsia="宋体" w:cs="宋体"/>
                <w:color w:val="auto"/>
                <w:sz w:val="21"/>
                <w:szCs w:val="21"/>
                <w:highlight w:val="none"/>
              </w:rPr>
            </w:pPr>
            <w:r>
              <w:rPr>
                <w:rFonts w:hint="eastAsia" w:hAnsi="宋体"/>
                <w:sz w:val="21"/>
                <w:szCs w:val="21"/>
              </w:rPr>
              <w:t>合同签订后，</w:t>
            </w:r>
            <w:r>
              <w:rPr>
                <w:rFonts w:hint="eastAsia" w:hAnsi="宋体"/>
                <w:sz w:val="21"/>
                <w:szCs w:val="21"/>
                <w:lang w:val="en-US" w:eastAsia="zh-CN"/>
              </w:rPr>
              <w:t>60天</w:t>
            </w:r>
            <w:r>
              <w:rPr>
                <w:rFonts w:hint="eastAsia" w:hAnsi="宋体"/>
                <w:sz w:val="21"/>
                <w:szCs w:val="21"/>
              </w:rPr>
              <w:t>内提供核心交换机板卡备件</w:t>
            </w:r>
            <w:r>
              <w:rPr>
                <w:rFonts w:hint="eastAsia" w:ascii="Times New Roman" w:hAnsi="Times New Roman" w:cs="Times New Roman"/>
                <w:highlight w:val="none"/>
                <w:lang w:val="en-US" w:eastAsia="zh-CN"/>
              </w:rPr>
              <w:t>，具体详见用户需求书附件3</w:t>
            </w:r>
            <w:r>
              <w:rPr>
                <w:rFonts w:hint="eastAsia" w:ascii="宋体" w:hAnsi="宋体" w:eastAsia="宋体" w:cs="宋体"/>
                <w:color w:val="auto"/>
                <w:highlight w:val="none"/>
              </w:rPr>
              <w:t>。</w:t>
            </w:r>
          </w:p>
        </w:tc>
      </w:tr>
      <w:tr>
        <w:tblPrEx>
          <w:tblCellMar>
            <w:top w:w="0" w:type="dxa"/>
            <w:left w:w="108" w:type="dxa"/>
            <w:bottom w:w="0" w:type="dxa"/>
            <w:right w:w="108" w:type="dxa"/>
          </w:tblCellMar>
        </w:tblPrEx>
        <w:trPr>
          <w:trHeight w:val="792"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6</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服务期</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firstLineChars="0"/>
              <w:jc w:val="left"/>
              <w:rPr>
                <w:rFonts w:hint="eastAsia" w:ascii="宋体" w:hAnsi="宋体" w:eastAsia="宋体" w:cs="宋体"/>
                <w:color w:val="auto"/>
                <w:highlight w:val="none"/>
                <w:u w:val="single"/>
              </w:rPr>
            </w:pPr>
            <w:r>
              <w:rPr>
                <w:rFonts w:hint="eastAsia" w:ascii="宋体" w:hAnsi="宋体" w:eastAsia="宋体" w:cs="宋体"/>
                <w:color w:val="auto"/>
                <w:sz w:val="21"/>
                <w:szCs w:val="21"/>
                <w:highlight w:val="none"/>
              </w:rPr>
              <w:t>12个月，具体合同开始时间以进场通知书为准</w:t>
            </w:r>
            <w:r>
              <w:rPr>
                <w:rFonts w:hint="eastAsia" w:ascii="宋体" w:hAnsi="宋体" w:cs="宋体"/>
                <w:color w:val="auto"/>
                <w:sz w:val="21"/>
                <w:szCs w:val="21"/>
                <w:highlight w:val="none"/>
                <w:lang w:eastAsia="zh-CN"/>
              </w:rPr>
              <w:t>。</w:t>
            </w:r>
          </w:p>
        </w:tc>
      </w:tr>
      <w:tr>
        <w:tblPrEx>
          <w:tblCellMar>
            <w:top w:w="0" w:type="dxa"/>
            <w:left w:w="108" w:type="dxa"/>
            <w:bottom w:w="0" w:type="dxa"/>
            <w:right w:w="108" w:type="dxa"/>
          </w:tblCellMar>
        </w:tblPrEx>
        <w:trPr>
          <w:trHeight w:val="78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1.7</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质保期</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firstLine="0" w:firstLineChars="0"/>
              <w:rPr>
                <w:rFonts w:hint="eastAsia" w:ascii="宋体" w:hAnsi="宋体" w:eastAsia="宋体" w:cs="宋体"/>
                <w:color w:val="auto"/>
                <w:sz w:val="21"/>
                <w:szCs w:val="21"/>
                <w:highlight w:val="none"/>
              </w:rPr>
            </w:pPr>
            <w:r>
              <w:rPr>
                <w:rFonts w:hint="eastAsia" w:ascii="宋体" w:hAnsi="宋体" w:cs="宋体"/>
                <w:color w:val="auto"/>
                <w:highlight w:val="none"/>
                <w:lang w:val="en-US" w:eastAsia="zh-CN"/>
              </w:rPr>
              <w:t>备品备件通过验收双方签字确认之日起，往后推算1年（12个月）。</w:t>
            </w:r>
          </w:p>
        </w:tc>
      </w:tr>
      <w:tr>
        <w:tblPrEx>
          <w:tblCellMar>
            <w:top w:w="0" w:type="dxa"/>
            <w:left w:w="108" w:type="dxa"/>
            <w:bottom w:w="0" w:type="dxa"/>
            <w:right w:w="108" w:type="dxa"/>
          </w:tblCellMar>
        </w:tblPrEx>
        <w:trPr>
          <w:trHeight w:val="14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8</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资金来源</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企业自有资金</w:t>
            </w:r>
          </w:p>
        </w:tc>
      </w:tr>
      <w:tr>
        <w:tblPrEx>
          <w:tblCellMar>
            <w:top w:w="0" w:type="dxa"/>
            <w:left w:w="108" w:type="dxa"/>
            <w:bottom w:w="0" w:type="dxa"/>
            <w:right w:w="108" w:type="dxa"/>
          </w:tblCellMar>
        </w:tblPrEx>
        <w:trPr>
          <w:trHeight w:val="134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9</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上限控制价</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u w:val="single"/>
              </w:rPr>
              <w:t>上限控制价：本项目不含税上限控制价为人民币</w:t>
            </w:r>
            <w:r>
              <w:rPr>
                <w:rFonts w:hint="eastAsia" w:ascii="宋体" w:hAnsi="宋体" w:cs="宋体"/>
                <w:color w:val="auto"/>
                <w:highlight w:val="none"/>
                <w:u w:val="single"/>
                <w:lang w:val="en-US" w:eastAsia="zh-CN"/>
              </w:rPr>
              <w:t>80</w:t>
            </w:r>
            <w:r>
              <w:rPr>
                <w:rFonts w:hint="eastAsia" w:ascii="宋体" w:hAnsi="宋体" w:eastAsia="宋体" w:cs="宋体"/>
                <w:color w:val="auto"/>
                <w:highlight w:val="none"/>
                <w:u w:val="single"/>
                <w:lang w:val="en-US" w:eastAsia="zh-CN"/>
              </w:rPr>
              <w:t>0</w:t>
            </w:r>
            <w:r>
              <w:rPr>
                <w:rFonts w:hint="eastAsia" w:ascii="宋体" w:hAnsi="宋体" w:eastAsia="宋体" w:cs="宋体"/>
                <w:color w:val="auto"/>
                <w:highlight w:val="none"/>
                <w:u w:val="single"/>
                <w:lang w:eastAsia="zh-CN"/>
              </w:rPr>
              <w:t>000.00</w:t>
            </w:r>
            <w:r>
              <w:rPr>
                <w:rFonts w:hint="eastAsia" w:ascii="宋体" w:hAnsi="宋体" w:eastAsia="宋体" w:cs="宋体"/>
                <w:color w:val="auto"/>
                <w:highlight w:val="none"/>
                <w:u w:val="single"/>
              </w:rPr>
              <w:t>元</w:t>
            </w:r>
            <w:r>
              <w:rPr>
                <w:rFonts w:hint="eastAsia" w:ascii="宋体" w:hAnsi="宋体" w:cs="宋体"/>
                <w:color w:val="auto"/>
                <w:highlight w:val="none"/>
                <w:u w:val="single"/>
                <w:lang w:eastAsia="zh-CN"/>
              </w:rPr>
              <w:t>，</w:t>
            </w:r>
            <w:r>
              <w:rPr>
                <w:rFonts w:hint="eastAsia" w:ascii="宋体" w:hAnsi="宋体" w:cs="宋体"/>
                <w:color w:val="auto"/>
                <w:highlight w:val="none"/>
                <w:u w:val="single"/>
                <w:lang w:val="en-US" w:eastAsia="zh-CN"/>
              </w:rPr>
              <w:t>各分项项目的比选报价不得超出各分项控制价，具体详见合同附件6</w:t>
            </w:r>
            <w:r>
              <w:rPr>
                <w:rFonts w:hint="eastAsia" w:ascii="宋体" w:hAnsi="宋体" w:eastAsia="宋体" w:cs="宋体"/>
                <w:color w:val="auto"/>
                <w:highlight w:val="none"/>
                <w:u w:val="single"/>
              </w:rPr>
              <w:t>。比选申请报价高于上限控制价</w:t>
            </w:r>
            <w:r>
              <w:rPr>
                <w:rFonts w:hint="eastAsia" w:ascii="宋体" w:hAnsi="宋体" w:cs="宋体"/>
                <w:color w:val="auto"/>
                <w:highlight w:val="none"/>
                <w:u w:val="single"/>
                <w:lang w:eastAsia="zh-CN"/>
              </w:rPr>
              <w:t>（</w:t>
            </w:r>
            <w:r>
              <w:rPr>
                <w:rFonts w:hint="eastAsia" w:ascii="宋体" w:hAnsi="宋体" w:cs="宋体"/>
                <w:color w:val="auto"/>
                <w:highlight w:val="none"/>
                <w:u w:val="single"/>
                <w:lang w:val="en-US" w:eastAsia="zh-CN"/>
              </w:rPr>
              <w:t>或分项比选控制价</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的比选申请文件将按否决比选申请处理。</w:t>
            </w:r>
          </w:p>
        </w:tc>
      </w:tr>
      <w:tr>
        <w:tblPrEx>
          <w:tblCellMar>
            <w:top w:w="0" w:type="dxa"/>
            <w:left w:w="108" w:type="dxa"/>
            <w:bottom w:w="0" w:type="dxa"/>
            <w:right w:w="108" w:type="dxa"/>
          </w:tblCellMar>
        </w:tblPrEx>
        <w:trPr>
          <w:trHeight w:val="9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比选申请人应具备的资格条件</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1）比选申请人为中华人民共和国境内依法设立的法人或其他组织（若以分公司名义参与比选申请，必须出具总公司授权参与的证明。），经营范围至少包括下列范围之一：①计算机技术开发、咨询、转让，②电子信息技术，③计算机网络设备，④信息技术开发、咨询、转让、推广服务，⑤计算机软硬件，⑥系统集成的技术咨询、技术服务、技术开发。⑦信息系统集成等类似经营范围</w:t>
            </w:r>
            <w:r>
              <w:rPr>
                <w:rFonts w:hint="eastAsia" w:ascii="宋体" w:hAnsi="宋体" w:eastAsia="宋体" w:cs="宋体"/>
                <w:color w:val="auto"/>
                <w:highlight w:val="none"/>
                <w:lang w:eastAsia="zh-CN"/>
              </w:rPr>
              <w:t>；</w:t>
            </w:r>
          </w:p>
          <w:p>
            <w:pPr>
              <w:keepNext w:val="0"/>
              <w:keepLines w:val="0"/>
              <w:widowControl/>
              <w:suppressLineNumbers w:val="0"/>
              <w:spacing w:before="0" w:beforeAutospacing="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2</w:t>
            </w:r>
            <w:r>
              <w:rPr>
                <w:rFonts w:hint="eastAsia" w:ascii="宋体" w:hAnsi="宋体" w:eastAsia="宋体" w:cs="宋体"/>
                <w:color w:val="auto"/>
                <w:highlight w:val="none"/>
              </w:rPr>
              <w:t>）</w:t>
            </w:r>
            <w:r>
              <w:rPr>
                <w:rFonts w:hint="eastAsia" w:ascii="宋体" w:hAnsi="宋体" w:eastAsia="宋体" w:cs="宋体"/>
                <w:color w:val="auto"/>
                <w:sz w:val="21"/>
                <w:szCs w:val="21"/>
                <w:highlight w:val="none"/>
              </w:rPr>
              <w:t>比选申请人没有处于被责令停业，或投标资格被住建部、国家安监总局、广西区或南宁市建设行政主管部门取消，或财产被接管、破产状态；在投标截止前3年内没有骗取中标、严重违约或重大安全质量事故</w:t>
            </w:r>
            <w:r>
              <w:rPr>
                <w:rFonts w:hint="eastAsia" w:ascii="宋体" w:hAnsi="宋体" w:eastAsia="宋体" w:cs="宋体"/>
                <w:color w:val="auto"/>
                <w:highlight w:val="none"/>
              </w:rPr>
              <w:t>；</w:t>
            </w:r>
          </w:p>
          <w:p>
            <w:pPr>
              <w:keepNext w:val="0"/>
              <w:keepLines w:val="0"/>
              <w:widowControl/>
              <w:suppressLineNumbers w:val="0"/>
              <w:spacing w:before="0" w:beforeAutospacing="0" w:after="0" w:afterAutospacing="0"/>
              <w:ind w:left="0" w:right="0" w:firstLine="420" w:firstLineChars="200"/>
              <w:rPr>
                <w:rFonts w:hint="eastAsia" w:ascii="宋体" w:hAnsi="宋体" w:eastAsia="宋体" w:cs="宋体"/>
                <w:color w:val="auto"/>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w:t>
            </w:r>
            <w:r>
              <w:rPr>
                <w:rFonts w:hint="eastAsia" w:hAnsi="宋体"/>
                <w:color w:val="auto"/>
                <w:sz w:val="21"/>
                <w:szCs w:val="21"/>
                <w:lang w:val="en-US" w:eastAsia="zh-CN"/>
              </w:rPr>
              <w:t>比选申请人自2021年1月1日至截标时间前至少有1项合同金额为50万元及以上的类似业绩，类似业绩是指网络核心交换机维保维修服务项目业绩。</w:t>
            </w:r>
            <w:r>
              <w:rPr>
                <w:rFonts w:hint="eastAsia" w:hAnsi="宋体"/>
                <w:color w:val="auto"/>
              </w:rPr>
              <w:t>业绩证明文件：项目合同文件（复印件加盖比选申请人公章），证明文件中须体现出合同双方、合同签订时间、合同金额（单价或合价，能统计出相应合同总价的均认可。）、反映业绩特征的内容等，否则视为无效证明文件</w:t>
            </w:r>
            <w:r>
              <w:rPr>
                <w:rFonts w:hint="eastAsia" w:hAnsi="宋体"/>
                <w:color w:val="auto"/>
                <w:sz w:val="21"/>
                <w:szCs w:val="21"/>
                <w:lang w:val="en-US" w:eastAsia="zh-CN"/>
              </w:rPr>
              <w:t>；</w:t>
            </w:r>
          </w:p>
          <w:p>
            <w:pPr>
              <w:keepNext w:val="0"/>
              <w:keepLines w:val="0"/>
              <w:widowControl/>
              <w:suppressLineNumbers w:val="0"/>
              <w:spacing w:before="0" w:beforeAutospacing="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4</w:t>
            </w:r>
            <w:r>
              <w:rPr>
                <w:rFonts w:hint="eastAsia" w:ascii="宋体" w:hAnsi="宋体" w:eastAsia="宋体" w:cs="宋体"/>
                <w:color w:val="auto"/>
                <w:highlight w:val="none"/>
              </w:rPr>
              <w:t>）单位负责人为同一人或者存在控股、管理关系的不同单位，不得参加同一标段比选申请或者未划分标段的同一比选项目比选申请；</w:t>
            </w:r>
          </w:p>
          <w:p>
            <w:pPr>
              <w:keepNext w:val="0"/>
              <w:keepLines w:val="0"/>
              <w:widowControl/>
              <w:suppressLineNumbers w:val="0"/>
              <w:spacing w:before="0" w:beforeAutospacing="0" w:after="0" w:afterAutospacing="0"/>
              <w:ind w:left="0" w:right="0"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5</w:t>
            </w:r>
            <w:r>
              <w:rPr>
                <w:rFonts w:hint="eastAsia" w:ascii="宋体" w:hAnsi="宋体" w:eastAsia="宋体" w:cs="宋体"/>
                <w:color w:val="auto"/>
                <w:highlight w:val="none"/>
              </w:rPr>
              <w:t>）本项目不接受联合体比选申请</w:t>
            </w:r>
            <w:r>
              <w:rPr>
                <w:rFonts w:hint="eastAsia" w:ascii="宋体" w:hAnsi="宋体" w:eastAsia="宋体" w:cs="宋体"/>
                <w:color w:val="auto"/>
                <w:highlight w:val="none"/>
                <w:lang w:eastAsia="zh-CN"/>
              </w:rPr>
              <w:t>；</w:t>
            </w:r>
          </w:p>
          <w:p>
            <w:pPr>
              <w:keepNext w:val="0"/>
              <w:keepLines w:val="0"/>
              <w:widowControl/>
              <w:suppressLineNumbers w:val="0"/>
              <w:spacing w:before="0" w:beforeAutospacing="0" w:after="0" w:afterAutospacing="0"/>
              <w:ind w:left="0" w:right="0" w:firstLine="420" w:firstLineChars="200"/>
              <w:rPr>
                <w:rFonts w:hint="eastAsia"/>
                <w:color w:val="auto"/>
              </w:rPr>
            </w:pP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6</w:t>
            </w:r>
            <w:r>
              <w:rPr>
                <w:rFonts w:hint="eastAsia" w:ascii="宋体" w:hAnsi="宋体" w:eastAsia="宋体" w:cs="宋体"/>
                <w:color w:val="auto"/>
                <w:highlight w:val="none"/>
                <w:lang w:val="en-US" w:eastAsia="zh-CN"/>
              </w:rPr>
              <w:t>）比选申请人未被列入比选人不良信用名单的。</w:t>
            </w:r>
          </w:p>
        </w:tc>
      </w:tr>
      <w:tr>
        <w:tblPrEx>
          <w:tblCellMar>
            <w:top w:w="0" w:type="dxa"/>
            <w:left w:w="108" w:type="dxa"/>
            <w:bottom w:w="0" w:type="dxa"/>
            <w:right w:w="108" w:type="dxa"/>
          </w:tblCellMar>
        </w:tblPrEx>
        <w:trPr>
          <w:trHeight w:val="241" w:hRule="atLeast"/>
        </w:trPr>
        <w:tc>
          <w:tcPr>
            <w:tcW w:w="6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6.1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比选申请人要求澄清比选文件</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对比选文件提出疑问的截止时间：</w:t>
            </w:r>
            <w:r>
              <w:rPr>
                <w:rFonts w:hint="eastAsia" w:ascii="宋体" w:hAnsi="宋体" w:cs="宋体"/>
                <w:color w:val="auto"/>
                <w:highlight w:val="none"/>
                <w:u w:val="single"/>
                <w:lang w:val="en-US" w:eastAsia="zh-CN"/>
              </w:rPr>
              <w:t>2024</w:t>
            </w:r>
            <w:r>
              <w:rPr>
                <w:rFonts w:hint="eastAsia" w:ascii="宋体" w:hAnsi="宋体" w:eastAsia="宋体" w:cs="宋体"/>
                <w:color w:val="auto"/>
                <w:highlight w:val="none"/>
              </w:rPr>
              <w:t>年</w:t>
            </w:r>
            <w:r>
              <w:rPr>
                <w:rFonts w:hint="eastAsia" w:ascii="宋体" w:hAnsi="宋体" w:cs="宋体"/>
                <w:color w:val="auto"/>
                <w:highlight w:val="none"/>
                <w:lang w:val="en-US" w:eastAsia="zh-CN"/>
              </w:rPr>
              <w:t>1</w:t>
            </w:r>
            <w:r>
              <w:rPr>
                <w:rFonts w:hint="eastAsia" w:ascii="宋体" w:hAnsi="宋体" w:eastAsia="宋体" w:cs="宋体"/>
                <w:color w:val="auto"/>
                <w:highlight w:val="none"/>
              </w:rPr>
              <w:t>月</w:t>
            </w:r>
            <w:r>
              <w:rPr>
                <w:rFonts w:hint="eastAsia" w:ascii="宋体" w:hAnsi="宋体" w:cs="宋体"/>
                <w:color w:val="auto"/>
                <w:highlight w:val="none"/>
                <w:lang w:val="en-US" w:eastAsia="zh-CN"/>
              </w:rPr>
              <w:t>2</w:t>
            </w:r>
            <w:r>
              <w:rPr>
                <w:rFonts w:hint="eastAsia" w:ascii="宋体" w:hAnsi="宋体" w:eastAsia="宋体" w:cs="宋体"/>
                <w:color w:val="auto"/>
                <w:highlight w:val="none"/>
              </w:rPr>
              <w:t>日</w:t>
            </w:r>
            <w:r>
              <w:rPr>
                <w:rFonts w:hint="eastAsia" w:ascii="宋体" w:hAnsi="宋体" w:cs="宋体"/>
                <w:color w:val="auto"/>
                <w:highlight w:val="none"/>
                <w:u w:val="single"/>
                <w:lang w:val="en-US" w:eastAsia="zh-CN"/>
              </w:rPr>
              <w:t>17:00</w:t>
            </w:r>
            <w:r>
              <w:rPr>
                <w:rFonts w:hint="eastAsia" w:ascii="宋体" w:hAnsi="宋体" w:eastAsia="宋体" w:cs="宋体"/>
                <w:color w:val="auto"/>
                <w:highlight w:val="none"/>
              </w:rPr>
              <w:t>前。比选申请人不在规定期限内提出，比选人有权不予答复，或答复后比选申请截止时间由比选人确定是否顺延。</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u w:val="single"/>
              </w:rPr>
            </w:pPr>
            <w:r>
              <w:rPr>
                <w:rFonts w:hint="eastAsia" w:ascii="宋体" w:hAnsi="宋体" w:eastAsia="宋体" w:cs="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比选文件澄清发布方式</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kern w:val="2"/>
                <w:highlight w:val="none"/>
              </w:rPr>
              <w:t>南宁轨道交通集团有限责任公司官网发布(</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"http://www.nngdjt.com" </w:instrText>
            </w:r>
            <w:r>
              <w:rPr>
                <w:rFonts w:hint="eastAsia" w:ascii="宋体" w:hAnsi="宋体" w:eastAsia="宋体" w:cs="宋体"/>
                <w:color w:val="auto"/>
                <w:highlight w:val="none"/>
              </w:rPr>
              <w:fldChar w:fldCharType="separate"/>
            </w:r>
            <w:r>
              <w:rPr>
                <w:rStyle w:val="38"/>
                <w:rFonts w:hint="eastAsia" w:ascii="宋体" w:hAnsi="宋体" w:eastAsia="宋体" w:cs="宋体"/>
                <w:color w:val="auto"/>
                <w:kern w:val="2"/>
                <w:highlight w:val="none"/>
              </w:rPr>
              <w:t>http://www.nngdjt.com</w:t>
            </w:r>
            <w:r>
              <w:rPr>
                <w:rStyle w:val="38"/>
                <w:rFonts w:hint="eastAsia" w:ascii="宋体" w:hAnsi="宋体" w:eastAsia="宋体" w:cs="宋体"/>
                <w:color w:val="auto"/>
                <w:kern w:val="2"/>
                <w:highlight w:val="none"/>
              </w:rPr>
              <w:fldChar w:fldCharType="end"/>
            </w:r>
            <w:r>
              <w:rPr>
                <w:rFonts w:hint="eastAsia" w:ascii="宋体" w:hAnsi="宋体" w:eastAsia="宋体" w:cs="宋体"/>
                <w:color w:val="auto"/>
                <w:kern w:val="2"/>
                <w:highlight w:val="none"/>
              </w:rPr>
              <w:t>)、</w:t>
            </w:r>
            <w:r>
              <w:rPr>
                <w:rFonts w:hint="eastAsia" w:ascii="宋体" w:hAnsi="宋体" w:eastAsia="宋体" w:cs="宋体"/>
                <w:color w:val="auto"/>
                <w:highlight w:val="none"/>
              </w:rPr>
              <w:t>中国e车网(http://www.ecrrc.com)发布</w:t>
            </w:r>
          </w:p>
        </w:tc>
      </w:tr>
      <w:tr>
        <w:tblPrEx>
          <w:tblCellMar>
            <w:top w:w="0" w:type="dxa"/>
            <w:left w:w="108" w:type="dxa"/>
            <w:bottom w:w="0" w:type="dxa"/>
            <w:right w:w="108" w:type="dxa"/>
          </w:tblCellMar>
        </w:tblPrEx>
        <w:trPr>
          <w:trHeight w:val="241" w:hRule="atLeas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比选申请人确认收到澄清的方式</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358"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10.1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构成比选申请文件的组成</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比选申请文件组成部分：资格审查文件、价格文件、技术文件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b/>
                <w:color w:val="auto"/>
                <w:highlight w:val="none"/>
              </w:rPr>
            </w:pPr>
            <w:r>
              <w:rPr>
                <w:rFonts w:hint="eastAsia" w:ascii="宋体" w:hAnsi="宋体" w:eastAsia="宋体" w:cs="宋体"/>
                <w:b/>
                <w:color w:val="auto"/>
                <w:highlight w:val="none"/>
              </w:rPr>
              <w:t>资格审查文件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（1）法定代表人授权书（格式见A1）及法定代表人资格证明书（如无授权时，只需提供法定代表人资格证明书，格式见A2），法定代表人及被授权人身份证复印件；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（2）比选申请人有效的营业执照复印件；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（3）承诺书（格式见A3）；</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lang w:val="en-US" w:eastAsia="zh-CN"/>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4</w:t>
            </w:r>
            <w:r>
              <w:rPr>
                <w:rFonts w:hint="eastAsia" w:ascii="宋体" w:hAnsi="宋体" w:cs="宋体"/>
                <w:color w:val="auto"/>
                <w:highlight w:val="none"/>
                <w:lang w:eastAsia="zh-CN"/>
              </w:rPr>
              <w:t>）</w:t>
            </w:r>
            <w:r>
              <w:rPr>
                <w:rFonts w:hint="eastAsia" w:ascii="宋体" w:hAnsi="宋体" w:cs="宋体"/>
                <w:color w:val="auto"/>
                <w:highlight w:val="none"/>
              </w:rPr>
              <w:t>类似项目业绩表</w:t>
            </w:r>
            <w:r>
              <w:rPr>
                <w:rFonts w:hint="eastAsia" w:ascii="宋体" w:hAnsi="宋体" w:eastAsia="宋体" w:cs="宋体"/>
                <w:color w:val="auto"/>
                <w:highlight w:val="none"/>
              </w:rPr>
              <w:t>（格式见A</w:t>
            </w:r>
            <w:r>
              <w:rPr>
                <w:rFonts w:hint="eastAsia" w:ascii="宋体" w:hAnsi="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cs="宋体"/>
                <w:color w:val="auto"/>
                <w:highlight w:val="none"/>
                <w:lang w:eastAsia="zh-CN"/>
              </w:rPr>
              <w:t>；</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5</w:t>
            </w:r>
            <w:r>
              <w:rPr>
                <w:rFonts w:hint="eastAsia" w:ascii="宋体" w:hAnsi="宋体" w:eastAsia="宋体" w:cs="宋体"/>
                <w:color w:val="auto"/>
                <w:highlight w:val="none"/>
              </w:rPr>
              <w:t>）比选申请人认为应提交的其他比选申请资料（如有）。</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b/>
                <w:color w:val="auto"/>
                <w:highlight w:val="none"/>
              </w:rPr>
            </w:pPr>
            <w:r>
              <w:rPr>
                <w:rFonts w:hint="eastAsia" w:ascii="宋体" w:hAnsi="宋体" w:eastAsia="宋体" w:cs="宋体"/>
                <w:b/>
                <w:color w:val="auto"/>
                <w:highlight w:val="none"/>
              </w:rPr>
              <w:t>技术文件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（1）技术文件响应表（格式见B1）；</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（2）按期完成承诺书（格式见B2）；</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（3）售后服务承诺书（格式见B3）；</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（4）商务响应表（格式见B4）；</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（5）比选申请人认为应提交的其他比选申请资料（如有）。</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b/>
                <w:color w:val="auto"/>
                <w:highlight w:val="none"/>
              </w:rPr>
            </w:pPr>
            <w:r>
              <w:rPr>
                <w:rFonts w:hint="eastAsia" w:ascii="宋体" w:hAnsi="宋体" w:eastAsia="宋体" w:cs="宋体"/>
                <w:b/>
                <w:color w:val="auto"/>
                <w:highlight w:val="none"/>
              </w:rPr>
              <w:t>价格文件</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（1）比选申请报价一览表（格式见C1）；</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（2）比选申请函（格式见C2）；</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（3）比选申请报价表（格式见C3）；</w:t>
            </w:r>
          </w:p>
          <w:p>
            <w:pPr>
              <w:keepNext w:val="0"/>
              <w:keepLines w:val="0"/>
              <w:widowControl/>
              <w:suppressLineNumbers w:val="0"/>
              <w:spacing w:before="0" w:beforeAutospacing="0" w:after="0" w:afterAutospacing="0"/>
              <w:ind w:left="0" w:right="0" w:firstLine="0"/>
              <w:rPr>
                <w:rFonts w:hint="eastAsia"/>
                <w:color w:val="auto"/>
              </w:rPr>
            </w:pPr>
            <w:r>
              <w:rPr>
                <w:rFonts w:hint="eastAsia" w:ascii="宋体" w:hAnsi="宋体" w:eastAsia="宋体" w:cs="宋体"/>
                <w:color w:val="auto"/>
                <w:highlight w:val="none"/>
              </w:rPr>
              <w:t>（4）比选申请人认为应提交的其他比选申请资料（如有）。</w:t>
            </w:r>
          </w:p>
        </w:tc>
      </w:tr>
      <w:tr>
        <w:tblPrEx>
          <w:tblCellMar>
            <w:top w:w="0" w:type="dxa"/>
            <w:left w:w="108" w:type="dxa"/>
            <w:bottom w:w="0" w:type="dxa"/>
            <w:right w:w="108" w:type="dxa"/>
          </w:tblCellMar>
        </w:tblPrEx>
        <w:trPr>
          <w:trHeight w:val="1113"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12.1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比选申请报价</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b/>
                <w:color w:val="auto"/>
                <w:highlight w:val="none"/>
              </w:rPr>
              <w:t>本项目采用</w:t>
            </w:r>
            <w:r>
              <w:rPr>
                <w:rFonts w:hint="eastAsia" w:ascii="宋体" w:hAnsi="宋体" w:eastAsia="宋体" w:cs="宋体"/>
                <w:b/>
                <w:color w:val="auto"/>
                <w:highlight w:val="none"/>
                <w:lang w:val="en-US" w:eastAsia="zh-CN"/>
              </w:rPr>
              <w:t>不</w:t>
            </w:r>
            <w:r>
              <w:rPr>
                <w:rFonts w:hint="eastAsia" w:ascii="宋体" w:hAnsi="宋体" w:eastAsia="宋体" w:cs="宋体"/>
                <w:b/>
                <w:color w:val="auto"/>
                <w:highlight w:val="none"/>
              </w:rPr>
              <w:t>含税报价，含税报价为合同暂定价，本合同最终税金在结算阶段，按实际产生的税金进行核算，但合同不含税价格不因国家税率调整而调整。</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（2）比选申请人须按第五章《用户需求书》中的原厂维保服务清单的顺序填报比选申请报价表，不允许打乱顺序。</w:t>
            </w:r>
          </w:p>
        </w:tc>
      </w:tr>
      <w:tr>
        <w:tblPrEx>
          <w:tblCellMar>
            <w:top w:w="0" w:type="dxa"/>
            <w:left w:w="108" w:type="dxa"/>
            <w:bottom w:w="0" w:type="dxa"/>
            <w:right w:w="108" w:type="dxa"/>
          </w:tblCellMar>
        </w:tblPrEx>
        <w:trPr>
          <w:trHeight w:val="702"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14.1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比选申请保证金</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673"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15.1</w:t>
            </w:r>
          </w:p>
        </w:tc>
        <w:tc>
          <w:tcPr>
            <w:tcW w:w="1716" w:type="dxa"/>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比选申请有效期</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16.1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比选申请文件副本份数</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正本1份，副本</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份。</w:t>
            </w:r>
          </w:p>
        </w:tc>
      </w:tr>
      <w:tr>
        <w:tblPrEx>
          <w:tblCellMar>
            <w:top w:w="0" w:type="dxa"/>
            <w:left w:w="108" w:type="dxa"/>
            <w:bottom w:w="0" w:type="dxa"/>
            <w:right w:w="108" w:type="dxa"/>
          </w:tblCellMar>
        </w:tblPrEx>
        <w:trPr>
          <w:trHeight w:val="140" w:hRule="atLeast"/>
        </w:trPr>
        <w:tc>
          <w:tcPr>
            <w:tcW w:w="6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28.1</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比选申请截止时间</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right="0"/>
              <w:rPr>
                <w:rFonts w:hint="eastAsia" w:ascii="宋体" w:hAnsi="宋体" w:eastAsia="宋体" w:cs="宋体"/>
                <w:color w:val="auto"/>
                <w:highlight w:val="none"/>
              </w:rPr>
            </w:pPr>
            <w:bookmarkStart w:id="44" w:name="CgwjmbEntity：KBSJ3_0"/>
            <w:r>
              <w:rPr>
                <w:rFonts w:hint="eastAsia" w:ascii="宋体" w:hAnsi="宋体" w:cs="宋体"/>
                <w:color w:val="auto"/>
                <w:highlight w:val="none"/>
                <w:lang w:val="en-US" w:eastAsia="zh-CN"/>
              </w:rPr>
              <w:t>2024</w:t>
            </w:r>
            <w:r>
              <w:rPr>
                <w:rFonts w:hint="eastAsia" w:ascii="宋体" w:hAnsi="宋体" w:eastAsia="宋体" w:cs="宋体"/>
                <w:color w:val="auto"/>
                <w:highlight w:val="none"/>
              </w:rPr>
              <w:t>年</w:t>
            </w:r>
            <w:bookmarkEnd w:id="44"/>
            <w:r>
              <w:rPr>
                <w:rFonts w:hint="eastAsia" w:ascii="宋体" w:hAnsi="宋体" w:cs="宋体"/>
                <w:color w:val="auto"/>
                <w:highlight w:val="none"/>
                <w:lang w:val="en-US" w:eastAsia="zh-CN"/>
              </w:rPr>
              <w:t>1</w:t>
            </w:r>
            <w:r>
              <w:rPr>
                <w:rFonts w:hint="eastAsia" w:ascii="宋体" w:hAnsi="宋体" w:eastAsia="宋体" w:cs="宋体"/>
                <w:color w:val="auto"/>
                <w:highlight w:val="none"/>
              </w:rPr>
              <w:t>月</w:t>
            </w:r>
            <w:r>
              <w:rPr>
                <w:rFonts w:hint="eastAsia" w:ascii="宋体" w:hAnsi="宋体" w:cs="宋体"/>
                <w:color w:val="auto"/>
                <w:highlight w:val="none"/>
                <w:lang w:val="en-US" w:eastAsia="zh-CN"/>
              </w:rPr>
              <w:t>8</w:t>
            </w:r>
            <w:r>
              <w:rPr>
                <w:rFonts w:hint="eastAsia" w:ascii="宋体" w:hAnsi="宋体" w:eastAsia="宋体" w:cs="宋体"/>
                <w:color w:val="auto"/>
                <w:highlight w:val="none"/>
              </w:rPr>
              <w:t>日</w:t>
            </w:r>
            <w:r>
              <w:rPr>
                <w:rFonts w:hint="eastAsia" w:ascii="宋体" w:hAnsi="宋体" w:cs="宋体"/>
                <w:color w:val="auto"/>
                <w:highlight w:val="none"/>
                <w:lang w:val="en-US" w:eastAsia="zh-CN"/>
              </w:rPr>
              <w:t>9</w:t>
            </w:r>
            <w:r>
              <w:rPr>
                <w:rFonts w:hint="eastAsia" w:ascii="宋体" w:hAnsi="宋体" w:eastAsia="宋体" w:cs="宋体"/>
                <w:color w:val="auto"/>
                <w:highlight w:val="none"/>
              </w:rPr>
              <w:t>时</w:t>
            </w:r>
            <w:r>
              <w:rPr>
                <w:rFonts w:hint="eastAsia" w:ascii="宋体" w:hAnsi="宋体" w:cs="宋体"/>
                <w:color w:val="auto"/>
                <w:highlight w:val="none"/>
                <w:lang w:val="en-US" w:eastAsia="zh-CN"/>
              </w:rPr>
              <w:t>30</w:t>
            </w:r>
            <w:r>
              <w:rPr>
                <w:rFonts w:hint="eastAsia" w:ascii="宋体" w:hAnsi="宋体" w:eastAsia="宋体" w:cs="宋体"/>
                <w:color w:val="auto"/>
                <w:highlight w:val="none"/>
              </w:rPr>
              <w:t>分</w:t>
            </w:r>
          </w:p>
        </w:tc>
      </w:tr>
      <w:tr>
        <w:tblPrEx>
          <w:tblCellMar>
            <w:top w:w="0" w:type="dxa"/>
            <w:left w:w="108" w:type="dxa"/>
            <w:bottom w:w="0" w:type="dxa"/>
            <w:right w:w="108" w:type="dxa"/>
          </w:tblCellMar>
        </w:tblPrEx>
        <w:trPr>
          <w:trHeight w:val="797" w:hRule="atLeas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递交比选申请文件地点</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单位：</w:t>
            </w:r>
            <w:r>
              <w:rPr>
                <w:rFonts w:hint="eastAsia" w:ascii="宋体" w:hAnsi="宋体" w:eastAsia="宋体" w:cs="宋体"/>
                <w:color w:val="auto"/>
                <w:highlight w:val="none"/>
                <w:lang w:eastAsia="zh-CN"/>
              </w:rPr>
              <w:t>南宁轨道交通运营有限公司</w:t>
            </w:r>
          </w:p>
          <w:p>
            <w:pPr>
              <w:keepNext w:val="0"/>
              <w:keepLines w:val="0"/>
              <w:widowControl/>
              <w:suppressLineNumbers w:val="0"/>
              <w:spacing w:before="0" w:beforeAutospacing="0" w:after="0" w:afterAutospacing="0"/>
              <w:ind w:left="708" w:right="0" w:hanging="707" w:hangingChars="337"/>
              <w:rPr>
                <w:rFonts w:hint="eastAsia" w:ascii="宋体" w:hAnsi="宋体" w:eastAsia="宋体" w:cs="宋体"/>
                <w:color w:val="auto"/>
                <w:highlight w:val="none"/>
              </w:rPr>
            </w:pPr>
            <w:r>
              <w:rPr>
                <w:rFonts w:hint="eastAsia" w:ascii="宋体" w:hAnsi="宋体" w:eastAsia="宋体" w:cs="宋体"/>
                <w:color w:val="auto"/>
                <w:highlight w:val="none"/>
              </w:rPr>
              <w:t>地址：南宁市青秀区云景路83号南宁轨道交通运营有限公司屯里车辆段综合楼</w:t>
            </w:r>
            <w:r>
              <w:rPr>
                <w:rFonts w:hint="eastAsia" w:ascii="宋体" w:hAnsi="宋体" w:cs="宋体"/>
                <w:color w:val="auto"/>
                <w:highlight w:val="none"/>
                <w:lang w:val="en-US" w:eastAsia="zh-CN"/>
              </w:rPr>
              <w:t>205</w:t>
            </w:r>
            <w:bookmarkStart w:id="2419" w:name="_GoBack"/>
            <w:bookmarkEnd w:id="2419"/>
            <w:r>
              <w:rPr>
                <w:rFonts w:hint="eastAsia" w:ascii="宋体" w:hAnsi="宋体" w:eastAsia="宋体" w:cs="宋体"/>
                <w:color w:val="auto"/>
                <w:highlight w:val="none"/>
              </w:rPr>
              <w:t>会议室</w:t>
            </w:r>
          </w:p>
          <w:p>
            <w:pPr>
              <w:keepNext w:val="0"/>
              <w:keepLines w:val="0"/>
              <w:widowControl/>
              <w:suppressLineNumbers w:val="0"/>
              <w:spacing w:before="0" w:beforeAutospacing="0" w:after="0" w:afterAutospacing="0"/>
              <w:ind w:left="0" w:right="0" w:firstLine="0"/>
              <w:rPr>
                <w:rFonts w:hint="default" w:ascii="宋体" w:hAnsi="宋体" w:eastAsia="宋体" w:cs="宋体"/>
                <w:color w:val="auto"/>
                <w:highlight w:val="none"/>
                <w:lang w:val="en-US"/>
              </w:rPr>
            </w:pPr>
            <w:r>
              <w:rPr>
                <w:rFonts w:hint="eastAsia" w:ascii="宋体" w:hAnsi="宋体" w:eastAsia="宋体" w:cs="宋体"/>
                <w:color w:val="auto"/>
                <w:highlight w:val="none"/>
              </w:rPr>
              <w:t>递交现场联系人：</w:t>
            </w:r>
            <w:r>
              <w:rPr>
                <w:rFonts w:hint="eastAsia" w:ascii="宋体" w:hAnsi="宋体" w:cs="宋体"/>
                <w:color w:val="auto"/>
                <w:highlight w:val="none"/>
                <w:lang w:val="en-US" w:eastAsia="zh-CN"/>
              </w:rPr>
              <w:t>赖工</w:t>
            </w:r>
            <w:r>
              <w:rPr>
                <w:rFonts w:hint="eastAsia" w:ascii="宋体" w:hAnsi="宋体" w:eastAsia="宋体" w:cs="宋体"/>
                <w:color w:val="auto"/>
                <w:highlight w:val="none"/>
                <w:lang w:val="en-US" w:eastAsia="zh-CN"/>
              </w:rPr>
              <w:t xml:space="preserve"> 电话0771-27783</w:t>
            </w:r>
            <w:r>
              <w:rPr>
                <w:rFonts w:hint="eastAsia" w:ascii="宋体" w:hAnsi="宋体" w:cs="宋体"/>
                <w:color w:val="auto"/>
                <w:highlight w:val="none"/>
                <w:lang w:val="en-US" w:eastAsia="zh-CN"/>
              </w:rPr>
              <w:t>26</w:t>
            </w:r>
          </w:p>
        </w:tc>
      </w:tr>
      <w:tr>
        <w:tblPrEx>
          <w:tblCellMar>
            <w:top w:w="0" w:type="dxa"/>
            <w:left w:w="108" w:type="dxa"/>
            <w:bottom w:w="0" w:type="dxa"/>
            <w:right w:w="108" w:type="dxa"/>
          </w:tblCellMar>
        </w:tblPrEx>
        <w:trPr>
          <w:trHeight w:val="242"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22</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评审方法</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最低评审价法（评审价以不含税总报价为基准）</w:t>
            </w:r>
          </w:p>
        </w:tc>
      </w:tr>
      <w:tr>
        <w:tblPrEx>
          <w:tblCellMar>
            <w:top w:w="0" w:type="dxa"/>
            <w:left w:w="108" w:type="dxa"/>
            <w:bottom w:w="0" w:type="dxa"/>
            <w:right w:w="108" w:type="dxa"/>
          </w:tblCellMar>
        </w:tblPrEx>
        <w:trPr>
          <w:trHeight w:val="9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34.4</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放弃中选人资格</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中选人如放弃中选资格，比选人有权禁止其1年内参与属于比选人的项目。</w:t>
            </w:r>
          </w:p>
        </w:tc>
      </w:tr>
      <w:tr>
        <w:tblPrEx>
          <w:tblCellMar>
            <w:top w:w="0" w:type="dxa"/>
            <w:left w:w="108" w:type="dxa"/>
            <w:bottom w:w="0" w:type="dxa"/>
            <w:right w:w="108" w:type="dxa"/>
          </w:tblCellMar>
        </w:tblPrEx>
        <w:trPr>
          <w:trHeight w:val="90" w:hRule="atLeast"/>
        </w:trPr>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36</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履约担保</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履</w:t>
            </w:r>
            <w:r>
              <w:rPr>
                <w:rFonts w:hint="eastAsia" w:ascii="宋体" w:hAnsi="宋体" w:eastAsia="宋体" w:cs="宋体"/>
                <w:color w:val="auto"/>
                <w:highlight w:val="none"/>
              </w:rPr>
              <w:t>约保证金的金额：中标价格的</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履约保证金的形式：转账或电汇或银行保函；</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递交地点：南宁市青秀区云景路83号；</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备注：</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1.提交履约保证金的时间：应在合同签订前且最迟应在中标通知书发出之日起20日内。</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2.若中标人未在规定时间内足额缴纳履约保证金，</w:t>
            </w:r>
            <w:r>
              <w:rPr>
                <w:rFonts w:hint="eastAsia" w:ascii="宋体" w:hAnsi="宋体" w:eastAsia="宋体" w:cs="宋体"/>
                <w:color w:val="auto"/>
                <w:highlight w:val="none"/>
                <w:lang w:val="en-US" w:eastAsia="zh-CN"/>
              </w:rPr>
              <w:t>比选人</w:t>
            </w:r>
            <w:r>
              <w:rPr>
                <w:rFonts w:hint="eastAsia" w:ascii="宋体" w:hAnsi="宋体" w:eastAsia="宋体" w:cs="宋体"/>
                <w:color w:val="auto"/>
                <w:highlight w:val="none"/>
              </w:rPr>
              <w:t>有权取消其中标资格。</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3.履约保函应采用合同规定格式，其开具银行应为中国境内商业银行地市级以上支行（含地市级支行），并须是以</w:t>
            </w:r>
            <w:r>
              <w:rPr>
                <w:rFonts w:hint="eastAsia" w:ascii="宋体" w:hAnsi="宋体" w:cs="宋体"/>
                <w:color w:val="auto"/>
                <w:highlight w:val="none"/>
                <w:lang w:val="en-US" w:eastAsia="zh-CN"/>
              </w:rPr>
              <w:t>比选人</w:t>
            </w:r>
            <w:r>
              <w:rPr>
                <w:rFonts w:hint="eastAsia" w:ascii="宋体" w:hAnsi="宋体" w:eastAsia="宋体" w:cs="宋体"/>
                <w:color w:val="auto"/>
                <w:highlight w:val="none"/>
              </w:rPr>
              <w:t>为受益人，见索即付无条件付款的、不可撤销的银行保函。</w:t>
            </w:r>
          </w:p>
        </w:tc>
      </w:tr>
      <w:tr>
        <w:tblPrEx>
          <w:tblCellMar>
            <w:top w:w="0" w:type="dxa"/>
            <w:left w:w="108" w:type="dxa"/>
            <w:bottom w:w="0" w:type="dxa"/>
            <w:right w:w="108" w:type="dxa"/>
          </w:tblCellMar>
        </w:tblPrEx>
        <w:trPr>
          <w:trHeight w:val="347" w:hRule="atLeast"/>
        </w:trPr>
        <w:tc>
          <w:tcPr>
            <w:tcW w:w="6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37.5</w:t>
            </w:r>
          </w:p>
        </w:tc>
        <w:tc>
          <w:tcPr>
            <w:tcW w:w="1716"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需要补充的其他内容</w:t>
            </w:r>
          </w:p>
        </w:tc>
        <w:tc>
          <w:tcPr>
            <w:tcW w:w="6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1.比选申请人在递交比选申请文件时，同时递交比选申请文件电子版。</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2.比选申请文件电子版内容：资格审查文件、价格文件和技术文件</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3.比选申请文件电子版份数：</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份。</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4.比选申请文件电子版形式：每份包括office版本（文本内容为Word格式，工程量清单为word或Excel格式）的全套比选申请文件(资格审查文件、价格文件和技术文件)和盖章后的全套比选申请文件(资格审查文件、价格文件和技术文件)正本的PDF版本扫描件。</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保存介质：U盘。</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5.比选申请文件电子版密封方式：比选申请文件电子版与纸质版比选申请文件一并装入比选申请文件袋中。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1716"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6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本比选文件中描述比选申请人的“公章”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1716"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p>
        </w:tc>
        <w:tc>
          <w:tcPr>
            <w:tcW w:w="6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1.本项目比选文件的最终解释权归比选人。</w:t>
            </w:r>
          </w:p>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签订本项目合同时，中选人须按比选人要求，与资金支付方签订</w:t>
            </w:r>
            <w:r>
              <w:rPr>
                <w:rFonts w:hint="eastAsia" w:ascii="宋体" w:hAnsi="宋体" w:eastAsia="宋体" w:cs="宋体"/>
                <w:color w:val="auto"/>
                <w:highlight w:val="none"/>
                <w:lang w:val="en-US" w:eastAsia="zh-CN"/>
              </w:rPr>
              <w:t>多</w:t>
            </w:r>
            <w:r>
              <w:rPr>
                <w:rFonts w:hint="eastAsia" w:ascii="宋体" w:hAnsi="宋体" w:eastAsia="宋体" w:cs="宋体"/>
                <w:color w:val="auto"/>
                <w:highlight w:val="none"/>
              </w:rPr>
              <w:t>方支付协议。</w:t>
            </w:r>
          </w:p>
        </w:tc>
      </w:tr>
    </w:tbl>
    <w:p>
      <w:pPr>
        <w:pStyle w:val="5"/>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45" w:name="_Toc322528193"/>
      <w:bookmarkEnd w:id="45"/>
      <w:bookmarkStart w:id="46" w:name="_Toc229"/>
      <w:bookmarkStart w:id="47" w:name="_Toc4073"/>
      <w:bookmarkStart w:id="48" w:name="_Toc31407"/>
      <w:bookmarkStart w:id="49" w:name="_Toc12898"/>
      <w:bookmarkStart w:id="50" w:name="_Toc29598"/>
      <w:bookmarkStart w:id="51" w:name="_Toc23332"/>
      <w:bookmarkStart w:id="52" w:name="_Toc24906"/>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46"/>
      <w:bookmarkEnd w:id="47"/>
      <w:bookmarkEnd w:id="48"/>
      <w:bookmarkEnd w:id="49"/>
      <w:bookmarkEnd w:id="50"/>
      <w:bookmarkEnd w:id="51"/>
      <w:bookmarkEnd w:id="52"/>
    </w:p>
    <w:p>
      <w:pPr>
        <w:pStyle w:val="6"/>
        <w:spacing w:before="0" w:after="0" w:afterAutospacing="0"/>
        <w:ind w:left="0" w:right="0" w:firstLine="422" w:firstLineChars="200"/>
        <w:rPr>
          <w:rFonts w:ascii="宋体" w:hAnsi="宋体"/>
          <w:color w:val="auto"/>
          <w:sz w:val="21"/>
          <w:szCs w:val="21"/>
          <w:highlight w:val="none"/>
        </w:rPr>
      </w:pPr>
      <w:bookmarkStart w:id="53" w:name="_Toc11224"/>
      <w:bookmarkStart w:id="54" w:name="_Toc385427793"/>
      <w:bookmarkStart w:id="55" w:name="_Toc27079"/>
      <w:bookmarkStart w:id="56" w:name="_Toc32592"/>
      <w:bookmarkStart w:id="57" w:name="_Toc28326"/>
      <w:bookmarkStart w:id="58" w:name="_Toc12983505"/>
      <w:bookmarkStart w:id="59" w:name="_Toc8166"/>
      <w:bookmarkStart w:id="60" w:name="_Toc5495"/>
      <w:bookmarkStart w:id="61" w:name="_Toc390098419"/>
      <w:bookmarkStart w:id="62" w:name="_Toc25750591"/>
      <w:bookmarkStart w:id="63" w:name="_Toc492478718"/>
      <w:bookmarkStart w:id="64" w:name="_Toc14066"/>
      <w:bookmarkStart w:id="65" w:name="_Toc3364"/>
      <w:bookmarkStart w:id="66" w:name="_Toc31563"/>
      <w:bookmarkStart w:id="67" w:name="_Toc375039064"/>
      <w:bookmarkStart w:id="68" w:name="_Toc7778"/>
      <w:bookmarkStart w:id="69" w:name="_Toc3804"/>
      <w:bookmarkStart w:id="70" w:name="_Toc383891168"/>
      <w:bookmarkStart w:id="71" w:name="_Toc17845"/>
      <w:bookmarkStart w:id="72" w:name="_Toc12526"/>
      <w:bookmarkStart w:id="73" w:name="_Toc30570"/>
      <w:bookmarkStart w:id="74" w:name="_Toc21139"/>
      <w:bookmarkStart w:id="75" w:name="_Toc9366"/>
      <w:bookmarkStart w:id="76" w:name="_Toc463"/>
      <w:bookmarkStart w:id="77" w:name="_Toc6861"/>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1.4比选范围：</w:t>
      </w:r>
      <w:r>
        <w:rPr>
          <w:rFonts w:ascii="宋体" w:hAnsi="宋体"/>
          <w:color w:val="auto"/>
          <w:highlight w:val="none"/>
        </w:rPr>
        <w:t>详见比选申请须知前附表。</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color w:val="auto"/>
          <w:highlight w:val="none"/>
        </w:rPr>
        <w:t>1.5</w:t>
      </w:r>
      <w:r>
        <w:rPr>
          <w:rFonts w:hint="eastAsia" w:ascii="宋体" w:hAnsi="宋体"/>
          <w:color w:val="auto"/>
          <w:highlight w:val="none"/>
          <w:lang w:val="en-US" w:eastAsia="zh-CN"/>
        </w:rPr>
        <w:t>交货期：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1.6</w:t>
      </w:r>
      <w:r>
        <w:rPr>
          <w:rFonts w:hint="eastAsia" w:ascii="宋体" w:hAnsi="宋体"/>
          <w:color w:val="auto"/>
          <w:highlight w:val="none"/>
        </w:rPr>
        <w:t>服务期：</w:t>
      </w:r>
      <w:r>
        <w:rPr>
          <w:rFonts w:ascii="宋体" w:hAnsi="宋体"/>
          <w:color w:val="auto"/>
          <w:highlight w:val="none"/>
        </w:rPr>
        <w:t>详见比选申请须知前附表。</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color w:val="auto"/>
          <w:highlight w:val="none"/>
        </w:rPr>
        <w:t>1.</w:t>
      </w:r>
      <w:r>
        <w:rPr>
          <w:rFonts w:hint="eastAsia" w:ascii="宋体" w:hAnsi="宋体"/>
          <w:color w:val="auto"/>
          <w:highlight w:val="none"/>
          <w:lang w:val="en-US" w:eastAsia="zh-CN"/>
        </w:rPr>
        <w:t>7</w:t>
      </w:r>
      <w:r>
        <w:rPr>
          <w:rFonts w:hint="eastAsia" w:ascii="宋体" w:hAnsi="宋体"/>
          <w:color w:val="auto"/>
          <w:highlight w:val="none"/>
        </w:rPr>
        <w:t xml:space="preserve"> </w:t>
      </w:r>
      <w:r>
        <w:rPr>
          <w:rFonts w:hint="eastAsia" w:ascii="宋体" w:hAnsi="宋体"/>
          <w:color w:val="auto"/>
          <w:highlight w:val="none"/>
          <w:lang w:val="en-US" w:eastAsia="zh-CN"/>
        </w:rPr>
        <w:t>质保期：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1.8</w:t>
      </w:r>
      <w:r>
        <w:rPr>
          <w:rFonts w:hint="eastAsia" w:ascii="宋体" w:hAnsi="宋体"/>
          <w:color w:val="auto"/>
          <w:highlight w:val="none"/>
        </w:rPr>
        <w:t>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.9</w:t>
      </w:r>
      <w:r>
        <w:rPr>
          <w:rFonts w:hint="eastAsia" w:ascii="宋体" w:hAnsi="宋体"/>
          <w:color w:val="auto"/>
          <w:highlight w:val="none"/>
        </w:rPr>
        <w:t>上限控制价</w:t>
      </w:r>
      <w:r>
        <w:rPr>
          <w:rFonts w:ascii="宋体" w:hAnsi="宋体"/>
          <w:color w:val="auto"/>
          <w:highlight w:val="none"/>
        </w:rPr>
        <w:t>：详见比选申请须知前附表。</w:t>
      </w:r>
    </w:p>
    <w:p>
      <w:pPr>
        <w:pStyle w:val="6"/>
        <w:spacing w:before="0" w:after="0" w:afterAutospacing="0"/>
        <w:ind w:left="0" w:right="0" w:firstLine="422" w:firstLineChars="200"/>
        <w:rPr>
          <w:rFonts w:ascii="宋体" w:hAnsi="宋体"/>
          <w:color w:val="auto"/>
          <w:sz w:val="21"/>
          <w:szCs w:val="21"/>
          <w:highlight w:val="none"/>
        </w:rPr>
      </w:pPr>
      <w:bookmarkStart w:id="78" w:name="_Toc13261"/>
      <w:bookmarkStart w:id="79" w:name="_Toc25750592"/>
      <w:bookmarkStart w:id="80" w:name="_Toc10907"/>
      <w:bookmarkStart w:id="81" w:name="_Toc375039065"/>
      <w:bookmarkStart w:id="82" w:name="_Toc4780"/>
      <w:bookmarkStart w:id="83" w:name="_Toc383891169"/>
      <w:bookmarkStart w:id="84" w:name="_Toc492478719"/>
      <w:bookmarkStart w:id="85" w:name="_Toc24429"/>
      <w:bookmarkStart w:id="86" w:name="_Toc27845"/>
      <w:bookmarkStart w:id="87" w:name="_Toc6985"/>
      <w:bookmarkStart w:id="88" w:name="_Toc390098420"/>
      <w:bookmarkStart w:id="89" w:name="_Toc12983506"/>
      <w:bookmarkStart w:id="90" w:name="_Toc8052"/>
      <w:bookmarkStart w:id="91" w:name="_Toc27847"/>
      <w:bookmarkStart w:id="92" w:name="_Toc6038"/>
      <w:bookmarkStart w:id="93" w:name="_Toc21874"/>
      <w:bookmarkStart w:id="94" w:name="_Toc1552"/>
      <w:bookmarkStart w:id="95" w:name="_Toc385427794"/>
      <w:bookmarkStart w:id="96" w:name="_Toc16860"/>
      <w:bookmarkStart w:id="97" w:name="_Toc22987"/>
      <w:bookmarkStart w:id="98" w:name="_Toc31314"/>
      <w:r>
        <w:rPr>
          <w:rFonts w:hint="eastAsia" w:ascii="宋体" w:hAnsi="宋体"/>
          <w:color w:val="auto"/>
          <w:sz w:val="21"/>
          <w:szCs w:val="21"/>
          <w:highlight w:val="none"/>
        </w:rPr>
        <w:t>2. 定义</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w:t>
      </w:r>
      <w:r>
        <w:rPr>
          <w:rFonts w:hint="eastAsia" w:ascii="宋体" w:hAnsi="宋体"/>
          <w:color w:val="auto"/>
          <w:highlight w:val="none"/>
        </w:rPr>
        <w:t>项目</w:t>
      </w:r>
      <w:r>
        <w:rPr>
          <w:rFonts w:ascii="宋体" w:hAnsi="宋体"/>
          <w:color w:val="auto"/>
          <w:highlight w:val="none"/>
        </w:rPr>
        <w:t>的国家机关、企业、事业单位或其它组织。本比选文件中比选人是指</w:t>
      </w:r>
      <w:r>
        <w:rPr>
          <w:rFonts w:hint="eastAsia" w:ascii="宋体" w:hAnsi="宋体"/>
          <w:color w:val="auto"/>
          <w:highlight w:val="none"/>
        </w:rPr>
        <w:t>南宁轨道交通运营有限公司</w:t>
      </w:r>
      <w:r>
        <w:rPr>
          <w:rFonts w:ascii="宋体" w:hAnsi="宋体"/>
          <w:color w:val="auto"/>
          <w:highlight w:val="none"/>
        </w:rPr>
        <w:t>。如无特别说明本比选文件中的“发包人、业主、甲方和比选人”均指：</w:t>
      </w:r>
      <w:r>
        <w:rPr>
          <w:rFonts w:hint="eastAsia" w:ascii="宋体" w:hAnsi="宋体"/>
          <w:color w:val="auto"/>
          <w:highlight w:val="none"/>
        </w:rPr>
        <w:t>南宁轨道交通运营有限公司</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3</w:t>
      </w:r>
      <w:r>
        <w:rPr>
          <w:rFonts w:ascii="宋体" w:hAnsi="宋体"/>
          <w:color w:val="auto"/>
          <w:highlight w:val="none"/>
        </w:rPr>
        <w:t xml:space="preserve"> “货物”系指比选申请人按比选文件规定向比选人提供的</w:t>
      </w:r>
      <w:r>
        <w:rPr>
          <w:rFonts w:hint="eastAsia" w:ascii="宋体" w:hAnsi="宋体"/>
          <w:color w:val="auto"/>
          <w:highlight w:val="none"/>
        </w:rPr>
        <w:t>设备、材料、机械、仪器仪表、备品备件、工具、软件、手册及其它有关技术文件和资料等</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w:t>
      </w: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系指比选文件规定比选申请人须承担的与项目有关的辅助服务，包括但不限于软硬件开发与制造、</w:t>
      </w:r>
      <w:r>
        <w:rPr>
          <w:rFonts w:hint="eastAsia" w:ascii="宋体" w:hAnsi="宋体" w:cs="Arial"/>
          <w:color w:val="auto"/>
          <w:highlight w:val="none"/>
        </w:rPr>
        <w:t>系统集成、</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w:t>
      </w:r>
      <w:r>
        <w:rPr>
          <w:rFonts w:hint="eastAsia" w:ascii="宋体" w:hAnsi="宋体"/>
          <w:color w:val="auto"/>
          <w:highlight w:val="none"/>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w:t>
      </w:r>
      <w:r>
        <w:rPr>
          <w:rFonts w:hint="eastAsia" w:ascii="宋体" w:hAnsi="宋体"/>
          <w:color w:val="auto"/>
          <w:highlight w:val="none"/>
        </w:rPr>
        <w:t>其他伴随服务和比选申请人应承担的其它义务。</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2.7</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2.8</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2.9</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pStyle w:val="6"/>
        <w:spacing w:before="0" w:after="0" w:afterAutospacing="0"/>
        <w:ind w:left="0" w:right="0" w:firstLine="422" w:firstLineChars="200"/>
        <w:rPr>
          <w:rFonts w:ascii="宋体" w:hAnsi="宋体"/>
          <w:color w:val="auto"/>
          <w:sz w:val="21"/>
          <w:szCs w:val="21"/>
          <w:highlight w:val="none"/>
        </w:rPr>
      </w:pPr>
      <w:bookmarkStart w:id="99" w:name="_Toc492478720"/>
      <w:bookmarkStart w:id="100" w:name="_Toc390098421"/>
      <w:bookmarkStart w:id="101" w:name="_Toc385427795"/>
      <w:bookmarkStart w:id="102" w:name="_Toc375039066"/>
      <w:bookmarkStart w:id="103" w:name="_Toc383891170"/>
      <w:bookmarkStart w:id="104" w:name="_Toc30498"/>
      <w:bookmarkStart w:id="105" w:name="_Toc12983507"/>
      <w:bookmarkStart w:id="106" w:name="_Toc29859"/>
      <w:bookmarkStart w:id="107" w:name="_Toc24844"/>
      <w:bookmarkStart w:id="108" w:name="_Toc307"/>
      <w:bookmarkStart w:id="109" w:name="_Toc25786"/>
      <w:bookmarkStart w:id="110" w:name="_Toc25750593"/>
      <w:bookmarkStart w:id="111" w:name="_Toc31477"/>
      <w:bookmarkStart w:id="112" w:name="_Toc22115"/>
      <w:bookmarkStart w:id="113" w:name="_Toc17075"/>
      <w:bookmarkStart w:id="114" w:name="_Toc12940"/>
      <w:bookmarkStart w:id="115" w:name="_Toc23433"/>
      <w:bookmarkStart w:id="116" w:name="_Toc9929"/>
      <w:bookmarkStart w:id="117" w:name="_Toc7797"/>
      <w:bookmarkStart w:id="118" w:name="_Toc10653"/>
      <w:bookmarkStart w:id="119" w:name="_Toc22845"/>
      <w:bookmarkStart w:id="120" w:name="_Toc29401"/>
      <w:bookmarkStart w:id="121" w:name="_Toc8288"/>
      <w:bookmarkStart w:id="122" w:name="_Toc7306"/>
      <w:bookmarkStart w:id="123" w:name="_Toc17568"/>
      <w:r>
        <w:rPr>
          <w:rFonts w:ascii="宋体" w:hAnsi="宋体"/>
          <w:color w:val="auto"/>
          <w:sz w:val="21"/>
          <w:szCs w:val="21"/>
          <w:highlight w:val="none"/>
        </w:rPr>
        <w:t>3. 比选申请人</w:t>
      </w:r>
      <w:bookmarkEnd w:id="99"/>
      <w:bookmarkEnd w:id="100"/>
      <w:bookmarkEnd w:id="101"/>
      <w:bookmarkEnd w:id="102"/>
      <w:bookmarkEnd w:id="103"/>
      <w:r>
        <w:rPr>
          <w:rFonts w:hint="eastAsia" w:ascii="宋体" w:hAnsi="宋体"/>
          <w:color w:val="auto"/>
          <w:sz w:val="21"/>
          <w:szCs w:val="21"/>
          <w:highlight w:val="none"/>
        </w:rPr>
        <w:t>应具备的资格条件</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（2）处于被责令停业，或比选申请资格被住建部、国家安监总局、广西区或南宁市建设行政主管部门取消，或财产被接管、破产状态；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（3）有骗取中选、严重违约或重大质量安全责任事故；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（5）比选申请人向比选人或评审委员会成员以行贿的手段谋取中选的；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（7）在比选申请文件中提供虚假文件或资料的。</w:t>
      </w:r>
    </w:p>
    <w:p>
      <w:pPr>
        <w:pStyle w:val="6"/>
        <w:spacing w:before="0" w:after="0" w:afterAutospacing="0"/>
        <w:ind w:left="0" w:right="0" w:firstLine="422" w:firstLineChars="200"/>
        <w:rPr>
          <w:rFonts w:ascii="宋体" w:hAnsi="宋体"/>
          <w:color w:val="auto"/>
          <w:sz w:val="21"/>
          <w:szCs w:val="21"/>
          <w:highlight w:val="none"/>
        </w:rPr>
      </w:pPr>
      <w:bookmarkStart w:id="124" w:name="_Toc12983508"/>
      <w:bookmarkStart w:id="125" w:name="_Toc18668"/>
      <w:bookmarkStart w:id="126" w:name="_Toc19055"/>
      <w:bookmarkStart w:id="127" w:name="_Toc4438"/>
      <w:bookmarkStart w:id="128" w:name="_Toc375039067"/>
      <w:bookmarkStart w:id="129" w:name="_Toc31789"/>
      <w:bookmarkStart w:id="130" w:name="_Toc21215"/>
      <w:bookmarkStart w:id="131" w:name="_Toc3292"/>
      <w:bookmarkStart w:id="132" w:name="_Toc390098422"/>
      <w:bookmarkStart w:id="133" w:name="_Toc23146"/>
      <w:bookmarkStart w:id="134" w:name="_Toc19081"/>
      <w:bookmarkStart w:id="135" w:name="_Toc24103"/>
      <w:bookmarkStart w:id="136" w:name="_Toc492478721"/>
      <w:bookmarkStart w:id="137" w:name="_Toc25750594"/>
      <w:bookmarkStart w:id="138" w:name="_Toc19709"/>
      <w:bookmarkStart w:id="139" w:name="_Toc7832"/>
      <w:bookmarkStart w:id="140" w:name="_Toc21602"/>
      <w:bookmarkStart w:id="141" w:name="_Toc616"/>
      <w:bookmarkStart w:id="142" w:name="_Toc7103"/>
      <w:bookmarkStart w:id="143" w:name="_Toc383891171"/>
      <w:bookmarkStart w:id="144" w:name="_Toc25914"/>
      <w:bookmarkStart w:id="145" w:name="_Toc1125"/>
      <w:bookmarkStart w:id="146" w:name="_Toc385427796"/>
      <w:bookmarkStart w:id="147" w:name="_Toc1737"/>
      <w:bookmarkStart w:id="148" w:name="_Toc30752"/>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1"/>
          <w:szCs w:val="21"/>
          <w:highlight w:val="none"/>
        </w:rPr>
      </w:pPr>
      <w:bookmarkStart w:id="149" w:name="_Toc15763"/>
      <w:bookmarkStart w:id="150" w:name="_Toc20452"/>
      <w:bookmarkStart w:id="151" w:name="_Toc28220"/>
      <w:bookmarkStart w:id="152" w:name="_Toc2609"/>
      <w:bookmarkStart w:id="153" w:name="_Toc19617"/>
      <w:bookmarkStart w:id="154" w:name="_Toc375039068"/>
      <w:bookmarkStart w:id="155" w:name="_Toc383891172"/>
      <w:bookmarkStart w:id="156" w:name="_Toc390098423"/>
      <w:bookmarkStart w:id="157" w:name="_Toc6420"/>
      <w:bookmarkStart w:id="158" w:name="_Toc8562"/>
      <w:bookmarkStart w:id="159" w:name="_Toc6528"/>
      <w:bookmarkStart w:id="160" w:name="_Toc2986"/>
      <w:bookmarkStart w:id="161" w:name="_Toc16530"/>
      <w:bookmarkStart w:id="162" w:name="_Toc18528"/>
      <w:bookmarkStart w:id="163" w:name="_Toc16608"/>
      <w:bookmarkStart w:id="164" w:name="_Toc7339"/>
      <w:bookmarkStart w:id="165" w:name="_Toc21845"/>
      <w:bookmarkStart w:id="166" w:name="_Toc5487"/>
      <w:bookmarkStart w:id="167" w:name="_Toc29160"/>
      <w:bookmarkStart w:id="168" w:name="_Toc16131"/>
      <w:bookmarkStart w:id="169" w:name="_Toc3854"/>
      <w:bookmarkStart w:id="170" w:name="_Toc27229"/>
      <w:bookmarkStart w:id="171" w:name="_Toc12983509"/>
      <w:bookmarkStart w:id="172" w:name="_Toc385427797"/>
      <w:bookmarkStart w:id="173" w:name="_Toc14645"/>
      <w:bookmarkStart w:id="174" w:name="_Toc5160"/>
      <w:bookmarkStart w:id="175" w:name="_Toc22200"/>
      <w:bookmarkStart w:id="176" w:name="_Toc492478722"/>
      <w:bookmarkStart w:id="177" w:name="_Toc1609"/>
      <w:bookmarkStart w:id="178" w:name="_Toc9677"/>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6"/>
        <w:spacing w:before="0" w:after="0" w:afterAutospacing="0"/>
        <w:ind w:left="0" w:right="0" w:firstLine="422" w:firstLineChars="200"/>
        <w:rPr>
          <w:rFonts w:ascii="宋体" w:hAnsi="宋体"/>
          <w:color w:val="auto"/>
          <w:sz w:val="21"/>
          <w:szCs w:val="21"/>
          <w:highlight w:val="none"/>
        </w:rPr>
      </w:pPr>
      <w:bookmarkStart w:id="179" w:name="_Toc375039069"/>
      <w:bookmarkStart w:id="180" w:name="_Toc25750596"/>
      <w:bookmarkStart w:id="181" w:name="_Toc30401"/>
      <w:bookmarkStart w:id="182" w:name="_Toc25378"/>
      <w:bookmarkStart w:id="183" w:name="_Toc21811"/>
      <w:bookmarkStart w:id="184" w:name="_Toc29472"/>
      <w:bookmarkStart w:id="185" w:name="_Toc6637"/>
      <w:bookmarkStart w:id="186" w:name="_Toc4157"/>
      <w:bookmarkStart w:id="187" w:name="_Toc26333"/>
      <w:bookmarkStart w:id="188" w:name="_Toc9756"/>
      <w:bookmarkStart w:id="189" w:name="_Toc492478723"/>
      <w:bookmarkStart w:id="190" w:name="_Toc839"/>
      <w:bookmarkStart w:id="191" w:name="_Toc10213"/>
      <w:bookmarkStart w:id="192" w:name="_Toc12983510"/>
      <w:bookmarkStart w:id="193" w:name="_Toc29225"/>
      <w:bookmarkStart w:id="194" w:name="_Toc18436"/>
      <w:bookmarkStart w:id="195" w:name="_Toc32710"/>
      <w:bookmarkStart w:id="196" w:name="_Toc383891173"/>
      <w:bookmarkStart w:id="197" w:name="_Toc27870"/>
      <w:bookmarkStart w:id="198" w:name="_Toc385427798"/>
      <w:bookmarkStart w:id="199" w:name="_Toc6764"/>
      <w:bookmarkStart w:id="200" w:name="_Toc19561"/>
      <w:bookmarkStart w:id="201" w:name="_Toc5877"/>
      <w:bookmarkStart w:id="202" w:name="_Toc13114"/>
      <w:bookmarkStart w:id="203" w:name="_Toc390098424"/>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1"/>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1"/>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1"/>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1"/>
        </w:numPr>
        <w:spacing w:before="0" w:after="0" w:afterAutospacing="0"/>
        <w:ind w:right="0" w:firstLine="198"/>
        <w:rPr>
          <w:rFonts w:ascii="宋体" w:hAnsi="宋体"/>
          <w:color w:val="auto"/>
          <w:highlight w:val="none"/>
        </w:rPr>
      </w:pPr>
      <w:r>
        <w:rPr>
          <w:rFonts w:hint="eastAsia" w:ascii="宋体" w:hAnsi="宋体"/>
          <w:color w:val="auto"/>
          <w:highlight w:val="none"/>
        </w:rPr>
        <w:t>评审办法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color w:val="auto"/>
          <w:sz w:val="21"/>
          <w:szCs w:val="21"/>
          <w:highlight w:val="none"/>
        </w:rPr>
      </w:pPr>
      <w:bookmarkStart w:id="204" w:name="_Toc12983511"/>
      <w:bookmarkStart w:id="205" w:name="_Toc31848"/>
      <w:bookmarkStart w:id="206" w:name="_Toc2489"/>
      <w:bookmarkStart w:id="207" w:name="_Toc17279"/>
      <w:bookmarkStart w:id="208" w:name="_Toc26909"/>
      <w:bookmarkStart w:id="209" w:name="_Toc20903"/>
      <w:bookmarkStart w:id="210" w:name="_Toc18631"/>
      <w:bookmarkStart w:id="211" w:name="_Toc385427799"/>
      <w:bookmarkStart w:id="212" w:name="_Toc11715"/>
      <w:bookmarkStart w:id="213" w:name="_Toc25750597"/>
      <w:bookmarkStart w:id="214" w:name="_Toc375039070"/>
      <w:bookmarkStart w:id="215" w:name="_Toc29001"/>
      <w:bookmarkStart w:id="216" w:name="_Toc26811"/>
      <w:bookmarkStart w:id="217" w:name="_Toc383891174"/>
      <w:bookmarkStart w:id="218" w:name="_Toc390098425"/>
      <w:bookmarkStart w:id="219" w:name="_Toc492478724"/>
      <w:bookmarkStart w:id="220" w:name="_Toc11896"/>
      <w:bookmarkStart w:id="221" w:name="_Toc2664"/>
      <w:bookmarkStart w:id="222" w:name="_Toc15154"/>
      <w:bookmarkStart w:id="223" w:name="_Toc14426"/>
      <w:bookmarkStart w:id="224" w:name="_Toc21365"/>
      <w:bookmarkStart w:id="225" w:name="_Toc10162"/>
      <w:bookmarkStart w:id="226" w:name="_Toc2789"/>
      <w:bookmarkStart w:id="227" w:name="_Toc31386"/>
      <w:bookmarkStart w:id="228" w:name="_Toc28270"/>
      <w:r>
        <w:rPr>
          <w:rFonts w:hint="eastAsia" w:ascii="宋体" w:hAnsi="宋体"/>
          <w:color w:val="auto"/>
          <w:sz w:val="21"/>
          <w:szCs w:val="21"/>
          <w:highlight w:val="none"/>
        </w:rPr>
        <w:t>6. 比选文件的澄清</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color w:val="auto"/>
          <w:sz w:val="21"/>
          <w:szCs w:val="21"/>
          <w:highlight w:val="none"/>
        </w:rPr>
      </w:pPr>
      <w:bookmarkStart w:id="229" w:name="_Toc24128"/>
      <w:bookmarkStart w:id="230" w:name="_Toc24583"/>
      <w:bookmarkStart w:id="231" w:name="_Toc2976"/>
      <w:bookmarkStart w:id="232" w:name="_Toc29795"/>
      <w:bookmarkStart w:id="233" w:name="_Toc15674"/>
      <w:bookmarkStart w:id="234" w:name="_Toc492478725"/>
      <w:bookmarkStart w:id="235" w:name="_Toc12983512"/>
      <w:bookmarkStart w:id="236" w:name="_Toc26952"/>
      <w:bookmarkStart w:id="237" w:name="_Toc24191"/>
      <w:bookmarkStart w:id="238" w:name="_Toc385427800"/>
      <w:bookmarkStart w:id="239" w:name="_Toc25750598"/>
      <w:bookmarkStart w:id="240" w:name="_Toc14181"/>
      <w:bookmarkStart w:id="241" w:name="_Toc390098426"/>
      <w:bookmarkStart w:id="242" w:name="_Toc15498"/>
      <w:bookmarkStart w:id="243" w:name="_Toc5364"/>
      <w:bookmarkStart w:id="244" w:name="_Toc23923"/>
      <w:bookmarkStart w:id="245" w:name="_Toc2072"/>
      <w:bookmarkStart w:id="246" w:name="_Toc22529"/>
      <w:bookmarkStart w:id="247" w:name="_Toc375039071"/>
      <w:bookmarkStart w:id="248" w:name="_Toc383891175"/>
      <w:bookmarkStart w:id="249" w:name="_Toc30378"/>
      <w:bookmarkStart w:id="250" w:name="_Toc27124"/>
      <w:bookmarkStart w:id="251" w:name="_Toc19345"/>
      <w:bookmarkStart w:id="252" w:name="_Toc15137"/>
      <w:bookmarkStart w:id="253" w:name="_Toc7063"/>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254" w:name="_Toc30363"/>
      <w:bookmarkStart w:id="255" w:name="_Toc12983513"/>
      <w:bookmarkStart w:id="256" w:name="_Toc10869"/>
      <w:bookmarkStart w:id="257" w:name="_Toc21622"/>
      <w:bookmarkStart w:id="258" w:name="_Toc25361"/>
      <w:bookmarkStart w:id="259" w:name="_Toc390098427"/>
      <w:bookmarkStart w:id="260" w:name="_Toc7604"/>
      <w:bookmarkStart w:id="261" w:name="_Toc385427801"/>
      <w:bookmarkStart w:id="262" w:name="_Toc16406"/>
      <w:bookmarkStart w:id="263" w:name="_Toc21660"/>
      <w:bookmarkStart w:id="264" w:name="_Toc10349"/>
      <w:bookmarkStart w:id="265" w:name="_Toc492478726"/>
      <w:bookmarkStart w:id="266" w:name="_Toc9001"/>
      <w:bookmarkStart w:id="267" w:name="_Toc13502"/>
      <w:bookmarkStart w:id="268" w:name="_Toc28044"/>
      <w:bookmarkStart w:id="269" w:name="_Toc14054"/>
      <w:bookmarkStart w:id="270" w:name="_Toc383891176"/>
      <w:bookmarkStart w:id="271" w:name="_Toc5805"/>
      <w:bookmarkStart w:id="272" w:name="_Toc560"/>
      <w:bookmarkStart w:id="273" w:name="_Toc14185"/>
      <w:bookmarkStart w:id="274" w:name="_Toc375039072"/>
      <w:bookmarkStart w:id="275" w:name="_Toc24557"/>
      <w:bookmarkStart w:id="276" w:name="_Toc27913"/>
      <w:bookmarkStart w:id="277" w:name="_Toc17692"/>
      <w:bookmarkStart w:id="278" w:name="_Toc2902"/>
      <w:bookmarkStart w:id="279" w:name="_Toc95"/>
      <w:bookmarkStart w:id="280" w:name="_Toc18679"/>
      <w:bookmarkStart w:id="281" w:name="_Toc4718"/>
      <w:bookmarkStart w:id="282" w:name="_Toc24759"/>
      <w:bookmarkStart w:id="283" w:name="_Toc17335"/>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6"/>
        <w:spacing w:before="0" w:after="0" w:afterAutospacing="0"/>
        <w:ind w:left="0" w:right="0" w:firstLine="422" w:firstLineChars="200"/>
        <w:rPr>
          <w:rFonts w:ascii="宋体" w:hAnsi="宋体"/>
          <w:color w:val="auto"/>
          <w:sz w:val="21"/>
          <w:szCs w:val="21"/>
          <w:highlight w:val="none"/>
        </w:rPr>
      </w:pPr>
      <w:bookmarkStart w:id="284" w:name="_Toc16186"/>
      <w:bookmarkStart w:id="285" w:name="_Toc12983514"/>
      <w:bookmarkStart w:id="286" w:name="_Toc13418"/>
      <w:bookmarkStart w:id="287" w:name="_Toc26150"/>
      <w:bookmarkStart w:id="288" w:name="_Toc9592"/>
      <w:bookmarkStart w:id="289" w:name="_Toc11259"/>
      <w:bookmarkStart w:id="290" w:name="_Toc20025"/>
      <w:bookmarkStart w:id="291" w:name="_Toc492478727"/>
      <w:bookmarkStart w:id="292" w:name="_Toc18350"/>
      <w:bookmarkStart w:id="293" w:name="_Toc21673"/>
      <w:bookmarkStart w:id="294" w:name="_Toc16435"/>
      <w:bookmarkStart w:id="295" w:name="_Toc29862"/>
      <w:bookmarkStart w:id="296" w:name="_Toc23794"/>
      <w:bookmarkStart w:id="297" w:name="_Toc390098428"/>
      <w:bookmarkStart w:id="298" w:name="_Toc16229"/>
      <w:bookmarkStart w:id="299" w:name="_Toc26680"/>
      <w:bookmarkStart w:id="300" w:name="_Toc1733"/>
      <w:bookmarkStart w:id="301" w:name="_Toc385427802"/>
      <w:bookmarkStart w:id="302" w:name="_Toc12074"/>
      <w:bookmarkStart w:id="303" w:name="_Toc25750600"/>
      <w:bookmarkStart w:id="304" w:name="_Toc4384"/>
      <w:bookmarkStart w:id="305" w:name="_Toc12456"/>
      <w:bookmarkStart w:id="306" w:name="_Toc383891177"/>
      <w:bookmarkStart w:id="307" w:name="_Toc2819"/>
      <w:bookmarkStart w:id="308" w:name="_Toc375039073"/>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0" w:firstLine="422" w:firstLineChars="200"/>
        <w:rPr>
          <w:rFonts w:ascii="宋体" w:hAnsi="宋体"/>
          <w:color w:val="auto"/>
          <w:sz w:val="21"/>
          <w:szCs w:val="21"/>
          <w:highlight w:val="none"/>
        </w:rPr>
      </w:pPr>
      <w:bookmarkStart w:id="309" w:name="_Toc25770"/>
      <w:bookmarkStart w:id="310" w:name="_Toc15570"/>
      <w:bookmarkStart w:id="311" w:name="_Toc16237"/>
      <w:bookmarkStart w:id="312" w:name="_Toc28296"/>
      <w:bookmarkStart w:id="313" w:name="_Toc28065"/>
      <w:bookmarkStart w:id="314" w:name="_Toc22026"/>
      <w:bookmarkStart w:id="315" w:name="_Toc12207"/>
      <w:bookmarkStart w:id="316" w:name="_Toc11040"/>
      <w:bookmarkStart w:id="317" w:name="_Toc26753"/>
      <w:bookmarkStart w:id="318" w:name="_Toc19885"/>
      <w:bookmarkStart w:id="319" w:name="_Toc12983515"/>
      <w:bookmarkStart w:id="320" w:name="_Toc385427803"/>
      <w:bookmarkStart w:id="321" w:name="_Toc9887"/>
      <w:bookmarkStart w:id="322" w:name="_Toc390098429"/>
      <w:bookmarkStart w:id="323" w:name="_Toc492478728"/>
      <w:bookmarkStart w:id="324" w:name="_Toc383891178"/>
      <w:bookmarkStart w:id="325" w:name="_Toc25750601"/>
      <w:bookmarkStart w:id="326" w:name="_Toc24935"/>
      <w:bookmarkStart w:id="327" w:name="_Toc1047"/>
      <w:bookmarkStart w:id="328" w:name="_Toc3492"/>
      <w:bookmarkStart w:id="329" w:name="_Toc6261"/>
      <w:bookmarkStart w:id="330" w:name="_Toc10274"/>
      <w:bookmarkStart w:id="331" w:name="_Toc11161"/>
      <w:bookmarkStart w:id="332" w:name="_Toc375039074"/>
      <w:bookmarkStart w:id="333" w:name="_Toc24857"/>
      <w:r>
        <w:rPr>
          <w:rFonts w:ascii="宋体" w:hAnsi="宋体"/>
          <w:color w:val="auto"/>
          <w:sz w:val="21"/>
          <w:szCs w:val="21"/>
          <w:highlight w:val="none"/>
        </w:rPr>
        <w:t>比选申请语言及计量单位</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6"/>
        <w:numPr>
          <w:ilvl w:val="0"/>
          <w:numId w:val="2"/>
        </w:numPr>
        <w:spacing w:before="0" w:after="0" w:afterAutospacing="0"/>
        <w:ind w:left="0" w:right="0" w:firstLine="422" w:firstLineChars="200"/>
        <w:rPr>
          <w:rFonts w:ascii="宋体" w:hAnsi="宋体"/>
          <w:color w:val="auto"/>
          <w:sz w:val="21"/>
          <w:szCs w:val="21"/>
          <w:highlight w:val="none"/>
        </w:rPr>
      </w:pPr>
      <w:bookmarkStart w:id="334" w:name="_Toc3877"/>
      <w:bookmarkStart w:id="335" w:name="_Toc3411"/>
      <w:bookmarkStart w:id="336" w:name="_Toc23364"/>
      <w:bookmarkStart w:id="337" w:name="_Toc14323"/>
      <w:bookmarkStart w:id="338" w:name="_Toc24760"/>
      <w:bookmarkStart w:id="339" w:name="_Toc25750602"/>
      <w:bookmarkStart w:id="340" w:name="_Toc30991"/>
      <w:bookmarkStart w:id="341" w:name="_Toc18149"/>
      <w:bookmarkStart w:id="342" w:name="_Toc390098430"/>
      <w:bookmarkStart w:id="343" w:name="_Toc29881"/>
      <w:bookmarkStart w:id="344" w:name="_Toc383891179"/>
      <w:bookmarkStart w:id="345" w:name="_Toc22476"/>
      <w:bookmarkStart w:id="346" w:name="_Toc53"/>
      <w:bookmarkStart w:id="347" w:name="_Toc16307"/>
      <w:bookmarkStart w:id="348" w:name="_Toc3464"/>
      <w:bookmarkStart w:id="349" w:name="_Toc19681"/>
      <w:bookmarkStart w:id="350" w:name="_Toc385427804"/>
      <w:bookmarkStart w:id="351" w:name="_Toc28164"/>
      <w:bookmarkStart w:id="352" w:name="_Toc492478729"/>
      <w:bookmarkStart w:id="353" w:name="_Toc30356"/>
      <w:bookmarkStart w:id="354" w:name="_Toc23229"/>
      <w:bookmarkStart w:id="355" w:name="_Toc25855"/>
      <w:bookmarkStart w:id="356" w:name="_Toc12983516"/>
      <w:bookmarkStart w:id="357" w:name="_Toc15809"/>
      <w:bookmarkStart w:id="358" w:name="_Toc375039075"/>
      <w:r>
        <w:rPr>
          <w:rFonts w:ascii="宋体" w:hAnsi="宋体"/>
          <w:color w:val="auto"/>
          <w:sz w:val="21"/>
          <w:szCs w:val="21"/>
          <w:highlight w:val="none"/>
        </w:rPr>
        <w:t>比选申请文件组成</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10.2资格审查文件和技术文件不得透露有关报价的任何信息，否则其比选申请将被否决。</w:t>
      </w:r>
    </w:p>
    <w:p>
      <w:pPr>
        <w:pStyle w:val="6"/>
        <w:spacing w:before="0" w:after="0" w:afterAutospacing="0"/>
        <w:ind w:left="0" w:right="0" w:firstLine="422" w:firstLineChars="200"/>
        <w:rPr>
          <w:rFonts w:ascii="宋体" w:hAnsi="宋体"/>
          <w:color w:val="auto"/>
          <w:sz w:val="21"/>
          <w:szCs w:val="21"/>
          <w:highlight w:val="none"/>
        </w:rPr>
      </w:pPr>
      <w:bookmarkStart w:id="359" w:name="_Toc27019"/>
      <w:bookmarkStart w:id="360" w:name="_Toc23002"/>
      <w:bookmarkStart w:id="361" w:name="_Toc383891180"/>
      <w:bookmarkStart w:id="362" w:name="_Toc11211"/>
      <w:bookmarkStart w:id="363" w:name="_Toc20490"/>
      <w:bookmarkStart w:id="364" w:name="_Toc675"/>
      <w:bookmarkStart w:id="365" w:name="_Toc8151"/>
      <w:bookmarkStart w:id="366" w:name="_Toc14630"/>
      <w:bookmarkStart w:id="367" w:name="_Toc492478730"/>
      <w:bookmarkStart w:id="368" w:name="_Toc12983517"/>
      <w:bookmarkStart w:id="369" w:name="_Toc25750603"/>
      <w:bookmarkStart w:id="370" w:name="_Toc15919"/>
      <w:bookmarkStart w:id="371" w:name="_Toc15448"/>
      <w:bookmarkStart w:id="372" w:name="_Toc7608"/>
      <w:bookmarkStart w:id="373" w:name="_Toc375039076"/>
      <w:bookmarkStart w:id="374" w:name="_Toc385427805"/>
      <w:bookmarkStart w:id="375" w:name="_Toc21144"/>
      <w:bookmarkStart w:id="376" w:name="_Toc3670"/>
      <w:bookmarkStart w:id="377" w:name="_Toc20248"/>
      <w:bookmarkStart w:id="378" w:name="_Toc16783"/>
      <w:bookmarkStart w:id="379" w:name="_Toc2395"/>
      <w:bookmarkStart w:id="380" w:name="_Toc27194"/>
      <w:bookmarkStart w:id="381" w:name="_Toc11804"/>
      <w:bookmarkStart w:id="382" w:name="_Toc14308"/>
      <w:bookmarkStart w:id="383" w:name="_Toc390098431"/>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6"/>
        <w:spacing w:before="0" w:after="0" w:afterAutospacing="0"/>
        <w:ind w:left="0" w:right="0" w:firstLine="422" w:firstLineChars="200"/>
        <w:rPr>
          <w:rFonts w:ascii="宋体" w:hAnsi="宋体"/>
          <w:color w:val="auto"/>
          <w:sz w:val="21"/>
          <w:szCs w:val="21"/>
          <w:highlight w:val="none"/>
        </w:rPr>
      </w:pPr>
      <w:bookmarkStart w:id="384" w:name="_Toc375039077"/>
      <w:bookmarkStart w:id="385" w:name="_Toc17379"/>
      <w:bookmarkStart w:id="386" w:name="_Toc3799"/>
      <w:bookmarkStart w:id="387" w:name="_Toc390098432"/>
      <w:bookmarkStart w:id="388" w:name="_Toc22295"/>
      <w:bookmarkStart w:id="389" w:name="_Toc383891181"/>
      <w:bookmarkStart w:id="390" w:name="_Toc26482"/>
      <w:bookmarkStart w:id="391" w:name="_Toc17338"/>
      <w:bookmarkStart w:id="392" w:name="_Toc31743"/>
      <w:bookmarkStart w:id="393" w:name="_Toc26974"/>
      <w:bookmarkStart w:id="394" w:name="_Toc25820"/>
      <w:bookmarkStart w:id="395" w:name="_Toc3813"/>
      <w:bookmarkStart w:id="396" w:name="_Toc21084"/>
      <w:bookmarkStart w:id="397" w:name="_Toc20685"/>
      <w:bookmarkStart w:id="398" w:name="_Toc492478731"/>
      <w:bookmarkStart w:id="399" w:name="_Toc17526"/>
      <w:bookmarkStart w:id="400" w:name="_Toc6671"/>
      <w:bookmarkStart w:id="401" w:name="_Toc7857"/>
      <w:bookmarkStart w:id="402" w:name="_Toc24264"/>
      <w:bookmarkStart w:id="403" w:name="_Toc9416"/>
      <w:bookmarkStart w:id="404" w:name="_Toc25750604"/>
      <w:bookmarkStart w:id="405" w:name="_Toc12983518"/>
      <w:bookmarkStart w:id="406" w:name="_Toc16653"/>
      <w:bookmarkStart w:id="407" w:name="_Toc14123"/>
      <w:bookmarkStart w:id="408" w:name="_Toc385427806"/>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本项目采用不含税报价。</w:t>
      </w:r>
      <w:r>
        <w:rPr>
          <w:rFonts w:hint="eastAsia" w:ascii="宋体" w:hAnsi="宋体"/>
          <w:b/>
          <w:color w:val="auto"/>
          <w:highlight w:val="none"/>
        </w:rPr>
        <w:t>含税报价为合同暂定价，</w:t>
      </w:r>
      <w:r>
        <w:rPr>
          <w:rFonts w:hint="eastAsia" w:ascii="宋体" w:hAnsi="宋体"/>
          <w:color w:val="auto"/>
          <w:highlight w:val="none"/>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比选申请报价应包括完成所有项目内容及质量保证期服务等履行合同标的全过程产生的所有成本、利润、税金及其他费用等全部费用以及比选申请人应承担的费用。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比选申请人应根据比选文件第五章“用户需求书”的要求及项目的实际需要自行考虑并完善完成项目、服务和施工安装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12.4 同一规格、型号、标准、内容的项目在各分项报价中应为同一单价。比选申请人对同类项目只允许有一个报价，如有不同报价，则以最低报价为准。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12.</w:t>
      </w:r>
      <w:r>
        <w:rPr>
          <w:rFonts w:hint="eastAsia" w:ascii="宋体" w:hAnsi="宋体"/>
          <w:color w:val="auto"/>
          <w:highlight w:val="none"/>
        </w:rPr>
        <w:t>5</w:t>
      </w:r>
      <w:r>
        <w:rPr>
          <w:rFonts w:ascii="宋体" w:hAnsi="宋体"/>
          <w:color w:val="auto"/>
          <w:highlight w:val="none"/>
        </w:rPr>
        <w:t xml:space="preserve"> </w:t>
      </w:r>
      <w:r>
        <w:rPr>
          <w:rFonts w:hint="eastAsia" w:ascii="宋体" w:hAnsi="宋体"/>
          <w:color w:val="auto"/>
          <w:highlight w:val="none"/>
        </w:rPr>
        <w:t>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12.</w:t>
      </w:r>
      <w:r>
        <w:rPr>
          <w:rFonts w:hint="eastAsia" w:ascii="宋体" w:hAnsi="宋体"/>
          <w:color w:val="auto"/>
          <w:highlight w:val="none"/>
        </w:rPr>
        <w:t>6</w:t>
      </w:r>
      <w:r>
        <w:rPr>
          <w:rFonts w:ascii="宋体" w:hAnsi="宋体"/>
          <w:color w:val="auto"/>
          <w:highlight w:val="none"/>
        </w:rPr>
        <w:t xml:space="preserve"> </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12.</w:t>
      </w:r>
      <w:r>
        <w:rPr>
          <w:rFonts w:hint="eastAsia" w:ascii="宋体" w:hAnsi="宋体"/>
          <w:color w:val="auto"/>
          <w:highlight w:val="none"/>
        </w:rPr>
        <w:t>7</w:t>
      </w:r>
      <w:r>
        <w:rPr>
          <w:rFonts w:ascii="宋体" w:hAnsi="宋体"/>
          <w:color w:val="auto"/>
          <w:highlight w:val="none"/>
        </w:rPr>
        <w:t xml:space="preserve"> </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12.8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12.9 比选申请人不得在价格文件之外的比选申请文件中出现任何有关本项目的报价信息。</w:t>
      </w:r>
    </w:p>
    <w:p>
      <w:pPr>
        <w:pStyle w:val="6"/>
        <w:numPr>
          <w:ilvl w:val="0"/>
          <w:numId w:val="3"/>
        </w:numPr>
        <w:spacing w:before="0" w:after="0" w:afterAutospacing="0"/>
        <w:ind w:left="0" w:right="0" w:firstLine="422" w:firstLineChars="200"/>
        <w:rPr>
          <w:rFonts w:ascii="宋体" w:hAnsi="宋体"/>
          <w:color w:val="auto"/>
          <w:sz w:val="21"/>
          <w:szCs w:val="21"/>
          <w:highlight w:val="none"/>
        </w:rPr>
      </w:pPr>
      <w:bookmarkStart w:id="409" w:name="_Toc7428"/>
      <w:bookmarkStart w:id="410" w:name="_Toc375039078"/>
      <w:bookmarkStart w:id="411" w:name="_Toc25459"/>
      <w:bookmarkStart w:id="412" w:name="_Toc390098433"/>
      <w:bookmarkStart w:id="413" w:name="_Toc20156"/>
      <w:bookmarkStart w:id="414" w:name="_Toc28880"/>
      <w:bookmarkStart w:id="415" w:name="_Toc5828"/>
      <w:bookmarkStart w:id="416" w:name="_Toc21430"/>
      <w:bookmarkStart w:id="417" w:name="_Toc12947"/>
      <w:bookmarkStart w:id="418" w:name="_Toc5836"/>
      <w:bookmarkStart w:id="419" w:name="_Toc26064"/>
      <w:bookmarkStart w:id="420" w:name="_Toc1664"/>
      <w:bookmarkStart w:id="421" w:name="_Toc21448"/>
      <w:bookmarkStart w:id="422" w:name="_Toc383891182"/>
      <w:bookmarkStart w:id="423" w:name="_Toc10220"/>
      <w:bookmarkStart w:id="424" w:name="_Toc15940"/>
      <w:bookmarkStart w:id="425" w:name="_Toc385427807"/>
      <w:bookmarkStart w:id="426" w:name="_Toc2710"/>
      <w:bookmarkStart w:id="427" w:name="_Toc25750605"/>
      <w:bookmarkStart w:id="428" w:name="_Toc12983519"/>
      <w:bookmarkStart w:id="429" w:name="_Toc12762"/>
      <w:bookmarkStart w:id="430" w:name="_Toc21706"/>
      <w:bookmarkStart w:id="431" w:name="_Toc18875"/>
      <w:bookmarkStart w:id="432" w:name="_Toc492478732"/>
      <w:bookmarkStart w:id="433" w:name="_Toc28476"/>
      <w:r>
        <w:rPr>
          <w:rFonts w:ascii="宋体" w:hAnsi="宋体"/>
          <w:color w:val="auto"/>
          <w:sz w:val="21"/>
          <w:szCs w:val="21"/>
          <w:highlight w:val="none"/>
        </w:rPr>
        <w:t>比选申请货币</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pStyle w:val="6"/>
        <w:numPr>
          <w:ilvl w:val="0"/>
          <w:numId w:val="3"/>
        </w:numPr>
        <w:spacing w:before="0" w:after="0" w:afterAutospacing="0"/>
        <w:ind w:left="0" w:right="0" w:firstLine="422" w:firstLineChars="200"/>
        <w:rPr>
          <w:rFonts w:ascii="宋体" w:hAnsi="宋体"/>
          <w:color w:val="auto"/>
          <w:sz w:val="21"/>
          <w:szCs w:val="21"/>
          <w:highlight w:val="none"/>
        </w:rPr>
      </w:pPr>
      <w:bookmarkStart w:id="434" w:name="_Toc12983520"/>
      <w:bookmarkStart w:id="435" w:name="_Toc30848"/>
      <w:bookmarkStart w:id="436" w:name="_Toc9237"/>
      <w:bookmarkStart w:id="437" w:name="_Toc24199"/>
      <w:bookmarkStart w:id="438" w:name="_Toc30040"/>
      <w:bookmarkStart w:id="439" w:name="_Toc390098436"/>
      <w:bookmarkStart w:id="440" w:name="_Toc5974"/>
      <w:bookmarkStart w:id="441" w:name="_Toc30606"/>
      <w:bookmarkStart w:id="442" w:name="_Toc492478735"/>
      <w:bookmarkStart w:id="443" w:name="_Toc27508"/>
      <w:bookmarkStart w:id="444" w:name="_Toc1530"/>
      <w:bookmarkStart w:id="445" w:name="_Toc7417"/>
      <w:bookmarkStart w:id="446" w:name="_Toc11690"/>
      <w:bookmarkStart w:id="447" w:name="_Toc25750606"/>
      <w:bookmarkStart w:id="448" w:name="_Toc375039081"/>
      <w:bookmarkStart w:id="449" w:name="_Toc6471"/>
      <w:bookmarkStart w:id="450" w:name="_Toc383891185"/>
      <w:bookmarkStart w:id="451" w:name="_Toc14922"/>
      <w:bookmarkStart w:id="452" w:name="_Toc1624"/>
      <w:bookmarkStart w:id="453" w:name="_Toc22051"/>
      <w:bookmarkStart w:id="454" w:name="_Toc28665"/>
      <w:bookmarkStart w:id="455" w:name="_Toc385427810"/>
      <w:bookmarkStart w:id="456" w:name="_Toc12049"/>
      <w:bookmarkStart w:id="457" w:name="_Toc16314"/>
      <w:bookmarkStart w:id="458" w:name="_Toc14309"/>
      <w:r>
        <w:rPr>
          <w:rFonts w:ascii="宋体" w:hAnsi="宋体"/>
          <w:color w:val="auto"/>
          <w:sz w:val="21"/>
          <w:szCs w:val="21"/>
          <w:highlight w:val="none"/>
        </w:rPr>
        <w:t>比选保证金</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16"/>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6"/>
        <w:spacing w:before="0" w:after="0" w:afterAutospacing="0"/>
        <w:ind w:left="0" w:right="0" w:firstLine="422" w:firstLineChars="200"/>
        <w:rPr>
          <w:rFonts w:ascii="宋体" w:hAnsi="宋体"/>
          <w:color w:val="auto"/>
          <w:sz w:val="21"/>
          <w:szCs w:val="21"/>
          <w:highlight w:val="none"/>
        </w:rPr>
      </w:pPr>
      <w:bookmarkStart w:id="459" w:name="_Toc30499"/>
      <w:bookmarkStart w:id="460" w:name="_Toc2268"/>
      <w:bookmarkStart w:id="461" w:name="_Toc25750607"/>
      <w:bookmarkStart w:id="462" w:name="_Toc7808"/>
      <w:bookmarkStart w:id="463" w:name="_Toc492478736"/>
      <w:bookmarkStart w:id="464" w:name="_Toc14588"/>
      <w:bookmarkStart w:id="465" w:name="_Toc20070"/>
      <w:bookmarkStart w:id="466" w:name="_Toc375039082"/>
      <w:bookmarkStart w:id="467" w:name="_Toc385427811"/>
      <w:bookmarkStart w:id="468" w:name="_Toc12983521"/>
      <w:bookmarkStart w:id="469" w:name="_Toc691"/>
      <w:bookmarkStart w:id="470" w:name="_Toc24656"/>
      <w:bookmarkStart w:id="471" w:name="_Toc383891186"/>
      <w:bookmarkStart w:id="472" w:name="_Toc20643"/>
      <w:bookmarkStart w:id="473" w:name="_Toc23114"/>
      <w:bookmarkStart w:id="474" w:name="_Toc5690"/>
      <w:bookmarkStart w:id="475" w:name="_Toc10918"/>
      <w:bookmarkStart w:id="476" w:name="_Toc9117"/>
      <w:bookmarkStart w:id="477" w:name="_Toc28997"/>
      <w:bookmarkStart w:id="478" w:name="_Toc20493"/>
      <w:bookmarkStart w:id="479" w:name="_Toc28555"/>
      <w:bookmarkStart w:id="480" w:name="_Toc4433"/>
      <w:bookmarkStart w:id="481" w:name="_Toc1604"/>
      <w:bookmarkStart w:id="482" w:name="_Toc845"/>
      <w:bookmarkStart w:id="483" w:name="_Toc390098437"/>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tabs>
          <w:tab w:val="left" w:pos="1134"/>
          <w:tab w:val="left" w:pos="8364"/>
        </w:tabs>
        <w:spacing w:before="0" w:after="0" w:afterAutospacing="0"/>
        <w:ind w:left="0" w:right="0" w:firstLine="422" w:firstLineChars="200"/>
        <w:rPr>
          <w:rFonts w:ascii="宋体" w:hAnsi="宋体"/>
          <w:b/>
          <w:bCs/>
          <w:color w:val="auto"/>
          <w:highlight w:val="none"/>
        </w:rPr>
      </w:pPr>
      <w:bookmarkStart w:id="484" w:name="_Toc301"/>
      <w:bookmarkStart w:id="485" w:name="_Toc12506"/>
      <w:bookmarkStart w:id="486" w:name="_Toc383891187"/>
      <w:bookmarkStart w:id="487" w:name="_Toc12435"/>
      <w:bookmarkStart w:id="488" w:name="_Toc19044"/>
      <w:bookmarkStart w:id="489" w:name="_Toc32020"/>
      <w:bookmarkStart w:id="490" w:name="_Toc14672"/>
      <w:bookmarkStart w:id="491" w:name="_Toc375039083"/>
      <w:bookmarkStart w:id="492" w:name="_Toc25684"/>
      <w:bookmarkStart w:id="493" w:name="_Toc27730"/>
      <w:bookmarkStart w:id="494" w:name="_Toc19603"/>
      <w:bookmarkStart w:id="495" w:name="_Toc8100"/>
      <w:bookmarkStart w:id="496" w:name="_Toc3414"/>
      <w:bookmarkStart w:id="497" w:name="_Toc12983522"/>
      <w:bookmarkStart w:id="498" w:name="_Toc29108"/>
      <w:bookmarkStart w:id="499" w:name="_Toc385427812"/>
      <w:bookmarkStart w:id="500" w:name="_Toc25468"/>
      <w:bookmarkStart w:id="501" w:name="_Toc390098438"/>
      <w:bookmarkStart w:id="502" w:name="_Toc24922"/>
      <w:bookmarkStart w:id="503" w:name="_Toc4216"/>
      <w:bookmarkStart w:id="504" w:name="_Toc32525"/>
      <w:bookmarkStart w:id="505" w:name="_Toc6065"/>
      <w:bookmarkStart w:id="506" w:name="_Toc492478737"/>
      <w:r>
        <w:rPr>
          <w:rFonts w:hint="eastAsia" w:ascii="宋体" w:hAnsi="宋体"/>
          <w:b/>
          <w:bCs/>
          <w:color w:val="auto"/>
          <w:highlight w:val="none"/>
        </w:rPr>
        <w:t xml:space="preserve">16. </w:t>
      </w:r>
      <w:r>
        <w:rPr>
          <w:rFonts w:ascii="宋体" w:hAnsi="宋体"/>
          <w:b/>
          <w:bCs/>
          <w:color w:val="auto"/>
          <w:highlight w:val="none"/>
        </w:rPr>
        <w:t>比选申请文件的制作和签署</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507" w:name="_Toc390098439"/>
      <w:bookmarkStart w:id="508" w:name="_Toc375039084"/>
      <w:bookmarkStart w:id="509" w:name="_Toc385427813"/>
      <w:bookmarkStart w:id="510" w:name="_Toc383891188"/>
      <w:bookmarkStart w:id="511" w:name="_Toc26551"/>
      <w:bookmarkStart w:id="512" w:name="_Toc2975"/>
      <w:bookmarkStart w:id="513" w:name="_Toc18322"/>
      <w:bookmarkStart w:id="514" w:name="_Toc5192"/>
      <w:bookmarkStart w:id="515" w:name="_Toc16409"/>
      <w:bookmarkStart w:id="516" w:name="_Toc19475"/>
      <w:bookmarkStart w:id="517" w:name="_Toc12983523"/>
      <w:bookmarkStart w:id="518" w:name="_Toc1955"/>
      <w:bookmarkStart w:id="519" w:name="_Toc32054"/>
      <w:bookmarkStart w:id="520" w:name="_Toc4496"/>
      <w:bookmarkStart w:id="521" w:name="_Toc10234"/>
      <w:bookmarkStart w:id="522" w:name="_Toc30962"/>
      <w:bookmarkStart w:id="523" w:name="_Toc23177"/>
      <w:bookmarkStart w:id="524" w:name="_Toc30452"/>
      <w:bookmarkStart w:id="525" w:name="_Toc30187"/>
      <w:bookmarkStart w:id="526" w:name="_Toc759"/>
      <w:bookmarkStart w:id="527" w:name="_Toc1315"/>
      <w:bookmarkStart w:id="528" w:name="_Toc492478738"/>
      <w:bookmarkStart w:id="529" w:name="_Toc15116"/>
      <w:bookmarkStart w:id="530" w:name="_Toc26776"/>
      <w:bookmarkStart w:id="531" w:name="_Toc21587"/>
      <w:bookmarkStart w:id="532" w:name="_Toc6101"/>
      <w:bookmarkStart w:id="533" w:name="_Toc9858"/>
      <w:bookmarkStart w:id="534" w:name="_Toc1952"/>
      <w:bookmarkStart w:id="535" w:name="_Toc2113"/>
      <w:bookmarkStart w:id="536" w:name="_Toc24846"/>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507"/>
      <w:bookmarkEnd w:id="508"/>
      <w:bookmarkEnd w:id="509"/>
      <w:bookmarkEnd w:id="510"/>
      <w:r>
        <w:rPr>
          <w:rFonts w:hint="eastAsia" w:ascii="宋体" w:hAnsi="宋体" w:eastAsia="宋体"/>
          <w:color w:val="auto"/>
          <w:sz w:val="24"/>
          <w:szCs w:val="24"/>
          <w:highlight w:val="none"/>
        </w:rPr>
        <w:t>的密封和递交</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6"/>
        <w:spacing w:before="0" w:after="0" w:afterAutospacing="0"/>
        <w:ind w:left="0" w:right="0" w:firstLine="422" w:firstLineChars="200"/>
        <w:rPr>
          <w:rFonts w:hint="eastAsia" w:ascii="宋体" w:hAnsi="宋体" w:eastAsia="宋体" w:cs="宋体"/>
          <w:color w:val="auto"/>
          <w:sz w:val="21"/>
          <w:szCs w:val="21"/>
          <w:highlight w:val="none"/>
        </w:rPr>
      </w:pPr>
      <w:bookmarkStart w:id="537" w:name="_Toc12983524"/>
      <w:bookmarkStart w:id="538" w:name="_Toc30196"/>
      <w:bookmarkStart w:id="539" w:name="_Toc13829"/>
      <w:bookmarkStart w:id="540" w:name="_Toc24648"/>
      <w:bookmarkStart w:id="541" w:name="_Toc492478739"/>
      <w:bookmarkStart w:id="542" w:name="_Toc383891189"/>
      <w:bookmarkStart w:id="543" w:name="_Toc12117"/>
      <w:bookmarkStart w:id="544" w:name="_Toc26249"/>
      <w:bookmarkStart w:id="545" w:name="_Toc385427814"/>
      <w:bookmarkStart w:id="546" w:name="_Toc5922"/>
      <w:bookmarkStart w:id="547" w:name="_Toc605"/>
      <w:bookmarkStart w:id="548" w:name="_Toc375039085"/>
      <w:bookmarkStart w:id="549" w:name="_Toc13621"/>
      <w:bookmarkStart w:id="550" w:name="_Toc15735"/>
      <w:bookmarkStart w:id="551" w:name="_Toc9307"/>
      <w:bookmarkStart w:id="552" w:name="_Toc13875"/>
      <w:bookmarkStart w:id="553" w:name="_Toc15071"/>
      <w:bookmarkStart w:id="554" w:name="_Toc25750609"/>
      <w:bookmarkStart w:id="555" w:name="_Toc17200"/>
      <w:bookmarkStart w:id="556" w:name="_Toc15663"/>
      <w:bookmarkStart w:id="557" w:name="_Toc390098440"/>
      <w:bookmarkStart w:id="558" w:name="_Toc15650"/>
      <w:bookmarkStart w:id="559" w:name="_Toc12329"/>
      <w:bookmarkStart w:id="560" w:name="_Toc19495"/>
      <w:bookmarkStart w:id="561" w:name="_Toc18616"/>
      <w:r>
        <w:rPr>
          <w:rFonts w:hint="eastAsia" w:ascii="宋体" w:hAnsi="宋体" w:eastAsia="宋体" w:cs="宋体"/>
          <w:color w:val="auto"/>
          <w:sz w:val="21"/>
          <w:szCs w:val="21"/>
          <w:highlight w:val="none"/>
        </w:rPr>
        <w:t>17. 比选申请文件</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bookmarkStart w:id="562" w:name="_Toc383891190"/>
      <w:bookmarkStart w:id="563" w:name="_Toc390098441"/>
      <w:bookmarkStart w:id="564" w:name="_Toc375039086"/>
      <w:bookmarkStart w:id="565" w:name="_Toc385427815"/>
      <w:r>
        <w:rPr>
          <w:rFonts w:hint="eastAsia" w:ascii="宋体" w:hAnsi="宋体" w:eastAsia="宋体" w:cs="宋体"/>
          <w:color w:val="auto"/>
          <w:highlight w:val="none"/>
        </w:rPr>
        <w:t>17.1 封装方式</w:t>
      </w:r>
    </w:p>
    <w:p>
      <w:pPr>
        <w:tabs>
          <w:tab w:val="left" w:pos="420"/>
          <w:tab w:val="left" w:pos="7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（2）比选申请人可将比选申请文件封装为1个包，其中价格文件还需独立密封成包。</w:t>
      </w:r>
    </w:p>
    <w:p>
      <w:pPr>
        <w:tabs>
          <w:tab w:val="left" w:pos="420"/>
          <w:tab w:val="left" w:pos="7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17.2 所有密封箱/袋都应具有下列识别标志：</w:t>
      </w:r>
    </w:p>
    <w:p>
      <w:pPr>
        <w:tabs>
          <w:tab w:val="left" w:pos="1155"/>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（1）项目名称：</w:t>
      </w:r>
      <w:r>
        <w:rPr>
          <w:rFonts w:hint="eastAsia" w:ascii="宋体" w:hAnsi="宋体" w:eastAsia="宋体" w:cs="宋体"/>
          <w:color w:val="auto"/>
          <w:highlight w:val="none"/>
          <w:lang w:eastAsia="zh-CN"/>
        </w:rPr>
        <w:t>南宁轨道交通1-5号线办公网交换机设备委外维保维修服务采购项目（2023年-2024年）</w:t>
      </w:r>
      <w:r>
        <w:rPr>
          <w:rFonts w:hint="eastAsia" w:ascii="宋体" w:hAnsi="宋体" w:eastAsia="宋体" w:cs="宋体"/>
          <w:color w:val="auto"/>
          <w:highlight w:val="none"/>
        </w:rPr>
        <w:t>；</w:t>
      </w:r>
    </w:p>
    <w:p>
      <w:pPr>
        <w:tabs>
          <w:tab w:val="left" w:pos="420"/>
          <w:tab w:val="left" w:pos="7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（2）项目编号：202311030002；</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17.3 所有密封箱/袋上均应写明比选申请人的名称与地址，以便比选申请被宣布迟到时，能原封退回。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17.4 如果密封箱/袋上没有按上述规定密封并加写标志，比选人将不承担比选申请文件错放或提前开封的责任，由此造成的提前开封的比选申请文件，比选人将予以拒绝，并退还给比选申请人。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0" w:firstLine="422" w:firstLineChars="200"/>
        <w:rPr>
          <w:rFonts w:hint="eastAsia" w:ascii="宋体" w:hAnsi="宋体" w:eastAsia="宋体" w:cs="宋体"/>
          <w:color w:val="auto"/>
          <w:sz w:val="21"/>
          <w:szCs w:val="21"/>
          <w:highlight w:val="none"/>
        </w:rPr>
      </w:pPr>
      <w:bookmarkStart w:id="566" w:name="_Toc16755"/>
      <w:bookmarkStart w:id="567" w:name="_Toc642"/>
      <w:bookmarkStart w:id="568" w:name="_Toc2337"/>
      <w:bookmarkStart w:id="569" w:name="_Toc6482"/>
      <w:bookmarkStart w:id="570" w:name="_Toc27069"/>
      <w:bookmarkStart w:id="571" w:name="_Toc6339"/>
      <w:bookmarkStart w:id="572" w:name="_Toc492478740"/>
      <w:bookmarkStart w:id="573" w:name="_Toc16266"/>
      <w:bookmarkStart w:id="574" w:name="_Toc11039"/>
      <w:bookmarkStart w:id="575" w:name="_Toc4735"/>
      <w:bookmarkStart w:id="576" w:name="_Toc23859"/>
      <w:bookmarkStart w:id="577" w:name="_Toc13883"/>
      <w:bookmarkStart w:id="578" w:name="_Toc32760"/>
      <w:bookmarkStart w:id="579" w:name="_Toc11255"/>
      <w:bookmarkStart w:id="580" w:name="_Toc12983525"/>
      <w:bookmarkStart w:id="581" w:name="_Toc25750610"/>
      <w:bookmarkStart w:id="582" w:name="_Toc16818"/>
      <w:bookmarkStart w:id="583" w:name="_Toc22180"/>
      <w:bookmarkStart w:id="584" w:name="_Toc11096"/>
      <w:bookmarkStart w:id="585" w:name="_Toc28071"/>
      <w:bookmarkStart w:id="586" w:name="_Toc22445"/>
      <w:r>
        <w:rPr>
          <w:rFonts w:hint="eastAsia" w:ascii="宋体" w:hAnsi="宋体" w:eastAsia="宋体" w:cs="宋体"/>
          <w:color w:val="auto"/>
          <w:sz w:val="21"/>
          <w:szCs w:val="21"/>
          <w:highlight w:val="none"/>
        </w:rPr>
        <w:t>比选申请截止期</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18.1 所有比选申请文件应派专人送交，并须按“比选申请须知前附表”中规定的比选申请截止时间前送至比选文件规定的地点。如有必要，比选申请人可事先自行到该场地进行察看。</w:t>
      </w:r>
    </w:p>
    <w:p>
      <w:pPr>
        <w:tabs>
          <w:tab w:val="left" w:pos="1134"/>
          <w:tab w:val="left" w:pos="8364"/>
        </w:tabs>
        <w:spacing w:before="0" w:after="0" w:afterAutospacing="0"/>
        <w:ind w:left="0" w:right="0" w:firstLine="422" w:firstLineChars="200"/>
        <w:rPr>
          <w:rFonts w:hint="eastAsia" w:ascii="宋体" w:hAnsi="宋体" w:eastAsia="宋体" w:cs="宋体"/>
          <w:color w:val="auto"/>
          <w:highlight w:val="none"/>
        </w:rPr>
      </w:pPr>
      <w:r>
        <w:rPr>
          <w:rFonts w:hint="eastAsia" w:ascii="宋体" w:hAnsi="宋体" w:eastAsia="宋体" w:cs="宋体"/>
          <w:b/>
          <w:color w:val="auto"/>
          <w:highlight w:val="none"/>
        </w:rPr>
        <w:t>18.2 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18.3 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hint="eastAsia" w:ascii="宋体" w:hAnsi="宋体" w:eastAsia="宋体" w:cs="宋体"/>
          <w:color w:val="auto"/>
          <w:sz w:val="21"/>
          <w:szCs w:val="21"/>
          <w:highlight w:val="none"/>
        </w:rPr>
      </w:pPr>
      <w:bookmarkStart w:id="587" w:name="_Toc492478741"/>
      <w:bookmarkStart w:id="588" w:name="_Toc3597"/>
      <w:bookmarkStart w:id="589" w:name="_Toc2226"/>
      <w:bookmarkStart w:id="590" w:name="_Toc21960"/>
      <w:bookmarkStart w:id="591" w:name="_Toc385427816"/>
      <w:bookmarkStart w:id="592" w:name="_Toc29066"/>
      <w:bookmarkStart w:id="593" w:name="_Toc14239"/>
      <w:bookmarkStart w:id="594" w:name="_Toc10818"/>
      <w:bookmarkStart w:id="595" w:name="_Toc22945"/>
      <w:bookmarkStart w:id="596" w:name="_Toc26431"/>
      <w:bookmarkStart w:id="597" w:name="_Toc15252"/>
      <w:bookmarkStart w:id="598" w:name="_Toc23404"/>
      <w:bookmarkStart w:id="599" w:name="_Toc9522"/>
      <w:bookmarkStart w:id="600" w:name="_Toc383891191"/>
      <w:bookmarkStart w:id="601" w:name="_Toc13581"/>
      <w:bookmarkStart w:id="602" w:name="_Toc18963"/>
      <w:bookmarkStart w:id="603" w:name="_Toc25750611"/>
      <w:bookmarkStart w:id="604" w:name="_Toc32252"/>
      <w:bookmarkStart w:id="605" w:name="_Toc390098442"/>
      <w:bookmarkStart w:id="606" w:name="_Toc29473"/>
      <w:bookmarkStart w:id="607" w:name="_Toc12983526"/>
      <w:bookmarkStart w:id="608" w:name="_Toc11373"/>
      <w:bookmarkStart w:id="609" w:name="_Toc32621"/>
      <w:bookmarkStart w:id="610" w:name="_Toc324"/>
      <w:bookmarkStart w:id="611" w:name="_Toc375039087"/>
      <w:r>
        <w:rPr>
          <w:rFonts w:hint="eastAsia" w:ascii="宋体" w:hAnsi="宋体" w:eastAsia="宋体" w:cs="宋体"/>
          <w:color w:val="auto"/>
          <w:sz w:val="21"/>
          <w:szCs w:val="21"/>
          <w:highlight w:val="none"/>
        </w:rPr>
        <w:t>迟交的比选申请文件</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19.1 比选人将拒绝并原封退回在本须知18.1条规定的比选申请截止时间后收到的任何比选申请文件。</w:t>
      </w:r>
    </w:p>
    <w:p>
      <w:pPr>
        <w:pStyle w:val="6"/>
        <w:numPr>
          <w:ilvl w:val="0"/>
          <w:numId w:val="4"/>
        </w:numPr>
        <w:spacing w:before="0" w:after="0" w:afterAutospacing="0"/>
        <w:ind w:left="0" w:right="0" w:firstLine="422" w:firstLineChars="200"/>
        <w:rPr>
          <w:rFonts w:hint="eastAsia" w:ascii="宋体" w:hAnsi="宋体" w:eastAsia="宋体" w:cs="宋体"/>
          <w:color w:val="auto"/>
          <w:sz w:val="21"/>
          <w:szCs w:val="21"/>
          <w:highlight w:val="none"/>
        </w:rPr>
      </w:pPr>
      <w:bookmarkStart w:id="612" w:name="_Toc28452"/>
      <w:bookmarkStart w:id="613" w:name="_Toc31033"/>
      <w:bookmarkStart w:id="614" w:name="_Toc4605"/>
      <w:bookmarkStart w:id="615" w:name="_Toc21796"/>
      <w:bookmarkStart w:id="616" w:name="_Toc17797"/>
      <w:bookmarkStart w:id="617" w:name="_Toc26282"/>
      <w:bookmarkStart w:id="618" w:name="_Toc492478742"/>
      <w:bookmarkStart w:id="619" w:name="_Toc25824"/>
      <w:bookmarkStart w:id="620" w:name="_Toc8636"/>
      <w:bookmarkStart w:id="621" w:name="_Toc24030"/>
      <w:bookmarkStart w:id="622" w:name="_Toc25750612"/>
      <w:bookmarkStart w:id="623" w:name="_Toc29208"/>
      <w:bookmarkStart w:id="624" w:name="_Toc25427"/>
      <w:bookmarkStart w:id="625" w:name="_Toc375039088"/>
      <w:bookmarkStart w:id="626" w:name="_Toc383891192"/>
      <w:bookmarkStart w:id="627" w:name="_Toc12682"/>
      <w:bookmarkStart w:id="628" w:name="_Toc14411"/>
      <w:bookmarkStart w:id="629" w:name="_Toc27195"/>
      <w:bookmarkStart w:id="630" w:name="_Toc23449"/>
      <w:bookmarkStart w:id="631" w:name="_Toc243"/>
      <w:bookmarkStart w:id="632" w:name="_Toc390098443"/>
      <w:bookmarkStart w:id="633" w:name="_Toc9706"/>
      <w:bookmarkStart w:id="634" w:name="_Toc14522"/>
      <w:bookmarkStart w:id="635" w:name="_Toc12983527"/>
      <w:bookmarkStart w:id="636" w:name="_Toc385427817"/>
      <w:r>
        <w:rPr>
          <w:rFonts w:hint="eastAsia" w:ascii="宋体" w:hAnsi="宋体" w:eastAsia="宋体" w:cs="宋体"/>
          <w:color w:val="auto"/>
          <w:sz w:val="21"/>
          <w:szCs w:val="21"/>
          <w:highlight w:val="none"/>
        </w:rPr>
        <w:t>比选申请文件的修改和撤回</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20.1 比选申请人在提交比选申请文件后可对其比选申请文件进行修改或撤回，但该修改或撤回的书面通知须在比选申请截止时间之前送达比选单位；且该通知需经正式授权的比选申请人代表签字方为有效。</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20.2 比选申请人对比选申请文件修改的书面材料或撤回的通知应按本比选申请须知16和</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"_尻깃匡숭돨쵱룐뵨깃션"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17条</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20.3 比选申请截止时间以后比选申请人不得修改比选申请文件。</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20.4 比选申请人不得在比选申请截止时间至比选申请有效期期满前撤销比选申请文件。否则比选人有权要求比选申请人对损失给予赔偿。</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637" w:name="_Toc29264"/>
      <w:bookmarkStart w:id="638" w:name="_Toc12983528"/>
      <w:bookmarkStart w:id="639" w:name="_Toc383891193"/>
      <w:bookmarkStart w:id="640" w:name="_Toc2306"/>
      <w:bookmarkStart w:id="641" w:name="_Toc385427818"/>
      <w:bookmarkStart w:id="642" w:name="_Toc11529"/>
      <w:bookmarkStart w:id="643" w:name="_Toc31978"/>
      <w:bookmarkStart w:id="644" w:name="_Toc5592"/>
      <w:bookmarkStart w:id="645" w:name="_Toc28694"/>
      <w:bookmarkStart w:id="646" w:name="_Toc4291"/>
      <w:bookmarkStart w:id="647" w:name="_Toc16856"/>
      <w:bookmarkStart w:id="648" w:name="_Toc12182"/>
      <w:bookmarkStart w:id="649" w:name="_Toc22587"/>
      <w:bookmarkStart w:id="650" w:name="_Toc9728"/>
      <w:bookmarkStart w:id="651" w:name="_Toc492478743"/>
      <w:bookmarkStart w:id="652" w:name="_Toc375039089"/>
      <w:bookmarkStart w:id="653" w:name="_Toc24485"/>
      <w:bookmarkStart w:id="654" w:name="_Toc390098444"/>
      <w:bookmarkStart w:id="655" w:name="_Toc18076"/>
      <w:bookmarkStart w:id="656" w:name="_Toc9549"/>
      <w:bookmarkStart w:id="657" w:name="_Toc3006"/>
      <w:bookmarkStart w:id="658" w:name="_Toc25433"/>
      <w:bookmarkStart w:id="659" w:name="_Toc10325"/>
      <w:bookmarkStart w:id="660" w:name="_Toc5443"/>
      <w:bookmarkStart w:id="661" w:name="_Toc27216"/>
      <w:bookmarkStart w:id="662" w:name="_Toc9086"/>
      <w:bookmarkStart w:id="663" w:name="_Toc1172"/>
      <w:bookmarkStart w:id="664" w:name="_Toc16854"/>
      <w:bookmarkStart w:id="665" w:name="_Toc20085"/>
      <w:bookmarkStart w:id="666" w:name="_Toc8913"/>
      <w:r>
        <w:rPr>
          <w:rFonts w:hint="eastAsia" w:ascii="宋体" w:hAnsi="宋体" w:eastAsia="宋体"/>
          <w:color w:val="auto"/>
          <w:sz w:val="24"/>
          <w:szCs w:val="24"/>
          <w:highlight w:val="none"/>
        </w:rPr>
        <w:t>五、</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Fonts w:hint="eastAsia" w:ascii="宋体" w:hAnsi="宋体" w:eastAsia="宋体"/>
          <w:color w:val="auto"/>
          <w:sz w:val="24"/>
          <w:szCs w:val="24"/>
          <w:highlight w:val="none"/>
        </w:rPr>
        <w:t>比选申请文件递交与评审</w:t>
      </w:r>
      <w:bookmarkEnd w:id="660"/>
      <w:bookmarkEnd w:id="661"/>
      <w:bookmarkEnd w:id="662"/>
      <w:bookmarkEnd w:id="663"/>
      <w:bookmarkEnd w:id="664"/>
      <w:bookmarkEnd w:id="665"/>
      <w:bookmarkEnd w:id="666"/>
    </w:p>
    <w:p>
      <w:pPr>
        <w:pStyle w:val="6"/>
        <w:spacing w:before="0" w:after="0" w:afterAutospacing="0"/>
        <w:ind w:left="0" w:right="0" w:firstLine="422" w:firstLineChars="200"/>
        <w:rPr>
          <w:rFonts w:hint="eastAsia" w:ascii="宋体" w:hAnsi="宋体" w:eastAsia="宋体" w:cs="宋体"/>
          <w:color w:val="auto"/>
          <w:sz w:val="21"/>
          <w:szCs w:val="21"/>
          <w:highlight w:val="none"/>
        </w:rPr>
      </w:pPr>
      <w:bookmarkStart w:id="667" w:name="_Toc375039090"/>
      <w:bookmarkStart w:id="668" w:name="_Toc6974"/>
      <w:bookmarkStart w:id="669" w:name="_Toc6377"/>
      <w:bookmarkStart w:id="670" w:name="_Toc9309"/>
      <w:bookmarkStart w:id="671" w:name="_Toc4365"/>
      <w:bookmarkStart w:id="672" w:name="_Toc10883"/>
      <w:bookmarkStart w:id="673" w:name="_Toc6839"/>
      <w:bookmarkStart w:id="674" w:name="_Toc4638"/>
      <w:bookmarkStart w:id="675" w:name="_Toc23705"/>
      <w:bookmarkStart w:id="676" w:name="_Toc4825"/>
      <w:bookmarkStart w:id="677" w:name="_Toc895"/>
      <w:bookmarkStart w:id="678" w:name="_Toc18919"/>
      <w:bookmarkStart w:id="679" w:name="_Toc385427819"/>
      <w:bookmarkStart w:id="680" w:name="_Toc25116"/>
      <w:bookmarkStart w:id="681" w:name="_Toc492478744"/>
      <w:bookmarkStart w:id="682" w:name="_Toc10292"/>
      <w:bookmarkStart w:id="683" w:name="_Toc383891194"/>
      <w:bookmarkStart w:id="684" w:name="_Toc390098445"/>
      <w:bookmarkStart w:id="685" w:name="_Toc4674"/>
      <w:bookmarkStart w:id="686" w:name="_Toc5182"/>
      <w:bookmarkStart w:id="687" w:name="_Toc12983529"/>
      <w:bookmarkStart w:id="688" w:name="_Toc9264"/>
      <w:bookmarkStart w:id="689" w:name="_Toc24196"/>
      <w:bookmarkStart w:id="690" w:name="_Toc13120"/>
      <w:bookmarkStart w:id="691" w:name="_Toc25750614"/>
      <w:r>
        <w:rPr>
          <w:rFonts w:hint="eastAsia" w:ascii="宋体" w:hAnsi="宋体" w:eastAsia="宋体" w:cs="宋体"/>
          <w:color w:val="auto"/>
          <w:sz w:val="21"/>
          <w:szCs w:val="21"/>
          <w:highlight w:val="none"/>
        </w:rPr>
        <w:t>21.</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Fonts w:hint="eastAsia" w:ascii="宋体" w:hAnsi="宋体" w:eastAsia="宋体" w:cs="宋体"/>
          <w:color w:val="auto"/>
          <w:sz w:val="21"/>
          <w:szCs w:val="21"/>
          <w:highlight w:val="none"/>
        </w:rPr>
        <w:t>比选申请文件递交</w:t>
      </w:r>
      <w:bookmarkEnd w:id="690"/>
      <w:bookmarkEnd w:id="691"/>
    </w:p>
    <w:p>
      <w:pPr>
        <w:tabs>
          <w:tab w:val="left" w:pos="945"/>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21.1 比选人将按本须知18.1条项规定的时间和地址，对所有按时递交并已签收达三个或以上比选申请人的比选申请文件进行核查。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比选申请文件有下列情形之一的，比选人应当拒收：</w:t>
      </w:r>
    </w:p>
    <w:p>
      <w:pPr>
        <w:snapToGrid w:val="0"/>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21.1.1逾期送达的或者未送达指定地点的比选申请文件；</w:t>
      </w:r>
    </w:p>
    <w:p>
      <w:pPr>
        <w:snapToGrid w:val="0"/>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21.1.2比选申请文件外包封未按比选文件要求密封的。</w:t>
      </w:r>
    </w:p>
    <w:p>
      <w:pPr>
        <w:tabs>
          <w:tab w:val="left" w:pos="945"/>
          <w:tab w:val="left" w:pos="1134"/>
          <w:tab w:val="left" w:pos="8364"/>
        </w:tabs>
        <w:spacing w:before="0" w:after="0" w:afterAutospacing="0"/>
        <w:ind w:left="0" w:right="0" w:firstLine="422" w:firstLineChars="200"/>
        <w:rPr>
          <w:rFonts w:hint="eastAsia" w:ascii="宋体" w:hAnsi="宋体" w:eastAsia="宋体" w:cs="宋体"/>
          <w:color w:val="auto"/>
          <w:highlight w:val="none"/>
        </w:rPr>
      </w:pPr>
      <w:r>
        <w:rPr>
          <w:rFonts w:hint="eastAsia" w:ascii="宋体" w:hAnsi="宋体" w:eastAsia="宋体" w:cs="宋体"/>
          <w:b/>
          <w:color w:val="auto"/>
          <w:highlight w:val="none"/>
        </w:rPr>
        <w:t>21.2 比选申请人的法定代表人或其授权代表（以下统称“比选申请人代表”）必须在出示本人有效身份证（限中国公民居民身份证、外籍有效护照，下同）的原件，比选申请人授权代表还必须同时出示比选申请授权书原件，以证明授权代表的身份和被授权范围，并由比选人验证确认。</w:t>
      </w:r>
      <w:bookmarkStart w:id="692" w:name="_Toc251051540"/>
      <w:r>
        <w:rPr>
          <w:rFonts w:hint="eastAsia" w:ascii="宋体" w:hAnsi="宋体" w:eastAsia="宋体" w:cs="宋体"/>
          <w:b/>
          <w:color w:val="auto"/>
          <w:highlight w:val="none"/>
        </w:rPr>
        <w:t>否则作无效比选文件处理</w:t>
      </w:r>
      <w:bookmarkEnd w:id="692"/>
      <w:r>
        <w:rPr>
          <w:rFonts w:hint="eastAsia" w:ascii="宋体" w:hAnsi="宋体" w:eastAsia="宋体" w:cs="宋体"/>
          <w:b/>
          <w:color w:val="auto"/>
          <w:highlight w:val="none"/>
        </w:rPr>
        <w:t>。</w:t>
      </w:r>
    </w:p>
    <w:p>
      <w:pPr>
        <w:pStyle w:val="6"/>
        <w:spacing w:before="0" w:after="0" w:afterAutospacing="0"/>
        <w:ind w:left="0" w:right="0" w:firstLine="422" w:firstLineChars="200"/>
        <w:rPr>
          <w:rFonts w:hint="eastAsia" w:ascii="宋体" w:hAnsi="宋体" w:eastAsia="宋体" w:cs="宋体"/>
          <w:color w:val="auto"/>
          <w:sz w:val="21"/>
          <w:szCs w:val="21"/>
          <w:highlight w:val="none"/>
        </w:rPr>
      </w:pPr>
      <w:bookmarkStart w:id="693" w:name="_Toc383891195"/>
      <w:bookmarkStart w:id="694" w:name="_Toc390098446"/>
      <w:bookmarkStart w:id="695" w:name="_Toc385427820"/>
      <w:bookmarkStart w:id="696" w:name="_Toc375039091"/>
      <w:bookmarkStart w:id="697" w:name="_Toc1920"/>
      <w:bookmarkStart w:id="698" w:name="_Toc16601"/>
      <w:bookmarkStart w:id="699" w:name="_Toc17785"/>
      <w:bookmarkStart w:id="700" w:name="_Toc30671"/>
      <w:bookmarkStart w:id="701" w:name="_Toc16068"/>
      <w:bookmarkStart w:id="702" w:name="_Toc11263"/>
      <w:bookmarkStart w:id="703" w:name="_Toc24687"/>
      <w:bookmarkStart w:id="704" w:name="_Toc23699"/>
      <w:bookmarkStart w:id="705" w:name="_Toc25270"/>
      <w:bookmarkStart w:id="706" w:name="_Toc25750615"/>
      <w:bookmarkStart w:id="707" w:name="_Toc24630"/>
      <w:bookmarkStart w:id="708" w:name="_Toc11013"/>
      <w:bookmarkStart w:id="709" w:name="_Toc15466"/>
      <w:bookmarkStart w:id="710" w:name="_Toc30485"/>
      <w:bookmarkStart w:id="711" w:name="_Toc27636"/>
      <w:bookmarkStart w:id="712" w:name="_Toc5267"/>
      <w:bookmarkStart w:id="713" w:name="_Toc9391"/>
      <w:bookmarkStart w:id="714" w:name="_Toc492478745"/>
      <w:bookmarkStart w:id="715" w:name="_Toc13202"/>
      <w:bookmarkStart w:id="716" w:name="_Toc21819"/>
      <w:bookmarkStart w:id="717" w:name="_Toc12983530"/>
      <w:r>
        <w:rPr>
          <w:rFonts w:hint="eastAsia" w:ascii="宋体" w:hAnsi="宋体" w:eastAsia="宋体" w:cs="宋体"/>
          <w:color w:val="auto"/>
          <w:sz w:val="21"/>
          <w:szCs w:val="21"/>
          <w:highlight w:val="none"/>
        </w:rPr>
        <w:t>22.评审</w:t>
      </w:r>
      <w:bookmarkEnd w:id="693"/>
      <w:bookmarkEnd w:id="694"/>
      <w:bookmarkEnd w:id="695"/>
      <w:bookmarkEnd w:id="696"/>
      <w:r>
        <w:rPr>
          <w:rFonts w:hint="eastAsia" w:ascii="宋体" w:hAnsi="宋体" w:eastAsia="宋体" w:cs="宋体"/>
          <w:color w:val="auto"/>
          <w:sz w:val="21"/>
          <w:szCs w:val="21"/>
          <w:highlight w:val="none"/>
        </w:rPr>
        <w:t>程序</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tabs>
          <w:tab w:val="left" w:pos="8364"/>
        </w:tabs>
        <w:spacing w:before="0" w:after="0" w:afterAutospacing="0"/>
        <w:ind w:left="0" w:right="0" w:firstLine="420" w:firstLineChars="200"/>
        <w:rPr>
          <w:rFonts w:hint="eastAsia" w:ascii="宋体" w:hAnsi="宋体" w:eastAsia="宋体" w:cs="宋体"/>
          <w:b/>
          <w:color w:val="auto"/>
          <w:highlight w:val="none"/>
        </w:rPr>
      </w:pPr>
      <w:bookmarkStart w:id="718" w:name="_Toc375039092"/>
      <w:r>
        <w:rPr>
          <w:rFonts w:hint="eastAsia" w:ascii="宋体" w:hAnsi="宋体" w:eastAsia="宋体" w:cs="宋体"/>
          <w:color w:val="auto"/>
          <w:highlight w:val="none"/>
        </w:rPr>
        <w:t>详见第六章《评审办法》。</w:t>
      </w:r>
      <w:bookmarkEnd w:id="718"/>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719" w:name="_Toc16072"/>
      <w:bookmarkStart w:id="720" w:name="_Toc24755"/>
      <w:bookmarkStart w:id="721" w:name="_Toc18063"/>
      <w:bookmarkStart w:id="722" w:name="_Toc14719"/>
      <w:bookmarkStart w:id="723" w:name="_Toc12983531"/>
      <w:bookmarkStart w:id="724" w:name="_Toc18803"/>
      <w:bookmarkStart w:id="725" w:name="_Toc6936"/>
      <w:bookmarkStart w:id="726" w:name="_Toc15"/>
      <w:bookmarkStart w:id="727" w:name="_Toc390098447"/>
      <w:bookmarkStart w:id="728" w:name="_Toc385427821"/>
      <w:bookmarkStart w:id="729" w:name="_Toc27570"/>
      <w:bookmarkStart w:id="730" w:name="_Toc8295"/>
      <w:bookmarkStart w:id="731" w:name="_Toc833"/>
      <w:bookmarkStart w:id="732" w:name="_Toc13421"/>
      <w:bookmarkStart w:id="733" w:name="_Toc383891196"/>
      <w:bookmarkStart w:id="734" w:name="_Toc17980"/>
      <w:bookmarkStart w:id="735" w:name="_Toc26137"/>
      <w:bookmarkStart w:id="736" w:name="_Toc11716"/>
      <w:bookmarkStart w:id="737" w:name="_Toc25750616"/>
      <w:bookmarkStart w:id="738" w:name="_Toc1456"/>
      <w:bookmarkStart w:id="739" w:name="_Toc375039093"/>
      <w:bookmarkStart w:id="740" w:name="_Toc492478746"/>
      <w:bookmarkStart w:id="741" w:name="_Toc25047"/>
      <w:bookmarkStart w:id="742" w:name="_Toc5386"/>
      <w:bookmarkStart w:id="743" w:name="_Toc29929"/>
      <w:r>
        <w:rPr>
          <w:rFonts w:hint="eastAsia" w:ascii="宋体" w:hAnsi="宋体" w:eastAsia="宋体" w:cs="宋体"/>
          <w:color w:val="auto"/>
          <w:sz w:val="21"/>
          <w:szCs w:val="21"/>
          <w:highlight w:val="none"/>
        </w:rPr>
        <w:t>与比选人和评审委员会的接触</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23.1 从比选申请截止日起至授予合同期间，未经书面要求，比选申请人不得就与其比选申请文件有关的事项与评审委员会、比选人接触（包括直接接触或间接接触）。</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23.2 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23.3 比选申请人不得以任何方式干扰比选人的比选和评审活动，否则其比选申请无效并追究其法律责任。</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23.4 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744" w:name="_Toc9872"/>
      <w:bookmarkStart w:id="745" w:name="_Toc15988"/>
      <w:bookmarkStart w:id="746" w:name="_Toc25734"/>
      <w:bookmarkStart w:id="747" w:name="_Toc390098448"/>
      <w:bookmarkStart w:id="748" w:name="_Toc12555"/>
      <w:bookmarkStart w:id="749" w:name="_Toc654"/>
      <w:bookmarkStart w:id="750" w:name="_Toc19810"/>
      <w:bookmarkStart w:id="751" w:name="_Toc21167"/>
      <w:bookmarkStart w:id="752" w:name="_Toc29504"/>
      <w:bookmarkStart w:id="753" w:name="_Toc25750617"/>
      <w:bookmarkStart w:id="754" w:name="_Toc20523"/>
      <w:bookmarkStart w:id="755" w:name="_Toc16963"/>
      <w:bookmarkStart w:id="756" w:name="_Toc12960"/>
      <w:bookmarkStart w:id="757" w:name="_Toc12983532"/>
      <w:bookmarkStart w:id="758" w:name="_Toc383891197"/>
      <w:bookmarkStart w:id="759" w:name="_Toc7858"/>
      <w:bookmarkStart w:id="760" w:name="_Toc12671"/>
      <w:bookmarkStart w:id="761" w:name="_Toc30207"/>
      <w:bookmarkStart w:id="762" w:name="_Toc9941"/>
      <w:bookmarkStart w:id="763" w:name="_Toc492478747"/>
      <w:bookmarkStart w:id="764" w:name="_Toc12909"/>
      <w:bookmarkStart w:id="765" w:name="_Toc18515"/>
      <w:bookmarkStart w:id="766" w:name="_Toc385427822"/>
      <w:bookmarkStart w:id="767" w:name="_Toc9602"/>
      <w:bookmarkStart w:id="768" w:name="_Toc378514937"/>
      <w:bookmarkStart w:id="769" w:name="_Toc375039094"/>
      <w:bookmarkStart w:id="770" w:name="_Toc294723156"/>
      <w:r>
        <w:rPr>
          <w:rFonts w:hint="eastAsia" w:ascii="宋体" w:hAnsi="宋体" w:eastAsia="宋体" w:cs="宋体"/>
          <w:color w:val="auto"/>
          <w:sz w:val="21"/>
          <w:szCs w:val="21"/>
          <w:highlight w:val="none"/>
        </w:rPr>
        <w:t>评审过程保密</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771" w:name="_Toc30429"/>
      <w:bookmarkStart w:id="772" w:name="_Toc28701"/>
      <w:bookmarkStart w:id="773" w:name="_Toc14799"/>
      <w:bookmarkStart w:id="774" w:name="_Toc5983"/>
      <w:bookmarkStart w:id="775" w:name="_Toc25750618"/>
      <w:bookmarkStart w:id="776" w:name="_Toc24327"/>
      <w:bookmarkStart w:id="777" w:name="_Toc6624"/>
      <w:bookmarkStart w:id="778" w:name="_Toc385427823"/>
      <w:bookmarkStart w:id="779" w:name="_Toc22510"/>
      <w:bookmarkStart w:id="780" w:name="_Toc28898"/>
      <w:bookmarkStart w:id="781" w:name="_Toc13072"/>
      <w:bookmarkStart w:id="782" w:name="_Toc12983533"/>
      <w:bookmarkStart w:id="783" w:name="_Toc8827"/>
      <w:bookmarkStart w:id="784" w:name="_Toc383891198"/>
      <w:bookmarkStart w:id="785" w:name="_Toc23267"/>
      <w:bookmarkStart w:id="786" w:name="_Toc390098449"/>
      <w:bookmarkStart w:id="787" w:name="_Toc13743"/>
      <w:bookmarkStart w:id="788" w:name="_Toc11077"/>
      <w:bookmarkStart w:id="789" w:name="_Toc492478748"/>
      <w:bookmarkStart w:id="790" w:name="_Toc13768"/>
      <w:bookmarkStart w:id="791" w:name="_Toc28843"/>
      <w:bookmarkStart w:id="792" w:name="_Toc1983"/>
      <w:bookmarkStart w:id="793" w:name="_Toc14860"/>
      <w:bookmarkStart w:id="794" w:name="_Toc27670"/>
      <w:r>
        <w:rPr>
          <w:rFonts w:hint="eastAsia" w:ascii="宋体" w:hAnsi="宋体" w:eastAsia="宋体" w:cs="宋体"/>
          <w:color w:val="auto"/>
          <w:sz w:val="21"/>
          <w:szCs w:val="21"/>
          <w:highlight w:val="none"/>
        </w:rPr>
        <w:t>比选申请文件的澄清</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795" w:name="_Toc28992"/>
      <w:bookmarkStart w:id="796" w:name="_Toc20519"/>
      <w:bookmarkStart w:id="797" w:name="_Toc25750619"/>
      <w:bookmarkStart w:id="798" w:name="_Toc383891199"/>
      <w:bookmarkStart w:id="799" w:name="_Toc22681"/>
      <w:bookmarkStart w:id="800" w:name="_Toc18093"/>
      <w:bookmarkStart w:id="801" w:name="_Toc11781"/>
      <w:bookmarkStart w:id="802" w:name="_Toc12795"/>
      <w:bookmarkStart w:id="803" w:name="_Toc16884"/>
      <w:bookmarkStart w:id="804" w:name="_Toc12983534"/>
      <w:bookmarkStart w:id="805" w:name="_Toc1915"/>
      <w:bookmarkStart w:id="806" w:name="_Toc9040"/>
      <w:bookmarkStart w:id="807" w:name="_Toc5437"/>
      <w:bookmarkStart w:id="808" w:name="_Toc30017"/>
      <w:bookmarkStart w:id="809" w:name="_Toc6908"/>
      <w:bookmarkStart w:id="810" w:name="_Toc29146"/>
      <w:bookmarkStart w:id="811" w:name="_Toc5607"/>
      <w:bookmarkStart w:id="812" w:name="_Toc492478749"/>
      <w:bookmarkStart w:id="813" w:name="_Toc390098450"/>
      <w:bookmarkStart w:id="814" w:name="_Toc385427824"/>
      <w:bookmarkStart w:id="815" w:name="_Toc5926"/>
      <w:bookmarkStart w:id="816" w:name="_Toc26070"/>
      <w:bookmarkStart w:id="817" w:name="_Toc26318"/>
      <w:bookmarkStart w:id="818" w:name="_Toc4397"/>
      <w:r>
        <w:rPr>
          <w:rFonts w:hint="eastAsia" w:ascii="宋体" w:hAnsi="宋体" w:eastAsia="宋体" w:cs="宋体"/>
          <w:color w:val="auto"/>
          <w:sz w:val="21"/>
          <w:szCs w:val="21"/>
          <w:highlight w:val="none"/>
        </w:rPr>
        <w:t>比选申请文件响应性的确定</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819" w:name="_Toc26239"/>
      <w:bookmarkStart w:id="820" w:name="_Toc22146"/>
      <w:bookmarkStart w:id="821" w:name="_Toc20874"/>
      <w:bookmarkStart w:id="822" w:name="_Toc1027"/>
      <w:bookmarkStart w:id="823" w:name="_Toc492478750"/>
      <w:bookmarkStart w:id="824" w:name="_Toc383891200"/>
      <w:bookmarkStart w:id="825" w:name="_Toc25750620"/>
      <w:bookmarkStart w:id="826" w:name="_Toc19477"/>
      <w:bookmarkStart w:id="827" w:name="_Toc390098451"/>
      <w:bookmarkStart w:id="828" w:name="_Toc29398"/>
      <w:bookmarkStart w:id="829" w:name="_Toc5180"/>
      <w:bookmarkStart w:id="830" w:name="_Toc20912"/>
      <w:bookmarkStart w:id="831" w:name="_Toc17236"/>
      <w:bookmarkStart w:id="832" w:name="_Toc15051"/>
      <w:bookmarkStart w:id="833" w:name="_Toc31646"/>
      <w:bookmarkStart w:id="834" w:name="_Toc23999"/>
      <w:bookmarkStart w:id="835" w:name="_Toc23808"/>
      <w:bookmarkStart w:id="836" w:name="_Toc22063"/>
      <w:bookmarkStart w:id="837" w:name="_Toc21468"/>
      <w:bookmarkStart w:id="838" w:name="_Toc385427825"/>
      <w:bookmarkStart w:id="839" w:name="_Toc23956"/>
      <w:bookmarkStart w:id="840" w:name="_Toc12983535"/>
      <w:bookmarkStart w:id="841" w:name="_Toc20810"/>
      <w:bookmarkStart w:id="842" w:name="_Toc12167"/>
      <w:r>
        <w:rPr>
          <w:rFonts w:hint="eastAsia" w:ascii="宋体" w:hAnsi="宋体" w:eastAsia="宋体" w:cs="宋体"/>
          <w:color w:val="auto"/>
          <w:sz w:val="21"/>
          <w:szCs w:val="21"/>
          <w:highlight w:val="none"/>
        </w:rPr>
        <w:t>比选申请文件计算错误的修正</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27.1 比选申请报价大写金额与小写金额不一致的，以大写金额为准；总价金额与单价乘以数量的合计计算出的结果不一致的，以单价为准修正总价，但单价金额小数点有明显错误的除外。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bookmarkStart w:id="843" w:name="_Toc19936"/>
      <w:bookmarkStart w:id="844" w:name="_Toc27112"/>
      <w:bookmarkStart w:id="845" w:name="_Toc25750621"/>
      <w:bookmarkStart w:id="846" w:name="_Toc24176"/>
      <w:bookmarkStart w:id="847" w:name="_Toc9812"/>
      <w:bookmarkStart w:id="848" w:name="_Toc385427826"/>
      <w:bookmarkStart w:id="849" w:name="_Toc390098452"/>
      <w:bookmarkStart w:id="850" w:name="_Toc383891201"/>
      <w:bookmarkStart w:id="851" w:name="_Toc12983536"/>
      <w:bookmarkStart w:id="852" w:name="_Toc9737"/>
      <w:bookmarkStart w:id="853" w:name="_Toc29276"/>
      <w:bookmarkStart w:id="854" w:name="_Toc8959"/>
      <w:bookmarkStart w:id="855" w:name="_Toc492478751"/>
      <w:bookmarkStart w:id="856" w:name="_Toc29446"/>
      <w:bookmarkStart w:id="857" w:name="_Toc5319"/>
      <w:bookmarkStart w:id="858" w:name="_Toc23907"/>
      <w:bookmarkStart w:id="859" w:name="_Toc20444"/>
      <w:bookmarkStart w:id="860" w:name="_Toc20881"/>
      <w:bookmarkStart w:id="861" w:name="_Toc4958"/>
      <w:bookmarkStart w:id="862" w:name="_Toc22994"/>
      <w:bookmarkStart w:id="863" w:name="_Toc16418"/>
      <w:bookmarkStart w:id="864" w:name="_Toc1004"/>
      <w:bookmarkStart w:id="865" w:name="_Toc3258"/>
      <w:bookmarkStart w:id="866" w:name="_Toc20854"/>
      <w:r>
        <w:rPr>
          <w:rFonts w:hint="eastAsia" w:ascii="宋体" w:hAnsi="宋体" w:eastAsia="宋体" w:cs="宋体"/>
          <w:color w:val="auto"/>
          <w:highlight w:val="none"/>
        </w:rPr>
        <w:t>27.2 按上述修正错误的规则对比选申请报价进行修正。评标价格及中标价均以修正后的报价为准。如比选申请人不接受按以上规则确定的评标价格和中标价，则其比选申请将被拒绝。</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比选申请文件的评价与比较</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28.2 评审将按《评审办法》规定执行。</w:t>
      </w:r>
      <w:bookmarkEnd w:id="768"/>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867" w:name="_Toc17460"/>
      <w:bookmarkStart w:id="868" w:name="_Toc11010"/>
      <w:bookmarkStart w:id="869" w:name="_Toc390098453"/>
      <w:bookmarkStart w:id="870" w:name="_Toc14300"/>
      <w:bookmarkStart w:id="871" w:name="_Toc22500"/>
      <w:bookmarkStart w:id="872" w:name="_Toc11657"/>
      <w:bookmarkStart w:id="873" w:name="_Toc383891202"/>
      <w:bookmarkStart w:id="874" w:name="_Toc27803"/>
      <w:bookmarkStart w:id="875" w:name="_Toc1450"/>
      <w:bookmarkStart w:id="876" w:name="_Toc15146"/>
      <w:bookmarkStart w:id="877" w:name="_Toc8074"/>
      <w:bookmarkStart w:id="878" w:name="_Toc3358"/>
      <w:bookmarkStart w:id="879" w:name="_Toc492478752"/>
      <w:bookmarkStart w:id="880" w:name="_Toc31774"/>
      <w:bookmarkStart w:id="881" w:name="_Toc385427827"/>
      <w:bookmarkStart w:id="882" w:name="_Toc12983537"/>
      <w:bookmarkStart w:id="883" w:name="_Toc25750622"/>
      <w:bookmarkStart w:id="884" w:name="_Toc28489"/>
      <w:bookmarkStart w:id="885" w:name="_Toc7756"/>
      <w:bookmarkStart w:id="886" w:name="_Toc32344"/>
      <w:bookmarkStart w:id="887" w:name="_Toc27289"/>
      <w:bookmarkStart w:id="888" w:name="_Toc8845"/>
      <w:bookmarkStart w:id="889" w:name="_Toc19322"/>
      <w:bookmarkStart w:id="890" w:name="_Toc507"/>
      <w:r>
        <w:rPr>
          <w:rFonts w:hint="eastAsia" w:ascii="宋体" w:hAnsi="宋体" w:eastAsia="宋体" w:cs="宋体"/>
          <w:color w:val="auto"/>
          <w:sz w:val="21"/>
          <w:szCs w:val="21"/>
          <w:highlight w:val="none"/>
        </w:rPr>
        <w:t>定标</w:t>
      </w:r>
      <w:bookmarkEnd w:id="769"/>
      <w:bookmarkEnd w:id="770"/>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29.1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29.2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29.3比选申请人应确保提供的资料真实无误，如有弄虚作假的情况，一经查实，取消比选申请资格，已经中选的取消中选资格。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29.4比选人确定的中选人必须按有关规定进行公示。</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29.5评审委员会评审结束后，比选人经审查发现评审过程中有明显错误，可以组织原评审委员会进行复评。</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891" w:name="_Toc17823"/>
      <w:bookmarkStart w:id="892" w:name="_Toc37"/>
      <w:bookmarkStart w:id="893" w:name="_Toc15932"/>
      <w:bookmarkStart w:id="894" w:name="_Toc14042"/>
      <w:bookmarkStart w:id="895" w:name="_Toc5172"/>
      <w:bookmarkStart w:id="896" w:name="_Toc492478753"/>
      <w:bookmarkStart w:id="897" w:name="_Toc385427828"/>
      <w:bookmarkStart w:id="898" w:name="_Toc5257"/>
      <w:bookmarkStart w:id="899" w:name="_Toc390098454"/>
      <w:bookmarkStart w:id="900" w:name="_Toc12983538"/>
      <w:bookmarkStart w:id="901" w:name="_Toc22182"/>
      <w:bookmarkStart w:id="902" w:name="_Toc1215"/>
      <w:bookmarkStart w:id="903" w:name="_Toc21142"/>
      <w:bookmarkStart w:id="904" w:name="_Toc18192"/>
      <w:bookmarkStart w:id="905" w:name="_Toc3761"/>
      <w:bookmarkStart w:id="906" w:name="_Toc27664"/>
      <w:bookmarkStart w:id="907" w:name="_Toc21947"/>
      <w:bookmarkStart w:id="908" w:name="_Toc375039095"/>
      <w:bookmarkStart w:id="909" w:name="_Toc383891203"/>
      <w:bookmarkStart w:id="910" w:name="_Toc26470"/>
      <w:bookmarkStart w:id="911" w:name="_Toc19634"/>
      <w:bookmarkStart w:id="912" w:name="_Toc16732"/>
      <w:bookmarkStart w:id="913" w:name="_Toc13986"/>
      <w:bookmarkStart w:id="914" w:name="_Toc25750623"/>
      <w:bookmarkStart w:id="915" w:name="_Toc4536"/>
      <w:r>
        <w:rPr>
          <w:rFonts w:hint="eastAsia" w:ascii="宋体" w:hAnsi="宋体" w:eastAsia="宋体" w:cs="宋体"/>
          <w:color w:val="auto"/>
          <w:sz w:val="21"/>
          <w:szCs w:val="21"/>
          <w:highlight w:val="none"/>
        </w:rPr>
        <w:t>重新</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Fonts w:hint="eastAsia" w:ascii="宋体" w:hAnsi="宋体" w:eastAsia="宋体" w:cs="宋体"/>
          <w:color w:val="auto"/>
          <w:sz w:val="21"/>
          <w:szCs w:val="21"/>
          <w:highlight w:val="none"/>
        </w:rPr>
        <w:t>比选</w:t>
      </w:r>
      <w:bookmarkEnd w:id="914"/>
      <w:bookmarkEnd w:id="915"/>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出现下列特殊情况之一时，可重新比选：</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30.1在比选申请截止时间到达时提交比选申请文件的比选申请人不足3家的；</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30.2评审委员会否决不合格比选申请或者界定为否决比选申请后，因有效比选申请不足三家使得比选申请明显缺乏竞争性的（当有效比选申请只剩余两家时，评审委员会认为剩余的比选申请文件仍具有竞争性的，应继续评审）；</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30.3评审委员会决定否决全部比选申请的；</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30.4中选候选人均放弃中选资格的；</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30.5根据本须知15.2条规定，所有中选候选人均不同意在比选申请有效期内延长比选申请有效期的。</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30.6比选文件中规定的其他情况。</w:t>
      </w:r>
    </w:p>
    <w:p>
      <w:pPr>
        <w:pStyle w:val="6"/>
        <w:numPr>
          <w:ilvl w:val="0"/>
          <w:numId w:val="5"/>
        </w:numPr>
        <w:spacing w:before="0" w:after="0" w:afterAutospacing="0"/>
        <w:ind w:left="0" w:right="0" w:firstLine="422" w:firstLineChars="200"/>
        <w:rPr>
          <w:rFonts w:hint="eastAsia" w:ascii="宋体" w:hAnsi="宋体" w:eastAsia="宋体" w:cs="宋体"/>
          <w:color w:val="auto"/>
          <w:sz w:val="21"/>
          <w:szCs w:val="21"/>
          <w:highlight w:val="none"/>
        </w:rPr>
      </w:pPr>
      <w:bookmarkStart w:id="916" w:name="_Toc17042"/>
      <w:bookmarkStart w:id="917" w:name="_Toc2422"/>
      <w:bookmarkStart w:id="918" w:name="_Toc5959"/>
      <w:bookmarkStart w:id="919" w:name="_Toc1945"/>
      <w:bookmarkStart w:id="920" w:name="_Toc10962"/>
      <w:bookmarkStart w:id="921" w:name="_Toc1116"/>
      <w:bookmarkStart w:id="922" w:name="_Toc14235"/>
      <w:bookmarkStart w:id="923" w:name="_Toc6886"/>
      <w:bookmarkStart w:id="924" w:name="_Toc25257"/>
      <w:bookmarkStart w:id="925" w:name="_Toc492478754"/>
      <w:bookmarkStart w:id="926" w:name="_Toc20979"/>
      <w:bookmarkStart w:id="927" w:name="_Toc26919"/>
      <w:bookmarkStart w:id="928" w:name="_Toc12983539"/>
      <w:bookmarkStart w:id="929" w:name="_Toc390098455"/>
      <w:bookmarkStart w:id="930" w:name="_Toc385427829"/>
      <w:bookmarkStart w:id="931" w:name="_Toc31757"/>
      <w:bookmarkStart w:id="932" w:name="_Toc14454"/>
      <w:bookmarkStart w:id="933" w:name="_Toc3769"/>
      <w:bookmarkStart w:id="934" w:name="_Toc383891204"/>
      <w:bookmarkStart w:id="935" w:name="_Toc375039096"/>
      <w:bookmarkStart w:id="936" w:name="_Toc11126"/>
      <w:bookmarkStart w:id="937" w:name="_Toc26954"/>
      <w:bookmarkStart w:id="938" w:name="_Toc12031"/>
      <w:bookmarkStart w:id="939" w:name="_Toc25750624"/>
      <w:bookmarkStart w:id="940" w:name="_Toc13092"/>
      <w:r>
        <w:rPr>
          <w:rFonts w:hint="eastAsia" w:ascii="宋体" w:hAnsi="宋体" w:eastAsia="宋体" w:cs="宋体"/>
          <w:color w:val="auto"/>
          <w:sz w:val="21"/>
          <w:szCs w:val="21"/>
          <w:highlight w:val="none"/>
        </w:rPr>
        <w:t>不再</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Fonts w:hint="eastAsia" w:ascii="宋体" w:hAnsi="宋体" w:eastAsia="宋体" w:cs="宋体"/>
          <w:color w:val="auto"/>
          <w:sz w:val="21"/>
          <w:szCs w:val="21"/>
          <w:highlight w:val="none"/>
        </w:rPr>
        <w:t>比选</w:t>
      </w:r>
      <w:bookmarkEnd w:id="939"/>
      <w:bookmarkEnd w:id="940"/>
    </w:p>
    <w:p>
      <w:pPr>
        <w:tabs>
          <w:tab w:val="left" w:pos="1155"/>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项目比选发布信息后比选申请人少于三个或所有比选申请被否决的，比选人可不再进行比选</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941" w:name="_Toc6573"/>
      <w:bookmarkStart w:id="942" w:name="_Toc19966"/>
      <w:bookmarkStart w:id="943" w:name="_Toc375039097"/>
      <w:bookmarkStart w:id="944" w:name="_Toc21516"/>
      <w:bookmarkStart w:id="945" w:name="_Toc2434"/>
      <w:bookmarkStart w:id="946" w:name="_Toc30278"/>
      <w:bookmarkStart w:id="947" w:name="_Toc4743"/>
      <w:bookmarkStart w:id="948" w:name="_Toc8834"/>
      <w:bookmarkStart w:id="949" w:name="_Toc24681"/>
      <w:bookmarkStart w:id="950" w:name="_Toc19091"/>
      <w:bookmarkStart w:id="951" w:name="_Toc24138"/>
      <w:bookmarkStart w:id="952" w:name="_Toc22975"/>
      <w:bookmarkStart w:id="953" w:name="_Toc9113"/>
      <w:bookmarkStart w:id="954" w:name="_Toc25431"/>
      <w:bookmarkStart w:id="955" w:name="_Toc26653"/>
      <w:bookmarkStart w:id="956" w:name="_Toc19952"/>
      <w:bookmarkStart w:id="957" w:name="_Toc2326"/>
      <w:bookmarkStart w:id="958" w:name="_Toc18800"/>
      <w:bookmarkStart w:id="959" w:name="_Toc383891205"/>
      <w:bookmarkStart w:id="960" w:name="_Toc20748"/>
      <w:bookmarkStart w:id="961" w:name="_Toc12983540"/>
      <w:bookmarkStart w:id="962" w:name="_Toc492478755"/>
      <w:bookmarkStart w:id="963" w:name="_Toc12421"/>
      <w:bookmarkStart w:id="964" w:name="_Toc27839"/>
      <w:bookmarkStart w:id="965" w:name="_Toc385427830"/>
      <w:bookmarkStart w:id="966" w:name="_Toc6000"/>
      <w:bookmarkStart w:id="967" w:name="_Toc14827"/>
      <w:bookmarkStart w:id="968" w:name="_Toc390098456"/>
      <w:bookmarkStart w:id="969" w:name="_Toc31958"/>
      <w:bookmarkStart w:id="970" w:name="_Toc24580"/>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6"/>
        <w:spacing w:before="0" w:after="0" w:afterAutospacing="0"/>
        <w:ind w:left="0" w:right="0" w:firstLine="422" w:firstLineChars="200"/>
        <w:rPr>
          <w:rFonts w:hint="eastAsia" w:ascii="宋体" w:hAnsi="宋体" w:eastAsia="宋体" w:cs="宋体"/>
          <w:color w:val="auto"/>
          <w:sz w:val="21"/>
          <w:szCs w:val="21"/>
          <w:highlight w:val="none"/>
        </w:rPr>
      </w:pPr>
      <w:bookmarkStart w:id="971" w:name="_Toc10522"/>
      <w:bookmarkStart w:id="972" w:name="_Toc22323"/>
      <w:bookmarkStart w:id="973" w:name="_Toc3447"/>
      <w:bookmarkStart w:id="974" w:name="_Toc30026"/>
      <w:bookmarkStart w:id="975" w:name="_Toc26143"/>
      <w:bookmarkStart w:id="976" w:name="_Toc385427831"/>
      <w:bookmarkStart w:id="977" w:name="_Toc8938"/>
      <w:bookmarkStart w:id="978" w:name="_Toc28661"/>
      <w:bookmarkStart w:id="979" w:name="_Toc21975"/>
      <w:bookmarkStart w:id="980" w:name="_Toc375039098"/>
      <w:bookmarkStart w:id="981" w:name="_Toc25750626"/>
      <w:bookmarkStart w:id="982" w:name="_Toc18878"/>
      <w:bookmarkStart w:id="983" w:name="_Toc383891206"/>
      <w:bookmarkStart w:id="984" w:name="_Toc11795"/>
      <w:bookmarkStart w:id="985" w:name="_Toc31011"/>
      <w:bookmarkStart w:id="986" w:name="_Toc20642"/>
      <w:bookmarkStart w:id="987" w:name="_Toc1269"/>
      <w:bookmarkStart w:id="988" w:name="_Toc30743"/>
      <w:bookmarkStart w:id="989" w:name="_Toc22688"/>
      <w:bookmarkStart w:id="990" w:name="_Toc12983541"/>
      <w:bookmarkStart w:id="991" w:name="_Toc13914"/>
      <w:bookmarkStart w:id="992" w:name="_Toc26525"/>
      <w:bookmarkStart w:id="993" w:name="_Toc390098457"/>
      <w:bookmarkStart w:id="994" w:name="_Toc492478756"/>
      <w:bookmarkStart w:id="995" w:name="_Toc21728"/>
      <w:r>
        <w:rPr>
          <w:rFonts w:hint="eastAsia" w:ascii="宋体" w:hAnsi="宋体" w:eastAsia="宋体" w:cs="宋体"/>
          <w:color w:val="auto"/>
          <w:sz w:val="21"/>
          <w:szCs w:val="21"/>
          <w:highlight w:val="none"/>
        </w:rPr>
        <w:t>32.合同授予标准</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32.1 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32.2 如果中选候选人放弃中选候选人资格或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hint="eastAsia" w:ascii="宋体" w:hAnsi="宋体" w:eastAsia="宋体" w:cs="宋体"/>
          <w:color w:val="auto"/>
          <w:sz w:val="21"/>
          <w:szCs w:val="21"/>
          <w:highlight w:val="none"/>
        </w:rPr>
      </w:pPr>
      <w:bookmarkStart w:id="996" w:name="_Toc375039099"/>
      <w:bookmarkStart w:id="997" w:name="_Toc1953"/>
      <w:bookmarkStart w:id="998" w:name="_Toc16111"/>
      <w:bookmarkStart w:id="999" w:name="_Toc17818"/>
      <w:bookmarkStart w:id="1000" w:name="_Toc31336"/>
      <w:bookmarkStart w:id="1001" w:name="_Toc25797"/>
      <w:bookmarkStart w:id="1002" w:name="_Toc25750627"/>
      <w:bookmarkStart w:id="1003" w:name="_Toc17153"/>
      <w:bookmarkStart w:id="1004" w:name="_Toc11913"/>
      <w:bookmarkStart w:id="1005" w:name="_Toc492478757"/>
      <w:bookmarkStart w:id="1006" w:name="_Toc383891207"/>
      <w:bookmarkStart w:id="1007" w:name="_Toc24183"/>
      <w:bookmarkStart w:id="1008" w:name="_Toc14301"/>
      <w:bookmarkStart w:id="1009" w:name="_Toc385427832"/>
      <w:bookmarkStart w:id="1010" w:name="_Toc1873"/>
      <w:bookmarkStart w:id="1011" w:name="_Toc14832"/>
      <w:bookmarkStart w:id="1012" w:name="_Toc13417"/>
      <w:bookmarkStart w:id="1013" w:name="_Toc14325"/>
      <w:bookmarkStart w:id="1014" w:name="_Toc12983542"/>
      <w:bookmarkStart w:id="1015" w:name="_Toc377"/>
      <w:bookmarkStart w:id="1016" w:name="_Toc23649"/>
      <w:bookmarkStart w:id="1017" w:name="_Toc18977"/>
      <w:bookmarkStart w:id="1018" w:name="_Toc19774"/>
      <w:bookmarkStart w:id="1019" w:name="_Toc19128"/>
      <w:bookmarkStart w:id="1020" w:name="_Toc390098458"/>
      <w:r>
        <w:rPr>
          <w:rFonts w:hint="eastAsia" w:ascii="宋体" w:hAnsi="宋体" w:eastAsia="宋体" w:cs="宋体"/>
          <w:color w:val="auto"/>
          <w:sz w:val="21"/>
          <w:szCs w:val="21"/>
          <w:highlight w:val="none"/>
        </w:rPr>
        <w:t>33.接受和否决任何或所有比选申请的权力</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0" w:firstLine="422" w:firstLineChars="200"/>
        <w:rPr>
          <w:rFonts w:hint="eastAsia" w:ascii="宋体" w:hAnsi="宋体" w:eastAsia="宋体" w:cs="宋体"/>
          <w:color w:val="auto"/>
          <w:sz w:val="21"/>
          <w:szCs w:val="21"/>
          <w:highlight w:val="none"/>
        </w:rPr>
      </w:pPr>
      <w:bookmarkStart w:id="1021" w:name="_Toc383891208"/>
      <w:bookmarkStart w:id="1022" w:name="_Toc32424"/>
      <w:bookmarkStart w:id="1023" w:name="_Toc19943"/>
      <w:bookmarkStart w:id="1024" w:name="_Toc375039100"/>
      <w:bookmarkStart w:id="1025" w:name="_Toc5061"/>
      <w:bookmarkStart w:id="1026" w:name="_Toc20680"/>
      <w:bookmarkStart w:id="1027" w:name="_Toc385427833"/>
      <w:bookmarkStart w:id="1028" w:name="_Toc2061"/>
      <w:bookmarkStart w:id="1029" w:name="_Toc921"/>
      <w:bookmarkStart w:id="1030" w:name="_Toc30071"/>
      <w:bookmarkStart w:id="1031" w:name="_Toc390098459"/>
      <w:bookmarkStart w:id="1032" w:name="_Toc673"/>
      <w:bookmarkStart w:id="1033" w:name="_Toc13605"/>
      <w:bookmarkStart w:id="1034" w:name="_Toc12065"/>
      <w:bookmarkStart w:id="1035" w:name="_Toc21798"/>
      <w:bookmarkStart w:id="1036" w:name="_Toc492478758"/>
      <w:bookmarkStart w:id="1037" w:name="_Toc12983543"/>
      <w:bookmarkStart w:id="1038" w:name="_Toc13596"/>
      <w:bookmarkStart w:id="1039" w:name="_Toc27683"/>
      <w:bookmarkStart w:id="1040" w:name="_Toc9636"/>
      <w:bookmarkStart w:id="1041" w:name="_Toc25750628"/>
      <w:bookmarkStart w:id="1042" w:name="_Toc19556"/>
      <w:bookmarkStart w:id="1043" w:name="_Toc10348"/>
      <w:bookmarkStart w:id="1044" w:name="_Toc17953"/>
      <w:bookmarkStart w:id="1045" w:name="_Toc22657"/>
      <w:r>
        <w:rPr>
          <w:rFonts w:hint="eastAsia" w:ascii="宋体" w:hAnsi="宋体" w:eastAsia="宋体" w:cs="宋体"/>
          <w:color w:val="auto"/>
          <w:sz w:val="21"/>
          <w:szCs w:val="21"/>
          <w:highlight w:val="none"/>
        </w:rPr>
        <w:t>中选通知书</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tabs>
          <w:tab w:val="left" w:pos="450"/>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34.1 在比选申请有效期截止前，在本须知第15条规定的比选申请有效期内，比选人以书面形式向中选人发出中选通知书。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34.2 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34.3 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34.4放弃中选人资格的处罚详见前附表。</w:t>
      </w:r>
    </w:p>
    <w:p>
      <w:pPr>
        <w:pStyle w:val="6"/>
        <w:numPr>
          <w:ilvl w:val="0"/>
          <w:numId w:val="6"/>
        </w:numPr>
        <w:spacing w:before="0" w:after="0" w:afterAutospacing="0"/>
        <w:ind w:left="0" w:right="0" w:firstLine="422" w:firstLineChars="200"/>
        <w:rPr>
          <w:rFonts w:hint="eastAsia" w:ascii="宋体" w:hAnsi="宋体" w:eastAsia="宋体" w:cs="宋体"/>
          <w:color w:val="auto"/>
          <w:sz w:val="21"/>
          <w:szCs w:val="21"/>
          <w:highlight w:val="none"/>
        </w:rPr>
      </w:pPr>
      <w:bookmarkStart w:id="1046" w:name="_Toc375039101"/>
      <w:bookmarkStart w:id="1047" w:name="_Toc5617"/>
      <w:bookmarkStart w:id="1048" w:name="_Toc15048"/>
      <w:bookmarkStart w:id="1049" w:name="_Toc5767"/>
      <w:bookmarkStart w:id="1050" w:name="_Toc8628"/>
      <w:bookmarkStart w:id="1051" w:name="_Toc1780"/>
      <w:bookmarkStart w:id="1052" w:name="_Toc29993"/>
      <w:bookmarkStart w:id="1053" w:name="_Toc25208"/>
      <w:bookmarkStart w:id="1054" w:name="_Toc1862"/>
      <w:bookmarkStart w:id="1055" w:name="_Toc30862"/>
      <w:bookmarkStart w:id="1056" w:name="_Toc28815"/>
      <w:bookmarkStart w:id="1057" w:name="_Toc21570"/>
      <w:bookmarkStart w:id="1058" w:name="_Toc385427834"/>
      <w:bookmarkStart w:id="1059" w:name="_Toc25750629"/>
      <w:bookmarkStart w:id="1060" w:name="_Toc390098460"/>
      <w:bookmarkStart w:id="1061" w:name="_Toc24885"/>
      <w:bookmarkStart w:id="1062" w:name="_Toc21217"/>
      <w:bookmarkStart w:id="1063" w:name="_Toc492478759"/>
      <w:bookmarkStart w:id="1064" w:name="_Toc22442"/>
      <w:bookmarkStart w:id="1065" w:name="_Toc2980"/>
      <w:bookmarkStart w:id="1066" w:name="_Toc18694"/>
      <w:bookmarkStart w:id="1067" w:name="_Toc4190"/>
      <w:bookmarkStart w:id="1068" w:name="_Toc383891209"/>
      <w:bookmarkStart w:id="1069" w:name="_Toc24240"/>
      <w:bookmarkStart w:id="1070" w:name="_Toc12983544"/>
      <w:r>
        <w:rPr>
          <w:rFonts w:hint="eastAsia" w:ascii="宋体" w:hAnsi="宋体" w:eastAsia="宋体" w:cs="宋体"/>
          <w:color w:val="auto"/>
          <w:sz w:val="21"/>
          <w:szCs w:val="21"/>
          <w:highlight w:val="none"/>
        </w:rPr>
        <w:t>签订合同</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35.1 中选人在收到中选通知书后，按比选文件的要求与比选人签订合同。</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35.2 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35.3 如果中选人没有按照上述第35.1条规定执行，比选人将有充分理由取消该中选决定。在此情况下，比选人可以按照评审委员会提出的中选候选人名单排序依次确定其他中选候选人为中选人，也可以重新比选。</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35.4 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spacing w:before="0" w:after="0" w:afterAutospacing="0"/>
        <w:ind w:left="0" w:right="0" w:firstLine="422" w:firstLineChars="200"/>
        <w:rPr>
          <w:rFonts w:hint="eastAsia" w:ascii="宋体" w:hAnsi="宋体" w:eastAsia="宋体" w:cs="宋体"/>
          <w:color w:val="auto"/>
          <w:highlight w:val="none"/>
        </w:rPr>
      </w:pPr>
      <w:bookmarkStart w:id="1071" w:name="_Toc12983545"/>
      <w:bookmarkStart w:id="1072" w:name="_Toc8104"/>
      <w:bookmarkStart w:id="1073" w:name="_Toc23817"/>
      <w:bookmarkStart w:id="1074" w:name="_Toc11412"/>
      <w:bookmarkStart w:id="1075" w:name="_Toc383891210"/>
      <w:bookmarkStart w:id="1076" w:name="_Toc25750630"/>
      <w:bookmarkStart w:id="1077" w:name="_Toc9433"/>
      <w:bookmarkStart w:id="1078" w:name="_Toc31814"/>
      <w:bookmarkStart w:id="1079" w:name="_Toc375039102"/>
      <w:bookmarkStart w:id="1080" w:name="_Toc29857"/>
      <w:bookmarkStart w:id="1081" w:name="_Toc17281"/>
      <w:bookmarkStart w:id="1082" w:name="_Toc24750"/>
      <w:bookmarkStart w:id="1083" w:name="_Toc9981"/>
      <w:bookmarkStart w:id="1084" w:name="_Toc25483"/>
      <w:bookmarkStart w:id="1085" w:name="_Toc6599"/>
      <w:bookmarkStart w:id="1086" w:name="_Toc16589"/>
      <w:bookmarkStart w:id="1087" w:name="_Toc20178"/>
      <w:bookmarkStart w:id="1088" w:name="_Toc25632"/>
      <w:bookmarkStart w:id="1089" w:name="_Toc11079"/>
      <w:bookmarkStart w:id="1090" w:name="_Toc385427835"/>
      <w:bookmarkStart w:id="1091" w:name="_Toc5576"/>
      <w:bookmarkStart w:id="1092" w:name="_Toc390098461"/>
      <w:bookmarkStart w:id="1093" w:name="_Toc492478760"/>
      <w:bookmarkStart w:id="1094" w:name="_Toc16371"/>
      <w:r>
        <w:rPr>
          <w:rFonts w:hint="eastAsia" w:ascii="宋体" w:hAnsi="宋体" w:eastAsia="宋体" w:cs="宋体"/>
          <w:b/>
          <w:bCs/>
          <w:color w:val="auto"/>
          <w:highlight w:val="none"/>
        </w:rPr>
        <w:t>36.履约担保</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bookmarkStart w:id="1095" w:name="_Toc19122"/>
      <w:bookmarkStart w:id="1096" w:name="_Toc390098462"/>
      <w:bookmarkStart w:id="1097" w:name="_Toc13615"/>
      <w:bookmarkStart w:id="1098" w:name="_Toc25990"/>
      <w:bookmarkStart w:id="1099" w:name="_Toc24400"/>
      <w:bookmarkStart w:id="1100" w:name="_Toc23115"/>
      <w:bookmarkStart w:id="1101" w:name="_Toc10399"/>
      <w:bookmarkStart w:id="1102" w:name="_Toc30169"/>
      <w:bookmarkStart w:id="1103" w:name="_Toc375039103"/>
      <w:bookmarkStart w:id="1104" w:name="_Toc12983546"/>
      <w:bookmarkStart w:id="1105" w:name="_Toc25988"/>
      <w:bookmarkStart w:id="1106" w:name="_Toc16584"/>
      <w:bookmarkStart w:id="1107" w:name="_Toc10480"/>
      <w:bookmarkStart w:id="1108" w:name="_Toc8178"/>
      <w:bookmarkStart w:id="1109" w:name="_Toc11354"/>
      <w:bookmarkStart w:id="1110" w:name="_Toc16212"/>
      <w:bookmarkStart w:id="1111" w:name="_Toc2637"/>
      <w:bookmarkStart w:id="1112" w:name="_Toc20351"/>
      <w:bookmarkStart w:id="1113" w:name="_Toc26808"/>
      <w:bookmarkStart w:id="1114" w:name="_Toc385427836"/>
      <w:bookmarkStart w:id="1115" w:name="_Toc492478761"/>
      <w:bookmarkStart w:id="1116" w:name="_Toc23677"/>
      <w:bookmarkStart w:id="1117" w:name="_Toc383891211"/>
      <w:bookmarkStart w:id="1118" w:name="_Toc21294"/>
      <w:bookmarkStart w:id="1119" w:name="_Toc25750631"/>
      <w:r>
        <w:rPr>
          <w:rFonts w:hint="eastAsia" w:ascii="宋体" w:hAnsi="宋体" w:eastAsia="宋体" w:cs="宋体"/>
          <w:color w:val="auto"/>
          <w:highlight w:val="none"/>
        </w:rPr>
        <w:t>36.1 在签订合同前，中选人应按比选申请须知前附表中所示履约担保形式、金额及提交时间向比选人提交履约担保。（如为银行保函形式应按比选文件中提供的银行保函格式开具）</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36.2 如果中选人没有按照上述第35或36.1条以及本比选文件中有关章节中规定执行，比选人将有充分理由取消该中选决定。在此情况下，比选人可将合同授予排名第二的比选申请人，或重新比选。</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36.3 履约担保应从生效之日起至全部</w:t>
      </w:r>
      <w:r>
        <w:rPr>
          <w:rFonts w:hint="eastAsia" w:ascii="宋体" w:hAnsi="宋体" w:eastAsia="宋体" w:cs="宋体"/>
          <w:color w:val="auto"/>
          <w:highlight w:val="none"/>
          <w:lang w:val="en-US" w:eastAsia="zh-CN"/>
        </w:rPr>
        <w:t>维保服务内容</w:t>
      </w:r>
      <w:r>
        <w:rPr>
          <w:rFonts w:hint="eastAsia" w:ascii="宋体" w:hAnsi="宋体" w:eastAsia="宋体" w:cs="宋体"/>
          <w:color w:val="auto"/>
          <w:highlight w:val="none"/>
        </w:rPr>
        <w:t>验收合格之日有效（最终验收证书签署之日后四十五（45）天一直有效）。如本项目实际全部</w:t>
      </w:r>
      <w:r>
        <w:rPr>
          <w:rFonts w:hint="eastAsia" w:ascii="宋体" w:hAnsi="宋体" w:eastAsia="宋体" w:cs="宋体"/>
          <w:color w:val="auto"/>
          <w:highlight w:val="none"/>
          <w:lang w:val="en-US" w:eastAsia="zh-CN"/>
        </w:rPr>
        <w:t>维保服务内容</w:t>
      </w:r>
      <w:r>
        <w:rPr>
          <w:rFonts w:hint="eastAsia" w:ascii="宋体" w:hAnsi="宋体" w:eastAsia="宋体" w:cs="宋体"/>
          <w:color w:val="auto"/>
          <w:highlight w:val="none"/>
        </w:rPr>
        <w:t>验收合格日期超出该履约担保写明的日期，则中选人应相应延长履约担保的日期，当出现逾期验收而未及时办理保函续费手续时（如为保函形式），比选人有权暂停剩余费用的支付。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36.4 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36.5 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36.6 以履约保证金形式提交履约担保的，中选人应通过银行电汇或转账的形式，从基本账户中递交至比选人指定账户。</w:t>
      </w:r>
    </w:p>
    <w:p>
      <w:pPr>
        <w:pStyle w:val="6"/>
        <w:numPr>
          <w:ilvl w:val="255"/>
          <w:numId w:val="0"/>
        </w:numPr>
        <w:spacing w:before="0" w:after="0" w:afterAutospacing="0"/>
        <w:ind w:left="1129" w:leftChars="20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37.其他</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37.1 知识产权和专利权</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37.1.1 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37.1.2 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37.2 保密</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37.2.1 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37.2.2 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37.3 比选申请人知悉</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37.3.1 比选申请人将被视为已合理地充分了解了对所有影响本项目的事项，包括任何与项目和项目时间表有关的特殊困难。</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37.3.2 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37.4 分包：本项目不允许分包、禁止转包。</w:t>
      </w:r>
    </w:p>
    <w:p>
      <w:pPr>
        <w:tabs>
          <w:tab w:val="left" w:pos="425"/>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37.5 需要补充的其他内容：详见比选申请须知前附表</w:t>
      </w:r>
    </w:p>
    <w:p>
      <w:pPr>
        <w:ind w:left="0" w:leftChars="0" w:right="-57" w:firstLine="0" w:firstLineChars="0"/>
        <w:rPr>
          <w:rFonts w:ascii="宋体" w:hAnsi="宋体"/>
          <w:color w:val="auto"/>
          <w:highlight w:val="none"/>
        </w:rPr>
      </w:pPr>
    </w:p>
    <w:p>
      <w:pPr>
        <w:pStyle w:val="16"/>
        <w:pageBreakBefore/>
        <w:ind w:right="-57" w:firstLine="0"/>
        <w:jc w:val="center"/>
        <w:outlineLvl w:val="0"/>
        <w:rPr>
          <w:rStyle w:val="46"/>
          <w:rFonts w:ascii="宋体" w:hAnsi="宋体" w:eastAsia="宋体"/>
          <w:color w:val="auto"/>
          <w:highlight w:val="none"/>
        </w:rPr>
      </w:pPr>
      <w:bookmarkStart w:id="1120" w:name="_Toc31884"/>
      <w:bookmarkStart w:id="1121" w:name="_Toc7547"/>
      <w:bookmarkStart w:id="1122" w:name="_Toc1179"/>
      <w:bookmarkStart w:id="1123" w:name="_Toc1718"/>
      <w:bookmarkStart w:id="1124" w:name="_Toc21919"/>
      <w:bookmarkStart w:id="1125" w:name="_Toc28464"/>
      <w:bookmarkStart w:id="1126" w:name="_Toc6010"/>
      <w:bookmarkStart w:id="1127" w:name="_Toc7558"/>
      <w:bookmarkStart w:id="1128" w:name="_Toc26569"/>
      <w:bookmarkStart w:id="1129" w:name="_Toc23292"/>
      <w:bookmarkStart w:id="1130" w:name="_Toc9458"/>
      <w:bookmarkStart w:id="1131" w:name="_Toc14991"/>
      <w:bookmarkStart w:id="1132" w:name="_Toc2112"/>
      <w:bookmarkStart w:id="1133" w:name="_Toc9725"/>
      <w:bookmarkStart w:id="1134" w:name="_Toc4003"/>
      <w:bookmarkStart w:id="1135" w:name="_Toc11424"/>
      <w:bookmarkStart w:id="1136" w:name="_Toc13323"/>
      <w:bookmarkStart w:id="1137" w:name="_Toc22446"/>
      <w:bookmarkStart w:id="1138" w:name="_Toc9991"/>
      <w:bookmarkStart w:id="1139" w:name="_Toc25920"/>
      <w:bookmarkStart w:id="1140" w:name="_Toc1413"/>
      <w:bookmarkStart w:id="1141" w:name="_Toc12281"/>
      <w:bookmarkStart w:id="1142" w:name="_Toc17265"/>
      <w:bookmarkStart w:id="1143" w:name="_Toc15740"/>
      <w:bookmarkStart w:id="1144" w:name="_Toc16340"/>
      <w:bookmarkStart w:id="1145" w:name="_Toc17022"/>
      <w:r>
        <w:rPr>
          <w:rStyle w:val="46"/>
          <w:rFonts w:hint="eastAsia" w:ascii="宋体" w:hAnsi="宋体" w:eastAsia="宋体"/>
          <w:color w:val="auto"/>
          <w:highlight w:val="none"/>
        </w:rPr>
        <w:t>第三章合同条款及格式</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spacing w:before="0"/>
        <w:ind w:right="0" w:firstLine="200"/>
        <w:jc w:val="center"/>
        <w:outlineLvl w:val="1"/>
        <w:rPr>
          <w:rFonts w:ascii="宋体" w:hAnsi="宋体"/>
          <w:b/>
          <w:color w:val="auto"/>
          <w:sz w:val="24"/>
          <w:szCs w:val="24"/>
          <w:highlight w:val="none"/>
        </w:rPr>
      </w:pPr>
      <w:bookmarkStart w:id="1146" w:name="_Toc6950"/>
      <w:bookmarkStart w:id="1147" w:name="_Toc20060"/>
      <w:bookmarkStart w:id="1148" w:name="_Toc12983547"/>
      <w:bookmarkStart w:id="1149" w:name="_Toc32403"/>
      <w:bookmarkStart w:id="1150" w:name="_Toc25828"/>
      <w:bookmarkStart w:id="1151" w:name="_Toc4026"/>
      <w:bookmarkStart w:id="1152" w:name="_Toc8999"/>
      <w:bookmarkStart w:id="1153" w:name="_Toc9038"/>
      <w:bookmarkStart w:id="1154" w:name="_Toc3488"/>
      <w:bookmarkStart w:id="1155" w:name="_Toc15167"/>
      <w:bookmarkStart w:id="1156" w:name="_Toc23440"/>
      <w:bookmarkStart w:id="1157" w:name="_Toc1289"/>
      <w:bookmarkStart w:id="1158" w:name="_Toc6488"/>
      <w:bookmarkStart w:id="1159" w:name="_Toc7236"/>
      <w:bookmarkStart w:id="1160" w:name="_Toc7587"/>
      <w:bookmarkStart w:id="1161" w:name="_Toc13761"/>
      <w:bookmarkStart w:id="1162" w:name="_Toc14463"/>
      <w:bookmarkStart w:id="1163" w:name="_Toc31368"/>
      <w:bookmarkStart w:id="1164" w:name="_Toc6190"/>
      <w:bookmarkStart w:id="1165" w:name="_Toc15840"/>
      <w:bookmarkStart w:id="1166" w:name="_Toc29797"/>
      <w:bookmarkStart w:id="1167" w:name="_Toc12801"/>
      <w:bookmarkStart w:id="1168" w:name="_Toc26130"/>
      <w:bookmarkStart w:id="1169" w:name="_Toc2618"/>
      <w:bookmarkStart w:id="1170" w:name="_Toc16805"/>
      <w:r>
        <w:rPr>
          <w:rFonts w:hint="eastAsia" w:ascii="宋体" w:hAnsi="宋体"/>
          <w:b/>
          <w:color w:val="auto"/>
          <w:sz w:val="24"/>
          <w:szCs w:val="24"/>
          <w:highlight w:val="none"/>
        </w:rPr>
        <w:t>一、合同协议书</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spacing w:before="0" w:after="0" w:afterAutospacing="0"/>
        <w:ind w:left="0" w:right="0" w:firstLine="420" w:firstLineChars="200"/>
        <w:jc w:val="left"/>
        <w:rPr>
          <w:rFonts w:hint="eastAsia" w:ascii="宋体" w:hAnsi="宋体" w:eastAsia="宋体" w:cs="宋体"/>
          <w:color w:val="auto"/>
          <w:highlight w:val="none"/>
          <w:u w:val="single"/>
        </w:rPr>
      </w:pPr>
      <w:r>
        <w:rPr>
          <w:rFonts w:hint="eastAsia" w:ascii="宋体" w:hAnsi="宋体" w:eastAsia="宋体" w:cs="宋体"/>
          <w:color w:val="auto"/>
          <w:highlight w:val="none"/>
        </w:rPr>
        <w:t>甲方（全称）：南宁轨道交通运营有限公司</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乙方（全称）：</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本协议由南宁轨道交通运营有限公司（下称“甲方”或业主）与</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（下称“乙方”），双方根据</w:t>
      </w:r>
      <w:r>
        <w:rPr>
          <w:rFonts w:hint="eastAsia" w:ascii="宋体" w:hAnsi="宋体" w:eastAsia="宋体" w:cs="宋体"/>
          <w:color w:val="auto"/>
          <w:highlight w:val="none"/>
          <w:lang w:eastAsia="zh-CN"/>
        </w:rPr>
        <w:t>南宁轨道交通1-5号线办公网交换机设备委外维保维修服务采购项目（2023年-2024年）</w:t>
      </w:r>
      <w:r>
        <w:rPr>
          <w:rFonts w:hint="eastAsia" w:ascii="宋体" w:hAnsi="宋体" w:eastAsia="宋体" w:cs="宋体"/>
          <w:color w:val="auto"/>
          <w:highlight w:val="none"/>
        </w:rPr>
        <w:t>（项目编号：202311030002）比选结果，依据《中华人民共和国民法典》的规定，签订协议。具体内容如下：</w:t>
      </w:r>
    </w:p>
    <w:p>
      <w:pPr>
        <w:tabs>
          <w:tab w:val="left" w:pos="1134"/>
          <w:tab w:val="left" w:pos="1680"/>
        </w:tabs>
        <w:spacing w:before="0" w:after="0" w:afterAutospacing="0"/>
        <w:ind w:left="0" w:right="0" w:firstLine="422"/>
        <w:rPr>
          <w:rFonts w:hint="eastAsia" w:ascii="宋体" w:hAnsi="宋体" w:eastAsia="宋体" w:cs="宋体"/>
          <w:b/>
          <w:color w:val="auto"/>
          <w:highlight w:val="none"/>
        </w:rPr>
      </w:pPr>
      <w:r>
        <w:rPr>
          <w:rFonts w:hint="eastAsia" w:ascii="宋体" w:hAnsi="宋体" w:eastAsia="宋体" w:cs="宋体"/>
          <w:b/>
          <w:color w:val="auto"/>
          <w:highlight w:val="none"/>
        </w:rPr>
        <w:t>1、项目概况</w:t>
      </w:r>
    </w:p>
    <w:p>
      <w:pPr>
        <w:tabs>
          <w:tab w:val="left" w:pos="1134"/>
          <w:tab w:val="left" w:pos="1680"/>
        </w:tabs>
        <w:spacing w:before="0" w:after="0" w:afterAutospacing="0"/>
        <w:ind w:left="0" w:right="0"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1.1 项目名称：</w:t>
      </w:r>
      <w:r>
        <w:rPr>
          <w:rFonts w:hint="eastAsia" w:ascii="宋体" w:hAnsi="宋体" w:eastAsia="宋体" w:cs="宋体"/>
          <w:color w:val="auto"/>
          <w:highlight w:val="none"/>
          <w:lang w:eastAsia="zh-CN"/>
        </w:rPr>
        <w:t>南宁轨道交通1-5号线办公网交换机设备委外维保维修服务采购项目（2023年-2024年）</w:t>
      </w:r>
    </w:p>
    <w:p>
      <w:pPr>
        <w:tabs>
          <w:tab w:val="left" w:pos="1134"/>
          <w:tab w:val="left" w:pos="1680"/>
        </w:tabs>
        <w:spacing w:before="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highlight w:val="none"/>
        </w:rPr>
        <w:t>1.2项目实施地点：</w:t>
      </w:r>
      <w:r>
        <w:rPr>
          <w:rFonts w:ascii="宋体" w:hAnsi="宋体"/>
          <w:color w:val="auto"/>
        </w:rPr>
        <w:t>南宁轨道交通控制中心、屯里车辆段、西乡塘停车场、安吉车辆段</w:t>
      </w:r>
      <w:r>
        <w:rPr>
          <w:rFonts w:hint="eastAsia" w:ascii="宋体" w:hAnsi="宋体"/>
          <w:color w:val="auto"/>
        </w:rPr>
        <w:t>、</w:t>
      </w:r>
      <w:r>
        <w:rPr>
          <w:rFonts w:ascii="宋体" w:hAnsi="宋体"/>
          <w:color w:val="auto"/>
        </w:rPr>
        <w:t>心圩车辆段、新村停车场、五象车辆段、那洪车辆段及</w:t>
      </w:r>
      <w:r>
        <w:rPr>
          <w:rFonts w:hint="eastAsia" w:ascii="宋体" w:hAnsi="宋体"/>
          <w:color w:val="auto"/>
        </w:rPr>
        <w:t>1-5号线沿线各站点。</w:t>
      </w:r>
    </w:p>
    <w:p>
      <w:pPr>
        <w:tabs>
          <w:tab w:val="left" w:pos="1134"/>
          <w:tab w:val="left" w:pos="1680"/>
        </w:tabs>
        <w:spacing w:before="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highlight w:val="none"/>
        </w:rPr>
        <w:t>1.3项目范围：</w:t>
      </w:r>
      <w:r>
        <w:rPr>
          <w:rFonts w:hint="eastAsia" w:ascii="宋体" w:hAnsi="宋体"/>
          <w:color w:val="auto"/>
        </w:rPr>
        <w:t>本次项目维保维修的1-5号线办公网交换机设备为509台，分布于轨道大厦控制中心的数据中心机房、商用机房及控制中心大楼各楼层配线间，1号线沿线25个车站、屯里车辆段和西乡塘停车场OA机房及各楼层配线间，2号线沿线23个车站、安吉综合基地通信机房及各楼层配线间，3号线沿线23个车站、心圩车辆段和新村停车场通信机房及各楼层配线间，4号线沿线16个车站、五象车辆段通信机房及各楼层配线间，5号线沿线17个车站、那洪车辆段通信机房及各楼层配线间。服务的项目是为上述这些交换机设备提供维保维修服务，服务内容包括备件供应、</w:t>
      </w:r>
      <w:r>
        <w:rPr>
          <w:rFonts w:hint="eastAsia" w:ascii="宋体" w:hAnsi="宋体"/>
          <w:color w:val="auto"/>
          <w:kern w:val="2"/>
        </w:rPr>
        <w:t>设备故障件维修、现场技术支持、交换机版本软件服务、预防性设备巡检、</w:t>
      </w:r>
      <w:r>
        <w:rPr>
          <w:rFonts w:hAnsi="宋体"/>
          <w:color w:val="auto"/>
        </w:rPr>
        <w:t>重要节点工作保障</w:t>
      </w:r>
      <w:r>
        <w:rPr>
          <w:rFonts w:hint="eastAsia" w:ascii="宋体" w:hAnsi="宋体"/>
          <w:color w:val="auto"/>
          <w:kern w:val="2"/>
        </w:rPr>
        <w:t>、</w:t>
      </w:r>
      <w:r>
        <w:rPr>
          <w:rFonts w:hint="eastAsia" w:hAnsi="宋体"/>
          <w:color w:val="auto"/>
        </w:rPr>
        <w:t>安全加固、</w:t>
      </w:r>
      <w:r>
        <w:rPr>
          <w:rFonts w:hint="eastAsia" w:cs="宋体"/>
          <w:color w:val="auto"/>
        </w:rPr>
        <w:t>技能培训</w:t>
      </w:r>
      <w:r>
        <w:rPr>
          <w:rFonts w:hint="eastAsia" w:ascii="宋体" w:hAnsi="宋体"/>
          <w:color w:val="auto"/>
          <w:kern w:val="2"/>
        </w:rPr>
        <w:t>等</w:t>
      </w:r>
      <w:r>
        <w:rPr>
          <w:rFonts w:hint="eastAsia" w:ascii="宋体" w:hAnsi="宋体"/>
          <w:color w:val="auto"/>
          <w:szCs w:val="24"/>
        </w:rPr>
        <w:t>服务</w:t>
      </w:r>
      <w:r>
        <w:rPr>
          <w:rFonts w:hint="eastAsia" w:ascii="宋体" w:hAnsi="宋体" w:eastAsia="宋体"/>
          <w:color w:val="auto"/>
          <w:szCs w:val="21"/>
          <w:highlight w:val="none"/>
        </w:rPr>
        <w:t>。</w:t>
      </w:r>
      <w:r>
        <w:rPr>
          <w:rFonts w:hint="eastAsia" w:ascii="宋体" w:hAnsi="宋体" w:eastAsia="宋体"/>
          <w:color w:val="auto"/>
          <w:highlight w:val="none"/>
        </w:rPr>
        <w:t>具体详见用户需求书。</w:t>
      </w:r>
    </w:p>
    <w:p>
      <w:pPr>
        <w:tabs>
          <w:tab w:val="left" w:pos="1134"/>
          <w:tab w:val="left" w:pos="1680"/>
        </w:tabs>
        <w:spacing w:before="0" w:after="0" w:afterAutospacing="0"/>
        <w:ind w:left="0" w:right="0" w:firstLine="422"/>
        <w:rPr>
          <w:rFonts w:hint="eastAsia" w:ascii="宋体" w:hAnsi="宋体" w:eastAsia="宋体" w:cs="宋体"/>
          <w:b/>
          <w:color w:val="auto"/>
          <w:highlight w:val="none"/>
        </w:rPr>
      </w:pPr>
      <w:r>
        <w:rPr>
          <w:rFonts w:hint="eastAsia" w:ascii="宋体" w:hAnsi="宋体" w:eastAsia="宋体" w:cs="宋体"/>
          <w:b/>
          <w:color w:val="auto"/>
          <w:highlight w:val="none"/>
        </w:rPr>
        <w:t>2、合同标的</w:t>
      </w:r>
    </w:p>
    <w:p>
      <w:pPr>
        <w:tabs>
          <w:tab w:val="left" w:pos="567"/>
        </w:tabs>
        <w:spacing w:before="0" w:after="0" w:afterAutospacing="0"/>
        <w:ind w:left="0" w:right="0" w:firstLine="420" w:firstLineChars="200"/>
        <w:rPr>
          <w:rFonts w:hint="eastAsia" w:ascii="宋体" w:hAnsi="宋体" w:eastAsia="宋体" w:cs="宋体"/>
          <w:color w:val="auto"/>
          <w:kern w:val="2"/>
          <w:highlight w:val="none"/>
        </w:rPr>
      </w:pPr>
      <w:r>
        <w:rPr>
          <w:rFonts w:hint="eastAsia" w:ascii="宋体" w:hAnsi="宋体" w:eastAsia="宋体" w:cs="宋体"/>
          <w:color w:val="auto"/>
          <w:highlight w:val="none"/>
        </w:rPr>
        <w:t>甲方同意接受，乙方同意作为中选方并以下列第3条所述价格提供</w:t>
      </w:r>
      <w:r>
        <w:rPr>
          <w:rFonts w:hint="eastAsia" w:ascii="宋体" w:hAnsi="宋体" w:eastAsia="宋体" w:cs="宋体"/>
          <w:color w:val="auto"/>
          <w:highlight w:val="none"/>
          <w:lang w:eastAsia="zh-CN"/>
        </w:rPr>
        <w:t>南宁轨道交通1-5号线办公网交换机设备委外维保维修服务采购项目（2023年-2024年）</w:t>
      </w:r>
      <w:r>
        <w:rPr>
          <w:rFonts w:hint="eastAsia" w:ascii="宋体" w:hAnsi="宋体" w:eastAsia="宋体" w:cs="宋体"/>
          <w:color w:val="auto"/>
          <w:highlight w:val="none"/>
        </w:rPr>
        <w:t>项下的合同标的。</w:t>
      </w:r>
      <w:r>
        <w:rPr>
          <w:rFonts w:hint="eastAsia" w:ascii="宋体" w:hAnsi="宋体" w:eastAsia="宋体" w:cs="宋体"/>
          <w:color w:val="auto"/>
          <w:kern w:val="2"/>
          <w:highlight w:val="none"/>
        </w:rPr>
        <w:t>本次合同的标的为</w:t>
      </w:r>
      <w:r>
        <w:rPr>
          <w:rFonts w:hint="eastAsia" w:ascii="宋体" w:hAnsi="宋体" w:cs="宋体"/>
          <w:color w:val="auto"/>
          <w:kern w:val="2"/>
          <w:highlight w:val="none"/>
        </w:rPr>
        <w:t>轨道大厦控制中心的数据中心机房、商用机房及控制中心大楼各楼层配线间，1号线沿线25个车站、屯里车辆段和西乡塘停车场OA机房及各楼层配线间，2号线沿线23个车站、安吉综合基地通信机房及各楼层配线间，3号线沿线23个车站、心圩车辆段和新村停车场通信机房及各楼层配线间，4号线沿线16个车站、五象车辆段通信机房及各楼层配线间，5号线沿线17个车站、那洪车辆段通信机房及各楼层配线间。服务的项目是为上述这些交换机设备提供维保维修服务，服务内容包括备件供应、设备故障件维修、现场技术支持、交换机版本软件服务、预防性设备巡检、重要节点工作保障、安全加固、技能培训等服务。</w:t>
      </w:r>
      <w:r>
        <w:rPr>
          <w:rFonts w:hint="eastAsia" w:ascii="宋体" w:hAnsi="宋体" w:eastAsia="宋体" w:cs="宋体"/>
          <w:color w:val="auto"/>
          <w:kern w:val="2"/>
          <w:highlight w:val="none"/>
        </w:rPr>
        <w:t>具体详见</w:t>
      </w:r>
      <w:r>
        <w:rPr>
          <w:rFonts w:hint="eastAsia" w:ascii="宋体" w:hAnsi="宋体" w:eastAsia="宋体" w:cs="宋体"/>
          <w:color w:val="auto"/>
          <w:kern w:val="2"/>
          <w:highlight w:val="none"/>
          <w:lang w:val="en-US" w:eastAsia="zh-CN"/>
        </w:rPr>
        <w:t>技术规格书</w:t>
      </w:r>
      <w:r>
        <w:rPr>
          <w:rFonts w:hint="eastAsia" w:ascii="宋体" w:hAnsi="宋体" w:eastAsia="宋体" w:cs="宋体"/>
          <w:color w:val="auto"/>
          <w:kern w:val="2"/>
          <w:highlight w:val="none"/>
        </w:rPr>
        <w:t>。</w:t>
      </w:r>
    </w:p>
    <w:p>
      <w:pPr>
        <w:tabs>
          <w:tab w:val="left" w:pos="567"/>
        </w:tabs>
        <w:spacing w:before="0" w:after="0" w:afterAutospacing="0"/>
        <w:ind w:left="0" w:right="0"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3、合同价格</w:t>
      </w:r>
    </w:p>
    <w:p>
      <w:pPr>
        <w:tabs>
          <w:tab w:val="left" w:pos="960"/>
          <w:tab w:val="left" w:pos="1418"/>
          <w:tab w:val="left" w:pos="8364"/>
        </w:tabs>
        <w:spacing w:before="0" w:after="0" w:afterAutospacing="0"/>
        <w:ind w:left="105" w:leftChars="5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本项目合同价格：不含税价：人民币</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；税费：人民币</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；含税总价：人民币</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w:t>
      </w:r>
      <w:r>
        <w:rPr>
          <w:rFonts w:hint="eastAsia" w:ascii="宋体" w:hAnsi="宋体" w:cs="宋体"/>
          <w:color w:val="auto"/>
          <w:highlight w:val="none"/>
          <w:lang w:val="en-US" w:eastAsia="zh-CN"/>
        </w:rPr>
        <w:t>其中备品备件税率：</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rPr>
        <w:t>；</w:t>
      </w:r>
      <w:r>
        <w:rPr>
          <w:rFonts w:hint="eastAsia" w:ascii="宋体" w:hAnsi="宋体" w:cs="宋体"/>
          <w:color w:val="auto"/>
          <w:highlight w:val="none"/>
          <w:lang w:val="en-US" w:eastAsia="zh-CN"/>
        </w:rPr>
        <w:t>设备故障件维修税率：</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rPr>
        <w:t>；</w:t>
      </w:r>
      <w:r>
        <w:rPr>
          <w:rFonts w:hint="eastAsia" w:ascii="宋体" w:hAnsi="宋体" w:cs="宋体"/>
          <w:color w:val="auto"/>
          <w:highlight w:val="none"/>
          <w:lang w:val="en-US" w:eastAsia="zh-CN"/>
        </w:rPr>
        <w:t>技术服务税率：</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lang w:eastAsia="zh-CN"/>
        </w:rPr>
        <w:t>。</w:t>
      </w:r>
      <w:r>
        <w:rPr>
          <w:rFonts w:hint="eastAsia" w:ascii="宋体" w:hAnsi="宋体" w:eastAsia="宋体" w:cs="宋体"/>
          <w:color w:val="auto"/>
          <w:highlight w:val="none"/>
        </w:rPr>
        <w:t>本合同价格为暂定价，</w:t>
      </w:r>
      <w:r>
        <w:rPr>
          <w:rFonts w:hint="eastAsia" w:ascii="宋体" w:hAnsi="宋体" w:eastAsia="宋体" w:cs="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2" w:firstLineChars="200"/>
        <w:rPr>
          <w:rFonts w:hint="eastAsia" w:ascii="宋体" w:hAnsi="宋体" w:eastAsia="宋体" w:cs="宋体"/>
          <w:color w:val="auto"/>
          <w:highlight w:val="none"/>
        </w:rPr>
      </w:pPr>
      <w:r>
        <w:rPr>
          <w:rFonts w:hint="eastAsia" w:ascii="宋体" w:hAnsi="宋体" w:eastAsia="宋体" w:cs="宋体"/>
          <w:b/>
          <w:color w:val="auto"/>
          <w:highlight w:val="none"/>
        </w:rPr>
        <w:t>4.本合同由下列文件构成</w:t>
      </w:r>
      <w:r>
        <w:rPr>
          <w:rFonts w:hint="eastAsia" w:ascii="宋体" w:hAnsi="宋体" w:eastAsia="宋体" w:cs="宋体"/>
          <w:color w:val="auto"/>
          <w:highlight w:val="none"/>
        </w:rPr>
        <w:t>：</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（1）本合同协议书（含合同谈判过程中的澄清文件和补充资料）；</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（2）中选通知书；</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（3）合同条款；</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（4）价格组成文件；</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（5）技术规格书；</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（6）合同附件；</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（7）比选文件（含比选补充文件）；</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（8）比选申请文件（含比选申请文件的补充文件）。</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 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 乙方向甲方承诺严格履行合同条款义务，按合同约定承担本合同责任。</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 双方依据本次比选文件中的用户需求书，通过合同澄清最终形成技术规格书，并经双方正式签署后构成本合同的有效组成部分。在本合同执行中以技术规格书为准。</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 甲方向乙方承诺按合同条款约定的条件、时间和方式支付合同价款。</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 甲方、乙方承诺按照合同条款约定的违约责任和解决争议方式履行合同。</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 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10.本合同用中文书写，正本</w:t>
      </w:r>
      <w:r>
        <w:rPr>
          <w:rFonts w:hint="eastAsia" w:ascii="宋体" w:hAnsi="宋体" w:eastAsia="宋体" w:cs="宋体"/>
          <w:color w:val="auto"/>
          <w:highlight w:val="none"/>
          <w:u w:val="single"/>
        </w:rPr>
        <w:t>2</w:t>
      </w:r>
      <w:r>
        <w:rPr>
          <w:rFonts w:hint="eastAsia" w:ascii="宋体" w:hAnsi="宋体" w:eastAsia="宋体" w:cs="宋体"/>
          <w:color w:val="auto"/>
          <w:highlight w:val="none"/>
        </w:rPr>
        <w:t>份，甲乙方各</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份；副本</w:t>
      </w:r>
      <w:r>
        <w:rPr>
          <w:rFonts w:hint="eastAsia" w:ascii="宋体" w:hAnsi="宋体" w:eastAsia="宋体" w:cs="宋体"/>
          <w:color w:val="auto"/>
          <w:highlight w:val="none"/>
          <w:u w:val="single"/>
          <w:lang w:val="en-US" w:eastAsia="zh-CN"/>
        </w:rPr>
        <w:t>6</w:t>
      </w:r>
      <w:r>
        <w:rPr>
          <w:rFonts w:hint="eastAsia" w:ascii="宋体" w:hAnsi="宋体" w:eastAsia="宋体" w:cs="宋体"/>
          <w:color w:val="auto"/>
          <w:highlight w:val="none"/>
        </w:rPr>
        <w:t xml:space="preserve">份，甲方持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5</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份，乙方持</w:t>
      </w:r>
      <w:r>
        <w:rPr>
          <w:rFonts w:hint="eastAsia" w:ascii="宋体" w:hAnsi="宋体" w:eastAsia="宋体" w:cs="宋体"/>
          <w:color w:val="auto"/>
          <w:highlight w:val="none"/>
          <w:u w:val="single"/>
          <w:lang w:val="en-US" w:eastAsia="zh-CN"/>
        </w:rPr>
        <w:t>1</w:t>
      </w:r>
      <w:r>
        <w:rPr>
          <w:rFonts w:hint="eastAsia" w:ascii="宋体" w:hAnsi="宋体" w:eastAsia="宋体" w:cs="宋体"/>
          <w:color w:val="auto"/>
          <w:highlight w:val="none"/>
        </w:rPr>
        <w:t>份。</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11.本合同协议书经双方法定代表人或授权代表在合同协议书上签字并加盖单位公章</w:t>
      </w:r>
      <w:r>
        <w:rPr>
          <w:rFonts w:hint="eastAsia" w:ascii="宋体" w:hAnsi="宋体" w:eastAsia="宋体" w:cs="宋体"/>
          <w:color w:val="auto"/>
          <w:highlight w:val="none"/>
          <w:lang w:val="en-US" w:eastAsia="zh-CN"/>
        </w:rPr>
        <w:t>或合同章</w:t>
      </w:r>
      <w:r>
        <w:rPr>
          <w:rFonts w:hint="eastAsia" w:ascii="宋体" w:hAnsi="宋体" w:eastAsia="宋体" w:cs="宋体"/>
          <w:color w:val="auto"/>
          <w:highlight w:val="none"/>
        </w:rPr>
        <w:t>后生效。</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 合同未尽事宜，双方另行签订补充协议。</w:t>
      </w:r>
    </w:p>
    <w:tbl>
      <w:tblPr>
        <w:tblStyle w:val="33"/>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6"/>
              <w:keepNext w:val="0"/>
              <w:keepLines w:val="0"/>
              <w:widowControl/>
              <w:suppressLineNumbers w:val="0"/>
              <w:spacing w:before="0" w:beforeAutospacing="0" w:after="0"/>
              <w:ind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w:t>
            </w:r>
            <w:r>
              <w:rPr>
                <w:rFonts w:hint="eastAsia" w:ascii="宋体" w:hAnsi="宋体" w:eastAsia="宋体" w:cs="宋体"/>
                <w:color w:val="auto"/>
                <w:sz w:val="21"/>
                <w:szCs w:val="21"/>
                <w:highlight w:val="none"/>
                <w:u w:val="single"/>
              </w:rPr>
              <w:t>南宁轨道交通运营有限公司</w:t>
            </w:r>
          </w:p>
          <w:p>
            <w:pPr>
              <w:pStyle w:val="16"/>
              <w:keepNext w:val="0"/>
              <w:keepLines w:val="0"/>
              <w:widowControl/>
              <w:suppressLineNumbers w:val="0"/>
              <w:spacing w:before="0" w:beforeAutospacing="0" w:after="0"/>
              <w:ind w:righ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法定代表人或授权人：</w:t>
            </w:r>
          </w:p>
          <w:p>
            <w:pPr>
              <w:pStyle w:val="16"/>
              <w:keepNext w:val="0"/>
              <w:keepLines w:val="0"/>
              <w:widowControl/>
              <w:suppressLineNumbers w:val="0"/>
              <w:spacing w:before="0" w:beforeAutospacing="0" w:after="0"/>
              <w:ind w:righ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广西南宁市青秀区云景路83号</w:t>
            </w:r>
          </w:p>
          <w:p>
            <w:pPr>
              <w:pStyle w:val="16"/>
              <w:keepNext w:val="0"/>
              <w:keepLines w:val="0"/>
              <w:widowControl/>
              <w:suppressLineNumbers w:val="0"/>
              <w:spacing w:before="0" w:beforeAutospacing="0" w:after="0"/>
              <w:ind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p>
            <w:pPr>
              <w:pStyle w:val="16"/>
              <w:keepNext w:val="0"/>
              <w:keepLines w:val="0"/>
              <w:widowControl/>
              <w:suppressLineNumbers w:val="0"/>
              <w:spacing w:before="0" w:beforeAutospacing="0" w:after="0"/>
              <w:ind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p>
          <w:p>
            <w:pPr>
              <w:pStyle w:val="16"/>
              <w:keepNext w:val="0"/>
              <w:keepLines w:val="0"/>
              <w:widowControl/>
              <w:suppressLineNumbers w:val="0"/>
              <w:spacing w:before="0" w:beforeAutospacing="0" w:after="0"/>
              <w:ind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p>
            <w:pPr>
              <w:pStyle w:val="16"/>
              <w:keepNext w:val="0"/>
              <w:keepLines w:val="0"/>
              <w:widowControl/>
              <w:suppressLineNumbers w:val="0"/>
              <w:spacing w:before="0" w:beforeAutospacing="0" w:after="0"/>
              <w:ind w:righ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传真：</w:t>
            </w:r>
          </w:p>
          <w:p>
            <w:pPr>
              <w:pStyle w:val="16"/>
              <w:keepNext w:val="0"/>
              <w:keepLines w:val="0"/>
              <w:widowControl/>
              <w:suppressLineNumbers w:val="0"/>
              <w:spacing w:before="0" w:beforeAutospacing="0" w:after="0"/>
              <w:ind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p>
          <w:p>
            <w:pPr>
              <w:pStyle w:val="16"/>
              <w:keepNext w:val="0"/>
              <w:keepLines w:val="0"/>
              <w:widowControl/>
              <w:suppressLineNumbers w:val="0"/>
              <w:spacing w:before="0" w:beforeAutospacing="0" w:after="0"/>
              <w:ind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纳税人识别号：</w:t>
            </w:r>
          </w:p>
        </w:tc>
        <w:tc>
          <w:tcPr>
            <w:tcW w:w="4261" w:type="dxa"/>
          </w:tcPr>
          <w:p>
            <w:pPr>
              <w:pStyle w:val="16"/>
              <w:keepNext w:val="0"/>
              <w:keepLines w:val="0"/>
              <w:widowControl/>
              <w:suppressLineNumbers w:val="0"/>
              <w:spacing w:before="0" w:beforeAutospacing="0" w:after="0"/>
              <w:ind w:right="0" w:firstLine="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乙方：</w:t>
            </w:r>
          </w:p>
          <w:p>
            <w:pPr>
              <w:pStyle w:val="16"/>
              <w:keepNext w:val="0"/>
              <w:keepLines w:val="0"/>
              <w:widowControl/>
              <w:suppressLineNumbers w:val="0"/>
              <w:spacing w:before="0" w:beforeAutospacing="0" w:after="0"/>
              <w:ind w:right="0" w:firstLine="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法定代表人或授权人：</w:t>
            </w:r>
          </w:p>
          <w:p>
            <w:pPr>
              <w:pStyle w:val="16"/>
              <w:keepNext w:val="0"/>
              <w:keepLines w:val="0"/>
              <w:widowControl/>
              <w:suppressLineNumbers w:val="0"/>
              <w:spacing w:before="0" w:beforeAutospacing="0" w:after="0"/>
              <w:ind w:right="0" w:firstLine="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p>
          <w:p>
            <w:pPr>
              <w:pStyle w:val="16"/>
              <w:keepNext w:val="0"/>
              <w:keepLines w:val="0"/>
              <w:widowControl/>
              <w:suppressLineNumbers w:val="0"/>
              <w:spacing w:before="0" w:beforeAutospacing="0" w:after="0"/>
              <w:ind w:right="0" w:firstLine="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p>
            <w:pPr>
              <w:pStyle w:val="16"/>
              <w:keepNext w:val="0"/>
              <w:keepLines w:val="0"/>
              <w:widowControl/>
              <w:suppressLineNumbers w:val="0"/>
              <w:spacing w:before="0" w:beforeAutospacing="0" w:after="0"/>
              <w:ind w:right="0" w:firstLine="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p>
          <w:p>
            <w:pPr>
              <w:pStyle w:val="16"/>
              <w:keepNext w:val="0"/>
              <w:keepLines w:val="0"/>
              <w:widowControl/>
              <w:suppressLineNumbers w:val="0"/>
              <w:spacing w:before="0" w:beforeAutospacing="0" w:after="0"/>
              <w:ind w:right="0" w:firstLine="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联系电话：</w:t>
            </w:r>
          </w:p>
          <w:p>
            <w:pPr>
              <w:pStyle w:val="16"/>
              <w:keepNext w:val="0"/>
              <w:keepLines w:val="0"/>
              <w:widowControl/>
              <w:suppressLineNumbers w:val="0"/>
              <w:spacing w:before="0" w:beforeAutospacing="0" w:after="0"/>
              <w:ind w:right="0" w:firstLine="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传真：</w:t>
            </w:r>
          </w:p>
          <w:p>
            <w:pPr>
              <w:pStyle w:val="16"/>
              <w:keepNext w:val="0"/>
              <w:keepLines w:val="0"/>
              <w:widowControl/>
              <w:suppressLineNumbers w:val="0"/>
              <w:spacing w:before="0" w:beforeAutospacing="0" w:after="0"/>
              <w:ind w:right="0" w:firstLine="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开户银行：</w:t>
            </w:r>
          </w:p>
          <w:p>
            <w:pPr>
              <w:pStyle w:val="16"/>
              <w:keepNext w:val="0"/>
              <w:keepLines w:val="0"/>
              <w:widowControl/>
              <w:suppressLineNumbers w:val="0"/>
              <w:spacing w:before="0" w:beforeAutospacing="0" w:after="0"/>
              <w:ind w:left="708" w:right="0" w:hanging="70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纳税人识别号：</w:t>
            </w:r>
          </w:p>
        </w:tc>
      </w:tr>
    </w:tbl>
    <w:p>
      <w:pPr>
        <w:spacing w:before="0" w:after="0"/>
        <w:ind w:left="699" w:leftChars="333" w:right="0" w:firstLine="930" w:firstLineChars="441"/>
        <w:rPr>
          <w:rFonts w:ascii="宋体" w:hAnsi="宋体"/>
          <w:b/>
          <w:color w:val="auto"/>
          <w:highlight w:val="none"/>
          <w:u w:val="single"/>
        </w:rPr>
      </w:pPr>
      <w:r>
        <w:rPr>
          <w:rFonts w:hint="eastAsia" w:ascii="宋体" w:hAnsi="宋体"/>
          <w:b/>
          <w:color w:val="auto"/>
          <w:highlight w:val="none"/>
        </w:rPr>
        <w:t>签订时间：     年   月   日</w:t>
      </w:r>
    </w:p>
    <w:p>
      <w:pPr>
        <w:spacing w:before="0"/>
        <w:ind w:left="0" w:right="0" w:firstLine="0"/>
        <w:jc w:val="left"/>
        <w:rPr>
          <w:rFonts w:hint="eastAsia" w:ascii="宋体" w:hAnsi="宋体"/>
          <w:b/>
          <w:color w:val="auto"/>
          <w:sz w:val="24"/>
          <w:szCs w:val="24"/>
          <w:highlight w:val="none"/>
        </w:rPr>
      </w:pPr>
      <w:bookmarkStart w:id="1171" w:name="_Toc7529"/>
      <w:bookmarkStart w:id="1172" w:name="_Toc24973"/>
      <w:bookmarkStart w:id="1173" w:name="_Toc258"/>
      <w:bookmarkStart w:id="1174" w:name="_Toc9438"/>
      <w:bookmarkStart w:id="1175" w:name="_Toc23998"/>
      <w:bookmarkStart w:id="1176" w:name="_Toc12155"/>
      <w:bookmarkStart w:id="1177" w:name="_Toc18460"/>
      <w:bookmarkStart w:id="1178" w:name="_Toc24098"/>
      <w:bookmarkStart w:id="1179" w:name="_Toc11253"/>
      <w:bookmarkStart w:id="1180" w:name="_Toc14469"/>
      <w:bookmarkStart w:id="1181" w:name="_Toc10761"/>
      <w:bookmarkStart w:id="1182" w:name="_Toc4133"/>
      <w:bookmarkStart w:id="1183" w:name="_Toc9188"/>
      <w:bookmarkStart w:id="1184" w:name="_Toc997"/>
      <w:bookmarkStart w:id="1185" w:name="_Toc7689"/>
      <w:bookmarkStart w:id="1186" w:name="_Toc10196"/>
      <w:bookmarkStart w:id="1187" w:name="_Toc25942"/>
      <w:bookmarkStart w:id="1188" w:name="_Toc29876"/>
      <w:bookmarkStart w:id="1189" w:name="_Toc16743"/>
      <w:r>
        <w:rPr>
          <w:rFonts w:hint="eastAsia" w:ascii="宋体" w:hAnsi="宋体"/>
          <w:b/>
          <w:color w:val="auto"/>
          <w:sz w:val="24"/>
          <w:szCs w:val="24"/>
          <w:highlight w:val="none"/>
        </w:rPr>
        <w:br w:type="page"/>
      </w:r>
    </w:p>
    <w:p>
      <w:pPr>
        <w:spacing w:before="0"/>
        <w:ind w:right="0" w:firstLine="200"/>
        <w:jc w:val="center"/>
        <w:outlineLvl w:val="1"/>
        <w:rPr>
          <w:rFonts w:hint="eastAsia" w:ascii="宋体" w:hAnsi="宋体"/>
          <w:b/>
          <w:color w:val="auto"/>
          <w:sz w:val="24"/>
          <w:szCs w:val="24"/>
          <w:highlight w:val="none"/>
        </w:rPr>
      </w:pPr>
      <w:r>
        <w:rPr>
          <w:rFonts w:hint="eastAsia" w:ascii="宋体" w:hAnsi="宋体"/>
          <w:b/>
          <w:color w:val="auto"/>
          <w:sz w:val="24"/>
          <w:szCs w:val="24"/>
          <w:highlight w:val="none"/>
          <w:lang w:val="en-US" w:eastAsia="zh-CN"/>
        </w:rPr>
        <w:t>二</w:t>
      </w:r>
      <w:r>
        <w:rPr>
          <w:rFonts w:hint="eastAsia" w:ascii="宋体" w:hAnsi="宋体"/>
          <w:b/>
          <w:color w:val="auto"/>
          <w:sz w:val="24"/>
          <w:szCs w:val="24"/>
          <w:highlight w:val="none"/>
        </w:rPr>
        <w:t>、</w:t>
      </w:r>
      <w:r>
        <w:rPr>
          <w:rFonts w:hint="eastAsia" w:ascii="宋体" w:hAnsi="宋体"/>
          <w:b/>
          <w:color w:val="auto"/>
          <w:sz w:val="24"/>
          <w:szCs w:val="24"/>
          <w:highlight w:val="none"/>
          <w:lang w:val="en-US" w:eastAsia="zh-CN"/>
        </w:rPr>
        <w:t>中选通知</w:t>
      </w:r>
      <w:r>
        <w:rPr>
          <w:rFonts w:hint="eastAsia" w:ascii="宋体" w:hAnsi="宋体"/>
          <w:b/>
          <w:color w:val="auto"/>
          <w:sz w:val="24"/>
          <w:szCs w:val="24"/>
          <w:highlight w:val="none"/>
        </w:rPr>
        <w:t>书</w:t>
      </w:r>
    </w:p>
    <w:p>
      <w:pPr>
        <w:spacing w:before="0"/>
        <w:ind w:right="0" w:firstLine="0"/>
        <w:jc w:val="left"/>
        <w:outlineLvl w:val="9"/>
        <w:rPr>
          <w:color w:val="auto"/>
        </w:rPr>
      </w:pPr>
      <w:r>
        <w:rPr>
          <w:rFonts w:hint="eastAsia" w:ascii="宋体" w:hAnsi="宋体"/>
          <w:b/>
          <w:color w:val="auto"/>
          <w:sz w:val="24"/>
          <w:szCs w:val="24"/>
          <w:highlight w:val="none"/>
        </w:rPr>
        <w:br w:type="page"/>
      </w:r>
    </w:p>
    <w:p>
      <w:pPr>
        <w:spacing w:before="0"/>
        <w:ind w:right="0" w:firstLine="200"/>
        <w:jc w:val="center"/>
        <w:outlineLvl w:val="1"/>
        <w:rPr>
          <w:rFonts w:ascii="宋体" w:hAnsi="宋体"/>
          <w:b/>
          <w:color w:val="auto"/>
          <w:sz w:val="24"/>
          <w:szCs w:val="24"/>
          <w:highlight w:val="none"/>
        </w:rPr>
      </w:pPr>
      <w:bookmarkStart w:id="1190" w:name="_Toc6561"/>
      <w:bookmarkStart w:id="1191" w:name="_Toc31675"/>
      <w:bookmarkStart w:id="1192" w:name="_Toc32148"/>
      <w:bookmarkStart w:id="1193" w:name="_Toc5927"/>
      <w:bookmarkStart w:id="1194" w:name="_Toc30010"/>
      <w:r>
        <w:rPr>
          <w:rFonts w:hint="eastAsia" w:ascii="宋体" w:hAnsi="宋体"/>
          <w:b/>
          <w:color w:val="auto"/>
          <w:sz w:val="24"/>
          <w:szCs w:val="24"/>
          <w:highlight w:val="none"/>
          <w:lang w:val="en-US" w:eastAsia="zh-CN"/>
        </w:rPr>
        <w:t>三</w:t>
      </w:r>
      <w:r>
        <w:rPr>
          <w:rFonts w:hint="eastAsia" w:ascii="宋体" w:hAnsi="宋体"/>
          <w:b/>
          <w:color w:val="auto"/>
          <w:sz w:val="24"/>
          <w:szCs w:val="24"/>
          <w:highlight w:val="none"/>
        </w:rPr>
        <w:t>、合同条款</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tabs>
          <w:tab w:val="left" w:pos="640"/>
          <w:tab w:val="left" w:pos="1843"/>
        </w:tabs>
        <w:spacing w:before="0" w:after="0" w:afterAutospacing="0"/>
        <w:ind w:left="422" w:right="0" w:firstLine="0"/>
        <w:outlineLvl w:val="1"/>
        <w:rPr>
          <w:rFonts w:hint="eastAsia" w:ascii="宋体" w:hAnsi="宋体" w:eastAsia="宋体" w:cs="宋体"/>
          <w:b/>
          <w:color w:val="auto"/>
          <w:highlight w:val="none"/>
        </w:rPr>
      </w:pPr>
      <w:bookmarkStart w:id="1195" w:name="_Toc29932"/>
      <w:bookmarkStart w:id="1196" w:name="_Toc14287"/>
      <w:bookmarkStart w:id="1197" w:name="_Toc18727"/>
      <w:bookmarkStart w:id="1198" w:name="_Toc43"/>
      <w:bookmarkStart w:id="1199" w:name="_Toc15707"/>
      <w:bookmarkStart w:id="1200" w:name="_Toc2614"/>
      <w:bookmarkStart w:id="1201" w:name="_Toc22398"/>
      <w:bookmarkStart w:id="1202" w:name="_Toc28024"/>
      <w:bookmarkStart w:id="1203" w:name="_Toc12080"/>
      <w:bookmarkStart w:id="1204" w:name="_Toc10730"/>
      <w:bookmarkStart w:id="1205" w:name="_Toc22880"/>
      <w:bookmarkStart w:id="1206" w:name="_Toc31691"/>
      <w:bookmarkStart w:id="1207" w:name="_Toc20354"/>
      <w:bookmarkStart w:id="1208" w:name="_Toc492478763"/>
      <w:bookmarkStart w:id="1209" w:name="_Toc21601"/>
      <w:bookmarkStart w:id="1210" w:name="_Toc7961"/>
      <w:bookmarkStart w:id="1211" w:name="_Toc6054"/>
      <w:bookmarkStart w:id="1212" w:name="_Toc20484"/>
      <w:bookmarkStart w:id="1213" w:name="_Toc23374"/>
      <w:bookmarkStart w:id="1214" w:name="_Toc390098464"/>
      <w:bookmarkStart w:id="1215" w:name="_Toc25643"/>
      <w:bookmarkStart w:id="1216" w:name="_Toc370933855"/>
      <w:bookmarkStart w:id="1217" w:name="_Toc19176"/>
      <w:bookmarkStart w:id="1218" w:name="_Toc4032"/>
      <w:bookmarkStart w:id="1219" w:name="_Toc25750635"/>
      <w:bookmarkStart w:id="1220" w:name="_Toc12256"/>
      <w:bookmarkStart w:id="1221" w:name="_Toc378514952"/>
      <w:bookmarkStart w:id="1222" w:name="_Toc385427838"/>
      <w:bookmarkStart w:id="1223" w:name="_Toc19920"/>
      <w:bookmarkStart w:id="1224" w:name="_Toc16839"/>
      <w:r>
        <w:rPr>
          <w:rFonts w:hint="eastAsia" w:ascii="宋体" w:hAnsi="宋体" w:eastAsia="宋体" w:cs="宋体"/>
          <w:b/>
          <w:color w:val="auto"/>
          <w:highlight w:val="none"/>
        </w:rPr>
        <w:t>1.定义及解释</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numPr>
          <w:ilvl w:val="1"/>
          <w:numId w:val="7"/>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定义</w:t>
      </w:r>
    </w:p>
    <w:p>
      <w:pPr>
        <w:tabs>
          <w:tab w:val="left" w:pos="540"/>
          <w:tab w:val="left" w:pos="840"/>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rPr>
        <w:t>在合同中，下列措辞和用语具有此处所赋予的他们的含义：</w:t>
      </w:r>
    </w:p>
    <w:p>
      <w:pPr>
        <w:numPr>
          <w:ilvl w:val="2"/>
          <w:numId w:val="8"/>
        </w:numPr>
        <w:tabs>
          <w:tab w:val="left" w:pos="106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合同文件（或称合同）：指合同协议书、中选通知书、合同条款、合同附件、用户需求书/技术规格书、招标投标文件和澄清文件及甲方对项目管理的有关规定等。</w:t>
      </w:r>
    </w:p>
    <w:p>
      <w:pPr>
        <w:numPr>
          <w:ilvl w:val="2"/>
          <w:numId w:val="8"/>
        </w:numPr>
        <w:tabs>
          <w:tab w:val="left" w:pos="106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 “合同价格”指合同规定乙方在正确地完全履行合同义务后甲方应支付给乙方的金额。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 “合同条款”系指本合同条款。</w:t>
      </w:r>
    </w:p>
    <w:p>
      <w:pPr>
        <w:numPr>
          <w:ilvl w:val="2"/>
          <w:numId w:val="7"/>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“甲方”或“业主”系指南宁轨道交通运营有限公司。</w:t>
      </w:r>
    </w:p>
    <w:p>
      <w:pPr>
        <w:numPr>
          <w:ilvl w:val="2"/>
          <w:numId w:val="7"/>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“乙方”系指受甲方委托，负责本项目提供合同标的的法人和/或其他组织。</w:t>
      </w:r>
    </w:p>
    <w:p>
      <w:pPr>
        <w:numPr>
          <w:ilvl w:val="2"/>
          <w:numId w:val="7"/>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“双方”系指甲方和乙方。</w:t>
      </w:r>
    </w:p>
    <w:p>
      <w:pPr>
        <w:numPr>
          <w:ilvl w:val="2"/>
          <w:numId w:val="7"/>
        </w:num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不可抗力：是指合同当事人在签订合同时不可预见，在合同履行过程中不可避免且不能克服的自然灾害和社会性突发事件，如地震、海啸、瘟疫、骚乱、戒严、暴动、战争和合同条款中约定的其他情形。</w:t>
      </w:r>
    </w:p>
    <w:p>
      <w:pPr>
        <w:numPr>
          <w:ilvl w:val="1"/>
          <w:numId w:val="7"/>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解释</w:t>
      </w:r>
    </w:p>
    <w:p>
      <w:pPr>
        <w:numPr>
          <w:ilvl w:val="2"/>
          <w:numId w:val="7"/>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hint="eastAsia" w:ascii="宋体" w:hAnsi="宋体" w:eastAsia="宋体" w:cs="宋体"/>
          <w:b/>
          <w:color w:val="auto"/>
          <w:highlight w:val="none"/>
        </w:rPr>
      </w:pPr>
      <w:bookmarkStart w:id="1225" w:name="_Toc370933856"/>
      <w:bookmarkStart w:id="1226" w:name="_Toc1169"/>
      <w:bookmarkStart w:id="1227" w:name="_Toc13812"/>
      <w:bookmarkStart w:id="1228" w:name="_Toc390098465"/>
      <w:bookmarkStart w:id="1229" w:name="_Toc9668"/>
      <w:bookmarkStart w:id="1230" w:name="_Toc23112"/>
      <w:bookmarkStart w:id="1231" w:name="_Toc3180"/>
      <w:bookmarkStart w:id="1232" w:name="_Toc4255"/>
      <w:bookmarkStart w:id="1233" w:name="_Toc32266"/>
      <w:bookmarkStart w:id="1234" w:name="_Toc13835"/>
      <w:bookmarkStart w:id="1235" w:name="_Toc15944"/>
      <w:bookmarkStart w:id="1236" w:name="_Toc23305"/>
      <w:bookmarkStart w:id="1237" w:name="_Toc4301"/>
      <w:bookmarkStart w:id="1238" w:name="_Toc18178"/>
      <w:bookmarkStart w:id="1239" w:name="_Toc7059"/>
      <w:bookmarkStart w:id="1240" w:name="_Toc25750636"/>
      <w:bookmarkStart w:id="1241" w:name="_Toc7813"/>
      <w:bookmarkStart w:id="1242" w:name="_Toc9927"/>
      <w:bookmarkStart w:id="1243" w:name="_Toc4212"/>
      <w:bookmarkStart w:id="1244" w:name="_Toc8477"/>
      <w:bookmarkStart w:id="1245" w:name="_Toc5955"/>
      <w:bookmarkStart w:id="1246" w:name="_Toc492478764"/>
      <w:bookmarkStart w:id="1247" w:name="_Toc10198"/>
      <w:bookmarkStart w:id="1248" w:name="_Toc30815"/>
      <w:bookmarkStart w:id="1249" w:name="_Toc378514953"/>
      <w:bookmarkStart w:id="1250" w:name="_Toc385427839"/>
      <w:bookmarkStart w:id="1251" w:name="_Toc25826"/>
      <w:bookmarkStart w:id="1252" w:name="_Toc19899"/>
      <w:bookmarkStart w:id="1253" w:name="_Toc29413"/>
      <w:bookmarkStart w:id="1254" w:name="_Toc23247"/>
      <w:r>
        <w:rPr>
          <w:rFonts w:hint="eastAsia" w:ascii="宋体" w:hAnsi="宋体" w:eastAsia="宋体" w:cs="宋体"/>
          <w:b/>
          <w:color w:val="auto"/>
          <w:highlight w:val="none"/>
        </w:rPr>
        <w:t>2.适用性</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tabs>
          <w:tab w:val="left" w:pos="540"/>
          <w:tab w:val="left" w:pos="840"/>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rPr>
        <w:t>本合同条款适用于本合同其它部分未有规定或未被替代的范围。</w:t>
      </w:r>
    </w:p>
    <w:p>
      <w:pPr>
        <w:tabs>
          <w:tab w:val="left" w:pos="640"/>
          <w:tab w:val="left" w:pos="1843"/>
        </w:tabs>
        <w:spacing w:before="0" w:after="0" w:afterAutospacing="0"/>
        <w:ind w:left="422" w:right="0" w:firstLine="0"/>
        <w:outlineLvl w:val="1"/>
        <w:rPr>
          <w:rFonts w:hint="eastAsia" w:ascii="宋体" w:hAnsi="宋体" w:eastAsia="宋体" w:cs="宋体"/>
          <w:color w:val="auto"/>
          <w:highlight w:val="none"/>
        </w:rPr>
      </w:pPr>
      <w:bookmarkStart w:id="1255" w:name="_Toc492478765"/>
      <w:bookmarkStart w:id="1256" w:name="_Toc24343"/>
      <w:bookmarkStart w:id="1257" w:name="_Toc4898"/>
      <w:bookmarkStart w:id="1258" w:name="_Toc3397"/>
      <w:bookmarkStart w:id="1259" w:name="_Toc647"/>
      <w:bookmarkStart w:id="1260" w:name="_Toc378514954"/>
      <w:bookmarkStart w:id="1261" w:name="_Toc14437"/>
      <w:bookmarkStart w:id="1262" w:name="_Toc385427840"/>
      <w:bookmarkStart w:id="1263" w:name="_Toc13801"/>
      <w:bookmarkStart w:id="1264" w:name="_Toc12248"/>
      <w:bookmarkStart w:id="1265" w:name="_Toc4738"/>
      <w:bookmarkStart w:id="1266" w:name="_Toc23741"/>
      <w:bookmarkStart w:id="1267" w:name="_Toc17372"/>
      <w:bookmarkStart w:id="1268" w:name="_Toc8943"/>
      <w:bookmarkStart w:id="1269" w:name="_Toc9864"/>
      <w:bookmarkStart w:id="1270" w:name="_Toc370933857"/>
      <w:bookmarkStart w:id="1271" w:name="_Toc9306"/>
      <w:bookmarkStart w:id="1272" w:name="_Toc15308"/>
      <w:bookmarkStart w:id="1273" w:name="_Toc3674"/>
      <w:bookmarkStart w:id="1274" w:name="_Toc11803"/>
      <w:bookmarkStart w:id="1275" w:name="_Toc29113"/>
      <w:bookmarkStart w:id="1276" w:name="_Toc21065"/>
      <w:bookmarkStart w:id="1277" w:name="_Toc25750637"/>
      <w:bookmarkStart w:id="1278" w:name="_Toc4969"/>
      <w:bookmarkStart w:id="1279" w:name="_Toc18092"/>
      <w:bookmarkStart w:id="1280" w:name="_Toc5253"/>
      <w:bookmarkStart w:id="1281" w:name="_Toc21603"/>
      <w:bookmarkStart w:id="1282" w:name="_Toc3131"/>
      <w:bookmarkStart w:id="1283" w:name="_Toc390098466"/>
      <w:bookmarkStart w:id="1284" w:name="_Toc26983"/>
      <w:r>
        <w:rPr>
          <w:rFonts w:hint="eastAsia" w:ascii="宋体" w:hAnsi="宋体" w:eastAsia="宋体" w:cs="宋体"/>
          <w:b/>
          <w:color w:val="auto"/>
          <w:highlight w:val="none"/>
        </w:rPr>
        <w:t>3.</w:t>
      </w:r>
      <w:r>
        <w:rPr>
          <w:rFonts w:hint="eastAsia" w:ascii="宋体" w:hAnsi="宋体" w:eastAsia="宋体" w:cs="宋体"/>
          <w:b/>
          <w:bCs/>
          <w:color w:val="auto"/>
          <w:highlight w:val="none"/>
        </w:rPr>
        <w:t>语言文字</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ind w:left="105" w:leftChars="50" w:firstLine="315" w:firstLineChars="150"/>
        <w:rPr>
          <w:rFonts w:hint="eastAsia" w:ascii="宋体" w:hAnsi="宋体" w:eastAsia="宋体" w:cs="宋体"/>
          <w:color w:val="auto"/>
          <w:highlight w:val="none"/>
        </w:rPr>
      </w:pPr>
      <w:r>
        <w:rPr>
          <w:rFonts w:hint="eastAsia" w:ascii="宋体" w:hAnsi="宋体" w:eastAsia="宋体" w:cs="宋体"/>
          <w:color w:val="auto"/>
          <w:highlight w:val="none"/>
        </w:rPr>
        <w:t>除专用术语外，合同使用的语言文字为中文。专用术语在使用其他语种文字应附有中文注释。</w:t>
      </w:r>
    </w:p>
    <w:p>
      <w:pPr>
        <w:tabs>
          <w:tab w:val="left" w:pos="640"/>
          <w:tab w:val="left" w:pos="1843"/>
        </w:tabs>
        <w:spacing w:before="0" w:after="0" w:afterAutospacing="0"/>
        <w:ind w:left="422" w:right="0" w:firstLine="0"/>
        <w:outlineLvl w:val="1"/>
        <w:rPr>
          <w:rFonts w:hint="eastAsia" w:ascii="宋体" w:hAnsi="宋体" w:eastAsia="宋体" w:cs="宋体"/>
          <w:color w:val="auto"/>
          <w:highlight w:val="none"/>
        </w:rPr>
      </w:pPr>
      <w:bookmarkStart w:id="1285" w:name="_Toc21042"/>
      <w:bookmarkStart w:id="1286" w:name="_Toc23249"/>
      <w:bookmarkStart w:id="1287" w:name="_Toc25750638"/>
      <w:bookmarkStart w:id="1288" w:name="_Toc18548"/>
      <w:bookmarkStart w:id="1289" w:name="_Toc378514955"/>
      <w:bookmarkStart w:id="1290" w:name="_Toc21641"/>
      <w:bookmarkStart w:id="1291" w:name="_Toc32756"/>
      <w:bookmarkStart w:id="1292" w:name="_Toc17127"/>
      <w:bookmarkStart w:id="1293" w:name="_Toc21289"/>
      <w:bookmarkStart w:id="1294" w:name="_Toc10807"/>
      <w:bookmarkStart w:id="1295" w:name="_Toc385427841"/>
      <w:bookmarkStart w:id="1296" w:name="_Toc19514"/>
      <w:bookmarkStart w:id="1297" w:name="_Toc25311"/>
      <w:bookmarkStart w:id="1298" w:name="_Toc2708"/>
      <w:bookmarkStart w:id="1299" w:name="_Toc14273"/>
      <w:bookmarkStart w:id="1300" w:name="_Toc12180"/>
      <w:bookmarkStart w:id="1301" w:name="_Toc370933858"/>
      <w:bookmarkStart w:id="1302" w:name="_Toc11524"/>
      <w:bookmarkStart w:id="1303" w:name="_Toc390098467"/>
      <w:bookmarkStart w:id="1304" w:name="_Toc26980"/>
      <w:bookmarkStart w:id="1305" w:name="_Toc492478766"/>
      <w:bookmarkStart w:id="1306" w:name="_Toc23258"/>
      <w:bookmarkStart w:id="1307" w:name="_Toc13823"/>
      <w:bookmarkStart w:id="1308" w:name="_Toc3469"/>
      <w:bookmarkStart w:id="1309" w:name="_Toc16646"/>
      <w:bookmarkStart w:id="1310" w:name="_Toc11626"/>
      <w:bookmarkStart w:id="1311" w:name="_Toc27450"/>
      <w:bookmarkStart w:id="1312" w:name="_Toc21356"/>
      <w:bookmarkStart w:id="1313" w:name="_Toc3318"/>
      <w:bookmarkStart w:id="1314" w:name="_Toc14713"/>
      <w:r>
        <w:rPr>
          <w:rFonts w:hint="eastAsia" w:ascii="宋体" w:hAnsi="宋体" w:eastAsia="宋体" w:cs="宋体"/>
          <w:b/>
          <w:color w:val="auto"/>
          <w:highlight w:val="none"/>
        </w:rPr>
        <w:t>4.</w:t>
      </w:r>
      <w:r>
        <w:rPr>
          <w:rFonts w:hint="eastAsia" w:ascii="宋体" w:hAnsi="宋体" w:eastAsia="宋体" w:cs="宋体"/>
          <w:b/>
          <w:bCs/>
          <w:color w:val="auto"/>
          <w:highlight w:val="none"/>
        </w:rPr>
        <w:t>适用法律、标准和规范</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numPr>
          <w:ilvl w:val="1"/>
          <w:numId w:val="9"/>
        </w:numPr>
        <w:tabs>
          <w:tab w:val="left" w:pos="84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适用于合同的法律包括国家现行法律、行政法规、部门规章，以及广西壮族自治区和南宁市的地方法规、地方政府规章。</w:t>
      </w:r>
    </w:p>
    <w:p>
      <w:pPr>
        <w:numPr>
          <w:ilvl w:val="1"/>
          <w:numId w:val="9"/>
        </w:numPr>
        <w:tabs>
          <w:tab w:val="left" w:pos="84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适用标准、规范。</w:t>
      </w:r>
    </w:p>
    <w:p>
      <w:pPr>
        <w:numPr>
          <w:ilvl w:val="255"/>
          <w:numId w:val="0"/>
        </w:numPr>
        <w:tabs>
          <w:tab w:val="left" w:pos="840"/>
        </w:tabs>
        <w:spacing w:before="0" w:after="0" w:afterAutospacing="0"/>
        <w:ind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tabs>
          <w:tab w:val="left" w:pos="640"/>
          <w:tab w:val="left" w:pos="1843"/>
        </w:tabs>
        <w:spacing w:before="0" w:after="0" w:afterAutospacing="0"/>
        <w:ind w:left="422" w:right="0" w:firstLine="0"/>
        <w:outlineLvl w:val="1"/>
        <w:rPr>
          <w:rFonts w:hint="eastAsia" w:ascii="宋体" w:hAnsi="宋体" w:eastAsia="宋体" w:cs="宋体"/>
          <w:b/>
          <w:color w:val="auto"/>
          <w:highlight w:val="none"/>
        </w:rPr>
      </w:pPr>
      <w:bookmarkStart w:id="1315" w:name="_Toc25750639"/>
      <w:bookmarkStart w:id="1316" w:name="_Toc370933859"/>
      <w:bookmarkStart w:id="1317" w:name="_Toc5003"/>
      <w:bookmarkStart w:id="1318" w:name="_Toc20288"/>
      <w:bookmarkStart w:id="1319" w:name="_Toc18813"/>
      <w:bookmarkStart w:id="1320" w:name="_Toc31912"/>
      <w:bookmarkStart w:id="1321" w:name="_Toc385427842"/>
      <w:bookmarkStart w:id="1322" w:name="_Toc3165"/>
      <w:bookmarkStart w:id="1323" w:name="_Toc17081"/>
      <w:bookmarkStart w:id="1324" w:name="_Toc16769"/>
      <w:bookmarkStart w:id="1325" w:name="_Toc23631"/>
      <w:bookmarkStart w:id="1326" w:name="_Toc2352"/>
      <w:bookmarkStart w:id="1327" w:name="_Toc2304"/>
      <w:bookmarkStart w:id="1328" w:name="_Toc24783"/>
      <w:bookmarkStart w:id="1329" w:name="_Toc27620"/>
      <w:bookmarkStart w:id="1330" w:name="_Toc10995"/>
      <w:bookmarkStart w:id="1331" w:name="_Toc492478767"/>
      <w:bookmarkStart w:id="1332" w:name="_Toc28381"/>
      <w:bookmarkStart w:id="1333" w:name="_Toc22040"/>
      <w:bookmarkStart w:id="1334" w:name="_Toc378514956"/>
      <w:bookmarkStart w:id="1335" w:name="_Toc14089"/>
      <w:bookmarkStart w:id="1336" w:name="_Toc11487"/>
      <w:bookmarkStart w:id="1337" w:name="_Toc13516"/>
      <w:bookmarkStart w:id="1338" w:name="_Toc23539"/>
      <w:bookmarkStart w:id="1339" w:name="_Toc4048"/>
      <w:bookmarkStart w:id="1340" w:name="_Toc6844"/>
      <w:bookmarkStart w:id="1341" w:name="_Toc18617"/>
      <w:bookmarkStart w:id="1342" w:name="_Toc390098468"/>
      <w:bookmarkStart w:id="1343" w:name="_Toc19358"/>
      <w:bookmarkStart w:id="1344" w:name="_Toc20372"/>
      <w:r>
        <w:rPr>
          <w:rFonts w:hint="eastAsia" w:ascii="宋体" w:hAnsi="宋体" w:eastAsia="宋体" w:cs="宋体"/>
          <w:b/>
          <w:color w:val="auto"/>
          <w:highlight w:val="none"/>
        </w:rPr>
        <w:t>5.合同文件、资料及使用</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numPr>
          <w:ilvl w:val="1"/>
          <w:numId w:val="10"/>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0"/>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没有甲方事先书面同意，除了履行本合同之外，乙方不得允许他人使用条款第5.1条所列举的任何文件和资料。</w:t>
      </w:r>
    </w:p>
    <w:p>
      <w:pPr>
        <w:numPr>
          <w:ilvl w:val="1"/>
          <w:numId w:val="10"/>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除了合同本身以外，条款第5.1条所列举的任何文件均视为甲方的财产。如果甲方有要求，乙方在完成合同后或合同终止时应将上述文件及全部复印件还交给甲方，或按甲方需求予以销毁。</w:t>
      </w:r>
    </w:p>
    <w:p>
      <w:pPr>
        <w:numPr>
          <w:ilvl w:val="1"/>
          <w:numId w:val="10"/>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cs="宋体"/>
          <w:color w:val="auto"/>
          <w:highlight w:val="none"/>
          <w:lang w:val="en-US" w:eastAsia="zh-CN"/>
        </w:rPr>
        <w:t>5.5</w:t>
      </w:r>
      <w:r>
        <w:rPr>
          <w:rFonts w:hint="eastAsia" w:ascii="宋体" w:hAnsi="宋体" w:eastAsia="宋体" w:cs="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cs="宋体"/>
          <w:color w:val="auto"/>
          <w:highlight w:val="none"/>
          <w:lang w:val="en-US" w:eastAsia="zh-CN"/>
        </w:rPr>
        <w:t>5.6</w:t>
      </w:r>
      <w:r>
        <w:rPr>
          <w:rFonts w:hint="eastAsia" w:ascii="宋体" w:hAnsi="宋体" w:eastAsia="宋体" w:cs="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tabs>
          <w:tab w:val="left" w:pos="640"/>
          <w:tab w:val="left" w:pos="1843"/>
        </w:tabs>
        <w:spacing w:before="0" w:after="0" w:afterAutospacing="0"/>
        <w:ind w:left="422" w:right="0" w:firstLine="0"/>
        <w:outlineLvl w:val="1"/>
        <w:rPr>
          <w:rFonts w:hint="eastAsia" w:ascii="宋体" w:hAnsi="宋体" w:eastAsia="宋体" w:cs="宋体"/>
          <w:b/>
          <w:color w:val="auto"/>
          <w:highlight w:val="none"/>
        </w:rPr>
      </w:pPr>
      <w:bookmarkStart w:id="1345" w:name="_Toc2944"/>
      <w:bookmarkStart w:id="1346" w:name="_Toc18841"/>
      <w:bookmarkStart w:id="1347" w:name="_Toc25750640"/>
      <w:bookmarkStart w:id="1348" w:name="_Toc25049"/>
      <w:bookmarkStart w:id="1349" w:name="_Toc23542"/>
      <w:bookmarkStart w:id="1350" w:name="_Toc15277"/>
      <w:bookmarkStart w:id="1351" w:name="_Toc2096"/>
      <w:bookmarkStart w:id="1352" w:name="_Toc23274"/>
      <w:bookmarkStart w:id="1353" w:name="_Toc17908"/>
      <w:bookmarkStart w:id="1354" w:name="_Toc8848"/>
      <w:bookmarkStart w:id="1355" w:name="_Toc17102"/>
      <w:bookmarkStart w:id="1356" w:name="_Toc15447"/>
      <w:bookmarkStart w:id="1357" w:name="_Toc5930"/>
      <w:bookmarkStart w:id="1358" w:name="_Toc18946"/>
      <w:bookmarkStart w:id="1359" w:name="_Toc24189"/>
      <w:bookmarkStart w:id="1360" w:name="_Toc17100"/>
      <w:bookmarkStart w:id="1361" w:name="_Toc8233"/>
      <w:bookmarkStart w:id="1362" w:name="_Toc378514957"/>
      <w:bookmarkStart w:id="1363" w:name="_Toc385427843"/>
      <w:bookmarkStart w:id="1364" w:name="_Toc492478768"/>
      <w:bookmarkStart w:id="1365" w:name="_Toc15801"/>
      <w:bookmarkStart w:id="1366" w:name="_Toc390098469"/>
      <w:bookmarkStart w:id="1367" w:name="_Toc16793"/>
      <w:bookmarkStart w:id="1368" w:name="_Toc32131"/>
      <w:bookmarkStart w:id="1369" w:name="_Toc16891"/>
      <w:bookmarkStart w:id="1370" w:name="_Toc2340"/>
      <w:bookmarkStart w:id="1371" w:name="_Toc12048"/>
      <w:bookmarkStart w:id="1372" w:name="_Toc370933860"/>
      <w:bookmarkStart w:id="1373" w:name="_Toc25104"/>
      <w:bookmarkStart w:id="1374" w:name="_Toc4739"/>
      <w:r>
        <w:rPr>
          <w:rFonts w:hint="eastAsia" w:ascii="宋体" w:hAnsi="宋体" w:eastAsia="宋体" w:cs="宋体"/>
          <w:b/>
          <w:color w:val="auto"/>
          <w:highlight w:val="none"/>
        </w:rPr>
        <w:t>6.知识产权</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numPr>
          <w:ilvl w:val="0"/>
          <w:numId w:val="11"/>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乙方应保证其拥有货物及服务的知识产权，并保证甲方在中华人民共和国使用货物及服务或其任何一部分时，免受第三方提出侵犯其任何专利权、著作权、注册商标专有使用权、计算机软件登记或反不正当竞争的起诉及索赔。否则，由此而引起的所有责任及费用由乙方承担。</w:t>
      </w:r>
    </w:p>
    <w:p>
      <w:pPr>
        <w:numPr>
          <w:ilvl w:val="0"/>
          <w:numId w:val="11"/>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甲方不对乙方提供的货物的及服务的专利权、著作权、注册商标专有使用权、计算机软件登记等是否侵犯第三方权利负责，如因乙方提供货物及服务引发争议或违法导致甲方受损的，乙方应赔偿因此对甲方造成的一切损失。</w:t>
      </w:r>
    </w:p>
    <w:p>
      <w:pPr>
        <w:numPr>
          <w:ilvl w:val="0"/>
          <w:numId w:val="11"/>
        </w:numPr>
        <w:tabs>
          <w:tab w:val="left" w:pos="840"/>
          <w:tab w:val="clear"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12"/>
        </w:numPr>
        <w:tabs>
          <w:tab w:val="left" w:pos="640"/>
          <w:tab w:val="left" w:pos="1843"/>
          <w:tab w:val="clear" w:pos="312"/>
        </w:tabs>
        <w:spacing w:before="0" w:after="0" w:afterAutospacing="0"/>
        <w:ind w:left="422" w:right="0" w:firstLine="0"/>
        <w:outlineLvl w:val="1"/>
        <w:rPr>
          <w:rFonts w:hint="eastAsia" w:ascii="宋体" w:hAnsi="宋体" w:cs="宋体"/>
          <w:b/>
          <w:color w:val="auto"/>
          <w:highlight w:val="none"/>
          <w:lang w:val="en-US" w:eastAsia="zh-CN"/>
        </w:rPr>
      </w:pPr>
      <w:bookmarkStart w:id="1375" w:name="_Toc25750641"/>
      <w:bookmarkStart w:id="1376" w:name="_Toc29337"/>
      <w:bookmarkStart w:id="1377" w:name="_Toc370933861"/>
      <w:bookmarkStart w:id="1378" w:name="_Toc30403"/>
      <w:bookmarkStart w:id="1379" w:name="_Toc7460"/>
      <w:bookmarkStart w:id="1380" w:name="_Toc25888"/>
      <w:bookmarkStart w:id="1381" w:name="_Toc20551"/>
      <w:bookmarkStart w:id="1382" w:name="_Toc24887"/>
      <w:bookmarkStart w:id="1383" w:name="_Toc492478769"/>
      <w:bookmarkStart w:id="1384" w:name="_Toc19614"/>
      <w:bookmarkStart w:id="1385" w:name="_Toc21654"/>
      <w:bookmarkStart w:id="1386" w:name="_Toc29127"/>
      <w:bookmarkStart w:id="1387" w:name="_Toc11516"/>
      <w:bookmarkStart w:id="1388" w:name="_Toc17489"/>
      <w:bookmarkStart w:id="1389" w:name="_Toc378514958"/>
      <w:bookmarkStart w:id="1390" w:name="_Toc6777"/>
      <w:bookmarkStart w:id="1391" w:name="_Toc828"/>
      <w:bookmarkStart w:id="1392" w:name="_Toc21848"/>
      <w:bookmarkStart w:id="1393" w:name="_Toc2076"/>
      <w:bookmarkStart w:id="1394" w:name="_Toc7187"/>
      <w:bookmarkStart w:id="1395" w:name="_Toc21755"/>
      <w:bookmarkStart w:id="1396" w:name="_Toc17901"/>
      <w:bookmarkStart w:id="1397" w:name="_Toc25327"/>
      <w:bookmarkStart w:id="1398" w:name="_Toc390098470"/>
      <w:bookmarkStart w:id="1399" w:name="_Toc1869"/>
      <w:bookmarkStart w:id="1400" w:name="_Toc25858"/>
      <w:bookmarkStart w:id="1401" w:name="_Toc7907"/>
      <w:bookmarkStart w:id="1402" w:name="_Toc385427844"/>
      <w:bookmarkStart w:id="1403" w:name="_Toc900"/>
      <w:r>
        <w:rPr>
          <w:rFonts w:hint="eastAsia" w:ascii="宋体" w:hAnsi="宋体" w:cs="宋体"/>
          <w:b/>
          <w:color w:val="auto"/>
          <w:highlight w:val="none"/>
          <w:lang w:val="en-US" w:eastAsia="zh-CN"/>
        </w:rPr>
        <w:t>交货期及服务期</w:t>
      </w:r>
    </w:p>
    <w:p>
      <w:pPr>
        <w:keepNext w:val="0"/>
        <w:keepLines w:val="0"/>
        <w:pageBreakBefore w:val="0"/>
        <w:widowControl/>
        <w:numPr>
          <w:ilvl w:val="-1"/>
          <w:numId w:val="0"/>
        </w:numPr>
        <w:tabs>
          <w:tab w:val="left" w:pos="840"/>
        </w:tabs>
        <w:kinsoku/>
        <w:wordWrap/>
        <w:overflowPunct/>
        <w:topLinePunct w:val="0"/>
        <w:autoSpaceDE/>
        <w:autoSpaceDN/>
        <w:bidi w:val="0"/>
        <w:adjustRightInd/>
        <w:snapToGrid/>
        <w:spacing w:before="0" w:after="0" w:afterAutospacing="0" w:line="360" w:lineRule="auto"/>
        <w:ind w:left="420" w:leftChars="200" w:right="0" w:firstLine="0" w:firstLineChars="0"/>
        <w:textAlignment w:val="auto"/>
        <w:outlineLvl w:val="9"/>
        <w:rPr>
          <w:rFonts w:hint="eastAsia" w:ascii="宋体" w:hAnsi="宋体" w:cs="宋体"/>
          <w:color w:val="auto"/>
          <w:highlight w:val="none"/>
          <w:lang w:val="en-US" w:eastAsia="zh-CN"/>
        </w:rPr>
      </w:pPr>
      <w:r>
        <w:rPr>
          <w:rFonts w:hint="eastAsia" w:ascii="宋体" w:hAnsi="宋体" w:cs="宋体"/>
          <w:color w:val="auto"/>
          <w:highlight w:val="none"/>
          <w:lang w:val="en-US" w:eastAsia="zh-CN"/>
        </w:rPr>
        <w:t>7.1交货期：合同签订后，60天内提供核心交换机板卡备件，具体详见用户需求书附件3。</w:t>
      </w:r>
    </w:p>
    <w:p>
      <w:pPr>
        <w:numPr>
          <w:ilvl w:val="-1"/>
          <w:numId w:val="0"/>
        </w:numPr>
        <w:tabs>
          <w:tab w:val="left" w:pos="840"/>
        </w:tabs>
        <w:spacing w:before="0" w:after="0" w:afterAutospacing="0"/>
        <w:ind w:left="420" w:leftChars="200" w:right="0" w:firstLine="0" w:firstLineChars="0"/>
        <w:rPr>
          <w:rFonts w:hint="eastAsia"/>
          <w:lang w:val="en-US" w:eastAsia="zh-CN"/>
        </w:rPr>
      </w:pPr>
      <w:r>
        <w:rPr>
          <w:rFonts w:hint="eastAsia" w:ascii="宋体" w:hAnsi="宋体" w:cs="宋体"/>
          <w:color w:val="auto"/>
          <w:highlight w:val="none"/>
          <w:lang w:val="en-US" w:eastAsia="zh-CN"/>
        </w:rPr>
        <w:t>7.2服务期：12个月，具体合同开始时间以进场通知书为准。</w:t>
      </w:r>
    </w:p>
    <w:p>
      <w:pPr>
        <w:tabs>
          <w:tab w:val="left" w:pos="640"/>
          <w:tab w:val="left" w:pos="1843"/>
        </w:tabs>
        <w:spacing w:before="0" w:after="0" w:afterAutospacing="0"/>
        <w:ind w:left="422" w:right="0" w:firstLine="0"/>
        <w:outlineLvl w:val="1"/>
        <w:rPr>
          <w:rFonts w:hint="eastAsia" w:ascii="宋体" w:hAnsi="宋体" w:eastAsia="宋体" w:cs="宋体"/>
          <w:b/>
          <w:color w:val="auto"/>
          <w:highlight w:val="none"/>
          <w:lang w:eastAsia="zh-CN"/>
        </w:rPr>
      </w:pPr>
      <w:r>
        <w:rPr>
          <w:rFonts w:hint="eastAsia" w:ascii="宋体" w:hAnsi="宋体" w:cs="宋体"/>
          <w:b/>
          <w:color w:val="auto"/>
          <w:highlight w:val="none"/>
          <w:lang w:val="en-US" w:eastAsia="zh-CN"/>
        </w:rPr>
        <w:t>8.</w:t>
      </w:r>
      <w:r>
        <w:rPr>
          <w:rFonts w:hint="eastAsia" w:ascii="宋体" w:hAnsi="宋体" w:eastAsia="宋体" w:cs="宋体"/>
          <w:b/>
          <w:color w:val="auto"/>
          <w:highlight w:val="none"/>
        </w:rPr>
        <w:t>质</w:t>
      </w:r>
      <w:r>
        <w:rPr>
          <w:rFonts w:hint="eastAsia" w:ascii="宋体" w:hAnsi="宋体" w:cs="宋体"/>
          <w:b/>
          <w:color w:val="auto"/>
          <w:highlight w:val="none"/>
          <w:lang w:val="en-US" w:eastAsia="zh-CN"/>
        </w:rPr>
        <w:t>保期</w:t>
      </w:r>
    </w:p>
    <w:p>
      <w:pPr>
        <w:numPr>
          <w:ilvl w:val="-1"/>
          <w:numId w:val="0"/>
        </w:numPr>
        <w:tabs>
          <w:tab w:val="left" w:pos="840"/>
        </w:tabs>
        <w:spacing w:before="0" w:after="0" w:afterAutospacing="0"/>
        <w:ind w:left="420" w:leftChars="200" w:right="0" w:firstLine="0" w:firstLineChars="0"/>
        <w:rPr>
          <w:rFonts w:hint="eastAsia" w:ascii="宋体" w:hAnsi="宋体" w:cs="宋体"/>
          <w:color w:val="auto"/>
          <w:highlight w:val="none"/>
          <w:lang w:val="en-US" w:eastAsia="zh-CN"/>
        </w:rPr>
      </w:pPr>
      <w:r>
        <w:rPr>
          <w:rFonts w:hint="eastAsia" w:ascii="宋体" w:hAnsi="宋体" w:cs="宋体"/>
          <w:color w:val="auto"/>
          <w:highlight w:val="none"/>
          <w:lang w:val="en-US" w:eastAsia="zh-CN"/>
        </w:rPr>
        <w:t>质保期：备品备件通过验收双方签字确认之日起，往后推算1年（12个月）。</w:t>
      </w:r>
    </w:p>
    <w:p>
      <w:pPr>
        <w:tabs>
          <w:tab w:val="left" w:pos="640"/>
          <w:tab w:val="left" w:pos="1843"/>
        </w:tabs>
        <w:spacing w:before="0" w:after="0" w:afterAutospacing="0"/>
        <w:ind w:left="422" w:right="0" w:firstLine="0"/>
        <w:outlineLvl w:val="1"/>
        <w:rPr>
          <w:rFonts w:hint="eastAsia" w:ascii="宋体" w:hAnsi="宋体" w:eastAsia="宋体" w:cs="宋体"/>
          <w:b/>
          <w:color w:val="auto"/>
          <w:highlight w:val="none"/>
        </w:rPr>
      </w:pPr>
      <w:r>
        <w:rPr>
          <w:rFonts w:hint="eastAsia" w:ascii="宋体" w:hAnsi="宋体" w:cs="宋体"/>
          <w:b/>
          <w:color w:val="auto"/>
          <w:highlight w:val="none"/>
          <w:lang w:val="en-US" w:eastAsia="zh-CN"/>
        </w:rPr>
        <w:t>9.</w:t>
      </w:r>
      <w:r>
        <w:rPr>
          <w:rFonts w:hint="eastAsia" w:ascii="宋体" w:hAnsi="宋体" w:eastAsia="宋体" w:cs="宋体"/>
          <w:b/>
          <w:color w:val="auto"/>
          <w:highlight w:val="none"/>
        </w:rPr>
        <w:t>履约担保</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bookmarkStart w:id="1404" w:name="_Toc32711"/>
      <w:bookmarkStart w:id="1405" w:name="_Toc20550"/>
      <w:bookmarkStart w:id="1406" w:name="_Toc25873"/>
      <w:bookmarkStart w:id="1407" w:name="_Toc15512"/>
      <w:bookmarkStart w:id="1408" w:name="_Toc26034"/>
      <w:bookmarkStart w:id="1409" w:name="_Toc2613"/>
      <w:bookmarkStart w:id="1410" w:name="_Toc21872"/>
      <w:bookmarkStart w:id="1411" w:name="_Toc30234"/>
      <w:bookmarkStart w:id="1412" w:name="_Toc20899"/>
      <w:bookmarkStart w:id="1413" w:name="_Toc32382"/>
      <w:bookmarkStart w:id="1414" w:name="_Toc25750642"/>
      <w:bookmarkStart w:id="1415" w:name="_Toc20252"/>
      <w:bookmarkStart w:id="1416" w:name="_Toc5676"/>
      <w:bookmarkStart w:id="1417" w:name="_Toc31795"/>
      <w:bookmarkStart w:id="1418" w:name="_Toc7801"/>
      <w:bookmarkStart w:id="1419" w:name="_Toc1990"/>
      <w:bookmarkStart w:id="1420" w:name="_Toc12113"/>
      <w:bookmarkStart w:id="1421" w:name="_Toc97"/>
      <w:bookmarkStart w:id="1422" w:name="_Toc29729"/>
      <w:bookmarkStart w:id="1423" w:name="_Toc30445"/>
      <w:r>
        <w:rPr>
          <w:rFonts w:hint="eastAsia" w:ascii="宋体" w:hAnsi="宋体" w:cs="宋体"/>
          <w:color w:val="auto"/>
          <w:highlight w:val="none"/>
          <w:lang w:val="en-US" w:eastAsia="zh-CN"/>
        </w:rPr>
        <w:t>9</w:t>
      </w:r>
      <w:r>
        <w:rPr>
          <w:rFonts w:hint="eastAsia" w:ascii="宋体" w:hAnsi="宋体" w:eastAsia="宋体" w:cs="宋体"/>
          <w:color w:val="auto"/>
          <w:highlight w:val="none"/>
        </w:rPr>
        <w:t>.1在合同签订前，乙方应向甲方提供履约保证金，履约保证金的金额为中标价格的</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，币种应为人民币。</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cs="宋体"/>
          <w:color w:val="auto"/>
          <w:highlight w:val="none"/>
          <w:lang w:val="en-US" w:eastAsia="zh-CN"/>
        </w:rPr>
        <w:t>9</w:t>
      </w:r>
      <w:r>
        <w:rPr>
          <w:rFonts w:hint="eastAsia" w:ascii="宋体" w:hAnsi="宋体" w:eastAsia="宋体" w:cs="宋体"/>
          <w:color w:val="auto"/>
          <w:highlight w:val="none"/>
        </w:rPr>
        <w:t>.2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cs="宋体"/>
          <w:color w:val="auto"/>
          <w:highlight w:val="none"/>
          <w:lang w:val="en-US" w:eastAsia="zh-CN"/>
        </w:rPr>
        <w:t>9</w:t>
      </w:r>
      <w:r>
        <w:rPr>
          <w:rFonts w:hint="eastAsia" w:ascii="宋体" w:hAnsi="宋体" w:eastAsia="宋体" w:cs="宋体"/>
          <w:color w:val="auto"/>
          <w:highlight w:val="none"/>
        </w:rPr>
        <w:t>.3 履约保证金应从生效之日起至全部</w:t>
      </w:r>
      <w:r>
        <w:rPr>
          <w:rFonts w:hint="eastAsia" w:ascii="宋体" w:hAnsi="宋体" w:eastAsia="宋体" w:cs="宋体"/>
          <w:color w:val="auto"/>
          <w:highlight w:val="none"/>
          <w:lang w:val="en-US" w:eastAsia="zh-CN"/>
        </w:rPr>
        <w:t>维保服务内容</w:t>
      </w:r>
      <w:r>
        <w:rPr>
          <w:rFonts w:hint="eastAsia" w:ascii="宋体" w:hAnsi="宋体" w:eastAsia="宋体" w:cs="宋体"/>
          <w:color w:val="auto"/>
          <w:highlight w:val="none"/>
        </w:rPr>
        <w:t>验收合格之日后四十五（45）天一直有效。如本项目实际全部</w:t>
      </w:r>
      <w:r>
        <w:rPr>
          <w:rFonts w:hint="eastAsia" w:ascii="宋体" w:hAnsi="宋体" w:eastAsia="宋体" w:cs="宋体"/>
          <w:color w:val="auto"/>
          <w:highlight w:val="none"/>
          <w:lang w:val="en-US" w:eastAsia="zh-CN"/>
        </w:rPr>
        <w:t>维保服务内容</w:t>
      </w:r>
      <w:r>
        <w:rPr>
          <w:rFonts w:hint="eastAsia" w:ascii="宋体" w:hAnsi="宋体" w:eastAsia="宋体" w:cs="宋体"/>
          <w:color w:val="auto"/>
          <w:highlight w:val="none"/>
        </w:rPr>
        <w:t>验收合格日期超出该履约保证金写明的日期，则乙方应相应延长履约保证金的日期，当出现逾期</w:t>
      </w:r>
      <w:r>
        <w:rPr>
          <w:rFonts w:hint="eastAsia" w:ascii="宋体" w:hAnsi="宋体" w:eastAsia="宋体" w:cs="宋体"/>
          <w:color w:val="auto"/>
          <w:highlight w:val="none"/>
          <w:lang w:val="en-US" w:eastAsia="zh-CN"/>
        </w:rPr>
        <w:t>维保</w:t>
      </w:r>
      <w:r>
        <w:rPr>
          <w:rFonts w:hint="eastAsia" w:ascii="宋体" w:hAnsi="宋体" w:eastAsia="宋体" w:cs="宋体"/>
          <w:color w:val="auto"/>
          <w:highlight w:val="none"/>
          <w:lang w:eastAsia="zh-CN"/>
        </w:rPr>
        <w:t>或合同延期履行</w:t>
      </w:r>
      <w:r>
        <w:rPr>
          <w:rFonts w:hint="eastAsia" w:ascii="宋体" w:hAnsi="宋体" w:eastAsia="宋体" w:cs="宋体"/>
          <w:color w:val="auto"/>
          <w:highlight w:val="none"/>
        </w:rPr>
        <w:t>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cs="宋体"/>
          <w:color w:val="auto"/>
          <w:highlight w:val="none"/>
          <w:lang w:val="en-US" w:eastAsia="zh-CN"/>
        </w:rPr>
        <w:t>9</w:t>
      </w:r>
      <w:r>
        <w:rPr>
          <w:rFonts w:hint="eastAsia" w:ascii="宋体" w:hAnsi="宋体" w:eastAsia="宋体" w:cs="宋体"/>
          <w:color w:val="auto"/>
          <w:highlight w:val="none"/>
        </w:rPr>
        <w:t>.4乙方提交履约保证金所产生的费用由乙方承担。</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cs="宋体"/>
          <w:color w:val="auto"/>
          <w:highlight w:val="none"/>
          <w:lang w:val="en-US" w:eastAsia="zh-CN"/>
        </w:rPr>
        <w:t>9</w:t>
      </w:r>
      <w:r>
        <w:rPr>
          <w:rFonts w:hint="eastAsia" w:ascii="宋体" w:hAnsi="宋体" w:eastAsia="宋体" w:cs="宋体"/>
          <w:color w:val="auto"/>
          <w:highlight w:val="none"/>
        </w:rPr>
        <w:t>.5如果在</w:t>
      </w:r>
      <w:r>
        <w:rPr>
          <w:rFonts w:hint="eastAsia" w:ascii="宋体" w:hAnsi="宋体" w:eastAsia="宋体" w:cs="宋体"/>
          <w:color w:val="auto"/>
          <w:highlight w:val="none"/>
          <w:lang w:val="en-US" w:eastAsia="zh-CN"/>
        </w:rPr>
        <w:t>维保</w:t>
      </w:r>
      <w:r>
        <w:rPr>
          <w:rFonts w:hint="eastAsia" w:ascii="宋体" w:hAnsi="宋体" w:eastAsia="宋体" w:cs="宋体"/>
          <w:color w:val="auto"/>
          <w:highlight w:val="none"/>
        </w:rPr>
        <w:t>期内乙方不能履行其在合同项下的义务，则乙方应承担相应的违约责任，同时甲方有权用履约保证金的资金补偿其任何损失或有权通过银行保函追索，但其剩余的履约保证金仍应满足中标价格5%，乙方应在期限内及时补足担保金额，每逾期一天，按照应补未补部分的万分之五向甲方支付违约金，甲方有权在</w:t>
      </w:r>
      <w:r>
        <w:rPr>
          <w:rFonts w:hint="eastAsia" w:ascii="宋体" w:hAnsi="宋体" w:eastAsia="宋体" w:cs="宋体"/>
          <w:color w:val="auto"/>
          <w:highlight w:val="none"/>
          <w:lang w:val="en-US" w:eastAsia="zh-CN"/>
        </w:rPr>
        <w:t>合同款</w:t>
      </w:r>
      <w:r>
        <w:rPr>
          <w:rFonts w:hint="eastAsia" w:ascii="宋体" w:hAnsi="宋体" w:eastAsia="宋体" w:cs="宋体"/>
          <w:color w:val="auto"/>
          <w:highlight w:val="none"/>
        </w:rPr>
        <w:t>中扣减。</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cs="宋体"/>
          <w:color w:val="auto"/>
          <w:highlight w:val="none"/>
          <w:lang w:val="en-US" w:eastAsia="zh-CN"/>
        </w:rPr>
        <w:t>9</w:t>
      </w:r>
      <w:r>
        <w:rPr>
          <w:rFonts w:hint="eastAsia" w:ascii="宋体" w:hAnsi="宋体" w:eastAsia="宋体" w:cs="宋体"/>
          <w:color w:val="auto"/>
          <w:highlight w:val="none"/>
        </w:rPr>
        <w:t>.6履约保证金在本合同全部</w:t>
      </w:r>
      <w:r>
        <w:rPr>
          <w:rFonts w:hint="eastAsia" w:ascii="宋体" w:hAnsi="宋体" w:eastAsia="宋体" w:cs="宋体"/>
          <w:color w:val="auto"/>
          <w:highlight w:val="none"/>
          <w:lang w:val="en-US" w:eastAsia="zh-CN"/>
        </w:rPr>
        <w:t>维保服务内容</w:t>
      </w:r>
      <w:r>
        <w:rPr>
          <w:rFonts w:hint="eastAsia" w:ascii="宋体" w:hAnsi="宋体" w:eastAsia="宋体" w:cs="宋体"/>
          <w:color w:val="auto"/>
          <w:highlight w:val="none"/>
        </w:rPr>
        <w:t>验收合格之日起四十五（45）天后，根据履约期间甲方的索赔情况，将剩余履约保证金款项无息退还乙方。</w:t>
      </w:r>
    </w:p>
    <w:p>
      <w:pPr>
        <w:tabs>
          <w:tab w:val="left" w:pos="1134"/>
          <w:tab w:val="left" w:pos="8364"/>
        </w:tabs>
        <w:spacing w:before="0" w:after="0" w:afterAutospacing="0"/>
        <w:ind w:left="420" w:leftChars="200" w:right="0" w:firstLine="0"/>
        <w:rPr>
          <w:rFonts w:hint="eastAsia" w:ascii="宋体" w:hAnsi="宋体" w:eastAsia="宋体" w:cs="宋体"/>
          <w:color w:val="auto"/>
          <w:highlight w:val="none"/>
          <w:shd w:val="clear" w:color="auto" w:fill="FFFFFF"/>
        </w:rPr>
      </w:pPr>
      <w:r>
        <w:rPr>
          <w:rFonts w:hint="eastAsia" w:ascii="宋体" w:hAnsi="宋体" w:cs="宋体"/>
          <w:color w:val="auto"/>
          <w:highlight w:val="none"/>
          <w:lang w:val="en-US" w:eastAsia="zh-CN"/>
        </w:rPr>
        <w:t>9</w:t>
      </w:r>
      <w:r>
        <w:rPr>
          <w:rFonts w:hint="eastAsia" w:ascii="宋体" w:hAnsi="宋体" w:eastAsia="宋体" w:cs="宋体"/>
          <w:color w:val="auto"/>
          <w:highlight w:val="none"/>
        </w:rPr>
        <w:t>.7</w:t>
      </w:r>
      <w:r>
        <w:rPr>
          <w:rFonts w:hint="eastAsia" w:ascii="宋体" w:hAnsi="宋体" w:eastAsia="宋体" w:cs="宋体"/>
          <w:color w:val="auto"/>
          <w:highlight w:val="none"/>
          <w:shd w:val="clear" w:color="auto" w:fill="FFFFFF"/>
        </w:rPr>
        <w:t>若发生以下行为，甲方将不退还履约保证金：</w:t>
      </w:r>
      <w:r>
        <w:rPr>
          <w:rFonts w:hint="eastAsia" w:ascii="宋体" w:hAnsi="宋体" w:eastAsia="宋体" w:cs="宋体"/>
          <w:color w:val="auto"/>
          <w:highlight w:val="none"/>
          <w:shd w:val="clear" w:color="auto" w:fill="FFFFFF"/>
        </w:rPr>
        <w:br w:type="textWrapping"/>
      </w:r>
      <w:r>
        <w:rPr>
          <w:rFonts w:hint="eastAsia" w:ascii="宋体" w:hAnsi="宋体" w:cs="宋体"/>
          <w:color w:val="auto"/>
          <w:highlight w:val="none"/>
          <w:lang w:val="en-US" w:eastAsia="zh-CN"/>
        </w:rPr>
        <w:t>9</w:t>
      </w:r>
      <w:r>
        <w:rPr>
          <w:rFonts w:hint="eastAsia" w:ascii="宋体" w:hAnsi="宋体" w:eastAsia="宋体" w:cs="宋体"/>
          <w:color w:val="auto"/>
          <w:highlight w:val="none"/>
        </w:rPr>
        <w:t>.7.1</w:t>
      </w:r>
      <w:r>
        <w:rPr>
          <w:rFonts w:hint="eastAsia" w:ascii="宋体" w:hAnsi="宋体" w:eastAsia="宋体" w:cs="宋体"/>
          <w:color w:val="auto"/>
          <w:highlight w:val="none"/>
          <w:shd w:val="clear" w:color="auto" w:fill="FFFFFF"/>
        </w:rPr>
        <w:t>在合同履行期间，乙方明确表示或者以自己的行为表明不履行主要义务的；</w:t>
      </w:r>
      <w:r>
        <w:rPr>
          <w:rFonts w:hint="eastAsia" w:ascii="宋体" w:hAnsi="宋体" w:eastAsia="宋体" w:cs="宋体"/>
          <w:color w:val="auto"/>
          <w:highlight w:val="none"/>
          <w:shd w:val="clear" w:color="auto" w:fill="FFFFFF"/>
        </w:rPr>
        <w:br w:type="textWrapping"/>
      </w:r>
      <w:r>
        <w:rPr>
          <w:rFonts w:hint="eastAsia" w:ascii="宋体" w:hAnsi="宋体" w:cs="宋体"/>
          <w:color w:val="auto"/>
          <w:highlight w:val="none"/>
          <w:lang w:val="en-US" w:eastAsia="zh-CN"/>
        </w:rPr>
        <w:t>9</w:t>
      </w:r>
      <w:r>
        <w:rPr>
          <w:rFonts w:hint="eastAsia" w:ascii="宋体" w:hAnsi="宋体" w:eastAsia="宋体" w:cs="宋体"/>
          <w:color w:val="auto"/>
          <w:highlight w:val="none"/>
        </w:rPr>
        <w:t>.7.2</w:t>
      </w:r>
      <w:r>
        <w:rPr>
          <w:rFonts w:hint="eastAsia" w:ascii="宋体" w:hAnsi="宋体" w:eastAsia="宋体" w:cs="宋体"/>
          <w:color w:val="auto"/>
          <w:highlight w:val="none"/>
          <w:shd w:val="clear" w:color="auto" w:fill="FFFFFF"/>
        </w:rPr>
        <w:t>乙方迟延履行主要义务，经催告后在合理期限内仍未履行的；</w:t>
      </w:r>
      <w:r>
        <w:rPr>
          <w:rFonts w:hint="eastAsia" w:ascii="宋体" w:hAnsi="宋体" w:eastAsia="宋体" w:cs="宋体"/>
          <w:color w:val="auto"/>
          <w:highlight w:val="none"/>
          <w:shd w:val="clear" w:color="auto" w:fill="FFFFFF"/>
        </w:rPr>
        <w:br w:type="textWrapping"/>
      </w:r>
      <w:r>
        <w:rPr>
          <w:rFonts w:hint="eastAsia" w:ascii="宋体" w:hAnsi="宋体" w:cs="宋体"/>
          <w:color w:val="auto"/>
          <w:highlight w:val="none"/>
          <w:lang w:val="en-US" w:eastAsia="zh-CN"/>
        </w:rPr>
        <w:t>9</w:t>
      </w:r>
      <w:r>
        <w:rPr>
          <w:rFonts w:hint="eastAsia" w:ascii="宋体" w:hAnsi="宋体" w:eastAsia="宋体" w:cs="宋体"/>
          <w:color w:val="auto"/>
          <w:highlight w:val="none"/>
        </w:rPr>
        <w:t>.7.3</w:t>
      </w:r>
      <w:r>
        <w:rPr>
          <w:rFonts w:hint="eastAsia" w:ascii="宋体" w:hAnsi="宋体" w:eastAsia="宋体" w:cs="宋体"/>
          <w:color w:val="auto"/>
          <w:highlight w:val="none"/>
          <w:shd w:val="clear" w:color="auto" w:fill="FFFFFF"/>
        </w:rPr>
        <w:t>乙方履行的义务不符合合同约定，经甲方催告后未在合理期限内整改完毕的；</w:t>
      </w:r>
      <w:r>
        <w:rPr>
          <w:rFonts w:hint="eastAsia" w:ascii="宋体" w:hAnsi="宋体" w:eastAsia="宋体" w:cs="宋体"/>
          <w:color w:val="auto"/>
          <w:highlight w:val="none"/>
          <w:shd w:val="clear" w:color="auto" w:fill="FFFFFF"/>
        </w:rPr>
        <w:br w:type="textWrapping"/>
      </w:r>
      <w:r>
        <w:rPr>
          <w:rFonts w:hint="eastAsia" w:ascii="宋体" w:hAnsi="宋体" w:cs="宋体"/>
          <w:color w:val="auto"/>
          <w:highlight w:val="none"/>
          <w:lang w:val="en-US" w:eastAsia="zh-CN"/>
        </w:rPr>
        <w:t>9</w:t>
      </w:r>
      <w:r>
        <w:rPr>
          <w:rFonts w:hint="eastAsia" w:ascii="宋体" w:hAnsi="宋体" w:eastAsia="宋体" w:cs="宋体"/>
          <w:color w:val="auto"/>
          <w:highlight w:val="none"/>
        </w:rPr>
        <w:t>.7.4</w:t>
      </w:r>
      <w:r>
        <w:rPr>
          <w:rFonts w:hint="eastAsia" w:ascii="宋体" w:hAnsi="宋体" w:eastAsia="宋体" w:cs="宋体"/>
          <w:color w:val="auto"/>
          <w:highlight w:val="none"/>
          <w:shd w:val="clear" w:color="auto" w:fill="FFFFFF"/>
        </w:rPr>
        <w:t>乙方其他违约行为导致合同解除或终止的。</w:t>
      </w:r>
    </w:p>
    <w:p>
      <w:pPr>
        <w:tabs>
          <w:tab w:val="left" w:pos="840"/>
          <w:tab w:val="left" w:pos="1843"/>
        </w:tabs>
        <w:spacing w:before="0" w:after="0" w:afterAutospacing="0"/>
        <w:ind w:left="422" w:right="0" w:firstLine="0"/>
        <w:outlineLvl w:val="1"/>
        <w:rPr>
          <w:rFonts w:hint="eastAsia" w:ascii="宋体" w:hAnsi="宋体" w:eastAsia="宋体" w:cs="宋体"/>
          <w:b/>
          <w:color w:val="auto"/>
          <w:sz w:val="21"/>
          <w:szCs w:val="21"/>
          <w:highlight w:val="none"/>
        </w:rPr>
      </w:pPr>
      <w:bookmarkStart w:id="1424" w:name="_Toc6064"/>
      <w:bookmarkStart w:id="1425" w:name="_Toc28582"/>
      <w:bookmarkStart w:id="1426" w:name="_Toc1689"/>
      <w:r>
        <w:rPr>
          <w:rFonts w:hint="eastAsia" w:ascii="宋体" w:hAnsi="宋体" w:cs="宋体"/>
          <w:b/>
          <w:color w:val="auto"/>
          <w:sz w:val="21"/>
          <w:szCs w:val="21"/>
          <w:highlight w:val="none"/>
          <w:lang w:val="en-US" w:eastAsia="zh-CN"/>
        </w:rPr>
        <w:t>10</w:t>
      </w:r>
      <w:r>
        <w:rPr>
          <w:rFonts w:hint="eastAsia" w:ascii="宋体" w:hAnsi="宋体" w:eastAsia="宋体" w:cs="宋体"/>
          <w:b/>
          <w:color w:val="auto"/>
          <w:sz w:val="21"/>
          <w:szCs w:val="21"/>
          <w:highlight w:val="none"/>
          <w:lang w:val="en-US" w:eastAsia="zh-CN"/>
        </w:rPr>
        <w:t>.验收文档及其要求</w:t>
      </w:r>
      <w:bookmarkEnd w:id="1424"/>
      <w:bookmarkEnd w:id="1425"/>
      <w:bookmarkEnd w:id="1426"/>
    </w:p>
    <w:p>
      <w:pPr>
        <w:pStyle w:val="16"/>
        <w:spacing w:before="0" w:after="0" w:afterAutospacing="0"/>
        <w:ind w:left="0" w:right="0" w:firstLine="510"/>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巡检报告</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每个月提交一次，服务期内提交十二次。</w:t>
      </w:r>
    </w:p>
    <w:p>
      <w:pPr>
        <w:pStyle w:val="16"/>
        <w:spacing w:before="0" w:after="0" w:afterAutospacing="0"/>
        <w:ind w:left="0" w:right="0" w:firstLine="510"/>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版本评估报告</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每个季度提交一次，服务期内提交四次。</w:t>
      </w:r>
    </w:p>
    <w:p>
      <w:pPr>
        <w:pStyle w:val="16"/>
        <w:spacing w:before="0" w:after="0" w:afterAutospacing="0"/>
        <w:ind w:left="0" w:right="0" w:firstLine="510"/>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网络系统运行情况调查与分析报告</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服务期满后提交一次。</w:t>
      </w:r>
    </w:p>
    <w:p>
      <w:pPr>
        <w:pStyle w:val="16"/>
        <w:spacing w:before="0" w:after="0" w:afterAutospacing="0"/>
        <w:ind w:left="0" w:right="0" w:firstLine="510"/>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年度服务总结报告</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服务期满后提交一次。</w:t>
      </w:r>
    </w:p>
    <w:p>
      <w:pPr>
        <w:pStyle w:val="16"/>
        <w:spacing w:before="0" w:after="0" w:afterAutospacing="0"/>
        <w:ind w:left="0" w:right="0" w:firstLine="510"/>
        <w:rPr>
          <w:rFonts w:hint="eastAsia" w:ascii="宋体" w:hAnsi="宋体" w:eastAsia="宋体" w:cs="宋体"/>
          <w:color w:val="auto"/>
          <w:sz w:val="21"/>
          <w:szCs w:val="21"/>
          <w:highlight w:val="none"/>
          <w:lang w:eastAsia="zh-CN"/>
        </w:rPr>
      </w:pPr>
      <w:r>
        <w:rPr>
          <w:rFonts w:hint="eastAsia"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培训资料</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按照培训内容提供相应的培训资料。</w:t>
      </w:r>
    </w:p>
    <w:p>
      <w:pPr>
        <w:pStyle w:val="16"/>
        <w:spacing w:before="0" w:after="0" w:afterAutospacing="0"/>
        <w:ind w:left="0" w:right="0" w:firstLine="510"/>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验收报告</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验收报告按照《南宁轨道交通运营有限公司委外项目工作任务验收单》格式填写。</w:t>
      </w:r>
    </w:p>
    <w:p>
      <w:pPr>
        <w:tabs>
          <w:tab w:val="left" w:pos="840"/>
          <w:tab w:val="left" w:pos="1843"/>
        </w:tabs>
        <w:spacing w:before="0" w:after="0" w:afterAutospacing="0"/>
        <w:ind w:left="422" w:right="0" w:firstLine="0"/>
        <w:outlineLvl w:val="1"/>
        <w:rPr>
          <w:rFonts w:hint="eastAsia" w:ascii="宋体" w:hAnsi="宋体" w:eastAsia="宋体" w:cs="宋体"/>
          <w:b/>
          <w:color w:val="auto"/>
          <w:highlight w:val="none"/>
        </w:rPr>
      </w:pPr>
      <w:bookmarkStart w:id="1427" w:name="_Toc5385"/>
      <w:bookmarkStart w:id="1428" w:name="_Toc26216"/>
      <w:bookmarkStart w:id="1429" w:name="_Toc22895"/>
      <w:bookmarkStart w:id="1430" w:name="_Toc17826"/>
      <w:bookmarkStart w:id="1431" w:name="_Toc13466"/>
      <w:r>
        <w:rPr>
          <w:rFonts w:hint="eastAsia" w:ascii="宋体" w:hAnsi="宋体" w:cs="宋体"/>
          <w:b/>
          <w:color w:val="auto"/>
          <w:highlight w:val="none"/>
          <w:lang w:val="en-US" w:eastAsia="zh-CN"/>
        </w:rPr>
        <w:t>11</w:t>
      </w:r>
      <w:r>
        <w:rPr>
          <w:rFonts w:hint="eastAsia" w:ascii="宋体" w:hAnsi="宋体" w:eastAsia="宋体" w:cs="宋体"/>
          <w:b/>
          <w:color w:val="auto"/>
          <w:highlight w:val="none"/>
        </w:rPr>
        <w:t>.</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Start w:id="1432" w:name="_Toc459730447"/>
      <w:bookmarkEnd w:id="1432"/>
      <w:bookmarkStart w:id="1433" w:name="_Toc459797509"/>
      <w:bookmarkEnd w:id="1433"/>
      <w:bookmarkStart w:id="1434" w:name="_Toc459797500"/>
      <w:bookmarkEnd w:id="1434"/>
      <w:bookmarkStart w:id="1435" w:name="_Toc459797508"/>
      <w:bookmarkEnd w:id="1435"/>
      <w:bookmarkStart w:id="1436" w:name="_Toc459797504"/>
      <w:bookmarkEnd w:id="1436"/>
      <w:bookmarkStart w:id="1437" w:name="_Toc459730458"/>
      <w:bookmarkEnd w:id="1437"/>
      <w:bookmarkStart w:id="1438" w:name="_Toc459797499"/>
      <w:bookmarkEnd w:id="1438"/>
      <w:bookmarkStart w:id="1439" w:name="_Toc459797501"/>
      <w:bookmarkEnd w:id="1439"/>
      <w:bookmarkStart w:id="1440" w:name="_Toc459730449"/>
      <w:bookmarkEnd w:id="1440"/>
      <w:bookmarkStart w:id="1441" w:name="_Toc459730444"/>
      <w:bookmarkEnd w:id="1441"/>
      <w:bookmarkStart w:id="1442" w:name="_Toc459730454"/>
      <w:bookmarkEnd w:id="1442"/>
      <w:bookmarkStart w:id="1443" w:name="_Toc459730457"/>
      <w:bookmarkEnd w:id="1443"/>
      <w:bookmarkStart w:id="1444" w:name="_Toc459730443"/>
      <w:bookmarkEnd w:id="1444"/>
      <w:bookmarkStart w:id="1445" w:name="_Toc459797498"/>
      <w:bookmarkEnd w:id="1445"/>
      <w:bookmarkStart w:id="1446" w:name="_Toc459730445"/>
      <w:bookmarkEnd w:id="1446"/>
      <w:bookmarkStart w:id="1447" w:name="_Toc459730448"/>
      <w:bookmarkEnd w:id="1447"/>
      <w:bookmarkStart w:id="1448" w:name="_Toc459730453"/>
      <w:bookmarkEnd w:id="1448"/>
      <w:bookmarkStart w:id="1449" w:name="_Toc459730451"/>
      <w:bookmarkEnd w:id="1449"/>
      <w:bookmarkStart w:id="1450" w:name="_Toc459730452"/>
      <w:bookmarkEnd w:id="1450"/>
      <w:bookmarkStart w:id="1451" w:name="_Toc459797502"/>
      <w:bookmarkEnd w:id="1451"/>
      <w:bookmarkStart w:id="1452" w:name="_Toc459797497"/>
      <w:bookmarkEnd w:id="1452"/>
      <w:bookmarkStart w:id="1453" w:name="_Toc459797495"/>
      <w:bookmarkEnd w:id="1453"/>
      <w:bookmarkStart w:id="1454" w:name="_Toc459730459"/>
      <w:bookmarkEnd w:id="1454"/>
      <w:bookmarkStart w:id="1455" w:name="_Toc459797507"/>
      <w:bookmarkEnd w:id="1455"/>
      <w:bookmarkStart w:id="1456" w:name="_Toc459797503"/>
      <w:bookmarkEnd w:id="1456"/>
      <w:bookmarkStart w:id="1457" w:name="_Toc459797511"/>
      <w:bookmarkEnd w:id="1457"/>
      <w:bookmarkStart w:id="1458" w:name="_Toc459730442"/>
      <w:bookmarkEnd w:id="1458"/>
      <w:bookmarkStart w:id="1459" w:name="_Toc459730450"/>
      <w:bookmarkEnd w:id="1459"/>
      <w:bookmarkStart w:id="1460" w:name="_Toc459797496"/>
      <w:bookmarkEnd w:id="1460"/>
      <w:bookmarkStart w:id="1461" w:name="_Toc459797505"/>
      <w:bookmarkEnd w:id="1461"/>
      <w:bookmarkStart w:id="1462" w:name="_Toc459730446"/>
      <w:bookmarkEnd w:id="1462"/>
      <w:bookmarkStart w:id="1463" w:name="_Toc459797510"/>
      <w:bookmarkEnd w:id="1463"/>
      <w:bookmarkStart w:id="1464" w:name="_Toc459797506"/>
      <w:bookmarkEnd w:id="1464"/>
      <w:bookmarkStart w:id="1465" w:name="_Toc459730456"/>
      <w:bookmarkEnd w:id="1465"/>
      <w:bookmarkStart w:id="1466" w:name="_Toc459797512"/>
      <w:bookmarkEnd w:id="1466"/>
      <w:bookmarkStart w:id="1467" w:name="_Toc459730455"/>
      <w:bookmarkEnd w:id="1467"/>
      <w:r>
        <w:rPr>
          <w:rFonts w:hint="eastAsia" w:ascii="宋体" w:hAnsi="宋体" w:eastAsia="宋体" w:cs="宋体"/>
          <w:b/>
          <w:color w:val="auto"/>
          <w:highlight w:val="none"/>
        </w:rPr>
        <w:t>合同价款支付方式</w:t>
      </w:r>
      <w:bookmarkEnd w:id="1423"/>
      <w:bookmarkEnd w:id="1427"/>
      <w:bookmarkEnd w:id="1428"/>
      <w:bookmarkEnd w:id="1429"/>
      <w:bookmarkEnd w:id="1430"/>
      <w:bookmarkEnd w:id="1431"/>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lang w:val="en-US" w:eastAsia="zh-CN"/>
        </w:rPr>
      </w:pPr>
      <w:bookmarkStart w:id="1468" w:name="_Hlk86248113"/>
      <w:bookmarkStart w:id="1469" w:name="_Toc378514969"/>
      <w:bookmarkStart w:id="1470" w:name="_Toc370933872"/>
      <w:r>
        <w:rPr>
          <w:rFonts w:hint="eastAsia" w:ascii="宋体" w:hAnsi="宋体" w:cs="宋体"/>
          <w:color w:val="auto"/>
          <w:highlight w:val="none"/>
          <w:lang w:val="en-US" w:eastAsia="zh-CN"/>
        </w:rPr>
        <w:t>11</w:t>
      </w:r>
      <w:r>
        <w:rPr>
          <w:rFonts w:hint="eastAsia" w:ascii="宋体" w:hAnsi="宋体" w:eastAsia="宋体" w:cs="宋体"/>
          <w:color w:val="auto"/>
          <w:highlight w:val="none"/>
          <w:lang w:val="en-US" w:eastAsia="zh-CN"/>
        </w:rPr>
        <w:t>.1付款方式</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11</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.1</w:t>
      </w:r>
      <w:r>
        <w:rPr>
          <w:rFonts w:hint="eastAsia" w:ascii="宋体" w:hAnsi="宋体" w:cs="宋体"/>
          <w:color w:val="auto"/>
          <w:highlight w:val="none"/>
        </w:rPr>
        <w:t>合同签订后，乙方按合同要求在</w:t>
      </w:r>
      <w:r>
        <w:rPr>
          <w:rFonts w:hint="eastAsia" w:ascii="宋体" w:hAnsi="宋体" w:cs="宋体"/>
          <w:color w:val="auto"/>
          <w:highlight w:val="none"/>
          <w:lang w:eastAsia="zh-CN"/>
        </w:rPr>
        <w:t>6</w:t>
      </w:r>
      <w:r>
        <w:rPr>
          <w:rFonts w:hint="eastAsia" w:ascii="宋体" w:hAnsi="宋体" w:cs="宋体"/>
          <w:color w:val="auto"/>
          <w:highlight w:val="none"/>
          <w:lang w:val="en-US" w:eastAsia="zh-CN"/>
        </w:rPr>
        <w:t>0天</w:t>
      </w:r>
      <w:r>
        <w:rPr>
          <w:rFonts w:hint="eastAsia" w:ascii="宋体" w:hAnsi="宋体" w:cs="宋体"/>
          <w:color w:val="auto"/>
          <w:highlight w:val="none"/>
        </w:rPr>
        <w:t>完成核心交换机板卡备件供应后，甲方在收到由乙方提供的以下材料后60个工作日内支付合同</w:t>
      </w:r>
      <w:r>
        <w:rPr>
          <w:rFonts w:hint="eastAsia" w:ascii="宋体" w:hAnsi="宋体" w:cs="宋体"/>
          <w:color w:val="auto"/>
          <w:highlight w:val="none"/>
          <w:lang w:val="en-US" w:eastAsia="zh-CN"/>
        </w:rPr>
        <w:t>第一期进度</w:t>
      </w:r>
      <w:r>
        <w:rPr>
          <w:rFonts w:hint="eastAsia" w:ascii="宋体" w:hAnsi="宋体" w:cs="宋体"/>
          <w:color w:val="auto"/>
          <w:highlight w:val="none"/>
        </w:rPr>
        <w:t>款，</w:t>
      </w:r>
      <w:r>
        <w:rPr>
          <w:rFonts w:hint="eastAsia" w:ascii="宋体" w:hAnsi="宋体" w:cs="宋体"/>
          <w:color w:val="auto"/>
          <w:highlight w:val="none"/>
          <w:lang w:val="en-US" w:eastAsia="zh-CN"/>
        </w:rPr>
        <w:t>第一期进度</w:t>
      </w:r>
      <w:r>
        <w:rPr>
          <w:rFonts w:hint="eastAsia" w:ascii="宋体" w:hAnsi="宋体" w:cs="宋体"/>
          <w:color w:val="auto"/>
          <w:highlight w:val="none"/>
        </w:rPr>
        <w:t>款</w:t>
      </w:r>
      <w:r>
        <w:rPr>
          <w:rFonts w:hint="eastAsia" w:ascii="宋体" w:hAnsi="宋体" w:cs="宋体"/>
          <w:color w:val="auto"/>
          <w:highlight w:val="none"/>
          <w:lang w:val="en-US" w:eastAsia="zh-CN"/>
        </w:rPr>
        <w:t>为</w:t>
      </w:r>
      <w:r>
        <w:rPr>
          <w:rFonts w:hint="eastAsia" w:ascii="宋体" w:hAnsi="宋体" w:cs="宋体"/>
          <w:color w:val="auto"/>
          <w:highlight w:val="none"/>
        </w:rPr>
        <w:t>板卡备件</w:t>
      </w:r>
      <w:r>
        <w:rPr>
          <w:rFonts w:hint="eastAsia" w:ascii="宋体" w:hAnsi="宋体" w:cs="宋体"/>
          <w:color w:val="auto"/>
          <w:highlight w:val="none"/>
          <w:lang w:val="en-US" w:eastAsia="zh-CN"/>
        </w:rPr>
        <w:t>总</w:t>
      </w:r>
      <w:r>
        <w:rPr>
          <w:rFonts w:hint="eastAsia" w:ascii="宋体" w:hAnsi="宋体" w:cs="宋体"/>
          <w:color w:val="auto"/>
          <w:highlight w:val="none"/>
        </w:rPr>
        <w:t>货款</w:t>
      </w:r>
      <w:r>
        <w:rPr>
          <w:rFonts w:hint="eastAsia" w:ascii="宋体" w:hAnsi="宋体" w:cs="宋体"/>
          <w:color w:val="auto"/>
          <w:highlight w:val="none"/>
          <w:lang w:val="en-US" w:eastAsia="zh-CN"/>
        </w:rPr>
        <w:t>的95%，具体详见分项报价表（备品备件部分）</w:t>
      </w:r>
      <w:r>
        <w:rPr>
          <w:rFonts w:hint="eastAsia" w:ascii="宋体" w:hAnsi="宋体" w:cs="宋体"/>
          <w:color w:val="auto"/>
          <w:highlight w:val="none"/>
        </w:rPr>
        <w:t>。</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①乙方开具相应金额的增值税专用发票。</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②乙方出具的支付申请材料。</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lang w:val="en-US" w:eastAsia="zh-CN"/>
        </w:rPr>
      </w:pPr>
      <w:r>
        <w:rPr>
          <w:rFonts w:hint="eastAsia" w:ascii="宋体" w:hAnsi="宋体" w:cs="宋体"/>
          <w:color w:val="auto"/>
          <w:highlight w:val="none"/>
        </w:rPr>
        <w:t>③</w:t>
      </w:r>
      <w:r>
        <w:rPr>
          <w:rFonts w:hint="eastAsia" w:ascii="宋体" w:hAnsi="宋体" w:cs="宋体"/>
          <w:color w:val="auto"/>
          <w:sz w:val="21"/>
          <w:szCs w:val="21"/>
          <w:highlight w:val="none"/>
          <w:lang w:val="en-US" w:eastAsia="zh-CN"/>
        </w:rPr>
        <w:t>开箱检验单和入库单</w:t>
      </w:r>
      <w:r>
        <w:rPr>
          <w:rFonts w:hint="eastAsia" w:ascii="宋体" w:hAnsi="宋体" w:cs="宋体"/>
          <w:color w:val="auto"/>
          <w:highlight w:val="none"/>
        </w:rPr>
        <w:t>。</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11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1.2</w:t>
      </w:r>
      <w:r>
        <w:rPr>
          <w:rFonts w:hint="eastAsia" w:ascii="宋体" w:hAnsi="宋体" w:cs="宋体"/>
          <w:color w:val="auto"/>
          <w:highlight w:val="none"/>
        </w:rPr>
        <w:t>乙方按合同要求完成6个月的</w:t>
      </w:r>
      <w:r>
        <w:rPr>
          <w:rFonts w:hint="eastAsia" w:ascii="宋体" w:hAnsi="宋体" w:cs="宋体"/>
          <w:color w:val="auto"/>
          <w:highlight w:val="none"/>
          <w:lang w:val="en-US" w:eastAsia="zh-CN"/>
        </w:rPr>
        <w:t>服务</w:t>
      </w:r>
      <w:r>
        <w:rPr>
          <w:rFonts w:hint="eastAsia" w:ascii="宋体" w:hAnsi="宋体" w:cs="宋体"/>
          <w:color w:val="auto"/>
          <w:highlight w:val="none"/>
        </w:rPr>
        <w:t>期任务后，甲方在收到由乙方提供的以下材料后60个工作日内支付合同第二期</w:t>
      </w:r>
      <w:r>
        <w:rPr>
          <w:rFonts w:hint="eastAsia" w:ascii="宋体" w:hAnsi="宋体" w:cs="宋体"/>
          <w:color w:val="auto"/>
          <w:highlight w:val="none"/>
          <w:lang w:val="en-US" w:eastAsia="zh-CN"/>
        </w:rPr>
        <w:t>进度</w:t>
      </w:r>
      <w:r>
        <w:rPr>
          <w:rFonts w:hint="eastAsia" w:ascii="宋体" w:hAnsi="宋体" w:cs="宋体"/>
          <w:color w:val="auto"/>
          <w:highlight w:val="none"/>
        </w:rPr>
        <w:t>款，第二</w:t>
      </w:r>
      <w:r>
        <w:rPr>
          <w:rFonts w:hint="eastAsia" w:ascii="宋体" w:hAnsi="宋体" w:cs="宋体"/>
          <w:color w:val="auto"/>
          <w:highlight w:val="none"/>
          <w:lang w:val="en-US" w:eastAsia="zh-CN"/>
        </w:rPr>
        <w:t>期进度</w:t>
      </w:r>
      <w:r>
        <w:rPr>
          <w:rFonts w:hint="eastAsia" w:ascii="宋体" w:hAnsi="宋体" w:cs="宋体"/>
          <w:color w:val="auto"/>
          <w:highlight w:val="none"/>
        </w:rPr>
        <w:t>款金额=</w:t>
      </w:r>
      <w:r>
        <w:rPr>
          <w:rFonts w:hint="eastAsia" w:ascii="宋体" w:hAnsi="宋体" w:cs="宋体"/>
          <w:color w:val="auto"/>
          <w:highlight w:val="none"/>
          <w:lang w:val="en-US" w:eastAsia="zh-CN"/>
        </w:rPr>
        <w:t>本期实际发生的</w:t>
      </w:r>
      <w:r>
        <w:rPr>
          <w:rFonts w:hint="eastAsia" w:ascii="宋体" w:hAnsi="宋体" w:cs="宋体"/>
          <w:color w:val="auto"/>
          <w:highlight w:val="none"/>
        </w:rPr>
        <w:t>设备故障件维修</w:t>
      </w:r>
      <w:r>
        <w:rPr>
          <w:rFonts w:hint="eastAsia" w:ascii="宋体" w:hAnsi="宋体" w:cs="宋体"/>
          <w:color w:val="auto"/>
          <w:highlight w:val="none"/>
          <w:lang w:val="en-US" w:eastAsia="zh-CN"/>
        </w:rPr>
        <w:t>款+50%技术服务款</w:t>
      </w:r>
      <w:r>
        <w:rPr>
          <w:rFonts w:hint="eastAsia" w:ascii="宋体" w:hAnsi="宋体" w:cs="宋体"/>
          <w:color w:val="auto"/>
          <w:highlight w:val="none"/>
        </w:rPr>
        <w:t>-维护期罚金-维护期违约金。</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①乙方开具相应金额的增值税专用发票。</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②乙方出具的支付申请材料。</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③六次《巡检报告》。</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④两次《版本评估报告》。</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⑤</w:t>
      </w:r>
      <w:r>
        <w:rPr>
          <w:rFonts w:hint="eastAsia" w:ascii="宋体" w:hAnsi="宋体" w:cs="宋体"/>
          <w:color w:val="auto"/>
          <w:highlight w:val="none"/>
          <w:lang w:val="en-US" w:eastAsia="zh-CN"/>
        </w:rPr>
        <w:t>两次</w:t>
      </w:r>
      <w:r>
        <w:rPr>
          <w:rFonts w:hint="eastAsia" w:ascii="宋体" w:hAnsi="宋体" w:cs="宋体"/>
          <w:color w:val="auto"/>
          <w:highlight w:val="none"/>
        </w:rPr>
        <w:t>培训记录</w:t>
      </w:r>
      <w:r>
        <w:rPr>
          <w:rFonts w:hint="eastAsia" w:ascii="宋体" w:hAnsi="宋体" w:cs="宋体"/>
          <w:color w:val="auto"/>
          <w:highlight w:val="none"/>
          <w:lang w:eastAsia="zh-CN"/>
        </w:rPr>
        <w:t>。</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⑥六次《违约及考核处理》。</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cs="宋体"/>
          <w:color w:val="auto"/>
          <w:highlight w:val="none"/>
        </w:rPr>
        <w:t>⑦《合同违约处理通知单》（如有）。</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11.1.3</w:t>
      </w:r>
      <w:r>
        <w:rPr>
          <w:rFonts w:hint="eastAsia" w:ascii="宋体" w:hAnsi="宋体" w:cs="宋体"/>
          <w:color w:val="auto"/>
          <w:highlight w:val="none"/>
        </w:rPr>
        <w:t>乙方按合同要求完成12个月的维护期任务后，乙方根据甲方要求完成档案归档及合同结算经甲方审定后，甲方在收到乙方提供的以下材料后60个工作日内支付</w:t>
      </w:r>
      <w:r>
        <w:rPr>
          <w:rFonts w:hint="eastAsia" w:ascii="宋体" w:hAnsi="宋体" w:cs="宋体"/>
          <w:color w:val="auto"/>
          <w:highlight w:val="none"/>
          <w:lang w:val="en-US" w:eastAsia="zh-CN"/>
        </w:rPr>
        <w:t>本期实际发生的</w:t>
      </w:r>
      <w:r>
        <w:rPr>
          <w:rFonts w:hint="eastAsia" w:ascii="宋体" w:hAnsi="宋体" w:cs="宋体"/>
          <w:color w:val="auto"/>
          <w:highlight w:val="none"/>
        </w:rPr>
        <w:t>设备故障件维修</w:t>
      </w:r>
      <w:r>
        <w:rPr>
          <w:rFonts w:hint="eastAsia" w:ascii="宋体" w:hAnsi="宋体" w:cs="宋体"/>
          <w:color w:val="auto"/>
          <w:highlight w:val="none"/>
          <w:lang w:val="en-US" w:eastAsia="zh-CN"/>
        </w:rPr>
        <w:t>款和50%技术服务款</w:t>
      </w:r>
      <w:r>
        <w:rPr>
          <w:rFonts w:hint="eastAsia" w:ascii="宋体" w:hAnsi="宋体" w:cs="宋体"/>
          <w:color w:val="auto"/>
          <w:highlight w:val="none"/>
        </w:rPr>
        <w:t>。</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①乙方开具的增值税专用发票，金额为合同最终审定金额减去已开具增值税发票金额。</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②乙方出具的支付申请材料。</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③十二次《巡检报告》。</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④四次《版本评估报告》。</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⑤一次《网络系统运行情况调查与分析报告》。</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⑥一次《年度服务总结报告》。</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⑦</w:t>
      </w:r>
      <w:r>
        <w:rPr>
          <w:rFonts w:hint="eastAsia" w:ascii="宋体" w:hAnsi="宋体" w:cs="宋体"/>
          <w:color w:val="auto"/>
          <w:highlight w:val="none"/>
          <w:lang w:val="en-US" w:eastAsia="zh-CN"/>
        </w:rPr>
        <w:t>四次</w:t>
      </w:r>
      <w:r>
        <w:rPr>
          <w:rFonts w:hint="eastAsia" w:ascii="宋体" w:hAnsi="宋体" w:cs="宋体"/>
          <w:color w:val="auto"/>
          <w:highlight w:val="none"/>
        </w:rPr>
        <w:t>培训记录。</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⑧一次《验收报告》。</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lang w:val="en-US" w:eastAsia="zh-CN"/>
        </w:rPr>
      </w:pPr>
      <w:r>
        <w:rPr>
          <w:rFonts w:hint="eastAsia" w:ascii="宋体" w:hAnsi="宋体" w:cs="宋体"/>
          <w:color w:val="auto"/>
          <w:highlight w:val="none"/>
        </w:rPr>
        <w:t>⑨十二次《违约及考核处理》。</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⑩</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合同违约处</w:t>
      </w:r>
      <w:r>
        <w:rPr>
          <w:rFonts w:hint="eastAsia" w:ascii="宋体" w:hAnsi="宋体" w:cs="宋体"/>
          <w:color w:val="auto"/>
          <w:highlight w:val="none"/>
          <w:lang w:val="en-US" w:eastAsia="zh-CN"/>
        </w:rPr>
        <w:t>理</w:t>
      </w:r>
      <w:r>
        <w:rPr>
          <w:rFonts w:hint="eastAsia" w:ascii="宋体" w:hAnsi="宋体" w:eastAsia="宋体" w:cs="宋体"/>
          <w:color w:val="auto"/>
          <w:highlight w:val="none"/>
          <w:lang w:val="en-US" w:eastAsia="zh-CN"/>
        </w:rPr>
        <w:t>通知单</w:t>
      </w:r>
      <w:r>
        <w:rPr>
          <w:rFonts w:hint="eastAsia" w:ascii="宋体" w:hAnsi="宋体" w:eastAsia="宋体" w:cs="宋体"/>
          <w:color w:val="auto"/>
          <w:highlight w:val="none"/>
        </w:rPr>
        <w:t>》（如有）。</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11.1.4全部货物质保期满，经甲方确认所有批次产品均无质量问题或乙方已更换有质量问题产品经甲方确认合格后，甲方在收到由乙方提供的以下材料后60个工作日内支付结算审定金额的剩余价款。</w:t>
      </w:r>
    </w:p>
    <w:p>
      <w:pPr>
        <w:tabs>
          <w:tab w:val="left" w:pos="1134"/>
          <w:tab w:val="left" w:pos="8364"/>
        </w:tabs>
        <w:spacing w:before="0" w:after="0" w:afterAutospacing="0"/>
        <w:ind w:left="0" w:right="0"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①乙方出具的支付申请。</w:t>
      </w:r>
    </w:p>
    <w:p>
      <w:pPr>
        <w:tabs>
          <w:tab w:val="left" w:pos="1134"/>
          <w:tab w:val="left" w:pos="8364"/>
        </w:tabs>
        <w:spacing w:before="0" w:after="0" w:afterAutospacing="0"/>
        <w:ind w:left="0" w:right="0" w:firstLine="420" w:firstLineChars="200"/>
        <w:rPr>
          <w:rFonts w:hint="default" w:ascii="宋体" w:hAnsi="宋体" w:eastAsia="宋体" w:cs="宋体"/>
          <w:color w:val="auto"/>
          <w:highlight w:val="none"/>
        </w:rPr>
      </w:pPr>
      <w:r>
        <w:rPr>
          <w:rFonts w:hint="eastAsia" w:ascii="宋体" w:hAnsi="宋体" w:cs="宋体"/>
          <w:color w:val="auto"/>
          <w:highlight w:val="none"/>
          <w:lang w:val="en-US" w:eastAsia="zh-CN"/>
        </w:rPr>
        <w:t>②双方确认的质保期满后产品合格证明。</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11.2</w:t>
      </w:r>
      <w:r>
        <w:rPr>
          <w:rFonts w:hint="eastAsia" w:ascii="宋体" w:hAnsi="宋体" w:cs="宋体"/>
          <w:color w:val="auto"/>
          <w:highlight w:val="none"/>
        </w:rPr>
        <w:t>乙方在完成相应合同义务后以书面形式向甲方申请付款，同时随附注明已完成合同项目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11</w:t>
      </w:r>
      <w:r>
        <w:rPr>
          <w:rFonts w:hint="eastAsia" w:ascii="宋体" w:hAnsi="宋体" w:cs="宋体"/>
          <w:color w:val="auto"/>
          <w:highlight w:val="none"/>
        </w:rPr>
        <w:t>.3支付的货币应以人民币支付，支付形式包括但不限于银行转账、汇票、国内信用证、供应链金融产品等。</w:t>
      </w:r>
      <w:bookmarkEnd w:id="1468"/>
    </w:p>
    <w:p>
      <w:pPr>
        <w:tabs>
          <w:tab w:val="left" w:pos="840"/>
          <w:tab w:val="left" w:pos="1134"/>
        </w:tabs>
        <w:spacing w:before="0" w:after="0" w:afterAutospacing="0"/>
        <w:ind w:left="426" w:right="0" w:firstLine="0"/>
        <w:outlineLvl w:val="1"/>
        <w:rPr>
          <w:rFonts w:hint="eastAsia" w:ascii="宋体" w:hAnsi="宋体" w:eastAsia="宋体" w:cs="宋体"/>
          <w:color w:val="auto"/>
          <w:highlight w:val="none"/>
        </w:rPr>
      </w:pPr>
      <w:bookmarkStart w:id="1471" w:name="_Toc2069"/>
      <w:bookmarkStart w:id="1472" w:name="_Toc18890"/>
      <w:bookmarkStart w:id="1473" w:name="_Toc4697"/>
      <w:bookmarkStart w:id="1474" w:name="_Toc19387"/>
      <w:bookmarkStart w:id="1475" w:name="_Toc12729"/>
      <w:bookmarkStart w:id="1476" w:name="_Toc17247"/>
      <w:bookmarkStart w:id="1477" w:name="_Toc19093"/>
      <w:bookmarkStart w:id="1478" w:name="_Toc492478779"/>
      <w:bookmarkStart w:id="1479" w:name="_Toc385427855"/>
      <w:bookmarkStart w:id="1480" w:name="_Toc23172"/>
      <w:bookmarkStart w:id="1481" w:name="_Toc25750650"/>
      <w:bookmarkStart w:id="1482" w:name="_Toc30094"/>
      <w:bookmarkStart w:id="1483" w:name="_Toc16641"/>
      <w:bookmarkStart w:id="1484" w:name="_Toc13971"/>
      <w:bookmarkStart w:id="1485" w:name="_Toc8657"/>
      <w:bookmarkStart w:id="1486" w:name="_Toc22179"/>
      <w:bookmarkStart w:id="1487" w:name="_Toc13281"/>
      <w:bookmarkStart w:id="1488" w:name="_Toc14992"/>
      <w:bookmarkStart w:id="1489" w:name="_Toc27798"/>
      <w:bookmarkStart w:id="1490" w:name="_Toc12979"/>
      <w:bookmarkStart w:id="1491" w:name="_Toc24274"/>
      <w:bookmarkStart w:id="1492" w:name="_Toc2957"/>
      <w:bookmarkStart w:id="1493" w:name="_Toc9852"/>
      <w:bookmarkStart w:id="1494" w:name="_Toc28757"/>
      <w:bookmarkStart w:id="1495" w:name="_Toc390098481"/>
      <w:bookmarkStart w:id="1496" w:name="_Toc9642"/>
      <w:bookmarkStart w:id="1497" w:name="_Toc18054"/>
      <w:bookmarkStart w:id="1498" w:name="_Toc26222"/>
      <w:r>
        <w:rPr>
          <w:rFonts w:hint="eastAsia" w:ascii="宋体" w:hAnsi="宋体" w:eastAsia="宋体" w:cs="宋体"/>
          <w:b/>
          <w:color w:val="auto"/>
          <w:highlight w:val="none"/>
          <w:lang w:val="en-US" w:eastAsia="zh-CN"/>
        </w:rPr>
        <w:t>1</w:t>
      </w:r>
      <w:r>
        <w:rPr>
          <w:rFonts w:hint="eastAsia" w:ascii="宋体" w:hAnsi="宋体" w:cs="宋体"/>
          <w:b/>
          <w:color w:val="auto"/>
          <w:highlight w:val="none"/>
          <w:lang w:val="en-US" w:eastAsia="zh-CN"/>
        </w:rPr>
        <w:t>2</w:t>
      </w:r>
      <w:r>
        <w:rPr>
          <w:rFonts w:hint="eastAsia" w:ascii="宋体" w:hAnsi="宋体" w:eastAsia="宋体" w:cs="宋体"/>
          <w:b/>
          <w:color w:val="auto"/>
          <w:highlight w:val="none"/>
        </w:rPr>
        <w:t>.合同价格</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tabs>
          <w:tab w:val="left" w:pos="960"/>
          <w:tab w:val="left" w:pos="1418"/>
          <w:tab w:val="left" w:pos="8364"/>
        </w:tabs>
        <w:spacing w:before="0" w:after="0" w:afterAutospacing="0"/>
        <w:ind w:left="105" w:leftChars="5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2</w:t>
      </w:r>
      <w:r>
        <w:rPr>
          <w:rFonts w:hint="eastAsia" w:ascii="宋体" w:hAnsi="宋体" w:eastAsia="宋体" w:cs="宋体"/>
          <w:color w:val="auto"/>
          <w:highlight w:val="none"/>
        </w:rPr>
        <w:t>.1合同价格执行以下条款的规定。</w:t>
      </w:r>
    </w:p>
    <w:p>
      <w:pPr>
        <w:tabs>
          <w:tab w:val="left" w:pos="960"/>
          <w:tab w:val="left" w:pos="1418"/>
          <w:tab w:val="left" w:pos="8364"/>
        </w:tabs>
        <w:spacing w:before="0" w:after="0" w:afterAutospacing="0"/>
        <w:ind w:left="105" w:leftChars="50" w:right="0" w:firstLine="420" w:firstLineChars="200"/>
        <w:rPr>
          <w:rFonts w:hint="eastAsia" w:ascii="宋体" w:hAnsi="宋体" w:cs="宋体"/>
          <w:color w:val="auto"/>
          <w:highlight w:val="none"/>
          <w:lang w:eastAsia="zh-CN"/>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2</w:t>
      </w:r>
      <w:r>
        <w:rPr>
          <w:rFonts w:hint="eastAsia" w:ascii="宋体" w:hAnsi="宋体" w:eastAsia="宋体" w:cs="宋体"/>
          <w:color w:val="auto"/>
          <w:highlight w:val="none"/>
        </w:rPr>
        <w:t>.2本合同价格中</w:t>
      </w:r>
      <w:r>
        <w:rPr>
          <w:rFonts w:hint="eastAsia" w:ascii="宋体" w:hAnsi="宋体" w:eastAsia="宋体" w:cs="宋体"/>
          <w:color w:val="auto"/>
          <w:highlight w:val="none"/>
          <w:u w:val="single"/>
        </w:rPr>
        <w:t>合同不含税单价</w:t>
      </w:r>
      <w:r>
        <w:rPr>
          <w:rFonts w:hint="eastAsia" w:ascii="宋体" w:hAnsi="宋体" w:eastAsia="宋体" w:cs="宋体"/>
          <w:color w:val="auto"/>
          <w:highlight w:val="none"/>
        </w:rPr>
        <w:t>为固定价，不得以任何理由予以合同价格上浮、上调、上涨，但如属经双方协商同意变更的情况除外</w:t>
      </w:r>
      <w:r>
        <w:rPr>
          <w:rFonts w:hint="eastAsia" w:ascii="宋体" w:hAnsi="宋体" w:cs="宋体"/>
          <w:color w:val="auto"/>
          <w:highlight w:val="none"/>
          <w:lang w:eastAsia="zh-CN"/>
        </w:rPr>
        <w:t>。</w:t>
      </w:r>
    </w:p>
    <w:p>
      <w:pPr>
        <w:tabs>
          <w:tab w:val="left" w:pos="960"/>
          <w:tab w:val="left" w:pos="1418"/>
          <w:tab w:val="left" w:pos="8364"/>
        </w:tabs>
        <w:spacing w:before="0" w:after="0" w:afterAutospacing="0"/>
        <w:ind w:left="105" w:leftChars="5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2</w:t>
      </w:r>
      <w:r>
        <w:rPr>
          <w:rFonts w:hint="eastAsia" w:ascii="宋体" w:hAnsi="宋体" w:eastAsia="宋体" w:cs="宋体"/>
          <w:color w:val="auto"/>
          <w:highlight w:val="none"/>
        </w:rPr>
        <w:t>.3合同价格完全包括本合同中要求的全部工作内容、备件、服务及所维护维修涉及的施工及辅材。</w:t>
      </w:r>
    </w:p>
    <w:p>
      <w:pPr>
        <w:tabs>
          <w:tab w:val="left" w:pos="960"/>
          <w:tab w:val="left" w:pos="1418"/>
          <w:tab w:val="left" w:pos="8364"/>
        </w:tabs>
        <w:spacing w:before="0" w:after="0" w:afterAutospacing="0"/>
        <w:ind w:left="105" w:leftChars="50" w:right="0" w:firstLine="420" w:firstLineChars="200"/>
        <w:rPr>
          <w:rFonts w:hint="eastAsia" w:ascii="宋体" w:hAnsi="宋体" w:eastAsia="宋体" w:cs="宋体"/>
          <w:b/>
          <w:color w:val="auto"/>
          <w:highlight w:val="none"/>
          <w:lang w:eastAsia="zh-CN"/>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2</w:t>
      </w:r>
      <w:r>
        <w:rPr>
          <w:rFonts w:hint="eastAsia" w:ascii="宋体" w:hAnsi="宋体" w:eastAsia="宋体" w:cs="宋体"/>
          <w:color w:val="auto"/>
          <w:highlight w:val="none"/>
        </w:rPr>
        <w:t>.4合同价格：不含税价：人民币</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；税费：人民币</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；含税总价：人民币</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w:t>
      </w:r>
      <w:r>
        <w:rPr>
          <w:rFonts w:hint="eastAsia" w:ascii="宋体" w:hAnsi="宋体" w:cs="宋体"/>
          <w:color w:val="auto"/>
          <w:highlight w:val="none"/>
          <w:lang w:val="en-US" w:eastAsia="zh-CN"/>
        </w:rPr>
        <w:t>其中备品备件税率：</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rPr>
        <w:t>；</w:t>
      </w:r>
      <w:r>
        <w:rPr>
          <w:rFonts w:hint="eastAsia" w:ascii="宋体" w:hAnsi="宋体" w:cs="宋体"/>
          <w:color w:val="auto"/>
          <w:highlight w:val="none"/>
          <w:lang w:val="en-US" w:eastAsia="zh-CN"/>
        </w:rPr>
        <w:t>设备故障件维修税率：</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rPr>
        <w:t>；</w:t>
      </w:r>
      <w:r>
        <w:rPr>
          <w:rFonts w:hint="eastAsia" w:ascii="宋体" w:hAnsi="宋体" w:cs="宋体"/>
          <w:color w:val="auto"/>
          <w:highlight w:val="none"/>
          <w:lang w:val="en-US" w:eastAsia="zh-CN"/>
        </w:rPr>
        <w:t>技术服务税率：</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lang w:eastAsia="zh-CN"/>
        </w:rPr>
        <w:t>。</w:t>
      </w:r>
      <w:r>
        <w:rPr>
          <w:rFonts w:hint="eastAsia" w:ascii="宋体" w:hAnsi="宋体" w:eastAsia="宋体" w:cs="宋体"/>
          <w:color w:val="auto"/>
          <w:highlight w:val="none"/>
        </w:rPr>
        <w:t>本合同价格为暂定价，</w:t>
      </w:r>
      <w:r>
        <w:rPr>
          <w:rFonts w:hint="eastAsia" w:ascii="宋体" w:hAnsi="宋体" w:eastAsia="宋体" w:cs="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宋体"/>
          <w:b/>
          <w:color w:val="auto"/>
          <w:highlight w:val="none"/>
          <w:lang w:eastAsia="zh-CN"/>
        </w:rPr>
        <w:t>。</w:t>
      </w:r>
    </w:p>
    <w:p>
      <w:pPr>
        <w:tabs>
          <w:tab w:val="left" w:pos="960"/>
          <w:tab w:val="left" w:pos="1418"/>
          <w:tab w:val="left" w:pos="8364"/>
        </w:tabs>
        <w:spacing w:before="0" w:after="0" w:afterAutospacing="0"/>
        <w:ind w:left="0" w:leftChars="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2</w:t>
      </w:r>
      <w:r>
        <w:rPr>
          <w:rFonts w:hint="eastAsia" w:ascii="宋体" w:hAnsi="宋体" w:eastAsia="宋体" w:cs="宋体"/>
          <w:color w:val="auto"/>
          <w:highlight w:val="none"/>
        </w:rPr>
        <w:t>.5现场知晓</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应当认为，乙方对本合同现场的气候、水文和综合条件以及用于项目运行的资料完全知晓，并对国家及地方法律法规完全知晓。</w:t>
      </w:r>
    </w:p>
    <w:p>
      <w:pPr>
        <w:tabs>
          <w:tab w:val="left" w:pos="960"/>
          <w:tab w:val="left" w:pos="1418"/>
          <w:tab w:val="left" w:pos="836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2</w:t>
      </w:r>
      <w:r>
        <w:rPr>
          <w:rFonts w:hint="eastAsia" w:ascii="宋体" w:hAnsi="宋体" w:eastAsia="宋体" w:cs="宋体"/>
          <w:color w:val="auto"/>
          <w:highlight w:val="none"/>
        </w:rPr>
        <w:t>.6价格的充分性</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应当认为乙方已彻底查清，并在本合同价格中充分考虑到了以下各项：</w:t>
      </w:r>
    </w:p>
    <w:p>
      <w:pPr>
        <w:tabs>
          <w:tab w:val="left" w:pos="1134"/>
          <w:tab w:val="left" w:pos="836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2</w:t>
      </w:r>
      <w:r>
        <w:rPr>
          <w:rFonts w:hint="eastAsia" w:ascii="宋体" w:hAnsi="宋体" w:eastAsia="宋体" w:cs="宋体"/>
          <w:color w:val="auto"/>
          <w:highlight w:val="none"/>
        </w:rPr>
        <w:t>.6.1影响合同价格的全部条件和情况；</w:t>
      </w:r>
    </w:p>
    <w:p>
      <w:pPr>
        <w:tabs>
          <w:tab w:val="left" w:pos="1134"/>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2</w:t>
      </w:r>
      <w:r>
        <w:rPr>
          <w:rFonts w:hint="eastAsia" w:ascii="宋体" w:hAnsi="宋体" w:eastAsia="宋体" w:cs="宋体"/>
          <w:color w:val="auto"/>
          <w:highlight w:val="none"/>
        </w:rPr>
        <w:t>.6.2完成合同中所述项目的可能性；</w:t>
      </w:r>
    </w:p>
    <w:p>
      <w:pPr>
        <w:tabs>
          <w:tab w:val="left" w:pos="1134"/>
          <w:tab w:val="left" w:pos="836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2</w:t>
      </w:r>
      <w:r>
        <w:rPr>
          <w:rFonts w:hint="eastAsia" w:ascii="宋体" w:hAnsi="宋体" w:eastAsia="宋体" w:cs="宋体"/>
          <w:color w:val="auto"/>
          <w:highlight w:val="none"/>
        </w:rPr>
        <w:t>.6.3现场的综合情况；</w:t>
      </w:r>
    </w:p>
    <w:p>
      <w:pPr>
        <w:tabs>
          <w:tab w:val="left" w:pos="1134"/>
          <w:tab w:val="left" w:pos="836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2</w:t>
      </w:r>
      <w:r>
        <w:rPr>
          <w:rFonts w:hint="eastAsia" w:ascii="宋体" w:hAnsi="宋体" w:eastAsia="宋体" w:cs="宋体"/>
          <w:color w:val="auto"/>
          <w:highlight w:val="none"/>
        </w:rPr>
        <w:t>.6.4现场总的劳务情况；</w:t>
      </w:r>
    </w:p>
    <w:p>
      <w:pPr>
        <w:tabs>
          <w:tab w:val="left" w:pos="1134"/>
          <w:tab w:val="left" w:pos="836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2</w:t>
      </w:r>
      <w:r>
        <w:rPr>
          <w:rFonts w:hint="eastAsia" w:ascii="宋体" w:hAnsi="宋体" w:eastAsia="宋体" w:cs="宋体"/>
          <w:color w:val="auto"/>
          <w:highlight w:val="none"/>
        </w:rPr>
        <w:t>.6.5甲方不接受乙方以组价不当（包括对工作内容理解的偏差、工料耗量水平的确定、生产要素市场价格的判断、取费决策等）为由而主张的任何损失或索赔。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hint="eastAsia" w:ascii="宋体" w:hAnsi="宋体" w:eastAsia="宋体" w:cs="宋体"/>
          <w:b/>
          <w:color w:val="auto"/>
          <w:highlight w:val="none"/>
        </w:rPr>
      </w:pPr>
      <w:bookmarkStart w:id="1499" w:name="_Toc29593"/>
      <w:bookmarkStart w:id="1500" w:name="_Toc25230"/>
      <w:bookmarkStart w:id="1501" w:name="_Toc24363"/>
      <w:bookmarkStart w:id="1502" w:name="_Toc10545"/>
      <w:bookmarkStart w:id="1503" w:name="_Toc12825"/>
      <w:bookmarkStart w:id="1504" w:name="_Toc3558"/>
      <w:bookmarkStart w:id="1505" w:name="_Toc26418"/>
      <w:bookmarkStart w:id="1506" w:name="_Toc492478780"/>
      <w:bookmarkStart w:id="1507" w:name="_Toc370933873"/>
      <w:bookmarkStart w:id="1508" w:name="_Toc30611"/>
      <w:bookmarkStart w:id="1509" w:name="_Toc29106"/>
      <w:bookmarkStart w:id="1510" w:name="_Toc8159"/>
      <w:bookmarkStart w:id="1511" w:name="_Toc390098482"/>
      <w:bookmarkStart w:id="1512" w:name="_Toc6771"/>
      <w:bookmarkStart w:id="1513" w:name="_Toc24113"/>
      <w:bookmarkStart w:id="1514" w:name="_Toc5961"/>
      <w:bookmarkStart w:id="1515" w:name="_Toc25441"/>
      <w:bookmarkStart w:id="1516" w:name="_Toc14851"/>
      <w:bookmarkStart w:id="1517" w:name="_Toc385427856"/>
      <w:bookmarkStart w:id="1518" w:name="_Toc32028"/>
      <w:bookmarkStart w:id="1519" w:name="_Toc20374"/>
      <w:bookmarkStart w:id="1520" w:name="_Toc2956"/>
      <w:bookmarkStart w:id="1521" w:name="_Toc23070"/>
      <w:bookmarkStart w:id="1522" w:name="_Toc2295"/>
      <w:bookmarkStart w:id="1523" w:name="_Toc21856"/>
      <w:bookmarkStart w:id="1524" w:name="_Toc378514970"/>
      <w:bookmarkStart w:id="1525" w:name="_Toc9450"/>
      <w:bookmarkStart w:id="1526" w:name="_Toc769"/>
      <w:bookmarkStart w:id="1527" w:name="_Toc27489"/>
      <w:bookmarkStart w:id="1528" w:name="_Toc25750651"/>
      <w:r>
        <w:rPr>
          <w:rFonts w:hint="eastAsia" w:ascii="宋体" w:hAnsi="宋体" w:eastAsia="宋体" w:cs="宋体"/>
          <w:b/>
          <w:color w:val="auto"/>
          <w:highlight w:val="none"/>
          <w:lang w:val="en-US" w:eastAsia="zh-CN"/>
        </w:rPr>
        <w:t>1</w:t>
      </w:r>
      <w:r>
        <w:rPr>
          <w:rFonts w:hint="eastAsia" w:ascii="宋体" w:hAnsi="宋体" w:cs="宋体"/>
          <w:b/>
          <w:color w:val="auto"/>
          <w:highlight w:val="none"/>
          <w:lang w:val="en-US" w:eastAsia="zh-CN"/>
        </w:rPr>
        <w:t>3</w:t>
      </w:r>
      <w:r>
        <w:rPr>
          <w:rFonts w:hint="eastAsia" w:ascii="宋体" w:hAnsi="宋体" w:eastAsia="宋体" w:cs="宋体"/>
          <w:b/>
          <w:color w:val="auto"/>
          <w:highlight w:val="none"/>
        </w:rPr>
        <w:t>.合同变更与修改</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b w:val="0"/>
          <w:bCs/>
          <w:color w:val="auto"/>
          <w:highlight w:val="none"/>
          <w:lang w:val="en-US" w:eastAsia="zh-CN"/>
        </w:rPr>
        <w:t>1</w:t>
      </w:r>
      <w:r>
        <w:rPr>
          <w:rFonts w:hint="eastAsia" w:ascii="宋体" w:hAnsi="宋体" w:cs="宋体"/>
          <w:b w:val="0"/>
          <w:bCs/>
          <w:color w:val="auto"/>
          <w:highlight w:val="none"/>
          <w:lang w:val="en-US" w:eastAsia="zh-CN"/>
        </w:rPr>
        <w:t>3</w:t>
      </w:r>
      <w:r>
        <w:rPr>
          <w:rFonts w:hint="eastAsia" w:ascii="宋体" w:hAnsi="宋体" w:eastAsia="宋体" w:cs="宋体"/>
          <w:color w:val="auto"/>
          <w:highlight w:val="none"/>
        </w:rPr>
        <w:t>.1除非甲方与乙方双方签署书面修改书，否则不能对合同条款进行任何变更。如果合同另有约定，从其约定。</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b w:val="0"/>
          <w:bCs/>
          <w:color w:val="auto"/>
          <w:highlight w:val="none"/>
          <w:lang w:val="en-US" w:eastAsia="zh-CN"/>
        </w:rPr>
        <w:t>1</w:t>
      </w:r>
      <w:r>
        <w:rPr>
          <w:rFonts w:hint="eastAsia" w:ascii="宋体" w:hAnsi="宋体" w:cs="宋体"/>
          <w:b w:val="0"/>
          <w:bCs/>
          <w:color w:val="auto"/>
          <w:highlight w:val="none"/>
          <w:lang w:val="en-US" w:eastAsia="zh-CN"/>
        </w:rPr>
        <w:t>3</w:t>
      </w:r>
      <w:r>
        <w:rPr>
          <w:rFonts w:hint="eastAsia" w:ascii="宋体" w:hAnsi="宋体" w:eastAsia="宋体" w:cs="宋体"/>
          <w:color w:val="auto"/>
          <w:highlight w:val="none"/>
        </w:rPr>
        <w:t>.2任何对合同条件的变更或修改均须根据双方协商达成的协议，以规定的标准修改书形式由双方授权代表签字盖章来完成，并作为本合同不可分割的组成部分，具有与合同本身同样的效力。</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b w:val="0"/>
          <w:bCs/>
          <w:color w:val="auto"/>
          <w:highlight w:val="none"/>
          <w:lang w:val="en-US" w:eastAsia="zh-CN"/>
        </w:rPr>
        <w:t>1</w:t>
      </w:r>
      <w:r>
        <w:rPr>
          <w:rFonts w:hint="eastAsia" w:ascii="宋体" w:hAnsi="宋体" w:cs="宋体"/>
          <w:b w:val="0"/>
          <w:bCs/>
          <w:color w:val="auto"/>
          <w:highlight w:val="none"/>
          <w:lang w:val="en-US" w:eastAsia="zh-CN"/>
        </w:rPr>
        <w:t>3</w:t>
      </w:r>
      <w:r>
        <w:rPr>
          <w:rFonts w:hint="eastAsia" w:ascii="宋体" w:hAnsi="宋体" w:eastAsia="宋体" w:cs="宋体"/>
          <w:color w:val="auto"/>
          <w:highlight w:val="none"/>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b w:val="0"/>
          <w:bCs/>
          <w:color w:val="auto"/>
          <w:highlight w:val="none"/>
          <w:lang w:val="en-US" w:eastAsia="zh-CN"/>
        </w:rPr>
        <w:t>1</w:t>
      </w:r>
      <w:r>
        <w:rPr>
          <w:rFonts w:hint="eastAsia" w:ascii="宋体" w:hAnsi="宋体" w:cs="宋体"/>
          <w:b w:val="0"/>
          <w:bCs/>
          <w:color w:val="auto"/>
          <w:highlight w:val="none"/>
          <w:lang w:val="en-US" w:eastAsia="zh-CN"/>
        </w:rPr>
        <w:t>3</w:t>
      </w:r>
      <w:r>
        <w:rPr>
          <w:rFonts w:hint="eastAsia" w:ascii="宋体" w:hAnsi="宋体" w:eastAsia="宋体" w:cs="宋体"/>
          <w:color w:val="auto"/>
          <w:highlight w:val="none"/>
        </w:rPr>
        <w:t>.4 变更费用的确认：</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b w:val="0"/>
          <w:bCs/>
          <w:color w:val="auto"/>
          <w:highlight w:val="none"/>
          <w:lang w:val="en-US" w:eastAsia="zh-CN"/>
        </w:rPr>
        <w:t>1</w:t>
      </w:r>
      <w:r>
        <w:rPr>
          <w:rFonts w:hint="eastAsia" w:ascii="宋体" w:hAnsi="宋体" w:cs="宋体"/>
          <w:b w:val="0"/>
          <w:bCs/>
          <w:color w:val="auto"/>
          <w:highlight w:val="none"/>
          <w:lang w:val="en-US" w:eastAsia="zh-CN"/>
        </w:rPr>
        <w:t>3</w:t>
      </w:r>
      <w:r>
        <w:rPr>
          <w:rFonts w:hint="eastAsia" w:ascii="宋体" w:hAnsi="宋体" w:eastAsia="宋体" w:cs="宋体"/>
          <w:color w:val="auto"/>
          <w:highlight w:val="none"/>
        </w:rPr>
        <w:t>.4.1变更后的费用经甲乙双方协商确认后，如低于原合同价格，则按照变更后的费用来执行；</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b w:val="0"/>
          <w:bCs/>
          <w:color w:val="auto"/>
          <w:highlight w:val="none"/>
          <w:lang w:val="en-US" w:eastAsia="zh-CN"/>
        </w:rPr>
        <w:t>1</w:t>
      </w:r>
      <w:r>
        <w:rPr>
          <w:rFonts w:hint="eastAsia" w:ascii="宋体" w:hAnsi="宋体" w:cs="宋体"/>
          <w:b w:val="0"/>
          <w:bCs/>
          <w:color w:val="auto"/>
          <w:highlight w:val="none"/>
          <w:lang w:val="en-US" w:eastAsia="zh-CN"/>
        </w:rPr>
        <w:t>3</w:t>
      </w:r>
      <w:r>
        <w:rPr>
          <w:rFonts w:hint="eastAsia" w:ascii="宋体" w:hAnsi="宋体" w:eastAsia="宋体" w:cs="宋体"/>
          <w:color w:val="auto"/>
          <w:highlight w:val="none"/>
        </w:rPr>
        <w:t>.4.2变更后的费用经甲乙双方协商确认后，如高于原合同价格，则按照原合同价格来执行。</w:t>
      </w:r>
    </w:p>
    <w:p>
      <w:pPr>
        <w:tabs>
          <w:tab w:val="left" w:pos="840"/>
          <w:tab w:val="left" w:pos="1843"/>
        </w:tabs>
        <w:spacing w:before="0" w:after="0" w:afterAutospacing="0"/>
        <w:ind w:left="422" w:right="0" w:firstLine="0"/>
        <w:outlineLvl w:val="1"/>
        <w:rPr>
          <w:rFonts w:hint="eastAsia" w:ascii="宋体" w:hAnsi="宋体" w:eastAsia="宋体" w:cs="宋体"/>
          <w:b/>
          <w:color w:val="auto"/>
          <w:sz w:val="21"/>
          <w:szCs w:val="21"/>
          <w:highlight w:val="none"/>
        </w:rPr>
      </w:pPr>
      <w:bookmarkStart w:id="1529" w:name="_Toc22898"/>
      <w:bookmarkStart w:id="1530" w:name="_Toc506"/>
      <w:bookmarkStart w:id="1531" w:name="_Toc1109"/>
      <w:r>
        <w:rPr>
          <w:rFonts w:hint="eastAsia" w:ascii="宋体" w:hAnsi="宋体" w:eastAsia="宋体" w:cs="宋体"/>
          <w:b/>
          <w:color w:val="auto"/>
          <w:highlight w:val="none"/>
          <w:lang w:val="en-US" w:eastAsia="zh-CN"/>
        </w:rPr>
        <w:t>1</w:t>
      </w:r>
      <w:r>
        <w:rPr>
          <w:rFonts w:hint="eastAsia" w:ascii="宋体" w:hAnsi="宋体" w:cs="宋体"/>
          <w:b/>
          <w:color w:val="auto"/>
          <w:highlight w:val="none"/>
          <w:lang w:val="en-US" w:eastAsia="zh-CN"/>
        </w:rPr>
        <w:t>4</w:t>
      </w:r>
      <w:r>
        <w:rPr>
          <w:rFonts w:hint="eastAsia" w:ascii="宋体" w:hAnsi="宋体" w:eastAsia="宋体" w:cs="宋体"/>
          <w:b/>
          <w:color w:val="auto"/>
          <w:highlight w:val="none"/>
          <w:lang w:val="en-US" w:eastAsia="zh-CN"/>
        </w:rPr>
        <w:t>.</w:t>
      </w:r>
      <w:r>
        <w:rPr>
          <w:rFonts w:hint="eastAsia" w:ascii="宋体" w:hAnsi="宋体" w:eastAsia="宋体" w:cs="宋体"/>
          <w:b/>
          <w:color w:val="auto"/>
          <w:sz w:val="21"/>
          <w:szCs w:val="21"/>
          <w:highlight w:val="none"/>
        </w:rPr>
        <w:t>考核</w:t>
      </w:r>
      <w:r>
        <w:rPr>
          <w:rFonts w:hint="eastAsia" w:ascii="宋体" w:hAnsi="宋体" w:eastAsia="宋体" w:cs="宋体"/>
          <w:b/>
          <w:color w:val="auto"/>
          <w:sz w:val="21"/>
          <w:szCs w:val="21"/>
          <w:highlight w:val="none"/>
          <w:lang w:val="en-US" w:eastAsia="zh-CN"/>
        </w:rPr>
        <w:t>评价</w:t>
      </w:r>
      <w:bookmarkEnd w:id="1529"/>
      <w:bookmarkEnd w:id="1530"/>
      <w:bookmarkEnd w:id="1531"/>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4</w:t>
      </w:r>
      <w:r>
        <w:rPr>
          <w:rFonts w:hint="eastAsia" w:ascii="宋体" w:hAnsi="宋体" w:eastAsia="宋体" w:cs="宋体"/>
          <w:color w:val="auto"/>
          <w:highlight w:val="none"/>
          <w:lang w:val="en-US" w:eastAsia="zh-CN"/>
        </w:rPr>
        <w:t>.1甲方</w:t>
      </w:r>
      <w:r>
        <w:rPr>
          <w:rFonts w:hint="eastAsia" w:ascii="宋体" w:hAnsi="宋体" w:eastAsia="宋体" w:cs="宋体"/>
          <w:color w:val="auto"/>
          <w:highlight w:val="none"/>
        </w:rPr>
        <w:t>每半年将对</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的合同履约情况进行评价，考核周期内每个月对项目进行考核评价，考核内容详见附件</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，汇总半年违约及考核处理情况，并经</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相关部门审核后，在合同应付款中减去相应金额。</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在实施维保项目过程中，对违反</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安全、生产、乘车、文明等管理规定的情形，违约处理标准按照</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文件执行，违约金在当期应付款中扣除，不再返还，违约处理通知单详见附件</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评价时间：合同执行期每半年</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评价主持：</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相关部门</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参加人员：</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部门</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半年评价得分=当期6个月月度考评得分的平均得分。</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考核结果</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(1)当期得分在90分及以上，半年度考评为优秀。</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(2)当期得分在80分及以上至90分，则向</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提出警告，</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负责整改。</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(3)当期得分在70分及以上至80分，对比80分，每低于1分扣</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当期进度款0.5%。</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(4)当期得分低于70分，扣</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10%当期进度款，同时</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有权立即终止合同。</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(5)月度评估单次所得分数低于60分，</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有权立即终止合同。</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因承包方责任造成解除合同的，由承包方承担相应的责任, 并赔偿相应损失。</w:t>
      </w:r>
    </w:p>
    <w:p>
      <w:pPr>
        <w:spacing w:before="0" w:after="0" w:afterAutospacing="0"/>
        <w:ind w:left="0" w:right="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.3乙方</w:t>
      </w:r>
      <w:r>
        <w:rPr>
          <w:rFonts w:hint="eastAsia" w:ascii="宋体" w:hAnsi="宋体" w:eastAsia="宋体" w:cs="宋体"/>
          <w:color w:val="auto"/>
          <w:highlight w:val="none"/>
        </w:rPr>
        <w:t>在收到考核单后，如有意见，在两个工作日可提出申诉，</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在收到申诉后两个工作日答复，</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在五个工作日内必须签字盖章返回，若因此导致</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支付进度款延时，责任由</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自行承担。</w:t>
      </w:r>
    </w:p>
    <w:p>
      <w:pPr>
        <w:tabs>
          <w:tab w:val="left" w:pos="840"/>
          <w:tab w:val="left" w:pos="1843"/>
        </w:tabs>
        <w:spacing w:before="0" w:after="0" w:afterAutospacing="0"/>
        <w:ind w:left="422" w:right="0" w:firstLine="0"/>
        <w:outlineLvl w:val="1"/>
        <w:rPr>
          <w:rFonts w:hint="eastAsia" w:ascii="宋体" w:hAnsi="宋体" w:eastAsia="宋体" w:cs="宋体"/>
          <w:b/>
          <w:color w:val="auto"/>
          <w:highlight w:val="none"/>
        </w:rPr>
      </w:pPr>
      <w:bookmarkStart w:id="1532" w:name="_Toc378514971"/>
      <w:bookmarkStart w:id="1533" w:name="_Toc24029"/>
      <w:bookmarkStart w:id="1534" w:name="_Toc18453"/>
      <w:bookmarkStart w:id="1535" w:name="_Toc29664"/>
      <w:bookmarkStart w:id="1536" w:name="_Toc25750652"/>
      <w:bookmarkStart w:id="1537" w:name="_Toc21302"/>
      <w:bookmarkStart w:id="1538" w:name="_Toc390098483"/>
      <w:bookmarkStart w:id="1539" w:name="_Toc27980"/>
      <w:bookmarkStart w:id="1540" w:name="_Toc16088"/>
      <w:bookmarkStart w:id="1541" w:name="_Toc492478781"/>
      <w:bookmarkStart w:id="1542" w:name="_Toc17820"/>
      <w:bookmarkStart w:id="1543" w:name="_Toc29029"/>
      <w:bookmarkStart w:id="1544" w:name="_Toc3081"/>
      <w:bookmarkStart w:id="1545" w:name="_Toc15094"/>
      <w:bookmarkStart w:id="1546" w:name="_Toc1259"/>
      <w:bookmarkStart w:id="1547" w:name="_Toc385427857"/>
      <w:bookmarkStart w:id="1548" w:name="_Toc18239"/>
      <w:bookmarkStart w:id="1549" w:name="_Toc4403"/>
      <w:bookmarkStart w:id="1550" w:name="_Toc25965"/>
      <w:bookmarkStart w:id="1551" w:name="_Toc2307"/>
      <w:bookmarkStart w:id="1552" w:name="_Toc25195"/>
      <w:bookmarkStart w:id="1553" w:name="_Toc370933874"/>
      <w:bookmarkStart w:id="1554" w:name="_Toc28641"/>
      <w:bookmarkStart w:id="1555" w:name="_Toc11895"/>
      <w:bookmarkStart w:id="1556" w:name="_Toc9202"/>
      <w:bookmarkStart w:id="1557" w:name="_Toc25407"/>
      <w:bookmarkStart w:id="1558" w:name="_Toc15559"/>
      <w:bookmarkStart w:id="1559" w:name="_Toc11139"/>
      <w:bookmarkStart w:id="1560" w:name="_Toc6810"/>
      <w:bookmarkStart w:id="1561" w:name="_Toc6251"/>
      <w:r>
        <w:rPr>
          <w:rFonts w:hint="eastAsia" w:ascii="宋体" w:hAnsi="宋体" w:eastAsia="宋体" w:cs="宋体"/>
          <w:b/>
          <w:color w:val="auto"/>
          <w:highlight w:val="none"/>
          <w:lang w:val="en-US" w:eastAsia="zh-CN"/>
        </w:rPr>
        <w:t>1</w:t>
      </w:r>
      <w:r>
        <w:rPr>
          <w:rFonts w:hint="eastAsia" w:ascii="宋体" w:hAnsi="宋体" w:cs="宋体"/>
          <w:b/>
          <w:color w:val="auto"/>
          <w:highlight w:val="none"/>
          <w:lang w:val="en-US" w:eastAsia="zh-CN"/>
        </w:rPr>
        <w:t>5</w:t>
      </w:r>
      <w:r>
        <w:rPr>
          <w:rFonts w:hint="eastAsia" w:ascii="宋体" w:hAnsi="宋体" w:eastAsia="宋体" w:cs="宋体"/>
          <w:b/>
          <w:color w:val="auto"/>
          <w:highlight w:val="none"/>
        </w:rPr>
        <w:t>.</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Pr>
          <w:rFonts w:hint="eastAsia" w:ascii="宋体" w:hAnsi="宋体" w:eastAsia="宋体" w:cs="宋体"/>
          <w:b/>
          <w:color w:val="auto"/>
          <w:highlight w:val="none"/>
        </w:rPr>
        <w:t>违约责任</w:t>
      </w:r>
      <w:bookmarkEnd w:id="1556"/>
      <w:bookmarkEnd w:id="1557"/>
      <w:bookmarkEnd w:id="1558"/>
      <w:bookmarkEnd w:id="1559"/>
      <w:bookmarkEnd w:id="1560"/>
      <w:bookmarkEnd w:id="1561"/>
    </w:p>
    <w:p>
      <w:pPr>
        <w:tabs>
          <w:tab w:val="left" w:pos="112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.1 乙方所提供的货物规格、技术标准、材料等质量不合格的，应及时更换。</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.2.1作业过程中因</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原因导致的直接及间接经济损失由</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承担。</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.2.2</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违反</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保密规定相关内容时，每次扣除10000元。</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.2.3发生责任一般事件（C类、B类、A类）、责任一般事故（C类、B类、A类）、责任较大事故、责任重大事故、责任特别重大事故的，发生一次扣除10000元起，每上升一档增加扣除10000元。</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.2.4因</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人为原因造成一般事件C类以下的安全责任事件的，每次扣除1000元，以</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最终发文的责任认定为准。</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.2.5因</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原因造成死亡1人以上或重伤10人以上或直接经济损失200万元以上的，</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不支付</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当期委外维保款，并有权向</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追责及终止合同。</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.2.6凡因设备故障而产生重大影响，导致</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归口管理室、中心或运营公司受到上级部门及外部门考核的情况，</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须按上级部门及外部门考核</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归口管理中心金额的2倍向</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支付违约金。</w:t>
      </w:r>
    </w:p>
    <w:p>
      <w:pPr>
        <w:spacing w:before="0" w:after="0" w:afterAutospacing="0"/>
        <w:ind w:left="0" w:right="0"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rPr>
        <w:t>注：由于</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原因导致的事故事件，除进行上述的扣款外，</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还要承担由此造成的经济损失，并承担全部责任。</w:t>
      </w:r>
      <w:r>
        <w:rPr>
          <w:rFonts w:hint="eastAsia" w:ascii="宋体" w:hAnsi="宋体" w:eastAsia="宋体" w:cs="宋体"/>
          <w:color w:val="auto"/>
          <w:highlight w:val="none"/>
          <w:lang w:eastAsia="zh-CN"/>
        </w:rPr>
        <w:t>）</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.3由于乙方所提供的货物及安装质量不合格给甲方或第三方造成人身财产损失的，乙方应承担全部责任。</w:t>
      </w:r>
    </w:p>
    <w:p>
      <w:pPr>
        <w:tabs>
          <w:tab w:val="left" w:pos="112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.4由于</w:t>
      </w:r>
      <w:bookmarkStart w:id="1562" w:name="_Hlk86248703"/>
      <w:r>
        <w:rPr>
          <w:rFonts w:hint="eastAsia" w:ascii="宋体" w:hAnsi="宋体" w:eastAsia="宋体" w:cs="宋体"/>
          <w:color w:val="auto"/>
          <w:highlight w:val="none"/>
        </w:rPr>
        <w:t>乙方在项目施工过程中对甲方人员或设备造成损害，乙方应承担全部责任</w:t>
      </w:r>
      <w:bookmarkEnd w:id="1562"/>
      <w:r>
        <w:rPr>
          <w:rFonts w:hint="eastAsia" w:ascii="宋体" w:hAnsi="宋体" w:eastAsia="宋体" w:cs="宋体"/>
          <w:color w:val="auto"/>
          <w:highlight w:val="none"/>
        </w:rPr>
        <w:t>。</w:t>
      </w:r>
    </w:p>
    <w:p>
      <w:pPr>
        <w:tabs>
          <w:tab w:val="left" w:pos="112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.5本合同中所列的违约金和赔偿款，甲方有权从合同款中扣除。所有违约金和赔偿款的支付，不免除乙方继续履行合同义务，也不减轻乙方合同项下的其他责任和义务。</w:t>
      </w:r>
    </w:p>
    <w:p>
      <w:pPr>
        <w:tabs>
          <w:tab w:val="left" w:pos="112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.6因乙方违约导致甲方损失无法计算的，按乙方违约所得利益的5倍计算。</w:t>
      </w:r>
    </w:p>
    <w:p>
      <w:pPr>
        <w:pStyle w:val="32"/>
        <w:ind w:left="0" w:left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7甲、乙任何一方违反本协议约定给对方造成损失的，违约方应承担因此产生的一切责任，如给守约方造成损失的，守约方有权向违约方追偿，并承担守约方维护合法权益所支出的费用（包括但不限于律师费、诉讼费、保全费、差旅费、保全保险费等）。</w:t>
      </w:r>
    </w:p>
    <w:p>
      <w:pPr>
        <w:tabs>
          <w:tab w:val="left" w:pos="840"/>
          <w:tab w:val="left" w:pos="1843"/>
        </w:tabs>
        <w:spacing w:before="0" w:after="0" w:afterAutospacing="0"/>
        <w:ind w:left="422" w:right="0" w:firstLine="0"/>
        <w:outlineLvl w:val="1"/>
        <w:rPr>
          <w:rFonts w:hint="eastAsia" w:ascii="宋体" w:hAnsi="宋体" w:eastAsia="宋体" w:cs="宋体"/>
          <w:b/>
          <w:bCs/>
          <w:color w:val="auto"/>
          <w:highlight w:val="none"/>
        </w:rPr>
      </w:pPr>
      <w:bookmarkStart w:id="1563" w:name="_Toc14280"/>
      <w:bookmarkStart w:id="1564" w:name="_Toc27022"/>
      <w:bookmarkStart w:id="1565" w:name="_Toc16440"/>
      <w:bookmarkStart w:id="1566" w:name="_Toc2241"/>
      <w:bookmarkStart w:id="1567" w:name="_Toc6370"/>
      <w:bookmarkStart w:id="1568" w:name="_Toc7546"/>
      <w:r>
        <w:rPr>
          <w:rFonts w:hint="eastAsia" w:ascii="宋体" w:hAnsi="宋体" w:eastAsia="宋体" w:cs="宋体"/>
          <w:b/>
          <w:color w:val="auto"/>
          <w:highlight w:val="none"/>
          <w:lang w:val="en-US" w:eastAsia="zh-CN"/>
        </w:rPr>
        <w:t>1</w:t>
      </w:r>
      <w:r>
        <w:rPr>
          <w:rFonts w:hint="eastAsia" w:ascii="宋体" w:hAnsi="宋体" w:cs="宋体"/>
          <w:b/>
          <w:color w:val="auto"/>
          <w:highlight w:val="none"/>
          <w:lang w:val="en-US" w:eastAsia="zh-CN"/>
        </w:rPr>
        <w:t>6</w:t>
      </w:r>
      <w:r>
        <w:rPr>
          <w:rFonts w:hint="eastAsia" w:ascii="宋体" w:hAnsi="宋体" w:eastAsia="宋体" w:cs="宋体"/>
          <w:b/>
          <w:color w:val="auto"/>
          <w:highlight w:val="none"/>
        </w:rPr>
        <w:t>.</w:t>
      </w:r>
      <w:r>
        <w:rPr>
          <w:rFonts w:hint="eastAsia" w:ascii="宋体" w:hAnsi="宋体" w:eastAsia="宋体" w:cs="宋体"/>
          <w:b/>
          <w:bCs/>
          <w:color w:val="auto"/>
          <w:highlight w:val="none"/>
        </w:rPr>
        <w:t>合同解除和终止</w:t>
      </w:r>
      <w:bookmarkEnd w:id="1563"/>
      <w:bookmarkEnd w:id="1564"/>
      <w:bookmarkEnd w:id="1565"/>
      <w:bookmarkEnd w:id="1566"/>
      <w:bookmarkEnd w:id="1567"/>
      <w:bookmarkEnd w:id="1568"/>
    </w:p>
    <w:p>
      <w:pPr>
        <w:tabs>
          <w:tab w:val="left" w:pos="112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6</w:t>
      </w:r>
      <w:r>
        <w:rPr>
          <w:rFonts w:hint="eastAsia" w:ascii="宋体" w:hAnsi="宋体" w:eastAsia="宋体" w:cs="宋体"/>
          <w:color w:val="auto"/>
          <w:highlight w:val="none"/>
        </w:rPr>
        <w:t>.1合同自然终止</w:t>
      </w:r>
    </w:p>
    <w:p>
      <w:pPr>
        <w:tabs>
          <w:tab w:val="left" w:pos="112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甲乙双方各自完成合同规定的责任和义务或发生不可抗力，合同自然终止。</w:t>
      </w:r>
    </w:p>
    <w:p>
      <w:pPr>
        <w:tabs>
          <w:tab w:val="left" w:pos="112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6</w:t>
      </w:r>
      <w:r>
        <w:rPr>
          <w:rFonts w:hint="eastAsia" w:ascii="宋体" w:hAnsi="宋体" w:eastAsia="宋体" w:cs="宋体"/>
          <w:color w:val="auto"/>
          <w:highlight w:val="none"/>
        </w:rPr>
        <w:t>.2 违约违规终止合同</w:t>
      </w:r>
    </w:p>
    <w:p>
      <w:pPr>
        <w:tabs>
          <w:tab w:val="left" w:pos="540"/>
          <w:tab w:val="left" w:pos="96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6</w:t>
      </w:r>
      <w:r>
        <w:rPr>
          <w:rFonts w:hint="eastAsia" w:ascii="宋体" w:hAnsi="宋体" w:eastAsia="宋体" w:cs="宋体"/>
          <w:color w:val="auto"/>
          <w:highlight w:val="none"/>
        </w:rPr>
        <w:t>.2.1在合同有效期内，如发现乙方违法分包、转包或挂靠，或前期存在围标串标或提供虚假资料情形的，甲方将单方终止合同，乙方须承担违约责任、赔偿甲方的一切经济损失</w:t>
      </w:r>
    </w:p>
    <w:p>
      <w:pPr>
        <w:tabs>
          <w:tab w:val="left" w:pos="540"/>
          <w:tab w:val="left" w:pos="96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6</w:t>
      </w:r>
      <w:r>
        <w:rPr>
          <w:rFonts w:hint="eastAsia" w:ascii="宋体" w:hAnsi="宋体" w:eastAsia="宋体" w:cs="宋体"/>
          <w:color w:val="auto"/>
          <w:highlight w:val="none"/>
        </w:rPr>
        <w:t>.2.2合同成立后，若乙方不按合同履行职责导致对甲方安全运营、名誉、形象等造成影响，甲方有权终止合同。</w:t>
      </w:r>
    </w:p>
    <w:p>
      <w:pPr>
        <w:tabs>
          <w:tab w:val="left" w:pos="540"/>
          <w:tab w:val="left" w:pos="96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6</w:t>
      </w:r>
      <w:r>
        <w:rPr>
          <w:rFonts w:hint="eastAsia" w:ascii="宋体" w:hAnsi="宋体" w:eastAsia="宋体" w:cs="宋体"/>
          <w:color w:val="auto"/>
          <w:highlight w:val="none"/>
        </w:rPr>
        <w:t>.2.3 按照违约责任情形甲方有权解除（终止）合同。</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color w:val="auto"/>
          <w:highlight w:val="none"/>
        </w:rPr>
      </w:pPr>
      <w:bookmarkStart w:id="1569" w:name="_Toc11530"/>
      <w:bookmarkStart w:id="1570" w:name="_Toc25342"/>
      <w:bookmarkStart w:id="1571" w:name="_Toc661"/>
      <w:bookmarkStart w:id="1572" w:name="_Toc32343"/>
      <w:bookmarkStart w:id="1573" w:name="_Toc492478782"/>
      <w:bookmarkStart w:id="1574" w:name="_Toc16315"/>
      <w:bookmarkStart w:id="1575" w:name="_Toc24065"/>
      <w:bookmarkStart w:id="1576" w:name="_Toc390098484"/>
      <w:bookmarkStart w:id="1577" w:name="_Toc3130"/>
      <w:bookmarkStart w:id="1578" w:name="_Toc378514972"/>
      <w:bookmarkStart w:id="1579" w:name="_Toc25750653"/>
      <w:bookmarkStart w:id="1580" w:name="_Toc24037"/>
      <w:bookmarkStart w:id="1581" w:name="_Toc370933875"/>
      <w:bookmarkStart w:id="1582" w:name="_Toc385427858"/>
      <w:bookmarkStart w:id="1583" w:name="_Toc19987"/>
      <w:bookmarkStart w:id="1584" w:name="_Toc21413"/>
      <w:bookmarkStart w:id="1585" w:name="_Toc17029"/>
      <w:bookmarkStart w:id="1586" w:name="_Toc12432"/>
      <w:bookmarkStart w:id="1587" w:name="_Toc13416"/>
      <w:bookmarkStart w:id="1588" w:name="_Toc13888"/>
      <w:bookmarkStart w:id="1589" w:name="_Toc18508"/>
      <w:bookmarkStart w:id="1590" w:name="_Toc6234"/>
      <w:bookmarkStart w:id="1591" w:name="_Toc4396"/>
      <w:bookmarkStart w:id="1592" w:name="_Toc8696"/>
      <w:r>
        <w:rPr>
          <w:rFonts w:hint="eastAsia" w:ascii="宋体" w:hAnsi="宋体" w:eastAsia="宋体" w:cs="宋体"/>
          <w:b/>
          <w:color w:val="auto"/>
          <w:highlight w:val="none"/>
          <w:lang w:val="en-US" w:eastAsia="zh-CN"/>
        </w:rPr>
        <w:t>1</w:t>
      </w:r>
      <w:r>
        <w:rPr>
          <w:rFonts w:hint="eastAsia" w:ascii="宋体" w:hAnsi="宋体" w:cs="宋体"/>
          <w:b/>
          <w:color w:val="auto"/>
          <w:highlight w:val="none"/>
          <w:lang w:val="en-US" w:eastAsia="zh-CN"/>
        </w:rPr>
        <w:t>7</w:t>
      </w:r>
      <w:r>
        <w:rPr>
          <w:rFonts w:hint="eastAsia" w:ascii="宋体" w:hAnsi="宋体" w:eastAsia="宋体" w:cs="宋体"/>
          <w:b/>
          <w:color w:val="auto"/>
          <w:highlight w:val="none"/>
        </w:rPr>
        <w:t>.不可抗力</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7</w:t>
      </w:r>
      <w:r>
        <w:rPr>
          <w:rFonts w:hint="eastAsia" w:ascii="宋体" w:hAnsi="宋体" w:eastAsia="宋体" w:cs="宋体"/>
          <w:color w:val="auto"/>
          <w:highlight w:val="none"/>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7</w:t>
      </w:r>
      <w:r>
        <w:rPr>
          <w:rFonts w:hint="eastAsia" w:ascii="宋体" w:hAnsi="宋体" w:eastAsia="宋体" w:cs="宋体"/>
          <w:color w:val="auto"/>
          <w:highlight w:val="none"/>
        </w:rPr>
        <w:t>.2若不可抗力发生使合同执行受阻，则合同执行时间根据受影响的时间相应延长，但合同价格不得调整。</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7</w:t>
      </w:r>
      <w:r>
        <w:rPr>
          <w:rFonts w:hint="eastAsia" w:ascii="宋体" w:hAnsi="宋体" w:eastAsia="宋体" w:cs="宋体"/>
          <w:color w:val="auto"/>
          <w:highlight w:val="none"/>
        </w:rPr>
        <w:t>.3不可抗力的确认</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不可抗力发生后，甲方和乙方应收集证明不可抗力发生及不可抗力造成损失的证据，并及时认真统计所造成的损失。甲乙双方对是否属于不可抗力或其损失发生争议时，按第14条〔争议解决方式〕的约定处理。</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7</w:t>
      </w:r>
      <w:r>
        <w:rPr>
          <w:rFonts w:hint="eastAsia" w:ascii="宋体" w:hAnsi="宋体" w:eastAsia="宋体" w:cs="宋体"/>
          <w:color w:val="auto"/>
          <w:highlight w:val="none"/>
        </w:rPr>
        <w:t>.4不可抗力的通知</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合同一方当事人遇到不可抗力事件，使其履行合同义务受到阻碍时，应立即通知合同另一方当事人，书面说明不可抗力和受阻碍的详细情况，并在合理期限内提供必要的证明。</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不可抗力持续发生的，合同一方当事人应及时向合同另一方当事人提交中间报告，说明不可抗力和履行合同受阻的情况，并于不可抗力事件结束后28天内提交最终报告及有关资料</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7</w:t>
      </w:r>
      <w:r>
        <w:rPr>
          <w:rFonts w:hint="eastAsia" w:ascii="宋体" w:hAnsi="宋体" w:eastAsia="宋体" w:cs="宋体"/>
          <w:color w:val="auto"/>
          <w:highlight w:val="none"/>
        </w:rPr>
        <w:t>.5不可抗力后果的承担</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如发生不可抗力，乙方应在十四天内通知甲方并应提供有关当局（官方机构）的证明文件。除非甲方另有书面指示，乙方应继续依可行方式及其他不受不可抗力制约的替代形式履行合同义务。</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任何因不可抗力所导致延误履行合同或不能履行合同，受阻方将不因此而构成违约。</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如果不可抗力已发生并持续一百八十（180）天，则尽管由于此原因可能已允许乙方延长合同期限，双方中任何一方均有权在通知对方三十（30）天后终止合同。</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因合同一方迟延履行合同义务，在迟延履行期间遭遇不可抗力的，不免除其违约责任。</w:t>
      </w:r>
    </w:p>
    <w:p>
      <w:pPr>
        <w:tabs>
          <w:tab w:val="left" w:pos="840"/>
          <w:tab w:val="left" w:pos="1843"/>
        </w:tabs>
        <w:spacing w:before="0" w:after="0" w:afterAutospacing="0"/>
        <w:ind w:left="422" w:right="0" w:firstLine="0"/>
        <w:outlineLvl w:val="1"/>
        <w:rPr>
          <w:rFonts w:hint="eastAsia" w:ascii="宋体" w:hAnsi="宋体" w:eastAsia="宋体" w:cs="宋体"/>
          <w:b/>
          <w:color w:val="auto"/>
          <w:highlight w:val="none"/>
        </w:rPr>
      </w:pPr>
      <w:bookmarkStart w:id="1593" w:name="_Toc22428"/>
      <w:bookmarkStart w:id="1594" w:name="_Toc3210"/>
      <w:bookmarkStart w:id="1595" w:name="_Toc25911"/>
      <w:bookmarkStart w:id="1596" w:name="_Toc31439"/>
      <w:bookmarkStart w:id="1597" w:name="_Toc4689"/>
      <w:bookmarkStart w:id="1598" w:name="_Toc13908"/>
      <w:bookmarkStart w:id="1599" w:name="_Toc26831"/>
      <w:bookmarkStart w:id="1600" w:name="_Toc7691"/>
      <w:bookmarkStart w:id="1601" w:name="_Toc390098490"/>
      <w:bookmarkStart w:id="1602" w:name="_Toc25750659"/>
      <w:bookmarkStart w:id="1603" w:name="_Toc29365"/>
      <w:bookmarkStart w:id="1604" w:name="_Toc378514978"/>
      <w:bookmarkStart w:id="1605" w:name="_Toc4002"/>
      <w:bookmarkStart w:id="1606" w:name="_Toc1503"/>
      <w:bookmarkStart w:id="1607" w:name="_Toc10805"/>
      <w:bookmarkStart w:id="1608" w:name="_Toc370933881"/>
      <w:bookmarkStart w:id="1609" w:name="_Toc1972"/>
      <w:bookmarkStart w:id="1610" w:name="_Toc20850"/>
      <w:bookmarkStart w:id="1611" w:name="_Toc16121"/>
      <w:bookmarkStart w:id="1612" w:name="_Toc15991"/>
      <w:bookmarkStart w:id="1613" w:name="_Toc26667"/>
      <w:bookmarkStart w:id="1614" w:name="_Toc21718"/>
      <w:bookmarkStart w:id="1615" w:name="_Toc492478788"/>
      <w:bookmarkStart w:id="1616" w:name="_Toc24354"/>
      <w:bookmarkStart w:id="1617" w:name="_Toc17213"/>
      <w:bookmarkStart w:id="1618" w:name="_Toc20058"/>
      <w:bookmarkStart w:id="1619" w:name="_Toc10764"/>
      <w:bookmarkStart w:id="1620" w:name="_Toc385427864"/>
      <w:bookmarkStart w:id="1621" w:name="_Toc19072"/>
      <w:bookmarkStart w:id="1622" w:name="_Toc15352"/>
      <w:r>
        <w:rPr>
          <w:rFonts w:hint="eastAsia" w:ascii="宋体" w:hAnsi="宋体" w:eastAsia="宋体" w:cs="宋体"/>
          <w:b/>
          <w:color w:val="auto"/>
          <w:highlight w:val="none"/>
          <w:lang w:val="en-US" w:eastAsia="zh-CN"/>
        </w:rPr>
        <w:t>1</w:t>
      </w:r>
      <w:r>
        <w:rPr>
          <w:rFonts w:hint="eastAsia" w:ascii="宋体" w:hAnsi="宋体" w:cs="宋体"/>
          <w:b/>
          <w:color w:val="auto"/>
          <w:highlight w:val="none"/>
          <w:lang w:val="en-US" w:eastAsia="zh-CN"/>
        </w:rPr>
        <w:t>8</w:t>
      </w:r>
      <w:r>
        <w:rPr>
          <w:rFonts w:hint="eastAsia" w:ascii="宋体" w:hAnsi="宋体" w:eastAsia="宋体" w:cs="宋体"/>
          <w:b/>
          <w:color w:val="auto"/>
          <w:highlight w:val="none"/>
        </w:rPr>
        <w:t>.转让和分包</w:t>
      </w:r>
      <w:bookmarkEnd w:id="1593"/>
      <w:bookmarkEnd w:id="1594"/>
      <w:bookmarkEnd w:id="1595"/>
      <w:bookmarkEnd w:id="1596"/>
      <w:bookmarkEnd w:id="1597"/>
      <w:bookmarkEnd w:id="1598"/>
    </w:p>
    <w:p>
      <w:pPr>
        <w:tabs>
          <w:tab w:val="left" w:pos="112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8</w:t>
      </w:r>
      <w:r>
        <w:rPr>
          <w:rFonts w:hint="eastAsia" w:ascii="宋体" w:hAnsi="宋体" w:eastAsia="宋体" w:cs="宋体"/>
          <w:color w:val="auto"/>
          <w:highlight w:val="none"/>
        </w:rPr>
        <w:t>.1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8</w:t>
      </w:r>
      <w:r>
        <w:rPr>
          <w:rFonts w:hint="eastAsia" w:ascii="宋体" w:hAnsi="宋体" w:eastAsia="宋体" w:cs="宋体"/>
          <w:color w:val="auto"/>
          <w:highlight w:val="none"/>
        </w:rPr>
        <w:t>.2 除合同另有约定外，乙方不得将本项目的全部或部分工作分包给第三方。</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Start w:id="1623" w:name="_Toc17344"/>
      <w:bookmarkStart w:id="1624" w:name="_Toc25119"/>
      <w:bookmarkStart w:id="1625" w:name="_Toc26295"/>
      <w:bookmarkStart w:id="1626" w:name="_Toc492478791"/>
      <w:bookmarkStart w:id="1627" w:name="_Toc6374"/>
      <w:bookmarkStart w:id="1628" w:name="_Toc3785"/>
      <w:bookmarkStart w:id="1629" w:name="_Toc22330"/>
      <w:bookmarkStart w:id="1630" w:name="_Toc390098493"/>
      <w:bookmarkStart w:id="1631" w:name="_Toc32638"/>
      <w:bookmarkStart w:id="1632" w:name="_Toc2458"/>
      <w:bookmarkStart w:id="1633" w:name="_Toc13343"/>
      <w:bookmarkStart w:id="1634" w:name="_Toc23442"/>
      <w:bookmarkStart w:id="1635" w:name="_Toc370933884"/>
      <w:bookmarkStart w:id="1636" w:name="_Toc28875"/>
      <w:bookmarkStart w:id="1637" w:name="_Toc19209"/>
      <w:bookmarkStart w:id="1638" w:name="_Toc385427867"/>
      <w:bookmarkStart w:id="1639" w:name="_Toc10304"/>
      <w:bookmarkStart w:id="1640" w:name="_Toc32071"/>
      <w:bookmarkStart w:id="1641" w:name="_Toc3019"/>
      <w:bookmarkStart w:id="1642" w:name="_Toc15635"/>
      <w:bookmarkStart w:id="1643" w:name="_Toc864"/>
      <w:bookmarkStart w:id="1644" w:name="_Toc25750662"/>
      <w:bookmarkStart w:id="1645" w:name="_Toc6421"/>
      <w:bookmarkStart w:id="1646" w:name="_Toc378514981"/>
    </w:p>
    <w:p>
      <w:pPr>
        <w:tabs>
          <w:tab w:val="left" w:pos="840"/>
          <w:tab w:val="left" w:pos="1843"/>
        </w:tabs>
        <w:spacing w:before="0" w:after="0" w:afterAutospacing="0"/>
        <w:ind w:left="422" w:right="0" w:firstLine="0"/>
        <w:outlineLvl w:val="1"/>
        <w:rPr>
          <w:rFonts w:hint="eastAsia" w:ascii="宋体" w:hAnsi="宋体" w:eastAsia="宋体" w:cs="宋体"/>
          <w:b/>
          <w:color w:val="auto"/>
          <w:highlight w:val="none"/>
        </w:rPr>
      </w:pPr>
      <w:bookmarkStart w:id="1647" w:name="_Toc6888"/>
      <w:bookmarkStart w:id="1648" w:name="_Toc13938"/>
      <w:bookmarkStart w:id="1649" w:name="_Toc25095"/>
      <w:bookmarkStart w:id="1650" w:name="_Toc24899"/>
      <w:bookmarkStart w:id="1651" w:name="_Toc7767"/>
      <w:bookmarkStart w:id="1652" w:name="_Toc27086"/>
      <w:r>
        <w:rPr>
          <w:rFonts w:hint="eastAsia" w:ascii="宋体" w:hAnsi="宋体" w:eastAsia="宋体" w:cs="宋体"/>
          <w:b/>
          <w:color w:val="auto"/>
          <w:highlight w:val="none"/>
          <w:lang w:val="en-US" w:eastAsia="zh-CN"/>
        </w:rPr>
        <w:t>1</w:t>
      </w:r>
      <w:r>
        <w:rPr>
          <w:rFonts w:hint="eastAsia" w:ascii="宋体" w:hAnsi="宋体" w:cs="宋体"/>
          <w:b/>
          <w:color w:val="auto"/>
          <w:highlight w:val="none"/>
          <w:lang w:val="en-US" w:eastAsia="zh-CN"/>
        </w:rPr>
        <w:t>9</w:t>
      </w:r>
      <w:r>
        <w:rPr>
          <w:rFonts w:hint="eastAsia" w:ascii="宋体" w:hAnsi="宋体" w:eastAsia="宋体" w:cs="宋体"/>
          <w:b/>
          <w:color w:val="auto"/>
          <w:highlight w:val="none"/>
        </w:rPr>
        <w:t>.通知</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tabs>
          <w:tab w:val="left" w:pos="840"/>
          <w:tab w:val="left" w:pos="1843"/>
        </w:tabs>
        <w:spacing w:before="0" w:after="0" w:afterAutospacing="0"/>
        <w:ind w:left="0" w:right="0" w:firstLine="420" w:firstLineChars="200"/>
        <w:outlineLvl w:val="1"/>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9</w:t>
      </w:r>
      <w:r>
        <w:rPr>
          <w:rFonts w:hint="eastAsia" w:ascii="宋体" w:hAnsi="宋体" w:eastAsia="宋体" w:cs="宋体"/>
          <w:color w:val="auto"/>
          <w:highlight w:val="none"/>
        </w:rPr>
        <w:t>.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tabs>
          <w:tab w:val="left" w:pos="540"/>
          <w:tab w:val="left" w:pos="96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9</w:t>
      </w:r>
      <w:r>
        <w:rPr>
          <w:rFonts w:hint="eastAsia" w:ascii="宋体" w:hAnsi="宋体" w:eastAsia="宋体" w:cs="宋体"/>
          <w:color w:val="auto"/>
          <w:highlight w:val="none"/>
        </w:rPr>
        <w:t>.2通知的内容包括合同项下的批复、意见、指令、说明和证据。</w:t>
      </w:r>
    </w:p>
    <w:p>
      <w:pPr>
        <w:tabs>
          <w:tab w:val="left" w:pos="540"/>
          <w:tab w:val="left" w:pos="960"/>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9</w:t>
      </w:r>
      <w:r>
        <w:rPr>
          <w:rFonts w:hint="eastAsia" w:ascii="宋体" w:hAnsi="宋体" w:eastAsia="宋体" w:cs="宋体"/>
          <w:color w:val="auto"/>
          <w:highlight w:val="none"/>
        </w:rPr>
        <w:t>.3通知以送到日期或通知书的生效日期为生效日期，两者中以晚的一个日期为准。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hint="eastAsia" w:ascii="宋体" w:hAnsi="宋体" w:eastAsia="宋体" w:cs="宋体"/>
          <w:b/>
          <w:color w:val="auto"/>
          <w:highlight w:val="none"/>
        </w:rPr>
      </w:pPr>
      <w:bookmarkStart w:id="1653" w:name="_Toc459730508"/>
      <w:bookmarkEnd w:id="1653"/>
      <w:bookmarkStart w:id="1654" w:name="_Toc459730486"/>
      <w:bookmarkEnd w:id="1654"/>
      <w:bookmarkStart w:id="1655" w:name="_Toc459797560"/>
      <w:bookmarkEnd w:id="1655"/>
      <w:bookmarkStart w:id="1656" w:name="_Toc459797542"/>
      <w:bookmarkEnd w:id="1656"/>
      <w:bookmarkStart w:id="1657" w:name="_Toc459797561"/>
      <w:bookmarkEnd w:id="1657"/>
      <w:bookmarkStart w:id="1658" w:name="_Toc459797559"/>
      <w:bookmarkEnd w:id="1658"/>
      <w:bookmarkStart w:id="1659" w:name="_Toc459730487"/>
      <w:bookmarkEnd w:id="1659"/>
      <w:bookmarkStart w:id="1660" w:name="_Toc459797538"/>
      <w:bookmarkEnd w:id="1660"/>
      <w:bookmarkStart w:id="1661" w:name="_Toc459730497"/>
      <w:bookmarkEnd w:id="1661"/>
      <w:bookmarkStart w:id="1662" w:name="_Toc459730505"/>
      <w:bookmarkEnd w:id="1662"/>
      <w:bookmarkStart w:id="1663" w:name="_Toc459797569"/>
      <w:bookmarkEnd w:id="1663"/>
      <w:bookmarkStart w:id="1664" w:name="_Toc459797547"/>
      <w:bookmarkEnd w:id="1664"/>
      <w:bookmarkStart w:id="1665" w:name="_Toc459730485"/>
      <w:bookmarkEnd w:id="1665"/>
      <w:bookmarkStart w:id="1666" w:name="_Toc459730489"/>
      <w:bookmarkEnd w:id="1666"/>
      <w:bookmarkStart w:id="1667" w:name="_Toc459730517"/>
      <w:bookmarkEnd w:id="1667"/>
      <w:bookmarkStart w:id="1668" w:name="_Toc459797554"/>
      <w:bookmarkEnd w:id="1668"/>
      <w:bookmarkStart w:id="1669" w:name="_Toc459797543"/>
      <w:bookmarkEnd w:id="1669"/>
      <w:bookmarkStart w:id="1670" w:name="_Toc459797544"/>
      <w:bookmarkEnd w:id="1670"/>
      <w:bookmarkStart w:id="1671" w:name="_Toc459730510"/>
      <w:bookmarkEnd w:id="1671"/>
      <w:bookmarkStart w:id="1672" w:name="_Toc459797546"/>
      <w:bookmarkEnd w:id="1672"/>
      <w:bookmarkStart w:id="1673" w:name="_Toc459797549"/>
      <w:bookmarkEnd w:id="1673"/>
      <w:bookmarkStart w:id="1674" w:name="_Toc459730515"/>
      <w:bookmarkEnd w:id="1674"/>
      <w:bookmarkStart w:id="1675" w:name="_Toc459730512"/>
      <w:bookmarkEnd w:id="1675"/>
      <w:bookmarkStart w:id="1676" w:name="_Toc459797540"/>
      <w:bookmarkEnd w:id="1676"/>
      <w:bookmarkStart w:id="1677" w:name="_Toc459730488"/>
      <w:bookmarkEnd w:id="1677"/>
      <w:bookmarkStart w:id="1678" w:name="_Toc459730506"/>
      <w:bookmarkEnd w:id="1678"/>
      <w:bookmarkStart w:id="1679" w:name="_Toc459797552"/>
      <w:bookmarkEnd w:id="1679"/>
      <w:bookmarkStart w:id="1680" w:name="_Toc459797556"/>
      <w:bookmarkEnd w:id="1680"/>
      <w:bookmarkStart w:id="1681" w:name="_Toc459730491"/>
      <w:bookmarkEnd w:id="1681"/>
      <w:bookmarkStart w:id="1682" w:name="_Toc459730509"/>
      <w:bookmarkEnd w:id="1682"/>
      <w:bookmarkStart w:id="1683" w:name="_Toc459797551"/>
      <w:bookmarkEnd w:id="1683"/>
      <w:bookmarkStart w:id="1684" w:name="_Toc459730502"/>
      <w:bookmarkEnd w:id="1684"/>
      <w:bookmarkStart w:id="1685" w:name="_Toc459797570"/>
      <w:bookmarkEnd w:id="1685"/>
      <w:bookmarkStart w:id="1686" w:name="_Toc459730498"/>
      <w:bookmarkEnd w:id="1686"/>
      <w:bookmarkStart w:id="1687" w:name="_Toc459730495"/>
      <w:bookmarkEnd w:id="1687"/>
      <w:bookmarkStart w:id="1688" w:name="_Toc459730500"/>
      <w:bookmarkEnd w:id="1688"/>
      <w:bookmarkStart w:id="1689" w:name="_Toc459730490"/>
      <w:bookmarkEnd w:id="1689"/>
      <w:bookmarkStart w:id="1690" w:name="_Toc459797548"/>
      <w:bookmarkEnd w:id="1690"/>
      <w:bookmarkStart w:id="1691" w:name="_Toc459797553"/>
      <w:bookmarkEnd w:id="1691"/>
      <w:bookmarkStart w:id="1692" w:name="_Toc459797567"/>
      <w:bookmarkEnd w:id="1692"/>
      <w:bookmarkStart w:id="1693" w:name="_Toc459797541"/>
      <w:bookmarkEnd w:id="1693"/>
      <w:bookmarkStart w:id="1694" w:name="_Toc459730504"/>
      <w:bookmarkEnd w:id="1694"/>
      <w:bookmarkStart w:id="1695" w:name="_Toc459730513"/>
      <w:bookmarkEnd w:id="1695"/>
      <w:bookmarkStart w:id="1696" w:name="_Toc459730507"/>
      <w:bookmarkEnd w:id="1696"/>
      <w:bookmarkStart w:id="1697" w:name="_Toc459797568"/>
      <w:bookmarkEnd w:id="1697"/>
      <w:bookmarkStart w:id="1698" w:name="_Toc459797539"/>
      <w:bookmarkEnd w:id="1698"/>
      <w:bookmarkStart w:id="1699" w:name="_Toc459730496"/>
      <w:bookmarkEnd w:id="1699"/>
      <w:bookmarkStart w:id="1700" w:name="_Toc459730492"/>
      <w:bookmarkEnd w:id="1700"/>
      <w:bookmarkStart w:id="1701" w:name="_Toc459730499"/>
      <w:bookmarkEnd w:id="1701"/>
      <w:bookmarkStart w:id="1702" w:name="_Toc459730514"/>
      <w:bookmarkEnd w:id="1702"/>
      <w:bookmarkStart w:id="1703" w:name="_Toc459730501"/>
      <w:bookmarkEnd w:id="1703"/>
      <w:bookmarkStart w:id="1704" w:name="_Toc459797545"/>
      <w:bookmarkEnd w:id="1704"/>
      <w:bookmarkStart w:id="1705" w:name="_Toc459797550"/>
      <w:bookmarkEnd w:id="1705"/>
      <w:bookmarkStart w:id="1706" w:name="_Toc459730503"/>
      <w:bookmarkEnd w:id="1706"/>
      <w:bookmarkStart w:id="1707" w:name="_Toc459797562"/>
      <w:bookmarkEnd w:id="1707"/>
      <w:bookmarkStart w:id="1708" w:name="_Toc459797563"/>
      <w:bookmarkEnd w:id="1708"/>
      <w:bookmarkStart w:id="1709" w:name="_Toc459797565"/>
      <w:bookmarkEnd w:id="1709"/>
      <w:bookmarkStart w:id="1710" w:name="_Toc459730494"/>
      <w:bookmarkEnd w:id="1710"/>
      <w:bookmarkStart w:id="1711" w:name="_Toc459797558"/>
      <w:bookmarkEnd w:id="1711"/>
      <w:bookmarkStart w:id="1712" w:name="_Toc459797564"/>
      <w:bookmarkEnd w:id="1712"/>
      <w:bookmarkStart w:id="1713" w:name="_Toc459797557"/>
      <w:bookmarkEnd w:id="1713"/>
      <w:bookmarkStart w:id="1714" w:name="_Toc459730493"/>
      <w:bookmarkEnd w:id="1714"/>
      <w:bookmarkStart w:id="1715" w:name="_Toc459797566"/>
      <w:bookmarkEnd w:id="1715"/>
      <w:bookmarkStart w:id="1716" w:name="_Toc459730511"/>
      <w:bookmarkEnd w:id="1716"/>
      <w:bookmarkStart w:id="1717" w:name="_Toc459797555"/>
      <w:bookmarkEnd w:id="1717"/>
      <w:bookmarkStart w:id="1718" w:name="_Toc459730516"/>
      <w:bookmarkEnd w:id="1718"/>
      <w:bookmarkStart w:id="1719" w:name="_Toc11200"/>
      <w:bookmarkStart w:id="1720" w:name="_Toc5946"/>
      <w:bookmarkStart w:id="1721" w:name="_Toc2650"/>
      <w:bookmarkStart w:id="1722" w:name="_Toc9520"/>
      <w:bookmarkStart w:id="1723" w:name="_Toc16771"/>
      <w:bookmarkStart w:id="1724" w:name="_Toc8824"/>
      <w:bookmarkStart w:id="1725" w:name="_Toc4370"/>
      <w:bookmarkStart w:id="1726" w:name="_Toc2427"/>
      <w:bookmarkStart w:id="1727" w:name="_Toc309"/>
      <w:bookmarkStart w:id="1728" w:name="_Toc20826"/>
      <w:bookmarkStart w:id="1729" w:name="_Toc390098502"/>
      <w:bookmarkStart w:id="1730" w:name="_Toc6462"/>
      <w:bookmarkStart w:id="1731" w:name="_Toc25859"/>
      <w:bookmarkStart w:id="1732" w:name="_Toc370933887"/>
      <w:bookmarkStart w:id="1733" w:name="_Toc25406"/>
      <w:bookmarkStart w:id="1734" w:name="_Toc27400"/>
      <w:bookmarkStart w:id="1735" w:name="_Toc492478800"/>
      <w:bookmarkStart w:id="1736" w:name="_Toc24789"/>
      <w:bookmarkStart w:id="1737" w:name="_Toc11322"/>
      <w:bookmarkStart w:id="1738" w:name="_Toc26446"/>
      <w:bookmarkStart w:id="1739" w:name="_Toc925"/>
      <w:bookmarkStart w:id="1740" w:name="_Toc27029"/>
      <w:bookmarkStart w:id="1741" w:name="_Toc8642"/>
      <w:bookmarkStart w:id="1742" w:name="_Toc20780"/>
      <w:bookmarkStart w:id="1743" w:name="_Toc14240"/>
      <w:bookmarkStart w:id="1744" w:name="_Toc378514990"/>
      <w:bookmarkStart w:id="1745" w:name="_Toc11286"/>
      <w:bookmarkStart w:id="1746" w:name="_Toc25750670"/>
      <w:bookmarkStart w:id="1747" w:name="_Toc16845"/>
      <w:bookmarkStart w:id="1748" w:name="_Toc385427876"/>
      <w:r>
        <w:rPr>
          <w:rFonts w:hint="eastAsia" w:ascii="宋体" w:hAnsi="宋体" w:cs="宋体"/>
          <w:b/>
          <w:color w:val="auto"/>
          <w:highlight w:val="none"/>
          <w:lang w:val="en-US" w:eastAsia="zh-CN"/>
        </w:rPr>
        <w:t>20</w:t>
      </w:r>
      <w:r>
        <w:rPr>
          <w:rFonts w:hint="eastAsia" w:ascii="宋体" w:hAnsi="宋体" w:eastAsia="宋体" w:cs="宋体"/>
          <w:b/>
          <w:color w:val="auto"/>
          <w:highlight w:val="none"/>
        </w:rPr>
        <w:t>.争端的解决</w:t>
      </w:r>
      <w:bookmarkEnd w:id="1719"/>
      <w:bookmarkEnd w:id="1720"/>
      <w:bookmarkEnd w:id="1721"/>
      <w:bookmarkEnd w:id="1722"/>
      <w:bookmarkEnd w:id="1723"/>
      <w:bookmarkEnd w:id="1724"/>
    </w:p>
    <w:p>
      <w:pPr>
        <w:tabs>
          <w:tab w:val="left" w:pos="960"/>
          <w:tab w:val="left" w:pos="836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因本合同引起的或与本合同有关的合同争议，由双方协商解决，协商不成的，依法向甲方住所地有管辖权的人民法院提起诉讼。</w:t>
      </w:r>
    </w:p>
    <w:p>
      <w:pPr>
        <w:tabs>
          <w:tab w:val="left" w:pos="840"/>
          <w:tab w:val="left" w:pos="1843"/>
        </w:tabs>
        <w:spacing w:before="0" w:after="0" w:afterAutospacing="0"/>
        <w:ind w:left="422" w:right="0" w:firstLine="0"/>
        <w:outlineLvl w:val="1"/>
        <w:rPr>
          <w:rFonts w:hint="eastAsia" w:ascii="宋体" w:hAnsi="宋体" w:eastAsia="宋体" w:cs="宋体"/>
          <w:b/>
          <w:color w:val="auto"/>
          <w:highlight w:val="none"/>
        </w:rPr>
      </w:pPr>
      <w:bookmarkStart w:id="1749" w:name="_Toc12700"/>
      <w:bookmarkStart w:id="1750" w:name="_Toc12709"/>
      <w:bookmarkStart w:id="1751" w:name="_Toc12276"/>
      <w:bookmarkStart w:id="1752" w:name="_Toc29997"/>
      <w:bookmarkStart w:id="1753" w:name="_Toc5150"/>
      <w:bookmarkStart w:id="1754" w:name="_Toc7020"/>
      <w:r>
        <w:rPr>
          <w:rFonts w:hint="eastAsia" w:ascii="宋体" w:hAnsi="宋体" w:cs="宋体"/>
          <w:b/>
          <w:color w:val="auto"/>
          <w:highlight w:val="none"/>
          <w:lang w:val="en-US" w:eastAsia="zh-CN"/>
        </w:rPr>
        <w:t>21</w:t>
      </w:r>
      <w:r>
        <w:rPr>
          <w:rFonts w:hint="eastAsia" w:ascii="宋体" w:hAnsi="宋体" w:eastAsia="宋体" w:cs="宋体"/>
          <w:b/>
          <w:color w:val="auto"/>
          <w:highlight w:val="none"/>
        </w:rPr>
        <w:t>.合同生效和签约地</w:t>
      </w:r>
      <w:bookmarkEnd w:id="1749"/>
      <w:bookmarkEnd w:id="1750"/>
      <w:bookmarkEnd w:id="1751"/>
      <w:bookmarkEnd w:id="1752"/>
      <w:bookmarkEnd w:id="1753"/>
      <w:bookmarkEnd w:id="1754"/>
    </w:p>
    <w:p>
      <w:pPr>
        <w:tabs>
          <w:tab w:val="left" w:pos="960"/>
          <w:tab w:val="left" w:pos="836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rPr>
        <w:t>本合同生效的时间以双方签署的协议书上的最后日期为准。</w:t>
      </w:r>
    </w:p>
    <w:p>
      <w:pPr>
        <w:tabs>
          <w:tab w:val="left" w:pos="960"/>
          <w:tab w:val="left" w:pos="836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rPr>
        <w:t>本合同签约地为中华人民共和国广西壮族自治区南宁市青秀区。</w:t>
      </w:r>
    </w:p>
    <w:p>
      <w:pPr>
        <w:tabs>
          <w:tab w:val="left" w:pos="960"/>
          <w:tab w:val="left" w:pos="836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rPr>
        <w:t>本合同将在各方授权代表签字后方可生效。</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Pr>
        <w:tabs>
          <w:tab w:val="left" w:pos="840"/>
          <w:tab w:val="left" w:pos="1843"/>
        </w:tabs>
        <w:spacing w:before="0" w:after="0" w:afterAutospacing="0"/>
        <w:ind w:left="422" w:right="0" w:firstLine="0"/>
        <w:outlineLvl w:val="1"/>
        <w:rPr>
          <w:rFonts w:hint="eastAsia" w:ascii="宋体" w:hAnsi="宋体" w:eastAsia="宋体" w:cs="宋体"/>
          <w:b/>
          <w:color w:val="auto"/>
          <w:highlight w:val="none"/>
        </w:rPr>
      </w:pPr>
      <w:bookmarkStart w:id="1755" w:name="_Toc19445"/>
      <w:bookmarkStart w:id="1756" w:name="_Toc7023"/>
      <w:bookmarkStart w:id="1757" w:name="_Toc19143"/>
      <w:bookmarkStart w:id="1758" w:name="_Toc2945"/>
      <w:bookmarkStart w:id="1759" w:name="_Toc6568"/>
      <w:bookmarkStart w:id="1760" w:name="_Toc14434"/>
      <w:r>
        <w:rPr>
          <w:rFonts w:hint="eastAsia" w:ascii="宋体" w:hAnsi="宋体" w:eastAsia="宋体" w:cs="宋体"/>
          <w:b/>
          <w:color w:val="auto"/>
          <w:highlight w:val="none"/>
          <w:lang w:val="en-US" w:eastAsia="zh-CN"/>
        </w:rPr>
        <w:t>2</w:t>
      </w:r>
      <w:r>
        <w:rPr>
          <w:rFonts w:hint="eastAsia" w:ascii="宋体" w:hAnsi="宋体" w:cs="宋体"/>
          <w:b/>
          <w:color w:val="auto"/>
          <w:highlight w:val="none"/>
          <w:lang w:val="en-US" w:eastAsia="zh-CN"/>
        </w:rPr>
        <w:t>2</w:t>
      </w:r>
      <w:r>
        <w:rPr>
          <w:rFonts w:hint="eastAsia" w:ascii="宋体" w:hAnsi="宋体" w:eastAsia="宋体" w:cs="宋体"/>
          <w:b/>
          <w:color w:val="auto"/>
          <w:highlight w:val="none"/>
        </w:rPr>
        <w:t>.其他</w:t>
      </w:r>
      <w:bookmarkEnd w:id="1755"/>
      <w:bookmarkEnd w:id="1756"/>
      <w:bookmarkEnd w:id="1757"/>
      <w:bookmarkEnd w:id="1758"/>
      <w:bookmarkEnd w:id="1759"/>
      <w:bookmarkEnd w:id="1760"/>
    </w:p>
    <w:p>
      <w:pPr>
        <w:pStyle w:val="3"/>
        <w:ind w:left="705" w:leftChars="200" w:hanging="285" w:hangingChars="136"/>
        <w:rPr>
          <w:rFonts w:hint="eastAsia" w:ascii="宋体" w:hAnsi="宋体" w:eastAsia="宋体" w:cs="宋体"/>
          <w:color w:val="auto"/>
          <w:highlight w:val="none"/>
        </w:rPr>
      </w:pPr>
      <w:r>
        <w:rPr>
          <w:rFonts w:hint="eastAsia" w:ascii="宋体" w:hAnsi="宋体" w:eastAsia="宋体" w:cs="宋体"/>
          <w:color w:val="auto"/>
          <w:highlight w:val="none"/>
        </w:rPr>
        <w:t>本合同未尽事宜，由双方协商解决，必要时可签订补充合同。</w:t>
      </w:r>
    </w:p>
    <w:p>
      <w:pPr>
        <w:ind w:left="705" w:leftChars="200" w:hanging="285" w:hangingChars="136"/>
        <w:rPr>
          <w:rFonts w:hint="eastAsia" w:ascii="宋体" w:hAnsi="宋体" w:eastAsia="宋体" w:cs="宋体"/>
          <w:color w:val="auto"/>
          <w:highlight w:val="none"/>
        </w:rPr>
      </w:pPr>
      <w:r>
        <w:rPr>
          <w:rFonts w:hint="eastAsia" w:ascii="宋体" w:hAnsi="宋体" w:eastAsia="宋体" w:cs="宋体"/>
          <w:color w:val="auto"/>
          <w:highlight w:val="none"/>
        </w:rPr>
        <w:br w:type="page"/>
      </w:r>
    </w:p>
    <w:p>
      <w:pPr>
        <w:numPr>
          <w:ilvl w:val="0"/>
          <w:numId w:val="0"/>
        </w:numPr>
        <w:spacing w:before="0"/>
        <w:ind w:right="0" w:firstLine="200"/>
        <w:jc w:val="center"/>
        <w:outlineLvl w:val="1"/>
        <w:rPr>
          <w:rFonts w:hint="eastAsia" w:ascii="宋体" w:hAnsi="宋体"/>
          <w:b/>
          <w:color w:val="auto"/>
          <w:sz w:val="24"/>
          <w:szCs w:val="24"/>
          <w:highlight w:val="none"/>
          <w:lang w:val="en-US" w:eastAsia="zh-CN"/>
        </w:rPr>
      </w:pPr>
      <w:r>
        <w:rPr>
          <w:rFonts w:hint="eastAsia" w:ascii="宋体" w:hAnsi="宋体" w:cs="Times New Roman"/>
          <w:b/>
          <w:color w:val="auto"/>
          <w:sz w:val="24"/>
          <w:szCs w:val="24"/>
          <w:lang w:val="en-US" w:eastAsia="zh-CN" w:bidi="ar-SA"/>
        </w:rPr>
        <w:t>四</w:t>
      </w:r>
      <w:r>
        <w:rPr>
          <w:rFonts w:hint="eastAsia" w:ascii="宋体" w:hAnsi="宋体" w:eastAsia="宋体" w:cs="Times New Roman"/>
          <w:b/>
          <w:color w:val="auto"/>
          <w:sz w:val="24"/>
          <w:szCs w:val="24"/>
          <w:lang w:val="en-US" w:eastAsia="zh-CN" w:bidi="ar-SA"/>
        </w:rPr>
        <w:t>、</w:t>
      </w:r>
      <w:r>
        <w:rPr>
          <w:rFonts w:hint="eastAsia" w:ascii="宋体" w:hAnsi="宋体"/>
          <w:b/>
          <w:color w:val="auto"/>
          <w:sz w:val="24"/>
          <w:szCs w:val="24"/>
          <w:highlight w:val="none"/>
          <w:lang w:val="en-US" w:eastAsia="zh-CN"/>
        </w:rPr>
        <w:t>价格组成文件</w:t>
      </w:r>
    </w:p>
    <w:p>
      <w:pPr>
        <w:pStyle w:val="6"/>
        <w:outlineLvl w:val="1"/>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1.税率确认函</w:t>
      </w:r>
    </w:p>
    <w:p>
      <w:pPr>
        <w:pStyle w:val="6"/>
        <w:outlineLvl w:val="1"/>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2.中选文件分项报价表</w:t>
      </w:r>
    </w:p>
    <w:p>
      <w:pPr>
        <w:rPr>
          <w:rFonts w:hint="eastAsia" w:ascii="宋体" w:hAnsi="宋体" w:eastAsia="宋体" w:cs="宋体"/>
          <w:color w:val="auto"/>
          <w:sz w:val="21"/>
          <w:szCs w:val="21"/>
          <w:highlight w:val="none"/>
          <w:lang w:val="en-US" w:eastAsia="zh-CN"/>
        </w:rPr>
      </w:pPr>
      <w:r>
        <w:rPr>
          <w:rFonts w:hint="eastAsia" w:ascii="宋体" w:hAnsi="宋体" w:cs="宋体"/>
          <w:b w:val="0"/>
          <w:color w:val="auto"/>
          <w:sz w:val="21"/>
          <w:szCs w:val="21"/>
          <w:highlight w:val="none"/>
          <w:lang w:val="en-US" w:eastAsia="zh-CN"/>
        </w:rPr>
        <w:t>3.含税分项报价汇总表</w:t>
      </w:r>
    </w:p>
    <w:p>
      <w:pPr>
        <w:pStyle w:val="32"/>
        <w:numPr>
          <w:ilvl w:val="-1"/>
          <w:numId w:val="0"/>
        </w:numPr>
        <w:ind w:left="840" w:leftChars="400" w:firstLine="0" w:firstLineChars="0"/>
        <w:rPr>
          <w:rFonts w:hint="eastAsia"/>
          <w:color w:val="auto"/>
          <w:lang w:eastAsia="zh-CN"/>
        </w:rPr>
      </w:pPr>
    </w:p>
    <w:p>
      <w:pPr>
        <w:pStyle w:val="3"/>
        <w:ind w:left="705" w:leftChars="200" w:hanging="285" w:hangingChars="136"/>
        <w:rPr>
          <w:rFonts w:hint="eastAsia" w:ascii="宋体" w:hAnsi="宋体" w:eastAsia="宋体" w:cs="宋体"/>
          <w:color w:val="auto"/>
          <w:highlight w:val="none"/>
        </w:rPr>
      </w:pPr>
    </w:p>
    <w:p>
      <w:pPr>
        <w:pStyle w:val="3"/>
        <w:ind w:left="705" w:leftChars="200" w:hanging="285" w:hangingChars="136"/>
        <w:rPr>
          <w:rFonts w:hint="eastAsia"/>
          <w:color w:val="auto"/>
          <w:highlight w:val="none"/>
        </w:rPr>
      </w:pPr>
    </w:p>
    <w:p>
      <w:pPr>
        <w:pStyle w:val="3"/>
        <w:ind w:left="705" w:leftChars="200" w:hanging="285" w:hangingChars="136"/>
        <w:rPr>
          <w:rFonts w:hint="eastAsia"/>
          <w:color w:val="auto"/>
          <w:highlight w:val="none"/>
        </w:rPr>
      </w:pPr>
    </w:p>
    <w:p>
      <w:pPr>
        <w:pStyle w:val="3"/>
        <w:ind w:left="705" w:leftChars="200" w:hanging="285" w:hangingChars="136"/>
        <w:rPr>
          <w:rFonts w:hint="eastAsia"/>
          <w:color w:val="auto"/>
          <w:highlight w:val="none"/>
        </w:rPr>
      </w:pPr>
    </w:p>
    <w:p>
      <w:pPr>
        <w:pStyle w:val="3"/>
        <w:ind w:left="705" w:leftChars="200" w:hanging="285" w:hangingChars="136"/>
        <w:rPr>
          <w:rFonts w:hint="eastAsia"/>
          <w:color w:val="auto"/>
          <w:highlight w:val="none"/>
        </w:rPr>
      </w:pPr>
    </w:p>
    <w:p>
      <w:pPr>
        <w:pStyle w:val="3"/>
        <w:ind w:left="705" w:leftChars="200" w:hanging="285" w:hangingChars="136"/>
        <w:rPr>
          <w:rFonts w:hint="eastAsia"/>
          <w:color w:val="auto"/>
          <w:highlight w:val="none"/>
        </w:rPr>
      </w:pPr>
    </w:p>
    <w:p>
      <w:pPr>
        <w:pStyle w:val="3"/>
        <w:ind w:left="705" w:leftChars="200" w:hanging="285" w:hangingChars="136"/>
        <w:rPr>
          <w:rFonts w:hint="eastAsia"/>
          <w:color w:val="auto"/>
          <w:highlight w:val="none"/>
        </w:rPr>
      </w:pPr>
    </w:p>
    <w:p>
      <w:pPr>
        <w:pStyle w:val="3"/>
        <w:ind w:left="705" w:leftChars="200" w:hanging="285" w:hangingChars="136"/>
        <w:rPr>
          <w:rFonts w:hint="eastAsia"/>
          <w:color w:val="auto"/>
          <w:highlight w:val="none"/>
        </w:rPr>
      </w:pPr>
    </w:p>
    <w:p>
      <w:pPr>
        <w:pStyle w:val="3"/>
        <w:ind w:left="705" w:leftChars="200" w:hanging="285" w:hangingChars="136"/>
        <w:rPr>
          <w:rFonts w:hint="eastAsia"/>
          <w:color w:val="auto"/>
          <w:highlight w:val="none"/>
        </w:rPr>
      </w:pPr>
    </w:p>
    <w:p>
      <w:pPr>
        <w:pStyle w:val="3"/>
        <w:ind w:left="705" w:leftChars="200" w:hanging="285" w:hangingChars="136"/>
        <w:rPr>
          <w:rFonts w:hint="eastAsia"/>
          <w:color w:val="auto"/>
          <w:highlight w:val="none"/>
        </w:rPr>
      </w:pPr>
    </w:p>
    <w:p>
      <w:pPr>
        <w:pStyle w:val="3"/>
        <w:ind w:left="705" w:leftChars="200" w:hanging="285" w:hangingChars="136"/>
        <w:rPr>
          <w:rFonts w:hint="eastAsia"/>
          <w:color w:val="auto"/>
          <w:highlight w:val="none"/>
        </w:rPr>
      </w:pPr>
    </w:p>
    <w:p>
      <w:pPr>
        <w:ind w:left="705" w:leftChars="200" w:hanging="285" w:hangingChars="136"/>
        <w:rPr>
          <w:rFonts w:hint="eastAsia"/>
          <w:color w:val="auto"/>
          <w:highlight w:val="none"/>
        </w:rPr>
      </w:pPr>
      <w:r>
        <w:rPr>
          <w:rFonts w:hint="eastAsia"/>
          <w:color w:val="auto"/>
          <w:highlight w:val="none"/>
        </w:rPr>
        <w:br w:type="page"/>
      </w:r>
    </w:p>
    <w:p>
      <w:pPr>
        <w:spacing w:before="0" w:after="0" w:afterAutospacing="0"/>
        <w:ind w:left="0" w:right="0" w:firstLine="0"/>
        <w:jc w:val="center"/>
        <w:outlineLvl w:val="9"/>
        <w:rPr>
          <w:rFonts w:hint="eastAsia" w:ascii="宋体" w:hAnsi="宋体"/>
          <w:b/>
          <w:color w:val="auto"/>
          <w:sz w:val="24"/>
          <w:szCs w:val="24"/>
          <w:highlight w:val="none"/>
          <w:lang w:val="en-US" w:eastAsia="zh-CN"/>
        </w:rPr>
      </w:pPr>
      <w:bookmarkStart w:id="1761" w:name="_Toc17263"/>
      <w:bookmarkStart w:id="1762" w:name="_Toc3101"/>
      <w:bookmarkStart w:id="1763" w:name="_Toc14663"/>
      <w:bookmarkStart w:id="1764" w:name="_Toc25750672"/>
      <w:bookmarkStart w:id="1765" w:name="_Toc15938"/>
      <w:bookmarkStart w:id="1766" w:name="_Toc3084"/>
      <w:bookmarkStart w:id="1767" w:name="_Toc6546"/>
      <w:bookmarkStart w:id="1768" w:name="_Toc21635"/>
      <w:bookmarkStart w:id="1769" w:name="_Toc5644"/>
      <w:bookmarkStart w:id="1770" w:name="_Toc5186"/>
      <w:bookmarkStart w:id="1771" w:name="_Toc16443"/>
      <w:bookmarkStart w:id="1772" w:name="_Toc12983548"/>
      <w:bookmarkStart w:id="1773" w:name="_Toc2753"/>
      <w:bookmarkStart w:id="1774" w:name="_Toc27258"/>
      <w:bookmarkStart w:id="1775" w:name="_Toc29249"/>
      <w:bookmarkStart w:id="1776" w:name="_Toc13288"/>
      <w:bookmarkStart w:id="1777" w:name="_Toc27316"/>
      <w:bookmarkStart w:id="1778" w:name="_Toc12470"/>
      <w:bookmarkStart w:id="1779" w:name="_Toc6194"/>
      <w:bookmarkStart w:id="1780" w:name="_Toc21372"/>
      <w:bookmarkStart w:id="1781" w:name="_Toc16716"/>
      <w:bookmarkStart w:id="1782" w:name="_Toc21033"/>
      <w:bookmarkStart w:id="1783" w:name="_Toc14997"/>
      <w:bookmarkStart w:id="1784" w:name="_Toc21659"/>
      <w:bookmarkStart w:id="1785" w:name="_Toc19448"/>
      <w:r>
        <w:rPr>
          <w:rFonts w:hint="eastAsia" w:ascii="宋体" w:hAnsi="宋体" w:cs="Times New Roman"/>
          <w:b/>
          <w:color w:val="auto"/>
          <w:sz w:val="24"/>
          <w:szCs w:val="24"/>
          <w:lang w:val="en-US" w:eastAsia="zh-CN" w:bidi="ar-SA"/>
        </w:rPr>
        <w:t>五</w:t>
      </w:r>
      <w:r>
        <w:rPr>
          <w:rFonts w:hint="eastAsia" w:ascii="宋体" w:hAnsi="宋体" w:eastAsia="宋体" w:cs="Times New Roman"/>
          <w:b/>
          <w:color w:val="auto"/>
          <w:sz w:val="24"/>
          <w:szCs w:val="24"/>
          <w:lang w:val="en-US" w:eastAsia="zh-CN" w:bidi="ar-SA"/>
        </w:rPr>
        <w:t>、</w:t>
      </w:r>
      <w:r>
        <w:rPr>
          <w:rFonts w:hint="eastAsia" w:ascii="宋体" w:hAnsi="宋体"/>
          <w:b/>
          <w:color w:val="auto"/>
          <w:sz w:val="24"/>
          <w:szCs w:val="24"/>
          <w:highlight w:val="none"/>
          <w:lang w:val="en-US" w:eastAsia="zh-CN"/>
        </w:rPr>
        <w:t>技术规格书</w:t>
      </w:r>
    </w:p>
    <w:p>
      <w:pPr>
        <w:spacing w:before="0" w:after="0" w:afterAutospacing="0"/>
        <w:ind w:left="0" w:right="0" w:firstLine="0"/>
        <w:jc w:val="left"/>
        <w:outlineLvl w:val="9"/>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br w:type="page"/>
      </w:r>
    </w:p>
    <w:p>
      <w:pPr>
        <w:spacing w:before="0" w:after="0" w:afterAutospacing="0"/>
        <w:ind w:left="0" w:right="0" w:firstLine="0"/>
        <w:jc w:val="left"/>
        <w:outlineLvl w:val="9"/>
        <w:rPr>
          <w:rFonts w:hint="default" w:ascii="宋体" w:hAnsi="宋体"/>
          <w:b/>
          <w:color w:val="auto"/>
          <w:sz w:val="24"/>
          <w:szCs w:val="24"/>
          <w:highlight w:val="none"/>
          <w:lang w:val="en-US" w:eastAsia="zh-CN"/>
        </w:rPr>
      </w:pPr>
    </w:p>
    <w:p>
      <w:pPr>
        <w:tabs>
          <w:tab w:val="left" w:pos="840"/>
          <w:tab w:val="left" w:pos="1843"/>
        </w:tabs>
        <w:spacing w:before="0" w:after="0" w:afterAutospacing="0"/>
        <w:ind w:left="422" w:right="0" w:firstLine="0"/>
        <w:jc w:val="center"/>
        <w:outlineLvl w:val="1"/>
        <w:rPr>
          <w:rFonts w:ascii="宋体" w:hAnsi="宋体"/>
          <w:b/>
          <w:color w:val="auto"/>
          <w:sz w:val="24"/>
          <w:szCs w:val="24"/>
          <w:highlight w:val="none"/>
        </w:rPr>
      </w:pPr>
      <w:r>
        <w:rPr>
          <w:rFonts w:hint="eastAsia" w:ascii="宋体" w:hAnsi="宋体"/>
          <w:b/>
          <w:color w:val="auto"/>
          <w:sz w:val="24"/>
          <w:szCs w:val="24"/>
          <w:highlight w:val="none"/>
          <w:lang w:val="en-US" w:eastAsia="zh-CN"/>
        </w:rPr>
        <w:t>六</w:t>
      </w:r>
      <w:r>
        <w:rPr>
          <w:rFonts w:hint="eastAsia" w:ascii="宋体" w:hAnsi="宋体"/>
          <w:b/>
          <w:color w:val="auto"/>
          <w:sz w:val="24"/>
          <w:szCs w:val="24"/>
          <w:highlight w:val="none"/>
        </w:rPr>
        <w:t>、合同附件及格式</w:t>
      </w:r>
      <w:bookmarkEnd w:id="1761"/>
      <w:bookmarkEnd w:id="1762"/>
      <w:bookmarkEnd w:id="1763"/>
      <w:bookmarkEnd w:id="1764"/>
      <w:bookmarkEnd w:id="1765"/>
      <w:bookmarkEnd w:id="1766"/>
      <w:bookmarkEnd w:id="1767"/>
    </w:p>
    <w:p>
      <w:pPr>
        <w:tabs>
          <w:tab w:val="left" w:pos="1134"/>
          <w:tab w:val="left" w:pos="8364"/>
        </w:tabs>
        <w:spacing w:before="0" w:after="0" w:afterAutospacing="0"/>
        <w:ind w:right="-57" w:firstLine="0"/>
        <w:rPr>
          <w:rFonts w:ascii="宋体" w:hAnsi="宋体"/>
          <w:color w:val="auto"/>
          <w:sz w:val="24"/>
          <w:szCs w:val="24"/>
          <w:highlight w:val="none"/>
        </w:rPr>
      </w:pPr>
      <w:r>
        <w:rPr>
          <w:rFonts w:hint="eastAsia" w:ascii="宋体" w:hAnsi="宋体"/>
          <w:b/>
          <w:color w:val="auto"/>
          <w:sz w:val="24"/>
          <w:szCs w:val="24"/>
          <w:highlight w:val="none"/>
        </w:rPr>
        <w:t>附件1：</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（中选后提供）</w:t>
      </w:r>
    </w:p>
    <w:p>
      <w:pPr>
        <w:pStyle w:val="16"/>
        <w:ind w:right="-57" w:firstLine="0"/>
        <w:rPr>
          <w:rFonts w:hAnsi="宋体"/>
          <w:color w:val="auto"/>
          <w:spacing w:val="20"/>
          <w:sz w:val="21"/>
          <w:szCs w:val="21"/>
          <w:highlight w:val="none"/>
        </w:rPr>
      </w:pPr>
      <w:r>
        <w:rPr>
          <w:rFonts w:hint="eastAsia" w:hAnsi="宋体"/>
          <w:color w:val="auto"/>
          <w:spacing w:val="20"/>
          <w:sz w:val="21"/>
          <w:szCs w:val="21"/>
          <w:highlight w:val="none"/>
        </w:rPr>
        <w:t>保函编号：</w:t>
      </w:r>
    </w:p>
    <w:p>
      <w:pPr>
        <w:autoSpaceDE w:val="0"/>
        <w:autoSpaceDN w:val="0"/>
        <w:ind w:right="-57" w:firstLine="0"/>
        <w:jc w:val="left"/>
        <w:rPr>
          <w:rFonts w:hint="eastAsia" w:ascii="宋体" w:hAnsi="宋体" w:eastAsia="宋体"/>
          <w:color w:val="auto"/>
          <w:highlight w:val="none"/>
          <w:lang w:eastAsia="zh-CN"/>
        </w:rPr>
      </w:pPr>
      <w:r>
        <w:rPr>
          <w:rFonts w:hint="eastAsia" w:ascii="宋体" w:hAnsi="宋体"/>
          <w:color w:val="auto"/>
          <w:highlight w:val="none"/>
        </w:rPr>
        <w:t>致：</w:t>
      </w:r>
      <w:r>
        <w:rPr>
          <w:rFonts w:hint="eastAsia" w:ascii="宋体" w:hAnsi="宋体"/>
          <w:color w:val="auto"/>
          <w:highlight w:val="none"/>
          <w:lang w:eastAsia="zh-CN"/>
        </w:rPr>
        <w:t>南宁轨道交通运营有限公司</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鉴于贵方已于年月日发出中选通知书，本保函作为贵方将与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（项目名称）   </w:t>
      </w:r>
      <w:r>
        <w:rPr>
          <w:rFonts w:hint="eastAsia" w:ascii="宋体" w:hAnsi="宋体"/>
          <w:color w:val="auto"/>
          <w:highlight w:val="none"/>
        </w:rPr>
        <w:t>以下简称“本项目”）合同（中选价格￥元，大写：元）的银行保函。</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w:t>
      </w:r>
      <w:r>
        <w:rPr>
          <w:rFonts w:ascii="宋体" w:hAnsi="宋体"/>
          <w:color w:val="auto"/>
          <w:highlight w:val="none"/>
          <w:u w:val="single"/>
        </w:rPr>
        <w:t>维保服务内容</w:t>
      </w:r>
      <w:r>
        <w:rPr>
          <w:rFonts w:hint="eastAsia" w:ascii="宋体" w:hAnsi="宋体"/>
          <w:color w:val="auto"/>
          <w:highlight w:val="none"/>
          <w:u w:val="single"/>
        </w:rPr>
        <w:t>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承诺函（中选后提供）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lang w:eastAsia="zh-CN"/>
        </w:rPr>
        <w:t>南宁轨道交通运营有限公司</w:t>
      </w:r>
      <w:r>
        <w:rPr>
          <w:rFonts w:hint="eastAsia" w:ascii="宋体" w:hAnsi="宋体"/>
          <w:color w:val="auto"/>
          <w:highlight w:val="none"/>
        </w:rPr>
        <w:t>：</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（以下称“本公司”）现已中选贵司比选的</w:t>
      </w:r>
      <w:r>
        <w:rPr>
          <w:rFonts w:hint="eastAsia" w:ascii="宋体" w:hAnsi="宋体"/>
          <w:color w:val="auto"/>
          <w:highlight w:val="none"/>
          <w:u w:val="single"/>
        </w:rPr>
        <w:t xml:space="preserve">      （项目名称）</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w:t>
      </w:r>
      <w:r>
        <w:rPr>
          <w:rFonts w:ascii="宋体" w:hAnsi="宋体"/>
          <w:color w:val="auto"/>
          <w:highlight w:val="none"/>
          <w:u w:val="single"/>
        </w:rPr>
        <w:t>维保服务内容</w:t>
      </w:r>
      <w:r>
        <w:rPr>
          <w:rFonts w:hint="eastAsia" w:ascii="宋体" w:hAnsi="宋体"/>
          <w:color w:val="auto"/>
          <w:highlight w:val="none"/>
          <w:u w:val="single"/>
        </w:rPr>
        <w:t>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left="0" w:right="-57" w:firstLine="0"/>
        <w:rPr>
          <w:rFonts w:ascii="宋体" w:hAnsi="宋体"/>
          <w:color w:val="auto"/>
          <w:highlight w:val="none"/>
        </w:rPr>
      </w:pPr>
    </w:p>
    <w:p>
      <w:pPr>
        <w:ind w:right="-57" w:firstLine="200"/>
        <w:rPr>
          <w:rFonts w:ascii="宋体" w:hAnsi="宋体"/>
          <w:b/>
          <w:i/>
          <w:color w:val="auto"/>
          <w:highlight w:val="none"/>
        </w:rPr>
      </w:pPr>
    </w:p>
    <w:p>
      <w:pPr>
        <w:ind w:right="-57" w:firstLine="200"/>
        <w:rPr>
          <w:rFonts w:hint="eastAsia"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rPr>
          <w:rFonts w:hint="eastAsia" w:ascii="宋体" w:hAnsi="宋体"/>
          <w:b/>
          <w:i/>
          <w:color w:val="auto"/>
          <w:highlight w:val="none"/>
        </w:rPr>
      </w:pPr>
      <w:r>
        <w:rPr>
          <w:rFonts w:hint="eastAsia" w:ascii="宋体" w:hAnsi="宋体"/>
          <w:b/>
          <w:i/>
          <w:color w:val="auto"/>
          <w:highlight w:val="none"/>
        </w:rPr>
        <w:br w:type="page"/>
      </w:r>
    </w:p>
    <w:p>
      <w:pPr>
        <w:pStyle w:val="10"/>
        <w:spacing w:line="360" w:lineRule="auto"/>
        <w:rPr>
          <w:rStyle w:val="46"/>
          <w:rFonts w:hint="eastAsia" w:ascii="宋体" w:hAnsi="宋体"/>
          <w:color w:val="auto"/>
          <w:sz w:val="21"/>
          <w:szCs w:val="21"/>
          <w:highlight w:val="none"/>
        </w:rPr>
      </w:pPr>
      <w:r>
        <w:rPr>
          <w:rStyle w:val="46"/>
          <w:rFonts w:hint="eastAsia" w:ascii="宋体" w:hAnsi="宋体"/>
          <w:color w:val="auto"/>
          <w:sz w:val="21"/>
          <w:szCs w:val="21"/>
          <w:highlight w:val="none"/>
        </w:rPr>
        <w:t>附件</w:t>
      </w:r>
      <w:r>
        <w:rPr>
          <w:rStyle w:val="46"/>
          <w:rFonts w:hint="eastAsia" w:ascii="宋体" w:hAnsi="宋体"/>
          <w:color w:val="auto"/>
          <w:sz w:val="21"/>
          <w:szCs w:val="21"/>
          <w:highlight w:val="none"/>
          <w:lang w:val="en-US" w:eastAsia="zh-CN"/>
        </w:rPr>
        <w:t>2</w:t>
      </w:r>
      <w:r>
        <w:rPr>
          <w:rStyle w:val="46"/>
          <w:rFonts w:hint="eastAsia" w:ascii="宋体" w:hAnsi="宋体"/>
          <w:color w:val="auto"/>
          <w:sz w:val="21"/>
          <w:szCs w:val="21"/>
          <w:highlight w:val="none"/>
        </w:rPr>
        <w:t>：违约及考核处理</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125"/>
        <w:gridCol w:w="1057"/>
        <w:gridCol w:w="4360"/>
        <w:gridCol w:w="769"/>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r>
              <w:rPr>
                <w:rFonts w:hint="eastAsia" w:ascii="宋体" w:hAnsi="宋体" w:cs="宋体"/>
                <w:color w:val="auto"/>
                <w:highlight w:val="none"/>
              </w:rPr>
              <w:t>序号</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r>
              <w:rPr>
                <w:rFonts w:hint="eastAsia" w:ascii="宋体" w:hAnsi="宋体" w:cs="宋体"/>
                <w:color w:val="auto"/>
                <w:highlight w:val="none"/>
              </w:rPr>
              <w:t>模块</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r>
              <w:rPr>
                <w:rFonts w:hint="eastAsia" w:ascii="宋体" w:hAnsi="宋体" w:cs="宋体"/>
                <w:color w:val="auto"/>
                <w:highlight w:val="none"/>
              </w:rPr>
              <w:t>类别</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r>
              <w:rPr>
                <w:rFonts w:hint="eastAsia" w:ascii="宋体" w:hAnsi="宋体" w:cs="宋体"/>
                <w:color w:val="auto"/>
                <w:highlight w:val="none"/>
              </w:rPr>
              <w:t>检查和评价内容</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分值（分）</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最终得分（分）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1</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日常管理（</w:t>
            </w:r>
            <w:r>
              <w:rPr>
                <w:rFonts w:hint="default" w:ascii="宋体" w:hAnsi="宋体" w:cs="宋体"/>
                <w:bCs/>
                <w:color w:val="auto"/>
                <w:highlight w:val="none"/>
              </w:rPr>
              <w:t>21分）</w:t>
            </w: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人员管理</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项目人员资质满足合同要求。</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2</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项目人员替换率每月小于</w:t>
            </w:r>
            <w:r>
              <w:rPr>
                <w:rFonts w:hint="default" w:ascii="宋体" w:hAnsi="宋体" w:cs="宋体"/>
                <w:bCs/>
                <w:color w:val="auto"/>
                <w:highlight w:val="none"/>
              </w:rPr>
              <w:t>10%。</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3</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项目人员按照</w:t>
            </w:r>
            <w:r>
              <w:rPr>
                <w:rFonts w:hint="eastAsia" w:ascii="宋体" w:hAnsi="宋体" w:cs="宋体"/>
                <w:bCs/>
                <w:color w:val="auto"/>
                <w:highlight w:val="none"/>
                <w:lang w:val="en-US" w:eastAsia="zh-CN"/>
              </w:rPr>
              <w:t>甲方</w:t>
            </w:r>
            <w:r>
              <w:rPr>
                <w:rFonts w:hint="eastAsia" w:ascii="宋体" w:hAnsi="宋体" w:cs="宋体"/>
                <w:bCs/>
                <w:color w:val="auto"/>
                <w:highlight w:val="none"/>
              </w:rPr>
              <w:t>要求在</w:t>
            </w:r>
            <w:r>
              <w:rPr>
                <w:rFonts w:hint="eastAsia" w:ascii="宋体" w:hAnsi="宋体" w:cs="宋体"/>
                <w:bCs/>
                <w:color w:val="auto"/>
                <w:highlight w:val="none"/>
                <w:lang w:val="en-US" w:eastAsia="zh-CN"/>
              </w:rPr>
              <w:t>甲方</w:t>
            </w:r>
            <w:r>
              <w:rPr>
                <w:rFonts w:hint="eastAsia" w:ascii="宋体" w:hAnsi="宋体" w:cs="宋体"/>
                <w:bCs/>
                <w:color w:val="auto"/>
                <w:highlight w:val="none"/>
              </w:rPr>
              <w:t>进行备案参加本项目作业。</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4</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项目人员未出现未经</w:t>
            </w:r>
            <w:r>
              <w:rPr>
                <w:rFonts w:hint="eastAsia" w:ascii="宋体" w:hAnsi="宋体" w:cs="宋体"/>
                <w:bCs/>
                <w:color w:val="auto"/>
                <w:highlight w:val="none"/>
                <w:lang w:val="en-US" w:eastAsia="zh-CN"/>
              </w:rPr>
              <w:t>甲方</w:t>
            </w:r>
            <w:r>
              <w:rPr>
                <w:rFonts w:hint="eastAsia" w:ascii="宋体" w:hAnsi="宋体" w:cs="宋体"/>
                <w:bCs/>
                <w:color w:val="auto"/>
                <w:highlight w:val="none"/>
              </w:rPr>
              <w:t>同意擅自带领其他与工作无关人员进入地铁作业区域的行为。</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5</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项目人员未出现对</w:t>
            </w:r>
            <w:r>
              <w:rPr>
                <w:rFonts w:hint="eastAsia" w:ascii="宋体" w:hAnsi="宋体" w:cs="宋体"/>
                <w:bCs/>
                <w:color w:val="auto"/>
                <w:highlight w:val="none"/>
                <w:lang w:val="en-US" w:eastAsia="zh-CN"/>
              </w:rPr>
              <w:t>甲方</w:t>
            </w:r>
            <w:r>
              <w:rPr>
                <w:rFonts w:hint="eastAsia" w:ascii="宋体" w:hAnsi="宋体" w:cs="宋体"/>
                <w:bCs/>
                <w:color w:val="auto"/>
                <w:highlight w:val="none"/>
              </w:rPr>
              <w:t>方面造谣生事、惹是生非的行为；未出现未经授权擅自发布地铁生产信息的行为。</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6</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项目人员在服务时间内未出现与他人发生冲突，给</w:t>
            </w:r>
            <w:r>
              <w:rPr>
                <w:rFonts w:hint="eastAsia" w:ascii="宋体" w:hAnsi="宋体" w:cs="宋体"/>
                <w:bCs/>
                <w:color w:val="auto"/>
                <w:highlight w:val="none"/>
                <w:lang w:val="en-US" w:eastAsia="zh-CN"/>
              </w:rPr>
              <w:t>甲方</w:t>
            </w:r>
            <w:r>
              <w:rPr>
                <w:rFonts w:hint="eastAsia" w:ascii="宋体" w:hAnsi="宋体" w:cs="宋体"/>
                <w:bCs/>
                <w:color w:val="auto"/>
                <w:highlight w:val="none"/>
              </w:rPr>
              <w:t>管理部门造成负面影响。</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7</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按国家、省、市相关政策为所聘用参与本项目工作人员签订正式劳动（劳务）合同。</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8</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项目服务团队管理</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按招投标文件及合同的约定配置人员进行维护维修工作。</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9</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按招投标文件及合同提供各类资料、记录、预结算、文本材料等。</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10</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sz w:val="21"/>
                <w:szCs w:val="21"/>
                <w:lang w:val="en-US" w:eastAsia="zh-CN" w:bidi="ar"/>
              </w:rPr>
              <w:t>乙方</w:t>
            </w:r>
            <w:r>
              <w:rPr>
                <w:rFonts w:hint="eastAsia" w:ascii="宋体" w:hAnsi="宋体" w:eastAsia="宋体" w:cs="宋体"/>
                <w:bCs/>
                <w:color w:val="auto"/>
                <w:sz w:val="21"/>
                <w:szCs w:val="21"/>
                <w:lang w:val="en-US" w:eastAsia="zh-CN" w:bidi="ar"/>
              </w:rPr>
              <w:t>按时或按</w:t>
            </w:r>
            <w:r>
              <w:rPr>
                <w:rFonts w:hint="eastAsia" w:ascii="宋体" w:hAnsi="宋体" w:cs="宋体"/>
                <w:bCs/>
                <w:color w:val="auto"/>
                <w:sz w:val="21"/>
                <w:szCs w:val="21"/>
                <w:lang w:val="en-US" w:eastAsia="zh-CN" w:bidi="ar"/>
              </w:rPr>
              <w:t>甲方</w:t>
            </w:r>
            <w:r>
              <w:rPr>
                <w:rFonts w:hint="eastAsia" w:ascii="宋体" w:hAnsi="宋体" w:eastAsia="宋体" w:cs="宋体"/>
                <w:bCs/>
                <w:color w:val="auto"/>
                <w:sz w:val="21"/>
                <w:szCs w:val="21"/>
                <w:lang w:val="en-US" w:eastAsia="zh-CN" w:bidi="ar"/>
              </w:rPr>
              <w:t>要求提交故障检修记录、故障检修报告、应急周转备件台账（若有）等情况。</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11</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对</w:t>
            </w:r>
            <w:r>
              <w:rPr>
                <w:rFonts w:hint="eastAsia" w:ascii="宋体" w:hAnsi="宋体" w:cs="宋体"/>
                <w:bCs/>
                <w:color w:val="auto"/>
                <w:highlight w:val="none"/>
                <w:lang w:val="en-US" w:eastAsia="zh-CN"/>
              </w:rPr>
              <w:t>甲方</w:t>
            </w:r>
            <w:r>
              <w:rPr>
                <w:rFonts w:hint="eastAsia" w:ascii="宋体" w:hAnsi="宋体" w:cs="宋体"/>
                <w:bCs/>
                <w:color w:val="auto"/>
                <w:highlight w:val="none"/>
              </w:rPr>
              <w:t>安排的临时任务或限期整改事项的完成情况。</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12</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对</w:t>
            </w:r>
            <w:r>
              <w:rPr>
                <w:rFonts w:hint="eastAsia" w:ascii="宋体" w:hAnsi="宋体" w:cs="宋体"/>
                <w:bCs/>
                <w:color w:val="auto"/>
                <w:highlight w:val="none"/>
                <w:lang w:val="en-US" w:eastAsia="zh-CN"/>
              </w:rPr>
              <w:t>甲方</w:t>
            </w:r>
            <w:r>
              <w:rPr>
                <w:rFonts w:hint="eastAsia" w:ascii="宋体" w:hAnsi="宋体" w:cs="宋体"/>
                <w:bCs/>
                <w:color w:val="auto"/>
                <w:highlight w:val="none"/>
              </w:rPr>
              <w:t>下达的整改通知单的处理情况。</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13</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更换项目经理或技术负责人须经</w:t>
            </w:r>
            <w:r>
              <w:rPr>
                <w:rFonts w:hint="eastAsia" w:ascii="宋体" w:hAnsi="宋体" w:cs="宋体"/>
                <w:bCs/>
                <w:color w:val="auto"/>
                <w:highlight w:val="none"/>
                <w:lang w:val="en-US" w:eastAsia="zh-CN"/>
              </w:rPr>
              <w:t>甲方</w:t>
            </w:r>
            <w:r>
              <w:rPr>
                <w:rFonts w:hint="eastAsia" w:ascii="宋体" w:hAnsi="宋体" w:cs="宋体"/>
                <w:bCs/>
                <w:color w:val="auto"/>
                <w:highlight w:val="none"/>
              </w:rPr>
              <w:t>书面同意。</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14</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项目经理或者技术负责人按要求参加</w:t>
            </w:r>
            <w:r>
              <w:rPr>
                <w:rFonts w:hint="eastAsia" w:ascii="宋体" w:hAnsi="宋体" w:cs="宋体"/>
                <w:bCs/>
                <w:color w:val="auto"/>
                <w:highlight w:val="none"/>
                <w:lang w:val="en-US" w:eastAsia="zh-CN"/>
              </w:rPr>
              <w:t>甲方</w:t>
            </w:r>
            <w:r>
              <w:rPr>
                <w:rFonts w:hint="eastAsia" w:ascii="宋体" w:hAnsi="宋体" w:cs="宋体"/>
                <w:bCs/>
                <w:color w:val="auto"/>
                <w:highlight w:val="none"/>
              </w:rPr>
              <w:t>要求其参加的会议。</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15</w:t>
            </w:r>
          </w:p>
        </w:tc>
        <w:tc>
          <w:tcPr>
            <w:tcW w:w="112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应急管理（</w:t>
            </w:r>
            <w:r>
              <w:rPr>
                <w:rFonts w:hint="default" w:ascii="宋体" w:hAnsi="宋体" w:cs="宋体"/>
                <w:bCs/>
                <w:color w:val="auto"/>
                <w:highlight w:val="none"/>
              </w:rPr>
              <w:t>9分）</w:t>
            </w:r>
          </w:p>
        </w:tc>
        <w:tc>
          <w:tcPr>
            <w:tcW w:w="1057"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应急响应</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按</w:t>
            </w:r>
            <w:r>
              <w:rPr>
                <w:rFonts w:hint="eastAsia" w:ascii="宋体" w:hAnsi="宋体" w:cs="宋体"/>
                <w:bCs/>
                <w:color w:val="auto"/>
                <w:highlight w:val="none"/>
                <w:lang w:val="en-US" w:eastAsia="zh-CN"/>
              </w:rPr>
              <w:t>甲方</w:t>
            </w:r>
            <w:r>
              <w:rPr>
                <w:rFonts w:hint="eastAsia" w:ascii="宋体" w:hAnsi="宋体" w:cs="宋体"/>
                <w:bCs/>
                <w:color w:val="auto"/>
                <w:highlight w:val="none"/>
              </w:rPr>
              <w:t>要求参加故障处理、抢修、抢险或其它紧急情况处理。</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3</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16</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故障响应时间满足从接报故障起</w:t>
            </w:r>
            <w:r>
              <w:rPr>
                <w:rFonts w:hint="default" w:ascii="宋体" w:hAnsi="宋体" w:cs="宋体"/>
                <w:bCs/>
                <w:color w:val="auto"/>
                <w:highlight w:val="none"/>
              </w:rPr>
              <w:t>120分钟内到达故障地点的</w:t>
            </w:r>
            <w:r>
              <w:rPr>
                <w:rFonts w:hint="eastAsia" w:ascii="宋体" w:hAnsi="宋体" w:cs="宋体"/>
                <w:bCs/>
                <w:color w:val="auto"/>
                <w:highlight w:val="none"/>
              </w:rPr>
              <w:t>要求。</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3</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lang w:bidi="ar"/>
              </w:rPr>
            </w:pPr>
            <w:r>
              <w:rPr>
                <w:rFonts w:hint="default" w:ascii="宋体" w:hAnsi="宋体" w:cs="宋体"/>
                <w:color w:val="auto"/>
                <w:highlight w:val="none"/>
                <w:lang w:bidi="ar"/>
              </w:rPr>
              <w:t>17</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故障修复时间满足</w:t>
            </w:r>
            <w:r>
              <w:rPr>
                <w:rFonts w:hint="default" w:ascii="宋体" w:hAnsi="宋体" w:cs="宋体"/>
                <w:bCs/>
                <w:color w:val="auto"/>
                <w:highlight w:val="none"/>
              </w:rPr>
              <w:t>180分钟完成临时处理、48</w:t>
            </w:r>
            <w:r>
              <w:rPr>
                <w:rFonts w:hint="eastAsia" w:ascii="宋体" w:hAnsi="宋体" w:cs="宋体"/>
                <w:bCs/>
                <w:color w:val="auto"/>
                <w:highlight w:val="none"/>
              </w:rPr>
              <w:t>小时完全修复故障的要求。</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3</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18</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安全管理（</w:t>
            </w:r>
            <w:r>
              <w:rPr>
                <w:rFonts w:hint="default" w:ascii="宋体" w:hAnsi="宋体" w:cs="宋体"/>
                <w:bCs/>
                <w:color w:val="auto"/>
                <w:highlight w:val="none"/>
              </w:rPr>
              <w:t>18分）</w:t>
            </w: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现场安全管理</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项目人员未出现在地铁、车站、隧道内抽烟，未经许可使用明火及在轨道交通管辖范围内携带危化品的行为。</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19</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因项目人员未出现违反国家法律法规，对</w:t>
            </w:r>
            <w:r>
              <w:rPr>
                <w:rFonts w:hint="eastAsia" w:ascii="宋体" w:hAnsi="宋体" w:cs="宋体"/>
                <w:bCs/>
                <w:color w:val="auto"/>
                <w:highlight w:val="none"/>
                <w:lang w:val="en-US" w:eastAsia="zh-CN"/>
              </w:rPr>
              <w:t>甲方</w:t>
            </w:r>
            <w:r>
              <w:rPr>
                <w:rFonts w:hint="eastAsia" w:ascii="宋体" w:hAnsi="宋体" w:cs="宋体"/>
                <w:bCs/>
                <w:color w:val="auto"/>
                <w:highlight w:val="none"/>
              </w:rPr>
              <w:t>经济收益、运营安全造成影响或造成其他社会负面影响等。</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4</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20</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按</w:t>
            </w:r>
            <w:r>
              <w:rPr>
                <w:rFonts w:hint="eastAsia" w:ascii="宋体" w:hAnsi="宋体" w:cs="宋体"/>
                <w:bCs/>
                <w:color w:val="auto"/>
                <w:highlight w:val="none"/>
                <w:lang w:val="en-US" w:eastAsia="zh-CN"/>
              </w:rPr>
              <w:t>甲方</w:t>
            </w:r>
            <w:r>
              <w:rPr>
                <w:rFonts w:hint="eastAsia" w:ascii="宋体" w:hAnsi="宋体" w:cs="宋体"/>
                <w:bCs/>
                <w:color w:val="auto"/>
                <w:highlight w:val="none"/>
              </w:rPr>
              <w:t>要求穿戴作业防护用品，完善安全防护措施。</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21</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未发生设备漏电及伤人事故，未造成人员伤亡。</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4</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22</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职业健康安全管理</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强化现场安全管理，有效辨识危险源，对安全隐患进行分析和监控，对人员的不安全行为及设施不安全状态实施系统预防。</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23</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针对本项目的特性，</w:t>
            </w:r>
            <w:r>
              <w:rPr>
                <w:rFonts w:hint="eastAsia" w:ascii="宋体" w:hAnsi="宋体" w:cs="宋体"/>
                <w:bCs/>
                <w:color w:val="auto"/>
                <w:highlight w:val="none"/>
                <w:lang w:val="en-US" w:eastAsia="zh-CN"/>
              </w:rPr>
              <w:t>乙方</w:t>
            </w:r>
            <w:r>
              <w:rPr>
                <w:rFonts w:hint="eastAsia" w:ascii="宋体" w:hAnsi="宋体" w:cs="宋体"/>
                <w:bCs/>
                <w:color w:val="auto"/>
                <w:highlight w:val="none"/>
              </w:rPr>
              <w:t>须积极做好各类防护措施，做好职业病的防治工作，保护作业人员身心健康。</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24</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安全教育培训</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须定期组织学习</w:t>
            </w:r>
            <w:r>
              <w:rPr>
                <w:rFonts w:hint="eastAsia" w:ascii="宋体" w:hAnsi="宋体" w:cs="宋体"/>
                <w:bCs/>
                <w:color w:val="auto"/>
                <w:highlight w:val="none"/>
                <w:lang w:val="en-US" w:eastAsia="zh-CN"/>
              </w:rPr>
              <w:t>甲方</w:t>
            </w:r>
            <w:r>
              <w:rPr>
                <w:rFonts w:hint="eastAsia" w:ascii="宋体" w:hAnsi="宋体" w:cs="宋体"/>
                <w:bCs/>
                <w:color w:val="auto"/>
                <w:highlight w:val="none"/>
              </w:rPr>
              <w:t>各级规章及案例，了解设备特性，避免出现由于对设备不熟悉导致作业失误引起设备故障。</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25</w:t>
            </w:r>
          </w:p>
        </w:tc>
        <w:tc>
          <w:tcPr>
            <w:tcW w:w="112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生产管理（</w:t>
            </w:r>
            <w:r>
              <w:rPr>
                <w:rFonts w:hint="default" w:ascii="宋体" w:hAnsi="宋体" w:cs="宋体"/>
                <w:bCs/>
                <w:color w:val="auto"/>
                <w:highlight w:val="none"/>
              </w:rPr>
              <w:t>52分）</w:t>
            </w: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人员培训</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default" w:ascii="宋体" w:hAnsi="宋体" w:cs="宋体"/>
                <w:bCs/>
                <w:color w:val="auto"/>
                <w:highlight w:val="none"/>
              </w:rPr>
              <w:t>须开展针对</w:t>
            </w:r>
            <w:r>
              <w:rPr>
                <w:rFonts w:hint="eastAsia" w:ascii="宋体" w:hAnsi="宋体" w:cs="宋体"/>
                <w:bCs/>
                <w:color w:val="auto"/>
                <w:highlight w:val="none"/>
                <w:lang w:val="en-US" w:eastAsia="zh-CN"/>
              </w:rPr>
              <w:t>甲方</w:t>
            </w:r>
            <w:r>
              <w:rPr>
                <w:rFonts w:hint="default" w:ascii="宋体" w:hAnsi="宋体" w:cs="宋体"/>
                <w:bCs/>
                <w:color w:val="auto"/>
                <w:highlight w:val="none"/>
              </w:rPr>
              <w:t>运维人员关于路由交换相关协议、日常维护知识及技能</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lang w:bidi="ar"/>
              </w:rPr>
            </w:pPr>
            <w:r>
              <w:rPr>
                <w:rFonts w:hint="eastAsia" w:ascii="宋体" w:hAnsi="宋体" w:cs="宋体"/>
                <w:color w:val="auto"/>
                <w:highlight w:val="none"/>
                <w:lang w:bidi="ar"/>
              </w:rPr>
              <w:t>26</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default" w:ascii="宋体" w:hAnsi="宋体" w:cs="宋体"/>
                <w:bCs/>
                <w:color w:val="auto"/>
                <w:highlight w:val="none"/>
              </w:rPr>
              <w:t>须开展针对</w:t>
            </w:r>
            <w:r>
              <w:rPr>
                <w:rFonts w:hint="eastAsia" w:ascii="宋体" w:hAnsi="宋体" w:cs="宋体"/>
                <w:bCs/>
                <w:color w:val="auto"/>
                <w:highlight w:val="none"/>
                <w:lang w:val="en-US" w:eastAsia="zh-CN"/>
              </w:rPr>
              <w:t>甲方</w:t>
            </w:r>
            <w:r>
              <w:rPr>
                <w:rFonts w:hint="default" w:ascii="宋体" w:hAnsi="宋体" w:cs="宋体"/>
                <w:bCs/>
                <w:color w:val="auto"/>
                <w:highlight w:val="none"/>
              </w:rPr>
              <w:t>运维人员关于</w:t>
            </w:r>
            <w:r>
              <w:rPr>
                <w:rFonts w:hint="eastAsia" w:ascii="宋体" w:hAnsi="宋体" w:eastAsia="宋体" w:cs="宋体"/>
                <w:bCs/>
                <w:color w:val="auto"/>
                <w:sz w:val="21"/>
                <w:szCs w:val="21"/>
                <w:lang w:val="en-US" w:eastAsia="zh-CN" w:bidi="ar"/>
              </w:rPr>
              <w:t>1-5号线</w:t>
            </w:r>
            <w:r>
              <w:rPr>
                <w:rFonts w:hint="default" w:ascii="宋体" w:hAnsi="宋体" w:cs="宋体"/>
                <w:bCs/>
                <w:color w:val="auto"/>
                <w:highlight w:val="none"/>
              </w:rPr>
              <w:t>核心交换机典型故障培训，理论及实操相结合。</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27</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工器具及应急周转备件管理</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在维修保养时，应保证所用的辅料及向</w:t>
            </w:r>
            <w:r>
              <w:rPr>
                <w:rFonts w:hint="eastAsia" w:ascii="宋体" w:hAnsi="宋体" w:cs="宋体"/>
                <w:bCs/>
                <w:color w:val="auto"/>
                <w:highlight w:val="none"/>
                <w:lang w:val="en-US" w:eastAsia="zh-CN"/>
              </w:rPr>
              <w:t>甲方</w:t>
            </w:r>
            <w:r>
              <w:rPr>
                <w:rFonts w:hint="eastAsia" w:ascii="宋体" w:hAnsi="宋体" w:cs="宋体"/>
                <w:bCs/>
                <w:color w:val="auto"/>
                <w:highlight w:val="none"/>
              </w:rPr>
              <w:t>提供的应急周转备件</w:t>
            </w:r>
            <w:r>
              <w:rPr>
                <w:rFonts w:hint="eastAsia" w:ascii="宋体" w:hAnsi="宋体" w:eastAsia="宋体" w:cs="宋体"/>
                <w:bCs/>
                <w:color w:val="auto"/>
                <w:sz w:val="21"/>
                <w:szCs w:val="21"/>
                <w:lang w:val="en-US" w:eastAsia="zh-CN" w:bidi="ar"/>
              </w:rPr>
              <w:t>（若有）</w:t>
            </w:r>
            <w:r>
              <w:rPr>
                <w:rFonts w:hint="eastAsia" w:ascii="宋体" w:hAnsi="宋体" w:cs="宋体"/>
                <w:bCs/>
                <w:color w:val="auto"/>
                <w:highlight w:val="none"/>
              </w:rPr>
              <w:t>均满足技术要求。</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28</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sz w:val="21"/>
                <w:szCs w:val="21"/>
                <w:lang w:val="en-US" w:eastAsia="zh-CN" w:bidi="ar"/>
              </w:rPr>
              <w:t>乙方</w:t>
            </w:r>
            <w:r>
              <w:rPr>
                <w:rFonts w:hint="eastAsia" w:ascii="宋体" w:hAnsi="宋体" w:eastAsia="宋体" w:cs="宋体"/>
                <w:bCs/>
                <w:color w:val="auto"/>
                <w:sz w:val="21"/>
                <w:szCs w:val="21"/>
                <w:lang w:val="en-US" w:eastAsia="zh-CN" w:bidi="ar"/>
              </w:rPr>
              <w:t>按照</w:t>
            </w:r>
            <w:r>
              <w:rPr>
                <w:rFonts w:hint="eastAsia" w:ascii="宋体" w:hAnsi="宋体" w:cs="宋体"/>
                <w:bCs/>
                <w:color w:val="auto"/>
                <w:sz w:val="21"/>
                <w:szCs w:val="21"/>
                <w:lang w:val="en-US" w:eastAsia="zh-CN" w:bidi="ar"/>
              </w:rPr>
              <w:t>甲方</w:t>
            </w:r>
            <w:r>
              <w:rPr>
                <w:rFonts w:hint="eastAsia" w:ascii="宋体" w:hAnsi="宋体" w:eastAsia="宋体" w:cs="宋体"/>
                <w:bCs/>
                <w:color w:val="auto"/>
                <w:sz w:val="21"/>
                <w:szCs w:val="21"/>
                <w:lang w:val="en-US" w:eastAsia="zh-CN" w:bidi="ar"/>
              </w:rPr>
              <w:t>要求配置应急周转备件（若有）应同时提供台账信息。</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eastAsia="Times New Roman"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29</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按照招投标文件及合同要求配置工器具及耗材。</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30</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故障管理</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项目人员须保持联系畅通。</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lang w:bidi="ar"/>
              </w:rPr>
            </w:pPr>
            <w:r>
              <w:rPr>
                <w:rFonts w:hint="eastAsia" w:ascii="宋体" w:hAnsi="宋体" w:cs="宋体"/>
                <w:color w:val="auto"/>
                <w:highlight w:val="none"/>
                <w:lang w:bidi="ar"/>
              </w:rPr>
              <w:t>31</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未出现因自身原因造成设备故障。</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32</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项目人员及时反馈故障维修处理信息。</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33</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项目人员未出现虚报、瞒报故障维修处理信息。</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3</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34</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按</w:t>
            </w:r>
            <w:r>
              <w:rPr>
                <w:rFonts w:hint="eastAsia" w:ascii="宋体" w:hAnsi="宋体" w:cs="宋体"/>
                <w:bCs/>
                <w:color w:val="auto"/>
                <w:highlight w:val="none"/>
                <w:lang w:val="en-US" w:eastAsia="zh-CN"/>
              </w:rPr>
              <w:t>甲方</w:t>
            </w:r>
            <w:r>
              <w:rPr>
                <w:rFonts w:hint="eastAsia" w:ascii="宋体" w:hAnsi="宋体" w:cs="宋体"/>
                <w:bCs/>
                <w:color w:val="auto"/>
                <w:highlight w:val="none"/>
              </w:rPr>
              <w:t>要求及时处理故障。</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3</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35</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处理故障记录齐全（包括时间点、处理经过、原因分析、整改措施等）。</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36</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事件管理</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未造成</w:t>
            </w:r>
            <w:r>
              <w:rPr>
                <w:rFonts w:hint="eastAsia" w:ascii="宋体" w:hAnsi="宋体" w:cs="宋体"/>
                <w:bCs/>
                <w:color w:val="auto"/>
                <w:highlight w:val="none"/>
                <w:lang w:val="en-US" w:eastAsia="zh-CN"/>
              </w:rPr>
              <w:t>甲方</w:t>
            </w:r>
            <w:r>
              <w:rPr>
                <w:rFonts w:hint="eastAsia" w:ascii="宋体" w:hAnsi="宋体" w:cs="宋体"/>
                <w:bCs/>
                <w:color w:val="auto"/>
                <w:highlight w:val="none"/>
              </w:rPr>
              <w:t>设备、设施破坏或第三方财产损失等现象。</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3</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37</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未出现因</w:t>
            </w:r>
            <w:r>
              <w:rPr>
                <w:rFonts w:hint="eastAsia" w:ascii="宋体" w:hAnsi="宋体" w:cs="宋体"/>
                <w:bCs/>
                <w:color w:val="auto"/>
                <w:highlight w:val="none"/>
                <w:lang w:val="en-US" w:eastAsia="zh-CN"/>
              </w:rPr>
              <w:t>乙方</w:t>
            </w:r>
            <w:r>
              <w:rPr>
                <w:rFonts w:hint="eastAsia" w:ascii="宋体" w:hAnsi="宋体" w:cs="宋体"/>
                <w:bCs/>
                <w:color w:val="auto"/>
                <w:highlight w:val="none"/>
              </w:rPr>
              <w:t>责任造成人员人身伤亡等现象。</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3</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38</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未出现因</w:t>
            </w:r>
            <w:r>
              <w:rPr>
                <w:rFonts w:hint="eastAsia" w:ascii="宋体" w:hAnsi="宋体" w:cs="宋体"/>
                <w:bCs/>
                <w:color w:val="auto"/>
                <w:highlight w:val="none"/>
                <w:lang w:val="en-US" w:eastAsia="zh-CN"/>
              </w:rPr>
              <w:t>乙方</w:t>
            </w:r>
            <w:r>
              <w:rPr>
                <w:rFonts w:hint="eastAsia" w:ascii="宋体" w:hAnsi="宋体" w:cs="宋体"/>
                <w:bCs/>
                <w:color w:val="auto"/>
                <w:highlight w:val="none"/>
              </w:rPr>
              <w:t>原因造成事件苗头及以上事件</w:t>
            </w:r>
            <w:r>
              <w:rPr>
                <w:rFonts w:hint="default" w:ascii="宋体" w:hAnsi="宋体" w:cs="宋体"/>
                <w:bCs/>
                <w:color w:val="auto"/>
                <w:highlight w:val="none"/>
              </w:rPr>
              <w:t>(按照</w:t>
            </w:r>
            <w:r>
              <w:rPr>
                <w:rFonts w:hint="eastAsia" w:ascii="宋体" w:hAnsi="宋体" w:cs="宋体"/>
                <w:bCs/>
                <w:color w:val="auto"/>
                <w:highlight w:val="none"/>
                <w:lang w:val="en-US" w:eastAsia="zh-CN"/>
              </w:rPr>
              <w:t>甲方</w:t>
            </w:r>
            <w:r>
              <w:rPr>
                <w:rFonts w:hint="eastAsia" w:ascii="宋体" w:hAnsi="宋体" w:cs="宋体"/>
                <w:bCs/>
                <w:color w:val="auto"/>
                <w:highlight w:val="none"/>
              </w:rPr>
              <w:t>既有的规定定性</w:t>
            </w:r>
            <w:r>
              <w:rPr>
                <w:rFonts w:hint="default" w:ascii="宋体" w:hAnsi="宋体" w:cs="宋体"/>
                <w:bCs/>
                <w:color w:val="auto"/>
                <w:highlight w:val="none"/>
              </w:rPr>
              <w:t>)。</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3</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39</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检修、施工管理</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按</w:t>
            </w:r>
            <w:r>
              <w:rPr>
                <w:rFonts w:hint="eastAsia" w:ascii="宋体" w:hAnsi="宋体" w:cs="宋体"/>
                <w:bCs/>
                <w:color w:val="auto"/>
                <w:highlight w:val="none"/>
                <w:lang w:val="en-US" w:eastAsia="zh-CN"/>
              </w:rPr>
              <w:t>甲方</w:t>
            </w:r>
            <w:r>
              <w:rPr>
                <w:rFonts w:hint="eastAsia" w:ascii="宋体" w:hAnsi="宋体" w:cs="宋体"/>
                <w:bCs/>
                <w:color w:val="auto"/>
                <w:highlight w:val="none"/>
              </w:rPr>
              <w:t>审核的设备检修规程及设备作业指导书实施。</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40</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按要求时间、质量完成</w:t>
            </w:r>
            <w:r>
              <w:rPr>
                <w:rFonts w:hint="eastAsia" w:ascii="宋体" w:hAnsi="宋体" w:cs="宋体"/>
                <w:bCs/>
                <w:color w:val="auto"/>
                <w:highlight w:val="none"/>
                <w:lang w:val="en-US" w:eastAsia="zh-CN"/>
              </w:rPr>
              <w:t>甲方</w:t>
            </w:r>
            <w:r>
              <w:rPr>
                <w:rFonts w:hint="eastAsia" w:ascii="宋体" w:hAnsi="宋体" w:cs="宋体"/>
                <w:bCs/>
                <w:color w:val="auto"/>
                <w:highlight w:val="none"/>
              </w:rPr>
              <w:t>临时安排的专项检修、预防性维护工作。</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41</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施工作业期间</w:t>
            </w:r>
            <w:r>
              <w:rPr>
                <w:rFonts w:hint="eastAsia" w:ascii="宋体" w:hAnsi="宋体" w:cs="宋体"/>
                <w:bCs/>
                <w:color w:val="auto"/>
                <w:highlight w:val="none"/>
                <w:lang w:val="en-US" w:eastAsia="zh-CN"/>
              </w:rPr>
              <w:t>乙方</w:t>
            </w:r>
            <w:r>
              <w:rPr>
                <w:rFonts w:hint="eastAsia" w:ascii="宋体" w:hAnsi="宋体" w:cs="宋体"/>
                <w:bCs/>
                <w:color w:val="auto"/>
                <w:highlight w:val="none"/>
              </w:rPr>
              <w:t>施工人员全面服从</w:t>
            </w:r>
            <w:r>
              <w:rPr>
                <w:rFonts w:hint="eastAsia" w:ascii="宋体" w:hAnsi="宋体" w:cs="宋体"/>
                <w:bCs/>
                <w:color w:val="auto"/>
                <w:highlight w:val="none"/>
                <w:lang w:val="en-US" w:eastAsia="zh-CN"/>
              </w:rPr>
              <w:t>甲方</w:t>
            </w:r>
            <w:r>
              <w:rPr>
                <w:rFonts w:hint="eastAsia" w:ascii="宋体" w:hAnsi="宋体" w:cs="宋体"/>
                <w:bCs/>
                <w:color w:val="auto"/>
                <w:highlight w:val="none"/>
              </w:rPr>
              <w:t>施工负责人安排，不违章或野蛮施工。</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42</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按</w:t>
            </w:r>
            <w:r>
              <w:rPr>
                <w:rFonts w:hint="eastAsia" w:ascii="宋体" w:hAnsi="宋体" w:cs="宋体"/>
                <w:bCs/>
                <w:color w:val="auto"/>
                <w:highlight w:val="none"/>
                <w:lang w:val="en-US" w:eastAsia="zh-CN"/>
              </w:rPr>
              <w:t>甲方</w:t>
            </w:r>
            <w:r>
              <w:rPr>
                <w:rFonts w:hint="eastAsia" w:ascii="宋体" w:hAnsi="宋体" w:cs="宋体"/>
                <w:bCs/>
                <w:color w:val="auto"/>
                <w:highlight w:val="none"/>
              </w:rPr>
              <w:t>要求开展作业，未出现擅自施工、擅自超范围作业的情况。</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43</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施工结束后做好“三清”工作。</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44</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施工作业计划兑现率达到</w:t>
            </w:r>
            <w:r>
              <w:rPr>
                <w:rFonts w:hint="default" w:ascii="宋体" w:hAnsi="宋体" w:cs="宋体"/>
                <w:bCs/>
                <w:color w:val="auto"/>
                <w:highlight w:val="none"/>
              </w:rPr>
              <w:t>100%。</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45</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施工时间利用率大于</w:t>
            </w:r>
            <w:r>
              <w:rPr>
                <w:rFonts w:hint="default" w:ascii="宋体" w:hAnsi="宋体" w:cs="宋体"/>
                <w:bCs/>
                <w:color w:val="auto"/>
                <w:highlight w:val="none"/>
              </w:rPr>
              <w:t>80%。</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51"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46</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设备质量管理</w:t>
            </w:r>
          </w:p>
        </w:tc>
        <w:tc>
          <w:tcPr>
            <w:tcW w:w="4360"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因委外维修质量问题造成影响运营服务的较大故障或隐患。</w:t>
            </w:r>
          </w:p>
        </w:tc>
        <w:tc>
          <w:tcPr>
            <w:tcW w:w="769"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51"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lang w:bidi="ar"/>
              </w:rPr>
            </w:pPr>
            <w:r>
              <w:rPr>
                <w:rFonts w:hint="eastAsia" w:ascii="宋体" w:hAnsi="宋体" w:cs="宋体"/>
                <w:color w:val="auto"/>
                <w:highlight w:val="none"/>
                <w:lang w:bidi="ar"/>
              </w:rPr>
              <w:t>47</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未按要求开展设备状态普查及定期巡检工作</w:t>
            </w:r>
          </w:p>
        </w:tc>
        <w:tc>
          <w:tcPr>
            <w:tcW w:w="769"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1"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lang w:bidi="ar"/>
              </w:rPr>
            </w:pPr>
            <w:r>
              <w:rPr>
                <w:rFonts w:hint="eastAsia" w:ascii="宋体" w:hAnsi="宋体" w:cs="宋体"/>
                <w:color w:val="auto"/>
                <w:highlight w:val="none"/>
                <w:lang w:bidi="ar"/>
              </w:rPr>
              <w:t>48</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restart"/>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故障件维修</w:t>
            </w:r>
          </w:p>
        </w:tc>
        <w:tc>
          <w:tcPr>
            <w:tcW w:w="4360"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lang w:val="en-US" w:eastAsia="zh-CN"/>
              </w:rPr>
              <w:t>乙方</w:t>
            </w:r>
            <w:r>
              <w:rPr>
                <w:rFonts w:hint="eastAsia" w:ascii="宋体" w:hAnsi="宋体" w:cs="宋体"/>
                <w:bCs/>
                <w:color w:val="auto"/>
                <w:highlight w:val="none"/>
              </w:rPr>
              <w:t>及时接收及修复</w:t>
            </w:r>
            <w:r>
              <w:rPr>
                <w:rFonts w:hint="eastAsia" w:ascii="宋体" w:hAnsi="宋体" w:cs="宋体"/>
                <w:bCs/>
                <w:color w:val="auto"/>
                <w:highlight w:val="none"/>
                <w:lang w:val="en-US" w:eastAsia="zh-CN"/>
              </w:rPr>
              <w:t>甲方</w:t>
            </w:r>
            <w:r>
              <w:rPr>
                <w:rFonts w:hint="eastAsia" w:ascii="宋体" w:hAnsi="宋体" w:cs="宋体"/>
                <w:bCs/>
                <w:color w:val="auto"/>
                <w:highlight w:val="none"/>
              </w:rPr>
              <w:t>故障件。</w:t>
            </w:r>
          </w:p>
        </w:tc>
        <w:tc>
          <w:tcPr>
            <w:tcW w:w="769"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1"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lang w:bidi="ar"/>
              </w:rPr>
            </w:pPr>
            <w:r>
              <w:rPr>
                <w:rFonts w:hint="eastAsia" w:ascii="宋体" w:hAnsi="宋体" w:cs="宋体"/>
                <w:color w:val="auto"/>
                <w:highlight w:val="none"/>
                <w:lang w:bidi="ar"/>
              </w:rPr>
              <w:t>49</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4360"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修后设备在质保期内未重复出现故障。</w:t>
            </w:r>
          </w:p>
        </w:tc>
        <w:tc>
          <w:tcPr>
            <w:tcW w:w="769"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1"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lang w:bidi="ar"/>
              </w:rPr>
            </w:pPr>
            <w:r>
              <w:rPr>
                <w:rFonts w:hint="eastAsia" w:ascii="宋体" w:hAnsi="宋体" w:cs="宋体"/>
                <w:color w:val="auto"/>
                <w:highlight w:val="none"/>
                <w:lang w:bidi="ar"/>
              </w:rPr>
              <w:t>50</w:t>
            </w:r>
          </w:p>
        </w:tc>
        <w:tc>
          <w:tcPr>
            <w:tcW w:w="112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4360"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故障件维修成功率不低于考核周期（每半年）内送修故障件数量的</w:t>
            </w:r>
            <w:r>
              <w:rPr>
                <w:rFonts w:hint="eastAsia" w:ascii="宋体" w:hAnsi="宋体" w:cs="宋体"/>
                <w:bCs/>
                <w:color w:val="auto"/>
                <w:highlight w:val="none"/>
                <w:lang w:val="en-US" w:eastAsia="zh-CN"/>
              </w:rPr>
              <w:t>90</w:t>
            </w:r>
            <w:r>
              <w:rPr>
                <w:rFonts w:hint="default" w:ascii="宋体" w:hAnsi="宋体" w:cs="宋体"/>
                <w:bCs/>
                <w:color w:val="auto"/>
                <w:highlight w:val="none"/>
              </w:rPr>
              <w:t>%。</w:t>
            </w:r>
          </w:p>
        </w:tc>
        <w:tc>
          <w:tcPr>
            <w:tcW w:w="769"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left"/>
              <w:rPr>
                <w:rFonts w:hint="default" w:ascii="宋体" w:hAnsi="宋体" w:cs="宋体"/>
                <w:color w:val="auto"/>
                <w:highlight w:val="none"/>
              </w:rPr>
            </w:pPr>
            <w:r>
              <w:rPr>
                <w:rFonts w:hint="eastAsia" w:ascii="宋体" w:hAnsi="宋体" w:cs="宋体"/>
                <w:color w:val="auto"/>
                <w:highlight w:val="none"/>
              </w:rPr>
              <w:t>最终总得分</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left"/>
              <w:rPr>
                <w:rFonts w:hint="default" w:ascii="宋体" w:hAnsi="宋体"/>
                <w:color w:val="auto"/>
                <w:highlight w:val="none"/>
              </w:rPr>
            </w:pPr>
            <w:r>
              <w:rPr>
                <w:rFonts w:hint="eastAsia" w:ascii="宋体" w:hAnsi="宋体"/>
                <w:color w:val="auto"/>
                <w:highlight w:val="none"/>
              </w:rPr>
              <w:t>注：</w:t>
            </w:r>
            <w:r>
              <w:rPr>
                <w:rFonts w:hint="default" w:ascii="宋体" w:hAnsi="宋体"/>
                <w:color w:val="auto"/>
                <w:highlight w:val="none"/>
              </w:rPr>
              <w:t>1</w:t>
            </w:r>
            <w:r>
              <w:rPr>
                <w:rFonts w:hint="eastAsia" w:ascii="宋体" w:hAnsi="宋体"/>
                <w:color w:val="auto"/>
                <w:highlight w:val="none"/>
              </w:rPr>
              <w:t>、单项评分为该项对应分值，根据检查情况由</w:t>
            </w:r>
            <w:r>
              <w:rPr>
                <w:rFonts w:hint="eastAsia" w:ascii="宋体" w:hAnsi="宋体"/>
                <w:color w:val="auto"/>
                <w:highlight w:val="none"/>
                <w:lang w:val="en-US" w:eastAsia="zh-CN"/>
              </w:rPr>
              <w:t>甲方</w:t>
            </w:r>
            <w:r>
              <w:rPr>
                <w:rFonts w:hint="eastAsia" w:ascii="宋体" w:hAnsi="宋体"/>
                <w:color w:val="auto"/>
                <w:highlight w:val="none"/>
              </w:rPr>
              <w:t>对</w:t>
            </w:r>
            <w:r>
              <w:rPr>
                <w:rFonts w:hint="eastAsia" w:ascii="宋体" w:hAnsi="宋体"/>
                <w:color w:val="auto"/>
                <w:highlight w:val="none"/>
                <w:lang w:val="en-US" w:eastAsia="zh-CN"/>
              </w:rPr>
              <w:t>乙方</w:t>
            </w:r>
            <w:r>
              <w:rPr>
                <w:rFonts w:hint="eastAsia" w:ascii="宋体" w:hAnsi="宋体"/>
                <w:color w:val="auto"/>
                <w:highlight w:val="none"/>
              </w:rPr>
              <w:t>进行评分。</w:t>
            </w:r>
          </w:p>
          <w:p>
            <w:pPr>
              <w:keepNext w:val="0"/>
              <w:keepLines w:val="0"/>
              <w:widowControl/>
              <w:suppressLineNumbers w:val="0"/>
              <w:spacing w:before="0" w:beforeAutospacing="0" w:after="0" w:afterAutospacing="0" w:line="240" w:lineRule="auto"/>
              <w:jc w:val="left"/>
              <w:rPr>
                <w:rFonts w:hint="default" w:ascii="宋体" w:hAnsi="宋体"/>
                <w:color w:val="auto"/>
                <w:highlight w:val="none"/>
              </w:rPr>
            </w:pPr>
            <w:r>
              <w:rPr>
                <w:rFonts w:hint="eastAsia" w:ascii="宋体" w:hAnsi="宋体"/>
                <w:color w:val="auto"/>
                <w:highlight w:val="none"/>
              </w:rPr>
              <w:t>单项最终得分=</w:t>
            </w:r>
            <w:r>
              <w:rPr>
                <w:rFonts w:hint="eastAsia" w:ascii="宋体" w:hAnsi="宋体"/>
                <w:color w:val="auto"/>
                <w:highlight w:val="none"/>
                <w:lang w:val="en-US" w:eastAsia="zh-CN"/>
              </w:rPr>
              <w:t>甲方</w:t>
            </w:r>
            <w:r>
              <w:rPr>
                <w:rFonts w:hint="eastAsia" w:ascii="宋体" w:hAnsi="宋体"/>
                <w:color w:val="auto"/>
                <w:highlight w:val="none"/>
              </w:rPr>
              <w:t>单项评分。</w:t>
            </w:r>
          </w:p>
          <w:p>
            <w:pPr>
              <w:keepNext w:val="0"/>
              <w:keepLines w:val="0"/>
              <w:widowControl/>
              <w:suppressLineNumbers w:val="0"/>
              <w:spacing w:before="0" w:beforeAutospacing="0" w:after="0" w:afterAutospacing="0" w:line="240" w:lineRule="auto"/>
              <w:jc w:val="left"/>
              <w:rPr>
                <w:rFonts w:hint="default" w:ascii="宋体" w:hAnsi="宋体"/>
                <w:color w:val="auto"/>
                <w:highlight w:val="none"/>
              </w:rPr>
            </w:pPr>
            <w:r>
              <w:rPr>
                <w:rFonts w:hint="eastAsia" w:ascii="宋体" w:hAnsi="宋体"/>
                <w:color w:val="auto"/>
                <w:highlight w:val="none"/>
              </w:rPr>
              <w:t>最终总得分=各单项最终得分总和。</w:t>
            </w:r>
          </w:p>
        </w:tc>
      </w:tr>
    </w:tbl>
    <w:p>
      <w:pPr>
        <w:widowControl w:val="0"/>
        <w:spacing w:beforeLines="50"/>
        <w:ind w:firstLine="420"/>
        <w:rPr>
          <w:rFonts w:ascii="宋体" w:hAnsi="宋体"/>
          <w:color w:val="auto"/>
          <w:highlight w:val="none"/>
        </w:rPr>
        <w:sectPr>
          <w:footerReference r:id="rId8" w:type="default"/>
          <w:pgSz w:w="11906" w:h="16838"/>
          <w:pgMar w:top="1440" w:right="1797" w:bottom="1440" w:left="1440" w:header="567" w:footer="964" w:gutter="0"/>
          <w:pgNumType w:fmt="decimal"/>
          <w:cols w:space="720" w:num="1"/>
          <w:docGrid w:linePitch="312" w:charSpace="0"/>
        </w:sectPr>
      </w:pPr>
      <w:r>
        <w:rPr>
          <w:rFonts w:hint="eastAsia" w:ascii="宋体" w:hAnsi="宋体"/>
          <w:color w:val="auto"/>
          <w:highlight w:val="none"/>
        </w:rPr>
        <w:t>注：上表名词相关定义由</w:t>
      </w:r>
      <w:r>
        <w:rPr>
          <w:rFonts w:hint="eastAsia" w:ascii="宋体" w:hAnsi="宋体"/>
          <w:color w:val="auto"/>
          <w:highlight w:val="none"/>
          <w:lang w:val="en-US" w:eastAsia="zh-CN"/>
        </w:rPr>
        <w:t>甲方</w:t>
      </w:r>
      <w:r>
        <w:rPr>
          <w:rFonts w:hint="eastAsia" w:ascii="宋体" w:hAnsi="宋体"/>
          <w:color w:val="auto"/>
          <w:highlight w:val="none"/>
        </w:rPr>
        <w:t>负责解释。</w:t>
      </w:r>
    </w:p>
    <w:p>
      <w:pPr>
        <w:pStyle w:val="10"/>
        <w:rPr>
          <w:rStyle w:val="46"/>
          <w:rFonts w:asciiTheme="minorEastAsia" w:hAnsiTheme="minorEastAsia" w:eastAsiaTheme="minorEastAsia"/>
          <w:color w:val="auto"/>
          <w:sz w:val="21"/>
          <w:szCs w:val="21"/>
          <w:highlight w:val="none"/>
        </w:rPr>
      </w:pPr>
      <w:r>
        <w:rPr>
          <w:rStyle w:val="46"/>
          <w:rFonts w:hint="eastAsia" w:asciiTheme="minorEastAsia" w:hAnsiTheme="minorEastAsia" w:eastAsiaTheme="minorEastAsia"/>
          <w:color w:val="auto"/>
          <w:sz w:val="21"/>
          <w:szCs w:val="21"/>
          <w:highlight w:val="none"/>
        </w:rPr>
        <w:t>附件</w:t>
      </w:r>
      <w:r>
        <w:rPr>
          <w:rStyle w:val="46"/>
          <w:rFonts w:hint="eastAsia" w:asciiTheme="minorEastAsia" w:hAnsiTheme="minorEastAsia" w:eastAsiaTheme="minorEastAsia"/>
          <w:color w:val="auto"/>
          <w:sz w:val="21"/>
          <w:szCs w:val="21"/>
          <w:highlight w:val="none"/>
          <w:lang w:val="en-US" w:eastAsia="zh-CN"/>
        </w:rPr>
        <w:t>3</w:t>
      </w:r>
      <w:r>
        <w:rPr>
          <w:rStyle w:val="46"/>
          <w:rFonts w:hint="eastAsia" w:asciiTheme="minorEastAsia" w:hAnsiTheme="minorEastAsia" w:eastAsiaTheme="minorEastAsia"/>
          <w:color w:val="auto"/>
          <w:sz w:val="21"/>
          <w:szCs w:val="21"/>
          <w:highlight w:val="none"/>
        </w:rPr>
        <w:t>：合同违约处</w:t>
      </w:r>
      <w:r>
        <w:rPr>
          <w:rStyle w:val="46"/>
          <w:rFonts w:hint="eastAsia" w:asciiTheme="minorEastAsia" w:hAnsiTheme="minorEastAsia" w:eastAsiaTheme="minorEastAsia"/>
          <w:color w:val="auto"/>
          <w:sz w:val="21"/>
          <w:szCs w:val="21"/>
          <w:highlight w:val="none"/>
          <w:lang w:val="en-US" w:eastAsia="zh-CN"/>
        </w:rPr>
        <w:t>理</w:t>
      </w:r>
      <w:r>
        <w:rPr>
          <w:rStyle w:val="46"/>
          <w:rFonts w:hint="eastAsia" w:asciiTheme="minorEastAsia" w:hAnsiTheme="minorEastAsia" w:eastAsiaTheme="minorEastAsia"/>
          <w:color w:val="auto"/>
          <w:sz w:val="21"/>
          <w:szCs w:val="21"/>
          <w:highlight w:val="none"/>
        </w:rPr>
        <w:t>通知单</w:t>
      </w:r>
    </w:p>
    <w:p>
      <w:pPr>
        <w:spacing w:after="0" w:afterAutospacing="0" w:line="240" w:lineRule="auto"/>
        <w:ind w:left="0" w:right="-57"/>
        <w:jc w:val="center"/>
        <w:rPr>
          <w:rFonts w:ascii="宋体" w:hAnsi="宋体" w:cs="宋体"/>
          <w:b/>
          <w:color w:val="auto"/>
          <w:highlight w:val="none"/>
        </w:rPr>
      </w:pPr>
      <w:r>
        <w:rPr>
          <w:rFonts w:hint="eastAsia" w:ascii="宋体" w:hAnsi="宋体" w:cs="宋体"/>
          <w:b/>
          <w:color w:val="auto"/>
          <w:highlight w:val="none"/>
        </w:rPr>
        <w:t>合同违约处理通知单</w:t>
      </w:r>
    </w:p>
    <w:p>
      <w:pPr>
        <w:pStyle w:val="16"/>
        <w:spacing w:after="0" w:afterAutospacing="0" w:line="240" w:lineRule="auto"/>
        <w:ind w:left="0" w:right="-57" w:firstLine="643"/>
        <w:rPr>
          <w:bCs/>
          <w:color w:val="auto"/>
          <w:sz w:val="21"/>
          <w:szCs w:val="21"/>
          <w:highlight w:val="none"/>
        </w:rPr>
      </w:pPr>
      <w:r>
        <w:rPr>
          <w:rFonts w:hint="eastAsia" w:hAnsi="宋体"/>
          <w:b/>
          <w:color w:val="auto"/>
          <w:sz w:val="32"/>
          <w:szCs w:val="32"/>
          <w:highlight w:val="none"/>
        </w:rPr>
        <w:t xml:space="preserve">                         </w:t>
      </w:r>
      <w:r>
        <w:rPr>
          <w:rFonts w:hAnsi="宋体"/>
          <w:b/>
          <w:color w:val="auto"/>
          <w:sz w:val="21"/>
          <w:szCs w:val="21"/>
          <w:highlight w:val="none"/>
        </w:rPr>
        <w:t xml:space="preserve">  编号：</w:t>
      </w:r>
      <w:r>
        <w:rPr>
          <w:rFonts w:hint="eastAsia" w:hAnsi="宋体"/>
          <w:bCs/>
          <w:color w:val="auto"/>
          <w:sz w:val="21"/>
          <w:szCs w:val="21"/>
          <w:highlight w:val="none"/>
        </w:rPr>
        <w:t>合同编号</w:t>
      </w:r>
      <w:r>
        <w:rPr>
          <w:rFonts w:hAnsi="宋体"/>
          <w:bCs/>
          <w:color w:val="auto"/>
          <w:sz w:val="21"/>
          <w:szCs w:val="21"/>
          <w:highlight w:val="none"/>
        </w:rPr>
        <w:t>-年月-两位数流水号</w:t>
      </w:r>
    </w:p>
    <w:tbl>
      <w:tblPr>
        <w:tblStyle w:val="33"/>
        <w:tblpPr w:leftFromText="180" w:rightFromText="180" w:vertAnchor="text" w:horzAnchor="page" w:tblpX="906" w:tblpY="212"/>
        <w:tblW w:w="10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68"/>
        <w:gridCol w:w="1757"/>
        <w:gridCol w:w="1283"/>
        <w:gridCol w:w="392"/>
        <w:gridCol w:w="194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2" w:type="dxa"/>
            <w:gridSpan w:val="2"/>
            <w:tcBorders>
              <w:top w:val="thinThickSmallGap" w:color="auto" w:sz="18" w:space="0"/>
              <w:left w:val="thinThickSmallGap" w:color="auto" w:sz="18"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sz w:val="24"/>
                <w:highlight w:val="none"/>
              </w:rPr>
            </w:pPr>
            <w:r>
              <w:rPr>
                <w:rFonts w:hint="eastAsia" w:ascii="宋体" w:hAnsi="宋体"/>
                <w:b/>
                <w:color w:val="auto"/>
                <w:szCs w:val="21"/>
                <w:highlight w:val="none"/>
              </w:rPr>
              <w:t>项目名称</w:t>
            </w:r>
          </w:p>
        </w:tc>
        <w:tc>
          <w:tcPr>
            <w:tcW w:w="3432" w:type="dxa"/>
            <w:gridSpan w:val="3"/>
            <w:tcBorders>
              <w:top w:val="thinThickSmallGap" w:color="auto" w:sz="18"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p>
        </w:tc>
        <w:tc>
          <w:tcPr>
            <w:tcW w:w="1946" w:type="dxa"/>
            <w:tcBorders>
              <w:top w:val="thinThickSmallGap" w:color="auto" w:sz="18"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sz w:val="24"/>
                <w:highlight w:val="none"/>
              </w:rPr>
            </w:pPr>
            <w:r>
              <w:rPr>
                <w:rFonts w:hint="eastAsia" w:ascii="宋体" w:hAnsi="宋体"/>
                <w:b/>
                <w:color w:val="auto"/>
                <w:szCs w:val="21"/>
                <w:highlight w:val="none"/>
              </w:rPr>
              <w:t>合同编号</w:t>
            </w:r>
          </w:p>
        </w:tc>
        <w:tc>
          <w:tcPr>
            <w:tcW w:w="3035" w:type="dxa"/>
            <w:tcBorders>
              <w:top w:val="thinThickSmallGap" w:color="auto" w:sz="18" w:space="0"/>
              <w:left w:val="single" w:color="auto" w:sz="4" w:space="0"/>
              <w:bottom w:val="single" w:color="auto" w:sz="4" w:space="0"/>
              <w:right w:val="thinThickSmallGap" w:color="auto" w:sz="18" w:space="0"/>
            </w:tcBorders>
            <w:noWrap w:val="0"/>
            <w:vAlign w:val="center"/>
          </w:tcPr>
          <w:p>
            <w:pPr>
              <w:keepNext w:val="0"/>
              <w:keepLines w:val="0"/>
              <w:widowControl/>
              <w:suppressLineNumbers w:val="0"/>
              <w:spacing w:beforeAutospacing="0"/>
              <w:jc w:val="center"/>
              <w:rPr>
                <w:rFonts w:hint="default"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sz w:val="24"/>
                <w:highlight w:val="none"/>
              </w:rPr>
            </w:pPr>
            <w:r>
              <w:rPr>
                <w:rFonts w:hint="eastAsia" w:ascii="宋体" w:hAnsi="宋体"/>
                <w:b/>
                <w:color w:val="auto"/>
                <w:szCs w:val="21"/>
                <w:highlight w:val="none"/>
              </w:rPr>
              <w:t>承包商</w:t>
            </w:r>
          </w:p>
        </w:tc>
        <w:tc>
          <w:tcPr>
            <w:tcW w:w="34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line="240" w:lineRule="auto"/>
              <w:jc w:val="center"/>
              <w:rPr>
                <w:rFonts w:hint="default" w:ascii="宋体" w:hAnsi="宋体"/>
                <w:b/>
                <w:color w:val="auto"/>
                <w:szCs w:val="21"/>
                <w:highlight w:val="none"/>
                <w:lang w:eastAsia="zh-CN"/>
              </w:rPr>
            </w:pPr>
            <w:r>
              <w:rPr>
                <w:rFonts w:hint="eastAsia" w:ascii="宋体" w:hAnsi="宋体"/>
                <w:b/>
                <w:color w:val="auto"/>
                <w:szCs w:val="21"/>
                <w:highlight w:val="none"/>
                <w:lang w:eastAsia="zh-CN"/>
              </w:rPr>
              <w:t>运营公司</w:t>
            </w:r>
          </w:p>
          <w:p>
            <w:pPr>
              <w:keepNext w:val="0"/>
              <w:keepLines w:val="0"/>
              <w:widowControl/>
              <w:suppressLineNumbers w:val="0"/>
              <w:spacing w:beforeAutospacing="0" w:line="240" w:lineRule="auto"/>
              <w:jc w:val="center"/>
              <w:rPr>
                <w:rFonts w:hint="default" w:ascii="宋体" w:hAnsi="宋体"/>
                <w:b/>
                <w:color w:val="auto"/>
                <w:sz w:val="24"/>
                <w:highlight w:val="none"/>
              </w:rPr>
            </w:pPr>
            <w:r>
              <w:rPr>
                <w:rFonts w:hint="eastAsia" w:ascii="宋体" w:hAnsi="宋体"/>
                <w:b/>
                <w:color w:val="auto"/>
                <w:szCs w:val="21"/>
                <w:highlight w:val="none"/>
                <w:lang w:eastAsia="zh-CN"/>
              </w:rPr>
              <w:t>主办部门</w:t>
            </w:r>
          </w:p>
        </w:tc>
        <w:tc>
          <w:tcPr>
            <w:tcW w:w="3035" w:type="dxa"/>
            <w:tcBorders>
              <w:top w:val="single" w:color="auto" w:sz="4" w:space="0"/>
              <w:left w:val="single" w:color="auto" w:sz="4" w:space="0"/>
              <w:bottom w:val="single" w:color="auto" w:sz="4" w:space="0"/>
              <w:right w:val="thinThickSmallGap" w:color="auto" w:sz="18" w:space="0"/>
            </w:tcBorders>
            <w:noWrap w:val="0"/>
            <w:vAlign w:val="center"/>
          </w:tcPr>
          <w:p>
            <w:pPr>
              <w:keepNext w:val="0"/>
              <w:keepLines w:val="0"/>
              <w:widowControl/>
              <w:suppressLineNumbers w:val="0"/>
              <w:spacing w:beforeAutospacing="0"/>
              <w:jc w:val="center"/>
              <w:rPr>
                <w:rFonts w:hint="default"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5"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r>
              <w:rPr>
                <w:rFonts w:hint="eastAsia" w:ascii="宋体" w:hAnsi="宋体"/>
                <w:b/>
                <w:color w:val="auto"/>
                <w:highlight w:val="none"/>
              </w:rPr>
              <w:t>合同违约情况</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val="0"/>
              <w:keepLines w:val="0"/>
              <w:widowControl/>
              <w:suppressLineNumbers w:val="0"/>
              <w:spacing w:beforeAutospacing="0" w:line="300" w:lineRule="exact"/>
              <w:rPr>
                <w:rFonts w:hint="default" w:ascii="宋体" w:hAnsi="宋体"/>
                <w:bCs/>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r>
              <w:rPr>
                <w:rFonts w:hint="eastAsia" w:ascii="宋体" w:hAnsi="宋体"/>
                <w:b/>
                <w:color w:val="auto"/>
                <w:highlight w:val="none"/>
              </w:rPr>
              <w:t>违约处理意向</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val="0"/>
              <w:keepLines w:val="0"/>
              <w:widowControl/>
              <w:suppressLineNumbers w:val="0"/>
              <w:spacing w:beforeAutospacing="0" w:line="300" w:lineRule="exact"/>
              <w:rPr>
                <w:rFonts w:hint="default"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554" w:type="dxa"/>
            <w:vMerge w:val="restart"/>
            <w:tcBorders>
              <w:top w:val="single" w:color="auto" w:sz="4" w:space="0"/>
              <w:left w:val="thinThickSmallGap" w:color="auto" w:sz="18" w:space="0"/>
              <w:bottom w:val="single" w:color="auto" w:sz="4" w:space="0"/>
              <w:right w:val="single" w:color="auto" w:sz="4" w:space="0"/>
            </w:tcBorders>
            <w:noWrap w:val="0"/>
            <w:textDirection w:val="tbLrV"/>
            <w:vAlign w:val="center"/>
          </w:tcPr>
          <w:p>
            <w:pPr>
              <w:keepNext w:val="0"/>
              <w:keepLines w:val="0"/>
              <w:widowControl/>
              <w:suppressLineNumbers w:val="0"/>
              <w:spacing w:beforeAutospacing="0"/>
              <w:jc w:val="center"/>
              <w:rPr>
                <w:rFonts w:hint="default" w:ascii="宋体" w:hAnsi="宋体"/>
                <w:b/>
                <w:color w:val="auto"/>
                <w:highlight w:val="none"/>
              </w:rPr>
            </w:pPr>
            <w:r>
              <w:rPr>
                <w:rFonts w:hint="eastAsia" w:ascii="宋体" w:hAnsi="宋体"/>
                <w:b/>
                <w:color w:val="auto"/>
                <w:highlight w:val="none"/>
                <w:lang w:eastAsia="zh-CN"/>
              </w:rPr>
              <w:t>运营公司</w:t>
            </w:r>
            <w:r>
              <w:rPr>
                <w:rFonts w:hint="eastAsia" w:ascii="宋体" w:hAnsi="宋体"/>
                <w:b/>
                <w:color w:val="auto"/>
                <w:highlight w:val="none"/>
              </w:rPr>
              <w:t>审批意见</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r>
              <w:rPr>
                <w:rFonts w:hint="eastAsia" w:ascii="宋体" w:hAnsi="宋体"/>
                <w:b/>
                <w:color w:val="auto"/>
                <w:highlight w:val="none"/>
              </w:rPr>
              <w:t>主办部门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val="0"/>
              <w:keepLines w:val="0"/>
              <w:widowControl/>
              <w:suppressLineNumbers w:val="0"/>
              <w:spacing w:beforeAutospacing="0"/>
              <w:ind w:right="113"/>
              <w:rPr>
                <w:rFonts w:hint="default" w:ascii="宋体" w:hAnsi="宋体"/>
                <w:color w:val="auto"/>
                <w:highlight w:val="none"/>
              </w:rPr>
            </w:pPr>
          </w:p>
          <w:p>
            <w:pPr>
              <w:keepNext w:val="0"/>
              <w:keepLines w:val="0"/>
              <w:widowControl/>
              <w:suppressLineNumbers w:val="0"/>
              <w:spacing w:beforeAutospacing="0"/>
              <w:ind w:right="113"/>
              <w:rPr>
                <w:rFonts w:hint="default"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54" w:type="dxa"/>
            <w:vMerge w:val="continue"/>
            <w:tcBorders>
              <w:left w:val="thinThickSmallGap" w:color="auto" w:sz="18"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p>
        </w:tc>
        <w:tc>
          <w:tcPr>
            <w:tcW w:w="1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eastAsia="宋体"/>
                <w:b/>
                <w:color w:val="auto"/>
                <w:highlight w:val="none"/>
                <w:lang w:eastAsia="zh-CN"/>
              </w:rPr>
            </w:pPr>
            <w:r>
              <w:rPr>
                <w:rFonts w:hint="eastAsia" w:ascii="宋体" w:hAnsi="宋体"/>
                <w:b/>
                <w:color w:val="auto"/>
                <w:highlight w:val="none"/>
                <w:lang w:eastAsia="zh-CN"/>
              </w:rPr>
              <w:t>线网管控中心</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val="0"/>
              <w:keepLines w:val="0"/>
              <w:widowControl/>
              <w:suppressLineNumbers w:val="0"/>
              <w:spacing w:beforeAutospacing="0"/>
              <w:ind w:right="113"/>
              <w:rPr>
                <w:rFonts w:hint="default"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554" w:type="dxa"/>
            <w:vMerge w:val="continue"/>
            <w:tcBorders>
              <w:top w:val="single" w:color="auto" w:sz="4" w:space="0"/>
              <w:left w:val="thinThickSmallGap" w:color="auto" w:sz="18"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p>
        </w:tc>
        <w:tc>
          <w:tcPr>
            <w:tcW w:w="1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eastAsia="宋体"/>
                <w:b/>
                <w:color w:val="auto"/>
                <w:highlight w:val="none"/>
                <w:lang w:val="en-US" w:eastAsia="zh-CN"/>
              </w:rPr>
            </w:pPr>
            <w:r>
              <w:rPr>
                <w:rFonts w:hint="eastAsia" w:ascii="宋体" w:hAnsi="宋体"/>
                <w:b/>
                <w:color w:val="auto"/>
                <w:highlight w:val="none"/>
                <w:lang w:val="en-US" w:eastAsia="zh-CN"/>
              </w:rPr>
              <w:t>合约法规部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val="0"/>
              <w:keepLines w:val="0"/>
              <w:widowControl/>
              <w:suppressLineNumbers w:val="0"/>
              <w:spacing w:beforeAutospacing="0"/>
              <w:ind w:left="113" w:right="113"/>
              <w:jc w:val="center"/>
              <w:rPr>
                <w:rFonts w:hint="default" w:ascii="宋体" w:hAnsi="宋体" w:cs="宋体"/>
                <w:color w:val="auto"/>
                <w:szCs w:val="21"/>
                <w:highlight w:val="none"/>
              </w:rPr>
            </w:pPr>
          </w:p>
          <w:p>
            <w:pPr>
              <w:keepNext w:val="0"/>
              <w:keepLines w:val="0"/>
              <w:widowControl/>
              <w:suppressLineNumbers w:val="0"/>
              <w:spacing w:beforeAutospacing="0"/>
              <w:ind w:right="113"/>
              <w:rPr>
                <w:rFonts w:hint="default"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554" w:type="dxa"/>
            <w:vMerge w:val="continue"/>
            <w:tcBorders>
              <w:top w:val="single" w:color="auto" w:sz="4" w:space="0"/>
              <w:left w:val="thinThickSmallGap" w:color="auto" w:sz="18"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p>
        </w:tc>
        <w:tc>
          <w:tcPr>
            <w:tcW w:w="1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lang w:eastAsia="zh-CN"/>
              </w:rPr>
            </w:pPr>
            <w:r>
              <w:rPr>
                <w:rFonts w:hint="eastAsia" w:ascii="宋体" w:hAnsi="宋体"/>
                <w:b/>
                <w:color w:val="auto"/>
                <w:highlight w:val="none"/>
                <w:lang w:eastAsia="zh-CN"/>
              </w:rPr>
              <w:t>主办部门</w:t>
            </w:r>
          </w:p>
          <w:p>
            <w:pPr>
              <w:keepNext w:val="0"/>
              <w:keepLines w:val="0"/>
              <w:widowControl/>
              <w:suppressLineNumbers w:val="0"/>
              <w:spacing w:beforeAutospacing="0"/>
              <w:jc w:val="center"/>
              <w:rPr>
                <w:rFonts w:hint="default" w:ascii="宋体" w:hAnsi="宋体"/>
                <w:b/>
                <w:color w:val="auto"/>
                <w:highlight w:val="none"/>
              </w:rPr>
            </w:pPr>
            <w:r>
              <w:rPr>
                <w:rFonts w:hint="eastAsia" w:ascii="宋体" w:hAnsi="宋体"/>
                <w:b/>
                <w:color w:val="auto"/>
                <w:highlight w:val="none"/>
              </w:rPr>
              <w:t>分管副总经理</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val="0"/>
              <w:keepLines w:val="0"/>
              <w:widowControl/>
              <w:suppressLineNumbers w:val="0"/>
              <w:spacing w:beforeAutospacing="0"/>
              <w:ind w:right="113" w:firstLine="840" w:firstLineChars="400"/>
              <w:rPr>
                <w:rFonts w:hint="default"/>
                <w:color w:val="auto"/>
                <w:highlight w:val="none"/>
              </w:rPr>
            </w:pPr>
            <w:r>
              <w:rPr>
                <w:rFonts w:hint="eastAsia"/>
                <w:color w:val="auto"/>
                <w:highlight w:val="none"/>
              </w:rPr>
              <w:t xml:space="preserve">                                              </w:t>
            </w:r>
          </w:p>
          <w:p>
            <w:pPr>
              <w:pStyle w:val="16"/>
              <w:keepNext w:val="0"/>
              <w:keepLines w:val="0"/>
              <w:widowControl/>
              <w:suppressLineNumbers w:val="0"/>
              <w:spacing w:beforeAutospacing="0"/>
              <w:rPr>
                <w:rFonts w:hint="default"/>
                <w:color w:val="auto"/>
                <w:highlight w:val="none"/>
              </w:rPr>
            </w:pPr>
            <w:r>
              <w:rPr>
                <w:rFonts w:hint="eastAsia"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554" w:type="dxa"/>
            <w:vMerge w:val="continue"/>
            <w:tcBorders>
              <w:top w:val="single" w:color="auto" w:sz="4" w:space="0"/>
              <w:left w:val="thinThickSmallGap" w:color="auto" w:sz="18"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p>
        </w:tc>
        <w:tc>
          <w:tcPr>
            <w:tcW w:w="1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r>
              <w:rPr>
                <w:rFonts w:hint="eastAsia" w:ascii="宋体" w:hAnsi="宋体"/>
                <w:b/>
                <w:color w:val="auto"/>
                <w:highlight w:val="none"/>
              </w:rPr>
              <w:t>总经理</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val="0"/>
              <w:keepLines w:val="0"/>
              <w:widowControl/>
              <w:suppressLineNumbers w:val="0"/>
              <w:spacing w:beforeAutospacing="0"/>
              <w:rPr>
                <w:rFonts w:hint="default" w:ascii="宋体" w:hAnsi="宋体" w:cs="宋体"/>
                <w:color w:val="auto"/>
                <w:szCs w:val="21"/>
                <w:highlight w:val="none"/>
              </w:rPr>
            </w:pPr>
          </w:p>
          <w:p>
            <w:pPr>
              <w:keepNext w:val="0"/>
              <w:keepLines w:val="0"/>
              <w:widowControl/>
              <w:suppressLineNumbers w:val="0"/>
              <w:spacing w:beforeAutospacing="0"/>
              <w:ind w:right="113"/>
              <w:rPr>
                <w:rFonts w:hint="default"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554" w:type="dxa"/>
            <w:vMerge w:val="continue"/>
            <w:tcBorders>
              <w:left w:val="thinThickSmallGap" w:color="auto" w:sz="18"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p>
        </w:tc>
        <w:tc>
          <w:tcPr>
            <w:tcW w:w="1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eastAsia="宋体"/>
                <w:b/>
                <w:color w:val="auto"/>
                <w:highlight w:val="none"/>
                <w:lang w:eastAsia="zh-CN"/>
              </w:rPr>
            </w:pPr>
            <w:r>
              <w:rPr>
                <w:rFonts w:hint="eastAsia" w:ascii="宋体" w:hAnsi="宋体"/>
                <w:b/>
                <w:color w:val="auto"/>
                <w:highlight w:val="none"/>
                <w:lang w:eastAsia="zh-CN"/>
              </w:rPr>
              <w:t>董事长</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val="0"/>
              <w:keepLines w:val="0"/>
              <w:widowControl/>
              <w:suppressLineNumbers w:val="0"/>
              <w:spacing w:beforeAutospacing="0"/>
              <w:ind w:right="113"/>
              <w:rPr>
                <w:rFonts w:hint="default"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122" w:type="dxa"/>
            <w:gridSpan w:val="2"/>
            <w:tcBorders>
              <w:top w:val="single" w:color="auto" w:sz="4" w:space="0"/>
              <w:left w:val="thinThickSmallGap" w:color="auto" w:sz="18" w:space="0"/>
              <w:bottom w:val="thinThickSmallGap" w:color="auto" w:sz="18"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r>
              <w:rPr>
                <w:rFonts w:hint="eastAsia" w:ascii="宋体" w:hAnsi="宋体"/>
                <w:b/>
                <w:color w:val="auto"/>
                <w:highlight w:val="none"/>
              </w:rPr>
              <w:t>送达日期</w:t>
            </w:r>
          </w:p>
        </w:tc>
        <w:tc>
          <w:tcPr>
            <w:tcW w:w="1757" w:type="dxa"/>
            <w:tcBorders>
              <w:top w:val="single" w:color="auto" w:sz="4" w:space="0"/>
              <w:left w:val="single" w:color="auto" w:sz="4" w:space="0"/>
              <w:bottom w:val="thinThickSmallGap" w:color="auto" w:sz="18" w:space="0"/>
              <w:right w:val="single" w:color="auto" w:sz="4" w:space="0"/>
            </w:tcBorders>
            <w:noWrap w:val="0"/>
            <w:vAlign w:val="top"/>
          </w:tcPr>
          <w:p>
            <w:pPr>
              <w:keepNext w:val="0"/>
              <w:keepLines w:val="0"/>
              <w:widowControl/>
              <w:suppressLineNumbers w:val="0"/>
              <w:spacing w:beforeAutospacing="0"/>
              <w:rPr>
                <w:rFonts w:hint="default" w:ascii="宋体" w:hAnsi="宋体"/>
                <w:b/>
                <w:color w:val="auto"/>
                <w:highlight w:val="none"/>
              </w:rPr>
            </w:pPr>
          </w:p>
        </w:tc>
        <w:tc>
          <w:tcPr>
            <w:tcW w:w="1283" w:type="dxa"/>
            <w:tcBorders>
              <w:top w:val="single" w:color="auto" w:sz="4" w:space="0"/>
              <w:left w:val="single" w:color="auto" w:sz="4" w:space="0"/>
              <w:bottom w:val="thinThickSmallGap" w:color="auto" w:sz="18"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Cs/>
                <w:color w:val="auto"/>
                <w:szCs w:val="21"/>
                <w:highlight w:val="none"/>
              </w:rPr>
            </w:pPr>
            <w:r>
              <w:rPr>
                <w:rFonts w:hint="eastAsia" w:ascii="宋体" w:hAnsi="宋体"/>
                <w:b/>
                <w:color w:val="auto"/>
                <w:szCs w:val="21"/>
                <w:highlight w:val="none"/>
              </w:rPr>
              <w:t>送达方式</w:t>
            </w:r>
          </w:p>
        </w:tc>
        <w:tc>
          <w:tcPr>
            <w:tcW w:w="5373" w:type="dxa"/>
            <w:gridSpan w:val="3"/>
            <w:tcBorders>
              <w:top w:val="single" w:color="auto" w:sz="4" w:space="0"/>
              <w:left w:val="single" w:color="auto" w:sz="4" w:space="0"/>
              <w:bottom w:val="thinThickSmallGap" w:color="auto" w:sz="18" w:space="0"/>
              <w:right w:val="thinThickSmallGap" w:color="auto" w:sz="18" w:space="0"/>
            </w:tcBorders>
            <w:noWrap w:val="0"/>
            <w:vAlign w:val="top"/>
          </w:tcPr>
          <w:p>
            <w:pPr>
              <w:keepNext w:val="0"/>
              <w:keepLines w:val="0"/>
              <w:widowControl/>
              <w:suppressLineNumbers w:val="0"/>
              <w:spacing w:beforeAutospacing="0"/>
              <w:ind w:left="0" w:firstLine="210" w:firstLineChars="100"/>
              <w:rPr>
                <w:rFonts w:hint="default"/>
                <w:color w:val="auto"/>
                <w:highlight w:val="none"/>
                <w:u w:val="single"/>
              </w:rPr>
            </w:pPr>
            <w:r>
              <w:rPr>
                <w:rFonts w:hint="eastAsia"/>
                <w:color w:val="auto"/>
                <w:highlight w:val="none"/>
                <w:u w:val="single"/>
              </w:rPr>
              <w:t>直接送达</w:t>
            </w:r>
            <w:r>
              <w:rPr>
                <w:rFonts w:hint="eastAsia"/>
                <w:color w:val="auto"/>
                <w:highlight w:val="none"/>
                <w:u w:val="single"/>
              </w:rPr>
              <w:sym w:font="Wingdings 2" w:char="00A3"/>
            </w:r>
            <w:r>
              <w:rPr>
                <w:rFonts w:hint="eastAsia"/>
                <w:color w:val="auto"/>
                <w:highlight w:val="none"/>
                <w:u w:val="single"/>
              </w:rPr>
              <w:t xml:space="preserve">  签收人：</w:t>
            </w:r>
          </w:p>
          <w:p>
            <w:pPr>
              <w:pStyle w:val="16"/>
              <w:keepNext w:val="0"/>
              <w:keepLines w:val="0"/>
              <w:widowControl/>
              <w:suppressLineNumbers w:val="0"/>
              <w:spacing w:beforeAutospacing="0"/>
              <w:rPr>
                <w:rFonts w:hint="default"/>
                <w:color w:val="auto"/>
                <w:highlight w:val="none"/>
              </w:rPr>
            </w:pPr>
            <w:r>
              <w:rPr>
                <w:rFonts w:hint="eastAsia"/>
                <w:color w:val="auto"/>
                <w:highlight w:val="none"/>
                <w:u w:val="single"/>
              </w:rPr>
              <w:t xml:space="preserve">  留置送达</w:t>
            </w:r>
            <w:r>
              <w:rPr>
                <w:rFonts w:hint="eastAsia"/>
                <w:color w:val="auto"/>
                <w:highlight w:val="none"/>
                <w:u w:val="single"/>
              </w:rPr>
              <w:sym w:font="Wingdings 2" w:char="00A3"/>
            </w:r>
            <w:r>
              <w:rPr>
                <w:rFonts w:hint="eastAsia"/>
                <w:color w:val="auto"/>
                <w:highlight w:val="none"/>
                <w:u w:val="single"/>
              </w:rPr>
              <w:t xml:space="preserve">  送达地址：</w:t>
            </w:r>
          </w:p>
          <w:p>
            <w:pPr>
              <w:pStyle w:val="16"/>
              <w:keepNext w:val="0"/>
              <w:keepLines w:val="0"/>
              <w:widowControl/>
              <w:suppressLineNumbers w:val="0"/>
              <w:spacing w:beforeAutospacing="0"/>
              <w:rPr>
                <w:rFonts w:hint="default"/>
                <w:color w:val="auto"/>
                <w:highlight w:val="none"/>
              </w:rPr>
            </w:pPr>
          </w:p>
          <w:p>
            <w:pPr>
              <w:pStyle w:val="16"/>
              <w:keepNext w:val="0"/>
              <w:keepLines w:val="0"/>
              <w:widowControl/>
              <w:suppressLineNumbers w:val="0"/>
              <w:spacing w:beforeAutospacing="0"/>
              <w:rPr>
                <w:rFonts w:hint="default"/>
                <w:color w:val="auto"/>
                <w:highlight w:val="none"/>
              </w:rPr>
            </w:pPr>
            <w:r>
              <w:rPr>
                <w:rFonts w:hint="eastAsia"/>
                <w:color w:val="auto"/>
                <w:highlight w:val="none"/>
              </w:rPr>
              <w:t xml:space="preserve">  电子送达</w:t>
            </w:r>
            <w:r>
              <w:rPr>
                <w:rFonts w:hint="eastAsia"/>
                <w:color w:val="auto"/>
                <w:highlight w:val="none"/>
              </w:rPr>
              <w:sym w:font="Wingdings 2" w:char="00A3"/>
            </w:r>
            <w:r>
              <w:rPr>
                <w:rFonts w:hint="eastAsia"/>
                <w:color w:val="auto"/>
                <w:highlight w:val="none"/>
              </w:rPr>
              <w:t xml:space="preserve">  </w:t>
            </w:r>
            <w:r>
              <w:rPr>
                <w:rFonts w:hint="eastAsia"/>
                <w:color w:val="auto"/>
                <w:highlight w:val="none"/>
                <w:lang w:val="en-US" w:eastAsia="zh-CN"/>
              </w:rPr>
              <w:t>收件人邮箱地址：</w:t>
            </w:r>
          </w:p>
        </w:tc>
      </w:tr>
    </w:tbl>
    <w:p>
      <w:pPr>
        <w:keepNext w:val="0"/>
        <w:keepLines w:val="0"/>
        <w:pageBreakBefore w:val="0"/>
        <w:widowControl w:val="0"/>
        <w:kinsoku/>
        <w:wordWrap/>
        <w:overflowPunct/>
        <w:topLinePunct w:val="0"/>
        <w:autoSpaceDE/>
        <w:autoSpaceDN/>
        <w:bidi w:val="0"/>
        <w:adjustRightInd/>
        <w:snapToGrid/>
        <w:spacing w:line="240" w:lineRule="exact"/>
        <w:ind w:left="-619" w:leftChars="-295" w:right="0" w:rightChars="0" w:firstLine="0" w:firstLineChars="0"/>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说明：</w:t>
      </w:r>
      <w:r>
        <w:rPr>
          <w:rFonts w:ascii="宋体" w:hAnsi="宋体"/>
          <w:color w:val="auto"/>
          <w:sz w:val="18"/>
          <w:szCs w:val="18"/>
          <w:highlight w:val="none"/>
        </w:rPr>
        <w:t>1</w:t>
      </w:r>
      <w:r>
        <w:rPr>
          <w:rFonts w:hint="eastAsia" w:ascii="宋体" w:hAnsi="宋体"/>
          <w:color w:val="auto"/>
          <w:sz w:val="18"/>
          <w:szCs w:val="18"/>
          <w:highlight w:val="none"/>
        </w:rPr>
        <w:t>.本</w:t>
      </w:r>
      <w:r>
        <w:rPr>
          <w:rFonts w:hint="eastAsia" w:ascii="宋体" w:hAnsi="宋体"/>
          <w:color w:val="auto"/>
          <w:sz w:val="18"/>
          <w:szCs w:val="18"/>
          <w:highlight w:val="none"/>
          <w:lang w:eastAsia="zh-CN"/>
        </w:rPr>
        <w:t>表单</w:t>
      </w:r>
      <w:r>
        <w:rPr>
          <w:rFonts w:hint="eastAsia" w:ascii="宋体" w:hAnsi="宋体"/>
          <w:color w:val="auto"/>
          <w:sz w:val="18"/>
          <w:szCs w:val="18"/>
          <w:highlight w:val="none"/>
        </w:rPr>
        <w:t>一式三份，承包商执一份，</w:t>
      </w:r>
      <w:r>
        <w:rPr>
          <w:rFonts w:hint="eastAsia" w:ascii="宋体" w:hAnsi="宋体"/>
          <w:color w:val="auto"/>
          <w:sz w:val="18"/>
          <w:szCs w:val="18"/>
          <w:highlight w:val="none"/>
          <w:lang w:eastAsia="zh-CN"/>
        </w:rPr>
        <w:t>运营公司</w:t>
      </w:r>
      <w:r>
        <w:rPr>
          <w:rFonts w:hint="eastAsia" w:ascii="宋体" w:hAnsi="宋体"/>
          <w:color w:val="auto"/>
          <w:sz w:val="18"/>
          <w:szCs w:val="18"/>
          <w:highlight w:val="none"/>
        </w:rPr>
        <w:t>执两份，由</w:t>
      </w:r>
      <w:r>
        <w:rPr>
          <w:rFonts w:hint="eastAsia" w:ascii="宋体" w:hAnsi="宋体"/>
          <w:color w:val="auto"/>
          <w:sz w:val="18"/>
          <w:szCs w:val="18"/>
          <w:highlight w:val="none"/>
          <w:lang w:eastAsia="zh-CN"/>
        </w:rPr>
        <w:t>运营公司主办部门</w:t>
      </w:r>
      <w:r>
        <w:rPr>
          <w:rFonts w:hint="eastAsia" w:ascii="宋体" w:hAnsi="宋体"/>
          <w:color w:val="auto"/>
          <w:sz w:val="18"/>
          <w:szCs w:val="18"/>
          <w:highlight w:val="none"/>
        </w:rPr>
        <w:t>在合同执行过程中发现问题时填写；</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2.承包商若对本次违约处理有意见，须在</w:t>
      </w:r>
      <w:r>
        <w:rPr>
          <w:rFonts w:hint="eastAsia" w:ascii="宋体" w:hAnsi="宋体"/>
          <w:color w:val="auto"/>
          <w:sz w:val="18"/>
          <w:szCs w:val="18"/>
          <w:highlight w:val="none"/>
          <w:lang w:eastAsia="zh-CN"/>
        </w:rPr>
        <w:t>本表单</w:t>
      </w:r>
      <w:r>
        <w:rPr>
          <w:rFonts w:hint="eastAsia" w:ascii="宋体" w:hAnsi="宋体"/>
          <w:color w:val="auto"/>
          <w:sz w:val="18"/>
          <w:szCs w:val="18"/>
          <w:highlight w:val="none"/>
        </w:rPr>
        <w:t>送达后2个工作日内向</w:t>
      </w:r>
      <w:r>
        <w:rPr>
          <w:rFonts w:hint="eastAsia" w:ascii="宋体" w:hAnsi="宋体"/>
          <w:color w:val="auto"/>
          <w:sz w:val="18"/>
          <w:szCs w:val="18"/>
          <w:highlight w:val="none"/>
          <w:lang w:eastAsia="zh-CN"/>
        </w:rPr>
        <w:t>运营公司</w:t>
      </w:r>
      <w:r>
        <w:rPr>
          <w:rFonts w:hint="eastAsia" w:ascii="宋体" w:hAnsi="宋体"/>
          <w:color w:val="auto"/>
          <w:sz w:val="18"/>
          <w:szCs w:val="18"/>
          <w:highlight w:val="none"/>
        </w:rPr>
        <w:t>主办部门提交正式申诉材料提出申诉，否则视为接受违约处理意见，主办部门在收到申诉材料后须在5个工作日给予回复；</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3.本</w:t>
      </w:r>
      <w:r>
        <w:rPr>
          <w:rFonts w:hint="eastAsia" w:ascii="宋体" w:hAnsi="宋体"/>
          <w:color w:val="auto"/>
          <w:sz w:val="18"/>
          <w:szCs w:val="18"/>
          <w:highlight w:val="none"/>
          <w:lang w:eastAsia="zh-CN"/>
        </w:rPr>
        <w:t>表单</w:t>
      </w:r>
      <w:r>
        <w:rPr>
          <w:rFonts w:hint="eastAsia" w:ascii="宋体" w:hAnsi="宋体"/>
          <w:color w:val="auto"/>
          <w:sz w:val="18"/>
          <w:szCs w:val="18"/>
          <w:highlight w:val="none"/>
        </w:rPr>
        <w:t>按照违约处理决定的金额和授权方案逐级签批或用印，5000元</w:t>
      </w:r>
      <w:r>
        <w:rPr>
          <w:rFonts w:hint="eastAsia" w:ascii="宋体" w:hAnsi="宋体"/>
          <w:color w:val="auto"/>
          <w:sz w:val="18"/>
          <w:szCs w:val="18"/>
          <w:highlight w:val="none"/>
          <w:lang w:eastAsia="zh-CN"/>
        </w:rPr>
        <w:t>（含）以下</w:t>
      </w:r>
      <w:r>
        <w:rPr>
          <w:rFonts w:hint="eastAsia" w:ascii="宋体" w:hAnsi="宋体"/>
          <w:color w:val="auto"/>
          <w:sz w:val="18"/>
          <w:szCs w:val="18"/>
          <w:highlight w:val="none"/>
        </w:rPr>
        <w:t>由主办部门签批，5000</w:t>
      </w:r>
      <w:r>
        <w:rPr>
          <w:rFonts w:hint="eastAsia" w:ascii="宋体" w:hAnsi="宋体"/>
          <w:color w:val="auto"/>
          <w:sz w:val="18"/>
          <w:szCs w:val="18"/>
          <w:highlight w:val="none"/>
          <w:lang w:eastAsia="zh-CN"/>
        </w:rPr>
        <w:t>元</w:t>
      </w:r>
      <w:r>
        <w:rPr>
          <w:rFonts w:hint="eastAsia" w:ascii="宋体" w:hAnsi="宋体"/>
          <w:color w:val="auto"/>
          <w:sz w:val="18"/>
          <w:szCs w:val="18"/>
          <w:highlight w:val="none"/>
        </w:rPr>
        <w:t>（不含）-10000元</w:t>
      </w:r>
      <w:r>
        <w:rPr>
          <w:rFonts w:hint="eastAsia" w:ascii="宋体" w:hAnsi="宋体"/>
          <w:color w:val="auto"/>
          <w:sz w:val="18"/>
          <w:szCs w:val="18"/>
          <w:highlight w:val="none"/>
          <w:lang w:eastAsia="zh-CN"/>
        </w:rPr>
        <w:t>（含）签批至</w:t>
      </w:r>
      <w:r>
        <w:rPr>
          <w:rFonts w:hint="eastAsia" w:ascii="宋体" w:hAnsi="宋体"/>
          <w:color w:val="auto"/>
          <w:sz w:val="18"/>
          <w:szCs w:val="18"/>
          <w:highlight w:val="none"/>
        </w:rPr>
        <w:t>分管</w:t>
      </w:r>
      <w:r>
        <w:rPr>
          <w:rFonts w:hint="eastAsia" w:ascii="宋体" w:hAnsi="宋体"/>
          <w:color w:val="auto"/>
          <w:sz w:val="18"/>
          <w:szCs w:val="18"/>
          <w:highlight w:val="none"/>
          <w:lang w:eastAsia="zh-CN"/>
        </w:rPr>
        <w:t>主办部门的</w:t>
      </w:r>
      <w:r>
        <w:rPr>
          <w:rFonts w:hint="eastAsia" w:ascii="宋体" w:hAnsi="宋体"/>
          <w:color w:val="auto"/>
          <w:sz w:val="18"/>
          <w:szCs w:val="18"/>
          <w:highlight w:val="none"/>
        </w:rPr>
        <w:t>副总经理并用</w:t>
      </w:r>
      <w:r>
        <w:rPr>
          <w:rFonts w:hint="eastAsia" w:ascii="宋体" w:hAnsi="宋体"/>
          <w:color w:val="auto"/>
          <w:sz w:val="18"/>
          <w:szCs w:val="18"/>
          <w:highlight w:val="none"/>
          <w:lang w:eastAsia="zh-CN"/>
        </w:rPr>
        <w:t>运营公司</w:t>
      </w:r>
      <w:r>
        <w:rPr>
          <w:rFonts w:hint="eastAsia" w:ascii="宋体" w:hAnsi="宋体"/>
          <w:color w:val="auto"/>
          <w:sz w:val="18"/>
          <w:szCs w:val="18"/>
          <w:highlight w:val="none"/>
        </w:rPr>
        <w:t>印，10000元</w:t>
      </w:r>
      <w:r>
        <w:rPr>
          <w:rFonts w:hint="eastAsia" w:ascii="宋体" w:hAnsi="宋体"/>
          <w:color w:val="auto"/>
          <w:sz w:val="18"/>
          <w:szCs w:val="18"/>
          <w:highlight w:val="none"/>
          <w:lang w:eastAsia="zh-CN"/>
        </w:rPr>
        <w:t>（不含）</w:t>
      </w:r>
      <w:r>
        <w:rPr>
          <w:rFonts w:hint="eastAsia" w:ascii="宋体" w:hAnsi="宋体"/>
          <w:color w:val="auto"/>
          <w:sz w:val="18"/>
          <w:szCs w:val="18"/>
          <w:highlight w:val="none"/>
          <w:lang w:val="en-US" w:eastAsia="zh-CN"/>
        </w:rPr>
        <w:t>-20000元（含）</w:t>
      </w:r>
      <w:r>
        <w:rPr>
          <w:rFonts w:hint="eastAsia" w:ascii="宋体" w:hAnsi="宋体"/>
          <w:color w:val="auto"/>
          <w:sz w:val="18"/>
          <w:szCs w:val="18"/>
          <w:highlight w:val="none"/>
          <w:lang w:eastAsia="zh-CN"/>
        </w:rPr>
        <w:t>签批至</w:t>
      </w:r>
      <w:r>
        <w:rPr>
          <w:rFonts w:hint="eastAsia" w:ascii="宋体" w:hAnsi="宋体"/>
          <w:color w:val="auto"/>
          <w:sz w:val="18"/>
          <w:szCs w:val="18"/>
          <w:highlight w:val="none"/>
        </w:rPr>
        <w:t>总经理</w:t>
      </w:r>
      <w:r>
        <w:rPr>
          <w:rFonts w:hint="eastAsia" w:ascii="宋体" w:hAnsi="宋体"/>
          <w:color w:val="auto"/>
          <w:sz w:val="18"/>
          <w:szCs w:val="18"/>
          <w:highlight w:val="none"/>
          <w:lang w:eastAsia="zh-CN"/>
        </w:rPr>
        <w:t>同时报董事长知悉</w:t>
      </w:r>
      <w:r>
        <w:rPr>
          <w:rFonts w:hint="eastAsia" w:ascii="宋体" w:hAnsi="宋体"/>
          <w:color w:val="auto"/>
          <w:sz w:val="18"/>
          <w:szCs w:val="18"/>
          <w:highlight w:val="none"/>
        </w:rPr>
        <w:t>并用</w:t>
      </w:r>
      <w:r>
        <w:rPr>
          <w:rFonts w:hint="eastAsia" w:ascii="宋体" w:hAnsi="宋体"/>
          <w:color w:val="auto"/>
          <w:sz w:val="18"/>
          <w:szCs w:val="18"/>
          <w:highlight w:val="none"/>
          <w:lang w:eastAsia="zh-CN"/>
        </w:rPr>
        <w:t>运营公司</w:t>
      </w:r>
      <w:r>
        <w:rPr>
          <w:rFonts w:hint="eastAsia" w:ascii="宋体" w:hAnsi="宋体"/>
          <w:color w:val="auto"/>
          <w:sz w:val="18"/>
          <w:szCs w:val="18"/>
          <w:highlight w:val="none"/>
        </w:rPr>
        <w:t>印</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20000元（不含）以上签批至董事长并用运营公司印</w:t>
      </w:r>
      <w:r>
        <w:rPr>
          <w:rFonts w:hint="eastAsia" w:ascii="宋体" w:hAnsi="宋体"/>
          <w:color w:val="auto"/>
          <w:sz w:val="18"/>
          <w:szCs w:val="18"/>
          <w:highlight w:val="none"/>
        </w:rPr>
        <w:t>；</w:t>
      </w:r>
    </w:p>
    <w:p>
      <w:pPr>
        <w:pStyle w:val="32"/>
        <w:ind w:left="0" w:leftChars="0" w:firstLine="0" w:firstLineChars="0"/>
        <w:rPr>
          <w:rFonts w:hint="eastAsia" w:ascii="宋体" w:hAnsi="宋体"/>
          <w:b/>
          <w:i/>
          <w:color w:val="auto"/>
          <w:highlight w:val="none"/>
        </w:rPr>
      </w:pPr>
      <w:r>
        <w:rPr>
          <w:rFonts w:hint="eastAsia" w:ascii="宋体" w:hAnsi="宋体"/>
          <w:color w:val="auto"/>
          <w:sz w:val="18"/>
          <w:szCs w:val="18"/>
          <w:highlight w:val="none"/>
        </w:rPr>
        <w:t>4.本</w:t>
      </w:r>
      <w:r>
        <w:rPr>
          <w:rFonts w:hint="eastAsia" w:ascii="宋体" w:hAnsi="宋体"/>
          <w:color w:val="auto"/>
          <w:sz w:val="18"/>
          <w:szCs w:val="18"/>
          <w:highlight w:val="none"/>
          <w:lang w:eastAsia="zh-CN"/>
        </w:rPr>
        <w:t>表单</w:t>
      </w:r>
      <w:r>
        <w:rPr>
          <w:rFonts w:hint="eastAsia" w:ascii="宋体" w:hAnsi="宋体"/>
          <w:color w:val="auto"/>
          <w:sz w:val="18"/>
          <w:szCs w:val="18"/>
          <w:highlight w:val="none"/>
        </w:rPr>
        <w:t>自送达之日起生效。送达时间基准为</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1</w:t>
      </w:r>
      <w:r>
        <w:rPr>
          <w:rFonts w:hint="eastAsia" w:ascii="宋体" w:hAnsi="宋体"/>
          <w:color w:val="auto"/>
          <w:sz w:val="18"/>
          <w:szCs w:val="18"/>
          <w:highlight w:val="none"/>
          <w:lang w:eastAsia="zh-CN"/>
        </w:rPr>
        <w:t>）</w:t>
      </w:r>
      <w:r>
        <w:rPr>
          <w:rFonts w:hint="eastAsia" w:ascii="宋体" w:hAnsi="宋体"/>
          <w:color w:val="auto"/>
          <w:sz w:val="18"/>
          <w:szCs w:val="18"/>
          <w:highlight w:val="none"/>
        </w:rPr>
        <w:t>直接送达以签收人签收时间为准；（2）留置送达以</w:t>
      </w:r>
      <w:r>
        <w:rPr>
          <w:rFonts w:hint="eastAsia" w:ascii="宋体" w:hAnsi="宋体"/>
          <w:color w:val="auto"/>
          <w:sz w:val="18"/>
          <w:szCs w:val="18"/>
          <w:highlight w:val="none"/>
          <w:lang w:eastAsia="zh-CN"/>
        </w:rPr>
        <w:t>本表单</w:t>
      </w:r>
      <w:r>
        <w:rPr>
          <w:rFonts w:hint="eastAsia" w:ascii="宋体" w:hAnsi="宋体"/>
          <w:color w:val="auto"/>
          <w:sz w:val="18"/>
          <w:szCs w:val="18"/>
          <w:highlight w:val="none"/>
        </w:rPr>
        <w:t>送达指定地点时间为准</w:t>
      </w:r>
      <w:r>
        <w:rPr>
          <w:rFonts w:hint="eastAsia" w:ascii="宋体" w:hAnsi="宋体"/>
          <w:color w:val="auto"/>
          <w:sz w:val="18"/>
          <w:szCs w:val="18"/>
          <w:highlight w:val="none"/>
          <w:lang w:eastAsia="zh-CN"/>
        </w:rPr>
        <w:t>，</w:t>
      </w:r>
      <w:r>
        <w:rPr>
          <w:rFonts w:hint="eastAsia" w:ascii="宋体" w:hAnsi="宋体"/>
          <w:color w:val="auto"/>
          <w:sz w:val="18"/>
          <w:szCs w:val="18"/>
          <w:highlight w:val="none"/>
        </w:rPr>
        <w:t>如出现拒签</w:t>
      </w:r>
      <w:r>
        <w:rPr>
          <w:rFonts w:hint="eastAsia" w:ascii="宋体" w:hAnsi="宋体"/>
          <w:color w:val="auto"/>
          <w:sz w:val="18"/>
          <w:szCs w:val="18"/>
          <w:highlight w:val="none"/>
          <w:lang w:eastAsia="zh-CN"/>
        </w:rPr>
        <w:t>的</w:t>
      </w:r>
      <w:r>
        <w:rPr>
          <w:rFonts w:hint="eastAsia" w:ascii="宋体" w:hAnsi="宋体"/>
          <w:color w:val="auto"/>
          <w:sz w:val="18"/>
          <w:szCs w:val="18"/>
          <w:highlight w:val="none"/>
        </w:rPr>
        <w:t>情况以</w:t>
      </w:r>
      <w:r>
        <w:rPr>
          <w:rFonts w:hint="eastAsia" w:ascii="宋体" w:hAnsi="宋体"/>
          <w:color w:val="auto"/>
          <w:sz w:val="18"/>
          <w:szCs w:val="18"/>
          <w:highlight w:val="none"/>
          <w:lang w:eastAsia="zh-CN"/>
        </w:rPr>
        <w:t>本表单</w:t>
      </w:r>
      <w:r>
        <w:rPr>
          <w:rFonts w:hint="eastAsia" w:ascii="宋体" w:hAnsi="宋体"/>
          <w:color w:val="auto"/>
          <w:sz w:val="18"/>
          <w:szCs w:val="18"/>
          <w:highlight w:val="none"/>
        </w:rPr>
        <w:t>送达指定地点时派送人现场照片或物流信息显示送达时间为准；（3）电子送达以发送人发出</w:t>
      </w:r>
      <w:r>
        <w:rPr>
          <w:rFonts w:hint="eastAsia" w:ascii="宋体" w:hAnsi="宋体"/>
          <w:color w:val="auto"/>
          <w:sz w:val="18"/>
          <w:szCs w:val="18"/>
          <w:highlight w:val="none"/>
          <w:lang w:eastAsia="zh-CN"/>
        </w:rPr>
        <w:t>电子邮件</w:t>
      </w:r>
      <w:r>
        <w:rPr>
          <w:rFonts w:hint="eastAsia" w:ascii="宋体" w:hAnsi="宋体"/>
          <w:color w:val="auto"/>
          <w:sz w:val="18"/>
          <w:szCs w:val="18"/>
          <w:highlight w:val="none"/>
        </w:rPr>
        <w:t>时间为准。</w:t>
      </w:r>
    </w:p>
    <w:p>
      <w:pPr>
        <w:spacing w:before="0"/>
        <w:ind w:left="0" w:right="0" w:firstLine="0"/>
        <w:rPr>
          <w:rFonts w:ascii="宋体" w:hAnsi="宋体"/>
          <w:color w:val="auto"/>
          <w:highlight w:val="none"/>
        </w:rPr>
      </w:pPr>
      <w:r>
        <w:rPr>
          <w:rFonts w:ascii="宋体" w:hAnsi="宋体"/>
          <w:color w:val="auto"/>
          <w:highlight w:val="none"/>
        </w:rPr>
        <w:br w:type="page"/>
      </w:r>
    </w:p>
    <w:p>
      <w:pPr>
        <w:pStyle w:val="32"/>
        <w:ind w:left="0" w:leftChars="0" w:firstLine="0" w:firstLineChars="0"/>
        <w:rPr>
          <w:rStyle w:val="46"/>
          <w:rFonts w:hint="eastAsia" w:cs="Times New Roman" w:asciiTheme="minorEastAsia" w:hAnsiTheme="minorEastAsia" w:eastAsiaTheme="minorEastAsia"/>
          <w:color w:val="auto"/>
          <w:sz w:val="21"/>
          <w:szCs w:val="21"/>
          <w:highlight w:val="none"/>
        </w:rPr>
      </w:pPr>
      <w:r>
        <w:rPr>
          <w:rStyle w:val="46"/>
          <w:rFonts w:hint="eastAsia" w:asciiTheme="minorEastAsia" w:hAnsiTheme="minorEastAsia" w:eastAsiaTheme="minorEastAsia"/>
          <w:color w:val="auto"/>
          <w:sz w:val="21"/>
          <w:szCs w:val="21"/>
          <w:highlight w:val="none"/>
        </w:rPr>
        <w:t>附件</w:t>
      </w:r>
      <w:r>
        <w:rPr>
          <w:rStyle w:val="46"/>
          <w:rFonts w:hint="eastAsia" w:asciiTheme="minorEastAsia" w:hAnsiTheme="minorEastAsia" w:eastAsiaTheme="minorEastAsia"/>
          <w:color w:val="auto"/>
          <w:sz w:val="21"/>
          <w:szCs w:val="21"/>
          <w:highlight w:val="none"/>
          <w:lang w:val="en-US" w:eastAsia="zh-CN"/>
        </w:rPr>
        <w:t>4</w:t>
      </w:r>
      <w:r>
        <w:rPr>
          <w:rStyle w:val="46"/>
          <w:rFonts w:hint="eastAsia" w:asciiTheme="minorEastAsia" w:hAnsiTheme="minorEastAsia" w:eastAsiaTheme="minorEastAsia"/>
          <w:color w:val="auto"/>
          <w:sz w:val="21"/>
          <w:szCs w:val="21"/>
          <w:highlight w:val="none"/>
        </w:rPr>
        <w:t>：运营公司委外项目进场通知书</w:t>
      </w:r>
      <w:r>
        <w:rPr>
          <w:rStyle w:val="46"/>
          <w:rFonts w:hint="eastAsia" w:cs="Times New Roman" w:asciiTheme="minorEastAsia" w:hAnsiTheme="minorEastAsia" w:eastAsiaTheme="minorEastAsia"/>
          <w:color w:val="auto"/>
          <w:sz w:val="21"/>
          <w:szCs w:val="21"/>
          <w:highlight w:val="none"/>
        </w:rPr>
        <w:t>（格式）</w:t>
      </w:r>
    </w:p>
    <w:p>
      <w:pPr>
        <w:jc w:val="center"/>
        <w:rPr>
          <w:rFonts w:hint="eastAsia" w:ascii="黑体" w:hAnsi="宋体" w:eastAsia="黑体" w:cs="Times New Roman"/>
          <w:color w:val="auto"/>
          <w:sz w:val="36"/>
          <w:szCs w:val="36"/>
          <w:highlight w:val="none"/>
          <w:lang w:val="en-US" w:eastAsia="zh-CN"/>
        </w:rPr>
      </w:pPr>
      <w:r>
        <w:rPr>
          <w:rFonts w:hint="eastAsia" w:ascii="黑体" w:hAnsi="宋体" w:eastAsia="黑体" w:cs="Times New Roman"/>
          <w:color w:val="auto"/>
          <w:sz w:val="36"/>
          <w:szCs w:val="36"/>
          <w:highlight w:val="none"/>
          <w:lang w:val="en-US" w:eastAsia="zh-CN"/>
        </w:rPr>
        <w:t>运营公司委外项目进场通知书</w:t>
      </w:r>
    </w:p>
    <w:p>
      <w:pPr>
        <w:jc w:val="center"/>
        <w:rPr>
          <w:rFonts w:hint="eastAsia" w:ascii="黑体" w:hAnsi="宋体" w:eastAsia="黑体" w:cs="Times New Roman"/>
          <w:color w:val="auto"/>
          <w:sz w:val="36"/>
          <w:szCs w:val="36"/>
          <w:highlight w:val="none"/>
          <w:lang w:val="en-US" w:eastAsia="zh-CN"/>
        </w:rPr>
      </w:pPr>
    </w:p>
    <w:p>
      <w:pPr>
        <w:ind w:left="-199" w:leftChars="-95" w:firstLine="0" w:firstLineChars="0"/>
        <w:rPr>
          <w:rFonts w:ascii="宋体" w:hAnsi="宋体"/>
          <w:color w:val="auto"/>
          <w:highlight w:val="none"/>
        </w:rPr>
      </w:pPr>
      <w:r>
        <w:rPr>
          <w:rFonts w:hint="eastAsia" w:ascii="宋体" w:hAnsi="宋体"/>
          <w:b w:val="0"/>
          <w:bCs/>
          <w:color w:val="auto"/>
          <w:sz w:val="24"/>
          <w:highlight w:val="none"/>
          <w:lang w:val="en-US" w:eastAsia="zh-CN"/>
        </w:rPr>
        <w:t>项目名称:                                          合同编号:</w:t>
      </w:r>
    </w:p>
    <w:tbl>
      <w:tblPr>
        <w:tblStyle w:val="33"/>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0" w:hRule="atLeast"/>
          <w:jc w:val="center"/>
        </w:trPr>
        <w:tc>
          <w:tcPr>
            <w:tcW w:w="8820" w:type="dxa"/>
            <w:tcBorders>
              <w:top w:val="single" w:color="auto" w:sz="18" w:space="0"/>
              <w:left w:val="single" w:color="auto" w:sz="18" w:space="0"/>
              <w:bottom w:val="single" w:color="auto" w:sz="18" w:space="0"/>
              <w:right w:val="single" w:color="auto" w:sz="18" w:space="0"/>
            </w:tcBorders>
            <w:noWrap w:val="0"/>
            <w:vAlign w:val="top"/>
          </w:tcPr>
          <w:p>
            <w:pPr>
              <w:keepNext w:val="0"/>
              <w:keepLines w:val="0"/>
              <w:widowControl/>
              <w:suppressLineNumbers w:val="0"/>
              <w:spacing w:before="120" w:beforeAutospacing="0" w:line="480" w:lineRule="auto"/>
              <w:rPr>
                <w:rFonts w:hint="eastAsia" w:ascii="宋体" w:hAnsi="宋体"/>
                <w:b w:val="0"/>
                <w:bCs/>
                <w:color w:val="auto"/>
                <w:sz w:val="24"/>
                <w:highlight w:val="none"/>
                <w:u w:val="single"/>
              </w:rPr>
            </w:pPr>
            <w:r>
              <w:rPr>
                <w:rFonts w:hint="eastAsia" w:ascii="宋体" w:hAnsi="宋体"/>
                <w:b w:val="0"/>
                <w:bCs/>
                <w:color w:val="auto"/>
                <w:highlight w:val="none"/>
              </w:rPr>
              <w:t xml:space="preserve"> </w:t>
            </w:r>
            <w:r>
              <w:rPr>
                <w:rFonts w:hint="eastAsia" w:ascii="宋体" w:hAnsi="宋体"/>
                <w:b w:val="0"/>
                <w:bCs/>
                <w:color w:val="auto"/>
                <w:sz w:val="24"/>
                <w:highlight w:val="none"/>
              </w:rPr>
              <w:t>致（</w:t>
            </w:r>
            <w:r>
              <w:rPr>
                <w:rFonts w:hint="eastAsia" w:ascii="宋体" w:hAnsi="宋体"/>
                <w:b w:val="0"/>
                <w:bCs/>
                <w:color w:val="auto"/>
                <w:sz w:val="24"/>
                <w:highlight w:val="none"/>
                <w:lang w:eastAsia="zh-CN"/>
              </w:rPr>
              <w:t>委外单位</w:t>
            </w:r>
            <w:r>
              <w:rPr>
                <w:rFonts w:hint="eastAsia" w:ascii="宋体" w:hAnsi="宋体"/>
                <w:b w:val="0"/>
                <w:bCs/>
                <w:color w:val="auto"/>
                <w:sz w:val="24"/>
                <w:highlight w:val="none"/>
                <w:lang w:val="en-US" w:eastAsia="zh-CN"/>
              </w:rPr>
              <w:t>/劳务派遣单位</w:t>
            </w:r>
            <w:r>
              <w:rPr>
                <w:rFonts w:hint="eastAsia" w:ascii="宋体" w:hAnsi="宋体"/>
                <w:b w:val="0"/>
                <w:bCs/>
                <w:color w:val="auto"/>
                <w:sz w:val="24"/>
                <w:highlight w:val="none"/>
              </w:rPr>
              <w:t xml:space="preserve">）： </w:t>
            </w:r>
            <w:r>
              <w:rPr>
                <w:rFonts w:hint="eastAsia" w:ascii="宋体" w:hAnsi="宋体"/>
                <w:b w:val="0"/>
                <w:bCs/>
                <w:color w:val="auto"/>
                <w:sz w:val="24"/>
                <w:highlight w:val="none"/>
                <w:u w:val="single"/>
              </w:rPr>
              <w:t xml:space="preserve">         </w:t>
            </w:r>
            <w:r>
              <w:rPr>
                <w:rFonts w:hint="eastAsia" w:ascii="宋体" w:hAnsi="宋体"/>
                <w:b w:val="0"/>
                <w:bCs/>
                <w:color w:val="auto"/>
                <w:sz w:val="24"/>
                <w:highlight w:val="none"/>
                <w:u w:val="single"/>
                <w:lang w:val="en-US" w:eastAsia="zh-CN"/>
              </w:rPr>
              <w:t xml:space="preserve">  </w:t>
            </w:r>
            <w:r>
              <w:rPr>
                <w:rFonts w:hint="eastAsia" w:ascii="宋体" w:hAnsi="宋体"/>
                <w:b w:val="0"/>
                <w:bCs/>
                <w:color w:val="auto"/>
                <w:sz w:val="24"/>
                <w:highlight w:val="none"/>
                <w:u w:val="single"/>
              </w:rPr>
              <w:t xml:space="preserve">          </w:t>
            </w:r>
            <w:r>
              <w:rPr>
                <w:rFonts w:hint="eastAsia" w:ascii="宋体" w:hAnsi="宋体"/>
                <w:b w:val="0"/>
                <w:bCs/>
                <w:color w:val="auto"/>
                <w:sz w:val="24"/>
                <w:highlight w:val="none"/>
                <w:u w:val="single"/>
                <w:lang w:val="en-US" w:eastAsia="zh-CN"/>
              </w:rPr>
              <w:t xml:space="preserve">      </w:t>
            </w:r>
            <w:r>
              <w:rPr>
                <w:rFonts w:hint="eastAsia" w:ascii="宋体" w:hAnsi="宋体"/>
                <w:b w:val="0"/>
                <w:bCs/>
                <w:color w:val="auto"/>
                <w:sz w:val="24"/>
                <w:highlight w:val="none"/>
                <w:u w:val="single"/>
              </w:rPr>
              <w:t xml:space="preserve">           </w:t>
            </w:r>
          </w:p>
          <w:p>
            <w:pPr>
              <w:keepNext w:val="0"/>
              <w:keepLines w:val="0"/>
              <w:widowControl/>
              <w:suppressLineNumbers w:val="0"/>
              <w:spacing w:before="120" w:beforeAutospacing="0" w:line="480" w:lineRule="auto"/>
              <w:ind w:left="0" w:leftChars="0" w:hanging="5" w:firstLineChars="0"/>
              <w:rPr>
                <w:rFonts w:hint="eastAsia" w:ascii="宋体" w:hAnsi="宋体"/>
                <w:b w:val="0"/>
                <w:bCs/>
                <w:color w:val="auto"/>
                <w:sz w:val="24"/>
                <w:highlight w:val="none"/>
                <w:u w:val="single"/>
              </w:rPr>
            </w:pPr>
            <w:r>
              <w:rPr>
                <w:rFonts w:hint="eastAsia" w:ascii="宋体" w:hAnsi="宋体"/>
                <w:b/>
                <w:color w:val="auto"/>
                <w:sz w:val="24"/>
                <w:highlight w:val="none"/>
              </w:rPr>
              <w:t xml:space="preserve"> </w:t>
            </w:r>
            <w:r>
              <w:rPr>
                <w:rFonts w:hint="eastAsia" w:ascii="宋体" w:hAnsi="宋体"/>
                <w:b/>
                <w:color w:val="auto"/>
                <w:sz w:val="24"/>
                <w:highlight w:val="none"/>
                <w:lang w:val="en-US" w:eastAsia="zh-CN"/>
              </w:rPr>
              <w:t xml:space="preserve">   </w:t>
            </w:r>
            <w:r>
              <w:rPr>
                <w:rFonts w:hint="eastAsia" w:ascii="宋体" w:hAnsi="宋体"/>
                <w:b w:val="0"/>
                <w:bCs/>
                <w:color w:val="auto"/>
                <w:sz w:val="24"/>
                <w:highlight w:val="none"/>
                <w:lang w:val="en-US" w:eastAsia="zh-CN"/>
              </w:rPr>
              <w:t xml:space="preserve"> </w:t>
            </w:r>
            <w:r>
              <w:rPr>
                <w:rFonts w:hint="eastAsia" w:ascii="宋体" w:hAnsi="宋体"/>
                <w:b w:val="0"/>
                <w:bCs/>
                <w:color w:val="auto"/>
                <w:sz w:val="24"/>
                <w:highlight w:val="none"/>
              </w:rPr>
              <w:t>经审核，</w:t>
            </w:r>
            <w:r>
              <w:rPr>
                <w:rFonts w:hint="eastAsia" w:ascii="宋体" w:hAnsi="宋体"/>
                <w:b w:val="0"/>
                <w:bCs/>
                <w:color w:val="auto"/>
                <w:sz w:val="24"/>
                <w:highlight w:val="none"/>
                <w:lang w:val="en-US" w:eastAsia="zh-CN"/>
              </w:rPr>
              <w:t>你方承接的</w:t>
            </w:r>
            <w:r>
              <w:rPr>
                <w:rFonts w:hint="eastAsia" w:ascii="宋体" w:hAnsi="宋体"/>
                <w:b w:val="0"/>
                <w:bCs/>
                <w:color w:val="auto"/>
                <w:sz w:val="24"/>
                <w:highlight w:val="none"/>
                <w:u w:val="single"/>
              </w:rPr>
              <w:t xml:space="preserve">     </w:t>
            </w:r>
            <w:r>
              <w:rPr>
                <w:rFonts w:hint="eastAsia" w:ascii="宋体" w:hAnsi="宋体"/>
                <w:b w:val="0"/>
                <w:bCs/>
                <w:color w:val="auto"/>
                <w:sz w:val="24"/>
                <w:highlight w:val="none"/>
                <w:u w:val="single"/>
                <w:lang w:val="en-US" w:eastAsia="zh-CN"/>
              </w:rPr>
              <w:t xml:space="preserve">                                </w:t>
            </w:r>
            <w:r>
              <w:rPr>
                <w:rFonts w:hint="eastAsia" w:ascii="宋体" w:hAnsi="宋体"/>
                <w:b w:val="0"/>
                <w:bCs/>
                <w:color w:val="auto"/>
                <w:sz w:val="24"/>
                <w:highlight w:val="none"/>
                <w:u w:val="single"/>
              </w:rPr>
              <w:t xml:space="preserve"> </w:t>
            </w:r>
            <w:r>
              <w:rPr>
                <w:rFonts w:hint="eastAsia" w:ascii="宋体" w:hAnsi="宋体"/>
                <w:b w:val="0"/>
                <w:bCs/>
                <w:color w:val="auto"/>
                <w:sz w:val="24"/>
                <w:highlight w:val="none"/>
                <w:u w:val="single"/>
                <w:lang w:val="en-US" w:eastAsia="zh-CN"/>
              </w:rPr>
              <w:t xml:space="preserve">    </w:t>
            </w:r>
            <w:r>
              <w:rPr>
                <w:rFonts w:hint="eastAsia" w:ascii="宋体" w:hAnsi="宋体"/>
                <w:b w:val="0"/>
                <w:bCs/>
                <w:color w:val="auto"/>
                <w:sz w:val="24"/>
                <w:highlight w:val="none"/>
                <w:u w:val="single"/>
              </w:rPr>
              <w:t xml:space="preserve">  </w:t>
            </w:r>
            <w:r>
              <w:rPr>
                <w:rFonts w:hint="eastAsia" w:ascii="宋体" w:hAnsi="宋体"/>
                <w:b w:val="0"/>
                <w:bCs/>
                <w:color w:val="auto"/>
                <w:sz w:val="24"/>
                <w:highlight w:val="none"/>
                <w:u w:val="none"/>
                <w:lang w:val="en-US" w:eastAsia="zh-CN"/>
              </w:rPr>
              <w:t>项目</w:t>
            </w:r>
            <w:r>
              <w:rPr>
                <w:rFonts w:hint="eastAsia" w:ascii="宋体" w:hAnsi="宋体"/>
                <w:b w:val="0"/>
                <w:bCs/>
                <w:color w:val="auto"/>
                <w:sz w:val="24"/>
                <w:highlight w:val="none"/>
              </w:rPr>
              <w:t>已完成</w:t>
            </w:r>
            <w:r>
              <w:rPr>
                <w:rFonts w:hint="eastAsia" w:ascii="宋体" w:hAnsi="宋体"/>
                <w:b w:val="0"/>
                <w:bCs/>
                <w:color w:val="auto"/>
                <w:sz w:val="24"/>
                <w:highlight w:val="none"/>
                <w:lang w:val="en-US" w:eastAsia="zh-CN"/>
              </w:rPr>
              <w:t>进场</w:t>
            </w:r>
            <w:r>
              <w:rPr>
                <w:rFonts w:hint="eastAsia" w:ascii="宋体" w:hAnsi="宋体"/>
                <w:b w:val="0"/>
                <w:bCs/>
                <w:color w:val="auto"/>
                <w:sz w:val="24"/>
                <w:highlight w:val="none"/>
              </w:rPr>
              <w:t>准备</w:t>
            </w:r>
            <w:r>
              <w:rPr>
                <w:rFonts w:hint="eastAsia" w:ascii="宋体" w:hAnsi="宋体"/>
                <w:b w:val="0"/>
                <w:bCs/>
                <w:color w:val="auto"/>
                <w:sz w:val="24"/>
                <w:highlight w:val="none"/>
                <w:lang w:val="en-US" w:eastAsia="zh-CN"/>
              </w:rPr>
              <w:t>工作</w:t>
            </w:r>
            <w:r>
              <w:rPr>
                <w:rFonts w:hint="eastAsia" w:ascii="宋体" w:hAnsi="宋体"/>
                <w:b w:val="0"/>
                <w:bCs/>
                <w:color w:val="auto"/>
                <w:sz w:val="24"/>
                <w:highlight w:val="none"/>
              </w:rPr>
              <w:t>，</w:t>
            </w:r>
            <w:r>
              <w:rPr>
                <w:rFonts w:hint="eastAsia" w:ascii="宋体" w:hAnsi="宋体"/>
                <w:b w:val="0"/>
                <w:bCs/>
                <w:color w:val="auto"/>
                <w:sz w:val="24"/>
                <w:highlight w:val="none"/>
                <w:lang w:val="en-US" w:eastAsia="zh-CN"/>
              </w:rPr>
              <w:t>各项手续完整，满足</w:t>
            </w:r>
            <w:r>
              <w:rPr>
                <w:rFonts w:hint="eastAsia" w:ascii="宋体" w:hAnsi="宋体"/>
                <w:b w:val="0"/>
                <w:bCs/>
                <w:color w:val="auto"/>
                <w:sz w:val="24"/>
                <w:highlight w:val="none"/>
              </w:rPr>
              <w:t>开工条件，同意你方于</w:t>
            </w:r>
            <w:r>
              <w:rPr>
                <w:rFonts w:hint="eastAsia" w:ascii="宋体" w:hAnsi="宋体"/>
                <w:b w:val="0"/>
                <w:bCs/>
                <w:color w:val="auto"/>
                <w:sz w:val="24"/>
                <w:highlight w:val="none"/>
                <w:u w:val="single"/>
              </w:rPr>
              <w:t xml:space="preserve">        </w:t>
            </w:r>
            <w:r>
              <w:rPr>
                <w:rFonts w:hint="eastAsia" w:ascii="宋体" w:hAnsi="宋体"/>
                <w:b w:val="0"/>
                <w:bCs/>
                <w:color w:val="auto"/>
                <w:sz w:val="24"/>
                <w:highlight w:val="none"/>
              </w:rPr>
              <w:t>年</w:t>
            </w:r>
            <w:r>
              <w:rPr>
                <w:rFonts w:hint="eastAsia" w:ascii="宋体" w:hAnsi="宋体"/>
                <w:b w:val="0"/>
                <w:bCs/>
                <w:color w:val="auto"/>
                <w:sz w:val="24"/>
                <w:highlight w:val="none"/>
                <w:u w:val="single"/>
              </w:rPr>
              <w:t xml:space="preserve">    </w:t>
            </w:r>
            <w:r>
              <w:rPr>
                <w:rFonts w:hint="eastAsia" w:ascii="宋体" w:hAnsi="宋体"/>
                <w:b w:val="0"/>
                <w:bCs/>
                <w:color w:val="auto"/>
                <w:sz w:val="24"/>
                <w:highlight w:val="none"/>
                <w:u w:val="single"/>
                <w:lang w:val="en-US" w:eastAsia="zh-CN"/>
              </w:rPr>
              <w:t xml:space="preserve"> </w:t>
            </w:r>
            <w:r>
              <w:rPr>
                <w:rFonts w:hint="eastAsia" w:ascii="宋体" w:hAnsi="宋体"/>
                <w:b w:val="0"/>
                <w:bCs/>
                <w:color w:val="auto"/>
                <w:sz w:val="24"/>
                <w:highlight w:val="none"/>
                <w:u w:val="single"/>
              </w:rPr>
              <w:t xml:space="preserve">      </w:t>
            </w:r>
          </w:p>
          <w:p>
            <w:pPr>
              <w:keepNext w:val="0"/>
              <w:keepLines w:val="0"/>
              <w:widowControl/>
              <w:suppressLineNumbers w:val="0"/>
              <w:spacing w:before="120" w:beforeAutospacing="0" w:line="480" w:lineRule="auto"/>
              <w:ind w:left="0" w:leftChars="0" w:hanging="5" w:firstLineChars="0"/>
              <w:rPr>
                <w:rFonts w:hint="eastAsia" w:ascii="宋体" w:hAnsi="宋体" w:eastAsia="宋体"/>
                <w:b/>
                <w:color w:val="auto"/>
                <w:sz w:val="24"/>
                <w:highlight w:val="none"/>
                <w:lang w:eastAsia="zh-CN"/>
              </w:rPr>
            </w:pPr>
            <w:r>
              <w:rPr>
                <w:rFonts w:hint="eastAsia" w:ascii="宋体" w:hAnsi="宋体"/>
                <w:b w:val="0"/>
                <w:bCs/>
                <w:color w:val="auto"/>
                <w:sz w:val="24"/>
                <w:highlight w:val="none"/>
              </w:rPr>
              <w:t xml:space="preserve">月 </w:t>
            </w:r>
            <w:r>
              <w:rPr>
                <w:rFonts w:hint="eastAsia" w:ascii="宋体" w:hAnsi="宋体"/>
                <w:b w:val="0"/>
                <w:bCs/>
                <w:color w:val="auto"/>
                <w:sz w:val="24"/>
                <w:highlight w:val="none"/>
                <w:u w:val="single"/>
              </w:rPr>
              <w:t xml:space="preserve">   </w:t>
            </w:r>
            <w:r>
              <w:rPr>
                <w:rFonts w:hint="eastAsia" w:ascii="宋体" w:hAnsi="宋体"/>
                <w:b w:val="0"/>
                <w:bCs/>
                <w:color w:val="auto"/>
                <w:sz w:val="24"/>
                <w:highlight w:val="none"/>
              </w:rPr>
              <w:t>日起开始</w:t>
            </w:r>
            <w:r>
              <w:rPr>
                <w:rFonts w:hint="eastAsia" w:ascii="宋体" w:hAnsi="宋体"/>
                <w:b w:val="0"/>
                <w:bCs/>
                <w:color w:val="auto"/>
                <w:sz w:val="24"/>
                <w:highlight w:val="none"/>
                <w:lang w:val="en-US" w:eastAsia="zh-CN"/>
              </w:rPr>
              <w:t>进场</w:t>
            </w:r>
            <w:r>
              <w:rPr>
                <w:rFonts w:hint="eastAsia" w:ascii="宋体" w:hAnsi="宋体"/>
                <w:b w:val="0"/>
                <w:bCs/>
                <w:color w:val="auto"/>
                <w:sz w:val="24"/>
                <w:highlight w:val="none"/>
              </w:rPr>
              <w:t>。</w:t>
            </w:r>
            <w:r>
              <w:rPr>
                <w:rFonts w:hint="eastAsia" w:ascii="宋体" w:hAnsi="宋体"/>
                <w:b w:val="0"/>
                <w:bCs/>
                <w:color w:val="auto"/>
                <w:sz w:val="24"/>
                <w:highlight w:val="none"/>
                <w:lang w:eastAsia="zh-CN"/>
              </w:rPr>
              <w:t>进场人数、设备清单详见附件（如有）。</w:t>
            </w:r>
          </w:p>
          <w:p>
            <w:pPr>
              <w:keepNext w:val="0"/>
              <w:keepLines w:val="0"/>
              <w:widowControl/>
              <w:suppressLineNumbers w:val="0"/>
              <w:spacing w:before="120" w:beforeAutospacing="0" w:line="360" w:lineRule="auto"/>
              <w:rPr>
                <w:rFonts w:hint="eastAsia" w:ascii="宋体" w:hAnsi="宋体"/>
                <w:b/>
                <w:color w:val="auto"/>
                <w:sz w:val="24"/>
                <w:highlight w:val="none"/>
              </w:rPr>
            </w:pPr>
          </w:p>
          <w:p>
            <w:pPr>
              <w:keepNext w:val="0"/>
              <w:keepLines w:val="0"/>
              <w:widowControl/>
              <w:suppressLineNumbers w:val="0"/>
              <w:spacing w:before="120" w:beforeAutospacing="0" w:line="360" w:lineRule="auto"/>
              <w:rPr>
                <w:rFonts w:hint="eastAsia" w:ascii="宋体" w:hAnsi="宋体"/>
                <w:b/>
                <w:color w:val="auto"/>
                <w:highlight w:val="none"/>
              </w:rPr>
            </w:pPr>
          </w:p>
          <w:p>
            <w:pPr>
              <w:keepNext w:val="0"/>
              <w:keepLines w:val="0"/>
              <w:widowControl/>
              <w:suppressLineNumbers w:val="0"/>
              <w:spacing w:before="120" w:beforeAutospacing="0" w:line="360" w:lineRule="auto"/>
              <w:rPr>
                <w:rFonts w:hint="eastAsia" w:ascii="宋体" w:hAnsi="宋体"/>
                <w:b/>
                <w:color w:val="auto"/>
                <w:highlight w:val="none"/>
              </w:rPr>
            </w:pPr>
          </w:p>
          <w:p>
            <w:pPr>
              <w:keepNext w:val="0"/>
              <w:keepLines w:val="0"/>
              <w:widowControl/>
              <w:suppressLineNumbers w:val="0"/>
              <w:spacing w:before="120" w:beforeAutospacing="0" w:line="360" w:lineRule="auto"/>
              <w:rPr>
                <w:rFonts w:hint="eastAsia" w:ascii="宋体" w:hAnsi="宋体"/>
                <w:b/>
                <w:color w:val="auto"/>
                <w:highlight w:val="none"/>
              </w:rPr>
            </w:pPr>
          </w:p>
        </w:tc>
        <w:tc>
          <w:tcPr>
            <w:tcW w:w="959" w:type="dxa"/>
            <w:vMerge w:val="restart"/>
            <w:tcBorders>
              <w:top w:val="nil"/>
              <w:left w:val="single" w:color="auto" w:sz="18" w:space="0"/>
              <w:right w:val="nil"/>
            </w:tcBorders>
            <w:noWrap w:val="0"/>
            <w:textDirection w:val="tbRlV"/>
            <w:vAlign w:val="top"/>
          </w:tcPr>
          <w:p>
            <w:pPr>
              <w:keepNext w:val="0"/>
              <w:keepLines w:val="0"/>
              <w:widowControl/>
              <w:suppressLineNumbers w:val="0"/>
              <w:spacing w:before="120" w:beforeAutospacing="0" w:line="360" w:lineRule="auto"/>
              <w:ind w:left="113" w:right="113"/>
              <w:rPr>
                <w:rFonts w:hint="default" w:ascii="宋体" w:hAnsi="宋体"/>
                <w:b/>
                <w:color w:val="auto"/>
                <w:highlight w:val="none"/>
              </w:rPr>
            </w:pPr>
            <w:r>
              <w:rPr>
                <w:rFonts w:hint="eastAsia" w:ascii="宋体" w:hAnsi="宋体"/>
                <w:b/>
                <w:color w:val="auto"/>
                <w:highlight w:val="none"/>
              </w:rPr>
              <w:t xml:space="preserve">           第      联  (交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2" w:hRule="atLeast"/>
          <w:jc w:val="center"/>
        </w:trPr>
        <w:tc>
          <w:tcPr>
            <w:tcW w:w="8820" w:type="dxa"/>
            <w:tcBorders>
              <w:top w:val="single" w:color="auto" w:sz="18" w:space="0"/>
              <w:left w:val="single" w:color="auto" w:sz="18" w:space="0"/>
              <w:bottom w:val="single" w:color="auto" w:sz="18" w:space="0"/>
              <w:right w:val="single" w:color="auto" w:sz="18" w:space="0"/>
            </w:tcBorders>
            <w:noWrap w:val="0"/>
            <w:vAlign w:val="top"/>
          </w:tcPr>
          <w:p>
            <w:pPr>
              <w:keepNext w:val="0"/>
              <w:keepLines w:val="0"/>
              <w:widowControl/>
              <w:suppressLineNumbers w:val="0"/>
              <w:spacing w:before="120" w:beforeAutospacing="0" w:line="360" w:lineRule="auto"/>
              <w:rPr>
                <w:rFonts w:hint="eastAsia" w:ascii="宋体" w:hAnsi="宋体" w:eastAsia="宋体"/>
                <w:b w:val="0"/>
                <w:bCs/>
                <w:color w:val="auto"/>
                <w:sz w:val="24"/>
                <w:highlight w:val="none"/>
                <w:lang w:eastAsia="zh-CN"/>
              </w:rPr>
            </w:pPr>
            <w:r>
              <w:rPr>
                <w:rFonts w:hint="eastAsia" w:ascii="宋体" w:hAnsi="宋体"/>
                <w:b w:val="0"/>
                <w:bCs/>
                <w:color w:val="auto"/>
                <w:sz w:val="24"/>
                <w:highlight w:val="none"/>
                <w:lang w:val="en-US" w:eastAsia="zh-CN"/>
              </w:rPr>
              <w:t>运营公司（盖章）：                        项目主办部门负责人</w:t>
            </w:r>
            <w:r>
              <w:rPr>
                <w:rFonts w:hint="eastAsia" w:ascii="宋体" w:hAnsi="宋体"/>
                <w:b w:val="0"/>
                <w:bCs/>
                <w:color w:val="auto"/>
                <w:sz w:val="24"/>
                <w:highlight w:val="none"/>
              </w:rPr>
              <w:t>：</w:t>
            </w:r>
          </w:p>
          <w:p>
            <w:pPr>
              <w:keepNext w:val="0"/>
              <w:keepLines w:val="0"/>
              <w:widowControl/>
              <w:suppressLineNumbers w:val="0"/>
              <w:spacing w:before="120" w:beforeAutospacing="0" w:line="360" w:lineRule="auto"/>
              <w:rPr>
                <w:rFonts w:hint="eastAsia" w:ascii="宋体" w:hAnsi="宋体"/>
                <w:b w:val="0"/>
                <w:bCs/>
                <w:color w:val="auto"/>
                <w:sz w:val="24"/>
                <w:highlight w:val="none"/>
              </w:rPr>
            </w:pPr>
          </w:p>
          <w:p>
            <w:pPr>
              <w:keepNext w:val="0"/>
              <w:keepLines w:val="0"/>
              <w:widowControl/>
              <w:suppressLineNumbers w:val="0"/>
              <w:spacing w:before="120" w:beforeAutospacing="0" w:line="360" w:lineRule="auto"/>
              <w:rPr>
                <w:rFonts w:hint="default" w:ascii="宋体" w:hAnsi="宋体"/>
                <w:b w:val="0"/>
                <w:bCs/>
                <w:color w:val="auto"/>
                <w:highlight w:val="none"/>
                <w:lang w:val="en-US"/>
              </w:rPr>
            </w:pPr>
            <w:r>
              <w:rPr>
                <w:rFonts w:hint="eastAsia" w:ascii="宋体" w:hAnsi="宋体"/>
                <w:b w:val="0"/>
                <w:bCs/>
                <w:color w:val="auto"/>
                <w:sz w:val="24"/>
                <w:highlight w:val="none"/>
              </w:rPr>
              <w:t>日</w:t>
            </w:r>
            <w:r>
              <w:rPr>
                <w:rFonts w:hint="eastAsia" w:ascii="宋体" w:hAnsi="宋体"/>
                <w:b w:val="0"/>
                <w:bCs/>
                <w:color w:val="auto"/>
                <w:sz w:val="24"/>
                <w:highlight w:val="none"/>
                <w:lang w:val="en-US" w:eastAsia="zh-CN"/>
              </w:rPr>
              <w:t xml:space="preserve"> 期：      年   月   日</w:t>
            </w:r>
          </w:p>
        </w:tc>
        <w:tc>
          <w:tcPr>
            <w:tcW w:w="959" w:type="dxa"/>
            <w:vMerge w:val="continue"/>
            <w:tcBorders>
              <w:left w:val="single" w:color="auto" w:sz="18" w:space="0"/>
              <w:right w:val="nil"/>
            </w:tcBorders>
            <w:noWrap w:val="0"/>
            <w:textDirection w:val="tbRlV"/>
            <w:vAlign w:val="top"/>
          </w:tcPr>
          <w:p>
            <w:pPr>
              <w:keepNext w:val="0"/>
              <w:keepLines w:val="0"/>
              <w:widowControl/>
              <w:suppressLineNumbers w:val="0"/>
              <w:spacing w:before="120" w:beforeAutospacing="0" w:line="360" w:lineRule="auto"/>
              <w:ind w:left="113" w:right="113"/>
              <w:rPr>
                <w:rFonts w:hint="eastAsia" w:ascii="宋体"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8" w:hRule="atLeast"/>
          <w:jc w:val="center"/>
        </w:trPr>
        <w:tc>
          <w:tcPr>
            <w:tcW w:w="8820" w:type="dxa"/>
            <w:tcBorders>
              <w:top w:val="single" w:color="auto" w:sz="18" w:space="0"/>
              <w:left w:val="single" w:color="auto" w:sz="18" w:space="0"/>
              <w:bottom w:val="single" w:color="auto" w:sz="18" w:space="0"/>
              <w:right w:val="single" w:color="auto" w:sz="18" w:space="0"/>
            </w:tcBorders>
            <w:noWrap w:val="0"/>
            <w:vAlign w:val="top"/>
          </w:tcPr>
          <w:p>
            <w:pPr>
              <w:keepNext w:val="0"/>
              <w:keepLines w:val="0"/>
              <w:widowControl/>
              <w:suppressLineNumbers w:val="0"/>
              <w:spacing w:before="120" w:beforeAutospacing="0" w:line="360" w:lineRule="auto"/>
              <w:rPr>
                <w:rFonts w:hint="eastAsia" w:ascii="宋体" w:hAnsi="宋体"/>
                <w:b w:val="0"/>
                <w:bCs/>
                <w:color w:val="auto"/>
                <w:sz w:val="24"/>
                <w:highlight w:val="none"/>
                <w:lang w:val="en-US" w:eastAsia="zh-CN"/>
              </w:rPr>
            </w:pPr>
            <w:r>
              <w:rPr>
                <w:rFonts w:hint="eastAsia" w:ascii="宋体" w:hAnsi="宋体"/>
                <w:b w:val="0"/>
                <w:bCs/>
                <w:color w:val="auto"/>
                <w:sz w:val="24"/>
                <w:highlight w:val="none"/>
                <w:lang w:val="en-US" w:eastAsia="zh-CN"/>
              </w:rPr>
              <w:t xml:space="preserve">委外单位/劳务派遣单位（盖章）：            委外项目负责人：                            </w:t>
            </w:r>
          </w:p>
          <w:p>
            <w:pPr>
              <w:keepNext w:val="0"/>
              <w:keepLines w:val="0"/>
              <w:widowControl/>
              <w:suppressLineNumbers w:val="0"/>
              <w:spacing w:before="120" w:beforeAutospacing="0" w:line="360" w:lineRule="auto"/>
              <w:rPr>
                <w:rFonts w:hint="eastAsia" w:ascii="宋体" w:hAnsi="宋体"/>
                <w:b w:val="0"/>
                <w:bCs/>
                <w:color w:val="auto"/>
                <w:sz w:val="24"/>
                <w:highlight w:val="none"/>
                <w:lang w:val="en-US" w:eastAsia="zh-CN"/>
              </w:rPr>
            </w:pPr>
            <w:r>
              <w:rPr>
                <w:rFonts w:hint="eastAsia" w:ascii="宋体" w:hAnsi="宋体"/>
                <w:b w:val="0"/>
                <w:bCs/>
                <w:color w:val="auto"/>
                <w:sz w:val="24"/>
                <w:highlight w:val="none"/>
                <w:lang w:val="en-US" w:eastAsia="zh-CN"/>
              </w:rPr>
              <w:t>日 期：      年   月   日</w:t>
            </w:r>
          </w:p>
          <w:p>
            <w:pPr>
              <w:keepNext w:val="0"/>
              <w:keepLines w:val="0"/>
              <w:widowControl/>
              <w:suppressLineNumbers w:val="0"/>
              <w:spacing w:before="120" w:beforeAutospacing="0"/>
              <w:rPr>
                <w:rFonts w:hint="eastAsia" w:ascii="宋体" w:hAnsi="宋体"/>
                <w:b w:val="0"/>
                <w:bCs/>
                <w:color w:val="auto"/>
                <w:highlight w:val="none"/>
              </w:rPr>
            </w:pPr>
          </w:p>
          <w:p>
            <w:pPr>
              <w:keepNext w:val="0"/>
              <w:keepLines w:val="0"/>
              <w:widowControl/>
              <w:suppressLineNumbers w:val="0"/>
              <w:spacing w:before="120" w:beforeAutospacing="0"/>
              <w:rPr>
                <w:rFonts w:hint="eastAsia" w:ascii="宋体" w:hAnsi="宋体"/>
                <w:b w:val="0"/>
                <w:bCs/>
                <w:color w:val="auto"/>
                <w:highlight w:val="none"/>
              </w:rPr>
            </w:pPr>
            <w:r>
              <w:rPr>
                <w:rFonts w:hint="eastAsia" w:ascii="宋体" w:hAnsi="宋体"/>
                <w:b w:val="0"/>
                <w:bCs/>
                <w:color w:val="auto"/>
                <w:sz w:val="24"/>
                <w:highlight w:val="none"/>
                <w:lang w:val="en-US" w:eastAsia="zh-CN"/>
              </w:rPr>
              <w:t>（委外单位/劳务派遣单位签字盖章的日期即为本项目的开工日期）</w:t>
            </w:r>
          </w:p>
        </w:tc>
        <w:tc>
          <w:tcPr>
            <w:tcW w:w="959" w:type="dxa"/>
            <w:vMerge w:val="continue"/>
            <w:tcBorders>
              <w:left w:val="single" w:color="auto" w:sz="18" w:space="0"/>
              <w:bottom w:val="nil"/>
              <w:right w:val="nil"/>
            </w:tcBorders>
            <w:noWrap w:val="0"/>
            <w:textDirection w:val="tbRlV"/>
            <w:vAlign w:val="top"/>
          </w:tcPr>
          <w:p>
            <w:pPr>
              <w:keepNext w:val="0"/>
              <w:keepLines w:val="0"/>
              <w:widowControl/>
              <w:suppressLineNumbers w:val="0"/>
              <w:spacing w:before="120" w:beforeAutospacing="0" w:line="360" w:lineRule="auto"/>
              <w:ind w:left="113" w:right="113"/>
              <w:rPr>
                <w:rFonts w:hint="eastAsia" w:ascii="宋体" w:hAnsi="宋体"/>
                <w:b/>
                <w:color w:val="auto"/>
                <w:highlight w:val="none"/>
              </w:rPr>
            </w:pPr>
          </w:p>
        </w:tc>
      </w:tr>
    </w:tbl>
    <w:p>
      <w:pPr>
        <w:spacing w:before="120" w:line="240" w:lineRule="auto"/>
        <w:ind w:left="-420" w:leftChars="-200" w:firstLine="0" w:firstLineChars="0"/>
        <w:rPr>
          <w:rFonts w:hint="eastAsia" w:ascii="宋体" w:hAnsi="宋体"/>
          <w:b w:val="0"/>
          <w:bCs/>
          <w:color w:val="auto"/>
          <w:sz w:val="18"/>
          <w:szCs w:val="18"/>
          <w:highlight w:val="none"/>
          <w:lang w:val="en-US" w:eastAsia="zh-CN"/>
        </w:rPr>
      </w:pPr>
      <w:r>
        <w:rPr>
          <w:rFonts w:hint="eastAsia" w:ascii="宋体" w:hAnsi="宋体"/>
          <w:b w:val="0"/>
          <w:bCs/>
          <w:color w:val="auto"/>
          <w:sz w:val="18"/>
          <w:szCs w:val="18"/>
          <w:highlight w:val="none"/>
          <w:lang w:val="en-US" w:eastAsia="zh-CN"/>
        </w:rPr>
        <w:t>说明：本表单一式两份，运营公司主办和委外单位/劳务派遣单位各持一份，作为项目实施起始时间的凭证。</w:t>
      </w:r>
    </w:p>
    <w:p>
      <w:pPr>
        <w:rPr>
          <w:rFonts w:ascii="宋体" w:hAnsi="宋体"/>
          <w:color w:val="auto"/>
          <w:highlight w:val="none"/>
        </w:rPr>
      </w:pPr>
    </w:p>
    <w:p>
      <w:pPr>
        <w:pStyle w:val="2"/>
        <w:rPr>
          <w:rFonts w:ascii="宋体" w:hAnsi="宋体"/>
          <w:color w:val="auto"/>
          <w:highlight w:val="none"/>
        </w:rPr>
      </w:pPr>
    </w:p>
    <w:p>
      <w:pPr>
        <w:jc w:val="left"/>
        <w:rPr>
          <w:rFonts w:hint="eastAsia" w:ascii="宋体" w:hAnsi="宋体" w:eastAsia="宋体" w:cs="Times New Roman"/>
          <w:b/>
          <w:bCs/>
          <w:color w:val="auto"/>
          <w:highlight w:val="none"/>
          <w:lang w:val="en-US" w:eastAsia="zh-CN"/>
        </w:rPr>
      </w:pPr>
    </w:p>
    <w:p>
      <w:pPr>
        <w:rPr>
          <w:rStyle w:val="46"/>
          <w:rFonts w:hint="eastAsia" w:cs="Times New Roman" w:asciiTheme="minorEastAsia" w:hAnsiTheme="minorEastAsia" w:eastAsiaTheme="minorEastAsia"/>
          <w:color w:val="auto"/>
          <w:sz w:val="21"/>
          <w:szCs w:val="21"/>
          <w:highlight w:val="none"/>
        </w:rPr>
      </w:pPr>
      <w:r>
        <w:rPr>
          <w:rStyle w:val="46"/>
          <w:rFonts w:hint="eastAsia" w:cs="Times New Roman" w:asciiTheme="minorEastAsia" w:hAnsiTheme="minorEastAsia" w:eastAsiaTheme="minorEastAsia"/>
          <w:color w:val="auto"/>
          <w:sz w:val="21"/>
          <w:szCs w:val="21"/>
          <w:highlight w:val="none"/>
        </w:rPr>
        <w:br w:type="page"/>
      </w:r>
    </w:p>
    <w:p>
      <w:pPr>
        <w:pStyle w:val="32"/>
        <w:ind w:left="0" w:leftChars="0" w:firstLine="0" w:firstLineChars="0"/>
        <w:rPr>
          <w:rStyle w:val="46"/>
          <w:rFonts w:hint="eastAsia" w:cs="Times New Roman" w:asciiTheme="minorEastAsia" w:hAnsiTheme="minorEastAsia" w:eastAsiaTheme="minorEastAsia"/>
          <w:color w:val="auto"/>
          <w:sz w:val="21"/>
          <w:szCs w:val="21"/>
          <w:highlight w:val="none"/>
        </w:rPr>
      </w:pPr>
      <w:r>
        <w:rPr>
          <w:rStyle w:val="46"/>
          <w:rFonts w:hint="eastAsia" w:asciiTheme="minorEastAsia" w:hAnsiTheme="minorEastAsia" w:eastAsiaTheme="minorEastAsia"/>
          <w:color w:val="auto"/>
          <w:sz w:val="21"/>
          <w:szCs w:val="21"/>
          <w:highlight w:val="none"/>
        </w:rPr>
        <w:t>附件</w:t>
      </w:r>
      <w:r>
        <w:rPr>
          <w:rStyle w:val="46"/>
          <w:rFonts w:hint="eastAsia" w:asciiTheme="minorEastAsia" w:hAnsiTheme="minorEastAsia" w:eastAsiaTheme="minorEastAsia"/>
          <w:color w:val="auto"/>
          <w:sz w:val="21"/>
          <w:szCs w:val="21"/>
          <w:highlight w:val="none"/>
          <w:lang w:val="en-US" w:eastAsia="zh-CN"/>
        </w:rPr>
        <w:t>5</w:t>
      </w:r>
      <w:r>
        <w:rPr>
          <w:rStyle w:val="46"/>
          <w:rFonts w:hint="eastAsia" w:asciiTheme="minorEastAsia" w:hAnsiTheme="minorEastAsia" w:eastAsiaTheme="minorEastAsia"/>
          <w:color w:val="auto"/>
          <w:sz w:val="21"/>
          <w:szCs w:val="21"/>
          <w:highlight w:val="none"/>
        </w:rPr>
        <w:t>：委外项目工作任务验收单（格式）</w:t>
      </w:r>
    </w:p>
    <w:p>
      <w:pPr>
        <w:jc w:val="center"/>
        <w:rPr>
          <w:rFonts w:ascii="黑体" w:hAnsi="宋体" w:eastAsia="黑体"/>
          <w:color w:val="000000" w:themeColor="text1"/>
          <w:sz w:val="36"/>
          <w:szCs w:val="36"/>
          <w14:textFill>
            <w14:solidFill>
              <w14:schemeClr w14:val="tx1"/>
            </w14:solidFill>
          </w14:textFill>
        </w:rPr>
      </w:pPr>
      <w:r>
        <w:rPr>
          <w:rFonts w:hint="eastAsia" w:ascii="黑体" w:hAnsi="宋体" w:eastAsia="黑体"/>
          <w:color w:val="000000" w:themeColor="text1"/>
          <w:sz w:val="36"/>
          <w:szCs w:val="36"/>
          <w14:textFill>
            <w14:solidFill>
              <w14:schemeClr w14:val="tx1"/>
            </w14:solidFill>
          </w14:textFill>
        </w:rPr>
        <w:t>委外项目工作任务验收单</w:t>
      </w:r>
    </w:p>
    <w:p>
      <w:pPr>
        <w:pStyle w:val="16"/>
      </w:pPr>
    </w:p>
    <w:p>
      <w:pPr>
        <w:spacing w:line="360" w:lineRule="auto"/>
        <w:ind w:left="90" w:leftChars="-295"/>
        <w:rPr>
          <w:rFonts w:ascii="黑体" w:hAnsi="黑体" w:eastAsia="黑体"/>
          <w:color w:val="000000" w:themeColor="text1"/>
          <w14:textFill>
            <w14:solidFill>
              <w14:schemeClr w14:val="tx1"/>
            </w14:solidFill>
          </w14:textFill>
        </w:rPr>
      </w:pPr>
      <w:r>
        <w:rPr>
          <w:rFonts w:hint="eastAsia" w:ascii="宋体" w:hAnsi="宋体" w:cs="宋体"/>
          <w:b/>
          <w:szCs w:val="21"/>
        </w:rPr>
        <w:t>表单编号：</w:t>
      </w:r>
      <w:r>
        <w:rPr>
          <w:rFonts w:hint="eastAsia" w:ascii="宋体" w:hAnsi="宋体" w:cs="宋体"/>
          <w:color w:val="FF0000"/>
          <w:kern w:val="0"/>
          <w:szCs w:val="21"/>
        </w:rPr>
        <w:t xml:space="preserve"> </w:t>
      </w:r>
    </w:p>
    <w:tbl>
      <w:tblPr>
        <w:tblStyle w:val="33"/>
        <w:tblW w:w="106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1"/>
        <w:gridCol w:w="1789"/>
        <w:gridCol w:w="3740"/>
        <w:gridCol w:w="1660"/>
        <w:gridCol w:w="28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3" w:hRule="atLeast"/>
          <w:jc w:val="center"/>
        </w:trPr>
        <w:tc>
          <w:tcPr>
            <w:tcW w:w="2340" w:type="dxa"/>
            <w:gridSpan w:val="2"/>
            <w:tcBorders>
              <w:top w:val="single" w:color="auto" w:sz="12" w:space="0"/>
              <w:left w:val="single" w:color="auto" w:sz="12" w:space="0"/>
              <w:bottom w:val="single" w:color="auto" w:sz="4" w:space="0"/>
              <w:right w:val="single" w:color="auto" w:sz="4"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b/>
                <w:szCs w:val="21"/>
              </w:rPr>
            </w:pPr>
            <w:r>
              <w:rPr>
                <w:rFonts w:hint="eastAsia" w:ascii="宋体" w:hAnsi="宋体" w:cs="宋体"/>
                <w:b/>
                <w:szCs w:val="21"/>
              </w:rPr>
              <w:t>项目名称</w:t>
            </w:r>
          </w:p>
        </w:tc>
        <w:tc>
          <w:tcPr>
            <w:tcW w:w="3740"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Autospacing="0" w:line="360" w:lineRule="auto"/>
              <w:jc w:val="center"/>
              <w:rPr>
                <w:rFonts w:hint="default" w:ascii="Verdana" w:hAnsi="Verdana" w:cs="Verdana"/>
                <w:b/>
                <w:sz w:val="20"/>
                <w:szCs w:val="20"/>
              </w:rPr>
            </w:pPr>
          </w:p>
        </w:tc>
        <w:tc>
          <w:tcPr>
            <w:tcW w:w="1660"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b/>
                <w:szCs w:val="21"/>
              </w:rPr>
            </w:pPr>
            <w:r>
              <w:rPr>
                <w:rFonts w:hint="eastAsia" w:ascii="宋体" w:hAnsi="宋体" w:cs="宋体"/>
                <w:b/>
                <w:szCs w:val="21"/>
              </w:rPr>
              <w:t>合同编号</w:t>
            </w:r>
          </w:p>
        </w:tc>
        <w:tc>
          <w:tcPr>
            <w:tcW w:w="2880" w:type="dxa"/>
            <w:tcBorders>
              <w:top w:val="single" w:color="auto" w:sz="12"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 w:hRule="atLeast"/>
          <w:jc w:val="center"/>
        </w:trPr>
        <w:tc>
          <w:tcPr>
            <w:tcW w:w="2340"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b/>
                <w:szCs w:val="21"/>
              </w:rPr>
            </w:pPr>
            <w:r>
              <w:rPr>
                <w:rFonts w:hint="eastAsia" w:ascii="宋体" w:hAnsi="宋体" w:cs="宋体"/>
                <w:b/>
                <w:szCs w:val="21"/>
              </w:rPr>
              <w:t>承包商</w:t>
            </w:r>
          </w:p>
        </w:tc>
        <w:tc>
          <w:tcPr>
            <w:tcW w:w="3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szCs w:val="21"/>
              </w:rPr>
            </w:pP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Autospacing="0"/>
              <w:jc w:val="center"/>
              <w:rPr>
                <w:rFonts w:hint="default" w:ascii="宋体" w:hAnsi="宋体" w:cs="宋体"/>
                <w:b/>
                <w:szCs w:val="21"/>
              </w:rPr>
            </w:pPr>
            <w:r>
              <w:rPr>
                <w:rFonts w:hint="eastAsia" w:ascii="宋体" w:hAnsi="宋体" w:cs="宋体"/>
                <w:b/>
                <w:szCs w:val="21"/>
              </w:rPr>
              <w:t>运营公司</w:t>
            </w:r>
          </w:p>
          <w:p>
            <w:pPr>
              <w:keepNext w:val="0"/>
              <w:keepLines w:val="0"/>
              <w:widowControl/>
              <w:suppressLineNumbers w:val="0"/>
              <w:spacing w:beforeAutospacing="0"/>
              <w:jc w:val="center"/>
              <w:rPr>
                <w:rFonts w:hint="default" w:ascii="宋体" w:hAnsi="宋体" w:cs="宋体"/>
                <w:szCs w:val="21"/>
              </w:rPr>
            </w:pPr>
            <w:r>
              <w:rPr>
                <w:rFonts w:hint="eastAsia" w:ascii="宋体" w:hAnsi="宋体" w:cs="宋体"/>
                <w:b/>
                <w:szCs w:val="21"/>
              </w:rPr>
              <w:t xml:space="preserve">主办部门  </w:t>
            </w:r>
          </w:p>
        </w:tc>
        <w:tc>
          <w:tcPr>
            <w:tcW w:w="2880"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55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b/>
                <w:szCs w:val="21"/>
              </w:rPr>
            </w:pPr>
            <w:r>
              <w:rPr>
                <w:rFonts w:hint="eastAsia" w:ascii="宋体" w:hAnsi="宋体" w:cs="宋体"/>
                <w:b/>
                <w:szCs w:val="21"/>
              </w:rPr>
              <w:t>作业情况</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b/>
                <w:szCs w:val="21"/>
              </w:rPr>
            </w:pPr>
            <w:r>
              <w:rPr>
                <w:rFonts w:hint="eastAsia" w:ascii="宋体" w:hAnsi="宋体" w:cs="宋体"/>
                <w:b/>
                <w:szCs w:val="21"/>
              </w:rPr>
              <w:t>作业时间</w:t>
            </w:r>
          </w:p>
        </w:tc>
        <w:tc>
          <w:tcPr>
            <w:tcW w:w="8280" w:type="dxa"/>
            <w:gridSpan w:val="3"/>
            <w:tcBorders>
              <w:top w:val="single" w:color="auto" w:sz="4" w:space="0"/>
              <w:left w:val="single" w:color="auto" w:sz="4" w:space="0"/>
              <w:bottom w:val="single" w:color="auto" w:sz="4" w:space="0"/>
              <w:right w:val="single" w:color="auto" w:sz="12" w:space="0"/>
            </w:tcBorders>
            <w:shd w:val="clear" w:color="auto" w:fill="auto"/>
          </w:tcPr>
          <w:p>
            <w:pPr>
              <w:keepNext w:val="0"/>
              <w:keepLines w:val="0"/>
              <w:widowControl/>
              <w:suppressLineNumbers w:val="0"/>
              <w:spacing w:beforeAutospacing="0" w:line="360" w:lineRule="auto"/>
              <w:rPr>
                <w:rFonts w:hint="default" w:ascii="宋体" w:hAnsi="宋体" w:cs="宋体"/>
                <w:sz w:val="18"/>
                <w:szCs w:val="18"/>
              </w:rPr>
            </w:pPr>
            <w:r>
              <w:rPr>
                <w:rFonts w:hint="eastAsia" w:ascii="宋体" w:hAnsi="宋体" w:cs="宋体"/>
                <w:color w:val="FF0000"/>
                <w:kern w:val="0"/>
                <w:szCs w:val="21"/>
              </w:rPr>
              <w:t>（详细描述作业时间）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9" w:hRule="atLeast"/>
          <w:jc w:val="center"/>
        </w:trPr>
        <w:tc>
          <w:tcPr>
            <w:tcW w:w="55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b/>
                <w:szCs w:val="21"/>
              </w:rPr>
            </w:pP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b/>
                <w:szCs w:val="21"/>
              </w:rPr>
            </w:pPr>
            <w:r>
              <w:rPr>
                <w:rFonts w:hint="eastAsia" w:ascii="宋体" w:hAnsi="宋体" w:cs="宋体"/>
                <w:b/>
                <w:szCs w:val="21"/>
              </w:rPr>
              <w:t>作业地点</w:t>
            </w:r>
          </w:p>
        </w:tc>
        <w:tc>
          <w:tcPr>
            <w:tcW w:w="8280" w:type="dxa"/>
            <w:gridSpan w:val="3"/>
            <w:tcBorders>
              <w:top w:val="single" w:color="auto" w:sz="4" w:space="0"/>
              <w:left w:val="single" w:color="auto" w:sz="4" w:space="0"/>
              <w:bottom w:val="single" w:color="auto" w:sz="4" w:space="0"/>
              <w:right w:val="single" w:color="auto" w:sz="12" w:space="0"/>
            </w:tcBorders>
            <w:shd w:val="clear" w:color="auto" w:fill="auto"/>
          </w:tcPr>
          <w:p>
            <w:pPr>
              <w:keepNext w:val="0"/>
              <w:keepLines w:val="0"/>
              <w:widowControl/>
              <w:suppressLineNumbers w:val="0"/>
              <w:spacing w:beforeAutospacing="0" w:line="360" w:lineRule="auto"/>
              <w:rPr>
                <w:rFonts w:hint="default" w:ascii="宋体" w:hAnsi="宋体" w:cs="宋体"/>
                <w:sz w:val="18"/>
                <w:szCs w:val="18"/>
              </w:rPr>
            </w:pPr>
            <w:r>
              <w:rPr>
                <w:rFonts w:hint="eastAsia" w:ascii="宋体" w:hAnsi="宋体" w:cs="宋体"/>
                <w:color w:val="FF0000"/>
                <w:kern w:val="0"/>
                <w:szCs w:val="21"/>
              </w:rPr>
              <w:t>（详细描述站、点、相对位置等作业实施地点）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7" w:hRule="atLeast"/>
          <w:jc w:val="center"/>
        </w:trPr>
        <w:tc>
          <w:tcPr>
            <w:tcW w:w="55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suppressLineNumbers w:val="0"/>
              <w:spacing w:beforeAutospacing="0"/>
              <w:rPr>
                <w:rFonts w:hint="default" w:ascii="Calibri" w:hAnsi="Calibri"/>
              </w:rPr>
            </w:pP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b/>
                <w:szCs w:val="21"/>
              </w:rPr>
            </w:pPr>
            <w:r>
              <w:rPr>
                <w:rFonts w:hint="eastAsia" w:ascii="宋体" w:hAnsi="宋体" w:cs="宋体"/>
                <w:b/>
                <w:szCs w:val="21"/>
              </w:rPr>
              <w:t>作业内容</w:t>
            </w:r>
          </w:p>
        </w:tc>
        <w:tc>
          <w:tcPr>
            <w:tcW w:w="8280" w:type="dxa"/>
            <w:gridSpan w:val="3"/>
            <w:tcBorders>
              <w:top w:val="single" w:color="auto" w:sz="4" w:space="0"/>
              <w:left w:val="single" w:color="auto" w:sz="4" w:space="0"/>
              <w:bottom w:val="single" w:color="auto" w:sz="4" w:space="0"/>
              <w:right w:val="single" w:color="auto" w:sz="12" w:space="0"/>
            </w:tcBorders>
            <w:shd w:val="clear" w:color="auto" w:fill="auto"/>
          </w:tcPr>
          <w:p>
            <w:pPr>
              <w:pStyle w:val="41"/>
              <w:keepNext w:val="0"/>
              <w:keepLines w:val="0"/>
              <w:widowControl/>
              <w:numPr>
                <w:ilvl w:val="0"/>
                <w:numId w:val="13"/>
              </w:numPr>
              <w:suppressLineNumbers w:val="0"/>
              <w:spacing w:beforeAutospacing="0" w:line="360" w:lineRule="auto"/>
              <w:ind w:firstLineChars="0"/>
              <w:rPr>
                <w:rFonts w:hint="eastAsia" w:ascii="宋体" w:hAnsi="宋体" w:cs="宋体"/>
                <w:color w:val="FF0000"/>
                <w:kern w:val="0"/>
                <w:szCs w:val="21"/>
              </w:rPr>
            </w:pPr>
            <w:r>
              <w:rPr>
                <w:rFonts w:hint="eastAsia" w:ascii="宋体" w:hAnsi="宋体" w:cs="宋体"/>
                <w:color w:val="FF0000"/>
                <w:kern w:val="0"/>
                <w:szCs w:val="21"/>
              </w:rPr>
              <w:t>信息资产梳理：                                     （详见附件）</w:t>
            </w:r>
          </w:p>
          <w:p>
            <w:pPr>
              <w:pStyle w:val="16"/>
              <w:keepNext w:val="0"/>
              <w:keepLines w:val="0"/>
              <w:widowControl/>
              <w:numPr>
                <w:ilvl w:val="0"/>
                <w:numId w:val="13"/>
              </w:numPr>
              <w:suppressLineNumbers w:val="0"/>
              <w:spacing w:beforeAutospacing="0"/>
              <w:rPr>
                <w:rFonts w:hint="eastAsia"/>
              </w:rPr>
            </w:pPr>
            <w:r>
              <w:rPr>
                <w:rFonts w:hint="eastAsia"/>
              </w:rPr>
              <w:t xml:space="preserve">安全漏洞扫描：                                     </w:t>
            </w:r>
            <w:r>
              <w:rPr>
                <w:rFonts w:hint="eastAsia" w:hAnsi="宋体" w:cs="宋体"/>
                <w:color w:val="FF0000"/>
                <w:kern w:val="0"/>
                <w:szCs w:val="21"/>
              </w:rPr>
              <w:t>（详见附件）</w:t>
            </w:r>
          </w:p>
          <w:p>
            <w:pPr>
              <w:pStyle w:val="16"/>
              <w:keepNext w:val="0"/>
              <w:keepLines w:val="0"/>
              <w:widowControl/>
              <w:numPr>
                <w:ilvl w:val="0"/>
                <w:numId w:val="13"/>
              </w:numPr>
              <w:suppressLineNumbers w:val="0"/>
              <w:spacing w:beforeAutospacing="0"/>
              <w:rPr>
                <w:rFonts w:hint="eastAsia"/>
              </w:rPr>
            </w:pPr>
            <w:r>
              <w:rPr>
                <w:rFonts w:hint="eastAsia"/>
              </w:rPr>
              <w:t xml:space="preserve">安全配置核查：                                     </w:t>
            </w:r>
            <w:r>
              <w:rPr>
                <w:rFonts w:hint="eastAsia" w:hAnsi="宋体" w:cs="宋体"/>
                <w:color w:val="FF0000"/>
                <w:kern w:val="0"/>
                <w:szCs w:val="21"/>
              </w:rPr>
              <w:t>（详见附件）</w:t>
            </w:r>
          </w:p>
          <w:p>
            <w:pPr>
              <w:pStyle w:val="16"/>
              <w:keepNext w:val="0"/>
              <w:keepLines w:val="0"/>
              <w:widowControl/>
              <w:numPr>
                <w:ilvl w:val="0"/>
                <w:numId w:val="13"/>
              </w:numPr>
              <w:suppressLineNumbers w:val="0"/>
              <w:spacing w:beforeAutospacing="0"/>
              <w:rPr>
                <w:rFonts w:hint="eastAsia"/>
              </w:rPr>
            </w:pPr>
            <w:r>
              <w:rPr>
                <w:rFonts w:hint="eastAsia"/>
              </w:rPr>
              <w:t xml:space="preserve">渗透测试：                                         </w:t>
            </w:r>
            <w:r>
              <w:rPr>
                <w:rFonts w:hint="eastAsia" w:hAnsi="宋体" w:cs="宋体"/>
                <w:color w:val="FF0000"/>
                <w:kern w:val="0"/>
                <w:szCs w:val="21"/>
              </w:rPr>
              <w:t>（详见附件）</w:t>
            </w:r>
          </w:p>
          <w:p>
            <w:pPr>
              <w:pStyle w:val="16"/>
              <w:keepNext w:val="0"/>
              <w:keepLines w:val="0"/>
              <w:widowControl/>
              <w:numPr>
                <w:ilvl w:val="0"/>
                <w:numId w:val="13"/>
              </w:numPr>
              <w:suppressLineNumbers w:val="0"/>
              <w:spacing w:beforeAutospacing="0"/>
              <w:rPr>
                <w:rFonts w:hint="eastAsia"/>
              </w:rPr>
            </w:pPr>
            <w:r>
              <w:rPr>
                <w:rFonts w:hint="eastAsia"/>
              </w:rPr>
              <w:t xml:space="preserve">安全风险综合评估报告：                             </w:t>
            </w:r>
            <w:r>
              <w:rPr>
                <w:rFonts w:hint="eastAsia" w:hAnsi="宋体" w:cs="宋体"/>
                <w:color w:val="FF0000"/>
                <w:kern w:val="0"/>
                <w:szCs w:val="21"/>
              </w:rPr>
              <w:t>（详见附件）</w:t>
            </w:r>
          </w:p>
          <w:p>
            <w:pPr>
              <w:pStyle w:val="16"/>
              <w:keepNext w:val="0"/>
              <w:keepLines w:val="0"/>
              <w:widowControl/>
              <w:numPr>
                <w:ilvl w:val="0"/>
                <w:numId w:val="13"/>
              </w:numPr>
              <w:suppressLineNumbers w:val="0"/>
              <w:spacing w:beforeAutospacing="0"/>
              <w:rPr>
                <w:rFonts w:hint="default"/>
              </w:rPr>
            </w:pPr>
            <w:r>
              <w:rPr>
                <w:rFonts w:hint="eastAsia"/>
              </w:rPr>
              <w:t xml:space="preserve">信息安全培训：                                     </w:t>
            </w:r>
            <w:r>
              <w:rPr>
                <w:rFonts w:hint="eastAsia" w:hAnsi="宋体" w:cs="宋体"/>
                <w:color w:val="FF0000"/>
                <w:kern w:val="0"/>
                <w:szCs w:val="21"/>
              </w:rPr>
              <w:t>（详见附件）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5" w:hRule="atLeast"/>
          <w:jc w:val="center"/>
        </w:trPr>
        <w:tc>
          <w:tcPr>
            <w:tcW w:w="55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suppressLineNumbers w:val="0"/>
              <w:spacing w:beforeAutospacing="0"/>
              <w:rPr>
                <w:rFonts w:hint="default" w:ascii="Calibri" w:hAnsi="Calibri"/>
              </w:rPr>
            </w:pP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b/>
                <w:szCs w:val="21"/>
              </w:rPr>
            </w:pPr>
            <w:r>
              <w:rPr>
                <w:rFonts w:hint="eastAsia" w:ascii="宋体" w:hAnsi="宋体" w:cs="宋体"/>
                <w:b/>
                <w:szCs w:val="21"/>
              </w:rPr>
              <w:t>安全质量情况</w:t>
            </w:r>
          </w:p>
        </w:tc>
        <w:tc>
          <w:tcPr>
            <w:tcW w:w="8280" w:type="dxa"/>
            <w:gridSpan w:val="3"/>
            <w:tcBorders>
              <w:top w:val="single" w:color="auto" w:sz="4" w:space="0"/>
              <w:left w:val="single" w:color="auto" w:sz="4" w:space="0"/>
              <w:bottom w:val="single" w:color="auto" w:sz="4" w:space="0"/>
              <w:right w:val="single" w:color="auto" w:sz="12" w:space="0"/>
            </w:tcBorders>
            <w:shd w:val="clear" w:color="auto" w:fill="auto"/>
          </w:tcPr>
          <w:p>
            <w:pPr>
              <w:keepNext w:val="0"/>
              <w:keepLines w:val="0"/>
              <w:widowControl/>
              <w:suppressLineNumbers w:val="0"/>
              <w:autoSpaceDE w:val="0"/>
              <w:autoSpaceDN w:val="0"/>
              <w:adjustRightInd w:val="0"/>
              <w:spacing w:beforeAutospacing="0"/>
              <w:rPr>
                <w:rFonts w:hint="default" w:ascii="宋体" w:hAnsi="宋体" w:cs="宋体"/>
                <w:color w:val="FF0000"/>
                <w:kern w:val="0"/>
                <w:szCs w:val="21"/>
              </w:rPr>
            </w:pPr>
            <w:r>
              <w:rPr>
                <w:rFonts w:hint="eastAsia" w:ascii="宋体" w:hAnsi="宋体" w:cs="宋体"/>
                <w:color w:val="FF0000"/>
                <w:kern w:val="0"/>
                <w:szCs w:val="21"/>
              </w:rPr>
              <w:t>（描述施工实施期间的技术措施、工艺流程、质量、安全完成情况）</w:t>
            </w:r>
          </w:p>
          <w:p>
            <w:pPr>
              <w:keepNext w:val="0"/>
              <w:keepLines w:val="0"/>
              <w:widowControl/>
              <w:suppressLineNumbers w:val="0"/>
              <w:spacing w:beforeAutospacing="0" w:line="360" w:lineRule="auto"/>
              <w:rPr>
                <w:rFonts w:hint="defaul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jc w:val="center"/>
        </w:trPr>
        <w:tc>
          <w:tcPr>
            <w:tcW w:w="55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suppressLineNumbers w:val="0"/>
              <w:spacing w:beforeAutospacing="0"/>
              <w:rPr>
                <w:rFonts w:hint="default" w:ascii="Calibri" w:hAnsi="Calibri"/>
              </w:rPr>
            </w:pP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b/>
                <w:szCs w:val="21"/>
              </w:rPr>
            </w:pPr>
            <w:r>
              <w:rPr>
                <w:rFonts w:hint="eastAsia" w:ascii="宋体" w:hAnsi="宋体" w:cs="宋体"/>
                <w:b/>
                <w:szCs w:val="21"/>
              </w:rPr>
              <w:t>物料消耗</w:t>
            </w:r>
          </w:p>
        </w:tc>
        <w:tc>
          <w:tcPr>
            <w:tcW w:w="8280" w:type="dxa"/>
            <w:gridSpan w:val="3"/>
            <w:tcBorders>
              <w:top w:val="single" w:color="auto" w:sz="4" w:space="0"/>
              <w:left w:val="single" w:color="auto" w:sz="4" w:space="0"/>
              <w:bottom w:val="single" w:color="auto" w:sz="4" w:space="0"/>
              <w:right w:val="single" w:color="auto" w:sz="12" w:space="0"/>
            </w:tcBorders>
            <w:shd w:val="clear" w:color="auto" w:fill="auto"/>
          </w:tcPr>
          <w:p>
            <w:pPr>
              <w:keepNext w:val="0"/>
              <w:keepLines w:val="0"/>
              <w:widowControl/>
              <w:suppressLineNumbers w:val="0"/>
              <w:spacing w:beforeAutospacing="0" w:line="360" w:lineRule="auto"/>
              <w:rPr>
                <w:rFonts w:hint="default" w:ascii="宋体" w:hAnsi="宋体" w:cs="宋体"/>
                <w:sz w:val="16"/>
                <w:szCs w:val="16"/>
              </w:rPr>
            </w:pPr>
            <w:r>
              <w:rPr>
                <w:rFonts w:hint="eastAsia" w:ascii="宋体" w:hAnsi="宋体" w:cs="宋体"/>
                <w:color w:val="FF0000"/>
                <w:kern w:val="0"/>
                <w:szCs w:val="21"/>
              </w:rPr>
              <w:t>（描述作业所用材料、备品、备件来源和质量情况，以及合同条款依据）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2" w:hRule="atLeast"/>
          <w:jc w:val="center"/>
        </w:trPr>
        <w:tc>
          <w:tcPr>
            <w:tcW w:w="55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suppressLineNumbers w:val="0"/>
              <w:spacing w:beforeAutospacing="0"/>
              <w:rPr>
                <w:rFonts w:hint="default" w:ascii="Calibri" w:hAnsi="Calibri"/>
              </w:rPr>
            </w:pP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b/>
                <w:szCs w:val="21"/>
              </w:rPr>
            </w:pPr>
            <w:r>
              <w:rPr>
                <w:rFonts w:hint="eastAsia" w:ascii="宋体" w:hAnsi="宋体" w:cs="宋体"/>
                <w:b/>
                <w:szCs w:val="21"/>
              </w:rPr>
              <w:t>抽查结果</w:t>
            </w:r>
          </w:p>
        </w:tc>
        <w:tc>
          <w:tcPr>
            <w:tcW w:w="8280" w:type="dxa"/>
            <w:gridSpan w:val="3"/>
            <w:tcBorders>
              <w:top w:val="single" w:color="auto" w:sz="4" w:space="0"/>
              <w:left w:val="single" w:color="auto" w:sz="4" w:space="0"/>
              <w:bottom w:val="single" w:color="auto" w:sz="4" w:space="0"/>
              <w:right w:val="single" w:color="auto" w:sz="12" w:space="0"/>
            </w:tcBorders>
            <w:shd w:val="clear" w:color="auto" w:fill="auto"/>
          </w:tcPr>
          <w:p>
            <w:pPr>
              <w:keepNext w:val="0"/>
              <w:keepLines w:val="0"/>
              <w:widowControl/>
              <w:suppressLineNumbers w:val="0"/>
              <w:spacing w:beforeAutospacing="0" w:line="360" w:lineRule="auto"/>
              <w:rPr>
                <w:rFonts w:hint="default"/>
                <w:shd w:val="clear" w:color="auto" w:fill="FFFFFF"/>
              </w:rPr>
            </w:pPr>
            <w:r>
              <w:rPr>
                <w:rFonts w:hint="eastAsia" w:ascii="宋体" w:hAnsi="宋体" w:cs="宋体"/>
                <w:color w:val="FF0000"/>
                <w:kern w:val="0"/>
                <w:szCs w:val="21"/>
              </w:rPr>
              <w:t>（描述主办部门抽查委外工作任务的时间、地点、内容及抽查结果）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551" w:type="dxa"/>
            <w:vMerge w:val="restart"/>
            <w:tcBorders>
              <w:top w:val="single" w:color="auto" w:sz="4" w:space="0"/>
              <w:left w:val="single" w:color="auto" w:sz="12" w:space="0"/>
              <w:right w:val="single" w:color="auto" w:sz="4"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b/>
                <w:szCs w:val="21"/>
              </w:rPr>
            </w:pPr>
            <w:r>
              <w:rPr>
                <w:rFonts w:hint="eastAsia" w:ascii="宋体" w:hAnsi="宋体" w:cs="宋体"/>
                <w:b/>
                <w:szCs w:val="21"/>
              </w:rPr>
              <w:t>验收意见</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b/>
                <w:szCs w:val="21"/>
              </w:rPr>
            </w:pPr>
            <w:r>
              <w:rPr>
                <w:rFonts w:hint="eastAsia" w:ascii="宋体" w:hAnsi="宋体" w:cs="宋体"/>
                <w:b/>
                <w:szCs w:val="21"/>
              </w:rPr>
              <w:t>承包商</w:t>
            </w:r>
          </w:p>
          <w:p>
            <w:pPr>
              <w:keepNext w:val="0"/>
              <w:keepLines w:val="0"/>
              <w:widowControl/>
              <w:suppressLineNumbers w:val="0"/>
              <w:spacing w:beforeAutospacing="0" w:line="360" w:lineRule="auto"/>
              <w:jc w:val="center"/>
              <w:rPr>
                <w:rFonts w:hint="default" w:ascii="宋体" w:hAnsi="宋体" w:cs="宋体"/>
                <w:b/>
                <w:szCs w:val="21"/>
              </w:rPr>
            </w:pPr>
            <w:r>
              <w:rPr>
                <w:rFonts w:hint="eastAsia" w:ascii="宋体" w:hAnsi="宋体" w:cs="宋体"/>
                <w:b/>
                <w:szCs w:val="21"/>
              </w:rPr>
              <w:t>自评意见</w:t>
            </w:r>
          </w:p>
        </w:tc>
        <w:tc>
          <w:tcPr>
            <w:tcW w:w="8280" w:type="dxa"/>
            <w:gridSpan w:val="3"/>
            <w:tcBorders>
              <w:top w:val="single" w:color="auto" w:sz="4" w:space="0"/>
              <w:left w:val="single" w:color="auto" w:sz="4" w:space="0"/>
              <w:bottom w:val="single" w:color="auto" w:sz="4" w:space="0"/>
              <w:right w:val="single" w:color="auto" w:sz="12" w:space="0"/>
            </w:tcBorders>
            <w:shd w:val="clear" w:color="auto" w:fill="auto"/>
            <w:vAlign w:val="bottom"/>
          </w:tcPr>
          <w:p>
            <w:pPr>
              <w:keepNext w:val="0"/>
              <w:keepLines w:val="0"/>
              <w:widowControl/>
              <w:suppressLineNumbers w:val="0"/>
              <w:spacing w:beforeAutospacing="0" w:line="360" w:lineRule="auto"/>
              <w:ind w:right="-108" w:firstLine="1470" w:firstLineChars="700"/>
              <w:rPr>
                <w:rFonts w:hint="default" w:ascii="宋体" w:hAnsi="宋体" w:cs="宋体"/>
                <w:szCs w:val="21"/>
              </w:rPr>
            </w:pPr>
          </w:p>
          <w:p>
            <w:pPr>
              <w:keepNext w:val="0"/>
              <w:keepLines w:val="0"/>
              <w:widowControl/>
              <w:suppressLineNumbers w:val="0"/>
              <w:spacing w:beforeAutospacing="0" w:line="360" w:lineRule="auto"/>
              <w:ind w:right="-108"/>
              <w:rPr>
                <w:rFonts w:hint="default" w:ascii="宋体" w:hAnsi="宋体" w:cs="宋体"/>
                <w:szCs w:val="21"/>
              </w:rPr>
            </w:pPr>
            <w:r>
              <w:rPr>
                <w:rFonts w:hint="eastAsia" w:ascii="宋体" w:hAnsi="宋体" w:cs="宋体"/>
                <w:color w:val="FF0000"/>
                <w:kern w:val="0"/>
                <w:szCs w:val="21"/>
              </w:rPr>
              <w:t>（意见、签名、日期）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3" w:hRule="atLeast"/>
          <w:jc w:val="center"/>
        </w:trPr>
        <w:tc>
          <w:tcPr>
            <w:tcW w:w="551" w:type="dxa"/>
            <w:vMerge w:val="continue"/>
            <w:tcBorders>
              <w:left w:val="single" w:color="auto" w:sz="12" w:space="0"/>
              <w:right w:val="single" w:color="auto" w:sz="4" w:space="0"/>
            </w:tcBorders>
            <w:shd w:val="clear" w:color="auto" w:fill="auto"/>
            <w:vAlign w:val="center"/>
          </w:tcPr>
          <w:p>
            <w:pPr>
              <w:keepNext w:val="0"/>
              <w:keepLines w:val="0"/>
              <w:widowControl/>
              <w:suppressLineNumbers w:val="0"/>
              <w:spacing w:beforeAutospacing="0" w:line="360" w:lineRule="auto"/>
              <w:jc w:val="center"/>
              <w:rPr>
                <w:rFonts w:hint="default" w:ascii="宋体" w:hAnsi="宋体" w:cs="宋体"/>
                <w:b/>
                <w:szCs w:val="21"/>
              </w:rPr>
            </w:pPr>
          </w:p>
        </w:tc>
        <w:tc>
          <w:tcPr>
            <w:tcW w:w="1789"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Autospacing="0"/>
              <w:jc w:val="center"/>
              <w:rPr>
                <w:rFonts w:hint="default" w:ascii="宋体" w:hAnsi="宋体" w:cs="宋体"/>
                <w:b/>
                <w:szCs w:val="21"/>
              </w:rPr>
            </w:pPr>
            <w:r>
              <w:rPr>
                <w:rFonts w:hint="eastAsia" w:ascii="宋体" w:hAnsi="宋体" w:cs="宋体"/>
                <w:b/>
                <w:szCs w:val="21"/>
              </w:rPr>
              <w:t>运营公司</w:t>
            </w:r>
          </w:p>
          <w:p>
            <w:pPr>
              <w:keepNext w:val="0"/>
              <w:keepLines w:val="0"/>
              <w:widowControl/>
              <w:suppressLineNumbers w:val="0"/>
              <w:spacing w:beforeAutospacing="0"/>
              <w:jc w:val="center"/>
              <w:rPr>
                <w:rFonts w:hint="default" w:ascii="宋体" w:hAnsi="宋体" w:cs="宋体"/>
                <w:b/>
                <w:szCs w:val="21"/>
              </w:rPr>
            </w:pPr>
            <w:r>
              <w:rPr>
                <w:rFonts w:hint="eastAsia" w:ascii="宋体" w:hAnsi="宋体" w:cs="宋体"/>
                <w:b/>
                <w:szCs w:val="21"/>
              </w:rPr>
              <w:t>主办部门</w:t>
            </w:r>
          </w:p>
          <w:p>
            <w:pPr>
              <w:keepNext w:val="0"/>
              <w:keepLines w:val="0"/>
              <w:widowControl/>
              <w:suppressLineNumbers w:val="0"/>
              <w:spacing w:beforeAutospacing="0"/>
              <w:jc w:val="center"/>
              <w:rPr>
                <w:rFonts w:hint="default" w:ascii="宋体" w:hAnsi="宋体" w:cs="宋体"/>
                <w:b/>
                <w:szCs w:val="21"/>
              </w:rPr>
            </w:pPr>
            <w:r>
              <w:rPr>
                <w:rFonts w:hint="eastAsia" w:ascii="宋体" w:hAnsi="宋体" w:cs="宋体"/>
                <w:b/>
                <w:szCs w:val="21"/>
              </w:rPr>
              <w:t>验收意见</w:t>
            </w:r>
          </w:p>
        </w:tc>
        <w:tc>
          <w:tcPr>
            <w:tcW w:w="8280" w:type="dxa"/>
            <w:gridSpan w:val="3"/>
            <w:tcBorders>
              <w:top w:val="single" w:color="auto" w:sz="4" w:space="0"/>
              <w:left w:val="single" w:color="auto" w:sz="4" w:space="0"/>
              <w:bottom w:val="single" w:color="auto" w:sz="12" w:space="0"/>
              <w:right w:val="single" w:color="auto" w:sz="12" w:space="0"/>
            </w:tcBorders>
            <w:shd w:val="clear" w:color="auto" w:fill="auto"/>
          </w:tcPr>
          <w:p>
            <w:pPr>
              <w:keepNext w:val="0"/>
              <w:keepLines w:val="0"/>
              <w:widowControl/>
              <w:suppressLineNumbers w:val="0"/>
              <w:spacing w:beforeAutospacing="0" w:line="360" w:lineRule="auto"/>
              <w:ind w:right="-108"/>
              <w:rPr>
                <w:rFonts w:hint="default" w:ascii="宋体" w:hAnsi="宋体" w:cs="宋体"/>
                <w:color w:val="FF0000"/>
                <w:kern w:val="0"/>
                <w:szCs w:val="21"/>
              </w:rPr>
            </w:pPr>
          </w:p>
          <w:p>
            <w:pPr>
              <w:keepNext w:val="0"/>
              <w:keepLines w:val="0"/>
              <w:widowControl/>
              <w:suppressLineNumbers w:val="0"/>
              <w:spacing w:beforeAutospacing="0" w:line="360" w:lineRule="auto"/>
              <w:ind w:right="-108"/>
              <w:rPr>
                <w:rFonts w:hint="default" w:ascii="宋体" w:hAnsi="宋体" w:cs="宋体"/>
                <w:color w:val="FF0000"/>
                <w:kern w:val="0"/>
                <w:szCs w:val="21"/>
              </w:rPr>
            </w:pPr>
          </w:p>
          <w:p>
            <w:pPr>
              <w:pStyle w:val="16"/>
              <w:keepNext w:val="0"/>
              <w:keepLines w:val="0"/>
              <w:widowControl/>
              <w:suppressLineNumbers w:val="0"/>
              <w:spacing w:beforeAutospacing="0"/>
              <w:rPr>
                <w:rFonts w:hint="default"/>
              </w:rPr>
            </w:pPr>
          </w:p>
          <w:p>
            <w:pPr>
              <w:pStyle w:val="16"/>
              <w:keepNext w:val="0"/>
              <w:keepLines w:val="0"/>
              <w:widowControl/>
              <w:suppressLineNumbers w:val="0"/>
              <w:spacing w:beforeAutospacing="0"/>
              <w:rPr>
                <w:rFonts w:hint="default"/>
              </w:rPr>
            </w:pPr>
          </w:p>
          <w:p>
            <w:pPr>
              <w:keepNext w:val="0"/>
              <w:keepLines w:val="0"/>
              <w:widowControl/>
              <w:suppressLineNumbers w:val="0"/>
              <w:spacing w:beforeAutospacing="0" w:line="360" w:lineRule="auto"/>
              <w:ind w:right="-108"/>
              <w:rPr>
                <w:rFonts w:hint="default" w:ascii="宋体" w:hAnsi="宋体" w:cs="宋体"/>
                <w:kern w:val="0"/>
                <w:szCs w:val="21"/>
              </w:rPr>
            </w:pPr>
            <w:r>
              <w:rPr>
                <w:rFonts w:hint="eastAsia" w:ascii="宋体" w:hAnsi="宋体" w:cs="宋体"/>
                <w:color w:val="FF0000"/>
                <w:kern w:val="0"/>
                <w:szCs w:val="21"/>
              </w:rPr>
              <w:t>（意见、签名、日期）</w:t>
            </w:r>
          </w:p>
        </w:tc>
      </w:tr>
    </w:tbl>
    <w:p>
      <w:pPr>
        <w:spacing w:line="320" w:lineRule="exact"/>
        <w:ind w:left="11" w:leftChars="-295" w:right="-409" w:rightChars="-195" w:hanging="630" w:hangingChars="300"/>
        <w:rPr>
          <w:rFonts w:ascii="宋体" w:hAnsi="宋体" w:cs="宋体"/>
          <w:szCs w:val="21"/>
        </w:rPr>
      </w:pPr>
      <w:r>
        <w:rPr>
          <w:rFonts w:hint="eastAsia" w:ascii="宋体" w:hAnsi="宋体" w:cs="宋体"/>
          <w:szCs w:val="21"/>
        </w:rPr>
        <w:t>说明：1.</w:t>
      </w:r>
      <w:r>
        <w:rPr>
          <w:rFonts w:hint="eastAsia" w:ascii="宋体" w:hAnsi="宋体"/>
          <w:szCs w:val="21"/>
        </w:rPr>
        <w:t>本表单适用于运营分公司委外项目工作任务</w:t>
      </w:r>
      <w:r>
        <w:rPr>
          <w:rFonts w:hint="eastAsia" w:hAnsi="宋体"/>
          <w:szCs w:val="21"/>
        </w:rPr>
        <w:t>的</w:t>
      </w:r>
      <w:r>
        <w:rPr>
          <w:rFonts w:hint="eastAsia" w:ascii="宋体" w:hAnsi="宋体"/>
          <w:szCs w:val="21"/>
        </w:rPr>
        <w:t>验收；</w:t>
      </w:r>
    </w:p>
    <w:p>
      <w:pPr>
        <w:spacing w:line="320" w:lineRule="exact"/>
        <w:ind w:right="-388" w:rightChars="-185"/>
        <w:rPr>
          <w:rFonts w:ascii="宋体" w:hAnsi="宋体" w:cs="宋体"/>
          <w:szCs w:val="21"/>
        </w:rPr>
      </w:pPr>
      <w:r>
        <w:rPr>
          <w:rFonts w:hint="eastAsia" w:ascii="宋体" w:hAnsi="宋体" w:cs="宋体"/>
          <w:szCs w:val="21"/>
        </w:rPr>
        <w:t>2.</w:t>
      </w:r>
      <w:r>
        <w:rPr>
          <w:rFonts w:hint="eastAsia" w:ascii="宋体" w:hAnsi="宋体"/>
          <w:szCs w:val="21"/>
        </w:rPr>
        <w:t>本表单须由</w:t>
      </w:r>
      <w:r>
        <w:rPr>
          <w:rFonts w:hint="eastAsia" w:ascii="宋体" w:hAnsi="宋体" w:cs="宋体"/>
          <w:szCs w:val="21"/>
        </w:rPr>
        <w:t>运营分公司</w:t>
      </w:r>
      <w:r>
        <w:rPr>
          <w:rFonts w:hint="eastAsia" w:ascii="宋体" w:hAnsi="宋体"/>
          <w:szCs w:val="21"/>
        </w:rPr>
        <w:t>主办部门核实委外项目工作任务的质、量、进度后出具验收意见，</w:t>
      </w:r>
      <w:r>
        <w:rPr>
          <w:rFonts w:hint="eastAsia" w:ascii="宋体" w:hAnsi="宋体"/>
          <w:color w:val="000000" w:themeColor="text1"/>
          <w14:textFill>
            <w14:solidFill>
              <w14:schemeClr w14:val="tx1"/>
            </w14:solidFill>
          </w14:textFill>
        </w:rPr>
        <w:t>抽查比例不低于本任务周期（本次、本批次）已完成工作量的20%</w:t>
      </w:r>
      <w:r>
        <w:rPr>
          <w:rFonts w:hint="eastAsia" w:ascii="宋体" w:hAnsi="宋体"/>
          <w:szCs w:val="21"/>
        </w:rPr>
        <w:t>；</w:t>
      </w:r>
    </w:p>
    <w:p>
      <w:pPr>
        <w:spacing w:line="320" w:lineRule="exact"/>
        <w:ind w:left="719" w:leftChars="5" w:right="-409" w:rightChars="-195"/>
      </w:pPr>
      <w:r>
        <w:rPr>
          <w:rFonts w:hint="eastAsia" w:ascii="宋体" w:hAnsi="宋体" w:cs="宋体"/>
          <w:szCs w:val="21"/>
        </w:rPr>
        <w:t>3.本表单一式两份，运营分公司主办部门和承包商各持一份，</w:t>
      </w:r>
      <w:r>
        <w:rPr>
          <w:rFonts w:hint="eastAsia" w:ascii="宋体" w:hAnsi="宋体"/>
          <w:szCs w:val="21"/>
        </w:rPr>
        <w:t>作为支付、结算的凭证。</w:t>
      </w:r>
    </w:p>
    <w:p>
      <w:pPr>
        <w:ind w:left="0" w:leftChars="0" w:firstLine="0" w:firstLineChars="0"/>
        <w:rPr>
          <w:rStyle w:val="46"/>
          <w:rFonts w:cs="Times New Roman" w:asciiTheme="minorEastAsia" w:hAnsiTheme="minorEastAsia" w:eastAsiaTheme="minorEastAsia"/>
          <w:color w:val="auto"/>
          <w:sz w:val="21"/>
          <w:szCs w:val="21"/>
          <w:highlight w:val="none"/>
        </w:rPr>
      </w:pPr>
      <w:r>
        <w:rPr>
          <w:rStyle w:val="46"/>
          <w:rFonts w:cs="Times New Roman" w:asciiTheme="minorEastAsia" w:hAnsiTheme="minorEastAsia" w:eastAsiaTheme="minorEastAsia"/>
          <w:color w:val="auto"/>
          <w:sz w:val="21"/>
          <w:szCs w:val="21"/>
          <w:highlight w:val="none"/>
        </w:rPr>
        <w:br w:type="page"/>
      </w:r>
    </w:p>
    <w:p>
      <w:pPr>
        <w:pStyle w:val="32"/>
        <w:ind w:left="0" w:leftChars="0" w:firstLine="0" w:firstLineChars="0"/>
        <w:rPr>
          <w:rStyle w:val="46"/>
          <w:rFonts w:hint="eastAsia" w:cs="Times New Roman" w:asciiTheme="minorEastAsia" w:hAnsiTheme="minorEastAsia" w:eastAsiaTheme="minorEastAsia"/>
          <w:color w:val="auto"/>
          <w:sz w:val="21"/>
          <w:szCs w:val="21"/>
          <w:highlight w:val="none"/>
          <w:lang w:eastAsia="zh-CN"/>
        </w:rPr>
      </w:pPr>
      <w:r>
        <w:rPr>
          <w:rStyle w:val="46"/>
          <w:rFonts w:hint="eastAsia" w:asciiTheme="minorEastAsia" w:hAnsiTheme="minorEastAsia" w:eastAsiaTheme="minorEastAsia"/>
          <w:color w:val="auto"/>
          <w:sz w:val="21"/>
          <w:szCs w:val="21"/>
          <w:highlight w:val="none"/>
        </w:rPr>
        <w:t>附件</w:t>
      </w:r>
      <w:r>
        <w:rPr>
          <w:rStyle w:val="46"/>
          <w:rFonts w:hint="eastAsia" w:asciiTheme="minorEastAsia" w:hAnsiTheme="minorEastAsia" w:eastAsiaTheme="minorEastAsia"/>
          <w:color w:val="auto"/>
          <w:sz w:val="21"/>
          <w:szCs w:val="21"/>
          <w:highlight w:val="none"/>
          <w:lang w:val="en-US" w:eastAsia="zh-CN"/>
        </w:rPr>
        <w:t>6</w:t>
      </w:r>
      <w:r>
        <w:rPr>
          <w:rStyle w:val="46"/>
          <w:rFonts w:hint="eastAsia" w:asciiTheme="minorEastAsia" w:hAnsiTheme="minorEastAsia" w:eastAsiaTheme="minorEastAsia"/>
          <w:color w:val="auto"/>
          <w:sz w:val="21"/>
          <w:szCs w:val="21"/>
          <w:highlight w:val="none"/>
        </w:rPr>
        <w:t>：</w:t>
      </w:r>
      <w:r>
        <w:rPr>
          <w:rStyle w:val="46"/>
          <w:rFonts w:hint="eastAsia" w:cs="Times New Roman" w:asciiTheme="minorEastAsia" w:hAnsiTheme="minorEastAsia" w:eastAsiaTheme="minorEastAsia"/>
          <w:color w:val="auto"/>
          <w:sz w:val="21"/>
          <w:szCs w:val="21"/>
          <w:highlight w:val="none"/>
          <w:lang w:val="en-US" w:eastAsia="zh-CN"/>
        </w:rPr>
        <w:t>各分项控制价</w:t>
      </w:r>
    </w:p>
    <w:tbl>
      <w:tblPr>
        <w:tblStyle w:val="33"/>
        <w:tblW w:w="11216" w:type="dxa"/>
        <w:tblInd w:w="-9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6"/>
        <w:gridCol w:w="2019"/>
        <w:gridCol w:w="2250"/>
        <w:gridCol w:w="2377"/>
        <w:gridCol w:w="565"/>
        <w:gridCol w:w="600"/>
        <w:gridCol w:w="1316"/>
        <w:gridCol w:w="1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566" w:type="dxa"/>
            <w:tcBorders>
              <w:top w:val="single" w:color="000000" w:sz="4" w:space="0"/>
              <w:left w:val="single" w:color="000000" w:sz="4" w:space="0"/>
              <w:bottom w:val="nil"/>
              <w:right w:val="single" w:color="000000" w:sz="4" w:space="0"/>
            </w:tcBorders>
            <w:shd w:val="clear" w:color="auto" w:fill="FFC000"/>
            <w:noWrap/>
            <w:vAlign w:val="center"/>
          </w:tcPr>
          <w:p>
            <w:pPr>
              <w:keepNext w:val="0"/>
              <w:keepLines w:val="0"/>
              <w:widowControl/>
              <w:suppressLineNumbers w:val="0"/>
              <w:spacing w:beforeAutospacing="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2019" w:type="dxa"/>
            <w:tcBorders>
              <w:top w:val="single" w:color="000000" w:sz="4" w:space="0"/>
              <w:left w:val="single" w:color="000000" w:sz="4" w:space="0"/>
              <w:bottom w:val="nil"/>
              <w:right w:val="single" w:color="000000" w:sz="4" w:space="0"/>
            </w:tcBorders>
            <w:shd w:val="clear" w:color="auto" w:fill="FFC000"/>
            <w:noWrap/>
            <w:vAlign w:val="center"/>
          </w:tcPr>
          <w:p>
            <w:pPr>
              <w:keepNext w:val="0"/>
              <w:keepLines w:val="0"/>
              <w:widowControl/>
              <w:suppressLineNumbers w:val="0"/>
              <w:spacing w:beforeAutospacing="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板卡或服务名称</w:t>
            </w:r>
          </w:p>
        </w:tc>
        <w:tc>
          <w:tcPr>
            <w:tcW w:w="2250" w:type="dxa"/>
            <w:tcBorders>
              <w:top w:val="single" w:color="000000" w:sz="4" w:space="0"/>
              <w:left w:val="single" w:color="000000" w:sz="4" w:space="0"/>
              <w:bottom w:val="nil"/>
              <w:right w:val="single" w:color="000000" w:sz="4" w:space="0"/>
            </w:tcBorders>
            <w:shd w:val="clear" w:color="auto" w:fill="FFC000"/>
            <w:vAlign w:val="center"/>
          </w:tcPr>
          <w:p>
            <w:pPr>
              <w:keepNext w:val="0"/>
              <w:keepLines w:val="0"/>
              <w:widowControl/>
              <w:suppressLineNumbers w:val="0"/>
              <w:spacing w:beforeAutospacing="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型号</w:t>
            </w:r>
          </w:p>
        </w:tc>
        <w:tc>
          <w:tcPr>
            <w:tcW w:w="2377" w:type="dxa"/>
            <w:tcBorders>
              <w:top w:val="single" w:color="000000" w:sz="4" w:space="0"/>
              <w:left w:val="single" w:color="000000" w:sz="4" w:space="0"/>
              <w:bottom w:val="nil"/>
              <w:right w:val="single" w:color="000000" w:sz="4" w:space="0"/>
            </w:tcBorders>
            <w:shd w:val="clear" w:color="auto" w:fill="FFC000"/>
            <w:vAlign w:val="center"/>
          </w:tcPr>
          <w:p>
            <w:pPr>
              <w:keepNext w:val="0"/>
              <w:keepLines w:val="0"/>
              <w:widowControl/>
              <w:suppressLineNumbers w:val="0"/>
              <w:spacing w:beforeAutospacing="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所属设备</w:t>
            </w:r>
          </w:p>
        </w:tc>
        <w:tc>
          <w:tcPr>
            <w:tcW w:w="565" w:type="dxa"/>
            <w:tcBorders>
              <w:top w:val="single" w:color="000000" w:sz="4" w:space="0"/>
              <w:left w:val="single" w:color="000000" w:sz="4" w:space="0"/>
              <w:bottom w:val="nil"/>
              <w:right w:val="single" w:color="000000" w:sz="4" w:space="0"/>
            </w:tcBorders>
            <w:shd w:val="clear" w:color="auto" w:fill="FFC000"/>
            <w:vAlign w:val="center"/>
          </w:tcPr>
          <w:p>
            <w:pPr>
              <w:keepNext w:val="0"/>
              <w:keepLines w:val="0"/>
              <w:widowControl/>
              <w:suppressLineNumbers w:val="0"/>
              <w:spacing w:beforeAutospacing="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600" w:type="dxa"/>
            <w:tcBorders>
              <w:top w:val="single" w:color="000000" w:sz="4" w:space="0"/>
              <w:left w:val="single" w:color="000000" w:sz="4" w:space="0"/>
              <w:bottom w:val="nil"/>
              <w:right w:val="single" w:color="000000" w:sz="4" w:space="0"/>
            </w:tcBorders>
            <w:shd w:val="clear" w:color="auto" w:fill="FFC000"/>
            <w:vAlign w:val="center"/>
          </w:tcPr>
          <w:p>
            <w:pPr>
              <w:keepNext w:val="0"/>
              <w:keepLines w:val="0"/>
              <w:widowControl/>
              <w:suppressLineNumbers w:val="0"/>
              <w:spacing w:beforeAutospacing="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316" w:type="dxa"/>
            <w:tcBorders>
              <w:top w:val="single" w:color="000000" w:sz="4" w:space="0"/>
              <w:left w:val="single" w:color="000000" w:sz="4" w:space="0"/>
              <w:bottom w:val="nil"/>
              <w:right w:val="single" w:color="000000" w:sz="4" w:space="0"/>
            </w:tcBorders>
            <w:shd w:val="clear" w:color="auto" w:fill="FFC000"/>
            <w:vAlign w:val="center"/>
          </w:tcPr>
          <w:p>
            <w:pPr>
              <w:keepNext w:val="0"/>
              <w:keepLines w:val="0"/>
              <w:widowControl/>
              <w:suppressLineNumbers w:val="0"/>
              <w:spacing w:beforeAutospacing="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不含税单价（元）</w:t>
            </w:r>
          </w:p>
        </w:tc>
        <w:tc>
          <w:tcPr>
            <w:tcW w:w="1523" w:type="dxa"/>
            <w:tcBorders>
              <w:top w:val="single" w:color="000000" w:sz="4" w:space="0"/>
              <w:left w:val="single" w:color="000000" w:sz="4" w:space="0"/>
              <w:bottom w:val="nil"/>
              <w:right w:val="single" w:color="000000" w:sz="4" w:space="0"/>
            </w:tcBorders>
            <w:shd w:val="clear" w:color="auto" w:fill="FFC000"/>
            <w:vAlign w:val="center"/>
          </w:tcPr>
          <w:p>
            <w:pPr>
              <w:keepNext w:val="0"/>
              <w:keepLines w:val="0"/>
              <w:widowControl/>
              <w:suppressLineNumbers w:val="0"/>
              <w:spacing w:beforeAutospacing="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不含税合价（元）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1</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ind w:left="0" w:firstLine="0"/>
              <w:jc w:val="both"/>
              <w:textAlignment w:val="center"/>
              <w:rPr>
                <w:rFonts w:hint="default" w:ascii="Tahoma" w:hAnsi="Tahoma" w:eastAsia="Tahoma" w:cs="Tahoma"/>
                <w:i w:val="0"/>
                <w:iCs w:val="0"/>
                <w:color w:val="000000"/>
                <w:sz w:val="16"/>
                <w:szCs w:val="16"/>
                <w:u w:val="none"/>
              </w:rPr>
            </w:pPr>
            <w:r>
              <w:rPr>
                <w:rStyle w:val="71"/>
                <w:lang w:val="en-US" w:eastAsia="zh-CN" w:bidi="ar"/>
              </w:rPr>
              <w:t>24</w:t>
            </w:r>
            <w:r>
              <w:rPr>
                <w:rFonts w:hint="eastAsia" w:ascii="宋体" w:hAnsi="宋体" w:eastAsia="宋体" w:cs="宋体"/>
                <w:i w:val="0"/>
                <w:iCs w:val="0"/>
                <w:color w:val="000000"/>
                <w:kern w:val="0"/>
                <w:sz w:val="16"/>
                <w:szCs w:val="16"/>
                <w:u w:val="none"/>
                <w:lang w:val="en-US" w:eastAsia="zh-CN" w:bidi="ar"/>
              </w:rPr>
              <w:t>端口万兆</w:t>
            </w:r>
            <w:r>
              <w:rPr>
                <w:rStyle w:val="71"/>
                <w:lang w:val="en-US" w:eastAsia="zh-CN" w:bidi="ar"/>
              </w:rPr>
              <w:t>SFP+</w:t>
            </w:r>
            <w:r>
              <w:rPr>
                <w:rFonts w:hint="eastAsia" w:ascii="宋体" w:hAnsi="宋体" w:eastAsia="宋体" w:cs="宋体"/>
                <w:i w:val="0"/>
                <w:iCs w:val="0"/>
                <w:color w:val="000000"/>
                <w:kern w:val="0"/>
                <w:sz w:val="16"/>
                <w:szCs w:val="16"/>
                <w:u w:val="none"/>
                <w:lang w:val="en-US" w:eastAsia="zh-CN" w:bidi="ar"/>
              </w:rPr>
              <w:t>光接口以太网业务板</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LSXM1TGS24FX1</w:t>
            </w:r>
          </w:p>
        </w:tc>
        <w:tc>
          <w:tcPr>
            <w:tcW w:w="2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Style w:val="71"/>
                <w:lang w:val="en-US" w:eastAsia="zh-CN" w:bidi="ar"/>
              </w:rPr>
              <w:t xml:space="preserve">H3C S12508X-AF  </w:t>
            </w:r>
            <w:r>
              <w:rPr>
                <w:rFonts w:hint="eastAsia" w:ascii="宋体" w:hAnsi="宋体" w:eastAsia="宋体" w:cs="宋体"/>
                <w:i w:val="0"/>
                <w:iCs w:val="0"/>
                <w:color w:val="000000"/>
                <w:kern w:val="0"/>
                <w:sz w:val="16"/>
                <w:szCs w:val="16"/>
                <w:u w:val="none"/>
                <w:lang w:val="en-US" w:eastAsia="zh-CN" w:bidi="ar"/>
              </w:rPr>
              <w:t>路由交换机</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102212.39 </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204424.78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2</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both"/>
              <w:textAlignment w:val="center"/>
              <w:rPr>
                <w:rFonts w:hint="default" w:ascii="Tahoma" w:hAnsi="Tahoma" w:eastAsia="Tahoma" w:cs="Tahoma"/>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电源模块</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 xml:space="preserve">PSR2400-54A </w:t>
            </w:r>
          </w:p>
        </w:tc>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rPr>
                <w:rFonts w:hint="default" w:ascii="Tahoma" w:hAnsi="Tahoma" w:eastAsia="Tahoma" w:cs="Tahoma"/>
                <w:i w:val="0"/>
                <w:iCs w:val="0"/>
                <w:color w:val="000000"/>
                <w:sz w:val="16"/>
                <w:szCs w:val="16"/>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5309.73 </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10619.46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7"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3</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ind w:left="0" w:firstLine="0"/>
              <w:jc w:val="both"/>
              <w:textAlignment w:val="center"/>
              <w:rPr>
                <w:rFonts w:hint="default" w:ascii="Tahoma" w:hAnsi="Tahoma" w:eastAsia="Tahoma" w:cs="Tahoma"/>
                <w:i w:val="0"/>
                <w:iCs w:val="0"/>
                <w:color w:val="000000"/>
                <w:sz w:val="16"/>
                <w:szCs w:val="16"/>
                <w:u w:val="none"/>
              </w:rPr>
            </w:pPr>
            <w:r>
              <w:rPr>
                <w:rStyle w:val="71"/>
                <w:lang w:val="en-US" w:eastAsia="zh-CN" w:bidi="ar"/>
              </w:rPr>
              <w:t>24</w:t>
            </w:r>
            <w:r>
              <w:rPr>
                <w:rFonts w:hint="eastAsia" w:ascii="宋体" w:hAnsi="宋体" w:eastAsia="宋体" w:cs="宋体"/>
                <w:i w:val="0"/>
                <w:iCs w:val="0"/>
                <w:color w:val="000000"/>
                <w:kern w:val="0"/>
                <w:sz w:val="16"/>
                <w:szCs w:val="16"/>
                <w:u w:val="none"/>
                <w:lang w:val="en-US" w:eastAsia="zh-CN" w:bidi="ar"/>
              </w:rPr>
              <w:t>端口万兆以太网光接口</w:t>
            </w:r>
            <w:r>
              <w:rPr>
                <w:rStyle w:val="71"/>
                <w:lang w:val="en-US" w:eastAsia="zh-CN" w:bidi="ar"/>
              </w:rPr>
              <w:t>(SFP+,LC)(FD)</w:t>
            </w:r>
            <w:r>
              <w:rPr>
                <w:rFonts w:hint="eastAsia" w:ascii="宋体" w:hAnsi="宋体" w:eastAsia="宋体" w:cs="宋体"/>
                <w:i w:val="0"/>
                <w:iCs w:val="0"/>
                <w:color w:val="000000"/>
                <w:kern w:val="0"/>
                <w:sz w:val="16"/>
                <w:szCs w:val="16"/>
                <w:u w:val="none"/>
                <w:lang w:val="en-US" w:eastAsia="zh-CN" w:bidi="ar"/>
              </w:rPr>
              <w:t>以太网业务板</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 xml:space="preserve">LSUM1TGS24FD0  </w:t>
            </w:r>
          </w:p>
        </w:tc>
        <w:tc>
          <w:tcPr>
            <w:tcW w:w="2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both"/>
              <w:textAlignment w:val="center"/>
              <w:rPr>
                <w:rFonts w:hint="default" w:ascii="Tahoma" w:hAnsi="Tahoma" w:eastAsia="Tahoma" w:cs="Tahoma"/>
                <w:i w:val="0"/>
                <w:iCs w:val="0"/>
                <w:color w:val="000000"/>
                <w:sz w:val="16"/>
                <w:szCs w:val="16"/>
                <w:u w:val="none"/>
              </w:rPr>
            </w:pPr>
            <w:r>
              <w:rPr>
                <w:rStyle w:val="71"/>
                <w:lang w:val="en-US" w:eastAsia="zh-CN" w:bidi="ar"/>
              </w:rPr>
              <w:t>H3C S10506</w:t>
            </w:r>
            <w:r>
              <w:rPr>
                <w:rFonts w:hint="eastAsia" w:ascii="宋体" w:hAnsi="宋体" w:eastAsia="宋体" w:cs="宋体"/>
                <w:i w:val="0"/>
                <w:iCs w:val="0"/>
                <w:color w:val="000000"/>
                <w:kern w:val="0"/>
                <w:sz w:val="16"/>
                <w:szCs w:val="16"/>
                <w:u w:val="none"/>
                <w:lang w:val="en-US" w:eastAsia="zh-CN" w:bidi="ar"/>
              </w:rPr>
              <w:t>以太网交换机</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54181.42 </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54181.42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4</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ind w:left="0" w:firstLine="0"/>
              <w:jc w:val="both"/>
              <w:textAlignment w:val="center"/>
              <w:rPr>
                <w:rFonts w:hint="default" w:ascii="Tahoma" w:hAnsi="Tahoma" w:eastAsia="Tahoma" w:cs="Tahoma"/>
                <w:i w:val="0"/>
                <w:iCs w:val="0"/>
                <w:color w:val="000000"/>
                <w:sz w:val="16"/>
                <w:szCs w:val="16"/>
                <w:u w:val="none"/>
              </w:rPr>
            </w:pPr>
            <w:r>
              <w:rPr>
                <w:rStyle w:val="71"/>
                <w:lang w:val="en-US" w:eastAsia="zh-CN" w:bidi="ar"/>
              </w:rPr>
              <w:t>10/100/1000BASE-T-RJ45</w:t>
            </w:r>
            <w:r>
              <w:rPr>
                <w:rFonts w:hint="eastAsia" w:ascii="宋体" w:hAnsi="宋体" w:eastAsia="宋体" w:cs="宋体"/>
                <w:i w:val="0"/>
                <w:iCs w:val="0"/>
                <w:color w:val="000000"/>
                <w:kern w:val="0"/>
                <w:sz w:val="16"/>
                <w:szCs w:val="16"/>
                <w:u w:val="none"/>
                <w:lang w:val="en-US" w:eastAsia="zh-CN" w:bidi="ar"/>
              </w:rPr>
              <w:t>电接口以太网业务板</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 xml:space="preserve">LSUM2GT48SE0 </w:t>
            </w:r>
          </w:p>
        </w:tc>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rPr>
                <w:rFonts w:hint="default" w:ascii="Tahoma" w:hAnsi="Tahoma" w:eastAsia="Tahoma" w:cs="Tahoma"/>
                <w:i w:val="0"/>
                <w:iCs w:val="0"/>
                <w:color w:val="000000"/>
                <w:sz w:val="16"/>
                <w:szCs w:val="16"/>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40376.11 </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40376.11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5</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ind w:left="0" w:firstLine="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交流电源模块</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LSUM1AC1200-1200W</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ind w:left="0" w:firstLine="0"/>
              <w:jc w:val="both"/>
              <w:textAlignment w:val="center"/>
              <w:rPr>
                <w:rFonts w:hint="default" w:ascii="Tahoma" w:hAnsi="Tahoma" w:eastAsia="Tahoma" w:cs="Tahoma"/>
                <w:i w:val="0"/>
                <w:iCs w:val="0"/>
                <w:color w:val="000000"/>
                <w:sz w:val="16"/>
                <w:szCs w:val="16"/>
                <w:u w:val="none"/>
              </w:rPr>
            </w:pPr>
            <w:r>
              <w:rPr>
                <w:rStyle w:val="71"/>
                <w:lang w:val="en-US" w:eastAsia="zh-CN" w:bidi="ar"/>
              </w:rPr>
              <w:t xml:space="preserve">H3C S10508   </w:t>
            </w:r>
            <w:r>
              <w:rPr>
                <w:rFonts w:hint="eastAsia" w:ascii="宋体" w:hAnsi="宋体" w:eastAsia="宋体" w:cs="宋体"/>
                <w:i w:val="0"/>
                <w:iCs w:val="0"/>
                <w:color w:val="000000"/>
                <w:kern w:val="0"/>
                <w:sz w:val="16"/>
                <w:szCs w:val="16"/>
                <w:u w:val="none"/>
                <w:lang w:val="en-US" w:eastAsia="zh-CN" w:bidi="ar"/>
              </w:rPr>
              <w:t>以太网交换机</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5132.74 </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10265.48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6</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ind w:left="0" w:firstLine="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48端口千兆SFP接口以太网业务板</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ET1D2G48SX1E</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华为 </w:t>
            </w:r>
            <w:r>
              <w:rPr>
                <w:rStyle w:val="71"/>
                <w:lang w:val="en-US" w:eastAsia="zh-CN" w:bidi="ar"/>
              </w:rPr>
              <w:t>S12708</w:t>
            </w:r>
            <w:r>
              <w:rPr>
                <w:rStyle w:val="71"/>
                <w:rFonts w:hint="eastAsia"/>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以太网交换机</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36504.42 </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36504.42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7</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ind w:left="0" w:firstLine="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16端口万兆光接口以太网业务板</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 xml:space="preserve">h1xf16a </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中兴</w:t>
            </w:r>
            <w:r>
              <w:rPr>
                <w:rStyle w:val="71"/>
                <w:lang w:val="en-US" w:eastAsia="zh-CN" w:bidi="ar"/>
              </w:rPr>
              <w:t xml:space="preserve"> 8908E</w:t>
            </w:r>
            <w:r>
              <w:rPr>
                <w:rStyle w:val="71"/>
                <w:rFonts w:hint="eastAsia"/>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以太网交换机</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default" w:ascii="Tahoma" w:hAnsi="Tahoma" w:eastAsia="Tahoma" w:cs="Tahoma"/>
                <w:i w:val="0"/>
                <w:iCs w:val="0"/>
                <w:color w:val="000000"/>
                <w:sz w:val="16"/>
                <w:szCs w:val="16"/>
                <w:u w:val="none"/>
              </w:rPr>
            </w:pPr>
            <w:r>
              <w:rPr>
                <w:rFonts w:hint="default" w:ascii="Tahoma" w:hAnsi="Tahoma" w:eastAsia="Tahoma" w:cs="Tahoma"/>
                <w:i w:val="0"/>
                <w:iCs w:val="0"/>
                <w:color w:val="000000"/>
                <w:kern w:val="0"/>
                <w:sz w:val="16"/>
                <w:szCs w:val="16"/>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38495.58 </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38495.58 </w:t>
            </w:r>
          </w:p>
        </w:tc>
      </w:tr>
    </w:tbl>
    <w:p>
      <w:pPr>
        <w:ind w:left="0" w:leftChars="0" w:firstLine="0" w:firstLineChars="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br w:type="page"/>
      </w:r>
    </w:p>
    <w:p>
      <w:pPr>
        <w:ind w:left="0" w:leftChars="0" w:firstLine="0" w:firstLineChars="0"/>
        <w:jc w:val="center"/>
        <w:rPr>
          <w:rStyle w:val="35"/>
          <w:rFonts w:hint="eastAsia" w:ascii="宋体" w:hAnsi="宋体" w:eastAsia="宋体" w:cs="Times New Roman"/>
          <w:color w:val="auto"/>
          <w:sz w:val="24"/>
          <w:szCs w:val="24"/>
          <w:highlight w:val="none"/>
        </w:rPr>
      </w:pPr>
      <w:r>
        <w:rPr>
          <w:rFonts w:hint="eastAsia" w:ascii="宋体" w:hAnsi="宋体"/>
          <w:b/>
          <w:color w:val="auto"/>
          <w:sz w:val="24"/>
          <w:szCs w:val="24"/>
          <w:highlight w:val="none"/>
          <w:lang w:val="en-US" w:eastAsia="zh-CN"/>
        </w:rPr>
        <w:t>七</w:t>
      </w:r>
      <w:r>
        <w:rPr>
          <w:rFonts w:hint="eastAsia" w:ascii="宋体" w:hAnsi="宋体"/>
          <w:b/>
          <w:color w:val="auto"/>
          <w:sz w:val="24"/>
          <w:szCs w:val="24"/>
          <w:highlight w:val="none"/>
        </w:rPr>
        <w:t>、</w:t>
      </w:r>
      <w:r>
        <w:rPr>
          <w:rFonts w:hint="eastAsia" w:ascii="宋体" w:hAnsi="宋体" w:eastAsia="宋体" w:cs="Times New Roman"/>
          <w:b/>
          <w:color w:val="auto"/>
          <w:sz w:val="24"/>
          <w:szCs w:val="24"/>
          <w:highlight w:val="none"/>
        </w:rPr>
        <w:t>比选文件（含比选补遗文件） （另册）</w:t>
      </w:r>
    </w:p>
    <w:p>
      <w:pPr>
        <w:rPr>
          <w:rStyle w:val="46"/>
          <w:rFonts w:hint="eastAsia" w:cs="Times New Roman" w:asciiTheme="minorEastAsia" w:hAnsiTheme="minorEastAsia" w:eastAsiaTheme="minorEastAsia"/>
          <w:color w:val="auto"/>
          <w:sz w:val="21"/>
          <w:szCs w:val="21"/>
          <w:highlight w:val="none"/>
        </w:rPr>
      </w:pPr>
      <w:r>
        <w:rPr>
          <w:rStyle w:val="46"/>
          <w:rFonts w:hint="eastAsia" w:cs="Times New Roman" w:asciiTheme="minorEastAsia" w:hAnsiTheme="minorEastAsia" w:eastAsiaTheme="minorEastAsia"/>
          <w:color w:val="auto"/>
          <w:sz w:val="21"/>
          <w:szCs w:val="21"/>
          <w:highlight w:val="none"/>
        </w:rPr>
        <w:br w:type="page"/>
      </w:r>
    </w:p>
    <w:p>
      <w:pPr>
        <w:pStyle w:val="32"/>
        <w:ind w:left="0" w:leftChars="0" w:firstLine="0" w:firstLineChars="0"/>
        <w:jc w:val="center"/>
        <w:rPr>
          <w:rFonts w:hint="eastAsia" w:ascii="宋体" w:hAnsi="宋体" w:eastAsia="宋体" w:cs="Times New Roman"/>
          <w:b/>
          <w:color w:val="auto"/>
          <w:sz w:val="24"/>
          <w:szCs w:val="24"/>
          <w:highlight w:val="none"/>
        </w:rPr>
      </w:pPr>
      <w:r>
        <w:rPr>
          <w:rFonts w:hint="eastAsia" w:ascii="宋体" w:hAnsi="宋体" w:cs="Times New Roman"/>
          <w:b/>
          <w:color w:val="auto"/>
          <w:sz w:val="24"/>
          <w:szCs w:val="24"/>
          <w:highlight w:val="none"/>
          <w:lang w:val="en-US" w:eastAsia="zh-CN"/>
        </w:rPr>
        <w:t>八</w:t>
      </w:r>
      <w:r>
        <w:rPr>
          <w:rFonts w:hint="eastAsia" w:ascii="宋体" w:hAnsi="宋体" w:cs="Times New Roman"/>
          <w:b/>
          <w:color w:val="auto"/>
          <w:sz w:val="24"/>
          <w:szCs w:val="24"/>
          <w:highlight w:val="none"/>
        </w:rPr>
        <w:t>、</w:t>
      </w:r>
      <w:r>
        <w:rPr>
          <w:rFonts w:hint="eastAsia" w:ascii="宋体" w:hAnsi="宋体" w:eastAsia="宋体" w:cs="Times New Roman"/>
          <w:b/>
          <w:color w:val="auto"/>
          <w:sz w:val="24"/>
          <w:szCs w:val="24"/>
          <w:highlight w:val="none"/>
        </w:rPr>
        <w:t>比选申请文件（含比选申请文件的补充文件） （另册）</w:t>
      </w:r>
    </w:p>
    <w:p>
      <w:pPr>
        <w:pStyle w:val="32"/>
        <w:ind w:left="0" w:leftChars="0" w:firstLine="0" w:firstLineChars="0"/>
        <w:rPr>
          <w:rStyle w:val="46"/>
          <w:rFonts w:hint="eastAsia" w:cs="Times New Roman" w:asciiTheme="minorEastAsia" w:hAnsiTheme="minorEastAsia" w:eastAsiaTheme="minorEastAsia"/>
          <w:color w:val="auto"/>
          <w:sz w:val="21"/>
          <w:szCs w:val="21"/>
          <w:highlight w:val="none"/>
        </w:rPr>
      </w:pPr>
    </w:p>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Pr>
        <w:pStyle w:val="16"/>
        <w:pageBreakBefore/>
        <w:ind w:right="-57" w:firstLine="0"/>
        <w:jc w:val="center"/>
        <w:outlineLvl w:val="0"/>
        <w:rPr>
          <w:rStyle w:val="46"/>
          <w:rFonts w:ascii="宋体" w:hAnsi="宋体" w:eastAsia="宋体"/>
          <w:color w:val="auto"/>
          <w:highlight w:val="none"/>
        </w:rPr>
      </w:pPr>
      <w:bookmarkStart w:id="1786" w:name="_Toc11320"/>
      <w:bookmarkStart w:id="1787" w:name="_Toc18201"/>
      <w:bookmarkStart w:id="1788" w:name="_Toc31873"/>
      <w:bookmarkStart w:id="1789" w:name="_Toc21515"/>
      <w:bookmarkStart w:id="1790" w:name="_Toc31574"/>
      <w:bookmarkStart w:id="1791" w:name="_Toc17396"/>
      <w:bookmarkStart w:id="1792" w:name="_Toc28677"/>
      <w:bookmarkStart w:id="1793" w:name="_Toc32011"/>
      <w:bookmarkStart w:id="1794" w:name="_Toc23108"/>
      <w:bookmarkStart w:id="1795" w:name="_Toc28285"/>
      <w:bookmarkStart w:id="1796" w:name="_Toc6151"/>
      <w:bookmarkStart w:id="1797" w:name="_Toc9222"/>
      <w:bookmarkStart w:id="1798" w:name="_Toc11930"/>
      <w:bookmarkStart w:id="1799" w:name="_Toc28192"/>
      <w:bookmarkStart w:id="1800" w:name="_Toc19508"/>
      <w:bookmarkStart w:id="1801" w:name="_Toc30920"/>
      <w:bookmarkStart w:id="1802" w:name="_Toc27263"/>
      <w:bookmarkStart w:id="1803" w:name="_Toc13167"/>
      <w:bookmarkStart w:id="1804" w:name="_Toc4374"/>
      <w:bookmarkStart w:id="1805" w:name="_Toc31485"/>
      <w:bookmarkStart w:id="1806" w:name="_Toc25306"/>
      <w:bookmarkStart w:id="1807" w:name="_Toc29546"/>
      <w:bookmarkStart w:id="1808" w:name="_Toc10582"/>
      <w:bookmarkStart w:id="1809" w:name="_Toc21689"/>
      <w:bookmarkStart w:id="1810" w:name="_Toc17261"/>
      <w:bookmarkStart w:id="1811" w:name="_Toc14790"/>
      <w:r>
        <w:rPr>
          <w:rStyle w:val="46"/>
          <w:rFonts w:hint="eastAsia" w:ascii="宋体" w:hAnsi="宋体" w:eastAsia="宋体"/>
          <w:color w:val="auto"/>
          <w:highlight w:val="none"/>
        </w:rPr>
        <w:t>第四章比选申请文件格式</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4"/>
        <w:spacing w:after="100"/>
        <w:ind w:right="-57" w:firstLine="0"/>
        <w:jc w:val="center"/>
        <w:rPr>
          <w:color w:val="auto"/>
          <w:sz w:val="24"/>
          <w:szCs w:val="24"/>
          <w:highlight w:val="none"/>
        </w:rPr>
      </w:pPr>
      <w:bookmarkStart w:id="1812" w:name="_Toc26986"/>
      <w:bookmarkStart w:id="1813" w:name="_Toc20200"/>
      <w:bookmarkStart w:id="1814" w:name="_Toc20847"/>
      <w:bookmarkStart w:id="1815" w:name="_Toc18818"/>
      <w:bookmarkStart w:id="1816" w:name="_Toc30797"/>
      <w:bookmarkStart w:id="1817" w:name="_Toc28817"/>
      <w:bookmarkStart w:id="1818" w:name="_Toc18257"/>
      <w:bookmarkStart w:id="1819" w:name="_Toc361"/>
      <w:bookmarkStart w:id="1820" w:name="_Toc19412"/>
      <w:bookmarkStart w:id="1821" w:name="_Toc32185"/>
      <w:bookmarkStart w:id="1822" w:name="_Toc3396"/>
      <w:bookmarkStart w:id="1823" w:name="_Toc23261"/>
      <w:bookmarkStart w:id="1824" w:name="_Toc21274"/>
      <w:bookmarkStart w:id="1825" w:name="_Toc30705"/>
      <w:bookmarkStart w:id="1826" w:name="_Toc25325"/>
      <w:bookmarkStart w:id="1827" w:name="_Toc12983549"/>
      <w:bookmarkStart w:id="1828" w:name="_Toc22709"/>
      <w:bookmarkStart w:id="1829" w:name="_Toc492478802"/>
      <w:bookmarkStart w:id="1830" w:name="_Toc16671"/>
      <w:bookmarkStart w:id="1831" w:name="_Toc24824"/>
      <w:bookmarkStart w:id="1832" w:name="_Toc4873"/>
      <w:bookmarkStart w:id="1833" w:name="_Toc31624"/>
      <w:bookmarkStart w:id="1834" w:name="_Toc31535"/>
      <w:bookmarkStart w:id="1835" w:name="_Toc24453"/>
      <w:bookmarkStart w:id="1836" w:name="_Toc4027"/>
      <w:bookmarkStart w:id="1837" w:name="_Toc12984805"/>
      <w:bookmarkStart w:id="1838" w:name="_Toc6941"/>
      <w:bookmarkStart w:id="1839" w:name="_Toc414290520"/>
      <w:r>
        <w:rPr>
          <w:color w:val="auto"/>
          <w:sz w:val="24"/>
          <w:szCs w:val="24"/>
          <w:highlight w:val="none"/>
        </w:rPr>
        <w:t>A 资格审查</w:t>
      </w:r>
      <w:r>
        <w:rPr>
          <w:rFonts w:hint="eastAsia"/>
          <w:color w:val="auto"/>
          <w:sz w:val="24"/>
          <w:szCs w:val="24"/>
          <w:highlight w:val="none"/>
        </w:rPr>
        <w:t>文件</w:t>
      </w:r>
      <w:bookmarkEnd w:id="1812"/>
      <w:bookmarkEnd w:id="1813"/>
      <w:bookmarkEnd w:id="1814"/>
      <w:bookmarkEnd w:id="1815"/>
      <w:bookmarkEnd w:id="1816"/>
      <w:bookmarkEnd w:id="1817"/>
      <w:bookmarkEnd w:id="1818"/>
    </w:p>
    <w:p>
      <w:pPr>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资格审查文件格式</w:t>
      </w:r>
    </w:p>
    <w:p>
      <w:pPr>
        <w:tabs>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（2）比选申请人有效的营业执照副本复印件；</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（3）承诺书（格式见A3）；</w:t>
      </w:r>
    </w:p>
    <w:p>
      <w:pPr>
        <w:shd w:val="clear" w:color="auto" w:fill="auto"/>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4</w:t>
      </w:r>
      <w:r>
        <w:rPr>
          <w:rFonts w:hint="eastAsia" w:ascii="宋体" w:hAnsi="宋体" w:cs="宋体"/>
          <w:color w:val="auto"/>
          <w:highlight w:val="none"/>
          <w:lang w:eastAsia="zh-CN"/>
        </w:rPr>
        <w:t>）</w:t>
      </w:r>
      <w:r>
        <w:rPr>
          <w:rFonts w:hint="eastAsia" w:ascii="宋体" w:hAnsi="宋体" w:cs="宋体"/>
          <w:color w:val="auto"/>
          <w:highlight w:val="none"/>
        </w:rPr>
        <w:t>类似项目业绩表</w:t>
      </w:r>
      <w:r>
        <w:rPr>
          <w:rFonts w:hint="eastAsia" w:ascii="宋体" w:hAnsi="宋体" w:eastAsia="宋体" w:cs="宋体"/>
          <w:color w:val="auto"/>
          <w:highlight w:val="none"/>
        </w:rPr>
        <w:t>（格式见A</w:t>
      </w:r>
      <w:r>
        <w:rPr>
          <w:rFonts w:hint="eastAsia" w:ascii="宋体" w:hAnsi="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cs="宋体"/>
          <w:color w:val="auto"/>
          <w:highlight w:val="none"/>
          <w:lang w:eastAsia="zh-CN"/>
        </w:rPr>
        <w:t>；</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5</w:t>
      </w:r>
      <w:r>
        <w:rPr>
          <w:rFonts w:hint="eastAsia" w:ascii="宋体" w:hAnsi="宋体" w:eastAsia="宋体" w:cs="宋体"/>
          <w:color w:val="auto"/>
          <w:highlight w:val="none"/>
        </w:rPr>
        <w:t>）比选申请人认为应提交的其他比选申请资料（如有）。</w:t>
      </w:r>
    </w:p>
    <w:p>
      <w:pPr>
        <w:spacing w:before="0" w:after="0" w:afterAutospacing="0"/>
        <w:ind w:left="0" w:right="0" w:firstLine="420" w:firstLineChars="200"/>
        <w:rPr>
          <w:rFonts w:hint="eastAsia" w:ascii="宋体" w:hAnsi="宋体" w:eastAsia="宋体" w:cs="宋体"/>
          <w:color w:val="auto"/>
          <w:highlight w:val="none"/>
        </w:rPr>
      </w:pP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注：以上提供的复印件必须加盖比选申请人公章。</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spacing w:before="0" w:after="0" w:afterAutospacing="0"/>
        <w:ind w:left="0" w:right="0" w:firstLine="420" w:firstLineChars="200"/>
        <w:rPr>
          <w:rFonts w:hint="eastAsia" w:ascii="宋体" w:hAnsi="宋体" w:eastAsia="宋体" w:cs="宋体"/>
          <w:color w:val="auto"/>
          <w:highlight w:val="none"/>
        </w:rPr>
        <w:sectPr>
          <w:footerReference r:id="rId9" w:type="default"/>
          <w:pgSz w:w="11905" w:h="16838"/>
          <w:pgMar w:top="1417" w:right="1417" w:bottom="1417" w:left="1417" w:header="454" w:footer="567" w:gutter="0"/>
          <w:pgNumType w:fmt="decimal"/>
          <w:cols w:space="720" w:num="1"/>
          <w:docGrid w:linePitch="312" w:charSpace="0"/>
        </w:sectPr>
      </w:pPr>
    </w:p>
    <w:p>
      <w:pPr>
        <w:numPr>
          <w:ilvl w:val="1"/>
          <w:numId w:val="14"/>
        </w:numPr>
        <w:snapToGrid w:val="0"/>
        <w:spacing w:before="0" w:line="240" w:lineRule="auto"/>
        <w:ind w:right="0" w:firstLine="0"/>
        <w:jc w:val="left"/>
        <w:outlineLvl w:val="0"/>
        <w:rPr>
          <w:rFonts w:ascii="宋体" w:hAnsi="宋体"/>
          <w:b/>
          <w:color w:val="auto"/>
          <w:highlight w:val="none"/>
        </w:rPr>
      </w:pPr>
      <w:bookmarkStart w:id="1840" w:name="_Toc10238"/>
      <w:bookmarkStart w:id="1841" w:name="_Toc414290522"/>
      <w:bookmarkStart w:id="1842" w:name="_Toc7057"/>
      <w:bookmarkStart w:id="1843" w:name="_Toc7201"/>
      <w:bookmarkStart w:id="1844" w:name="_Toc15696"/>
      <w:bookmarkStart w:id="1845" w:name="_Toc16089"/>
      <w:bookmarkStart w:id="1846" w:name="_Toc32455"/>
      <w:bookmarkStart w:id="1847" w:name="_Toc20283"/>
      <w:bookmarkStart w:id="1848" w:name="_Toc4125"/>
      <w:bookmarkStart w:id="1849" w:name="_Toc956"/>
      <w:bookmarkStart w:id="1850" w:name="_Toc20671"/>
      <w:bookmarkStart w:id="1851" w:name="_Toc22533"/>
      <w:bookmarkStart w:id="1852" w:name="_Toc10789"/>
      <w:bookmarkStart w:id="1853" w:name="_Toc8868"/>
      <w:bookmarkStart w:id="1854" w:name="_Toc492478804"/>
      <w:bookmarkStart w:id="1855" w:name="_Toc25750675"/>
      <w:bookmarkStart w:id="1856" w:name="_Toc12984807"/>
      <w:bookmarkStart w:id="1857" w:name="_Toc3499"/>
      <w:bookmarkStart w:id="1858" w:name="_Toc10433"/>
      <w:bookmarkStart w:id="1859" w:name="_Toc375564351"/>
      <w:bookmarkStart w:id="1860" w:name="_Toc20029"/>
      <w:bookmarkStart w:id="1861" w:name="_Toc9658"/>
      <w:bookmarkStart w:id="1862" w:name="_Toc24436"/>
      <w:bookmarkStart w:id="1863" w:name="_Toc13389"/>
      <w:r>
        <w:rPr>
          <w:rFonts w:hint="eastAsia" w:ascii="宋体" w:hAnsi="宋体"/>
          <w:b/>
          <w:color w:val="auto"/>
          <w:highlight w:val="none"/>
        </w:rPr>
        <w:t xml:space="preserve"> </w:t>
      </w:r>
      <w:bookmarkStart w:id="1864" w:name="_Toc19028"/>
      <w:bookmarkStart w:id="1865" w:name="_Toc12101"/>
      <w:bookmarkStart w:id="1866" w:name="_Toc20721"/>
      <w:bookmarkStart w:id="1867" w:name="_Toc14173"/>
      <w:bookmarkStart w:id="1868" w:name="_Toc25836"/>
      <w:r>
        <w:rPr>
          <w:rFonts w:ascii="宋体" w:hAnsi="宋体"/>
          <w:b/>
          <w:color w:val="auto"/>
          <w:highlight w:val="none"/>
        </w:rPr>
        <w:t>法定代表人授权书格式</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w:t>
      </w:r>
      <w:r>
        <w:rPr>
          <w:rFonts w:hint="eastAsia" w:ascii="宋体" w:hAnsi="宋体"/>
          <w:color w:val="auto"/>
          <w:highlight w:val="none"/>
        </w:rPr>
        <w:t>202311030002</w:t>
      </w:r>
      <w:r>
        <w:rPr>
          <w:rFonts w:ascii="宋体" w:hAnsi="宋体"/>
          <w:color w:val="auto"/>
          <w:highlight w:val="none"/>
        </w:rPr>
        <w:t>的</w:t>
      </w:r>
      <w:r>
        <w:rPr>
          <w:rFonts w:hint="eastAsia" w:ascii="宋体" w:hAnsi="宋体"/>
          <w:color w:val="auto"/>
          <w:highlight w:val="none"/>
          <w:lang w:eastAsia="zh-CN"/>
        </w:rPr>
        <w:t>南宁轨道交通1-5号线办公网交换机设备委外维保维修服务采购项目（2023年-2024年）</w:t>
      </w:r>
      <w:r>
        <w:rPr>
          <w:rFonts w:ascii="宋体" w:hAnsi="宋体"/>
          <w:color w:val="auto"/>
          <w:highlight w:val="none"/>
        </w:rPr>
        <w:t>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 xml:space="preserve"> XXXX   </w:t>
      </w:r>
      <w:r>
        <w:rPr>
          <w:rFonts w:ascii="宋体" w:hAnsi="宋体"/>
          <w:color w:val="auto"/>
          <w:highlight w:val="none"/>
        </w:rPr>
        <w:t>年</w:t>
      </w:r>
      <w:r>
        <w:rPr>
          <w:rFonts w:hint="eastAsia" w:ascii="宋体" w:hAnsi="宋体"/>
          <w:color w:val="auto"/>
          <w:highlight w:val="none"/>
          <w:u w:val="single"/>
        </w:rPr>
        <w:t xml:space="preserve"> XX  </w:t>
      </w:r>
      <w:r>
        <w:rPr>
          <w:rFonts w:ascii="宋体" w:hAnsi="宋体"/>
          <w:color w:val="auto"/>
          <w:highlight w:val="none"/>
        </w:rPr>
        <w:t>月</w:t>
      </w:r>
      <w:r>
        <w:rPr>
          <w:rFonts w:hint="eastAsia" w:ascii="宋体" w:hAnsi="宋体"/>
          <w:color w:val="auto"/>
          <w:highlight w:val="none"/>
          <w:u w:val="single"/>
        </w:rPr>
        <w:t xml:space="preserve"> XX  </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hint="eastAsia" w:ascii="宋体" w:hAnsi="宋体"/>
          <w:b/>
          <w:color w:val="auto"/>
          <w:highlight w:val="none"/>
        </w:rPr>
      </w:pPr>
      <w:r>
        <w:rPr>
          <w:rFonts w:hint="eastAsia" w:ascii="宋体" w:hAnsi="宋体"/>
          <w:b/>
          <w:color w:val="auto"/>
          <w:highlight w:val="none"/>
        </w:rPr>
        <w:t>附：授权代理人身份证复印件</w:t>
      </w:r>
    </w:p>
    <w:p>
      <w:pPr>
        <w:spacing w:before="0"/>
        <w:ind w:right="0" w:firstLine="0"/>
        <w:rPr>
          <w:rFonts w:hint="eastAsia" w:ascii="宋体" w:hAnsi="宋体"/>
          <w:b/>
          <w:color w:val="auto"/>
          <w:highlight w:val="none"/>
        </w:rPr>
      </w:pPr>
      <w:r>
        <w:rPr>
          <w:rFonts w:hint="eastAsia" w:ascii="宋体" w:hAnsi="宋体"/>
          <w:b/>
          <w:color w:val="auto"/>
          <w:highlight w:val="none"/>
        </w:rPr>
        <w:br w:type="page"/>
      </w:r>
    </w:p>
    <w:p>
      <w:pPr>
        <w:numPr>
          <w:ilvl w:val="1"/>
          <w:numId w:val="14"/>
        </w:numPr>
        <w:snapToGrid w:val="0"/>
        <w:spacing w:before="0" w:line="240" w:lineRule="auto"/>
        <w:ind w:right="0" w:firstLine="0"/>
        <w:jc w:val="left"/>
        <w:outlineLvl w:val="0"/>
        <w:rPr>
          <w:rFonts w:ascii="宋体" w:hAnsi="宋体"/>
          <w:b/>
          <w:color w:val="auto"/>
          <w:highlight w:val="none"/>
        </w:rPr>
      </w:pPr>
      <w:bookmarkStart w:id="1869" w:name="_Toc26713"/>
      <w:bookmarkStart w:id="1870" w:name="_Toc13798"/>
      <w:bookmarkStart w:id="1871" w:name="_Toc17964"/>
      <w:bookmarkStart w:id="1872" w:name="_Toc9583"/>
      <w:bookmarkStart w:id="1873" w:name="_Toc9757"/>
      <w:bookmarkStart w:id="1874" w:name="_Toc27722"/>
      <w:bookmarkStart w:id="1875" w:name="_Toc492478805"/>
      <w:bookmarkStart w:id="1876" w:name="_Toc19744"/>
      <w:bookmarkStart w:id="1877" w:name="_Toc8654"/>
      <w:bookmarkStart w:id="1878" w:name="_Toc24322"/>
      <w:bookmarkStart w:id="1879" w:name="_Toc6700"/>
      <w:bookmarkStart w:id="1880" w:name="_Toc7273"/>
      <w:bookmarkStart w:id="1881" w:name="_Toc25750676"/>
      <w:bookmarkStart w:id="1882" w:name="_Toc15980"/>
      <w:bookmarkStart w:id="1883" w:name="_Toc12984808"/>
      <w:bookmarkStart w:id="1884" w:name="_Toc13634"/>
      <w:bookmarkStart w:id="1885" w:name="_Toc20436"/>
      <w:bookmarkStart w:id="1886" w:name="_Toc414290523"/>
      <w:bookmarkStart w:id="1887" w:name="_Toc27657"/>
      <w:bookmarkStart w:id="1888" w:name="_Toc31808"/>
      <w:bookmarkStart w:id="1889" w:name="_Toc13606"/>
      <w:bookmarkStart w:id="1890" w:name="_Toc375564352"/>
      <w:bookmarkStart w:id="1891" w:name="_Toc15572"/>
      <w:bookmarkStart w:id="1892" w:name="_Toc7753"/>
      <w:r>
        <w:rPr>
          <w:rFonts w:hint="eastAsia" w:ascii="宋体" w:hAnsi="宋体"/>
          <w:b/>
          <w:color w:val="auto"/>
          <w:highlight w:val="none"/>
        </w:rPr>
        <w:t xml:space="preserve"> </w:t>
      </w:r>
      <w:bookmarkStart w:id="1893" w:name="_Toc21599"/>
      <w:bookmarkStart w:id="1894" w:name="_Toc15655"/>
      <w:bookmarkStart w:id="1895" w:name="_Toc14222"/>
      <w:bookmarkStart w:id="1896" w:name="_Toc7493"/>
      <w:bookmarkStart w:id="1897" w:name="_Toc995"/>
      <w:r>
        <w:rPr>
          <w:rFonts w:ascii="宋体" w:hAnsi="宋体"/>
          <w:b/>
          <w:color w:val="auto"/>
          <w:highlight w:val="none"/>
        </w:rPr>
        <w:t>法定代表人资格证明书格式</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姓名：性别：年龄：职务：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p>
    <w:p>
      <w:pPr>
        <w:ind w:right="0" w:firstLine="200"/>
        <w:rPr>
          <w:rFonts w:ascii="宋体" w:hAnsi="宋体"/>
          <w:color w:val="auto"/>
          <w:highlight w:val="none"/>
        </w:rPr>
      </w:pPr>
      <w:r>
        <w:rPr>
          <w:rFonts w:ascii="宋体" w:hAnsi="宋体"/>
          <w:color w:val="auto"/>
          <w:highlight w:val="none"/>
        </w:rPr>
        <w:t>日期：年月日</w:t>
      </w:r>
    </w:p>
    <w:p>
      <w:pPr>
        <w:rPr>
          <w:rFonts w:hint="eastAsia" w:ascii="宋体" w:hAnsi="宋体"/>
          <w:b/>
          <w:color w:val="auto"/>
          <w:highlight w:val="none"/>
        </w:rPr>
      </w:pPr>
      <w:bookmarkStart w:id="1898"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rPr>
          <w:rFonts w:hint="eastAsia" w:ascii="宋体" w:hAnsi="宋体"/>
          <w:b/>
          <w:color w:val="auto"/>
          <w:highlight w:val="none"/>
        </w:rPr>
      </w:pPr>
      <w:r>
        <w:rPr>
          <w:rFonts w:hint="eastAsia" w:ascii="宋体" w:hAnsi="宋体"/>
          <w:b/>
          <w:color w:val="auto"/>
          <w:highlight w:val="none"/>
        </w:rPr>
        <w:br w:type="page"/>
      </w:r>
    </w:p>
    <w:p>
      <w:pPr>
        <w:pageBreakBefore/>
        <w:snapToGrid w:val="0"/>
        <w:ind w:right="0" w:firstLine="0"/>
        <w:jc w:val="left"/>
        <w:outlineLvl w:val="0"/>
        <w:rPr>
          <w:rFonts w:ascii="宋体" w:hAnsi="宋体"/>
          <w:b/>
          <w:color w:val="auto"/>
          <w:highlight w:val="none"/>
        </w:rPr>
      </w:pPr>
      <w:bookmarkStart w:id="1899" w:name="_Toc30953"/>
      <w:bookmarkStart w:id="1900" w:name="_Toc32062"/>
      <w:bookmarkStart w:id="1901" w:name="_Toc21307"/>
      <w:bookmarkStart w:id="1902" w:name="_Toc19721"/>
      <w:bookmarkStart w:id="1903" w:name="_Toc6033"/>
      <w:bookmarkStart w:id="1904" w:name="_Toc25816"/>
      <w:bookmarkStart w:id="1905" w:name="_Toc414290524"/>
      <w:bookmarkStart w:id="1906" w:name="_Toc26907"/>
      <w:bookmarkStart w:id="1907" w:name="_Toc29246"/>
      <w:bookmarkStart w:id="1908" w:name="_Toc24848"/>
      <w:bookmarkStart w:id="1909" w:name="_Toc375564353"/>
      <w:bookmarkStart w:id="1910" w:name="_Toc25750677"/>
      <w:bookmarkStart w:id="1911" w:name="_Toc3426"/>
      <w:bookmarkStart w:id="1912" w:name="_Toc31448"/>
      <w:bookmarkStart w:id="1913" w:name="_Toc15609"/>
      <w:bookmarkStart w:id="1914" w:name="_Toc4894"/>
      <w:bookmarkStart w:id="1915" w:name="_Toc17745"/>
      <w:bookmarkStart w:id="1916" w:name="_Toc10105"/>
      <w:bookmarkStart w:id="1917" w:name="_Toc1932"/>
      <w:bookmarkStart w:id="1918" w:name="_Toc492478806"/>
      <w:bookmarkStart w:id="1919" w:name="_Toc11425"/>
      <w:bookmarkStart w:id="1920" w:name="_Toc7712"/>
      <w:bookmarkStart w:id="1921" w:name="_Toc15394"/>
      <w:bookmarkStart w:id="1922" w:name="_Toc25780"/>
      <w:bookmarkStart w:id="1923" w:name="_Toc16467"/>
      <w:bookmarkStart w:id="1924" w:name="_Toc26097"/>
      <w:bookmarkStart w:id="1925" w:name="_Toc31792"/>
      <w:bookmarkStart w:id="1926" w:name="_Toc32201"/>
      <w:r>
        <w:rPr>
          <w:rFonts w:hint="eastAsia" w:ascii="宋体" w:hAnsi="宋体"/>
          <w:b/>
          <w:color w:val="auto"/>
          <w:highlight w:val="none"/>
        </w:rPr>
        <w:t xml:space="preserve">A3 </w:t>
      </w:r>
      <w:r>
        <w:rPr>
          <w:rFonts w:ascii="宋体" w:hAnsi="宋体"/>
          <w:b/>
          <w:color w:val="auto"/>
          <w:highlight w:val="none"/>
        </w:rPr>
        <w:t>承诺书格式</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致：南宁轨道交通运营有限公司</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1、在认真研读</w:t>
      </w:r>
      <w:r>
        <w:rPr>
          <w:rFonts w:hint="eastAsia" w:ascii="宋体" w:hAnsi="宋体" w:eastAsia="宋体" w:cs="宋体"/>
          <w:color w:val="auto"/>
          <w:highlight w:val="none"/>
          <w:lang w:eastAsia="zh-CN"/>
        </w:rPr>
        <w:t>南宁轨道交通1-5号线办公网交换机设备委外维保维修服务采购项目（2023年-2024年）</w:t>
      </w:r>
      <w:r>
        <w:rPr>
          <w:rFonts w:hint="eastAsia" w:ascii="宋体" w:hAnsi="宋体" w:eastAsia="宋体" w:cs="宋体"/>
          <w:color w:val="auto"/>
          <w:highlight w:val="none"/>
        </w:rPr>
        <w:t>比选文件后，我方经慎重考虑，郑重承诺参加</w:t>
      </w:r>
      <w:r>
        <w:rPr>
          <w:rFonts w:hint="eastAsia" w:ascii="宋体" w:hAnsi="宋体" w:eastAsia="宋体" w:cs="宋体"/>
          <w:color w:val="auto"/>
          <w:highlight w:val="none"/>
          <w:lang w:eastAsia="zh-CN"/>
        </w:rPr>
        <w:t>南宁轨道交通1-5号线办公网交换机设备委外维保维修服务采购项目（2023年-2024年）</w:t>
      </w:r>
      <w:r>
        <w:rPr>
          <w:rFonts w:hint="eastAsia" w:ascii="宋体" w:hAnsi="宋体" w:eastAsia="宋体" w:cs="宋体"/>
          <w:color w:val="auto"/>
          <w:highlight w:val="none"/>
        </w:rPr>
        <w:t>的比选申请活动。</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2、我方按照贵方比选文件要求的内容与格式，已编制完成比选申请文件，现报上。</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我方承诺：在评审过程中，贵方可调查、审核我方提交的与本比选申请文件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4、我方郑重承诺：</w:t>
      </w:r>
      <w:r>
        <w:rPr>
          <w:rFonts w:hint="eastAsia" w:ascii="宋体" w:hAnsi="宋体" w:eastAsia="宋体" w:cs="宋体"/>
          <w:b/>
          <w:bCs/>
          <w:color w:val="auto"/>
          <w:highlight w:val="none"/>
        </w:rPr>
        <w:t>我方保证没有处于被</w:t>
      </w:r>
      <w:r>
        <w:rPr>
          <w:rFonts w:hint="eastAsia" w:ascii="宋体" w:hAnsi="宋体" w:eastAsia="宋体" w:cs="宋体"/>
          <w:color w:val="auto"/>
          <w:sz w:val="21"/>
          <w:szCs w:val="21"/>
          <w:highlight w:val="none"/>
        </w:rPr>
        <w:t>责令停业，或投标资格被住建部、国家安监总局、广西区或南宁市建设行政主管部门取消，或财产被接管、破产状态；在投标截止前3年内没有骗取中标、严重违约或重大安全质量事故。</w:t>
      </w:r>
    </w:p>
    <w:p>
      <w:pPr>
        <w:spacing w:before="0" w:after="0" w:afterAutospacing="0"/>
        <w:ind w:left="0" w:right="0" w:firstLine="422" w:firstLineChars="200"/>
        <w:jc w:val="left"/>
        <w:rPr>
          <w:rFonts w:hint="eastAsia" w:ascii="宋体" w:hAnsi="宋体" w:eastAsia="宋体" w:cs="宋体"/>
          <w:color w:val="auto"/>
          <w:highlight w:val="none"/>
        </w:rPr>
      </w:pPr>
      <w:r>
        <w:rPr>
          <w:rFonts w:hint="eastAsia" w:ascii="宋体" w:hAnsi="宋体" w:eastAsia="宋体" w:cs="宋体"/>
          <w:b/>
          <w:color w:val="auto"/>
          <w:highlight w:val="none"/>
        </w:rPr>
        <w:t>5、</w:t>
      </w:r>
      <w:r>
        <w:rPr>
          <w:rFonts w:hint="eastAsia" w:ascii="宋体" w:hAnsi="宋体" w:eastAsia="宋体" w:cs="宋体"/>
          <w:color w:val="auto"/>
          <w:highlight w:val="none"/>
        </w:rPr>
        <w:t>如果我公司在该项目报名、比选申请过程中或者在中选后，比选人或者有管辖权的行政监管机构发现并查实我公司在所填报的该项目比选申请文件中存在提供虚假或不真实的信息或者伪造数据、资料或证书等情况，视为我公司违约，我公司愿意接受比选人或有管辖权的监管机构的处罚；由此造成的任何后果和损失均由我公司承担。本段承诺既是我公司比选申请文件的有效组成内容，也是我公司真实意思的表示，对我公司在与该项目有关的任何行为中始终具有优先的法律约束力。</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6、我方了解：无论是否中选，我方将自行承担与招比选申请活动所需的一切费用。</w:t>
      </w:r>
    </w:p>
    <w:p>
      <w:pPr>
        <w:spacing w:before="0" w:after="0" w:afterAutospacing="0"/>
        <w:ind w:left="0" w:right="0" w:firstLine="420" w:firstLineChars="200"/>
        <w:rPr>
          <w:rFonts w:hint="eastAsia" w:ascii="宋体" w:hAnsi="宋体" w:eastAsia="宋体" w:cs="宋体"/>
          <w:b/>
          <w:color w:val="auto"/>
          <w:highlight w:val="none"/>
        </w:rPr>
      </w:pPr>
      <w:r>
        <w:rPr>
          <w:rFonts w:hint="eastAsia" w:ascii="宋体" w:hAnsi="宋体" w:eastAsia="宋体" w:cs="宋体"/>
          <w:color w:val="auto"/>
          <w:highlight w:val="none"/>
        </w:rPr>
        <w:t>7、我方保证本次比选申请的维保服务拥有合法的原厂授权，在签订合同前提供H3C厂家针对本项目的授权函。并保证比选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我方声明，我们所填报的资料是完全真实和准确的，并愿为此承担任何相关的法律责任。</w:t>
      </w:r>
    </w:p>
    <w:p>
      <w:pPr>
        <w:spacing w:before="0" w:after="0" w:afterAutospacing="0" w:line="480" w:lineRule="auto"/>
        <w:ind w:left="0" w:right="0" w:firstLine="200"/>
        <w:rPr>
          <w:rFonts w:hint="eastAsia" w:ascii="宋体" w:hAnsi="宋体" w:eastAsia="宋体" w:cs="宋体"/>
          <w:color w:val="auto"/>
          <w:highlight w:val="none"/>
          <w:u w:val="single"/>
        </w:rPr>
      </w:pPr>
      <w:r>
        <w:rPr>
          <w:rFonts w:hint="eastAsia" w:ascii="宋体" w:hAnsi="宋体" w:eastAsia="宋体" w:cs="宋体"/>
          <w:color w:val="auto"/>
          <w:highlight w:val="none"/>
        </w:rPr>
        <w:t>比选申请人地址：</w:t>
      </w:r>
    </w:p>
    <w:p>
      <w:pPr>
        <w:spacing w:before="0" w:after="0" w:afterAutospacing="0" w:line="480" w:lineRule="auto"/>
        <w:ind w:left="0" w:right="0" w:firstLine="200"/>
        <w:rPr>
          <w:rFonts w:hint="eastAsia" w:ascii="宋体" w:hAnsi="宋体" w:eastAsia="宋体" w:cs="宋体"/>
          <w:color w:val="auto"/>
          <w:highlight w:val="none"/>
        </w:rPr>
      </w:pPr>
      <w:r>
        <w:rPr>
          <w:rFonts w:hint="eastAsia" w:ascii="宋体" w:hAnsi="宋体" w:eastAsia="宋体" w:cs="宋体"/>
          <w:color w:val="auto"/>
          <w:highlight w:val="none"/>
        </w:rPr>
        <w:t>比选申请人</w:t>
      </w:r>
      <w:r>
        <w:rPr>
          <w:rFonts w:hint="eastAsia" w:ascii="宋体" w:hAnsi="宋体" w:eastAsia="宋体" w:cs="宋体"/>
          <w:color w:val="auto"/>
          <w:highlight w:val="none"/>
          <w:u w:val="single"/>
        </w:rPr>
        <w:t xml:space="preserve">    (盖单位公章)</w:t>
      </w:r>
    </w:p>
    <w:p>
      <w:pPr>
        <w:spacing w:before="0" w:after="0" w:afterAutospacing="0" w:line="480" w:lineRule="auto"/>
        <w:ind w:left="0" w:right="0" w:firstLine="200"/>
        <w:rPr>
          <w:rFonts w:hint="eastAsia" w:ascii="宋体" w:hAnsi="宋体" w:eastAsia="宋体" w:cs="宋体"/>
          <w:color w:val="auto"/>
          <w:highlight w:val="none"/>
          <w:u w:val="single"/>
        </w:rPr>
      </w:pPr>
      <w:r>
        <w:rPr>
          <w:rFonts w:hint="eastAsia" w:ascii="宋体" w:hAnsi="宋体" w:eastAsia="宋体" w:cs="宋体"/>
          <w:color w:val="auto"/>
          <w:highlight w:val="none"/>
        </w:rPr>
        <w:t>邮政编码：</w:t>
      </w:r>
    </w:p>
    <w:p>
      <w:pPr>
        <w:spacing w:before="0" w:after="0" w:afterAutospacing="0" w:line="480" w:lineRule="auto"/>
        <w:ind w:left="0" w:right="0" w:firstLine="200"/>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法定代表人（或委托代理人）：</w:t>
      </w:r>
      <w:r>
        <w:rPr>
          <w:rFonts w:hint="eastAsia" w:ascii="宋体" w:hAnsi="宋体" w:eastAsia="宋体" w:cs="宋体"/>
          <w:color w:val="auto"/>
          <w:highlight w:val="none"/>
          <w:u w:val="single"/>
        </w:rPr>
        <w:t>(签字或盖章)</w:t>
      </w:r>
    </w:p>
    <w:p>
      <w:pPr>
        <w:spacing w:before="0" w:after="0" w:afterAutospacing="0" w:line="480" w:lineRule="auto"/>
        <w:ind w:left="0" w:right="0" w:firstLine="200"/>
        <w:rPr>
          <w:rFonts w:hint="eastAsia" w:ascii="宋体" w:hAnsi="宋体" w:eastAsia="宋体" w:cs="宋体"/>
          <w:color w:val="auto"/>
          <w:highlight w:val="none"/>
          <w:u w:val="single"/>
        </w:rPr>
      </w:pPr>
      <w:r>
        <w:rPr>
          <w:rFonts w:hint="eastAsia" w:ascii="宋体" w:hAnsi="宋体" w:eastAsia="宋体" w:cs="宋体"/>
          <w:color w:val="auto"/>
          <w:highlight w:val="none"/>
        </w:rPr>
        <w:t>电话：</w:t>
      </w:r>
      <w:r>
        <w:rPr>
          <w:rFonts w:hint="eastAsia" w:ascii="宋体" w:hAnsi="宋体" w:eastAsia="宋体" w:cs="宋体"/>
          <w:color w:val="auto"/>
          <w:highlight w:val="none"/>
          <w:u w:val="single"/>
        </w:rPr>
        <w:t>　　</w:t>
      </w:r>
    </w:p>
    <w:p>
      <w:pPr>
        <w:spacing w:before="0" w:after="0" w:afterAutospacing="0" w:line="480" w:lineRule="auto"/>
        <w:ind w:left="0" w:right="0" w:firstLine="200"/>
        <w:rPr>
          <w:rFonts w:hint="eastAsia" w:ascii="宋体" w:hAnsi="宋体" w:eastAsia="宋体" w:cs="宋体"/>
          <w:color w:val="auto"/>
          <w:highlight w:val="none"/>
        </w:rPr>
      </w:pPr>
      <w:r>
        <w:rPr>
          <w:rFonts w:hint="eastAsia" w:ascii="宋体" w:hAnsi="宋体" w:eastAsia="宋体" w:cs="宋体"/>
          <w:color w:val="auto"/>
          <w:highlight w:val="none"/>
        </w:rPr>
        <w:t>传真：日期：</w:t>
      </w:r>
      <w:r>
        <w:rPr>
          <w:rFonts w:hint="eastAsia" w:ascii="宋体" w:hAnsi="宋体" w:eastAsia="宋体" w:cs="宋体"/>
          <w:color w:val="auto"/>
          <w:highlight w:val="none"/>
          <w:u w:val="single"/>
        </w:rPr>
        <w:t xml:space="preserve"> XXXX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XX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XX  </w:t>
      </w:r>
      <w:r>
        <w:rPr>
          <w:rFonts w:hint="eastAsia" w:ascii="宋体" w:hAnsi="宋体" w:eastAsia="宋体" w:cs="宋体"/>
          <w:color w:val="auto"/>
          <w:highlight w:val="none"/>
        </w:rPr>
        <w:t>日</w:t>
      </w:r>
    </w:p>
    <w:p>
      <w:pPr>
        <w:pageBreakBefore/>
        <w:snapToGrid w:val="0"/>
        <w:ind w:right="0" w:firstLine="0"/>
        <w:jc w:val="left"/>
        <w:outlineLvl w:val="0"/>
        <w:rPr>
          <w:rFonts w:hint="eastAsia" w:ascii="宋体" w:hAnsi="宋体"/>
          <w:b/>
          <w:color w:val="auto"/>
          <w:highlight w:val="none"/>
        </w:rPr>
      </w:pPr>
      <w:bookmarkStart w:id="1927" w:name="_Toc21982"/>
      <w:r>
        <w:rPr>
          <w:rFonts w:hint="eastAsia" w:ascii="宋体" w:hAnsi="宋体"/>
          <w:b/>
          <w:color w:val="auto"/>
          <w:highlight w:val="none"/>
        </w:rPr>
        <w:t>A</w:t>
      </w:r>
      <w:r>
        <w:rPr>
          <w:rFonts w:hint="eastAsia" w:ascii="宋体" w:hAnsi="宋体"/>
          <w:b/>
          <w:color w:val="auto"/>
          <w:highlight w:val="none"/>
          <w:lang w:val="en-US" w:eastAsia="zh-CN"/>
        </w:rPr>
        <w:t>4</w:t>
      </w:r>
      <w:r>
        <w:rPr>
          <w:rFonts w:hint="eastAsia" w:ascii="宋体" w:hAnsi="宋体"/>
          <w:b/>
          <w:color w:val="auto"/>
          <w:highlight w:val="none"/>
        </w:rPr>
        <w:t xml:space="preserve"> 类似项目业绩表</w:t>
      </w:r>
      <w:bookmarkEnd w:id="1927"/>
    </w:p>
    <w:p>
      <w:pPr>
        <w:pStyle w:val="32"/>
        <w:rPr>
          <w:color w:val="auto"/>
        </w:rPr>
      </w:pPr>
    </w:p>
    <w:p>
      <w:pPr>
        <w:keepNext w:val="0"/>
        <w:keepLines w:val="0"/>
        <w:widowControl/>
        <w:suppressLineNumbers w:val="0"/>
        <w:spacing w:before="0" w:beforeAutospacing="0" w:after="0" w:afterAutospacing="1" w:line="360" w:lineRule="auto"/>
        <w:ind w:left="709" w:right="-57" w:firstLine="0"/>
        <w:jc w:val="center"/>
        <w:rPr>
          <w:rFonts w:hint="eastAsia" w:ascii="宋体" w:hAnsi="宋体" w:eastAsia="宋体" w:cs="Times New Roman"/>
          <w:b/>
          <w:bCs w:val="0"/>
          <w:color w:val="auto"/>
          <w:spacing w:val="20"/>
          <w:sz w:val="21"/>
          <w:szCs w:val="21"/>
        </w:rPr>
      </w:pPr>
      <w:r>
        <w:rPr>
          <w:rFonts w:hint="eastAsia" w:ascii="宋体" w:hAnsi="宋体" w:eastAsia="宋体" w:cs="宋体"/>
          <w:b/>
          <w:bCs w:val="0"/>
          <w:color w:val="auto"/>
          <w:spacing w:val="20"/>
          <w:kern w:val="0"/>
          <w:sz w:val="21"/>
          <w:szCs w:val="21"/>
          <w:lang w:val="en-US" w:eastAsia="zh-CN" w:bidi="ar"/>
        </w:rPr>
        <w:t>类似项目业绩表</w:t>
      </w:r>
    </w:p>
    <w:tbl>
      <w:tblPr>
        <w:tblStyle w:val="33"/>
        <w:tblW w:w="8940" w:type="dxa"/>
        <w:jc w:val="center"/>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40" w:hRule="atLeast"/>
          <w:jc w:val="center"/>
        </w:trPr>
        <w:tc>
          <w:tcPr>
            <w:tcW w:w="599" w:type="dxa"/>
            <w:tcBorders>
              <w:top w:val="double" w:color="auto" w:sz="2"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r>
              <w:rPr>
                <w:rFonts w:hint="eastAsia" w:ascii="宋体" w:hAnsi="宋体" w:eastAsia="宋体" w:cs="宋体"/>
                <w:color w:val="auto"/>
                <w:kern w:val="0"/>
                <w:sz w:val="21"/>
                <w:szCs w:val="21"/>
                <w:lang w:val="en-US" w:eastAsia="zh-CN" w:bidi="ar"/>
              </w:rPr>
              <w:t>序号</w:t>
            </w:r>
          </w:p>
        </w:tc>
        <w:tc>
          <w:tcPr>
            <w:tcW w:w="1092"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r>
              <w:rPr>
                <w:rFonts w:hint="eastAsia" w:ascii="宋体" w:hAnsi="宋体" w:eastAsia="宋体" w:cs="宋体"/>
                <w:color w:val="auto"/>
                <w:kern w:val="0"/>
                <w:sz w:val="21"/>
                <w:szCs w:val="21"/>
                <w:lang w:val="en-US" w:eastAsia="zh-CN" w:bidi="ar"/>
              </w:rPr>
              <w:t>项目名称</w:t>
            </w:r>
          </w:p>
        </w:tc>
        <w:tc>
          <w:tcPr>
            <w:tcW w:w="1789"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r>
              <w:rPr>
                <w:rFonts w:hint="eastAsia" w:ascii="宋体" w:hAnsi="宋体" w:eastAsia="宋体" w:cs="宋体"/>
                <w:color w:val="auto"/>
                <w:kern w:val="0"/>
                <w:sz w:val="21"/>
                <w:szCs w:val="21"/>
                <w:lang w:val="en-US" w:eastAsia="zh-CN" w:bidi="ar"/>
              </w:rPr>
              <w:t>合同内容（简述）</w:t>
            </w:r>
          </w:p>
        </w:tc>
        <w:tc>
          <w:tcPr>
            <w:tcW w:w="992"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default" w:ascii="宋体" w:hAnsi="宋体" w:eastAsia="宋体" w:cs="Times New Roman"/>
                <w:color w:val="auto"/>
                <w:sz w:val="21"/>
                <w:szCs w:val="21"/>
              </w:rPr>
            </w:pPr>
            <w:r>
              <w:rPr>
                <w:rFonts w:hint="eastAsia" w:ascii="宋体" w:hAnsi="宋体" w:eastAsia="宋体" w:cs="宋体"/>
                <w:color w:val="auto"/>
                <w:kern w:val="0"/>
                <w:sz w:val="21"/>
                <w:szCs w:val="21"/>
                <w:lang w:val="en-US" w:eastAsia="zh-CN" w:bidi="ar"/>
              </w:rPr>
              <w:t>合同</w:t>
            </w:r>
            <w:r>
              <w:rPr>
                <w:rFonts w:hint="eastAsia" w:ascii="宋体" w:hAnsi="宋体" w:eastAsia="宋体" w:cs="Times New Roman"/>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金额</w:t>
            </w:r>
          </w:p>
        </w:tc>
        <w:tc>
          <w:tcPr>
            <w:tcW w:w="993"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default" w:ascii="宋体" w:hAnsi="宋体" w:eastAsia="宋体" w:cs="Times New Roman"/>
                <w:color w:val="auto"/>
                <w:sz w:val="21"/>
                <w:szCs w:val="21"/>
              </w:rPr>
            </w:pPr>
            <w:r>
              <w:rPr>
                <w:rFonts w:hint="eastAsia" w:ascii="宋体" w:hAnsi="宋体" w:eastAsia="宋体" w:cs="宋体"/>
                <w:color w:val="auto"/>
                <w:kern w:val="0"/>
                <w:sz w:val="21"/>
                <w:szCs w:val="21"/>
                <w:lang w:val="en-US" w:eastAsia="zh-CN" w:bidi="ar"/>
              </w:rPr>
              <w:t>签订</w:t>
            </w:r>
            <w:r>
              <w:rPr>
                <w:rFonts w:hint="eastAsia" w:ascii="宋体" w:hAnsi="宋体" w:eastAsia="宋体" w:cs="Times New Roman"/>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时间</w:t>
            </w:r>
          </w:p>
        </w:tc>
        <w:tc>
          <w:tcPr>
            <w:tcW w:w="1388"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center"/>
              <w:rPr>
                <w:rFonts w:hint="default" w:ascii="宋体" w:hAnsi="宋体" w:eastAsia="宋体" w:cs="Times New Roman"/>
                <w:color w:val="auto"/>
                <w:sz w:val="21"/>
                <w:szCs w:val="21"/>
              </w:rPr>
            </w:pPr>
            <w:r>
              <w:rPr>
                <w:rFonts w:hint="eastAsia" w:ascii="宋体" w:hAnsi="宋体" w:eastAsia="宋体" w:cs="宋体"/>
                <w:color w:val="auto"/>
                <w:kern w:val="0"/>
                <w:sz w:val="21"/>
                <w:szCs w:val="21"/>
                <w:lang w:val="en-US" w:eastAsia="zh-CN" w:bidi="ar"/>
              </w:rPr>
              <w:t>供货、工期或服务时间</w:t>
            </w:r>
          </w:p>
        </w:tc>
        <w:tc>
          <w:tcPr>
            <w:tcW w:w="1044" w:type="dxa"/>
            <w:tcBorders>
              <w:top w:val="double" w:color="auto" w:sz="2"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r>
              <w:rPr>
                <w:rFonts w:hint="eastAsia" w:ascii="宋体" w:hAnsi="宋体" w:eastAsia="宋体" w:cs="宋体"/>
                <w:color w:val="auto"/>
                <w:kern w:val="0"/>
                <w:sz w:val="21"/>
                <w:szCs w:val="21"/>
                <w:lang w:val="en-US" w:eastAsia="zh-CN" w:bidi="ar"/>
              </w:rPr>
              <w:t>业主单位</w:t>
            </w:r>
          </w:p>
        </w:tc>
        <w:tc>
          <w:tcPr>
            <w:tcW w:w="1043" w:type="dxa"/>
            <w:tcBorders>
              <w:top w:val="double" w:color="auto" w:sz="2"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r>
              <w:rPr>
                <w:rFonts w:hint="eastAsia" w:ascii="宋体" w:hAnsi="宋体" w:eastAsia="宋体" w:cs="宋体"/>
                <w:color w:val="auto"/>
                <w:kern w:val="0"/>
                <w:sz w:val="21"/>
                <w:szCs w:val="21"/>
                <w:lang w:val="en-US" w:eastAsia="zh-CN" w:bidi="ar"/>
              </w:rPr>
              <w:t>联系电话</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43" w:hRule="atLeast"/>
          <w:jc w:val="center"/>
        </w:trPr>
        <w:tc>
          <w:tcPr>
            <w:tcW w:w="59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599"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599"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599"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599"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599"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599"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53" w:hRule="atLeast"/>
          <w:jc w:val="center"/>
        </w:trPr>
        <w:tc>
          <w:tcPr>
            <w:tcW w:w="599" w:type="dxa"/>
            <w:tcBorders>
              <w:top w:val="single" w:color="000000" w:sz="6" w:space="0"/>
              <w:left w:val="double" w:color="000000" w:sz="2"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78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388"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3" w:type="dxa"/>
            <w:tcBorders>
              <w:top w:val="single" w:color="000000" w:sz="6" w:space="0"/>
              <w:left w:val="single" w:color="000000" w:sz="6" w:space="0"/>
              <w:bottom w:val="single" w:color="000000" w:sz="6"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82" w:hRule="atLeast"/>
          <w:jc w:val="center"/>
        </w:trPr>
        <w:tc>
          <w:tcPr>
            <w:tcW w:w="599" w:type="dxa"/>
            <w:tcBorders>
              <w:top w:val="single" w:color="000000" w:sz="6" w:space="0"/>
              <w:left w:val="double" w:color="000000" w:sz="2"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92"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789"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2"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993"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388" w:type="dxa"/>
            <w:tcBorders>
              <w:top w:val="single" w:color="000000" w:sz="6" w:space="0"/>
              <w:left w:val="single" w:color="000000" w:sz="6" w:space="0"/>
              <w:bottom w:val="double" w:color="000000" w:sz="2" w:space="0"/>
              <w:right w:val="single" w:color="000000" w:sz="6" w:space="0"/>
            </w:tcBorders>
            <w:shd w:val="clear" w:color="auto" w:fill="auto"/>
            <w:vAlign w:val="top"/>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4" w:type="dxa"/>
            <w:tcBorders>
              <w:top w:val="single" w:color="000000" w:sz="6" w:space="0"/>
              <w:left w:val="single" w:color="000000" w:sz="6" w:space="0"/>
              <w:bottom w:val="double" w:color="000000" w:sz="2" w:space="0"/>
              <w:right w:val="single" w:color="000000" w:sz="6"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c>
          <w:tcPr>
            <w:tcW w:w="1043" w:type="dxa"/>
            <w:tcBorders>
              <w:top w:val="single" w:color="000000" w:sz="6" w:space="0"/>
              <w:left w:val="single" w:color="000000" w:sz="6" w:space="0"/>
              <w:bottom w:val="double" w:color="000000" w:sz="2" w:space="0"/>
              <w:right w:val="double" w:color="000000" w:sz="2" w:space="0"/>
            </w:tcBorders>
            <w:shd w:val="clear" w:color="auto" w:fill="auto"/>
            <w:vAlign w:val="center"/>
          </w:tcPr>
          <w:p>
            <w:pPr>
              <w:keepNext w:val="0"/>
              <w:keepLines w:val="0"/>
              <w:widowControl/>
              <w:suppressLineNumbers w:val="0"/>
              <w:spacing w:before="120" w:beforeAutospacing="0" w:after="0" w:afterAutospacing="1" w:line="360" w:lineRule="auto"/>
              <w:ind w:left="0" w:right="-27" w:firstLine="0"/>
              <w:jc w:val="both"/>
              <w:rPr>
                <w:rFonts w:hint="default" w:ascii="宋体" w:hAnsi="宋体" w:eastAsia="宋体" w:cs="Times New Roman"/>
                <w:color w:val="auto"/>
                <w:sz w:val="21"/>
                <w:szCs w:val="21"/>
              </w:rPr>
            </w:pPr>
          </w:p>
        </w:tc>
      </w:tr>
    </w:tbl>
    <w:p>
      <w:pPr>
        <w:keepNext w:val="0"/>
        <w:keepLines w:val="0"/>
        <w:widowControl/>
        <w:suppressLineNumbers w:val="0"/>
        <w:spacing w:before="0" w:beforeAutospacing="0" w:after="0" w:afterAutospacing="1" w:line="360" w:lineRule="auto"/>
        <w:ind w:left="567" w:right="-57" w:hanging="567"/>
        <w:jc w:val="left"/>
        <w:rPr>
          <w:rFonts w:hint="eastAsia" w:ascii="宋体" w:hAnsi="宋体" w:eastAsia="宋体" w:cs="Times New Roman"/>
          <w:color w:val="auto"/>
          <w:sz w:val="21"/>
          <w:szCs w:val="21"/>
        </w:rPr>
      </w:pPr>
      <w:r>
        <w:rPr>
          <w:rFonts w:hint="eastAsia" w:ascii="宋体" w:hAnsi="宋体" w:eastAsia="宋体" w:cs="Times New Roman"/>
          <w:color w:val="auto"/>
          <w:kern w:val="0"/>
          <w:sz w:val="21"/>
          <w:szCs w:val="21"/>
          <w:lang w:val="en-US" w:eastAsia="zh-CN" w:bidi="ar"/>
        </w:rPr>
        <w:t xml:space="preserve"> </w:t>
      </w:r>
    </w:p>
    <w:p>
      <w:pPr>
        <w:keepNext w:val="0"/>
        <w:keepLines w:val="0"/>
        <w:widowControl/>
        <w:suppressLineNumbers w:val="0"/>
        <w:spacing w:before="0" w:beforeAutospacing="0" w:after="0" w:afterAutospacing="0" w:line="360" w:lineRule="auto"/>
        <w:ind w:left="0" w:right="0" w:firstLine="0"/>
        <w:jc w:val="both"/>
        <w:rPr>
          <w:rFonts w:hint="eastAsia" w:ascii="宋体" w:hAnsi="宋体" w:eastAsia="宋体" w:cs="Times New Roman"/>
          <w:color w:val="auto"/>
          <w:sz w:val="21"/>
          <w:szCs w:val="21"/>
        </w:rPr>
      </w:pPr>
      <w:r>
        <w:rPr>
          <w:rFonts w:hint="eastAsia" w:ascii="宋体" w:hAnsi="宋体" w:eastAsia="宋体" w:cs="宋体"/>
          <w:color w:val="auto"/>
          <w:kern w:val="0"/>
          <w:sz w:val="21"/>
          <w:szCs w:val="21"/>
          <w:lang w:val="en-US" w:eastAsia="zh-CN" w:bidi="ar"/>
        </w:rPr>
        <w:t>注：</w:t>
      </w:r>
      <w:r>
        <w:rPr>
          <w:rFonts w:hint="eastAsia" w:ascii="宋体" w:hAnsi="宋体" w:eastAsia="宋体" w:cs="Times New Roman"/>
          <w:color w:val="auto"/>
          <w:kern w:val="0"/>
          <w:sz w:val="21"/>
          <w:szCs w:val="21"/>
          <w:lang w:val="en-US" w:eastAsia="zh-CN" w:bidi="ar"/>
        </w:rPr>
        <w:t>1.</w:t>
      </w:r>
      <w:r>
        <w:rPr>
          <w:rFonts w:hint="eastAsia" w:ascii="宋体" w:hAnsi="宋体" w:eastAsia="宋体" w:cs="宋体"/>
          <w:color w:val="auto"/>
          <w:kern w:val="0"/>
          <w:sz w:val="21"/>
          <w:szCs w:val="21"/>
          <w:lang w:val="en-US" w:eastAsia="zh-CN" w:bidi="ar"/>
        </w:rPr>
        <w:t>类似项目业绩。</w:t>
      </w:r>
    </w:p>
    <w:p>
      <w:pPr>
        <w:keepNext w:val="0"/>
        <w:keepLines w:val="0"/>
        <w:widowControl/>
        <w:suppressLineNumbers w:val="0"/>
        <w:spacing w:before="0" w:beforeAutospacing="0" w:after="0" w:afterAutospacing="0" w:line="360" w:lineRule="auto"/>
        <w:ind w:left="0" w:right="0" w:firstLine="0"/>
        <w:jc w:val="both"/>
        <w:rPr>
          <w:rFonts w:hint="eastAsia" w:ascii="宋体" w:hAnsi="宋体" w:eastAsia="宋体" w:cs="Times New Roman"/>
          <w:color w:val="auto"/>
          <w:sz w:val="21"/>
          <w:szCs w:val="21"/>
        </w:rPr>
      </w:pPr>
      <w:r>
        <w:rPr>
          <w:rFonts w:hint="eastAsia" w:ascii="宋体" w:hAnsi="宋体" w:eastAsia="宋体" w:cs="Times New Roman"/>
          <w:color w:val="auto"/>
          <w:kern w:val="0"/>
          <w:sz w:val="21"/>
          <w:szCs w:val="21"/>
          <w:lang w:val="en-US" w:eastAsia="zh-CN" w:bidi="ar"/>
        </w:rPr>
        <w:t>2.</w:t>
      </w:r>
      <w:r>
        <w:rPr>
          <w:rFonts w:hint="eastAsia" w:ascii="宋体" w:hAnsi="宋体" w:eastAsia="宋体" w:cs="宋体"/>
          <w:color w:val="auto"/>
          <w:kern w:val="0"/>
          <w:sz w:val="21"/>
          <w:szCs w:val="21"/>
          <w:lang w:val="en-US" w:eastAsia="zh-CN" w:bidi="ar"/>
        </w:rPr>
        <w:t>项目按照时间顺序排列，时间以合同签订时间为准。</w:t>
      </w:r>
    </w:p>
    <w:p>
      <w:pPr>
        <w:keepNext w:val="0"/>
        <w:keepLines w:val="0"/>
        <w:widowControl/>
        <w:suppressLineNumbers w:val="0"/>
        <w:spacing w:before="0" w:beforeAutospacing="0" w:after="0" w:afterAutospacing="0" w:line="360" w:lineRule="auto"/>
        <w:ind w:left="0" w:right="0" w:firstLine="0"/>
        <w:jc w:val="both"/>
        <w:rPr>
          <w:rFonts w:hint="eastAsia" w:ascii="宋体" w:hAnsi="宋体" w:eastAsia="宋体" w:cs="Times New Roman"/>
          <w:color w:val="auto"/>
          <w:sz w:val="21"/>
          <w:szCs w:val="21"/>
          <w:lang w:eastAsia="zh-CN"/>
        </w:rPr>
      </w:pPr>
      <w:r>
        <w:rPr>
          <w:rFonts w:hint="eastAsia" w:ascii="宋体" w:hAnsi="宋体" w:eastAsia="宋体" w:cs="Times New Roman"/>
          <w:color w:val="auto"/>
          <w:kern w:val="0"/>
          <w:sz w:val="21"/>
          <w:szCs w:val="21"/>
          <w:lang w:val="en-US" w:eastAsia="zh-CN" w:bidi="ar"/>
        </w:rPr>
        <w:t>3.</w:t>
      </w:r>
      <w:r>
        <w:rPr>
          <w:rFonts w:hint="eastAsia" w:ascii="宋体" w:hAnsi="宋体" w:cs="宋体"/>
          <w:color w:val="auto"/>
          <w:lang w:bidi="ar"/>
        </w:rPr>
        <w:t>业绩证明文件：项目合同文件（复印件加盖比选申请人公章），证明文件中须体现出合同双方、合同签订时间、合同金额（单价或合价，能统计出相应合同总价的均认可。）、反映业绩特征的内容等，否则视为无效证明文件</w:t>
      </w:r>
      <w:r>
        <w:rPr>
          <w:rFonts w:hint="eastAsia" w:ascii="宋体" w:hAnsi="宋体" w:cs="宋体"/>
          <w:color w:val="auto"/>
          <w:lang w:eastAsia="zh-CN" w:bidi="ar"/>
        </w:rPr>
        <w:t>。</w:t>
      </w:r>
    </w:p>
    <w:p>
      <w:pPr>
        <w:keepNext w:val="0"/>
        <w:keepLines w:val="0"/>
        <w:widowControl/>
        <w:suppressLineNumbers w:val="0"/>
        <w:spacing w:before="0" w:beforeAutospacing="0" w:after="0" w:afterAutospacing="1" w:line="360" w:lineRule="auto"/>
        <w:ind w:left="479" w:right="-57" w:hanging="17"/>
        <w:jc w:val="both"/>
        <w:rPr>
          <w:rFonts w:hint="eastAsia" w:ascii="宋体" w:hAnsi="宋体" w:eastAsia="宋体" w:cs="Times New Roman"/>
          <w:color w:val="auto"/>
          <w:sz w:val="21"/>
          <w:szCs w:val="21"/>
        </w:rPr>
      </w:pPr>
      <w:r>
        <w:rPr>
          <w:rFonts w:hint="eastAsia" w:ascii="宋体" w:hAnsi="宋体" w:eastAsia="宋体" w:cs="Times New Roman"/>
          <w:color w:val="auto"/>
          <w:kern w:val="0"/>
          <w:sz w:val="21"/>
          <w:szCs w:val="21"/>
          <w:lang w:val="en-US" w:eastAsia="zh-CN" w:bidi="ar"/>
        </w:rPr>
        <w:t xml:space="preserve"> </w:t>
      </w:r>
    </w:p>
    <w:p>
      <w:pPr>
        <w:keepNext w:val="0"/>
        <w:keepLines w:val="0"/>
        <w:widowControl/>
        <w:suppressLineNumbers w:val="0"/>
        <w:spacing w:before="0" w:beforeAutospacing="0" w:after="0" w:afterAutospacing="1" w:line="360" w:lineRule="auto"/>
        <w:ind w:left="479" w:right="-57" w:hanging="17"/>
        <w:jc w:val="both"/>
        <w:rPr>
          <w:rFonts w:hint="eastAsia" w:ascii="宋体" w:hAnsi="宋体" w:eastAsia="宋体" w:cs="Times New Roman"/>
          <w:color w:val="auto"/>
          <w:sz w:val="21"/>
          <w:szCs w:val="21"/>
        </w:rPr>
      </w:pPr>
      <w:r>
        <w:rPr>
          <w:rFonts w:hint="eastAsia" w:ascii="宋体" w:hAnsi="宋体" w:eastAsia="宋体" w:cs="Times New Roman"/>
          <w:color w:val="auto"/>
          <w:kern w:val="0"/>
          <w:sz w:val="21"/>
          <w:szCs w:val="21"/>
          <w:lang w:val="en-US" w:eastAsia="zh-CN" w:bidi="ar"/>
        </w:rPr>
        <w:t xml:space="preserve"> </w:t>
      </w:r>
    </w:p>
    <w:p>
      <w:pPr>
        <w:keepNext w:val="0"/>
        <w:keepLines w:val="0"/>
        <w:widowControl/>
        <w:suppressLineNumbers w:val="0"/>
        <w:snapToGrid w:val="0"/>
        <w:spacing w:before="0" w:beforeAutospacing="0" w:after="0" w:afterAutospacing="0" w:line="400" w:lineRule="exact"/>
        <w:ind w:left="0" w:right="0" w:firstLine="426"/>
        <w:jc w:val="both"/>
        <w:rPr>
          <w:rFonts w:hint="eastAsia" w:ascii="宋体" w:hAnsi="宋体" w:eastAsia="宋体" w:cs="Times New Roman"/>
          <w:color w:val="auto"/>
          <w:sz w:val="21"/>
          <w:szCs w:val="21"/>
        </w:rPr>
      </w:pPr>
      <w:r>
        <w:rPr>
          <w:rFonts w:hint="eastAsia" w:ascii="宋体" w:hAnsi="宋体" w:eastAsia="宋体" w:cs="宋体"/>
          <w:color w:val="auto"/>
          <w:kern w:val="0"/>
          <w:sz w:val="21"/>
          <w:szCs w:val="21"/>
          <w:lang w:val="en-US" w:eastAsia="zh-CN" w:bidi="ar"/>
        </w:rPr>
        <w:t>比选申请人：</w:t>
      </w:r>
      <w:r>
        <w:rPr>
          <w:rFonts w:hint="eastAsia" w:ascii="宋体" w:hAnsi="宋体" w:eastAsia="宋体" w:cs="Times New Roman"/>
          <w:color w:val="auto"/>
          <w:kern w:val="0"/>
          <w:sz w:val="21"/>
          <w:szCs w:val="21"/>
          <w:u w:val="single"/>
          <w:lang w:val="en-US" w:eastAsia="zh-CN" w:bidi="ar"/>
        </w:rPr>
        <w:t xml:space="preserve"> </w:t>
      </w:r>
      <w:r>
        <w:rPr>
          <w:rFonts w:hint="eastAsia" w:ascii="宋体" w:hAnsi="宋体" w:eastAsia="宋体" w:cs="宋体"/>
          <w:color w:val="auto"/>
          <w:kern w:val="0"/>
          <w:sz w:val="21"/>
          <w:szCs w:val="21"/>
          <w:u w:val="single"/>
          <w:lang w:val="en-US" w:eastAsia="zh-CN" w:bidi="ar"/>
        </w:rPr>
        <w:t>（填写）</w:t>
      </w:r>
      <w:r>
        <w:rPr>
          <w:rFonts w:hint="eastAsia" w:ascii="宋体" w:hAnsi="宋体" w:eastAsia="宋体" w:cs="Times New Roman"/>
          <w:color w:val="auto"/>
          <w:kern w:val="0"/>
          <w:sz w:val="21"/>
          <w:szCs w:val="21"/>
          <w:u w:val="single"/>
          <w:lang w:val="en-US" w:eastAsia="zh-CN" w:bidi="ar"/>
        </w:rPr>
        <w:t xml:space="preserve"> (</w:t>
      </w:r>
      <w:r>
        <w:rPr>
          <w:rFonts w:hint="eastAsia" w:ascii="宋体" w:hAnsi="宋体" w:eastAsia="宋体" w:cs="宋体"/>
          <w:color w:val="auto"/>
          <w:kern w:val="0"/>
          <w:sz w:val="21"/>
          <w:szCs w:val="21"/>
          <w:u w:val="single"/>
          <w:lang w:val="en-US" w:eastAsia="zh-CN" w:bidi="ar"/>
        </w:rPr>
        <w:t>盖单位公章</w:t>
      </w:r>
      <w:r>
        <w:rPr>
          <w:rFonts w:hint="eastAsia" w:ascii="宋体" w:hAnsi="宋体" w:eastAsia="宋体" w:cs="Times New Roman"/>
          <w:color w:val="auto"/>
          <w:kern w:val="0"/>
          <w:sz w:val="21"/>
          <w:szCs w:val="21"/>
          <w:u w:val="single"/>
          <w:lang w:val="en-US" w:eastAsia="zh-CN" w:bidi="ar"/>
        </w:rPr>
        <w:t>)</w:t>
      </w:r>
    </w:p>
    <w:p>
      <w:pPr>
        <w:keepNext w:val="0"/>
        <w:keepLines w:val="0"/>
        <w:widowControl/>
        <w:suppressLineNumbers w:val="0"/>
        <w:snapToGrid w:val="0"/>
        <w:spacing w:before="0" w:beforeAutospacing="0" w:after="0" w:afterAutospacing="0" w:line="400" w:lineRule="exact"/>
        <w:ind w:left="0" w:right="0" w:firstLine="426"/>
        <w:jc w:val="both"/>
        <w:rPr>
          <w:rFonts w:hint="eastAsia" w:ascii="宋体" w:hAnsi="宋体" w:eastAsia="宋体" w:cs="Times New Roman"/>
          <w:color w:val="auto"/>
          <w:sz w:val="21"/>
          <w:szCs w:val="21"/>
          <w:u w:val="single"/>
        </w:rPr>
      </w:pPr>
      <w:r>
        <w:rPr>
          <w:rFonts w:hint="eastAsia" w:ascii="宋体" w:hAnsi="宋体" w:eastAsia="宋体" w:cs="宋体"/>
          <w:color w:val="auto"/>
          <w:kern w:val="0"/>
          <w:sz w:val="21"/>
          <w:szCs w:val="21"/>
          <w:lang w:val="en-US" w:eastAsia="zh-CN" w:bidi="ar"/>
        </w:rPr>
        <w:t>法定代表人（或委托代理人）：</w:t>
      </w:r>
      <w:r>
        <w:rPr>
          <w:rFonts w:hint="eastAsia" w:ascii="宋体" w:hAnsi="宋体" w:eastAsia="宋体" w:cs="Times New Roman"/>
          <w:color w:val="auto"/>
          <w:kern w:val="0"/>
          <w:sz w:val="21"/>
          <w:szCs w:val="21"/>
          <w:u w:val="single"/>
          <w:lang w:val="en-US" w:eastAsia="zh-CN" w:bidi="ar"/>
        </w:rPr>
        <w:t>(签字</w:t>
      </w:r>
      <w:r>
        <w:rPr>
          <w:rFonts w:hint="eastAsia" w:ascii="宋体" w:hAnsi="宋体" w:eastAsia="宋体" w:cs="宋体"/>
          <w:color w:val="auto"/>
          <w:kern w:val="0"/>
          <w:sz w:val="21"/>
          <w:szCs w:val="21"/>
          <w:u w:val="single"/>
          <w:lang w:val="en-US" w:eastAsia="zh-CN" w:bidi="ar"/>
        </w:rPr>
        <w:t>或盖章</w:t>
      </w:r>
      <w:r>
        <w:rPr>
          <w:rFonts w:hint="eastAsia" w:ascii="宋体" w:hAnsi="宋体" w:eastAsia="宋体" w:cs="Times New Roman"/>
          <w:color w:val="auto"/>
          <w:kern w:val="0"/>
          <w:sz w:val="21"/>
          <w:szCs w:val="21"/>
          <w:u w:val="single"/>
          <w:lang w:val="en-US" w:eastAsia="zh-CN" w:bidi="ar"/>
        </w:rPr>
        <w:t>)</w:t>
      </w:r>
    </w:p>
    <w:p>
      <w:pPr>
        <w:snapToGrid w:val="0"/>
        <w:spacing w:before="0" w:after="0" w:afterAutospacing="0" w:line="400" w:lineRule="exact"/>
        <w:ind w:left="0" w:right="0" w:firstLine="426"/>
        <w:rPr>
          <w:rFonts w:hint="eastAsia"/>
          <w:color w:val="auto"/>
        </w:rPr>
      </w:pPr>
      <w:r>
        <w:rPr>
          <w:rFonts w:hint="eastAsia" w:ascii="宋体" w:hAnsi="宋体" w:eastAsia="宋体" w:cs="宋体"/>
          <w:color w:val="auto"/>
          <w:kern w:val="0"/>
          <w:sz w:val="21"/>
          <w:szCs w:val="21"/>
          <w:lang w:val="en-US" w:eastAsia="zh-CN" w:bidi="ar"/>
        </w:rPr>
        <w:t>日期：年</w:t>
      </w:r>
      <w:r>
        <w:rPr>
          <w:rFonts w:hint="eastAsia" w:ascii="宋体" w:hAnsi="宋体" w:eastAsia="宋体" w:cs="Times New Roman"/>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月</w:t>
      </w:r>
      <w:r>
        <w:rPr>
          <w:rFonts w:hint="eastAsia" w:ascii="宋体" w:hAnsi="宋体" w:eastAsia="宋体" w:cs="Times New Roman"/>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日</w:t>
      </w:r>
    </w:p>
    <w:p>
      <w:pPr>
        <w:pStyle w:val="4"/>
        <w:pageBreakBefore/>
        <w:spacing w:after="100"/>
        <w:ind w:right="-57" w:firstLine="0"/>
        <w:jc w:val="center"/>
        <w:rPr>
          <w:rFonts w:hAnsi="宋体"/>
          <w:b w:val="0"/>
          <w:color w:val="auto"/>
          <w:sz w:val="24"/>
          <w:szCs w:val="24"/>
          <w:highlight w:val="none"/>
        </w:rPr>
      </w:pPr>
      <w:bookmarkStart w:id="1928" w:name="_Toc414290562"/>
      <w:bookmarkStart w:id="1929" w:name="_Toc492478827"/>
      <w:bookmarkStart w:id="1930" w:name="_Toc19107"/>
      <w:bookmarkStart w:id="1931" w:name="_Toc2542"/>
      <w:bookmarkStart w:id="1932" w:name="_Toc18387"/>
      <w:bookmarkStart w:id="1933" w:name="_Toc11399"/>
      <w:bookmarkStart w:id="1934" w:name="_Toc14005"/>
      <w:bookmarkStart w:id="1935" w:name="_Toc25635"/>
      <w:bookmarkStart w:id="1936" w:name="_Toc14091"/>
      <w:bookmarkStart w:id="1937" w:name="_Toc30812"/>
      <w:bookmarkStart w:id="1938" w:name="_Toc25220"/>
      <w:bookmarkStart w:id="1939" w:name="_Toc6034"/>
      <w:bookmarkStart w:id="1940" w:name="_Toc8563"/>
      <w:bookmarkStart w:id="1941" w:name="_Toc13870"/>
      <w:bookmarkStart w:id="1942" w:name="_Toc22423"/>
      <w:bookmarkStart w:id="1943" w:name="_Toc29577"/>
      <w:bookmarkStart w:id="1944" w:name="_Toc27472"/>
      <w:bookmarkStart w:id="1945" w:name="_Toc3307"/>
      <w:bookmarkStart w:id="1946" w:name="_Toc15451"/>
      <w:bookmarkStart w:id="1947" w:name="_Toc32381"/>
      <w:bookmarkStart w:id="1948" w:name="_Toc19413"/>
      <w:bookmarkStart w:id="1949" w:name="_Toc17664"/>
      <w:bookmarkStart w:id="1950" w:name="_Toc2327"/>
      <w:bookmarkStart w:id="1951" w:name="_Toc31512"/>
      <w:bookmarkStart w:id="1952" w:name="_Toc9876"/>
      <w:bookmarkStart w:id="1953" w:name="_Toc23585"/>
      <w:r>
        <w:rPr>
          <w:rFonts w:hint="eastAsia"/>
          <w:color w:val="auto"/>
          <w:sz w:val="24"/>
          <w:szCs w:val="24"/>
          <w:highlight w:val="none"/>
        </w:rPr>
        <w:t xml:space="preserve">B </w:t>
      </w:r>
      <w:r>
        <w:rPr>
          <w:rFonts w:hAnsi="宋体"/>
          <w:color w:val="auto"/>
          <w:sz w:val="24"/>
          <w:szCs w:val="24"/>
          <w:highlight w:val="none"/>
        </w:rPr>
        <w:t>技术</w:t>
      </w:r>
      <w:bookmarkEnd w:id="1928"/>
      <w:bookmarkEnd w:id="1929"/>
      <w:bookmarkEnd w:id="1930"/>
      <w:bookmarkStart w:id="1954" w:name="_Toc74938308"/>
      <w:bookmarkStart w:id="1955" w:name="_Toc18770050"/>
      <w:bookmarkStart w:id="1956" w:name="_Toc99697927"/>
      <w:bookmarkStart w:id="1957" w:name="_Toc224010320"/>
      <w:bookmarkStart w:id="1958" w:name="_Toc17887241"/>
      <w:r>
        <w:rPr>
          <w:rFonts w:hint="eastAsia" w:hAnsi="宋体"/>
          <w:color w:val="auto"/>
          <w:sz w:val="24"/>
          <w:szCs w:val="24"/>
          <w:highlight w:val="none"/>
        </w:rPr>
        <w:t>文件</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spacing w:before="0" w:after="0" w:afterAutospacing="0"/>
        <w:ind w:left="0" w:right="0"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highlight w:val="none"/>
        </w:rPr>
        <w:t>技术文件格式</w:t>
      </w:r>
    </w:p>
    <w:p>
      <w:pPr>
        <w:spacing w:before="0" w:after="0" w:afterAutospacing="0"/>
        <w:ind w:left="0" w:right="0" w:firstLine="315" w:firstLineChars="150"/>
        <w:rPr>
          <w:rFonts w:hint="eastAsia" w:ascii="宋体" w:hAnsi="宋体" w:eastAsia="宋体" w:cs="宋体"/>
          <w:color w:val="auto"/>
          <w:highlight w:val="none"/>
        </w:rPr>
      </w:pPr>
      <w:bookmarkStart w:id="1959" w:name="_Toc17874"/>
      <w:r>
        <w:rPr>
          <w:rFonts w:hint="eastAsia" w:ascii="宋体" w:hAnsi="宋体" w:eastAsia="宋体" w:cs="宋体"/>
          <w:color w:val="auto"/>
          <w:highlight w:val="none"/>
        </w:rPr>
        <w:t>（1）技术响应表（格式见B1）；</w:t>
      </w:r>
      <w:bookmarkEnd w:id="1959"/>
    </w:p>
    <w:p>
      <w:pPr>
        <w:spacing w:before="0" w:after="0" w:afterAutospacing="0"/>
        <w:ind w:left="0" w:right="0" w:firstLine="315" w:firstLineChars="150"/>
        <w:rPr>
          <w:rFonts w:hint="eastAsia" w:ascii="宋体" w:hAnsi="宋体" w:eastAsia="宋体" w:cs="宋体"/>
          <w:color w:val="auto"/>
          <w:highlight w:val="none"/>
        </w:rPr>
      </w:pPr>
      <w:bookmarkStart w:id="1960" w:name="_Toc3359"/>
      <w:r>
        <w:rPr>
          <w:rFonts w:hint="eastAsia" w:ascii="宋体" w:hAnsi="宋体" w:eastAsia="宋体" w:cs="宋体"/>
          <w:color w:val="auto"/>
          <w:highlight w:val="none"/>
        </w:rPr>
        <w:t>（2）按期完成承诺书（格式见B2）；</w:t>
      </w:r>
      <w:bookmarkEnd w:id="1960"/>
    </w:p>
    <w:p>
      <w:pPr>
        <w:spacing w:before="0" w:after="0" w:afterAutospacing="0"/>
        <w:ind w:left="0" w:right="0" w:firstLine="315" w:firstLineChars="150"/>
        <w:rPr>
          <w:rFonts w:hint="eastAsia" w:ascii="宋体" w:hAnsi="宋体" w:eastAsia="宋体" w:cs="宋体"/>
          <w:color w:val="auto"/>
          <w:highlight w:val="none"/>
        </w:rPr>
      </w:pPr>
      <w:bookmarkStart w:id="1961" w:name="_Toc1790"/>
      <w:r>
        <w:rPr>
          <w:rFonts w:hint="eastAsia" w:ascii="宋体" w:hAnsi="宋体" w:eastAsia="宋体" w:cs="宋体"/>
          <w:color w:val="auto"/>
          <w:highlight w:val="none"/>
        </w:rPr>
        <w:t>（3）售后服务承诺书（格式见B3）；</w:t>
      </w:r>
      <w:bookmarkEnd w:id="1961"/>
    </w:p>
    <w:p>
      <w:pPr>
        <w:spacing w:before="0" w:after="0" w:afterAutospacing="0"/>
        <w:ind w:left="0" w:right="0" w:firstLine="315" w:firstLineChars="150"/>
        <w:rPr>
          <w:rFonts w:hint="eastAsia" w:ascii="宋体" w:hAnsi="宋体" w:eastAsia="宋体" w:cs="宋体"/>
          <w:color w:val="auto"/>
          <w:highlight w:val="none"/>
        </w:rPr>
      </w:pPr>
      <w:bookmarkStart w:id="1962" w:name="_Toc24410"/>
      <w:r>
        <w:rPr>
          <w:rFonts w:hint="eastAsia" w:ascii="宋体" w:hAnsi="宋体" w:eastAsia="宋体" w:cs="宋体"/>
          <w:color w:val="auto"/>
          <w:highlight w:val="none"/>
        </w:rPr>
        <w:t>（4）商务响应表（格式见B4）</w:t>
      </w:r>
      <w:bookmarkEnd w:id="1962"/>
      <w:r>
        <w:rPr>
          <w:rFonts w:hint="eastAsia" w:ascii="宋体" w:hAnsi="宋体" w:eastAsia="宋体" w:cs="宋体"/>
          <w:color w:val="auto"/>
          <w:highlight w:val="none"/>
        </w:rPr>
        <w:t>；</w:t>
      </w:r>
    </w:p>
    <w:p>
      <w:pPr>
        <w:spacing w:before="0" w:after="0" w:afterAutospacing="0"/>
        <w:ind w:left="0" w:right="0" w:firstLine="315" w:firstLineChars="15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（5）维保服务人员配置表</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要求详见B5</w:t>
      </w:r>
      <w:r>
        <w:rPr>
          <w:rFonts w:hint="eastAsia" w:ascii="宋体" w:hAnsi="宋体" w:eastAsia="宋体" w:cs="宋体"/>
          <w:color w:val="auto"/>
          <w:highlight w:val="none"/>
          <w:lang w:eastAsia="zh-CN"/>
        </w:rPr>
        <w:t>）；</w:t>
      </w:r>
    </w:p>
    <w:p>
      <w:pPr>
        <w:spacing w:before="0" w:after="0" w:afterAutospacing="0"/>
        <w:ind w:left="0" w:right="0" w:firstLine="315" w:firstLineChars="15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比选申请人认为应提交的其他比选申请资料（如有）。</w:t>
      </w:r>
      <w:bookmarkEnd w:id="1954"/>
      <w:bookmarkEnd w:id="1955"/>
      <w:bookmarkEnd w:id="1956"/>
      <w:bookmarkEnd w:id="1957"/>
      <w:bookmarkEnd w:id="1958"/>
    </w:p>
    <w:p>
      <w:pPr>
        <w:pStyle w:val="29"/>
        <w:rPr>
          <w:rFonts w:hint="eastAsia" w:ascii="宋体" w:hAnsi="宋体" w:eastAsia="宋体" w:cs="宋体"/>
          <w:color w:val="auto"/>
          <w:sz w:val="21"/>
          <w:highlight w:val="none"/>
        </w:rPr>
        <w:sectPr>
          <w:headerReference r:id="rId11" w:type="first"/>
          <w:headerReference r:id="rId10" w:type="default"/>
          <w:pgSz w:w="11905" w:h="16838"/>
          <w:pgMar w:top="1418" w:right="1418" w:bottom="1304" w:left="1418" w:header="454" w:footer="567" w:gutter="0"/>
          <w:pgNumType w:fmt="decimal"/>
          <w:cols w:space="720" w:num="1"/>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963" w:name="_Toc29189"/>
      <w:bookmarkStart w:id="1964" w:name="_Toc11808"/>
      <w:bookmarkStart w:id="1965" w:name="_Toc13678"/>
      <w:bookmarkStart w:id="1966" w:name="_Toc25750684"/>
      <w:bookmarkStart w:id="1967" w:name="_Toc22447"/>
      <w:bookmarkStart w:id="1968" w:name="_Toc5436"/>
      <w:bookmarkStart w:id="1969" w:name="_Toc24533"/>
      <w:r>
        <w:rPr>
          <w:rFonts w:hint="eastAsia" w:ascii="宋体" w:hAnsi="宋体" w:eastAsia="宋体"/>
          <w:color w:val="auto"/>
          <w:sz w:val="21"/>
          <w:szCs w:val="21"/>
          <w:highlight w:val="none"/>
        </w:rPr>
        <w:t xml:space="preserve">B1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1963"/>
      <w:bookmarkEnd w:id="1964"/>
      <w:bookmarkEnd w:id="1965"/>
      <w:bookmarkEnd w:id="1966"/>
      <w:bookmarkEnd w:id="1967"/>
      <w:bookmarkEnd w:id="1968"/>
      <w:bookmarkEnd w:id="1969"/>
    </w:p>
    <w:p>
      <w:pPr>
        <w:spacing w:before="0"/>
        <w:ind w:right="-57" w:firstLine="0"/>
        <w:jc w:val="center"/>
        <w:rPr>
          <w:rFonts w:ascii="宋体" w:hAnsi="宋体"/>
          <w:b/>
          <w:color w:val="auto"/>
          <w:sz w:val="28"/>
          <w:szCs w:val="28"/>
          <w:highlight w:val="none"/>
        </w:rPr>
      </w:pPr>
      <w:bookmarkStart w:id="1970" w:name="_Toc22433"/>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bookmarkEnd w:id="1970"/>
    </w:p>
    <w:p>
      <w:pPr>
        <w:spacing w:before="0" w:after="0" w:afterAutospacing="0"/>
        <w:ind w:right="0"/>
        <w:rPr>
          <w:rFonts w:ascii="宋体" w:hAnsi="宋体"/>
          <w:color w:val="auto"/>
          <w:highlight w:val="none"/>
          <w:u w:val="single"/>
        </w:rPr>
      </w:pPr>
      <w:r>
        <w:rPr>
          <w:rFonts w:ascii="宋体" w:hAnsi="宋体"/>
          <w:color w:val="auto"/>
          <w:highlight w:val="none"/>
        </w:rPr>
        <w:t>比选申请人名称：</w:t>
      </w:r>
    </w:p>
    <w:p>
      <w:pPr>
        <w:snapToGrid w:val="0"/>
        <w:spacing w:after="50" w:line="280" w:lineRule="exact"/>
        <w:ind w:left="0" w:right="-817" w:firstLine="0"/>
        <w:rPr>
          <w:rFonts w:ascii="宋体" w:hAnsi="宋体"/>
          <w:color w:val="auto"/>
          <w:highlight w:val="none"/>
        </w:rPr>
      </w:pPr>
    </w:p>
    <w:tbl>
      <w:tblPr>
        <w:tblStyle w:val="33"/>
        <w:tblW w:w="1521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3"/>
        <w:gridCol w:w="1460"/>
        <w:gridCol w:w="3555"/>
        <w:gridCol w:w="7455"/>
        <w:gridCol w:w="1230"/>
        <w:gridCol w:w="7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0" w:hRule="atLeast"/>
          <w:jc w:val="center"/>
        </w:trPr>
        <w:tc>
          <w:tcPr>
            <w:tcW w:w="713" w:type="dxa"/>
            <w:tcBorders>
              <w:top w:val="double" w:color="auto" w:sz="4" w:space="0"/>
              <w:bottom w:val="single" w:color="auto" w:sz="6" w:space="0"/>
            </w:tcBorders>
            <w:shd w:val="clear" w:color="auto" w:fill="FFFFFF"/>
            <w:vAlign w:val="center"/>
          </w:tcPr>
          <w:p>
            <w:pPr>
              <w:keepNext w:val="0"/>
              <w:keepLines w:val="0"/>
              <w:widowControl/>
              <w:suppressLineNumbers w:val="0"/>
              <w:spacing w:beforeAutospacing="0" w:line="240" w:lineRule="auto"/>
              <w:jc w:val="center"/>
              <w:rPr>
                <w:rFonts w:hint="default" w:ascii="宋体" w:hAnsi="宋体" w:cs="宋体"/>
                <w:b/>
                <w:bCs/>
                <w:color w:val="auto"/>
                <w:sz w:val="20"/>
                <w:szCs w:val="20"/>
                <w:highlight w:val="none"/>
              </w:rPr>
            </w:pPr>
            <w:r>
              <w:rPr>
                <w:rFonts w:hint="eastAsia" w:ascii="宋体" w:hAnsi="宋体" w:cs="宋体"/>
                <w:b/>
                <w:bCs/>
                <w:color w:val="auto"/>
                <w:sz w:val="20"/>
                <w:szCs w:val="20"/>
                <w:highlight w:val="none"/>
              </w:rPr>
              <w:t>序号</w:t>
            </w:r>
          </w:p>
        </w:tc>
        <w:tc>
          <w:tcPr>
            <w:tcW w:w="1460" w:type="dxa"/>
            <w:tcBorders>
              <w:top w:val="double" w:color="auto" w:sz="4" w:space="0"/>
              <w:bottom w:val="single" w:color="auto" w:sz="6" w:space="0"/>
              <w:right w:val="single" w:color="auto" w:sz="4" w:space="0"/>
            </w:tcBorders>
            <w:shd w:val="clear" w:color="auto" w:fill="FFFFFF"/>
            <w:vAlign w:val="center"/>
          </w:tcPr>
          <w:p>
            <w:pPr>
              <w:keepNext w:val="0"/>
              <w:keepLines w:val="0"/>
              <w:widowControl/>
              <w:suppressLineNumbers w:val="0"/>
              <w:spacing w:beforeAutospacing="0" w:line="240" w:lineRule="auto"/>
              <w:jc w:val="center"/>
              <w:rPr>
                <w:rFonts w:hint="default" w:ascii="宋体" w:hAnsi="宋体" w:cs="宋体"/>
                <w:b/>
                <w:bCs/>
                <w:color w:val="auto"/>
                <w:sz w:val="20"/>
                <w:szCs w:val="20"/>
                <w:highlight w:val="none"/>
              </w:rPr>
            </w:pPr>
            <w:r>
              <w:rPr>
                <w:rFonts w:hint="eastAsia" w:ascii="宋体" w:hAnsi="宋体" w:cs="宋体"/>
                <w:b/>
                <w:bCs/>
                <w:color w:val="auto"/>
                <w:sz w:val="20"/>
                <w:szCs w:val="20"/>
                <w:highlight w:val="none"/>
              </w:rPr>
              <w:t>服务项目</w:t>
            </w:r>
          </w:p>
        </w:tc>
        <w:tc>
          <w:tcPr>
            <w:tcW w:w="3555" w:type="dxa"/>
            <w:tcBorders>
              <w:top w:val="double" w:color="auto" w:sz="4" w:space="0"/>
              <w:bottom w:val="single" w:color="auto" w:sz="6" w:space="0"/>
              <w:right w:val="single" w:color="auto" w:sz="4" w:space="0"/>
            </w:tcBorders>
            <w:shd w:val="clear" w:color="auto" w:fill="FFFFFF"/>
            <w:vAlign w:val="center"/>
          </w:tcPr>
          <w:p>
            <w:pPr>
              <w:keepNext w:val="0"/>
              <w:keepLines w:val="0"/>
              <w:widowControl/>
              <w:suppressLineNumbers w:val="0"/>
              <w:spacing w:beforeAutospacing="0" w:line="240" w:lineRule="auto"/>
              <w:jc w:val="center"/>
              <w:rPr>
                <w:rFonts w:hint="default" w:ascii="宋体" w:hAnsi="宋体" w:cs="宋体"/>
                <w:b/>
                <w:bCs/>
                <w:color w:val="auto"/>
                <w:sz w:val="20"/>
                <w:szCs w:val="20"/>
                <w:highlight w:val="none"/>
              </w:rPr>
            </w:pPr>
            <w:r>
              <w:rPr>
                <w:rFonts w:hint="eastAsia" w:ascii="宋体" w:hAnsi="宋体"/>
                <w:b/>
                <w:color w:val="auto"/>
                <w:kern w:val="2"/>
                <w:sz w:val="20"/>
                <w:szCs w:val="20"/>
                <w:highlight w:val="none"/>
              </w:rPr>
              <w:t>服务内容</w:t>
            </w:r>
          </w:p>
        </w:tc>
        <w:tc>
          <w:tcPr>
            <w:tcW w:w="7455" w:type="dxa"/>
            <w:tcBorders>
              <w:top w:val="double" w:color="auto" w:sz="4" w:space="0"/>
              <w:bottom w:val="single" w:color="auto" w:sz="6" w:space="0"/>
              <w:right w:val="single" w:color="auto" w:sz="4" w:space="0"/>
            </w:tcBorders>
            <w:shd w:val="clear" w:color="auto" w:fill="FFFFFF"/>
            <w:vAlign w:val="center"/>
          </w:tcPr>
          <w:p>
            <w:pPr>
              <w:keepNext w:val="0"/>
              <w:keepLines w:val="0"/>
              <w:widowControl/>
              <w:suppressLineNumbers w:val="0"/>
              <w:spacing w:beforeAutospacing="0" w:line="240" w:lineRule="auto"/>
              <w:ind w:left="0" w:right="0" w:firstLine="0"/>
              <w:jc w:val="center"/>
              <w:rPr>
                <w:rFonts w:hint="default" w:ascii="宋体" w:hAnsi="宋体" w:cs="宋体"/>
                <w:b/>
                <w:bCs/>
                <w:color w:val="auto"/>
                <w:sz w:val="20"/>
                <w:szCs w:val="20"/>
                <w:highlight w:val="none"/>
              </w:rPr>
            </w:pPr>
            <w:r>
              <w:rPr>
                <w:rFonts w:hint="eastAsia" w:ascii="宋体" w:hAnsi="宋体"/>
                <w:b/>
                <w:color w:val="auto"/>
                <w:kern w:val="2"/>
                <w:sz w:val="20"/>
                <w:szCs w:val="20"/>
                <w:highlight w:val="none"/>
              </w:rPr>
              <w:t>服务要求</w:t>
            </w:r>
          </w:p>
        </w:tc>
        <w:tc>
          <w:tcPr>
            <w:tcW w:w="1230" w:type="dxa"/>
            <w:tcBorders>
              <w:top w:val="double" w:color="auto" w:sz="4" w:space="0"/>
              <w:left w:val="single" w:color="auto" w:sz="4" w:space="0"/>
              <w:bottom w:val="single" w:color="auto" w:sz="6" w:space="0"/>
            </w:tcBorders>
            <w:shd w:val="clear" w:color="auto" w:fill="FFFFFF"/>
            <w:vAlign w:val="center"/>
          </w:tcPr>
          <w:p>
            <w:pPr>
              <w:keepNext w:val="0"/>
              <w:keepLines w:val="0"/>
              <w:widowControl/>
              <w:suppressLineNumbers w:val="0"/>
              <w:spacing w:beforeAutospacing="0" w:line="240" w:lineRule="auto"/>
              <w:jc w:val="center"/>
              <w:rPr>
                <w:rFonts w:hint="default" w:ascii="宋体" w:hAnsi="宋体" w:cs="宋体"/>
                <w:b/>
                <w:bCs/>
                <w:color w:val="auto"/>
                <w:sz w:val="20"/>
                <w:szCs w:val="20"/>
                <w:highlight w:val="none"/>
              </w:rPr>
            </w:pPr>
            <w:r>
              <w:rPr>
                <w:rFonts w:hint="eastAsia" w:ascii="宋体" w:hAnsi="宋体" w:cs="宋体"/>
                <w:b/>
                <w:bCs/>
                <w:color w:val="auto"/>
                <w:sz w:val="20"/>
                <w:szCs w:val="20"/>
                <w:highlight w:val="none"/>
              </w:rPr>
              <w:t>偏离情况</w:t>
            </w:r>
          </w:p>
        </w:tc>
        <w:tc>
          <w:tcPr>
            <w:tcW w:w="798" w:type="dxa"/>
            <w:tcBorders>
              <w:top w:val="double" w:color="auto" w:sz="4" w:space="0"/>
              <w:bottom w:val="single" w:color="auto" w:sz="6" w:space="0"/>
            </w:tcBorders>
            <w:shd w:val="clear" w:color="auto" w:fill="FFFFFF"/>
            <w:vAlign w:val="center"/>
          </w:tcPr>
          <w:p>
            <w:pPr>
              <w:keepNext w:val="0"/>
              <w:keepLines w:val="0"/>
              <w:widowControl/>
              <w:suppressLineNumbers w:val="0"/>
              <w:spacing w:beforeAutospacing="0" w:line="240" w:lineRule="auto"/>
              <w:jc w:val="center"/>
              <w:rPr>
                <w:rFonts w:hint="default" w:ascii="宋体" w:hAnsi="宋体" w:cs="宋体"/>
                <w:b/>
                <w:bCs/>
                <w:color w:val="auto"/>
                <w:sz w:val="20"/>
                <w:szCs w:val="20"/>
                <w:highlight w:val="none"/>
              </w:rPr>
            </w:pPr>
            <w:r>
              <w:rPr>
                <w:rFonts w:hint="eastAsia" w:ascii="宋体" w:hAnsi="宋体" w:cs="宋体"/>
                <w:b/>
                <w:bCs/>
                <w:color w:val="auto"/>
                <w:sz w:val="20"/>
                <w:szCs w:val="20"/>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7" w:hRule="atLeast"/>
          <w:jc w:val="center"/>
        </w:trPr>
        <w:tc>
          <w:tcPr>
            <w:tcW w:w="713"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highlight w:val="none"/>
              </w:rPr>
            </w:pPr>
            <w:r>
              <w:rPr>
                <w:rFonts w:hint="eastAsia" w:ascii="宋体" w:hAnsi="宋体" w:cs="宋体"/>
                <w:color w:val="auto"/>
                <w:highlight w:val="none"/>
              </w:rPr>
              <w:t>1</w:t>
            </w:r>
          </w:p>
        </w:tc>
        <w:tc>
          <w:tcPr>
            <w:tcW w:w="1460"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ascii="宋体" w:hAnsi="宋体" w:cs="宋体"/>
                <w:color w:val="auto"/>
                <w:highlight w:val="none"/>
              </w:rPr>
            </w:pPr>
            <w:r>
              <w:rPr>
                <w:rFonts w:hint="eastAsia"/>
                <w:color w:val="auto"/>
                <w:highlight w:val="none"/>
              </w:rPr>
              <w:t>电话支持服务</w:t>
            </w:r>
          </w:p>
        </w:tc>
        <w:tc>
          <w:tcPr>
            <w:tcW w:w="3555"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spacing w:before="0" w:beforeAutospacing="0"/>
              <w:rPr>
                <w:rFonts w:hint="default"/>
                <w:color w:val="auto"/>
                <w:highlight w:val="none"/>
              </w:rPr>
            </w:pPr>
            <w:r>
              <w:rPr>
                <w:rFonts w:hint="eastAsia"/>
                <w:color w:val="auto"/>
                <w:highlight w:val="none"/>
              </w:rPr>
              <w:t>远程技术支持，提供产品技术咨询、故障申报受理、硬件维修受理等服务</w:t>
            </w:r>
          </w:p>
        </w:tc>
        <w:tc>
          <w:tcPr>
            <w:tcW w:w="7455" w:type="dxa"/>
            <w:tcBorders>
              <w:top w:val="single" w:color="auto" w:sz="6" w:space="0"/>
              <w:bottom w:val="single" w:color="auto" w:sz="6" w:space="0"/>
              <w:right w:val="single" w:color="auto" w:sz="4" w:space="0"/>
            </w:tcBorders>
            <w:shd w:val="clear" w:color="auto" w:fill="FFFFFF"/>
            <w:vAlign w:val="center"/>
          </w:tcPr>
          <w:p>
            <w:pPr>
              <w:pStyle w:val="29"/>
              <w:keepNext w:val="0"/>
              <w:keepLines w:val="0"/>
              <w:suppressLineNumbers w:val="0"/>
              <w:rPr>
                <w:rFonts w:hint="default" w:ascii="宋体" w:hAnsi="宋体" w:cs="宋体"/>
                <w:color w:val="auto"/>
                <w:highlight w:val="none"/>
              </w:rPr>
            </w:pPr>
            <w:r>
              <w:rPr>
                <w:rFonts w:hint="eastAsia" w:ascii="宋体" w:hAnsi="宋体" w:cs="宋体"/>
                <w:color w:val="auto"/>
                <w:highlight w:val="none"/>
              </w:rPr>
              <w:t>7x24小时电话支持，实时响应，提供优质的维保服务。</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widowControl/>
              <w:suppressLineNumbers w:val="0"/>
              <w:spacing w:beforeAutospacing="0"/>
              <w:jc w:val="left"/>
              <w:rPr>
                <w:rFonts w:hint="default" w:ascii="宋体" w:hAnsi="宋体" w:cs="宋体"/>
                <w:color w:val="auto"/>
                <w:kern w:val="2"/>
                <w:highlight w:val="none"/>
              </w:rPr>
            </w:pPr>
          </w:p>
        </w:tc>
        <w:tc>
          <w:tcPr>
            <w:tcW w:w="79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left"/>
              <w:rPr>
                <w:rFonts w:hint="default"/>
                <w:color w:val="auto"/>
                <w:kern w:val="2"/>
                <w:sz w:val="20"/>
                <w:szCs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2" w:hRule="atLeast"/>
          <w:jc w:val="center"/>
        </w:trPr>
        <w:tc>
          <w:tcPr>
            <w:tcW w:w="713"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highlight w:val="none"/>
              </w:rPr>
            </w:pPr>
            <w:r>
              <w:rPr>
                <w:rFonts w:hint="eastAsia" w:ascii="宋体" w:hAnsi="宋体" w:cs="宋体"/>
                <w:color w:val="auto"/>
                <w:highlight w:val="none"/>
              </w:rPr>
              <w:t>2</w:t>
            </w:r>
          </w:p>
        </w:tc>
        <w:tc>
          <w:tcPr>
            <w:tcW w:w="1460"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ascii="宋体" w:hAnsi="宋体" w:cs="宋体"/>
                <w:color w:val="auto"/>
                <w:highlight w:val="none"/>
              </w:rPr>
            </w:pPr>
            <w:r>
              <w:rPr>
                <w:rFonts w:hint="eastAsia"/>
                <w:color w:val="auto"/>
                <w:szCs w:val="20"/>
                <w:highlight w:val="none"/>
              </w:rPr>
              <w:t>远程问题诊断和支持服务</w:t>
            </w:r>
          </w:p>
        </w:tc>
        <w:tc>
          <w:tcPr>
            <w:tcW w:w="3555"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spacing w:before="0" w:beforeAutospacing="0"/>
              <w:rPr>
                <w:rFonts w:hint="default"/>
                <w:color w:val="auto"/>
                <w:szCs w:val="20"/>
                <w:highlight w:val="none"/>
              </w:rPr>
            </w:pPr>
            <w:r>
              <w:rPr>
                <w:rFonts w:hint="eastAsia"/>
                <w:color w:val="auto"/>
                <w:szCs w:val="20"/>
                <w:highlight w:val="none"/>
              </w:rPr>
              <w:t>故障定位、提出解决方案、故障处理</w:t>
            </w:r>
          </w:p>
        </w:tc>
        <w:tc>
          <w:tcPr>
            <w:tcW w:w="7455" w:type="dxa"/>
            <w:tcBorders>
              <w:top w:val="single" w:color="auto" w:sz="6" w:space="0"/>
              <w:bottom w:val="single" w:color="auto" w:sz="6" w:space="0"/>
              <w:right w:val="single" w:color="auto" w:sz="4" w:space="0"/>
            </w:tcBorders>
            <w:shd w:val="clear" w:color="auto" w:fill="FFFFFF"/>
            <w:vAlign w:val="center"/>
          </w:tcPr>
          <w:p>
            <w:pPr>
              <w:pStyle w:val="29"/>
              <w:keepNext w:val="0"/>
              <w:keepLines w:val="0"/>
              <w:suppressLineNumbers w:val="0"/>
              <w:rPr>
                <w:rFonts w:hint="default" w:ascii="宋体" w:hAnsi="宋体" w:cs="宋体"/>
                <w:color w:val="auto"/>
                <w:kern w:val="2"/>
                <w:highlight w:val="none"/>
              </w:rPr>
            </w:pPr>
            <w:r>
              <w:rPr>
                <w:rFonts w:hint="eastAsia" w:ascii="宋体" w:hAnsi="宋体" w:cs="宋体"/>
                <w:color w:val="auto"/>
                <w:kern w:val="2"/>
                <w:highlight w:val="none"/>
              </w:rPr>
              <w:t>通过电话、Email、远程协助等方式为比选人提供技术支持和帮助，安排技术人员在规定时间内（即响应时间）帮助户用进行故障定位，并提出解决方案，指导比选人排除设备故障。</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widowControl/>
              <w:suppressLineNumbers w:val="0"/>
              <w:spacing w:beforeAutospacing="0"/>
              <w:jc w:val="left"/>
              <w:rPr>
                <w:rFonts w:hint="default" w:ascii="宋体" w:hAnsi="宋体" w:cs="宋体"/>
                <w:color w:val="auto"/>
                <w:kern w:val="2"/>
                <w:highlight w:val="none"/>
              </w:rPr>
            </w:pPr>
          </w:p>
        </w:tc>
        <w:tc>
          <w:tcPr>
            <w:tcW w:w="79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left"/>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82" w:hRule="atLeast"/>
          <w:jc w:val="center"/>
        </w:trPr>
        <w:tc>
          <w:tcPr>
            <w:tcW w:w="713"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highlight w:val="none"/>
              </w:rPr>
            </w:pPr>
            <w:r>
              <w:rPr>
                <w:rFonts w:hint="eastAsia" w:ascii="宋体" w:hAnsi="宋体" w:cs="宋体"/>
                <w:color w:val="auto"/>
                <w:highlight w:val="none"/>
              </w:rPr>
              <w:t>3</w:t>
            </w:r>
          </w:p>
        </w:tc>
        <w:tc>
          <w:tcPr>
            <w:tcW w:w="1460"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ascii="宋体" w:hAnsi="宋体" w:cs="宋体"/>
                <w:color w:val="auto"/>
                <w:highlight w:val="none"/>
              </w:rPr>
            </w:pPr>
            <w:r>
              <w:rPr>
                <w:rFonts w:hint="eastAsia"/>
                <w:color w:val="auto"/>
                <w:szCs w:val="20"/>
                <w:highlight w:val="none"/>
              </w:rPr>
              <w:t>设备故障件维修服务</w:t>
            </w:r>
          </w:p>
        </w:tc>
        <w:tc>
          <w:tcPr>
            <w:tcW w:w="3555"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spacing w:before="0" w:beforeAutospacing="0"/>
              <w:rPr>
                <w:rFonts w:hint="default"/>
                <w:color w:val="auto"/>
                <w:szCs w:val="20"/>
                <w:highlight w:val="none"/>
              </w:rPr>
            </w:pPr>
            <w:r>
              <w:rPr>
                <w:rFonts w:hint="eastAsia"/>
                <w:color w:val="auto"/>
                <w:szCs w:val="20"/>
                <w:highlight w:val="none"/>
              </w:rPr>
              <w:t>受理故障设备报修、快速更换</w:t>
            </w:r>
            <w:r>
              <w:rPr>
                <w:rFonts w:hint="default"/>
                <w:color w:val="auto"/>
                <w:szCs w:val="20"/>
                <w:highlight w:val="none"/>
              </w:rPr>
              <w:t>故障件</w:t>
            </w:r>
          </w:p>
        </w:tc>
        <w:tc>
          <w:tcPr>
            <w:tcW w:w="7455" w:type="dxa"/>
            <w:tcBorders>
              <w:top w:val="single" w:color="auto" w:sz="6" w:space="0"/>
              <w:bottom w:val="single" w:color="auto" w:sz="6" w:space="0"/>
              <w:right w:val="single" w:color="auto" w:sz="4" w:space="0"/>
            </w:tcBorders>
            <w:shd w:val="clear" w:color="auto" w:fill="FFFFFF"/>
            <w:vAlign w:val="center"/>
          </w:tcPr>
          <w:p>
            <w:pPr>
              <w:pStyle w:val="29"/>
              <w:keepNext w:val="0"/>
              <w:keepLines w:val="0"/>
              <w:numPr>
                <w:ilvl w:val="0"/>
                <w:numId w:val="15"/>
              </w:numPr>
              <w:suppressLineNumbers w:val="0"/>
              <w:rPr>
                <w:rFonts w:hint="eastAsia" w:ascii="宋体" w:hAnsi="宋体" w:cs="宋体"/>
                <w:color w:val="auto"/>
                <w:kern w:val="2"/>
                <w:highlight w:val="none"/>
                <w:lang w:eastAsia="zh-CN"/>
              </w:rPr>
            </w:pPr>
            <w:r>
              <w:rPr>
                <w:rFonts w:hint="eastAsia" w:ascii="宋体" w:hAnsi="宋体" w:cs="宋体"/>
                <w:color w:val="auto"/>
                <w:kern w:val="2"/>
                <w:highlight w:val="none"/>
              </w:rPr>
              <w:t>快速受理故障设备报修，故障件维修由比选申请人根据比选人评估后进行维修，故障件修复率不低于年度故障返修件的90%，如低于90%，则比选申请人免费用全新件将剩余未修复的故障件进行替换，以达到90%返修件修复率的要求</w:t>
            </w:r>
            <w:r>
              <w:rPr>
                <w:rFonts w:hint="eastAsia" w:ascii="宋体" w:hAnsi="宋体" w:cs="宋体"/>
                <w:color w:val="auto"/>
                <w:kern w:val="2"/>
                <w:highlight w:val="none"/>
                <w:lang w:eastAsia="zh-CN"/>
              </w:rPr>
              <w:t>；</w:t>
            </w:r>
          </w:p>
          <w:p>
            <w:pPr>
              <w:pStyle w:val="29"/>
              <w:keepNext w:val="0"/>
              <w:keepLines w:val="0"/>
              <w:numPr>
                <w:ilvl w:val="0"/>
                <w:numId w:val="15"/>
              </w:numPr>
              <w:suppressLineNumbers w:val="0"/>
              <w:rPr>
                <w:rFonts w:hint="eastAsia" w:ascii="宋体" w:hAnsi="宋体" w:cs="宋体"/>
                <w:color w:val="auto"/>
                <w:kern w:val="2"/>
                <w:highlight w:val="none"/>
              </w:rPr>
            </w:pPr>
            <w:r>
              <w:rPr>
                <w:rFonts w:hint="eastAsia" w:ascii="宋体" w:hAnsi="宋体" w:cs="宋体"/>
                <w:color w:val="auto"/>
                <w:kern w:val="2"/>
                <w:highlight w:val="none"/>
              </w:rPr>
              <w:t>返修件返回时，由比选申请人负责在比选人提供的设备上进行确认，共同确认返修件的功能状态正常，方可移交比选人</w:t>
            </w:r>
            <w:r>
              <w:rPr>
                <w:rFonts w:hint="eastAsia" w:ascii="宋体" w:hAnsi="宋体" w:cs="宋体"/>
                <w:color w:val="auto"/>
                <w:kern w:val="2"/>
                <w:highlight w:val="none"/>
                <w:lang w:eastAsia="zh-CN"/>
              </w:rPr>
              <w:t>；</w:t>
            </w:r>
          </w:p>
          <w:p>
            <w:pPr>
              <w:pStyle w:val="29"/>
              <w:keepNext w:val="0"/>
              <w:keepLines w:val="0"/>
              <w:numPr>
                <w:ilvl w:val="0"/>
                <w:numId w:val="15"/>
              </w:numPr>
              <w:suppressLineNumbers w:val="0"/>
              <w:rPr>
                <w:rFonts w:hint="default" w:ascii="宋体" w:hAnsi="宋体" w:cs="宋体"/>
                <w:color w:val="auto"/>
                <w:kern w:val="2"/>
                <w:highlight w:val="none"/>
              </w:rPr>
            </w:pPr>
            <w:r>
              <w:rPr>
                <w:rFonts w:hint="eastAsia" w:ascii="宋体" w:hAnsi="宋体" w:cs="宋体"/>
                <w:color w:val="auto"/>
                <w:kern w:val="2"/>
                <w:highlight w:val="none"/>
              </w:rPr>
              <w:t>返修件的质保周期不低于3个月，返修件返厂维修所产生的费用由比选申请人负责</w:t>
            </w:r>
            <w:r>
              <w:rPr>
                <w:rFonts w:hint="eastAsia" w:ascii="宋体" w:hAnsi="宋体" w:cs="宋体"/>
                <w:color w:val="auto"/>
                <w:kern w:val="2"/>
                <w:highlight w:val="none"/>
                <w:lang w:eastAsia="zh-CN"/>
              </w:rPr>
              <w:t>。</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widowControl/>
              <w:suppressLineNumbers w:val="0"/>
              <w:spacing w:beforeAutospacing="0"/>
              <w:jc w:val="left"/>
              <w:rPr>
                <w:rFonts w:hint="default" w:ascii="宋体" w:hAnsi="宋体" w:cs="宋体"/>
                <w:color w:val="auto"/>
                <w:kern w:val="2"/>
                <w:highlight w:val="none"/>
              </w:rPr>
            </w:pPr>
          </w:p>
        </w:tc>
        <w:tc>
          <w:tcPr>
            <w:tcW w:w="79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left"/>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38" w:hRule="atLeast"/>
          <w:jc w:val="center"/>
        </w:trPr>
        <w:tc>
          <w:tcPr>
            <w:tcW w:w="713"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highlight w:val="none"/>
              </w:rPr>
            </w:pPr>
            <w:r>
              <w:rPr>
                <w:rFonts w:hint="eastAsia" w:ascii="宋体" w:hAnsi="宋体" w:cs="宋体"/>
                <w:color w:val="auto"/>
                <w:highlight w:val="none"/>
              </w:rPr>
              <w:t>4</w:t>
            </w:r>
          </w:p>
        </w:tc>
        <w:tc>
          <w:tcPr>
            <w:tcW w:w="1460"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ascii="宋体" w:hAnsi="宋体" w:cs="宋体"/>
                <w:color w:val="auto"/>
                <w:highlight w:val="none"/>
              </w:rPr>
            </w:pPr>
            <w:r>
              <w:rPr>
                <w:rFonts w:hint="eastAsia"/>
                <w:color w:val="auto"/>
                <w:szCs w:val="20"/>
                <w:highlight w:val="none"/>
              </w:rPr>
              <w:t>核心交换机现场技术支持服务</w:t>
            </w:r>
          </w:p>
        </w:tc>
        <w:tc>
          <w:tcPr>
            <w:tcW w:w="3555"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spacing w:before="0" w:beforeAutospacing="0"/>
              <w:rPr>
                <w:rFonts w:hint="default"/>
                <w:color w:val="auto"/>
                <w:szCs w:val="20"/>
                <w:highlight w:val="none"/>
              </w:rPr>
            </w:pPr>
            <w:r>
              <w:rPr>
                <w:rFonts w:hint="eastAsia"/>
                <w:color w:val="auto"/>
                <w:szCs w:val="20"/>
                <w:highlight w:val="none"/>
              </w:rPr>
              <w:t>现场故障诊断、故障处理、现场故障件更换</w:t>
            </w:r>
            <w:r>
              <w:rPr>
                <w:rFonts w:hint="eastAsia"/>
                <w:color w:val="auto"/>
                <w:szCs w:val="20"/>
                <w:highlight w:val="none"/>
                <w:lang w:eastAsia="zh-CN"/>
              </w:rPr>
              <w:t>、</w:t>
            </w:r>
            <w:r>
              <w:rPr>
                <w:rFonts w:hint="eastAsia"/>
                <w:color w:val="auto"/>
                <w:szCs w:val="20"/>
                <w:highlight w:val="none"/>
              </w:rPr>
              <w:t>设备迁移</w:t>
            </w:r>
            <w:r>
              <w:rPr>
                <w:rFonts w:hint="eastAsia"/>
                <w:color w:val="auto"/>
                <w:szCs w:val="20"/>
                <w:highlight w:val="none"/>
                <w:lang w:eastAsia="zh-CN"/>
              </w:rPr>
              <w:t>、</w:t>
            </w:r>
            <w:r>
              <w:rPr>
                <w:rFonts w:hint="eastAsia"/>
                <w:color w:val="auto"/>
                <w:szCs w:val="20"/>
                <w:highlight w:val="none"/>
              </w:rPr>
              <w:t>数据备份迁移</w:t>
            </w:r>
            <w:r>
              <w:rPr>
                <w:rFonts w:hint="eastAsia"/>
                <w:color w:val="auto"/>
                <w:szCs w:val="20"/>
                <w:highlight w:val="none"/>
                <w:lang w:eastAsia="zh-CN"/>
              </w:rPr>
              <w:t>、</w:t>
            </w:r>
            <w:r>
              <w:rPr>
                <w:rFonts w:hint="eastAsia"/>
                <w:color w:val="auto"/>
                <w:szCs w:val="20"/>
                <w:highlight w:val="none"/>
              </w:rPr>
              <w:t>升级改造</w:t>
            </w:r>
            <w:r>
              <w:rPr>
                <w:rFonts w:hint="eastAsia"/>
                <w:color w:val="auto"/>
                <w:szCs w:val="20"/>
                <w:highlight w:val="none"/>
                <w:lang w:eastAsia="zh-CN"/>
              </w:rPr>
              <w:t>、</w:t>
            </w:r>
            <w:r>
              <w:rPr>
                <w:rFonts w:hint="eastAsia"/>
                <w:color w:val="auto"/>
                <w:szCs w:val="20"/>
                <w:highlight w:val="none"/>
              </w:rPr>
              <w:t>应急预案等</w:t>
            </w:r>
          </w:p>
        </w:tc>
        <w:tc>
          <w:tcPr>
            <w:tcW w:w="7455" w:type="dxa"/>
            <w:tcBorders>
              <w:top w:val="single" w:color="auto" w:sz="6" w:space="0"/>
              <w:bottom w:val="single" w:color="auto" w:sz="6" w:space="0"/>
              <w:right w:val="single" w:color="auto" w:sz="4" w:space="0"/>
            </w:tcBorders>
            <w:shd w:val="clear" w:color="auto" w:fill="FFFFFF"/>
            <w:vAlign w:val="center"/>
          </w:tcPr>
          <w:p>
            <w:pPr>
              <w:pStyle w:val="29"/>
              <w:keepNext w:val="0"/>
              <w:keepLines w:val="0"/>
              <w:numPr>
                <w:ilvl w:val="0"/>
                <w:numId w:val="16"/>
              </w:numPr>
              <w:suppressLineNumbers w:val="0"/>
              <w:rPr>
                <w:rFonts w:hint="default" w:ascii="宋体" w:hAnsi="宋体" w:cs="宋体"/>
                <w:color w:val="auto"/>
                <w:kern w:val="2"/>
                <w:szCs w:val="20"/>
                <w:highlight w:val="none"/>
              </w:rPr>
            </w:pPr>
            <w:r>
              <w:rPr>
                <w:rFonts w:hint="eastAsia" w:ascii="Times New Roman" w:hAnsi="宋体" w:eastAsia="宋体" w:cs="Times New Roman"/>
                <w:color w:val="auto"/>
                <w:sz w:val="20"/>
                <w:szCs w:val="20"/>
                <w:lang w:val="en-US" w:eastAsia="zh-CN" w:bidi="ar"/>
              </w:rPr>
              <w:t>包括现场故障诊断、故障处理、现场故障件更换等；</w:t>
            </w:r>
          </w:p>
          <w:p>
            <w:pPr>
              <w:pStyle w:val="29"/>
              <w:keepNext w:val="0"/>
              <w:keepLines w:val="0"/>
              <w:numPr>
                <w:ilvl w:val="0"/>
                <w:numId w:val="16"/>
              </w:numPr>
              <w:suppressLineNumbers w:val="0"/>
              <w:rPr>
                <w:rFonts w:hint="eastAsia" w:ascii="宋体" w:hAnsi="宋体" w:cs="宋体"/>
                <w:color w:val="auto"/>
                <w:kern w:val="2"/>
                <w:highlight w:val="none"/>
              </w:rPr>
            </w:pPr>
            <w:r>
              <w:rPr>
                <w:rFonts w:hint="eastAsia" w:ascii="宋体" w:hAnsi="宋体" w:cs="宋体"/>
                <w:color w:val="auto"/>
                <w:kern w:val="2"/>
                <w:highlight w:val="none"/>
              </w:rPr>
              <w:t>当故障不能使用有效的远程支持方式进行解决时，要求派遣工程师赶往比选人现场，协助进行现场故障诊断及现场故障排除；</w:t>
            </w:r>
          </w:p>
          <w:p>
            <w:pPr>
              <w:pStyle w:val="29"/>
              <w:keepNext w:val="0"/>
              <w:keepLines w:val="0"/>
              <w:numPr>
                <w:ilvl w:val="0"/>
                <w:numId w:val="16"/>
              </w:numPr>
              <w:suppressLineNumbers w:val="0"/>
              <w:rPr>
                <w:rFonts w:hint="eastAsia" w:ascii="宋体" w:hAnsi="宋体" w:cs="宋体"/>
                <w:color w:val="auto"/>
                <w:kern w:val="2"/>
                <w:highlight w:val="none"/>
              </w:rPr>
            </w:pPr>
            <w:r>
              <w:rPr>
                <w:rFonts w:hint="eastAsia" w:ascii="宋体" w:hAnsi="宋体" w:cs="宋体"/>
                <w:color w:val="auto"/>
                <w:kern w:val="2"/>
                <w:highlight w:val="none"/>
              </w:rPr>
              <w:t>若H3C S12508 、H3C S10506（H3C S10508）华为S12708及中兴8908E核心交换机出现故障时，运营期间工程师须在0.5小时内到达现场配合处理，非运营期间工程师须在1小时内到达现场配合处理，严格控制业务中断时间；</w:t>
            </w:r>
          </w:p>
          <w:p>
            <w:pPr>
              <w:pStyle w:val="29"/>
              <w:keepNext w:val="0"/>
              <w:keepLines w:val="0"/>
              <w:numPr>
                <w:ilvl w:val="0"/>
                <w:numId w:val="16"/>
              </w:numPr>
              <w:suppressLineNumbers w:val="0"/>
              <w:rPr>
                <w:rFonts w:hint="eastAsia" w:ascii="宋体" w:hAnsi="宋体" w:cs="宋体"/>
                <w:color w:val="auto"/>
                <w:kern w:val="2"/>
                <w:highlight w:val="none"/>
              </w:rPr>
            </w:pPr>
            <w:r>
              <w:rPr>
                <w:rFonts w:hint="eastAsia" w:ascii="宋体" w:hAnsi="宋体" w:cs="宋体"/>
                <w:color w:val="auto"/>
                <w:kern w:val="2"/>
                <w:highlight w:val="none"/>
              </w:rPr>
              <w:t>在处理设备故障或者维修过程中，比选申请人工程师应对设备管理、操作人员进行必要的培训和技术交底，使设备管理、操作人员可以了解，并跟进设备的维护维修情况；</w:t>
            </w:r>
          </w:p>
          <w:p>
            <w:pPr>
              <w:pStyle w:val="29"/>
              <w:keepNext w:val="0"/>
              <w:keepLines w:val="0"/>
              <w:numPr>
                <w:ilvl w:val="0"/>
                <w:numId w:val="16"/>
              </w:numPr>
              <w:suppressLineNumbers w:val="0"/>
              <w:rPr>
                <w:rFonts w:hint="eastAsia" w:ascii="宋体" w:hAnsi="宋体" w:cs="宋体"/>
                <w:color w:val="auto"/>
                <w:kern w:val="2"/>
                <w:highlight w:val="none"/>
              </w:rPr>
            </w:pPr>
            <w:r>
              <w:rPr>
                <w:rFonts w:hint="eastAsia" w:ascii="宋体" w:hAnsi="宋体" w:cs="宋体"/>
                <w:color w:val="auto"/>
                <w:kern w:val="2"/>
                <w:highlight w:val="none"/>
              </w:rPr>
              <w:t>故障处理工作完成后须向比选人提交服务工作报告。</w:t>
            </w:r>
          </w:p>
          <w:p>
            <w:pPr>
              <w:pStyle w:val="29"/>
              <w:keepNext w:val="0"/>
              <w:keepLines w:val="0"/>
              <w:numPr>
                <w:ilvl w:val="0"/>
                <w:numId w:val="16"/>
              </w:numPr>
              <w:suppressLineNumbers w:val="0"/>
              <w:rPr>
                <w:rFonts w:hint="default" w:ascii="宋体" w:hAnsi="宋体" w:cs="宋体"/>
                <w:color w:val="auto"/>
                <w:kern w:val="2"/>
                <w:highlight w:val="none"/>
              </w:rPr>
            </w:pPr>
            <w:r>
              <w:rPr>
                <w:rFonts w:hint="eastAsia" w:ascii="宋体" w:hAnsi="宋体" w:cs="宋体"/>
                <w:color w:val="auto"/>
                <w:kern w:val="2"/>
                <w:highlight w:val="none"/>
              </w:rPr>
              <w:t>另外，现场技术支持还应包含但不限于以下服务：（1）设备迁移：由于比选人机房搬迁等原因，需要迁移设备的，比选申请人须对比选人进行现场支持，协助设备迁移工作；迁移完成后，协助比选人做好设备调试、系统配置等工作。（2）数据备份迁移：比选人因实际工作需要将设备内数据迁移或者备份至其他设备的，比选申请人须提供协助服务。（3）升级改造：比选人由于业务要求需要进行软硬件升级、改造等重要事件时，比选申请人须安排工师现场协助，提供技术支持。（4）应急预案：根据比选人实际系统运行环境，协助比选人建立系统硬件及相关软件常见故障的恢复流程及紧急处理措施，并协助开展应急演练等工作。</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widowControl/>
              <w:suppressLineNumbers w:val="0"/>
              <w:spacing w:beforeAutospacing="0"/>
              <w:jc w:val="left"/>
              <w:rPr>
                <w:rFonts w:hint="default" w:ascii="宋体" w:hAnsi="宋体" w:cs="宋体"/>
                <w:color w:val="auto"/>
                <w:kern w:val="2"/>
                <w:highlight w:val="none"/>
              </w:rPr>
            </w:pPr>
          </w:p>
        </w:tc>
        <w:tc>
          <w:tcPr>
            <w:tcW w:w="79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left"/>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14" w:hRule="atLeast"/>
          <w:jc w:val="center"/>
        </w:trPr>
        <w:tc>
          <w:tcPr>
            <w:tcW w:w="713"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highlight w:val="none"/>
              </w:rPr>
            </w:pPr>
            <w:r>
              <w:rPr>
                <w:rFonts w:hint="eastAsia" w:ascii="宋体" w:hAnsi="宋体" w:cs="宋体"/>
                <w:color w:val="auto"/>
                <w:highlight w:val="none"/>
              </w:rPr>
              <w:t>5</w:t>
            </w:r>
          </w:p>
        </w:tc>
        <w:tc>
          <w:tcPr>
            <w:tcW w:w="1460"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ascii="宋体" w:hAnsi="宋体" w:cs="宋体"/>
                <w:color w:val="auto"/>
                <w:highlight w:val="none"/>
              </w:rPr>
            </w:pPr>
            <w:r>
              <w:rPr>
                <w:rFonts w:hint="eastAsia"/>
                <w:color w:val="auto"/>
                <w:highlight w:val="none"/>
              </w:rPr>
              <w:t>核心交换机版本软件服务</w:t>
            </w:r>
          </w:p>
        </w:tc>
        <w:tc>
          <w:tcPr>
            <w:tcW w:w="3555"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spacing w:before="0" w:beforeAutospacing="0"/>
              <w:jc w:val="left"/>
              <w:rPr>
                <w:rFonts w:hint="default"/>
                <w:color w:val="auto"/>
                <w:szCs w:val="20"/>
                <w:highlight w:val="none"/>
              </w:rPr>
            </w:pPr>
            <w:r>
              <w:rPr>
                <w:rFonts w:hint="eastAsia"/>
                <w:color w:val="auto"/>
                <w:szCs w:val="20"/>
                <w:highlight w:val="none"/>
              </w:rPr>
              <w:t>检查整体网络版本一致性</w:t>
            </w:r>
            <w:r>
              <w:rPr>
                <w:rFonts w:hint="eastAsia"/>
                <w:color w:val="auto"/>
                <w:szCs w:val="20"/>
                <w:highlight w:val="none"/>
                <w:lang w:eastAsia="zh-CN"/>
              </w:rPr>
              <w:t>，</w:t>
            </w:r>
            <w:r>
              <w:rPr>
                <w:rFonts w:hint="eastAsia"/>
                <w:color w:val="auto"/>
                <w:highlight w:val="none"/>
              </w:rPr>
              <w:t>提供版本升级服务</w:t>
            </w:r>
          </w:p>
        </w:tc>
        <w:tc>
          <w:tcPr>
            <w:tcW w:w="7455" w:type="dxa"/>
            <w:tcBorders>
              <w:top w:val="single" w:color="auto" w:sz="6" w:space="0"/>
              <w:bottom w:val="single" w:color="auto" w:sz="6" w:space="0"/>
              <w:right w:val="single" w:color="auto" w:sz="4" w:space="0"/>
            </w:tcBorders>
            <w:shd w:val="clear" w:color="auto" w:fill="FFFFFF"/>
            <w:vAlign w:val="center"/>
          </w:tcPr>
          <w:p>
            <w:pPr>
              <w:pStyle w:val="29"/>
              <w:keepNext w:val="0"/>
              <w:keepLines w:val="0"/>
              <w:suppressLineNumbers w:val="0"/>
              <w:rPr>
                <w:rFonts w:hint="eastAsia"/>
                <w:color w:val="auto"/>
                <w:highlight w:val="none"/>
              </w:rPr>
            </w:pPr>
          </w:p>
          <w:p>
            <w:pPr>
              <w:pStyle w:val="29"/>
              <w:keepNext w:val="0"/>
              <w:keepLines w:val="0"/>
              <w:suppressLineNumbers w:val="0"/>
              <w:rPr>
                <w:rFonts w:hint="default"/>
                <w:color w:val="auto"/>
                <w:highlight w:val="none"/>
              </w:rPr>
            </w:pPr>
            <w:r>
              <w:rPr>
                <w:rFonts w:hint="eastAsia"/>
                <w:color w:val="auto"/>
                <w:highlight w:val="none"/>
              </w:rPr>
              <w:t>每季度至少评估一次在网核心设备的版本运行情况，检查整体网络版本一致性，包括但不限于版本软件启动项一致性和版本软件大小一致性，针对隐患设备提供版本升级服务，并做好记录输出报告</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widowControl/>
              <w:suppressLineNumbers w:val="0"/>
              <w:spacing w:beforeAutospacing="0"/>
              <w:jc w:val="left"/>
              <w:rPr>
                <w:rFonts w:hint="default" w:ascii="宋体" w:hAnsi="宋体" w:cs="宋体"/>
                <w:color w:val="auto"/>
                <w:kern w:val="2"/>
                <w:highlight w:val="none"/>
              </w:rPr>
            </w:pPr>
          </w:p>
        </w:tc>
        <w:tc>
          <w:tcPr>
            <w:tcW w:w="79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left"/>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96" w:hRule="atLeast"/>
          <w:jc w:val="center"/>
        </w:trPr>
        <w:tc>
          <w:tcPr>
            <w:tcW w:w="713"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highlight w:val="none"/>
              </w:rPr>
            </w:pPr>
            <w:r>
              <w:rPr>
                <w:rFonts w:hint="eastAsia" w:ascii="宋体" w:hAnsi="宋体" w:cs="宋体"/>
                <w:color w:val="auto"/>
                <w:highlight w:val="none"/>
              </w:rPr>
              <w:t>6</w:t>
            </w:r>
          </w:p>
        </w:tc>
        <w:tc>
          <w:tcPr>
            <w:tcW w:w="1460"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ascii="宋体" w:hAnsi="宋体" w:cs="宋体"/>
                <w:color w:val="auto"/>
                <w:highlight w:val="none"/>
              </w:rPr>
            </w:pPr>
            <w:r>
              <w:rPr>
                <w:rFonts w:hint="eastAsia"/>
                <w:color w:val="auto"/>
                <w:highlight w:val="none"/>
              </w:rPr>
              <w:t>核心交换机预防性巡检服务</w:t>
            </w:r>
          </w:p>
        </w:tc>
        <w:tc>
          <w:tcPr>
            <w:tcW w:w="3555"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spacing w:before="0" w:beforeAutospacing="0"/>
              <w:jc w:val="left"/>
              <w:rPr>
                <w:rFonts w:hint="default"/>
                <w:color w:val="auto"/>
                <w:szCs w:val="20"/>
                <w:highlight w:val="none"/>
              </w:rPr>
            </w:pPr>
            <w:r>
              <w:rPr>
                <w:rFonts w:hint="eastAsia"/>
                <w:color w:val="auto"/>
                <w:szCs w:val="20"/>
                <w:highlight w:val="none"/>
              </w:rPr>
              <w:t>巡检内容包括但不限于：</w:t>
            </w:r>
          </w:p>
          <w:p>
            <w:pPr>
              <w:pStyle w:val="29"/>
              <w:keepNext w:val="0"/>
              <w:keepLines w:val="0"/>
              <w:suppressLineNumbers w:val="0"/>
              <w:spacing w:before="0" w:beforeAutospacing="0"/>
              <w:jc w:val="left"/>
              <w:rPr>
                <w:rFonts w:hint="default"/>
                <w:color w:val="auto"/>
                <w:szCs w:val="20"/>
                <w:highlight w:val="none"/>
              </w:rPr>
            </w:pPr>
            <w:r>
              <w:rPr>
                <w:rFonts w:hint="eastAsia"/>
                <w:color w:val="auto"/>
                <w:szCs w:val="20"/>
                <w:highlight w:val="none"/>
              </w:rPr>
              <w:t>1.硬件状态检查：</w:t>
            </w:r>
          </w:p>
          <w:p>
            <w:pPr>
              <w:pStyle w:val="29"/>
              <w:keepNext w:val="0"/>
              <w:keepLines w:val="0"/>
              <w:suppressLineNumbers w:val="0"/>
              <w:spacing w:before="0" w:beforeAutospacing="0"/>
              <w:jc w:val="left"/>
              <w:rPr>
                <w:rFonts w:hint="default"/>
                <w:color w:val="auto"/>
                <w:szCs w:val="20"/>
                <w:highlight w:val="none"/>
              </w:rPr>
            </w:pPr>
            <w:r>
              <w:rPr>
                <w:rFonts w:hint="eastAsia"/>
                <w:color w:val="auto"/>
                <w:szCs w:val="20"/>
                <w:highlight w:val="none"/>
              </w:rPr>
              <w:t>（1）设备硬件健康状态检查</w:t>
            </w:r>
            <w:r>
              <w:rPr>
                <w:rFonts w:hint="default"/>
                <w:color w:val="auto"/>
                <w:szCs w:val="20"/>
                <w:highlight w:val="none"/>
              </w:rPr>
              <w:t xml:space="preserve"> </w:t>
            </w:r>
            <w:r>
              <w:rPr>
                <w:rFonts w:hint="eastAsia"/>
                <w:color w:val="auto"/>
                <w:szCs w:val="20"/>
                <w:highlight w:val="none"/>
              </w:rPr>
              <w:t>，</w:t>
            </w:r>
          </w:p>
          <w:p>
            <w:pPr>
              <w:pStyle w:val="29"/>
              <w:keepNext w:val="0"/>
              <w:keepLines w:val="0"/>
              <w:suppressLineNumbers w:val="0"/>
              <w:spacing w:before="0" w:beforeAutospacing="0"/>
              <w:jc w:val="left"/>
              <w:rPr>
                <w:rFonts w:hint="default"/>
                <w:color w:val="auto"/>
                <w:szCs w:val="20"/>
                <w:highlight w:val="none"/>
              </w:rPr>
            </w:pPr>
            <w:r>
              <w:rPr>
                <w:rFonts w:hint="eastAsia"/>
                <w:color w:val="auto"/>
                <w:szCs w:val="20"/>
                <w:highlight w:val="none"/>
              </w:rPr>
              <w:t>（2）</w:t>
            </w:r>
            <w:r>
              <w:rPr>
                <w:rFonts w:hint="default"/>
                <w:color w:val="auto"/>
                <w:szCs w:val="20"/>
                <w:highlight w:val="none"/>
              </w:rPr>
              <w:t>光模块功率检查</w:t>
            </w:r>
            <w:r>
              <w:rPr>
                <w:rFonts w:hint="eastAsia"/>
                <w:color w:val="auto"/>
                <w:szCs w:val="20"/>
                <w:highlight w:val="none"/>
              </w:rPr>
              <w:t>，</w:t>
            </w:r>
          </w:p>
          <w:p>
            <w:pPr>
              <w:pStyle w:val="29"/>
              <w:keepNext w:val="0"/>
              <w:keepLines w:val="0"/>
              <w:suppressLineNumbers w:val="0"/>
              <w:spacing w:before="0" w:beforeAutospacing="0"/>
              <w:jc w:val="left"/>
              <w:rPr>
                <w:rFonts w:hint="default"/>
                <w:color w:val="auto"/>
                <w:szCs w:val="20"/>
                <w:highlight w:val="none"/>
              </w:rPr>
            </w:pPr>
            <w:r>
              <w:rPr>
                <w:rFonts w:hint="eastAsia"/>
                <w:color w:val="auto"/>
                <w:szCs w:val="20"/>
                <w:highlight w:val="none"/>
              </w:rPr>
              <w:t>（3）</w:t>
            </w:r>
            <w:r>
              <w:rPr>
                <w:rFonts w:hint="default"/>
                <w:color w:val="auto"/>
                <w:szCs w:val="20"/>
                <w:highlight w:val="none"/>
              </w:rPr>
              <w:t>光模块告警信息检查，</w:t>
            </w:r>
          </w:p>
          <w:p>
            <w:pPr>
              <w:pStyle w:val="29"/>
              <w:keepNext w:val="0"/>
              <w:keepLines w:val="0"/>
              <w:suppressLineNumbers w:val="0"/>
              <w:spacing w:before="0" w:beforeAutospacing="0"/>
              <w:jc w:val="left"/>
              <w:rPr>
                <w:rFonts w:hint="default"/>
                <w:color w:val="auto"/>
                <w:szCs w:val="20"/>
                <w:highlight w:val="none"/>
              </w:rPr>
            </w:pPr>
            <w:r>
              <w:rPr>
                <w:rFonts w:hint="eastAsia"/>
                <w:color w:val="auto"/>
                <w:szCs w:val="20"/>
                <w:highlight w:val="none"/>
              </w:rPr>
              <w:t>（4）设备网板在位情况检查，</w:t>
            </w:r>
          </w:p>
          <w:p>
            <w:pPr>
              <w:pStyle w:val="29"/>
              <w:keepNext w:val="0"/>
              <w:keepLines w:val="0"/>
              <w:suppressLineNumbers w:val="0"/>
              <w:spacing w:before="0" w:beforeAutospacing="0"/>
              <w:jc w:val="left"/>
              <w:rPr>
                <w:rFonts w:hint="default"/>
                <w:color w:val="auto"/>
                <w:szCs w:val="20"/>
                <w:highlight w:val="none"/>
              </w:rPr>
            </w:pPr>
            <w:r>
              <w:rPr>
                <w:rFonts w:hint="eastAsia"/>
                <w:color w:val="auto"/>
                <w:szCs w:val="20"/>
                <w:highlight w:val="none"/>
              </w:rPr>
              <w:t>（5）整机指示灯状态检查，</w:t>
            </w:r>
          </w:p>
          <w:p>
            <w:pPr>
              <w:pStyle w:val="29"/>
              <w:keepNext w:val="0"/>
              <w:keepLines w:val="0"/>
              <w:suppressLineNumbers w:val="0"/>
              <w:spacing w:before="0" w:beforeAutospacing="0"/>
              <w:jc w:val="left"/>
              <w:rPr>
                <w:rFonts w:hint="default"/>
                <w:color w:val="auto"/>
                <w:szCs w:val="20"/>
                <w:highlight w:val="none"/>
              </w:rPr>
            </w:pPr>
            <w:r>
              <w:rPr>
                <w:rFonts w:hint="eastAsia"/>
                <w:color w:val="auto"/>
                <w:szCs w:val="20"/>
                <w:highlight w:val="none"/>
              </w:rPr>
              <w:t>（6）设备地线检查；</w:t>
            </w:r>
          </w:p>
          <w:p>
            <w:pPr>
              <w:pStyle w:val="29"/>
              <w:keepNext w:val="0"/>
              <w:keepLines w:val="0"/>
              <w:suppressLineNumbers w:val="0"/>
              <w:spacing w:before="0" w:beforeAutospacing="0"/>
              <w:jc w:val="left"/>
              <w:rPr>
                <w:rFonts w:hint="default"/>
                <w:color w:val="auto"/>
                <w:szCs w:val="20"/>
                <w:highlight w:val="none"/>
              </w:rPr>
            </w:pPr>
            <w:r>
              <w:rPr>
                <w:rFonts w:hint="eastAsia"/>
                <w:color w:val="auto"/>
                <w:szCs w:val="20"/>
                <w:highlight w:val="none"/>
              </w:rPr>
              <w:t>2.软件状态检查：</w:t>
            </w:r>
          </w:p>
          <w:p>
            <w:pPr>
              <w:pStyle w:val="29"/>
              <w:keepNext w:val="0"/>
              <w:keepLines w:val="0"/>
              <w:suppressLineNumbers w:val="0"/>
              <w:spacing w:before="0" w:beforeAutospacing="0"/>
              <w:jc w:val="left"/>
              <w:rPr>
                <w:rFonts w:hint="default"/>
                <w:color w:val="auto"/>
                <w:szCs w:val="20"/>
                <w:highlight w:val="none"/>
              </w:rPr>
            </w:pPr>
            <w:r>
              <w:rPr>
                <w:rFonts w:hint="eastAsia"/>
                <w:color w:val="auto"/>
                <w:szCs w:val="20"/>
                <w:highlight w:val="none"/>
              </w:rPr>
              <w:t>（1）接口物理状态检查，</w:t>
            </w:r>
          </w:p>
          <w:p>
            <w:pPr>
              <w:pStyle w:val="29"/>
              <w:keepNext w:val="0"/>
              <w:keepLines w:val="0"/>
              <w:suppressLineNumbers w:val="0"/>
              <w:spacing w:before="0" w:beforeAutospacing="0"/>
              <w:jc w:val="left"/>
              <w:rPr>
                <w:rFonts w:hint="default"/>
                <w:color w:val="auto"/>
                <w:szCs w:val="20"/>
                <w:highlight w:val="none"/>
              </w:rPr>
            </w:pPr>
            <w:r>
              <w:rPr>
                <w:rFonts w:hint="eastAsia"/>
                <w:color w:val="auto"/>
                <w:szCs w:val="20"/>
                <w:highlight w:val="none"/>
              </w:rPr>
              <w:t>（2）链路带宽利用率检查</w:t>
            </w:r>
            <w:r>
              <w:rPr>
                <w:rFonts w:hint="default"/>
                <w:color w:val="auto"/>
                <w:szCs w:val="20"/>
                <w:highlight w:val="none"/>
              </w:rPr>
              <w:t>，</w:t>
            </w:r>
          </w:p>
          <w:p>
            <w:pPr>
              <w:pStyle w:val="29"/>
              <w:keepNext w:val="0"/>
              <w:keepLines w:val="0"/>
              <w:suppressLineNumbers w:val="0"/>
              <w:spacing w:before="0" w:beforeAutospacing="0"/>
              <w:jc w:val="left"/>
              <w:rPr>
                <w:rFonts w:hint="default"/>
                <w:color w:val="auto"/>
                <w:szCs w:val="20"/>
                <w:highlight w:val="none"/>
              </w:rPr>
            </w:pPr>
            <w:r>
              <w:rPr>
                <w:rFonts w:hint="eastAsia"/>
                <w:color w:val="auto"/>
                <w:szCs w:val="20"/>
                <w:highlight w:val="none"/>
              </w:rPr>
              <w:t>（3）设备端口流量工作情况检查</w:t>
            </w:r>
            <w:r>
              <w:rPr>
                <w:rFonts w:hint="default"/>
                <w:color w:val="auto"/>
                <w:szCs w:val="20"/>
                <w:highlight w:val="none"/>
              </w:rPr>
              <w:t>，</w:t>
            </w:r>
          </w:p>
          <w:p>
            <w:pPr>
              <w:pStyle w:val="29"/>
              <w:keepNext w:val="0"/>
              <w:keepLines w:val="0"/>
              <w:suppressLineNumbers w:val="0"/>
              <w:spacing w:before="0" w:beforeAutospacing="0"/>
              <w:jc w:val="left"/>
              <w:rPr>
                <w:rFonts w:hint="default"/>
                <w:color w:val="auto"/>
                <w:szCs w:val="20"/>
                <w:highlight w:val="none"/>
              </w:rPr>
            </w:pPr>
            <w:r>
              <w:rPr>
                <w:rFonts w:hint="eastAsia"/>
                <w:color w:val="auto"/>
                <w:szCs w:val="20"/>
                <w:highlight w:val="none"/>
              </w:rPr>
              <w:t>（4）物理接口广播报文流量检查</w:t>
            </w:r>
            <w:r>
              <w:rPr>
                <w:rFonts w:hint="default"/>
                <w:color w:val="auto"/>
                <w:szCs w:val="20"/>
                <w:highlight w:val="none"/>
              </w:rPr>
              <w:t>，</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（5）设备虚拟化环境下是否存在跨框镜像检查</w:t>
            </w:r>
            <w:r>
              <w:rPr>
                <w:rFonts w:hint="default" w:ascii="宋体" w:hAnsi="宋体"/>
                <w:color w:val="auto"/>
                <w:szCs w:val="20"/>
                <w:highlight w:val="none"/>
              </w:rPr>
              <w:t>，</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（6）CPU和内存使用率检查</w:t>
            </w:r>
            <w:r>
              <w:rPr>
                <w:rFonts w:hint="default" w:ascii="宋体" w:hAnsi="宋体"/>
                <w:color w:val="auto"/>
                <w:szCs w:val="20"/>
                <w:highlight w:val="none"/>
              </w:rPr>
              <w:t>，</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3. 协议状态检查：</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（1）堆叠口部署检查，</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（2）</w:t>
            </w:r>
            <w:r>
              <w:rPr>
                <w:rFonts w:hint="default" w:ascii="宋体" w:hAnsi="宋体"/>
                <w:color w:val="auto"/>
                <w:szCs w:val="20"/>
                <w:highlight w:val="none"/>
              </w:rPr>
              <w:t>链路聚合成员端</w:t>
            </w:r>
            <w:r>
              <w:rPr>
                <w:rFonts w:hint="eastAsia" w:ascii="宋体" w:hAnsi="宋体"/>
                <w:color w:val="auto"/>
                <w:szCs w:val="20"/>
                <w:highlight w:val="none"/>
              </w:rPr>
              <w:t>口跨板</w:t>
            </w:r>
            <w:r>
              <w:rPr>
                <w:rFonts w:hint="default" w:ascii="宋体" w:hAnsi="宋体"/>
                <w:color w:val="auto"/>
                <w:szCs w:val="20"/>
                <w:highlight w:val="none"/>
              </w:rPr>
              <w:t>/跨</w:t>
            </w:r>
            <w:r>
              <w:rPr>
                <w:rFonts w:hint="eastAsia" w:ascii="宋体" w:hAnsi="宋体"/>
                <w:color w:val="auto"/>
                <w:szCs w:val="20"/>
                <w:highlight w:val="none"/>
              </w:rPr>
              <w:t>框部署检查，</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（3）聚合组成员端口选中状态检查，</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（4）</w:t>
            </w:r>
            <w:r>
              <w:rPr>
                <w:rFonts w:hint="default" w:ascii="宋体" w:hAnsi="宋体"/>
                <w:color w:val="auto"/>
                <w:szCs w:val="20"/>
                <w:highlight w:val="none"/>
              </w:rPr>
              <w:t>OSPF错误统计检查，</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（5）</w:t>
            </w:r>
            <w:r>
              <w:rPr>
                <w:rFonts w:hint="default" w:ascii="宋体" w:hAnsi="宋体"/>
                <w:color w:val="auto"/>
                <w:szCs w:val="20"/>
                <w:highlight w:val="none"/>
              </w:rPr>
              <w:t>设备动态路由检查；</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4. 安全状态检查：</w:t>
            </w:r>
            <w:r>
              <w:rPr>
                <w:rFonts w:hint="default" w:ascii="宋体" w:hAnsi="宋体"/>
                <w:color w:val="auto"/>
                <w:szCs w:val="20"/>
                <w:highlight w:val="none"/>
              </w:rPr>
              <w:t>Login用户登录失败延迟检查</w:t>
            </w:r>
            <w:r>
              <w:rPr>
                <w:rFonts w:hint="eastAsia" w:ascii="宋体" w:hAnsi="宋体"/>
                <w:color w:val="auto"/>
                <w:szCs w:val="20"/>
                <w:highlight w:val="none"/>
              </w:rPr>
              <w:t>，</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5. 诊断信息检查：</w:t>
            </w:r>
            <w:r>
              <w:rPr>
                <w:rFonts w:hint="default" w:ascii="宋体" w:hAnsi="宋体"/>
                <w:color w:val="auto"/>
                <w:szCs w:val="20"/>
                <w:highlight w:val="none"/>
              </w:rPr>
              <w:t>端口错</w:t>
            </w:r>
            <w:r>
              <w:rPr>
                <w:rFonts w:hint="eastAsia" w:ascii="宋体" w:hAnsi="宋体"/>
                <w:color w:val="auto"/>
                <w:szCs w:val="20"/>
                <w:highlight w:val="none"/>
              </w:rPr>
              <w:t>包统计检查；</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lang w:val="en-US" w:eastAsia="zh-CN"/>
              </w:rPr>
              <w:t>6</w:t>
            </w:r>
            <w:r>
              <w:rPr>
                <w:rFonts w:hint="eastAsia" w:ascii="宋体" w:hAnsi="宋体"/>
                <w:color w:val="auto"/>
                <w:szCs w:val="20"/>
                <w:highlight w:val="none"/>
              </w:rPr>
              <w:t>.</w:t>
            </w:r>
            <w:r>
              <w:rPr>
                <w:rFonts w:hint="default" w:ascii="宋体" w:hAnsi="宋体"/>
                <w:color w:val="auto"/>
                <w:szCs w:val="20"/>
                <w:highlight w:val="none"/>
              </w:rPr>
              <w:t xml:space="preserve"> 配置规范检查：</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（1）</w:t>
            </w:r>
            <w:r>
              <w:rPr>
                <w:rFonts w:hint="default" w:ascii="宋体" w:hAnsi="宋体"/>
                <w:color w:val="auto"/>
                <w:szCs w:val="20"/>
                <w:highlight w:val="none"/>
              </w:rPr>
              <w:t>特殊配置检查，</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（2）虚拟化分裂检测接口配置检查</w:t>
            </w:r>
            <w:r>
              <w:rPr>
                <w:rFonts w:hint="default" w:ascii="宋体" w:hAnsi="宋体"/>
                <w:color w:val="auto"/>
                <w:szCs w:val="20"/>
                <w:highlight w:val="none"/>
              </w:rPr>
              <w:t>，</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（3）</w:t>
            </w:r>
            <w:r>
              <w:rPr>
                <w:rFonts w:hint="default" w:ascii="宋体" w:hAnsi="宋体"/>
                <w:color w:val="auto"/>
                <w:szCs w:val="20"/>
                <w:highlight w:val="none"/>
              </w:rPr>
              <w:t>静态聚合检查，</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（4）</w:t>
            </w:r>
            <w:r>
              <w:rPr>
                <w:rFonts w:hint="default" w:ascii="宋体" w:hAnsi="宋体"/>
                <w:color w:val="auto"/>
                <w:szCs w:val="20"/>
                <w:highlight w:val="none"/>
              </w:rPr>
              <w:t>NTP报文源接口为loopback接口检查；</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8.</w:t>
            </w:r>
            <w:r>
              <w:rPr>
                <w:rFonts w:hint="default" w:ascii="宋体" w:hAnsi="宋体"/>
                <w:color w:val="auto"/>
                <w:szCs w:val="20"/>
                <w:highlight w:val="none"/>
              </w:rPr>
              <w:t xml:space="preserve"> 网络整体运行情况检查：</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（1）</w:t>
            </w:r>
            <w:r>
              <w:rPr>
                <w:rFonts w:hint="default" w:ascii="宋体" w:hAnsi="宋体"/>
                <w:color w:val="auto"/>
                <w:szCs w:val="20"/>
                <w:highlight w:val="none"/>
              </w:rPr>
              <w:t>网络变更情况检查，</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（2）</w:t>
            </w:r>
            <w:r>
              <w:rPr>
                <w:rFonts w:hint="default" w:ascii="宋体" w:hAnsi="宋体"/>
                <w:color w:val="auto"/>
                <w:szCs w:val="20"/>
                <w:highlight w:val="none"/>
              </w:rPr>
              <w:t>网络历史故障调查；</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9.</w:t>
            </w:r>
            <w:r>
              <w:rPr>
                <w:rFonts w:hint="default" w:ascii="宋体" w:hAnsi="宋体"/>
                <w:color w:val="auto"/>
                <w:szCs w:val="20"/>
                <w:highlight w:val="none"/>
              </w:rPr>
              <w:t xml:space="preserve"> 系统环境及安全备份检查：</w:t>
            </w:r>
          </w:p>
          <w:p>
            <w:pPr>
              <w:pStyle w:val="29"/>
              <w:keepNext w:val="0"/>
              <w:keepLines w:val="0"/>
              <w:suppressLineNumbers w:val="0"/>
              <w:spacing w:before="0" w:beforeAutospacing="0"/>
              <w:jc w:val="left"/>
              <w:rPr>
                <w:rFonts w:hint="default" w:ascii="宋体" w:hAnsi="宋体"/>
                <w:color w:val="auto"/>
                <w:szCs w:val="20"/>
                <w:highlight w:val="none"/>
              </w:rPr>
            </w:pPr>
            <w:r>
              <w:rPr>
                <w:rFonts w:hint="eastAsia" w:ascii="宋体" w:hAnsi="宋体"/>
                <w:color w:val="auto"/>
                <w:szCs w:val="20"/>
                <w:highlight w:val="none"/>
              </w:rPr>
              <w:t>（1）</w:t>
            </w:r>
            <w:r>
              <w:rPr>
                <w:rFonts w:hint="default" w:ascii="宋体" w:hAnsi="宋体"/>
                <w:color w:val="auto"/>
                <w:szCs w:val="20"/>
                <w:highlight w:val="none"/>
              </w:rPr>
              <w:t>机房及设备环境检查，</w:t>
            </w:r>
          </w:p>
          <w:p>
            <w:pPr>
              <w:pStyle w:val="29"/>
              <w:keepNext w:val="0"/>
              <w:keepLines w:val="0"/>
              <w:suppressLineNumbers w:val="0"/>
              <w:spacing w:before="0" w:beforeAutospacing="0"/>
              <w:jc w:val="left"/>
              <w:rPr>
                <w:rFonts w:hint="default"/>
                <w:color w:val="auto"/>
                <w:szCs w:val="20"/>
                <w:highlight w:val="none"/>
              </w:rPr>
            </w:pPr>
            <w:r>
              <w:rPr>
                <w:rFonts w:hint="eastAsia" w:ascii="宋体" w:hAnsi="宋体"/>
                <w:color w:val="auto"/>
                <w:szCs w:val="20"/>
                <w:highlight w:val="none"/>
              </w:rPr>
              <w:t>（2）</w:t>
            </w:r>
            <w:r>
              <w:rPr>
                <w:rFonts w:hint="default" w:ascii="宋体" w:hAnsi="宋体"/>
                <w:color w:val="auto"/>
                <w:szCs w:val="20"/>
                <w:highlight w:val="none"/>
              </w:rPr>
              <w:t>设备系统及配置备份检查，为</w:t>
            </w:r>
            <w:r>
              <w:rPr>
                <w:rFonts w:hint="eastAsia" w:ascii="宋体" w:hAnsi="宋体"/>
                <w:color w:val="auto"/>
                <w:szCs w:val="20"/>
                <w:highlight w:val="none"/>
              </w:rPr>
              <w:t>比选人</w:t>
            </w:r>
            <w:r>
              <w:rPr>
                <w:rFonts w:hint="default" w:ascii="宋体" w:hAnsi="宋体"/>
                <w:color w:val="auto"/>
                <w:szCs w:val="20"/>
                <w:highlight w:val="none"/>
              </w:rPr>
              <w:t>提供专业的建议，定期保养设备，协助</w:t>
            </w:r>
            <w:r>
              <w:rPr>
                <w:rFonts w:hint="eastAsia" w:ascii="宋体" w:hAnsi="宋体"/>
                <w:color w:val="auto"/>
                <w:szCs w:val="20"/>
                <w:highlight w:val="none"/>
              </w:rPr>
              <w:t>比选人</w:t>
            </w:r>
            <w:r>
              <w:rPr>
                <w:rFonts w:hint="default" w:ascii="宋体" w:hAnsi="宋体"/>
                <w:color w:val="auto"/>
                <w:szCs w:val="20"/>
                <w:highlight w:val="none"/>
              </w:rPr>
              <w:t>做好系统的备份工作。</w:t>
            </w:r>
          </w:p>
        </w:tc>
        <w:tc>
          <w:tcPr>
            <w:tcW w:w="7455" w:type="dxa"/>
            <w:tcBorders>
              <w:top w:val="single" w:color="auto" w:sz="6" w:space="0"/>
              <w:bottom w:val="single" w:color="auto" w:sz="6" w:space="0"/>
              <w:right w:val="single" w:color="auto" w:sz="4" w:space="0"/>
            </w:tcBorders>
            <w:shd w:val="clear" w:color="auto" w:fill="FFFFFF"/>
            <w:vAlign w:val="center"/>
          </w:tcPr>
          <w:p>
            <w:pPr>
              <w:pStyle w:val="29"/>
              <w:keepNext w:val="0"/>
              <w:keepLines w:val="0"/>
              <w:suppressLineNumbers w:val="0"/>
              <w:rPr>
                <w:rFonts w:hint="eastAsia" w:eastAsia="宋体"/>
                <w:color w:val="auto"/>
                <w:highlight w:val="none"/>
                <w:lang w:eastAsia="zh-CN"/>
              </w:rPr>
            </w:pPr>
            <w:r>
              <w:rPr>
                <w:rFonts w:hint="eastAsia" w:ascii="Times New Roman" w:hAnsi="Times New Roman" w:cs="Times New Roman"/>
                <w:color w:val="auto"/>
                <w:sz w:val="20"/>
                <w:szCs w:val="21"/>
                <w:highlight w:val="none"/>
              </w:rPr>
              <w:t>巡检完成后输出巡检报告，巡检报告内容应包含巡检的细项、巡检发现的问题、整改建议及措施</w:t>
            </w:r>
            <w:r>
              <w:rPr>
                <w:rFonts w:hint="eastAsia"/>
                <w:color w:val="auto"/>
                <w:highlight w:val="none"/>
                <w:lang w:eastAsia="zh-CN"/>
              </w:rPr>
              <w:t>。</w:t>
            </w:r>
          </w:p>
          <w:p>
            <w:pPr>
              <w:pStyle w:val="29"/>
              <w:keepNext w:val="0"/>
              <w:keepLines w:val="0"/>
              <w:suppressLineNumbers w:val="0"/>
              <w:rPr>
                <w:rFonts w:hint="default"/>
                <w:color w:val="auto"/>
                <w:highlight w:val="none"/>
              </w:rPr>
            </w:pP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widowControl/>
              <w:suppressLineNumbers w:val="0"/>
              <w:spacing w:beforeAutospacing="0"/>
              <w:jc w:val="left"/>
              <w:rPr>
                <w:rFonts w:hint="default" w:ascii="宋体" w:hAnsi="宋体" w:cs="宋体"/>
                <w:color w:val="auto"/>
                <w:kern w:val="2"/>
                <w:highlight w:val="none"/>
              </w:rPr>
            </w:pPr>
          </w:p>
        </w:tc>
        <w:tc>
          <w:tcPr>
            <w:tcW w:w="79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left"/>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09" w:hRule="atLeast"/>
          <w:jc w:val="center"/>
        </w:trPr>
        <w:tc>
          <w:tcPr>
            <w:tcW w:w="713"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highlight w:val="none"/>
              </w:rPr>
            </w:pPr>
            <w:r>
              <w:rPr>
                <w:rFonts w:hint="eastAsia" w:ascii="宋体" w:hAnsi="宋体" w:cs="宋体"/>
                <w:color w:val="auto"/>
                <w:highlight w:val="none"/>
                <w:lang w:val="en-US" w:eastAsia="zh-CN"/>
              </w:rPr>
              <w:t>7</w:t>
            </w:r>
          </w:p>
        </w:tc>
        <w:tc>
          <w:tcPr>
            <w:tcW w:w="1460"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ascii="宋体" w:hAnsi="宋体" w:cs="宋体"/>
                <w:color w:val="auto"/>
                <w:szCs w:val="20"/>
                <w:highlight w:val="none"/>
              </w:rPr>
            </w:pPr>
            <w:r>
              <w:rPr>
                <w:rFonts w:hint="default" w:hAnsi="宋体"/>
                <w:color w:val="auto"/>
                <w:szCs w:val="20"/>
                <w:highlight w:val="none"/>
              </w:rPr>
              <w:t>重要节点工作保障服务</w:t>
            </w:r>
          </w:p>
        </w:tc>
        <w:tc>
          <w:tcPr>
            <w:tcW w:w="3555"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spacing w:before="0" w:beforeAutospacing="0"/>
              <w:jc w:val="left"/>
              <w:rPr>
                <w:rFonts w:hint="default"/>
                <w:color w:val="auto"/>
                <w:szCs w:val="20"/>
                <w:highlight w:val="none"/>
              </w:rPr>
            </w:pPr>
            <w:r>
              <w:rPr>
                <w:rFonts w:hint="eastAsia"/>
                <w:color w:val="auto"/>
                <w:szCs w:val="20"/>
                <w:highlight w:val="none"/>
              </w:rPr>
              <w:t>针对比选人网络和业务，安排专人保障支持，提供应急保障服务。</w:t>
            </w:r>
          </w:p>
        </w:tc>
        <w:tc>
          <w:tcPr>
            <w:tcW w:w="7455" w:type="dxa"/>
            <w:tcBorders>
              <w:top w:val="single" w:color="auto" w:sz="6" w:space="0"/>
              <w:bottom w:val="single" w:color="auto" w:sz="6" w:space="0"/>
              <w:right w:val="single" w:color="auto" w:sz="4" w:space="0"/>
            </w:tcBorders>
            <w:shd w:val="clear" w:color="auto" w:fill="FFFFFF"/>
            <w:vAlign w:val="center"/>
          </w:tcPr>
          <w:p>
            <w:pPr>
              <w:pStyle w:val="29"/>
              <w:keepNext w:val="0"/>
              <w:keepLines w:val="0"/>
              <w:suppressLineNumbers w:val="0"/>
              <w:rPr>
                <w:rFonts w:hint="default"/>
                <w:color w:val="auto"/>
                <w:highlight w:val="none"/>
              </w:rPr>
            </w:pPr>
            <w:r>
              <w:rPr>
                <w:rFonts w:hint="eastAsia"/>
                <w:color w:val="auto"/>
                <w:highlight w:val="none"/>
              </w:rPr>
              <w:t>在重要时刻，包括重大会议期间、重大节假日、网络安全检查期间、网络重大割接或其它任何可能对业务运营产生重大影响的时刻，比选申请人须为比选人提供专人保障支持，提供应急和保障服务。</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widowControl/>
              <w:suppressLineNumbers w:val="0"/>
              <w:spacing w:beforeAutospacing="0"/>
              <w:jc w:val="left"/>
              <w:rPr>
                <w:rFonts w:hint="default" w:ascii="宋体" w:hAnsi="宋体" w:cs="宋体"/>
                <w:color w:val="auto"/>
                <w:kern w:val="2"/>
                <w:highlight w:val="none"/>
              </w:rPr>
            </w:pPr>
          </w:p>
        </w:tc>
        <w:tc>
          <w:tcPr>
            <w:tcW w:w="79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left"/>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2" w:hRule="atLeast"/>
          <w:jc w:val="center"/>
        </w:trPr>
        <w:tc>
          <w:tcPr>
            <w:tcW w:w="713"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8</w:t>
            </w:r>
          </w:p>
        </w:tc>
        <w:tc>
          <w:tcPr>
            <w:tcW w:w="1460"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ascii="宋体" w:hAnsi="宋体" w:cs="宋体"/>
                <w:color w:val="auto"/>
                <w:highlight w:val="none"/>
              </w:rPr>
            </w:pPr>
            <w:r>
              <w:rPr>
                <w:rFonts w:hint="eastAsia"/>
                <w:color w:val="auto"/>
                <w:highlight w:val="none"/>
              </w:rPr>
              <w:t>网络系统运行情况调查与分析</w:t>
            </w:r>
          </w:p>
        </w:tc>
        <w:tc>
          <w:tcPr>
            <w:tcW w:w="3555"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ascii="宋体" w:hAnsi="宋体" w:cs="宋体"/>
                <w:color w:val="auto"/>
                <w:kern w:val="2"/>
                <w:highlight w:val="none"/>
              </w:rPr>
            </w:pPr>
            <w:r>
              <w:rPr>
                <w:rFonts w:hint="eastAsia"/>
                <w:color w:val="auto"/>
                <w:highlight w:val="none"/>
              </w:rPr>
              <w:t>包括网络系统运行情况调查与分析、系统变更情况调查与分析、系统历史故障情况调查与分析。</w:t>
            </w:r>
          </w:p>
        </w:tc>
        <w:tc>
          <w:tcPr>
            <w:tcW w:w="7455"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ascii="宋体" w:hAnsi="宋体" w:cs="宋体"/>
                <w:color w:val="auto"/>
                <w:kern w:val="2"/>
                <w:highlight w:val="none"/>
              </w:rPr>
            </w:pPr>
            <w:r>
              <w:rPr>
                <w:rFonts w:hint="eastAsia"/>
                <w:color w:val="auto"/>
                <w:highlight w:val="none"/>
              </w:rPr>
              <w:t>要求提供合理化建议，以报告的形式提交给比选人,每年至少提供一次。</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widowControl/>
              <w:suppressLineNumbers w:val="0"/>
              <w:spacing w:beforeAutospacing="0"/>
              <w:jc w:val="left"/>
              <w:rPr>
                <w:rFonts w:hint="default" w:ascii="宋体" w:hAnsi="宋体" w:cs="宋体"/>
                <w:color w:val="auto"/>
                <w:kern w:val="2"/>
                <w:highlight w:val="none"/>
              </w:rPr>
            </w:pPr>
          </w:p>
        </w:tc>
        <w:tc>
          <w:tcPr>
            <w:tcW w:w="79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left"/>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0" w:hRule="atLeast"/>
          <w:jc w:val="center"/>
        </w:trPr>
        <w:tc>
          <w:tcPr>
            <w:tcW w:w="713"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eastAsia" w:ascii="宋体" w:hAnsi="宋体" w:eastAsia="宋体" w:cs="宋体"/>
                <w:color w:val="auto"/>
                <w:kern w:val="2"/>
                <w:highlight w:val="none"/>
                <w:lang w:eastAsia="zh-CN"/>
              </w:rPr>
            </w:pPr>
            <w:r>
              <w:rPr>
                <w:rFonts w:hint="eastAsia" w:ascii="宋体" w:hAnsi="宋体" w:cs="宋体"/>
                <w:color w:val="auto"/>
                <w:kern w:val="2"/>
                <w:highlight w:val="none"/>
                <w:lang w:val="en-US" w:eastAsia="zh-CN"/>
              </w:rPr>
              <w:t>9</w:t>
            </w:r>
          </w:p>
        </w:tc>
        <w:tc>
          <w:tcPr>
            <w:tcW w:w="1460"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color w:val="auto"/>
                <w:highlight w:val="none"/>
              </w:rPr>
            </w:pPr>
            <w:r>
              <w:rPr>
                <w:rFonts w:hint="eastAsia"/>
                <w:color w:val="auto"/>
                <w:highlight w:val="none"/>
              </w:rPr>
              <w:t>安全加固服务</w:t>
            </w:r>
          </w:p>
        </w:tc>
        <w:tc>
          <w:tcPr>
            <w:tcW w:w="3555"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color w:val="auto"/>
                <w:highlight w:val="none"/>
              </w:rPr>
            </w:pPr>
            <w:r>
              <w:rPr>
                <w:rFonts w:hint="eastAsia"/>
                <w:color w:val="auto"/>
                <w:highlight w:val="none"/>
              </w:rPr>
              <w:t>包含但不仅限于设备系统版本补丁修复、设备未使用端口的封堵、安全策略调优等服务</w:t>
            </w:r>
          </w:p>
        </w:tc>
        <w:tc>
          <w:tcPr>
            <w:tcW w:w="7455"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color w:val="auto"/>
                <w:highlight w:val="none"/>
              </w:rPr>
            </w:pPr>
            <w:r>
              <w:rPr>
                <w:rFonts w:hint="eastAsia"/>
                <w:color w:val="auto"/>
                <w:highlight w:val="none"/>
              </w:rPr>
              <w:t>1.根据比选人的安全整改要求，提供安全加固服务；</w:t>
            </w:r>
          </w:p>
          <w:p>
            <w:pPr>
              <w:pStyle w:val="29"/>
              <w:keepNext w:val="0"/>
              <w:keepLines w:val="0"/>
              <w:suppressLineNumbers w:val="0"/>
              <w:rPr>
                <w:rFonts w:hint="default"/>
                <w:color w:val="auto"/>
                <w:highlight w:val="none"/>
              </w:rPr>
            </w:pPr>
            <w:r>
              <w:rPr>
                <w:rFonts w:hint="eastAsia"/>
                <w:color w:val="auto"/>
                <w:highlight w:val="none"/>
              </w:rPr>
              <w:t>2.所有涉及变更操作，比选申请人需在自建的测试环境中进行检测并向比选人提供有效的测试报告，经比选人核实批准后方可在服务对象上实施。</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widowControl/>
              <w:suppressLineNumbers w:val="0"/>
              <w:spacing w:beforeAutospacing="0"/>
              <w:jc w:val="left"/>
              <w:rPr>
                <w:rFonts w:hint="default" w:ascii="宋体" w:hAnsi="宋体" w:cs="宋体"/>
                <w:color w:val="auto"/>
                <w:kern w:val="2"/>
                <w:highlight w:val="none"/>
              </w:rPr>
            </w:pPr>
          </w:p>
        </w:tc>
        <w:tc>
          <w:tcPr>
            <w:tcW w:w="79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left"/>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35" w:hRule="atLeast"/>
          <w:jc w:val="center"/>
        </w:trPr>
        <w:tc>
          <w:tcPr>
            <w:tcW w:w="713"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eastAsia="宋体" w:cs="宋体"/>
                <w:color w:val="auto"/>
                <w:kern w:val="2"/>
                <w:highlight w:val="none"/>
                <w:lang w:val="en-US" w:eastAsia="zh-CN"/>
              </w:rPr>
            </w:pPr>
            <w:r>
              <w:rPr>
                <w:rFonts w:hint="eastAsia" w:ascii="宋体" w:hAnsi="宋体" w:cs="宋体"/>
                <w:color w:val="auto"/>
                <w:kern w:val="2"/>
                <w:highlight w:val="none"/>
                <w:lang w:val="en-US" w:eastAsia="zh-CN"/>
              </w:rPr>
              <w:t>10</w:t>
            </w:r>
          </w:p>
        </w:tc>
        <w:tc>
          <w:tcPr>
            <w:tcW w:w="1460"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ascii="宋体" w:hAnsi="宋体" w:cs="宋体"/>
                <w:color w:val="auto"/>
                <w:kern w:val="2"/>
                <w:highlight w:val="none"/>
              </w:rPr>
            </w:pPr>
            <w:r>
              <w:rPr>
                <w:rFonts w:hint="eastAsia" w:ascii="宋体" w:hAnsi="宋体" w:cs="宋体"/>
                <w:color w:val="auto"/>
                <w:kern w:val="2"/>
                <w:highlight w:val="none"/>
                <w:lang w:val="en-US" w:eastAsia="zh-CN"/>
              </w:rPr>
              <w:t>技能</w:t>
            </w:r>
            <w:r>
              <w:rPr>
                <w:rFonts w:hint="eastAsia" w:ascii="宋体" w:hAnsi="宋体" w:cs="宋体"/>
                <w:color w:val="auto"/>
                <w:kern w:val="2"/>
                <w:highlight w:val="none"/>
              </w:rPr>
              <w:t>培训</w:t>
            </w:r>
          </w:p>
        </w:tc>
        <w:tc>
          <w:tcPr>
            <w:tcW w:w="3555"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ascii="宋体" w:hAnsi="宋体" w:cs="宋体"/>
                <w:color w:val="auto"/>
                <w:kern w:val="2"/>
                <w:highlight w:val="none"/>
              </w:rPr>
            </w:pPr>
            <w:r>
              <w:rPr>
                <w:rFonts w:hint="eastAsia" w:ascii="宋体" w:hAnsi="宋体" w:cs="宋体"/>
                <w:color w:val="auto"/>
                <w:kern w:val="2"/>
                <w:highlight w:val="none"/>
              </w:rPr>
              <w:t>面向比选人提供每季度不少于1</w:t>
            </w:r>
            <w:r>
              <w:rPr>
                <w:rFonts w:hint="default" w:ascii="宋体" w:hAnsi="宋体" w:cs="宋体"/>
                <w:color w:val="auto"/>
                <w:kern w:val="2"/>
                <w:highlight w:val="none"/>
              </w:rPr>
              <w:t>次技术运维培训</w:t>
            </w:r>
          </w:p>
        </w:tc>
        <w:tc>
          <w:tcPr>
            <w:tcW w:w="7455"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ascii="宋体" w:hAnsi="宋体" w:cs="宋体"/>
                <w:color w:val="auto"/>
                <w:kern w:val="2"/>
                <w:highlight w:val="none"/>
              </w:rPr>
            </w:pPr>
            <w:r>
              <w:rPr>
                <w:rFonts w:hint="eastAsia" w:ascii="宋体" w:hAnsi="宋体" w:cs="宋体"/>
                <w:color w:val="auto"/>
                <w:kern w:val="2"/>
                <w:highlight w:val="none"/>
              </w:rPr>
              <w:t>1.</w:t>
            </w:r>
            <w:r>
              <w:rPr>
                <w:rFonts w:hint="default" w:ascii="宋体" w:hAnsi="宋体" w:cs="宋体"/>
                <w:color w:val="auto"/>
                <w:kern w:val="2"/>
                <w:highlight w:val="none"/>
              </w:rPr>
              <w:t xml:space="preserve"> 通过技术培训，提高</w:t>
            </w:r>
            <w:r>
              <w:rPr>
                <w:rFonts w:hint="eastAsia" w:ascii="宋体" w:hAnsi="宋体" w:cs="宋体"/>
                <w:color w:val="auto"/>
                <w:kern w:val="2"/>
                <w:highlight w:val="none"/>
              </w:rPr>
              <w:t>比选人</w:t>
            </w:r>
            <w:r>
              <w:rPr>
                <w:rFonts w:hint="default" w:ascii="宋体" w:hAnsi="宋体" w:cs="宋体"/>
                <w:color w:val="auto"/>
                <w:kern w:val="2"/>
                <w:highlight w:val="none"/>
              </w:rPr>
              <w:t>的运</w:t>
            </w:r>
            <w:r>
              <w:rPr>
                <w:rFonts w:hint="eastAsia" w:ascii="宋体" w:hAnsi="宋体" w:cs="宋体"/>
                <w:color w:val="auto"/>
                <w:kern w:val="2"/>
                <w:highlight w:val="none"/>
              </w:rPr>
              <w:t>维管理技能；</w:t>
            </w:r>
          </w:p>
          <w:p>
            <w:pPr>
              <w:pStyle w:val="29"/>
              <w:keepNext w:val="0"/>
              <w:keepLines w:val="0"/>
              <w:suppressLineNumbers w:val="0"/>
              <w:rPr>
                <w:rFonts w:hint="default" w:ascii="宋体" w:hAnsi="宋体" w:cs="宋体"/>
                <w:color w:val="auto"/>
                <w:kern w:val="2"/>
                <w:highlight w:val="none"/>
              </w:rPr>
            </w:pPr>
            <w:r>
              <w:rPr>
                <w:rFonts w:hint="eastAsia" w:ascii="宋体" w:hAnsi="宋体" w:cs="宋体"/>
                <w:color w:val="auto"/>
                <w:kern w:val="2"/>
                <w:highlight w:val="none"/>
              </w:rPr>
              <w:t>2. 对新进或者调岗新负责设备、系统的现场维护操作人员进行操作应用培训。</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kern w:val="2"/>
                <w:highlight w:val="none"/>
              </w:rPr>
            </w:pPr>
          </w:p>
        </w:tc>
        <w:tc>
          <w:tcPr>
            <w:tcW w:w="79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left"/>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jc w:val="center"/>
        </w:trPr>
        <w:tc>
          <w:tcPr>
            <w:tcW w:w="713"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eastAsia="宋体" w:cs="宋体"/>
                <w:color w:val="auto"/>
                <w:kern w:val="2"/>
                <w:highlight w:val="none"/>
                <w:lang w:val="en-US" w:eastAsia="zh-CN"/>
              </w:rPr>
            </w:pPr>
            <w:r>
              <w:rPr>
                <w:rFonts w:hint="eastAsia" w:ascii="宋体" w:hAnsi="宋体" w:cs="宋体"/>
                <w:color w:val="auto"/>
                <w:kern w:val="2"/>
                <w:highlight w:val="none"/>
                <w:lang w:val="en-US" w:eastAsia="zh-CN"/>
              </w:rPr>
              <w:t>11</w:t>
            </w:r>
          </w:p>
        </w:tc>
        <w:tc>
          <w:tcPr>
            <w:tcW w:w="1460"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ascii="宋体" w:hAnsi="宋体" w:cs="宋体"/>
                <w:color w:val="auto"/>
                <w:kern w:val="2"/>
                <w:highlight w:val="none"/>
              </w:rPr>
            </w:pPr>
            <w:r>
              <w:rPr>
                <w:rFonts w:hint="eastAsia"/>
                <w:color w:val="auto"/>
                <w:highlight w:val="none"/>
              </w:rPr>
              <w:t>技术资料服务</w:t>
            </w:r>
          </w:p>
        </w:tc>
        <w:tc>
          <w:tcPr>
            <w:tcW w:w="3555"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ascii="宋体" w:hAnsi="宋体" w:cs="宋体"/>
                <w:color w:val="auto"/>
                <w:kern w:val="2"/>
                <w:highlight w:val="none"/>
              </w:rPr>
            </w:pPr>
            <w:r>
              <w:rPr>
                <w:rFonts w:hint="eastAsia"/>
                <w:color w:val="auto"/>
                <w:highlight w:val="none"/>
              </w:rPr>
              <w:t>保障设备、系统正常运行必要的技术资料</w:t>
            </w:r>
          </w:p>
        </w:tc>
        <w:tc>
          <w:tcPr>
            <w:tcW w:w="7455"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default" w:ascii="宋体" w:hAnsi="宋体" w:cs="宋体"/>
                <w:color w:val="auto"/>
                <w:kern w:val="2"/>
                <w:highlight w:val="none"/>
              </w:rPr>
            </w:pPr>
            <w:r>
              <w:rPr>
                <w:rFonts w:hint="eastAsia" w:ascii="宋体" w:hAnsi="宋体" w:cs="宋体"/>
                <w:color w:val="auto"/>
                <w:kern w:val="2"/>
                <w:highlight w:val="none"/>
              </w:rPr>
              <w:t>响应比选人的需求，及时提供必要的技术资料。</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widowControl/>
              <w:suppressLineNumbers w:val="0"/>
              <w:spacing w:beforeAutospacing="0"/>
              <w:jc w:val="left"/>
              <w:rPr>
                <w:rFonts w:hint="default" w:ascii="宋体" w:hAnsi="宋体" w:cs="宋体"/>
                <w:color w:val="auto"/>
                <w:kern w:val="2"/>
                <w:highlight w:val="none"/>
              </w:rPr>
            </w:pPr>
          </w:p>
        </w:tc>
        <w:tc>
          <w:tcPr>
            <w:tcW w:w="79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color w:val="auto"/>
                <w:kern w:val="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6" w:hRule="atLeast"/>
          <w:jc w:val="center"/>
        </w:trPr>
        <w:tc>
          <w:tcPr>
            <w:tcW w:w="713"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eastAsia="宋体" w:cs="宋体"/>
                <w:color w:val="auto"/>
                <w:kern w:val="2"/>
                <w:highlight w:val="none"/>
                <w:lang w:val="en-US" w:eastAsia="zh-CN"/>
              </w:rPr>
            </w:pPr>
            <w:r>
              <w:rPr>
                <w:rFonts w:hint="eastAsia" w:ascii="宋体" w:hAnsi="宋体" w:cs="宋体"/>
                <w:color w:val="auto"/>
                <w:kern w:val="2"/>
                <w:highlight w:val="none"/>
                <w:lang w:val="en-US" w:eastAsia="zh-CN"/>
              </w:rPr>
              <w:t>12</w:t>
            </w:r>
          </w:p>
        </w:tc>
        <w:tc>
          <w:tcPr>
            <w:tcW w:w="1460"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eastAsia"/>
                <w:color w:val="auto"/>
                <w:highlight w:val="none"/>
              </w:rPr>
            </w:pPr>
            <w:r>
              <w:rPr>
                <w:rFonts w:hint="eastAsia"/>
                <w:color w:val="auto"/>
                <w:highlight w:val="none"/>
              </w:rPr>
              <w:t>核心交换机备件供应服务</w:t>
            </w:r>
          </w:p>
        </w:tc>
        <w:tc>
          <w:tcPr>
            <w:tcW w:w="3555" w:type="dxa"/>
            <w:tcBorders>
              <w:top w:val="single" w:color="auto" w:sz="6" w:space="0"/>
              <w:bottom w:val="single" w:color="auto" w:sz="6" w:space="0"/>
              <w:right w:val="single" w:color="auto" w:sz="4" w:space="0"/>
            </w:tcBorders>
            <w:shd w:val="clear" w:color="auto" w:fill="auto"/>
            <w:vAlign w:val="center"/>
          </w:tcPr>
          <w:p>
            <w:pPr>
              <w:pStyle w:val="29"/>
              <w:keepNext w:val="0"/>
              <w:keepLines w:val="0"/>
              <w:suppressLineNumbers w:val="0"/>
              <w:rPr>
                <w:rFonts w:hint="eastAsia"/>
                <w:color w:val="auto"/>
                <w:highlight w:val="none"/>
              </w:rPr>
            </w:pPr>
            <w:r>
              <w:rPr>
                <w:rFonts w:hint="eastAsia"/>
                <w:color w:val="auto"/>
                <w:highlight w:val="none"/>
              </w:rPr>
              <w:t>提供核心交换机板卡备件</w:t>
            </w:r>
          </w:p>
        </w:tc>
        <w:tc>
          <w:tcPr>
            <w:tcW w:w="7455" w:type="dxa"/>
            <w:tcBorders>
              <w:top w:val="single" w:color="auto" w:sz="6" w:space="0"/>
              <w:bottom w:val="single" w:color="auto" w:sz="6" w:space="0"/>
              <w:right w:val="single" w:color="auto" w:sz="4" w:space="0"/>
            </w:tcBorders>
            <w:shd w:val="clear" w:color="auto" w:fill="FFFFFF"/>
            <w:vAlign w:val="center"/>
          </w:tcPr>
          <w:p>
            <w:pPr>
              <w:pStyle w:val="29"/>
              <w:keepNext w:val="0"/>
              <w:keepLines w:val="0"/>
              <w:suppressLineNumbers w:val="0"/>
              <w:rPr>
                <w:rFonts w:hint="eastAsia"/>
                <w:color w:val="auto"/>
                <w:highlight w:val="none"/>
              </w:rPr>
            </w:pPr>
            <w:r>
              <w:rPr>
                <w:rFonts w:hint="eastAsia"/>
                <w:color w:val="auto"/>
                <w:highlight w:val="none"/>
              </w:rPr>
              <w:t>响应比选人的需求，合同签订后，</w:t>
            </w:r>
            <w:r>
              <w:rPr>
                <w:rFonts w:hint="eastAsia"/>
                <w:color w:val="auto"/>
                <w:highlight w:val="none"/>
                <w:lang w:eastAsia="zh-CN"/>
              </w:rPr>
              <w:t>6</w:t>
            </w:r>
            <w:r>
              <w:rPr>
                <w:rFonts w:hint="eastAsia"/>
                <w:color w:val="auto"/>
                <w:highlight w:val="none"/>
                <w:lang w:val="en-US" w:eastAsia="zh-CN"/>
              </w:rPr>
              <w:t>0天</w:t>
            </w:r>
            <w:r>
              <w:rPr>
                <w:rFonts w:hint="eastAsia"/>
                <w:color w:val="auto"/>
                <w:highlight w:val="none"/>
              </w:rPr>
              <w:t>内提供核心交换机板卡备件，要求提供的备件为全新的原厂板卡备件</w:t>
            </w:r>
          </w:p>
        </w:tc>
        <w:tc>
          <w:tcPr>
            <w:tcW w:w="1230" w:type="dxa"/>
            <w:tcBorders>
              <w:top w:val="single" w:color="auto" w:sz="6" w:space="0"/>
              <w:left w:val="single" w:color="auto" w:sz="4" w:space="0"/>
              <w:bottom w:val="single" w:color="auto" w:sz="6" w:space="0"/>
            </w:tcBorders>
            <w:shd w:val="clear" w:color="auto" w:fill="FFFFFF"/>
            <w:vAlign w:val="center"/>
          </w:tcPr>
          <w:p>
            <w:pPr>
              <w:keepNext w:val="0"/>
              <w:keepLines w:val="0"/>
              <w:widowControl/>
              <w:suppressLineNumbers w:val="0"/>
              <w:spacing w:beforeAutospacing="0"/>
              <w:jc w:val="center"/>
              <w:rPr>
                <w:rFonts w:hint="default" w:ascii="宋体" w:hAnsi="宋体" w:cs="宋体"/>
                <w:color w:val="auto"/>
                <w:kern w:val="2"/>
                <w:highlight w:val="none"/>
              </w:rPr>
            </w:pPr>
          </w:p>
        </w:tc>
        <w:tc>
          <w:tcPr>
            <w:tcW w:w="798" w:type="dxa"/>
            <w:tcBorders>
              <w:top w:val="single" w:color="auto" w:sz="6" w:space="0"/>
              <w:bottom w:val="single" w:color="auto" w:sz="6" w:space="0"/>
            </w:tcBorders>
            <w:shd w:val="clear" w:color="auto" w:fill="FFFFFF"/>
            <w:vAlign w:val="center"/>
          </w:tcPr>
          <w:p>
            <w:pPr>
              <w:keepNext w:val="0"/>
              <w:keepLines w:val="0"/>
              <w:widowControl/>
              <w:suppressLineNumbers w:val="0"/>
              <w:spacing w:beforeAutospacing="0"/>
              <w:jc w:val="center"/>
              <w:rPr>
                <w:rFonts w:hint="default"/>
                <w:color w:val="auto"/>
                <w:kern w:val="2"/>
                <w:highlight w:val="none"/>
              </w:rPr>
            </w:pPr>
          </w:p>
        </w:tc>
      </w:tr>
    </w:tbl>
    <w:p>
      <w:pPr>
        <w:pStyle w:val="16"/>
        <w:ind w:left="0" w:leftChars="0" w:firstLine="0" w:firstLineChars="0"/>
        <w:rPr>
          <w:color w:val="auto"/>
          <w:highlight w:val="none"/>
        </w:rPr>
      </w:pPr>
    </w:p>
    <w:p>
      <w:pPr>
        <w:snapToGrid w:val="0"/>
        <w:spacing w:after="50" w:line="280" w:lineRule="exact"/>
        <w:ind w:left="955" w:leftChars="455" w:right="-817" w:firstLine="5764" w:firstLineChars="2745"/>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  期：  年  月  日</w:t>
      </w:r>
    </w:p>
    <w:p>
      <w:pPr>
        <w:spacing w:before="0" w:after="0" w:afterAutospacing="0"/>
        <w:ind w:left="0" w:right="0" w:firstLine="0"/>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w:t>
      </w:r>
      <w:r>
        <w:rPr>
          <w:rFonts w:hint="eastAsia" w:ascii="宋体" w:hAnsi="宋体"/>
          <w:color w:val="auto"/>
          <w:highlight w:val="none"/>
        </w:rPr>
        <w:t>本</w:t>
      </w:r>
      <w:r>
        <w:rPr>
          <w:rFonts w:ascii="宋体" w:hAnsi="宋体"/>
          <w:color w:val="auto"/>
          <w:highlight w:val="none"/>
        </w:rPr>
        <w:t>表。</w:t>
      </w:r>
    </w:p>
    <w:p>
      <w:pPr>
        <w:pStyle w:val="41"/>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w:t>
      </w:r>
      <w:r>
        <w:rPr>
          <w:rFonts w:hint="eastAsia" w:ascii="宋体" w:hAnsi="宋体"/>
          <w:b/>
          <w:bCs/>
          <w:color w:val="auto"/>
          <w:highlight w:val="none"/>
        </w:rPr>
        <w:t>完全响应</w:t>
      </w:r>
      <w:r>
        <w:rPr>
          <w:rFonts w:hint="eastAsia" w:ascii="宋体" w:hAnsi="宋体"/>
          <w:color w:val="auto"/>
          <w:highlight w:val="none"/>
        </w:rPr>
        <w:t>”。对有偏离的条目在本表“偏离情况”列中选注“</w:t>
      </w:r>
      <w:r>
        <w:rPr>
          <w:rFonts w:hint="eastAsia" w:ascii="宋体" w:hAnsi="宋体"/>
          <w:b/>
          <w:bCs/>
          <w:color w:val="auto"/>
          <w:highlight w:val="none"/>
        </w:rPr>
        <w:t>正偏离</w:t>
      </w:r>
      <w:r>
        <w:rPr>
          <w:rFonts w:hint="eastAsia" w:ascii="宋体" w:hAnsi="宋体"/>
          <w:color w:val="auto"/>
          <w:highlight w:val="none"/>
        </w:rPr>
        <w:t>”或“</w:t>
      </w:r>
      <w:r>
        <w:rPr>
          <w:rFonts w:hint="eastAsia" w:ascii="宋体" w:hAnsi="宋体"/>
          <w:b/>
          <w:bCs/>
          <w:color w:val="auto"/>
          <w:highlight w:val="none"/>
        </w:rPr>
        <w:t>负偏离</w:t>
      </w:r>
      <w:r>
        <w:rPr>
          <w:rFonts w:hint="eastAsia" w:ascii="宋体" w:hAnsi="宋体"/>
          <w:color w:val="auto"/>
          <w:highlight w:val="none"/>
        </w:rPr>
        <w:t>”，并对“正偏离”或“负偏离”加以说明。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rPr>
          <w:rFonts w:ascii="宋体" w:hAnsi="宋体"/>
          <w:b/>
          <w:color w:val="auto"/>
          <w:highlight w:val="none"/>
        </w:rPr>
        <w:sectPr>
          <w:pgSz w:w="16838" w:h="11905" w:orient="landscape"/>
          <w:pgMar w:top="1418" w:right="1418" w:bottom="1418" w:left="1304" w:header="454" w:footer="567" w:gutter="0"/>
          <w:pgNumType w:fmt="decimal"/>
          <w:cols w:space="720" w:num="1"/>
          <w:docGrid w:linePitch="312" w:charSpace="0"/>
        </w:sectPr>
      </w:pPr>
      <w:r>
        <w:rPr>
          <w:rFonts w:hint="eastAsia" w:ascii="宋体" w:hAnsi="宋体"/>
          <w:b/>
          <w:color w:val="auto"/>
          <w:highlight w:val="none"/>
        </w:rPr>
        <w:t>6.如有任意一项负偏离，比选申请人将不能通过</w:t>
      </w:r>
      <w:r>
        <w:rPr>
          <w:rFonts w:hint="eastAsia" w:ascii="宋体" w:hAnsi="宋体"/>
          <w:b/>
          <w:color w:val="auto"/>
          <w:highlight w:val="none"/>
          <w:lang w:val="en-US" w:eastAsia="zh-CN"/>
        </w:rPr>
        <w:t>初步</w:t>
      </w:r>
      <w:r>
        <w:rPr>
          <w:rFonts w:hint="eastAsia" w:ascii="宋体" w:hAnsi="宋体"/>
          <w:b/>
          <w:color w:val="auto"/>
          <w:highlight w:val="none"/>
        </w:rPr>
        <w:t>评审。</w:t>
      </w:r>
    </w:p>
    <w:p>
      <w:pPr>
        <w:pStyle w:val="5"/>
        <w:tabs>
          <w:tab w:val="left" w:pos="567"/>
          <w:tab w:val="left" w:pos="720"/>
        </w:tabs>
        <w:snapToGrid w:val="0"/>
        <w:spacing w:after="100" w:line="360" w:lineRule="auto"/>
        <w:ind w:left="0" w:right="-57" w:firstLine="0"/>
        <w:jc w:val="left"/>
        <w:rPr>
          <w:rFonts w:ascii="宋体" w:hAnsi="宋体" w:eastAsia="宋体"/>
          <w:color w:val="auto"/>
          <w:sz w:val="21"/>
          <w:szCs w:val="21"/>
          <w:highlight w:val="none"/>
        </w:rPr>
      </w:pPr>
      <w:bookmarkStart w:id="1971" w:name="_Toc25750685"/>
      <w:bookmarkStart w:id="1972" w:name="_Toc3420"/>
      <w:bookmarkStart w:id="1973" w:name="_Toc23791"/>
      <w:bookmarkStart w:id="1974" w:name="_Toc19146"/>
      <w:bookmarkStart w:id="1975" w:name="_Toc16393"/>
      <w:bookmarkStart w:id="1976" w:name="_Toc18059"/>
      <w:bookmarkStart w:id="1977" w:name="_Toc20057"/>
      <w:r>
        <w:rPr>
          <w:rFonts w:hint="eastAsia" w:ascii="宋体" w:hAnsi="宋体" w:eastAsia="宋体"/>
          <w:color w:val="auto"/>
          <w:sz w:val="21"/>
          <w:szCs w:val="21"/>
          <w:highlight w:val="none"/>
        </w:rPr>
        <w:t>B2</w:t>
      </w:r>
      <w:bookmarkEnd w:id="1971"/>
      <w:r>
        <w:rPr>
          <w:rFonts w:hint="eastAsia" w:ascii="宋体" w:hAnsi="宋体" w:eastAsia="宋体"/>
          <w:color w:val="auto"/>
          <w:sz w:val="21"/>
          <w:szCs w:val="21"/>
          <w:highlight w:val="none"/>
        </w:rPr>
        <w:t xml:space="preserve"> </w:t>
      </w:r>
      <w:r>
        <w:rPr>
          <w:rFonts w:ascii="宋体" w:hAnsi="宋体" w:eastAsia="宋体"/>
          <w:color w:val="auto"/>
          <w:sz w:val="21"/>
          <w:szCs w:val="21"/>
          <w:highlight w:val="none"/>
        </w:rPr>
        <w:t>按期</w:t>
      </w:r>
      <w:r>
        <w:rPr>
          <w:rFonts w:hint="eastAsia" w:ascii="宋体" w:hAnsi="宋体" w:eastAsia="宋体"/>
          <w:color w:val="auto"/>
          <w:sz w:val="21"/>
          <w:szCs w:val="21"/>
          <w:highlight w:val="none"/>
        </w:rPr>
        <w:t>完成</w:t>
      </w:r>
      <w:r>
        <w:rPr>
          <w:rFonts w:ascii="宋体" w:hAnsi="宋体" w:eastAsia="宋体"/>
          <w:color w:val="auto"/>
          <w:sz w:val="21"/>
          <w:szCs w:val="21"/>
          <w:highlight w:val="none"/>
        </w:rPr>
        <w:t>承诺书</w:t>
      </w:r>
      <w:bookmarkEnd w:id="1972"/>
      <w:bookmarkEnd w:id="1973"/>
      <w:bookmarkEnd w:id="1974"/>
      <w:bookmarkEnd w:id="1975"/>
      <w:bookmarkEnd w:id="1976"/>
      <w:bookmarkEnd w:id="1977"/>
    </w:p>
    <w:p>
      <w:pPr>
        <w:widowControl w:val="0"/>
        <w:spacing w:before="240" w:beforeLines="100" w:after="240" w:afterLines="100"/>
        <w:ind w:right="-57" w:rightChars="-27"/>
        <w:jc w:val="center"/>
        <w:rPr>
          <w:b/>
          <w:color w:val="auto"/>
          <w:kern w:val="2"/>
          <w:sz w:val="32"/>
          <w:szCs w:val="32"/>
          <w:highlight w:val="none"/>
        </w:rPr>
      </w:pPr>
      <w:r>
        <w:rPr>
          <w:rFonts w:hint="eastAsia" w:hAnsi="宋体"/>
          <w:b/>
          <w:color w:val="auto"/>
          <w:kern w:val="2"/>
          <w:sz w:val="32"/>
          <w:szCs w:val="32"/>
          <w:highlight w:val="none"/>
        </w:rPr>
        <w:t>按期完成</w:t>
      </w:r>
      <w:r>
        <w:rPr>
          <w:rFonts w:hAnsi="宋体"/>
          <w:b/>
          <w:color w:val="auto"/>
          <w:kern w:val="2"/>
          <w:sz w:val="32"/>
          <w:szCs w:val="32"/>
          <w:highlight w:val="none"/>
        </w:rPr>
        <w:t>承诺书</w:t>
      </w:r>
    </w:p>
    <w:p>
      <w:pPr>
        <w:widowControl w:val="0"/>
        <w:spacing w:beforeLines="50"/>
        <w:ind w:right="-57" w:rightChars="-27"/>
        <w:rPr>
          <w:color w:val="auto"/>
          <w:kern w:val="2"/>
          <w:highlight w:val="none"/>
        </w:rPr>
      </w:pPr>
    </w:p>
    <w:p>
      <w:pPr>
        <w:widowControl w:val="0"/>
        <w:spacing w:beforeLines="50"/>
        <w:ind w:right="-57" w:rightChars="-27"/>
        <w:rPr>
          <w:color w:val="auto"/>
          <w:kern w:val="2"/>
          <w:highlight w:val="none"/>
        </w:rPr>
      </w:pPr>
      <w:r>
        <w:rPr>
          <w:rFonts w:hAnsi="宋体"/>
          <w:color w:val="auto"/>
          <w:kern w:val="2"/>
          <w:highlight w:val="none"/>
        </w:rPr>
        <w:t>致：</w:t>
      </w:r>
      <w:r>
        <w:rPr>
          <w:rFonts w:hint="eastAsia" w:ascii="宋体" w:hAnsi="宋体"/>
          <w:color w:val="auto"/>
          <w:highlight w:val="none"/>
        </w:rPr>
        <w:t>南宁轨道交通运营有限公司</w:t>
      </w:r>
    </w:p>
    <w:p>
      <w:pPr>
        <w:widowControl w:val="0"/>
        <w:spacing w:beforeLines="50"/>
        <w:ind w:right="-57" w:rightChars="-27" w:firstLine="420" w:firstLineChars="200"/>
        <w:rPr>
          <w:color w:val="auto"/>
          <w:kern w:val="2"/>
          <w:highlight w:val="none"/>
        </w:rPr>
      </w:pPr>
      <w:r>
        <w:rPr>
          <w:rFonts w:hAnsi="宋体"/>
          <w:color w:val="auto"/>
          <w:kern w:val="2"/>
          <w:highlight w:val="none"/>
        </w:rPr>
        <w:t>本公司</w:t>
      </w:r>
      <w:r>
        <w:rPr>
          <w:rFonts w:hAnsi="宋体"/>
          <w:color w:val="auto"/>
          <w:kern w:val="2"/>
          <w:highlight w:val="none"/>
          <w:u w:val="single"/>
        </w:rPr>
        <w:t>（比选申请人名称）</w:t>
      </w:r>
      <w:r>
        <w:rPr>
          <w:rFonts w:hAnsi="宋体"/>
          <w:color w:val="auto"/>
          <w:kern w:val="2"/>
          <w:highlight w:val="none"/>
        </w:rPr>
        <w:t>参加了贵公司组织的</w:t>
      </w:r>
      <w:r>
        <w:rPr>
          <w:rFonts w:hint="eastAsia" w:ascii="宋体" w:hAnsi="宋体"/>
          <w:color w:val="auto"/>
          <w:highlight w:val="none"/>
          <w:lang w:eastAsia="zh-CN"/>
        </w:rPr>
        <w:t>南宁轨道交通1-5号线办公网交换机设备委外维保维修服务采购项目（2023年-2024年）</w:t>
      </w:r>
      <w:r>
        <w:rPr>
          <w:rFonts w:hAnsi="宋体"/>
          <w:color w:val="auto"/>
          <w:kern w:val="2"/>
          <w:highlight w:val="none"/>
        </w:rPr>
        <w:t>（项目编号</w:t>
      </w:r>
      <w:r>
        <w:rPr>
          <w:rFonts w:hint="eastAsia" w:ascii="宋体" w:hAnsi="宋体"/>
          <w:color w:val="auto"/>
          <w:highlight w:val="none"/>
        </w:rPr>
        <w:t>202311030002</w:t>
      </w:r>
      <w:r>
        <w:rPr>
          <w:rFonts w:hAnsi="宋体"/>
          <w:color w:val="auto"/>
          <w:kern w:val="2"/>
          <w:highlight w:val="none"/>
        </w:rPr>
        <w:t>）的</w:t>
      </w:r>
      <w:r>
        <w:rPr>
          <w:rFonts w:hint="eastAsia" w:hAnsi="宋体"/>
          <w:color w:val="auto"/>
          <w:kern w:val="2"/>
          <w:highlight w:val="none"/>
        </w:rPr>
        <w:t>比选</w:t>
      </w:r>
      <w:r>
        <w:rPr>
          <w:rFonts w:hAnsi="宋体"/>
          <w:color w:val="auto"/>
          <w:kern w:val="2"/>
          <w:highlight w:val="none"/>
        </w:rPr>
        <w:t>。我公司在此承诺：我方保证</w:t>
      </w:r>
      <w:r>
        <w:rPr>
          <w:rFonts w:hint="eastAsia" w:hAnsi="宋体"/>
          <w:color w:val="auto"/>
          <w:kern w:val="2"/>
          <w:highlight w:val="none"/>
        </w:rPr>
        <w:t>严格</w:t>
      </w:r>
      <w:r>
        <w:rPr>
          <w:rFonts w:hAnsi="宋体"/>
          <w:color w:val="auto"/>
          <w:kern w:val="2"/>
          <w:highlight w:val="none"/>
        </w:rPr>
        <w:t>按比选文件和比选人的规定，满足规定的</w:t>
      </w:r>
      <w:r>
        <w:rPr>
          <w:rFonts w:hint="eastAsia" w:hAnsi="宋体"/>
          <w:color w:val="auto"/>
          <w:kern w:val="2"/>
          <w:highlight w:val="none"/>
        </w:rPr>
        <w:t>服务</w:t>
      </w:r>
      <w:r>
        <w:rPr>
          <w:rFonts w:hAnsi="宋体"/>
          <w:color w:val="auto"/>
          <w:kern w:val="2"/>
          <w:highlight w:val="none"/>
        </w:rPr>
        <w:t>期</w:t>
      </w:r>
      <w:r>
        <w:rPr>
          <w:rFonts w:hint="eastAsia" w:hAnsi="宋体"/>
          <w:color w:val="auto"/>
          <w:kern w:val="2"/>
          <w:highlight w:val="none"/>
        </w:rPr>
        <w:t>限</w:t>
      </w:r>
      <w:r>
        <w:rPr>
          <w:rFonts w:hAnsi="宋体"/>
          <w:color w:val="auto"/>
          <w:kern w:val="2"/>
          <w:highlight w:val="none"/>
        </w:rPr>
        <w:t>要求。</w:t>
      </w:r>
      <w:r>
        <w:rPr>
          <w:color w:val="auto"/>
          <w:kern w:val="2"/>
          <w:highlight w:val="none"/>
        </w:rPr>
        <w:t>如未按期</w:t>
      </w:r>
      <w:r>
        <w:rPr>
          <w:rFonts w:hint="eastAsia"/>
          <w:color w:val="auto"/>
          <w:kern w:val="2"/>
          <w:highlight w:val="none"/>
        </w:rPr>
        <w:t>完成</w:t>
      </w:r>
      <w:r>
        <w:rPr>
          <w:color w:val="auto"/>
          <w:kern w:val="2"/>
          <w:highlight w:val="none"/>
        </w:rPr>
        <w:t>，</w:t>
      </w:r>
      <w:r>
        <w:rPr>
          <w:rFonts w:hint="eastAsia"/>
          <w:color w:val="auto"/>
          <w:kern w:val="2"/>
          <w:highlight w:val="none"/>
        </w:rPr>
        <w:t>我公司承诺接受</w:t>
      </w:r>
      <w:r>
        <w:rPr>
          <w:rFonts w:hint="eastAsia" w:ascii="宋体" w:hAnsi="宋体"/>
          <w:color w:val="auto"/>
          <w:kern w:val="2"/>
          <w:highlight w:val="none"/>
        </w:rPr>
        <w:t>每天加收合同总价的万分之六的违约金</w:t>
      </w:r>
      <w:r>
        <w:rPr>
          <w:rFonts w:hint="eastAsia"/>
          <w:color w:val="auto"/>
          <w:kern w:val="2"/>
          <w:highlight w:val="none"/>
        </w:rPr>
        <w:t>。</w:t>
      </w:r>
    </w:p>
    <w:p>
      <w:pPr>
        <w:widowControl w:val="0"/>
        <w:spacing w:beforeLines="50"/>
        <w:ind w:right="-57" w:rightChars="-27" w:firstLine="420" w:firstLineChars="200"/>
        <w:rPr>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法定代表人或被授权人（签字）：</w:t>
      </w:r>
    </w:p>
    <w:p>
      <w:pPr>
        <w:spacing w:before="0"/>
        <w:ind w:right="-57" w:firstLine="0"/>
        <w:jc w:val="center"/>
        <w:rPr>
          <w:rFonts w:ascii="宋体" w:hAnsi="宋体"/>
          <w:color w:val="auto"/>
          <w:kern w:val="2"/>
          <w:highlight w:val="none"/>
        </w:rPr>
      </w:pPr>
      <w:r>
        <w:rPr>
          <w:rFonts w:hint="eastAsia" w:ascii="宋体" w:hAnsi="宋体"/>
          <w:color w:val="auto"/>
          <w:kern w:val="2"/>
          <w:highlight w:val="none"/>
        </w:rPr>
        <w:t>日  期：   年  月  日</w:t>
      </w:r>
    </w:p>
    <w:p>
      <w:pPr>
        <w:pStyle w:val="5"/>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8" w:right="1418" w:bottom="1304" w:left="1418" w:header="454" w:footer="567" w:gutter="0"/>
          <w:pgNumType w:fmt="decimal"/>
          <w:cols w:space="720" w:num="1"/>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978" w:name="_Toc22124"/>
      <w:bookmarkStart w:id="1979" w:name="_Toc20746"/>
      <w:bookmarkStart w:id="1980" w:name="_Toc23506"/>
      <w:bookmarkStart w:id="1981" w:name="_Toc21504"/>
      <w:bookmarkStart w:id="1982" w:name="_Toc11356"/>
      <w:bookmarkStart w:id="1983" w:name="_Toc23124"/>
      <w:bookmarkStart w:id="1984" w:name="_Toc25750686"/>
      <w:r>
        <w:rPr>
          <w:rFonts w:hint="eastAsia" w:ascii="宋体" w:hAnsi="宋体" w:eastAsia="宋体"/>
          <w:color w:val="auto"/>
          <w:sz w:val="21"/>
          <w:szCs w:val="21"/>
          <w:highlight w:val="none"/>
        </w:rPr>
        <w:t>B3 售后服务承诺书</w:t>
      </w:r>
      <w:bookmarkEnd w:id="1978"/>
      <w:bookmarkEnd w:id="1979"/>
      <w:bookmarkEnd w:id="1980"/>
      <w:bookmarkEnd w:id="1981"/>
      <w:bookmarkEnd w:id="1982"/>
      <w:bookmarkEnd w:id="1983"/>
      <w:bookmarkEnd w:id="1984"/>
    </w:p>
    <w:p>
      <w:pPr>
        <w:widowControl w:val="0"/>
        <w:spacing w:before="240" w:beforeLines="100" w:after="240" w:afterLines="100"/>
        <w:ind w:left="948" w:right="-57" w:rightChars="-27" w:hanging="948"/>
        <w:jc w:val="center"/>
        <w:rPr>
          <w:rFonts w:hAnsi="宋体"/>
          <w:b/>
          <w:color w:val="auto"/>
          <w:kern w:val="2"/>
          <w:sz w:val="32"/>
          <w:szCs w:val="32"/>
          <w:highlight w:val="none"/>
        </w:rPr>
      </w:pPr>
      <w:r>
        <w:rPr>
          <w:rFonts w:hint="eastAsia" w:hAnsi="宋体"/>
          <w:b/>
          <w:color w:val="auto"/>
          <w:kern w:val="2"/>
          <w:sz w:val="32"/>
          <w:szCs w:val="32"/>
          <w:highlight w:val="none"/>
        </w:rPr>
        <w:t>售后服务承诺书</w:t>
      </w:r>
    </w:p>
    <w:p>
      <w:pPr>
        <w:spacing w:before="0" w:after="0" w:afterAutospacing="0"/>
        <w:ind w:left="619" w:right="0" w:hanging="619" w:hangingChars="295"/>
        <w:rPr>
          <w:rFonts w:hint="eastAsia" w:ascii="宋体" w:hAnsi="宋体" w:eastAsia="宋体" w:cs="宋体"/>
          <w:color w:val="auto"/>
          <w:highlight w:val="none"/>
        </w:rPr>
      </w:pPr>
      <w:r>
        <w:rPr>
          <w:rFonts w:hint="eastAsia" w:ascii="宋体" w:hAnsi="宋体" w:eastAsia="宋体" w:cs="宋体"/>
          <w:color w:val="auto"/>
          <w:highlight w:val="none"/>
        </w:rPr>
        <w:t>南宁轨道交通运营有限公司：</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我方参与贵方采购项目的报价活动并做出以下承诺：</w:t>
      </w:r>
    </w:p>
    <w:p>
      <w:pPr>
        <w:pStyle w:val="41"/>
        <w:widowControl w:val="0"/>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所有维保服务的质量、质保期等完全符合或优于贵方的采购要求，全部符合国家和行业相关标准，所有维保服务均为原厂提供的维保服务，提供的维保服务如发现与服务要求描述不符或，我司接受无条件退货。如为未提供维保服务，造成损失的由我司承担全部法律责任。</w:t>
      </w:r>
    </w:p>
    <w:p>
      <w:pPr>
        <w:pStyle w:val="41"/>
        <w:widowControl w:val="0"/>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我方知悉，本次提供维保服务的数量为贵方的预计采购数量，如有调整以贵方发出的交货通知为准。贵方可以根据实际使用情况及需求变更情况对未提供维保服务数量进行部分或全部调整，包括增加或减少，不论实际数量大于或低于预计数量，均按照成交单价执行。</w:t>
      </w:r>
    </w:p>
    <w:p>
      <w:pPr>
        <w:pStyle w:val="41"/>
        <w:widowControl w:val="0"/>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我方知悉，贵方的采购文件并未充分引用有关条文和标准规范，提出的是最基本的技术要求，我方保证所有服务符合行业服务标准，为优质的市场已有的成熟维保服务以满足使用可靠、及时、技术先进、安全的要求；除非贵方主动提出，贵方可无条件拒绝接受任何形式的改装或定制类服务。  </w:t>
      </w:r>
    </w:p>
    <w:p>
      <w:pPr>
        <w:pStyle w:val="41"/>
        <w:widowControl w:val="0"/>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维保期内设备出现故障我公司承诺运营期间工程师须在0.5小时内到达现场配合处理，非运营期间工程师须在1小时内到达现场配合处理。故障处理按照设备故障响应、临时修复及完全修复时间要求进行故障处理。维保服务期内的交换机设备故障件更换均为免费更换全新的同一型号备件。维保服务期后，过了我公司承诺的维保服务期后，我公司仍保持维保服务期内的响应服务，免收维修费，对更换的设备故障件按市场价格收取成本费。设备出现故障我公司承诺运营期间工程师须在0.5小时内到达现场配合处理，非运营期间工程师须在1小时内到达现场配合处理。故障处理按照设备故障响应、临时修复及完全修复时间要求进行故障处理。如更换备件后仍有故障于48小时内免费提供备件。</w:t>
      </w:r>
    </w:p>
    <w:p>
      <w:pPr>
        <w:pStyle w:val="41"/>
        <w:widowControl w:val="0"/>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若我方因自身原因不能履约签订合同或履行合同的，贵方可取消我方的中选资格，并从后续排名的其他候选供应商中依次向上递补确定供应商或重新组织采购，同时贵方有权将我公司列入黑名单。</w:t>
      </w:r>
    </w:p>
    <w:p>
      <w:pPr>
        <w:pStyle w:val="41"/>
        <w:widowControl w:val="0"/>
        <w:spacing w:before="0" w:after="0" w:afterAutospacing="0"/>
        <w:ind w:left="480" w:right="0" w:firstLine="0"/>
        <w:rPr>
          <w:rFonts w:hint="eastAsia" w:ascii="宋体" w:hAnsi="宋体" w:eastAsia="宋体" w:cs="宋体"/>
          <w:color w:val="auto"/>
          <w:highlight w:val="none"/>
        </w:rPr>
      </w:pPr>
      <w:r>
        <w:rPr>
          <w:rFonts w:hint="eastAsia" w:ascii="宋体" w:hAnsi="宋体" w:eastAsia="宋体" w:cs="宋体"/>
          <w:color w:val="auto"/>
          <w:highlight w:val="none"/>
        </w:rPr>
        <w:t>联系人:</w:t>
      </w:r>
    </w:p>
    <w:p>
      <w:pPr>
        <w:pStyle w:val="41"/>
        <w:widowControl w:val="0"/>
        <w:spacing w:before="0" w:after="0" w:afterAutospacing="0"/>
        <w:ind w:left="480" w:right="0" w:firstLine="0"/>
        <w:rPr>
          <w:rFonts w:hint="eastAsia" w:ascii="宋体" w:hAnsi="宋体" w:eastAsia="宋体" w:cs="宋体"/>
          <w:color w:val="auto"/>
          <w:highlight w:val="none"/>
        </w:rPr>
      </w:pPr>
      <w:r>
        <w:rPr>
          <w:rFonts w:hint="eastAsia" w:ascii="宋体" w:hAnsi="宋体" w:eastAsia="宋体" w:cs="宋体"/>
          <w:color w:val="auto"/>
          <w:highlight w:val="none"/>
        </w:rPr>
        <w:t>联系方式:</w:t>
      </w:r>
    </w:p>
    <w:p>
      <w:pPr>
        <w:pStyle w:val="41"/>
        <w:widowControl w:val="0"/>
        <w:spacing w:before="0" w:after="0" w:afterAutospacing="0"/>
        <w:ind w:left="480" w:right="0" w:firstLine="0"/>
        <w:rPr>
          <w:rFonts w:hint="eastAsia" w:ascii="宋体" w:hAnsi="宋体" w:eastAsia="宋体" w:cs="宋体"/>
          <w:color w:val="auto"/>
          <w:sz w:val="21"/>
          <w:szCs w:val="21"/>
          <w:highlight w:val="none"/>
        </w:rPr>
      </w:pPr>
      <w:r>
        <w:rPr>
          <w:rFonts w:hint="eastAsia" w:ascii="宋体" w:hAnsi="宋体" w:eastAsia="宋体" w:cs="宋体"/>
          <w:color w:val="auto"/>
          <w:highlight w:val="none"/>
        </w:rPr>
        <w:t>身份证号:</w:t>
      </w:r>
    </w:p>
    <w:p>
      <w:pPr>
        <w:spacing w:before="0" w:after="0" w:afterAutospacing="0"/>
        <w:ind w:left="0" w:right="0" w:firstLine="0" w:firstLineChars="0"/>
        <w:rPr>
          <w:rFonts w:hint="eastAsia" w:ascii="宋体" w:hAnsi="宋体" w:eastAsia="宋体" w:cs="宋体"/>
          <w:color w:val="auto"/>
          <w:highlight w:val="none"/>
        </w:rPr>
      </w:pPr>
    </w:p>
    <w:p>
      <w:pPr>
        <w:spacing w:before="0" w:after="0" w:afterAutospacing="0"/>
        <w:ind w:left="0" w:right="0" w:firstLine="4725" w:firstLineChars="2250"/>
        <w:rPr>
          <w:rFonts w:hint="eastAsia" w:ascii="宋体" w:hAnsi="宋体" w:eastAsia="宋体" w:cs="宋体"/>
          <w:color w:val="auto"/>
          <w:highlight w:val="none"/>
        </w:rPr>
      </w:pPr>
      <w:r>
        <w:rPr>
          <w:rFonts w:hint="eastAsia" w:ascii="宋体" w:hAnsi="宋体" w:eastAsia="宋体" w:cs="宋体"/>
          <w:color w:val="auto"/>
          <w:highlight w:val="none"/>
        </w:rPr>
        <w:t>承诺人：</w:t>
      </w:r>
      <w:r>
        <w:rPr>
          <w:rFonts w:hint="eastAsia" w:ascii="宋体" w:hAnsi="宋体" w:eastAsia="宋体" w:cs="宋体"/>
          <w:color w:val="auto"/>
          <w:highlight w:val="none"/>
          <w:u w:val="single"/>
        </w:rPr>
        <w:t>　(比选申请人名称)</w:t>
      </w:r>
      <w:r>
        <w:rPr>
          <w:rFonts w:hint="eastAsia" w:ascii="宋体" w:hAnsi="宋体" w:eastAsia="宋体" w:cs="宋体"/>
          <w:color w:val="auto"/>
          <w:highlight w:val="none"/>
        </w:rPr>
        <w:t>（盖章）</w:t>
      </w:r>
    </w:p>
    <w:p>
      <w:pPr>
        <w:spacing w:before="0"/>
        <w:ind w:left="105" w:leftChars="50" w:right="-57" w:firstLine="315" w:firstLineChars="150"/>
        <w:rPr>
          <w:rFonts w:hint="eastAsia" w:ascii="宋体" w:hAnsi="宋体" w:eastAsia="宋体" w:cs="宋体"/>
          <w:color w:val="auto"/>
          <w:highlight w:val="none"/>
        </w:rPr>
        <w:sectPr>
          <w:pgSz w:w="11905" w:h="16838"/>
          <w:pgMar w:top="1418" w:right="1418" w:bottom="1304" w:left="1418" w:header="454" w:footer="567" w:gutter="0"/>
          <w:pgNumType w:fmt="decimal"/>
          <w:cols w:space="720" w:num="1"/>
          <w:docGrid w:linePitch="312" w:charSpace="0"/>
        </w:sectPr>
      </w:pPr>
      <w:r>
        <w:rPr>
          <w:rFonts w:hint="eastAsia" w:ascii="宋体" w:hAnsi="宋体" w:eastAsia="宋体" w:cs="宋体"/>
          <w:color w:val="auto"/>
          <w:highlight w:val="none"/>
        </w:rPr>
        <w:t xml:space="preserve">                                          日期：年   月   日</w:t>
      </w:r>
    </w:p>
    <w:p>
      <w:pPr>
        <w:pStyle w:val="5"/>
        <w:tabs>
          <w:tab w:val="left" w:pos="567"/>
          <w:tab w:val="left" w:pos="720"/>
        </w:tabs>
        <w:snapToGrid w:val="0"/>
        <w:spacing w:before="120" w:after="0" w:line="360" w:lineRule="auto"/>
        <w:ind w:right="-57" w:firstLine="0"/>
        <w:jc w:val="left"/>
        <w:rPr>
          <w:rFonts w:ascii="宋体" w:hAnsi="宋体" w:eastAsia="宋体"/>
          <w:color w:val="auto"/>
          <w:sz w:val="21"/>
          <w:szCs w:val="21"/>
          <w:highlight w:val="none"/>
        </w:rPr>
      </w:pPr>
      <w:bookmarkStart w:id="1985" w:name="_Toc12767"/>
      <w:bookmarkStart w:id="1986" w:name="_Toc22132"/>
      <w:bookmarkStart w:id="1987" w:name="_Toc23991"/>
      <w:bookmarkStart w:id="1988" w:name="_Toc85"/>
      <w:bookmarkStart w:id="1989" w:name="_Toc17109"/>
      <w:bookmarkStart w:id="1990" w:name="_Toc7637"/>
      <w:bookmarkStart w:id="1991" w:name="_Toc25750687"/>
      <w:r>
        <w:rPr>
          <w:rFonts w:hint="eastAsia" w:ascii="宋体" w:hAnsi="宋体" w:eastAsia="宋体"/>
          <w:color w:val="auto"/>
          <w:sz w:val="21"/>
          <w:szCs w:val="21"/>
          <w:highlight w:val="none"/>
        </w:rPr>
        <w:t>B</w:t>
      </w:r>
      <w:r>
        <w:rPr>
          <w:rFonts w:ascii="宋体" w:hAnsi="宋体" w:eastAsia="宋体"/>
          <w:color w:val="auto"/>
          <w:sz w:val="21"/>
          <w:szCs w:val="21"/>
          <w:highlight w:val="none"/>
        </w:rPr>
        <w:t>4</w:t>
      </w:r>
      <w:r>
        <w:rPr>
          <w:rFonts w:hint="eastAsia" w:ascii="宋体" w:hAnsi="宋体" w:eastAsia="宋体"/>
          <w:color w:val="auto"/>
          <w:sz w:val="21"/>
          <w:szCs w:val="21"/>
          <w:highlight w:val="none"/>
        </w:rPr>
        <w:t xml:space="preserve"> 商务响应表</w:t>
      </w:r>
      <w:r>
        <w:rPr>
          <w:rFonts w:ascii="宋体" w:hAnsi="宋体" w:eastAsia="宋体"/>
          <w:color w:val="auto"/>
          <w:sz w:val="21"/>
          <w:szCs w:val="21"/>
          <w:highlight w:val="none"/>
        </w:rPr>
        <w:t>格式</w:t>
      </w:r>
      <w:bookmarkEnd w:id="1985"/>
      <w:bookmarkEnd w:id="1986"/>
      <w:bookmarkEnd w:id="1987"/>
      <w:bookmarkEnd w:id="1988"/>
      <w:bookmarkEnd w:id="1989"/>
      <w:bookmarkEnd w:id="1990"/>
      <w:bookmarkEnd w:id="1991"/>
    </w:p>
    <w:p>
      <w:pPr>
        <w:ind w:right="-57" w:firstLine="0"/>
        <w:jc w:val="center"/>
        <w:rPr>
          <w:rFonts w:ascii="宋体" w:hAnsi="宋体"/>
          <w:b/>
          <w:color w:val="auto"/>
          <w:highlight w:val="none"/>
        </w:rPr>
      </w:pPr>
      <w:bookmarkStart w:id="1992" w:name="_Toc2924"/>
      <w:r>
        <w:rPr>
          <w:rFonts w:hint="eastAsia" w:ascii="宋体" w:hAnsi="宋体"/>
          <w:b/>
          <w:color w:val="auto"/>
          <w:highlight w:val="none"/>
        </w:rPr>
        <w:t>商务响应表</w:t>
      </w:r>
      <w:bookmarkEnd w:id="1992"/>
    </w:p>
    <w:p>
      <w:pPr>
        <w:widowControl w:val="0"/>
        <w:snapToGrid w:val="0"/>
        <w:spacing w:before="0" w:after="0" w:afterAutospacing="0"/>
        <w:ind w:left="0" w:right="-57" w:rightChars="-27" w:firstLine="0"/>
        <w:rPr>
          <w:rFonts w:hint="eastAsia" w:ascii="宋体" w:hAnsi="宋体" w:eastAsia="宋体"/>
          <w:color w:val="auto"/>
          <w:kern w:val="2"/>
          <w:highlight w:val="none"/>
          <w:u w:val="single"/>
          <w:lang w:eastAsia="zh-CN"/>
        </w:rPr>
      </w:pPr>
      <w:r>
        <w:rPr>
          <w:rFonts w:hint="eastAsia" w:ascii="宋体" w:hAnsi="宋体"/>
          <w:color w:val="auto"/>
          <w:highlight w:val="none"/>
        </w:rPr>
        <w:t>项目名称：</w:t>
      </w:r>
      <w:r>
        <w:rPr>
          <w:rFonts w:hint="eastAsia" w:ascii="宋体" w:hAnsi="宋体"/>
          <w:color w:val="auto"/>
          <w:kern w:val="2"/>
          <w:highlight w:val="none"/>
          <w:lang w:eastAsia="zh-CN"/>
        </w:rPr>
        <w:t>南宁轨道交通1-5号线办公网交换机设备委外维保维修服务采购项目（2023年-2024年）</w:t>
      </w:r>
    </w:p>
    <w:p>
      <w:pPr>
        <w:spacing w:before="0" w:after="0" w:afterAutospacing="0"/>
        <w:ind w:right="-57" w:firstLine="0"/>
        <w:jc w:val="left"/>
        <w:rPr>
          <w:rFonts w:ascii="宋体" w:hAnsi="宋体"/>
          <w:color w:val="auto"/>
          <w:highlight w:val="none"/>
          <w:u w:val="single"/>
        </w:rPr>
      </w:pPr>
    </w:p>
    <w:tbl>
      <w:tblPr>
        <w:tblStyle w:val="33"/>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第二章</w:t>
            </w:r>
            <w:r>
              <w:rPr>
                <w:rFonts w:hint="default"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default"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default"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第三章</w:t>
            </w:r>
            <w:r>
              <w:rPr>
                <w:rFonts w:hint="default"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default"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default" w:ascii="宋体" w:hAnsi="宋体"/>
                <w:color w:val="auto"/>
                <w:highlight w:val="none"/>
              </w:rPr>
            </w:pPr>
            <w:r>
              <w:rPr>
                <w:rFonts w:hint="default"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default" w:ascii="宋体" w:hAnsi="宋体"/>
                <w:color w:val="auto"/>
                <w:highlight w:val="none"/>
              </w:rPr>
            </w:pPr>
          </w:p>
        </w:tc>
      </w:tr>
    </w:tbl>
    <w:p>
      <w:pPr>
        <w:snapToGrid w:val="0"/>
        <w:spacing w:after="50"/>
        <w:ind w:right="-57" w:firstLine="0"/>
        <w:rPr>
          <w:rFonts w:ascii="宋体" w:hAnsi="宋体"/>
          <w:color w:val="auto"/>
          <w:spacing w:val="20"/>
          <w:sz w:val="21"/>
          <w:szCs w:val="21"/>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1"/>
          <w:szCs w:val="21"/>
          <w:highlight w:val="none"/>
        </w:rPr>
      </w:pPr>
    </w:p>
    <w:p>
      <w:pPr>
        <w:snapToGrid w:val="0"/>
        <w:spacing w:after="50" w:line="280" w:lineRule="exact"/>
        <w:ind w:left="953" w:right="-817" w:firstLine="1443"/>
        <w:rPr>
          <w:rFonts w:ascii="宋体" w:hAnsi="宋体"/>
          <w:color w:val="auto"/>
          <w:sz w:val="21"/>
          <w:szCs w:val="21"/>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spacing w:before="0" w:after="0" w:afterAutospacing="0" w:line="240" w:lineRule="auto"/>
        <w:ind w:left="0" w:right="0" w:firstLine="0"/>
        <w:jc w:val="left"/>
        <w:rPr>
          <w:rFonts w:ascii="宋体" w:hAnsi="宋体"/>
          <w:color w:val="auto"/>
          <w:highlight w:val="none"/>
        </w:rPr>
      </w:pPr>
      <w:r>
        <w:rPr>
          <w:rFonts w:ascii="宋体" w:hAnsi="宋体"/>
          <w:color w:val="auto"/>
          <w:highlight w:val="none"/>
        </w:rPr>
        <w:br w:type="page"/>
      </w:r>
    </w:p>
    <w:p>
      <w:pPr>
        <w:pStyle w:val="5"/>
        <w:tabs>
          <w:tab w:val="left" w:pos="567"/>
          <w:tab w:val="left" w:pos="720"/>
        </w:tabs>
        <w:snapToGrid w:val="0"/>
        <w:spacing w:before="0" w:after="100" w:afterAutospacing="0"/>
        <w:ind w:left="0" w:leftChars="0" w:right="-57" w:firstLine="0" w:firstLineChars="0"/>
        <w:jc w:val="left"/>
        <w:rPr>
          <w:rFonts w:hint="eastAsia" w:ascii="宋体" w:hAnsi="宋体" w:eastAsia="宋体"/>
          <w:color w:val="auto"/>
          <w:sz w:val="21"/>
          <w:szCs w:val="21"/>
          <w:highlight w:val="none"/>
        </w:rPr>
      </w:pPr>
      <w:bookmarkStart w:id="1993" w:name="_Toc14841"/>
      <w:bookmarkStart w:id="1994" w:name="_Toc21664"/>
      <w:bookmarkStart w:id="1995" w:name="_Toc18961"/>
      <w:r>
        <w:rPr>
          <w:rFonts w:hint="eastAsia" w:ascii="宋体" w:hAnsi="宋体" w:eastAsia="宋体"/>
          <w:color w:val="auto"/>
          <w:sz w:val="21"/>
          <w:szCs w:val="21"/>
          <w:highlight w:val="none"/>
          <w:lang w:val="en-US" w:eastAsia="zh-CN"/>
        </w:rPr>
        <w:t>B5</w:t>
      </w:r>
      <w:r>
        <w:rPr>
          <w:rFonts w:hint="eastAsia" w:ascii="宋体" w:hAnsi="宋体" w:eastAsia="宋体"/>
          <w:color w:val="auto"/>
          <w:sz w:val="21"/>
          <w:szCs w:val="21"/>
          <w:highlight w:val="none"/>
        </w:rPr>
        <w:t xml:space="preserve"> 维保服务人员配置表</w:t>
      </w:r>
      <w:bookmarkEnd w:id="1993"/>
      <w:bookmarkEnd w:id="1994"/>
      <w:bookmarkEnd w:id="1995"/>
    </w:p>
    <w:p>
      <w:pPr>
        <w:pStyle w:val="32"/>
        <w:spacing w:before="0" w:after="0" w:afterAutospacing="0"/>
        <w:ind w:left="0" w:leftChars="0" w:right="0" w:firstLine="0" w:firstLineChars="0"/>
        <w:jc w:val="center"/>
        <w:rPr>
          <w:rFonts w:ascii="宋体" w:hAnsi="宋体"/>
          <w:color w:val="auto"/>
          <w:highlight w:val="none"/>
        </w:rPr>
      </w:pPr>
      <w:r>
        <w:rPr>
          <w:rFonts w:hint="eastAsia" w:ascii="宋体" w:hAnsi="宋体"/>
          <w:color w:val="auto"/>
          <w:highlight w:val="none"/>
        </w:rPr>
        <w:t>维保服务人员配置表</w:t>
      </w:r>
    </w:p>
    <w:tbl>
      <w:tblPr>
        <w:tblStyle w:val="33"/>
        <w:tblW w:w="80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1275"/>
        <w:gridCol w:w="709"/>
        <w:gridCol w:w="4836"/>
        <w:gridCol w:w="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blHeader/>
          <w:jc w:val="center"/>
        </w:trPr>
        <w:tc>
          <w:tcPr>
            <w:tcW w:w="674"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序号</w:t>
            </w:r>
          </w:p>
        </w:tc>
        <w:tc>
          <w:tcPr>
            <w:tcW w:w="1275"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岗位名称</w:t>
            </w:r>
          </w:p>
        </w:tc>
        <w:tc>
          <w:tcPr>
            <w:tcW w:w="709"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人数</w:t>
            </w:r>
          </w:p>
        </w:tc>
        <w:tc>
          <w:tcPr>
            <w:tcW w:w="4836"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资格要求</w:t>
            </w:r>
          </w:p>
        </w:tc>
        <w:tc>
          <w:tcPr>
            <w:tcW w:w="536"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 w:hRule="atLeast"/>
          <w:jc w:val="center"/>
        </w:trPr>
        <w:tc>
          <w:tcPr>
            <w:tcW w:w="674"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rPr>
            </w:pPr>
            <w:r>
              <w:rPr>
                <w:rFonts w:hint="default" w:ascii="宋体" w:hAnsi="宋体" w:cs="宋体"/>
                <w:color w:val="auto"/>
              </w:rPr>
              <w:t>1</w:t>
            </w:r>
          </w:p>
        </w:tc>
        <w:tc>
          <w:tcPr>
            <w:tcW w:w="1275" w:type="dxa"/>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项目经理</w:t>
            </w:r>
          </w:p>
        </w:tc>
        <w:tc>
          <w:tcPr>
            <w:tcW w:w="709" w:type="dxa"/>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default" w:ascii="宋体" w:hAnsi="宋体" w:cs="宋体"/>
                <w:color w:val="auto"/>
              </w:rPr>
              <w:t>1</w:t>
            </w:r>
          </w:p>
        </w:tc>
        <w:tc>
          <w:tcPr>
            <w:tcW w:w="4836" w:type="dxa"/>
            <w:tcMar>
              <w:top w:w="15" w:type="dxa"/>
              <w:left w:w="15" w:type="dxa"/>
              <w:right w:w="15" w:type="dxa"/>
            </w:tcMar>
            <w:vAlign w:val="center"/>
          </w:tcPr>
          <w:p>
            <w:pPr>
              <w:pStyle w:val="66"/>
              <w:keepNext w:val="0"/>
              <w:keepLines w:val="0"/>
              <w:suppressLineNumbers w:val="0"/>
              <w:adjustRightInd/>
              <w:snapToGrid/>
              <w:spacing w:beforeAutospacing="0" w:line="240" w:lineRule="auto"/>
              <w:ind w:firstLine="420"/>
              <w:rPr>
                <w:rFonts w:hint="default" w:cs="宋体"/>
                <w:color w:val="auto"/>
                <w:sz w:val="21"/>
                <w:szCs w:val="21"/>
              </w:rPr>
            </w:pPr>
            <w:r>
              <w:rPr>
                <w:rFonts w:hint="eastAsia" w:cs="宋体"/>
                <w:color w:val="auto"/>
                <w:sz w:val="21"/>
                <w:szCs w:val="21"/>
              </w:rPr>
              <w:t>大专及以上学历，应熟练掌握</w:t>
            </w:r>
            <w:r>
              <w:rPr>
                <w:rFonts w:hint="eastAsia"/>
                <w:color w:val="auto"/>
                <w:sz w:val="21"/>
                <w:szCs w:val="21"/>
              </w:rPr>
              <w:t>信息网络系统设备及信息网络系统集成</w:t>
            </w:r>
            <w:r>
              <w:rPr>
                <w:rFonts w:hint="eastAsia" w:cs="宋体"/>
                <w:color w:val="auto"/>
                <w:sz w:val="21"/>
                <w:szCs w:val="21"/>
              </w:rPr>
              <w:t>国家和行业有关标准，须持有华三认证的</w:t>
            </w:r>
            <w:r>
              <w:rPr>
                <w:rFonts w:hint="default" w:cs="宋体"/>
                <w:color w:val="auto"/>
                <w:sz w:val="21"/>
                <w:szCs w:val="21"/>
              </w:rPr>
              <w:t>H3CIE</w:t>
            </w:r>
            <w:r>
              <w:rPr>
                <w:rFonts w:hint="eastAsia" w:cs="宋体"/>
                <w:color w:val="auto"/>
                <w:sz w:val="21"/>
                <w:szCs w:val="21"/>
              </w:rPr>
              <w:t>或华为认证的</w:t>
            </w:r>
            <w:r>
              <w:rPr>
                <w:rFonts w:hint="default" w:cs="宋体"/>
                <w:color w:val="auto"/>
                <w:sz w:val="21"/>
                <w:szCs w:val="21"/>
              </w:rPr>
              <w:t>HCIE</w:t>
            </w:r>
            <w:r>
              <w:rPr>
                <w:rFonts w:hint="eastAsia" w:cs="宋体"/>
                <w:color w:val="auto"/>
                <w:sz w:val="21"/>
                <w:szCs w:val="21"/>
              </w:rPr>
              <w:t>专业技术资格证书，具有</w:t>
            </w:r>
            <w:r>
              <w:rPr>
                <w:rFonts w:hint="eastAsia"/>
                <w:color w:val="auto"/>
                <w:sz w:val="21"/>
                <w:szCs w:val="21"/>
              </w:rPr>
              <w:t>信息网络系统设备</w:t>
            </w:r>
            <w:r>
              <w:rPr>
                <w:rFonts w:hint="eastAsia" w:cs="宋体"/>
                <w:color w:val="auto"/>
                <w:sz w:val="21"/>
                <w:szCs w:val="21"/>
              </w:rPr>
              <w:t>设施维保或</w:t>
            </w:r>
            <w:r>
              <w:rPr>
                <w:rFonts w:hint="eastAsia"/>
                <w:color w:val="auto"/>
                <w:sz w:val="21"/>
                <w:szCs w:val="21"/>
              </w:rPr>
              <w:t>信息网络</w:t>
            </w:r>
            <w:r>
              <w:rPr>
                <w:rFonts w:hint="eastAsia" w:cs="宋体"/>
                <w:color w:val="auto"/>
                <w:sz w:val="21"/>
                <w:szCs w:val="21"/>
              </w:rPr>
              <w:t>系统集成项目管理经验，至少</w:t>
            </w:r>
            <w:r>
              <w:rPr>
                <w:rFonts w:hint="default" w:cs="宋体"/>
                <w:color w:val="auto"/>
                <w:sz w:val="21"/>
                <w:szCs w:val="21"/>
              </w:rPr>
              <w:t>8</w:t>
            </w:r>
            <w:r>
              <w:rPr>
                <w:rFonts w:hint="eastAsia" w:cs="宋体"/>
                <w:color w:val="auto"/>
                <w:sz w:val="21"/>
                <w:szCs w:val="21"/>
              </w:rPr>
              <w:t>年工作经验。</w:t>
            </w:r>
          </w:p>
        </w:tc>
        <w:tc>
          <w:tcPr>
            <w:tcW w:w="536"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rPr>
                <w:rFonts w:hint="default"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jc w:val="center"/>
        </w:trPr>
        <w:tc>
          <w:tcPr>
            <w:tcW w:w="674" w:type="dxa"/>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default" w:ascii="宋体" w:hAnsi="宋体" w:cs="宋体"/>
                <w:color w:val="auto"/>
              </w:rPr>
              <w:t>2</w:t>
            </w:r>
          </w:p>
        </w:tc>
        <w:tc>
          <w:tcPr>
            <w:tcW w:w="1275"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color w:val="auto"/>
              </w:rPr>
            </w:pPr>
            <w:r>
              <w:rPr>
                <w:rFonts w:hint="default" w:ascii="宋体" w:hAnsi="宋体" w:cs="宋体"/>
                <w:bCs/>
                <w:color w:val="auto"/>
              </w:rPr>
              <w:t>技术负责人</w:t>
            </w:r>
          </w:p>
        </w:tc>
        <w:tc>
          <w:tcPr>
            <w:tcW w:w="709" w:type="dxa"/>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default" w:ascii="宋体" w:hAnsi="宋体" w:cs="宋体"/>
                <w:color w:val="auto"/>
              </w:rPr>
              <w:t>1</w:t>
            </w:r>
          </w:p>
        </w:tc>
        <w:tc>
          <w:tcPr>
            <w:tcW w:w="4836" w:type="dxa"/>
            <w:tcMar>
              <w:top w:w="15" w:type="dxa"/>
              <w:left w:w="15" w:type="dxa"/>
              <w:right w:w="15" w:type="dxa"/>
            </w:tcMar>
            <w:vAlign w:val="center"/>
          </w:tcPr>
          <w:p>
            <w:pPr>
              <w:pStyle w:val="66"/>
              <w:keepNext w:val="0"/>
              <w:keepLines w:val="0"/>
              <w:suppressLineNumbers w:val="0"/>
              <w:adjustRightInd/>
              <w:snapToGrid/>
              <w:spacing w:beforeAutospacing="0" w:line="240" w:lineRule="auto"/>
              <w:ind w:firstLine="420"/>
              <w:rPr>
                <w:rFonts w:hint="default"/>
                <w:color w:val="auto"/>
                <w:sz w:val="21"/>
                <w:szCs w:val="21"/>
              </w:rPr>
            </w:pPr>
            <w:r>
              <w:rPr>
                <w:rFonts w:hint="eastAsia" w:cs="宋体"/>
                <w:color w:val="auto"/>
                <w:sz w:val="21"/>
                <w:szCs w:val="21"/>
              </w:rPr>
              <w:t>大专及以上学历，应熟练掌握信息网络系统设备及信息网络系统集成国家和行业有关标准，具有信息网络系统设备设施维保或信息网络系统集成项目实施经验；须持有华三认证的</w:t>
            </w:r>
            <w:r>
              <w:rPr>
                <w:rFonts w:hint="default" w:cs="宋体"/>
                <w:color w:val="auto"/>
                <w:sz w:val="21"/>
                <w:szCs w:val="21"/>
              </w:rPr>
              <w:t>H3CIE</w:t>
            </w:r>
            <w:r>
              <w:rPr>
                <w:rFonts w:hint="eastAsia" w:cs="宋体"/>
                <w:color w:val="auto"/>
                <w:sz w:val="21"/>
                <w:szCs w:val="21"/>
              </w:rPr>
              <w:t>专业技术资格证书，至少5年工作经验。</w:t>
            </w:r>
          </w:p>
        </w:tc>
        <w:tc>
          <w:tcPr>
            <w:tcW w:w="536"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rPr>
                <w:rFonts w:hint="default"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674" w:type="dxa"/>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default" w:ascii="宋体" w:hAnsi="宋体" w:cs="宋体"/>
                <w:color w:val="auto"/>
              </w:rPr>
              <w:t>3</w:t>
            </w:r>
          </w:p>
        </w:tc>
        <w:tc>
          <w:tcPr>
            <w:tcW w:w="1275"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color w:val="auto"/>
              </w:rPr>
            </w:pPr>
            <w:r>
              <w:rPr>
                <w:rFonts w:hint="default" w:ascii="宋体" w:hAnsi="宋体" w:cs="宋体"/>
                <w:bCs/>
                <w:color w:val="auto"/>
              </w:rPr>
              <w:t>技术工程师</w:t>
            </w:r>
          </w:p>
        </w:tc>
        <w:tc>
          <w:tcPr>
            <w:tcW w:w="709" w:type="dxa"/>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≥3</w:t>
            </w:r>
          </w:p>
        </w:tc>
        <w:tc>
          <w:tcPr>
            <w:tcW w:w="4836" w:type="dxa"/>
            <w:tcMar>
              <w:top w:w="15" w:type="dxa"/>
              <w:left w:w="15" w:type="dxa"/>
              <w:right w:w="15" w:type="dxa"/>
            </w:tcMar>
            <w:vAlign w:val="center"/>
          </w:tcPr>
          <w:p>
            <w:pPr>
              <w:pStyle w:val="66"/>
              <w:keepNext w:val="0"/>
              <w:keepLines w:val="0"/>
              <w:suppressLineNumbers w:val="0"/>
              <w:adjustRightInd/>
              <w:snapToGrid/>
              <w:spacing w:beforeAutospacing="0" w:line="240" w:lineRule="auto"/>
              <w:ind w:firstLine="420"/>
              <w:rPr>
                <w:rFonts w:hint="default" w:cs="宋体"/>
                <w:color w:val="auto"/>
                <w:sz w:val="21"/>
                <w:szCs w:val="21"/>
              </w:rPr>
            </w:pPr>
            <w:r>
              <w:rPr>
                <w:rFonts w:hint="eastAsia" w:cs="宋体"/>
                <w:color w:val="auto"/>
                <w:sz w:val="21"/>
                <w:szCs w:val="21"/>
              </w:rPr>
              <w:t>大专及以上学历，应熟练掌握信息网络系统设备及信息网络系统集成国家和行业有关标准，具有信息网络系统设备设施维保或信息网络系统集成项目实施经验；</w:t>
            </w:r>
            <w:r>
              <w:rPr>
                <w:rFonts w:hint="default" w:cs="宋体"/>
                <w:color w:val="auto"/>
                <w:sz w:val="21"/>
                <w:szCs w:val="21"/>
              </w:rPr>
              <w:t>3</w:t>
            </w:r>
            <w:r>
              <w:rPr>
                <w:rFonts w:hint="eastAsia" w:cs="宋体"/>
                <w:color w:val="auto"/>
                <w:sz w:val="21"/>
                <w:szCs w:val="21"/>
              </w:rPr>
              <w:t>名高级工程师均须持有华三认证的</w:t>
            </w:r>
            <w:r>
              <w:rPr>
                <w:rFonts w:hint="default" w:cs="宋体"/>
                <w:color w:val="auto"/>
                <w:sz w:val="21"/>
                <w:szCs w:val="21"/>
              </w:rPr>
              <w:t>H3CSE-RS+</w:t>
            </w:r>
            <w:r>
              <w:rPr>
                <w:rFonts w:hint="eastAsia" w:cs="宋体"/>
                <w:color w:val="auto"/>
                <w:sz w:val="21"/>
                <w:szCs w:val="21"/>
              </w:rPr>
              <w:t>或华为认证的</w:t>
            </w:r>
            <w:r>
              <w:rPr>
                <w:rFonts w:hint="default" w:cs="宋体"/>
                <w:color w:val="auto"/>
                <w:sz w:val="21"/>
                <w:szCs w:val="21"/>
              </w:rPr>
              <w:t>HCIP-datacom</w:t>
            </w:r>
            <w:r>
              <w:rPr>
                <w:rFonts w:hint="eastAsia" w:cs="宋体"/>
                <w:color w:val="auto"/>
                <w:sz w:val="21"/>
                <w:szCs w:val="21"/>
              </w:rPr>
              <w:t>及以上专业技术资格证书，至少3年工作经验。</w:t>
            </w:r>
          </w:p>
        </w:tc>
        <w:tc>
          <w:tcPr>
            <w:tcW w:w="536"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rPr>
                <w:rFonts w:hint="default"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jc w:val="center"/>
        </w:trPr>
        <w:tc>
          <w:tcPr>
            <w:tcW w:w="674" w:type="dxa"/>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p>
        </w:tc>
        <w:tc>
          <w:tcPr>
            <w:tcW w:w="1275" w:type="dxa"/>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合计</w:t>
            </w:r>
          </w:p>
        </w:tc>
        <w:tc>
          <w:tcPr>
            <w:tcW w:w="709" w:type="dxa"/>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≥5</w:t>
            </w:r>
          </w:p>
        </w:tc>
        <w:tc>
          <w:tcPr>
            <w:tcW w:w="4836" w:type="dxa"/>
            <w:shd w:val="clear" w:color="auto" w:fill="FFFFFF"/>
            <w:tcMar>
              <w:top w:w="15" w:type="dxa"/>
              <w:left w:w="15" w:type="dxa"/>
              <w:right w:w="15" w:type="dxa"/>
            </w:tcMar>
            <w:vAlign w:val="center"/>
          </w:tcPr>
          <w:p>
            <w:pPr>
              <w:keepNext/>
              <w:keepLines/>
              <w:widowControl/>
              <w:suppressLineNumbers w:val="0"/>
              <w:spacing w:before="0" w:beforeAutospacing="0" w:after="0" w:afterAutospacing="0" w:line="240" w:lineRule="auto"/>
              <w:textAlignment w:val="center"/>
              <w:outlineLvl w:val="0"/>
              <w:rPr>
                <w:rFonts w:hint="default" w:ascii="宋体" w:hAnsi="宋体" w:cs="宋体"/>
                <w:color w:val="auto"/>
                <w:kern w:val="44"/>
              </w:rPr>
            </w:pPr>
          </w:p>
        </w:tc>
        <w:tc>
          <w:tcPr>
            <w:tcW w:w="536" w:type="dxa"/>
            <w:tcMar>
              <w:top w:w="15" w:type="dxa"/>
              <w:left w:w="15" w:type="dxa"/>
              <w:right w:w="15" w:type="dxa"/>
            </w:tcMar>
            <w:vAlign w:val="center"/>
          </w:tcPr>
          <w:p>
            <w:pPr>
              <w:keepNext/>
              <w:keepLines/>
              <w:widowControl/>
              <w:suppressLineNumbers w:val="0"/>
              <w:spacing w:before="0" w:beforeAutospacing="0" w:after="0" w:afterAutospacing="0" w:line="240" w:lineRule="auto"/>
              <w:outlineLvl w:val="0"/>
              <w:rPr>
                <w:rFonts w:hint="default" w:ascii="宋体" w:hAnsi="宋体" w:cs="宋体"/>
                <w:color w:val="auto"/>
              </w:rPr>
            </w:pPr>
          </w:p>
        </w:tc>
      </w:tr>
    </w:tbl>
    <w:p>
      <w:pPr>
        <w:pStyle w:val="67"/>
        <w:tabs>
          <w:tab w:val="left" w:pos="0"/>
        </w:tabs>
        <w:spacing w:line="360" w:lineRule="auto"/>
        <w:ind w:firstLine="0" w:firstLineChars="0"/>
        <w:rPr>
          <w:rFonts w:hint="eastAsia" w:ascii="宋体" w:hAnsi="宋体" w:eastAsia="宋体" w:cs="宋体"/>
          <w:b/>
          <w:color w:val="auto"/>
          <w:sz w:val="21"/>
          <w:szCs w:val="21"/>
          <w:highlight w:val="none"/>
        </w:rPr>
      </w:pPr>
    </w:p>
    <w:p>
      <w:pPr>
        <w:pStyle w:val="67"/>
        <w:tabs>
          <w:tab w:val="left" w:pos="0"/>
        </w:tabs>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sz w:val="21"/>
          <w:szCs w:val="21"/>
          <w:highlight w:val="none"/>
        </w:rPr>
        <w:t>备注：</w:t>
      </w:r>
    </w:p>
    <w:p>
      <w:pPr>
        <w:pStyle w:val="67"/>
        <w:tabs>
          <w:tab w:val="left" w:pos="0"/>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1.比选申请人须在比选响应文件中明确投入本项目的技术工程师及以上管理人员信息（包含人员姓名、年龄、职务、学历、专业、工作年限等信息）。</w:t>
      </w:r>
    </w:p>
    <w:p>
      <w:pPr>
        <w:pStyle w:val="67"/>
        <w:tabs>
          <w:tab w:val="left" w:pos="0"/>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2.比选申请人所有人员必须身体健康，不可带病上岗。</w:t>
      </w:r>
    </w:p>
    <w:p>
      <w:pPr>
        <w:pStyle w:val="67"/>
        <w:tabs>
          <w:tab w:val="left" w:pos="0"/>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3.项目经理、技术负责人、技术工程师必须为本厂家正式员工，比选人可根据现场工作需求，有权要求比选申请人更换不符合要求的人员。</w:t>
      </w:r>
    </w:p>
    <w:p>
      <w:pPr>
        <w:pStyle w:val="67"/>
        <w:tabs>
          <w:tab w:val="left" w:pos="0"/>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比选申请人对其筹备组织机构定岗、定员，并保证建立的筹备服务团队稳定，人员素质和专业技术结构满足各项筹备要求。若因比选申请人人员技术水平低，责任心差不符合比选人条件的，比选人有权拒绝使用。</w:t>
      </w:r>
    </w:p>
    <w:p>
      <w:pPr>
        <w:pStyle w:val="16"/>
        <w:rPr>
          <w:rFonts w:hint="eastAsia" w:ascii="宋体" w:hAnsi="宋体" w:eastAsia="宋体" w:cs="宋体"/>
          <w:color w:val="auto"/>
          <w:highlight w:val="none"/>
        </w:rPr>
      </w:pPr>
    </w:p>
    <w:p>
      <w:pPr>
        <w:pStyle w:val="4"/>
        <w:pageBreakBefore/>
        <w:spacing w:after="100"/>
        <w:ind w:left="0" w:right="-57" w:firstLine="0"/>
        <w:jc w:val="center"/>
        <w:rPr>
          <w:rFonts w:ascii="宋体" w:hAnsi="宋体"/>
          <w:color w:val="auto"/>
          <w:sz w:val="24"/>
          <w:szCs w:val="24"/>
          <w:highlight w:val="none"/>
        </w:rPr>
      </w:pPr>
      <w:bookmarkStart w:id="1996" w:name="_Toc8914"/>
      <w:bookmarkStart w:id="1997" w:name="_Toc13328"/>
      <w:bookmarkStart w:id="1998" w:name="_Toc492478807"/>
      <w:bookmarkStart w:id="1999" w:name="_Toc14988"/>
      <w:bookmarkStart w:id="2000" w:name="_Toc8874"/>
      <w:bookmarkStart w:id="2001" w:name="_Toc414290525"/>
      <w:bookmarkStart w:id="2002" w:name="_Toc23770"/>
      <w:bookmarkStart w:id="2003" w:name="_Toc12983551"/>
      <w:bookmarkStart w:id="2004" w:name="_Toc14586"/>
      <w:bookmarkStart w:id="2005" w:name="_Toc24971"/>
      <w:bookmarkStart w:id="2006" w:name="_Toc10812"/>
      <w:bookmarkStart w:id="2007" w:name="_Toc18876"/>
      <w:bookmarkStart w:id="2008" w:name="_Toc16676"/>
      <w:bookmarkStart w:id="2009" w:name="_Toc17687"/>
      <w:bookmarkStart w:id="2010" w:name="_Toc12984811"/>
      <w:bookmarkStart w:id="2011" w:name="_Toc29358"/>
      <w:bookmarkStart w:id="2012" w:name="_Toc27820"/>
      <w:bookmarkStart w:id="2013" w:name="_Toc12677"/>
      <w:bookmarkStart w:id="2014" w:name="_Toc8451"/>
      <w:bookmarkStart w:id="2015" w:name="_Toc11582"/>
      <w:bookmarkStart w:id="2016" w:name="_Toc28662"/>
      <w:bookmarkStart w:id="2017" w:name="_Toc3795"/>
      <w:bookmarkStart w:id="2018" w:name="_Toc6378"/>
      <w:bookmarkStart w:id="2019" w:name="_Toc14006"/>
      <w:bookmarkStart w:id="2020" w:name="_Toc23973"/>
      <w:bookmarkStart w:id="2021" w:name="_Toc17422"/>
      <w:bookmarkStart w:id="2022" w:name="_Toc23095"/>
      <w:bookmarkStart w:id="2023" w:name="_Toc18422"/>
      <w:r>
        <w:rPr>
          <w:rFonts w:hint="eastAsia" w:ascii="宋体" w:hAnsi="宋体"/>
          <w:color w:val="auto"/>
          <w:sz w:val="24"/>
          <w:szCs w:val="24"/>
          <w:highlight w:val="none"/>
        </w:rPr>
        <w:t>C</w:t>
      </w:r>
      <w:r>
        <w:rPr>
          <w:rFonts w:ascii="宋体" w:hAnsi="宋体"/>
          <w:color w:val="auto"/>
          <w:sz w:val="24"/>
          <w:szCs w:val="24"/>
          <w:highlight w:val="none"/>
        </w:rPr>
        <w:t xml:space="preserve"> </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Pr>
          <w:rFonts w:hint="eastAsia" w:ascii="宋体" w:hAnsi="宋体"/>
          <w:color w:val="auto"/>
          <w:sz w:val="24"/>
          <w:szCs w:val="24"/>
          <w:highlight w:val="none"/>
        </w:rPr>
        <w:t>价格文件</w:t>
      </w:r>
      <w:bookmarkEnd w:id="2017"/>
      <w:bookmarkEnd w:id="2018"/>
      <w:bookmarkEnd w:id="2019"/>
      <w:bookmarkEnd w:id="2020"/>
      <w:bookmarkEnd w:id="2021"/>
      <w:bookmarkEnd w:id="2022"/>
      <w:bookmarkEnd w:id="2023"/>
    </w:p>
    <w:p>
      <w:pPr>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价格文件格式</w:t>
      </w:r>
    </w:p>
    <w:p>
      <w:pPr>
        <w:spacing w:before="0" w:after="0" w:afterAutospacing="0" w:line="276" w:lineRule="auto"/>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（1）比选申请报价一览表（格式见C1）；</w:t>
      </w:r>
    </w:p>
    <w:p>
      <w:pPr>
        <w:spacing w:before="0" w:after="0" w:afterAutospacing="0" w:line="276" w:lineRule="auto"/>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（2）比选申请函（格式见C2）；</w:t>
      </w:r>
    </w:p>
    <w:p>
      <w:pPr>
        <w:spacing w:before="0" w:after="0" w:afterAutospacing="0" w:line="276" w:lineRule="auto"/>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（3）比选申请报价表（格式见C3）；</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（4）比选申请人认为应提交的其他比选申请资料</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如有</w:t>
      </w:r>
      <w:r>
        <w:rPr>
          <w:rFonts w:hint="eastAsia" w:ascii="宋体" w:hAnsi="宋体" w:cs="宋体"/>
          <w:color w:val="auto"/>
          <w:highlight w:val="none"/>
          <w:lang w:eastAsia="zh-CN"/>
        </w:rPr>
        <w:t>）</w:t>
      </w:r>
      <w:r>
        <w:rPr>
          <w:rFonts w:hint="eastAsia" w:ascii="宋体" w:hAnsi="宋体" w:eastAsia="宋体" w:cs="宋体"/>
          <w:color w:val="auto"/>
          <w:highlight w:val="none"/>
        </w:rPr>
        <w:t>。</w:t>
      </w:r>
    </w:p>
    <w:p>
      <w:pPr>
        <w:pStyle w:val="5"/>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hint="eastAsia" w:ascii="宋体" w:hAnsi="宋体" w:eastAsia="宋体" w:cs="宋体"/>
          <w:color w:val="auto"/>
          <w:highlight w:val="none"/>
        </w:rPr>
        <w:br w:type="page"/>
      </w:r>
      <w:bookmarkStart w:id="2024" w:name="_Toc375564355"/>
      <w:bookmarkStart w:id="2025" w:name="_Toc4623"/>
      <w:bookmarkStart w:id="2026" w:name="_Toc414290526"/>
      <w:bookmarkStart w:id="2027" w:name="_Toc1158"/>
      <w:bookmarkStart w:id="2028" w:name="_Toc28398"/>
      <w:bookmarkStart w:id="2029" w:name="_Toc24326"/>
      <w:bookmarkStart w:id="2030" w:name="_Toc13980"/>
      <w:bookmarkStart w:id="2031" w:name="_Toc29231"/>
      <w:bookmarkStart w:id="2032" w:name="_Toc12951"/>
      <w:bookmarkStart w:id="2033" w:name="_Toc10991"/>
      <w:bookmarkStart w:id="2034" w:name="_Toc2184"/>
      <w:bookmarkStart w:id="2035" w:name="_Toc16489"/>
      <w:bookmarkStart w:id="2036" w:name="_Toc23615"/>
      <w:bookmarkStart w:id="2037" w:name="_Toc24487"/>
      <w:bookmarkStart w:id="2038" w:name="_Toc25750680"/>
      <w:bookmarkStart w:id="2039" w:name="_Toc25419"/>
      <w:bookmarkStart w:id="2040" w:name="_Toc9560"/>
      <w:bookmarkStart w:id="2041" w:name="_Toc24873"/>
      <w:bookmarkStart w:id="2042" w:name="_Toc7160"/>
      <w:bookmarkStart w:id="2043" w:name="_Toc27610"/>
      <w:bookmarkStart w:id="2044" w:name="_Toc7004"/>
      <w:bookmarkStart w:id="2045" w:name="_Toc12984812"/>
      <w:bookmarkStart w:id="2046" w:name="_Toc29688"/>
      <w:bookmarkStart w:id="2047" w:name="_Toc18340"/>
      <w:bookmarkStart w:id="2048" w:name="_Toc15042"/>
      <w:bookmarkStart w:id="2049" w:name="_Toc12983552"/>
      <w:bookmarkStart w:id="2050" w:name="_Toc492478808"/>
      <w:bookmarkStart w:id="2051" w:name="_Toc9861"/>
      <w:bookmarkStart w:id="2052" w:name="_Toc18516"/>
      <w:bookmarkStart w:id="2053" w:name="_Toc6992"/>
      <w:r>
        <w:rPr>
          <w:rFonts w:hint="eastAsia" w:ascii="宋体" w:hAnsi="宋体" w:eastAsia="宋体"/>
          <w:color w:val="auto"/>
          <w:sz w:val="21"/>
          <w:szCs w:val="21"/>
          <w:highlight w:val="none"/>
        </w:rPr>
        <w:t>C</w:t>
      </w:r>
      <w:r>
        <w:rPr>
          <w:rFonts w:ascii="宋体" w:hAnsi="宋体" w:eastAsia="宋体"/>
          <w:color w:val="auto"/>
          <w:sz w:val="21"/>
          <w:szCs w:val="21"/>
          <w:highlight w:val="none"/>
        </w:rPr>
        <w:t>1</w:t>
      </w:r>
      <w:r>
        <w:rPr>
          <w:rFonts w:hint="eastAsia" w:ascii="宋体" w:hAnsi="宋体" w:eastAsia="宋体"/>
          <w:color w:val="auto"/>
          <w:sz w:val="21"/>
          <w:szCs w:val="21"/>
          <w:highlight w:val="none"/>
        </w:rPr>
        <w:t xml:space="preserve"> </w:t>
      </w:r>
      <w:r>
        <w:rPr>
          <w:rFonts w:ascii="宋体" w:hAnsi="宋体" w:eastAsia="宋体"/>
          <w:color w:val="auto"/>
          <w:sz w:val="21"/>
          <w:szCs w:val="21"/>
          <w:highlight w:val="none"/>
        </w:rPr>
        <w:t>比选申请报价一览表</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snapToGrid w:val="0"/>
        <w:spacing w:after="50"/>
        <w:ind w:right="-57" w:firstLine="0"/>
        <w:jc w:val="center"/>
        <w:rPr>
          <w:rFonts w:ascii="宋体" w:hAnsi="宋体"/>
          <w:b/>
          <w:color w:val="auto"/>
          <w:sz w:val="24"/>
          <w:szCs w:val="24"/>
          <w:highlight w:val="none"/>
        </w:rPr>
      </w:pPr>
      <w:bookmarkStart w:id="2054" w:name="_Toc20931"/>
      <w:r>
        <w:rPr>
          <w:rFonts w:hint="eastAsia" w:ascii="宋体" w:hAnsi="宋体"/>
          <w:b/>
          <w:color w:val="auto"/>
          <w:sz w:val="24"/>
          <w:szCs w:val="24"/>
          <w:highlight w:val="none"/>
        </w:rPr>
        <w:t>比选申请报价一览表</w:t>
      </w:r>
      <w:bookmarkEnd w:id="2054"/>
    </w:p>
    <w:p>
      <w:pPr>
        <w:widowControl w:val="0"/>
        <w:snapToGrid w:val="0"/>
        <w:spacing w:before="0" w:after="0" w:afterAutospacing="0"/>
        <w:ind w:left="0" w:right="-57" w:rightChars="-27" w:firstLine="0"/>
        <w:rPr>
          <w:rFonts w:hint="eastAsia" w:ascii="宋体" w:hAnsi="宋体" w:eastAsia="宋体"/>
          <w:color w:val="auto"/>
          <w:kern w:val="2"/>
          <w:highlight w:val="none"/>
          <w:u w:val="single"/>
          <w:lang w:eastAsia="zh-CN"/>
        </w:rPr>
      </w:pPr>
      <w:r>
        <w:rPr>
          <w:rFonts w:hint="eastAsia" w:ascii="宋体" w:hAnsi="宋体"/>
          <w:color w:val="auto"/>
          <w:kern w:val="2"/>
          <w:highlight w:val="none"/>
        </w:rPr>
        <w:t>项目名称：</w:t>
      </w:r>
      <w:r>
        <w:rPr>
          <w:rFonts w:hint="eastAsia" w:ascii="宋体" w:hAnsi="宋体"/>
          <w:color w:val="auto"/>
          <w:highlight w:val="none"/>
          <w:lang w:eastAsia="zh-CN"/>
        </w:rPr>
        <w:t>南宁轨道交通1-5号线办公网交换机设备委外维保维修服务采购项目（2023年-2024年）</w:t>
      </w:r>
    </w:p>
    <w:p>
      <w:pPr>
        <w:widowControl w:val="0"/>
        <w:snapToGrid w:val="0"/>
        <w:spacing w:before="0" w:after="0" w:afterAutospacing="0"/>
        <w:ind w:left="0" w:right="-57" w:rightChars="-27" w:firstLine="0"/>
        <w:rPr>
          <w:rFonts w:ascii="宋体" w:hAnsi="宋体"/>
          <w:color w:val="auto"/>
          <w:kern w:val="2"/>
          <w:highlight w:val="none"/>
        </w:rPr>
      </w:pPr>
      <w:r>
        <w:rPr>
          <w:rFonts w:hint="eastAsia" w:ascii="宋体" w:hAnsi="宋体"/>
          <w:color w:val="auto"/>
          <w:kern w:val="2"/>
          <w:highlight w:val="none"/>
        </w:rPr>
        <w:t>项目编号：</w:t>
      </w:r>
      <w:r>
        <w:rPr>
          <w:rFonts w:hint="eastAsia" w:ascii="宋体" w:hAnsi="宋体"/>
          <w:color w:val="auto"/>
          <w:highlight w:val="none"/>
        </w:rPr>
        <w:t>202311030002</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                   单位：元</w:t>
      </w:r>
    </w:p>
    <w:p>
      <w:pPr>
        <w:spacing w:before="0" w:after="0" w:afterAutospacing="0"/>
        <w:ind w:left="0" w:right="0" w:firstLine="0"/>
        <w:rPr>
          <w:rFonts w:ascii="宋体" w:hAnsi="宋体"/>
          <w:color w:val="auto"/>
          <w:highlight w:val="none"/>
        </w:rPr>
      </w:pPr>
    </w:p>
    <w:tbl>
      <w:tblPr>
        <w:tblStyle w:val="33"/>
        <w:tblW w:w="954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28"/>
        <w:gridCol w:w="6550"/>
        <w:gridCol w:w="6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8878" w:type="dxa"/>
            <w:gridSpan w:val="2"/>
            <w:tcBorders>
              <w:bottom w:val="single" w:color="auto" w:sz="4" w:space="0"/>
            </w:tcBorders>
            <w:vAlign w:val="center"/>
          </w:tcPr>
          <w:p>
            <w:pPr>
              <w:keepNext w:val="0"/>
              <w:keepLines w:val="0"/>
              <w:widowControl w:val="0"/>
              <w:suppressLineNumbers w:val="0"/>
              <w:snapToGrid w:val="0"/>
              <w:spacing w:before="0" w:beforeAutospacing="0" w:after="0" w:afterAutospacing="0"/>
              <w:ind w:right="-57" w:rightChars="-27"/>
              <w:jc w:val="center"/>
              <w:rPr>
                <w:rFonts w:hint="eastAsia" w:ascii="宋体" w:hAnsi="宋体" w:eastAsia="宋体"/>
                <w:b/>
                <w:bCs/>
                <w:color w:val="auto"/>
                <w:kern w:val="2"/>
                <w:highlight w:val="none"/>
                <w:lang w:val="en-US" w:eastAsia="zh-CN"/>
              </w:rPr>
            </w:pPr>
            <w:r>
              <w:rPr>
                <w:rFonts w:hint="eastAsia" w:ascii="宋体" w:hAnsi="宋体"/>
                <w:b/>
                <w:bCs/>
                <w:color w:val="auto"/>
                <w:kern w:val="2"/>
                <w:highlight w:val="none"/>
              </w:rPr>
              <w:t>比选申请报价</w:t>
            </w:r>
          </w:p>
        </w:tc>
        <w:tc>
          <w:tcPr>
            <w:tcW w:w="671" w:type="dxa"/>
            <w:tcBorders>
              <w:bottom w:val="single" w:color="auto" w:sz="4" w:space="0"/>
            </w:tcBorders>
            <w:vAlign w:val="center"/>
          </w:tcPr>
          <w:p>
            <w:pPr>
              <w:keepNext w:val="0"/>
              <w:keepLines w:val="0"/>
              <w:widowControl w:val="0"/>
              <w:suppressLineNumbers w:val="0"/>
              <w:snapToGrid w:val="0"/>
              <w:spacing w:before="0" w:beforeAutospacing="0" w:after="0" w:afterAutospacing="0"/>
              <w:ind w:right="-57" w:rightChars="-27"/>
              <w:jc w:val="center"/>
              <w:rPr>
                <w:rFonts w:hint="default" w:ascii="宋体" w:hAnsi="宋体"/>
                <w:b/>
                <w:color w:val="auto"/>
                <w:kern w:val="2"/>
                <w:highlight w:val="none"/>
              </w:rPr>
            </w:pPr>
            <w:r>
              <w:rPr>
                <w:rFonts w:hint="eastAsia" w:ascii="宋体" w:hAnsi="宋体"/>
                <w:b/>
                <w:color w:val="auto"/>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7" w:hRule="atLeast"/>
        </w:trPr>
        <w:tc>
          <w:tcPr>
            <w:tcW w:w="2328" w:type="dxa"/>
            <w:tcBorders>
              <w:bottom w:val="single" w:color="auto" w:sz="4" w:space="0"/>
            </w:tcBorders>
            <w:vAlign w:val="center"/>
          </w:tcPr>
          <w:p>
            <w:pPr>
              <w:keepNext w:val="0"/>
              <w:keepLines w:val="0"/>
              <w:widowControl w:val="0"/>
              <w:suppressLineNumbers w:val="0"/>
              <w:snapToGrid w:val="0"/>
              <w:spacing w:before="0" w:beforeAutospacing="0" w:after="0" w:afterAutospacing="0"/>
              <w:ind w:left="0" w:right="-57" w:rightChars="-27" w:firstLine="0"/>
              <w:jc w:val="center"/>
              <w:rPr>
                <w:rFonts w:hint="eastAsia" w:ascii="宋体" w:hAnsi="宋体"/>
                <w:b/>
                <w:bCs/>
                <w:color w:val="auto"/>
                <w:kern w:val="2"/>
                <w:highlight w:val="none"/>
              </w:rPr>
            </w:pPr>
            <w:r>
              <w:rPr>
                <w:rFonts w:hint="eastAsia" w:ascii="宋体" w:hAnsi="宋体"/>
                <w:b/>
                <w:bCs/>
                <w:color w:val="auto"/>
                <w:kern w:val="2"/>
                <w:highlight w:val="none"/>
              </w:rPr>
              <w:t>比选申请总报价</w:t>
            </w:r>
          </w:p>
          <w:p>
            <w:pPr>
              <w:keepNext w:val="0"/>
              <w:keepLines w:val="0"/>
              <w:widowControl w:val="0"/>
              <w:suppressLineNumbers w:val="0"/>
              <w:snapToGrid w:val="0"/>
              <w:spacing w:before="0" w:beforeAutospacing="0" w:after="0" w:afterAutospacing="0"/>
              <w:ind w:left="0" w:leftChars="0" w:right="-57" w:rightChars="-27" w:firstLine="632" w:firstLineChars="300"/>
              <w:jc w:val="both"/>
              <w:rPr>
                <w:rFonts w:hint="default" w:ascii="宋体" w:hAnsi="宋体"/>
                <w:b/>
                <w:bCs/>
                <w:color w:val="auto"/>
                <w:kern w:val="2"/>
                <w:highlight w:val="none"/>
              </w:rPr>
            </w:pPr>
            <w:r>
              <w:rPr>
                <w:rFonts w:hint="eastAsia" w:ascii="宋体" w:hAnsi="宋体"/>
                <w:b/>
                <w:bCs/>
                <w:color w:val="auto"/>
                <w:kern w:val="2"/>
                <w:highlight w:val="none"/>
              </w:rPr>
              <w:t>(不含税）</w:t>
            </w:r>
          </w:p>
        </w:tc>
        <w:tc>
          <w:tcPr>
            <w:tcW w:w="6550" w:type="dxa"/>
            <w:tcBorders>
              <w:bottom w:val="single" w:color="auto" w:sz="4" w:space="0"/>
            </w:tcBorders>
            <w:vAlign w:val="center"/>
          </w:tcPr>
          <w:p>
            <w:pPr>
              <w:keepNext w:val="0"/>
              <w:keepLines w:val="0"/>
              <w:widowControl w:val="0"/>
              <w:suppressLineNumbers w:val="0"/>
              <w:snapToGrid w:val="0"/>
              <w:spacing w:before="0" w:beforeAutospacing="0" w:after="0" w:afterAutospacing="0"/>
              <w:ind w:right="-57" w:rightChars="-27"/>
              <w:jc w:val="left"/>
              <w:rPr>
                <w:rFonts w:hint="default" w:ascii="宋体" w:hAnsi="宋体"/>
                <w:b/>
                <w:color w:val="auto"/>
                <w:kern w:val="2"/>
                <w:highlight w:val="none"/>
                <w:u w:val="single"/>
              </w:rPr>
            </w:pPr>
            <w:r>
              <w:rPr>
                <w:rFonts w:hint="eastAsia" w:ascii="宋体" w:hAnsi="宋体"/>
                <w:b/>
                <w:color w:val="auto"/>
                <w:kern w:val="2"/>
                <w:highlight w:val="none"/>
              </w:rPr>
              <w:t>小写：</w:t>
            </w:r>
          </w:p>
          <w:p>
            <w:pPr>
              <w:keepNext w:val="0"/>
              <w:keepLines w:val="0"/>
              <w:widowControl w:val="0"/>
              <w:suppressLineNumbers w:val="0"/>
              <w:snapToGrid w:val="0"/>
              <w:spacing w:before="0" w:beforeAutospacing="0" w:after="0" w:afterAutospacing="0"/>
              <w:ind w:left="0" w:right="-57" w:rightChars="-27" w:firstLine="0"/>
              <w:jc w:val="left"/>
              <w:rPr>
                <w:rFonts w:hint="eastAsia" w:ascii="宋体" w:hAnsi="宋体"/>
                <w:b/>
                <w:color w:val="auto"/>
                <w:kern w:val="2"/>
                <w:highlight w:val="none"/>
              </w:rPr>
            </w:pPr>
            <w:r>
              <w:rPr>
                <w:rFonts w:hint="eastAsia" w:ascii="宋体" w:hAnsi="宋体"/>
                <w:b/>
                <w:color w:val="auto"/>
                <w:kern w:val="2"/>
                <w:highlight w:val="none"/>
              </w:rPr>
              <w:t>大写：</w:t>
            </w:r>
          </w:p>
        </w:tc>
        <w:tc>
          <w:tcPr>
            <w:tcW w:w="671" w:type="dxa"/>
            <w:tcBorders>
              <w:bottom w:val="single" w:color="auto" w:sz="4" w:space="0"/>
            </w:tcBorders>
            <w:vAlign w:val="center"/>
          </w:tcPr>
          <w:p>
            <w:pPr>
              <w:keepNext w:val="0"/>
              <w:keepLines w:val="0"/>
              <w:widowControl w:val="0"/>
              <w:suppressLineNumbers w:val="0"/>
              <w:snapToGrid w:val="0"/>
              <w:spacing w:before="0" w:beforeAutospacing="0" w:after="0" w:afterAutospacing="0"/>
              <w:ind w:left="0" w:right="-57" w:rightChars="-27" w:firstLine="0"/>
              <w:rPr>
                <w:rFonts w:hint="default"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2328" w:type="dxa"/>
            <w:vAlign w:val="center"/>
          </w:tcPr>
          <w:p>
            <w:pPr>
              <w:keepNext w:val="0"/>
              <w:keepLines w:val="0"/>
              <w:widowControl w:val="0"/>
              <w:suppressLineNumbers w:val="0"/>
              <w:snapToGrid w:val="0"/>
              <w:spacing w:before="0" w:beforeAutospacing="0" w:after="0" w:afterAutospacing="0"/>
              <w:ind w:right="-57" w:rightChars="-27"/>
              <w:jc w:val="center"/>
              <w:rPr>
                <w:rFonts w:hint="default" w:ascii="宋体" w:hAnsi="宋体"/>
                <w:b/>
                <w:bCs/>
                <w:color w:val="auto"/>
                <w:kern w:val="2"/>
                <w:highlight w:val="none"/>
              </w:rPr>
            </w:pPr>
            <w:r>
              <w:rPr>
                <w:rFonts w:hint="eastAsia" w:ascii="宋体" w:hAnsi="宋体"/>
                <w:b/>
                <w:bCs/>
                <w:color w:val="auto"/>
                <w:kern w:val="2"/>
                <w:highlight w:val="none"/>
              </w:rPr>
              <w:t>比选申请总报价</w:t>
            </w:r>
          </w:p>
          <w:p>
            <w:pPr>
              <w:keepNext w:val="0"/>
              <w:keepLines w:val="0"/>
              <w:widowControl w:val="0"/>
              <w:suppressLineNumbers w:val="0"/>
              <w:snapToGrid w:val="0"/>
              <w:spacing w:before="0" w:beforeAutospacing="0" w:after="0" w:afterAutospacing="0"/>
              <w:ind w:left="0" w:leftChars="0" w:right="-57" w:rightChars="-27" w:firstLine="0" w:firstLineChars="0"/>
              <w:jc w:val="center"/>
              <w:rPr>
                <w:rFonts w:hint="eastAsia" w:ascii="宋体" w:hAnsi="宋体" w:eastAsia="宋体"/>
                <w:b/>
                <w:color w:val="auto"/>
                <w:kern w:val="2"/>
                <w:highlight w:val="none"/>
                <w:lang w:eastAsia="zh-CN"/>
              </w:rPr>
            </w:pPr>
            <w:r>
              <w:rPr>
                <w:rFonts w:hint="eastAsia" w:ascii="宋体" w:hAnsi="宋体"/>
                <w:b/>
                <w:bCs/>
                <w:color w:val="auto"/>
                <w:kern w:val="2"/>
                <w:highlight w:val="none"/>
              </w:rPr>
              <w:t xml:space="preserve"> (含税）</w:t>
            </w:r>
          </w:p>
        </w:tc>
        <w:tc>
          <w:tcPr>
            <w:tcW w:w="6550" w:type="dxa"/>
            <w:vAlign w:val="center"/>
          </w:tcPr>
          <w:p>
            <w:pPr>
              <w:keepNext w:val="0"/>
              <w:keepLines w:val="0"/>
              <w:widowControl w:val="0"/>
              <w:suppressLineNumbers w:val="0"/>
              <w:snapToGrid w:val="0"/>
              <w:spacing w:before="0" w:beforeAutospacing="0" w:after="0" w:afterAutospacing="0"/>
              <w:ind w:right="-57" w:rightChars="-27"/>
              <w:jc w:val="left"/>
              <w:rPr>
                <w:rFonts w:hint="default" w:ascii="宋体" w:hAnsi="宋体"/>
                <w:b/>
                <w:color w:val="auto"/>
                <w:kern w:val="2"/>
                <w:highlight w:val="none"/>
                <w:u w:val="single"/>
              </w:rPr>
            </w:pPr>
            <w:r>
              <w:rPr>
                <w:rFonts w:hint="eastAsia" w:ascii="宋体" w:hAnsi="宋体"/>
                <w:b/>
                <w:color w:val="auto"/>
                <w:kern w:val="2"/>
                <w:highlight w:val="none"/>
              </w:rPr>
              <w:t>小写：</w:t>
            </w:r>
          </w:p>
          <w:p>
            <w:pPr>
              <w:keepNext w:val="0"/>
              <w:keepLines w:val="0"/>
              <w:widowControl w:val="0"/>
              <w:suppressLineNumbers w:val="0"/>
              <w:snapToGrid w:val="0"/>
              <w:spacing w:before="0" w:beforeAutospacing="0" w:after="0" w:afterAutospacing="0"/>
              <w:ind w:left="0" w:leftChars="0" w:right="-57" w:rightChars="-27" w:firstLine="0" w:firstLineChars="0"/>
              <w:jc w:val="left"/>
              <w:rPr>
                <w:rFonts w:hint="eastAsia" w:ascii="宋体" w:hAnsi="宋体"/>
                <w:b/>
                <w:color w:val="auto"/>
                <w:kern w:val="2"/>
                <w:highlight w:val="none"/>
              </w:rPr>
            </w:pPr>
            <w:r>
              <w:rPr>
                <w:rFonts w:hint="eastAsia" w:ascii="宋体" w:hAnsi="宋体"/>
                <w:b/>
                <w:color w:val="auto"/>
                <w:kern w:val="2"/>
                <w:highlight w:val="none"/>
              </w:rPr>
              <w:t>大写：</w:t>
            </w:r>
          </w:p>
        </w:tc>
        <w:tc>
          <w:tcPr>
            <w:tcW w:w="671" w:type="dxa"/>
            <w:vAlign w:val="center"/>
          </w:tcPr>
          <w:p>
            <w:pPr>
              <w:keepNext w:val="0"/>
              <w:keepLines w:val="0"/>
              <w:widowControl w:val="0"/>
              <w:suppressLineNumbers w:val="0"/>
              <w:snapToGrid w:val="0"/>
              <w:spacing w:before="0" w:beforeAutospacing="0" w:after="0" w:afterAutospacing="0"/>
              <w:ind w:left="0" w:leftChars="0" w:right="-57" w:rightChars="-27" w:firstLine="0" w:firstLineChars="0"/>
              <w:jc w:val="left"/>
              <w:rPr>
                <w:rFonts w:hint="default"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2328" w:type="dxa"/>
            <w:vAlign w:val="center"/>
          </w:tcPr>
          <w:p>
            <w:pPr>
              <w:keepNext w:val="0"/>
              <w:keepLines w:val="0"/>
              <w:widowControl w:val="0"/>
              <w:suppressLineNumbers w:val="0"/>
              <w:snapToGrid w:val="0"/>
              <w:spacing w:before="0" w:beforeAutospacing="0" w:after="0" w:afterAutospacing="0"/>
              <w:ind w:left="709" w:leftChars="0" w:right="-57" w:rightChars="-27" w:hanging="709" w:firstLineChars="0"/>
              <w:jc w:val="center"/>
              <w:rPr>
                <w:rFonts w:hint="eastAsia" w:ascii="宋体" w:hAnsi="宋体"/>
                <w:b/>
                <w:color w:val="auto"/>
                <w:sz w:val="24"/>
                <w:highlight w:val="none"/>
                <w:lang w:val="en-US" w:eastAsia="zh-CN"/>
              </w:rPr>
            </w:pPr>
            <w:r>
              <w:rPr>
                <w:rFonts w:hint="eastAsia" w:ascii="宋体" w:hAnsi="宋体" w:cs="Times New Roman"/>
                <w:b/>
                <w:bCs/>
                <w:color w:val="auto"/>
                <w:kern w:val="2"/>
                <w:sz w:val="21"/>
                <w:highlight w:val="none"/>
                <w:lang w:val="en-US" w:eastAsia="zh-CN"/>
              </w:rPr>
              <w:t>交货</w:t>
            </w:r>
            <w:r>
              <w:rPr>
                <w:rFonts w:hint="eastAsia" w:ascii="宋体" w:hAnsi="宋体"/>
                <w:b/>
                <w:bCs/>
                <w:color w:val="auto"/>
                <w:kern w:val="2"/>
                <w:sz w:val="21"/>
                <w:highlight w:val="none"/>
              </w:rPr>
              <w:t>期</w:t>
            </w:r>
          </w:p>
        </w:tc>
        <w:tc>
          <w:tcPr>
            <w:tcW w:w="7221" w:type="dxa"/>
            <w:gridSpan w:val="2"/>
            <w:vAlign w:val="center"/>
          </w:tcPr>
          <w:p>
            <w:pPr>
              <w:keepNext w:val="0"/>
              <w:keepLines w:val="0"/>
              <w:widowControl w:val="0"/>
              <w:suppressLineNumbers w:val="0"/>
              <w:snapToGrid w:val="0"/>
              <w:spacing w:before="0" w:beforeAutospacing="0" w:after="0" w:afterAutospacing="0"/>
              <w:ind w:left="0" w:leftChars="0" w:right="-57" w:rightChars="-27" w:firstLine="0" w:firstLineChars="0"/>
              <w:rPr>
                <w:rFonts w:hint="default" w:hAnsi="宋体"/>
                <w:color w:val="auto"/>
                <w:sz w:val="21"/>
                <w:szCs w:val="21"/>
                <w:highlight w:val="none"/>
              </w:rPr>
            </w:pPr>
            <w:r>
              <w:rPr>
                <w:rFonts w:hint="eastAsia" w:hAnsi="宋体"/>
                <w:sz w:val="21"/>
                <w:szCs w:val="21"/>
              </w:rPr>
              <w:t>合同签订后，</w:t>
            </w:r>
            <w:r>
              <w:rPr>
                <w:rFonts w:hint="eastAsia" w:hAnsi="宋体"/>
                <w:sz w:val="21"/>
                <w:szCs w:val="21"/>
                <w:u w:val="single"/>
                <w:lang w:val="en-US" w:eastAsia="zh-CN"/>
              </w:rPr>
              <w:t xml:space="preserve">  </w:t>
            </w:r>
            <w:r>
              <w:rPr>
                <w:rFonts w:hint="eastAsia" w:hAnsi="宋体"/>
                <w:sz w:val="21"/>
                <w:szCs w:val="21"/>
                <w:lang w:val="en-US" w:eastAsia="zh-CN"/>
              </w:rPr>
              <w:t>天内</w:t>
            </w:r>
            <w:r>
              <w:rPr>
                <w:rFonts w:hint="eastAsia" w:hAnsi="宋体"/>
                <w:sz w:val="21"/>
                <w:szCs w:val="21"/>
              </w:rPr>
              <w:t>提供核心交换机板卡备件</w:t>
            </w:r>
            <w:r>
              <w:rPr>
                <w:rFonts w:hint="eastAsia" w:ascii="宋体" w:hAnsi="宋体" w:eastAsia="宋体"/>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2328" w:type="dxa"/>
            <w:vAlign w:val="center"/>
          </w:tcPr>
          <w:p>
            <w:pPr>
              <w:keepNext w:val="0"/>
              <w:keepLines w:val="0"/>
              <w:widowControl w:val="0"/>
              <w:suppressLineNumbers w:val="0"/>
              <w:snapToGrid w:val="0"/>
              <w:spacing w:before="0" w:beforeAutospacing="0" w:after="0" w:afterAutospacing="0"/>
              <w:ind w:right="-57" w:rightChars="-27"/>
              <w:jc w:val="center"/>
              <w:rPr>
                <w:rFonts w:hint="default" w:ascii="宋体" w:hAnsi="宋体"/>
                <w:b/>
                <w:color w:val="auto"/>
                <w:sz w:val="24"/>
                <w:highlight w:val="none"/>
                <w:lang w:val="en-US" w:eastAsia="zh-CN"/>
              </w:rPr>
            </w:pPr>
            <w:r>
              <w:rPr>
                <w:rFonts w:hint="eastAsia" w:ascii="宋体" w:hAnsi="宋体"/>
                <w:b/>
                <w:bCs/>
                <w:color w:val="auto"/>
                <w:kern w:val="2"/>
                <w:sz w:val="21"/>
                <w:highlight w:val="none"/>
              </w:rPr>
              <w:t>服务期</w:t>
            </w:r>
          </w:p>
        </w:tc>
        <w:tc>
          <w:tcPr>
            <w:tcW w:w="7221" w:type="dxa"/>
            <w:gridSpan w:val="2"/>
            <w:vAlign w:val="center"/>
          </w:tcPr>
          <w:p>
            <w:pPr>
              <w:keepNext w:val="0"/>
              <w:keepLines w:val="0"/>
              <w:widowControl w:val="0"/>
              <w:suppressLineNumbers w:val="0"/>
              <w:snapToGrid w:val="0"/>
              <w:spacing w:before="0" w:beforeAutospacing="0" w:after="0" w:afterAutospacing="0"/>
              <w:ind w:right="-57" w:rightChars="-27"/>
              <w:rPr>
                <w:rFonts w:hint="default" w:hAnsi="宋体"/>
                <w:color w:val="auto"/>
                <w:sz w:val="21"/>
                <w:szCs w:val="21"/>
                <w:highlight w:val="none"/>
              </w:rPr>
            </w:pPr>
            <w:r>
              <w:rPr>
                <w:rFonts w:hint="default" w:hAnsi="宋体"/>
                <w:color w:val="auto"/>
                <w:sz w:val="21"/>
                <w:szCs w:val="21"/>
                <w:highlight w:val="none"/>
              </w:rPr>
              <w:t>12</w:t>
            </w:r>
            <w:r>
              <w:rPr>
                <w:rFonts w:hint="eastAsia" w:hAnsi="宋体"/>
                <w:color w:val="auto"/>
                <w:sz w:val="21"/>
                <w:szCs w:val="21"/>
                <w:highlight w:val="none"/>
              </w:rPr>
              <w:t>个月，具体合同开始时间以进场通知书为准</w:t>
            </w:r>
            <w:r>
              <w:rPr>
                <w:rFonts w:hint="eastAsia" w:ascii="宋体" w:hAnsi="宋体"/>
                <w:color w:val="auto"/>
                <w:highlight w:val="none"/>
              </w:rPr>
              <w:t>。</w:t>
            </w: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设备费、耗材费、人工费、管理费、运输费、利润、风险及合同包含的所有风险责任等履行合同标的全过程产生的所有成本和费用以及比选申请人应承担的不含增值税的费用；未列项目的费用均已包含在内</w:t>
      </w:r>
      <w:r>
        <w:rPr>
          <w:rFonts w:hint="eastAsia" w:ascii="宋体" w:hAnsi="宋体"/>
          <w:color w:val="auto"/>
          <w:highlight w:val="none"/>
          <w:lang w:eastAsia="zh-CN"/>
        </w:rPr>
        <w:t>，</w:t>
      </w:r>
      <w:r>
        <w:rPr>
          <w:rFonts w:hint="eastAsia" w:ascii="宋体" w:hAnsi="宋体"/>
          <w:color w:val="auto"/>
          <w:highlight w:val="none"/>
          <w:lang w:val="en-US" w:eastAsia="zh-CN"/>
        </w:rPr>
        <w:t>不包含据实结算项目的费用</w:t>
      </w:r>
      <w:r>
        <w:rPr>
          <w:rFonts w:hint="eastAsia" w:ascii="宋体" w:hAnsi="宋体"/>
          <w:color w:val="auto"/>
          <w:highlight w:val="none"/>
        </w:rPr>
        <w:t>。中选后，比选申请报价不予调整。比选申请人在填报比选申请报价时，应充分考虑合同实施过程中因人力成本的增加、材料的价格上涨、国家宏观调控、经济环境变化等因素所产生费用的增加。</w:t>
      </w: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hint="eastAsia" w:ascii="宋体" w:hAnsi="宋体"/>
          <w:color w:val="auto"/>
          <w:highlight w:val="none"/>
        </w:rPr>
      </w:pPr>
      <w:r>
        <w:rPr>
          <w:rFonts w:hint="eastAsia" w:ascii="宋体" w:hAnsi="宋体"/>
          <w:color w:val="auto"/>
          <w:highlight w:val="none"/>
        </w:rPr>
        <w:t>日  期：     年</w:t>
      </w:r>
      <w:r>
        <w:rPr>
          <w:rFonts w:hint="eastAsia" w:ascii="宋体" w:hAnsi="宋体"/>
          <w:color w:val="auto"/>
          <w:highlight w:val="none"/>
          <w:lang w:val="en-US" w:eastAsia="zh-CN"/>
        </w:rPr>
        <w:tab/>
      </w:r>
      <w:r>
        <w:rPr>
          <w:rFonts w:hint="eastAsia" w:ascii="宋体" w:hAnsi="宋体"/>
          <w:color w:val="auto"/>
          <w:highlight w:val="none"/>
        </w:rPr>
        <w:t xml:space="preserve">  月  日</w:t>
      </w:r>
    </w:p>
    <w:p>
      <w:pPr>
        <w:snapToGrid w:val="0"/>
        <w:spacing w:after="0" w:line="360" w:lineRule="auto"/>
        <w:ind w:left="0" w:right="0" w:firstLine="0"/>
        <w:jc w:val="left"/>
        <w:rPr>
          <w:rFonts w:ascii="宋体" w:hAnsi="宋体" w:eastAsia="宋体" w:cs="Arial"/>
          <w:color w:val="auto"/>
          <w:highlight w:val="none"/>
        </w:rPr>
      </w:pPr>
      <w:r>
        <w:rPr>
          <w:rFonts w:ascii="宋体" w:hAnsi="宋体" w:eastAsia="宋体"/>
          <w:color w:val="auto"/>
          <w:highlight w:val="none"/>
        </w:rPr>
        <w:br w:type="page"/>
      </w:r>
      <w:bookmarkStart w:id="2055" w:name="_Toc61680485"/>
      <w:bookmarkStart w:id="2056" w:name="_Toc110413986"/>
      <w:bookmarkStart w:id="2057" w:name="_Toc58124833"/>
      <w:bookmarkStart w:id="2058" w:name="_Toc68859063"/>
      <w:bookmarkStart w:id="2059" w:name="_Toc25750681"/>
      <w:bookmarkStart w:id="2060" w:name="_Toc14503"/>
      <w:bookmarkStart w:id="2061" w:name="_Toc20864"/>
      <w:bookmarkStart w:id="2062" w:name="_Toc12983553"/>
      <w:bookmarkStart w:id="2063" w:name="_Toc16803"/>
      <w:bookmarkStart w:id="2064" w:name="_Toc12984813"/>
      <w:bookmarkStart w:id="2065" w:name="_Toc414290527"/>
      <w:bookmarkStart w:id="2066" w:name="_Toc375564356"/>
      <w:bookmarkStart w:id="2067" w:name="_Toc10260"/>
      <w:bookmarkStart w:id="2068" w:name="_Toc30325"/>
      <w:bookmarkStart w:id="2069" w:name="_Toc26335"/>
      <w:bookmarkStart w:id="2070" w:name="_Toc14859"/>
      <w:bookmarkStart w:id="2071" w:name="_Toc15419"/>
      <w:bookmarkStart w:id="2072" w:name="_Toc12142"/>
      <w:bookmarkStart w:id="2073" w:name="_Toc8713"/>
      <w:bookmarkStart w:id="2074" w:name="_Toc16187"/>
      <w:bookmarkStart w:id="2075" w:name="_Toc241920153"/>
      <w:bookmarkStart w:id="2076" w:name="_Toc4976"/>
      <w:bookmarkStart w:id="2077" w:name="_Toc26855"/>
      <w:bookmarkStart w:id="2078" w:name="_Toc2257"/>
      <w:bookmarkStart w:id="2079" w:name="_Toc21109"/>
      <w:bookmarkStart w:id="2080" w:name="_Toc32224"/>
      <w:bookmarkStart w:id="2081" w:name="_Toc29702"/>
      <w:bookmarkStart w:id="2082" w:name="_Toc492478809"/>
      <w:bookmarkStart w:id="2083" w:name="_Toc2585"/>
      <w:bookmarkStart w:id="2084" w:name="_Toc11065"/>
      <w:bookmarkStart w:id="2085" w:name="_Toc6270"/>
      <w:bookmarkStart w:id="2086" w:name="_Toc25869"/>
      <w:bookmarkStart w:id="2087" w:name="_Toc17112"/>
      <w:bookmarkStart w:id="2088" w:name="_Toc20737"/>
      <w:bookmarkStart w:id="2089" w:name="_Toc6833"/>
      <w:bookmarkStart w:id="2090" w:name="_Toc8400"/>
      <w:r>
        <w:rPr>
          <w:rFonts w:hint="eastAsia" w:ascii="宋体" w:hAnsi="宋体" w:eastAsia="宋体"/>
          <w:color w:val="auto"/>
          <w:sz w:val="21"/>
          <w:szCs w:val="21"/>
          <w:highlight w:val="none"/>
        </w:rPr>
        <w:t>C</w:t>
      </w:r>
      <w:r>
        <w:rPr>
          <w:rFonts w:ascii="宋体" w:hAnsi="宋体" w:eastAsia="宋体"/>
          <w:color w:val="auto"/>
          <w:sz w:val="21"/>
          <w:szCs w:val="21"/>
          <w:highlight w:val="none"/>
        </w:rPr>
        <w:t>2</w:t>
      </w:r>
      <w:r>
        <w:rPr>
          <w:rFonts w:hint="eastAsia" w:ascii="宋体" w:hAnsi="宋体" w:eastAsia="宋体"/>
          <w:color w:val="auto"/>
          <w:sz w:val="21"/>
          <w:szCs w:val="21"/>
          <w:highlight w:val="none"/>
        </w:rPr>
        <w:t xml:space="preserve"> </w:t>
      </w:r>
      <w:r>
        <w:rPr>
          <w:rFonts w:ascii="宋体" w:hAnsi="宋体" w:eastAsia="宋体"/>
          <w:color w:val="auto"/>
          <w:sz w:val="21"/>
          <w:szCs w:val="21"/>
          <w:highlight w:val="none"/>
        </w:rPr>
        <w:t>比选申请</w:t>
      </w:r>
      <w:bookmarkEnd w:id="2055"/>
      <w:bookmarkEnd w:id="2056"/>
      <w:bookmarkEnd w:id="2057"/>
      <w:bookmarkEnd w:id="2058"/>
      <w:r>
        <w:rPr>
          <w:rFonts w:ascii="宋体" w:hAnsi="宋体" w:eastAsia="宋体"/>
          <w:color w:val="auto"/>
          <w:sz w:val="21"/>
          <w:szCs w:val="21"/>
          <w:highlight w:val="none"/>
        </w:rPr>
        <w:t>函格式</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致：南宁轨道交通</w:t>
      </w:r>
      <w:r>
        <w:rPr>
          <w:rFonts w:hint="eastAsia" w:ascii="宋体" w:hAnsi="宋体"/>
          <w:color w:val="auto"/>
          <w:highlight w:val="none"/>
        </w:rPr>
        <w:t>运营</w:t>
      </w:r>
      <w:r>
        <w:rPr>
          <w:rFonts w:ascii="宋体" w:hAnsi="宋体"/>
          <w:color w:val="auto"/>
          <w:highlight w:val="none"/>
        </w:rPr>
        <w:t>有限公司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w:t>
      </w:r>
      <w:r>
        <w:rPr>
          <w:rFonts w:hint="eastAsia" w:ascii="宋体" w:hAnsi="宋体"/>
          <w:color w:val="auto"/>
          <w:highlight w:val="none"/>
          <w:lang w:eastAsia="zh-CN"/>
        </w:rPr>
        <w:t>南宁轨道交通1-5号线办公网交换机设备委外维保维修服务采购项目（2023年-2024年）</w:t>
      </w:r>
      <w:r>
        <w:rPr>
          <w:rFonts w:ascii="宋体" w:hAnsi="宋体"/>
          <w:color w:val="auto"/>
          <w:highlight w:val="none"/>
        </w:rPr>
        <w:t>比选申请邀请(项目编号：</w:t>
      </w:r>
      <w:r>
        <w:rPr>
          <w:rFonts w:hint="eastAsia" w:ascii="宋体" w:hAnsi="宋体"/>
          <w:color w:val="auto"/>
          <w:highlight w:val="none"/>
        </w:rPr>
        <w:t>202311030002</w:t>
      </w:r>
      <w:r>
        <w:rPr>
          <w:rFonts w:ascii="宋体" w:hAnsi="宋体"/>
          <w:color w:val="auto"/>
          <w:highlight w:val="none"/>
        </w:rPr>
        <w:t>)，签字人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w:t>
      </w:r>
      <w:r>
        <w:rPr>
          <w:rFonts w:hint="eastAsia" w:ascii="宋体" w:hAnsi="宋体"/>
          <w:color w:val="auto"/>
          <w:highlight w:val="none"/>
          <w:u w:val="single"/>
          <w:lang w:val="en-US" w:eastAsia="zh-CN"/>
        </w:rPr>
        <w:t>4</w:t>
      </w:r>
      <w:r>
        <w:rPr>
          <w:rFonts w:ascii="宋体" w:hAnsi="宋体"/>
          <w:color w:val="auto"/>
          <w:highlight w:val="none"/>
        </w:rPr>
        <w:t>份及电子文件</w:t>
      </w:r>
      <w:r>
        <w:rPr>
          <w:rFonts w:ascii="宋体" w:hAnsi="宋体"/>
          <w:color w:val="auto"/>
          <w:highlight w:val="none"/>
          <w:u w:val="single"/>
        </w:rPr>
        <w:t xml:space="preserve"> </w:t>
      </w:r>
      <w:r>
        <w:rPr>
          <w:rFonts w:hint="eastAsia" w:ascii="宋体" w:hAnsi="宋体"/>
          <w:color w:val="auto"/>
          <w:highlight w:val="none"/>
          <w:u w:val="single"/>
          <w:lang w:val="en-US" w:eastAsia="zh-CN"/>
        </w:rPr>
        <w:t>2</w:t>
      </w:r>
      <w:r>
        <w:rPr>
          <w:rFonts w:ascii="宋体" w:hAnsi="宋体"/>
          <w:color w:val="auto"/>
          <w:highlight w:val="none"/>
          <w:u w:val="single"/>
        </w:rPr>
        <w:t xml:space="preserve">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2091" w:name="_Toc375564357"/>
      <w:r>
        <w:rPr>
          <w:rFonts w:ascii="宋体" w:hAnsi="宋体"/>
          <w:color w:val="auto"/>
          <w:highlight w:val="none"/>
        </w:rPr>
        <w:t>1. 按比选文件要求规定的应提交和交付的货物和服务并履行全部合同义务的比选申请总价如本比选申请文件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209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ascii="宋体" w:hAnsi="宋体"/>
          <w:color w:val="auto"/>
          <w:highlight w:val="none"/>
          <w:u w:val="single"/>
        </w:rPr>
        <w:t>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hint="eastAsia" w:ascii="宋体" w:hAnsi="宋体"/>
          <w:color w:val="auto"/>
          <w:highlight w:val="none"/>
        </w:rPr>
        <w:t xml:space="preserve"> </w:t>
      </w:r>
      <w:r>
        <w:rPr>
          <w:rFonts w:hint="eastAsia" w:ascii="宋体" w:hAnsi="宋体"/>
          <w:color w:val="auto"/>
          <w:highlight w:val="none"/>
          <w:u w:val="single"/>
        </w:rPr>
        <w:t xml:space="preserve">           </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 xml:space="preserve">日期：   </w:t>
      </w:r>
      <w:r>
        <w:rPr>
          <w:rFonts w:ascii="宋体" w:hAnsi="宋体"/>
          <w:color w:val="auto"/>
          <w:highlight w:val="none"/>
        </w:rPr>
        <w:t>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rPr>
          <w:rFonts w:ascii="宋体" w:hAnsi="宋体"/>
          <w:color w:val="auto"/>
          <w:highlight w:val="none"/>
        </w:rPr>
      </w:pPr>
    </w:p>
    <w:p>
      <w:pPr>
        <w:rPr>
          <w:rFonts w:ascii="宋体" w:hAnsi="宋体"/>
          <w:color w:val="auto"/>
          <w:highlight w:val="none"/>
        </w:rPr>
        <w:sectPr>
          <w:headerReference r:id="rId13" w:type="first"/>
          <w:headerReference r:id="rId12" w:type="default"/>
          <w:pgSz w:w="11905" w:h="16838"/>
          <w:pgMar w:top="1418" w:right="1418" w:bottom="1304" w:left="1418" w:header="454" w:footer="567" w:gutter="0"/>
          <w:pgNumType w:fmt="decimal"/>
          <w:cols w:space="720" w:num="1"/>
          <w:docGrid w:linePitch="312" w:charSpace="0"/>
        </w:sectPr>
      </w:pPr>
    </w:p>
    <w:p>
      <w:pPr>
        <w:pStyle w:val="5"/>
        <w:tabs>
          <w:tab w:val="left" w:pos="567"/>
          <w:tab w:val="left" w:pos="720"/>
        </w:tabs>
        <w:snapToGrid w:val="0"/>
        <w:spacing w:after="100" w:line="360" w:lineRule="auto"/>
        <w:ind w:right="0" w:firstLine="0"/>
        <w:jc w:val="left"/>
        <w:rPr>
          <w:rFonts w:ascii="宋体" w:hAnsi="宋体" w:eastAsia="宋体"/>
          <w:color w:val="auto"/>
          <w:sz w:val="21"/>
          <w:szCs w:val="21"/>
          <w:highlight w:val="none"/>
        </w:rPr>
      </w:pPr>
      <w:bookmarkStart w:id="2092" w:name="_Toc13790"/>
      <w:bookmarkStart w:id="2093" w:name="_Toc414290528"/>
      <w:bookmarkStart w:id="2094" w:name="_Toc30121"/>
      <w:bookmarkStart w:id="2095" w:name="_Toc12984814"/>
      <w:bookmarkStart w:id="2096" w:name="_Toc15469"/>
      <w:bookmarkStart w:id="2097" w:name="_Toc14080"/>
      <w:bookmarkStart w:id="2098" w:name="_Toc4526"/>
      <w:bookmarkStart w:id="2099" w:name="_Toc27821"/>
      <w:bookmarkStart w:id="2100" w:name="_Toc6910"/>
      <w:bookmarkStart w:id="2101" w:name="_Toc17092"/>
      <w:bookmarkStart w:id="2102" w:name="_Toc27284"/>
      <w:bookmarkStart w:id="2103" w:name="_Toc1330"/>
      <w:bookmarkStart w:id="2104" w:name="_Toc3968"/>
      <w:bookmarkStart w:id="2105" w:name="_Toc12833"/>
      <w:bookmarkStart w:id="2106" w:name="_Toc492478810"/>
      <w:bookmarkStart w:id="2107" w:name="_Toc24000"/>
      <w:bookmarkStart w:id="2108" w:name="_Toc12983554"/>
      <w:bookmarkStart w:id="2109" w:name="_Toc15276"/>
      <w:bookmarkStart w:id="2110" w:name="_Toc14478"/>
      <w:bookmarkStart w:id="2111" w:name="_Toc1019"/>
      <w:bookmarkStart w:id="2112" w:name="_Toc8101"/>
      <w:bookmarkStart w:id="2113" w:name="_Toc6508"/>
      <w:bookmarkStart w:id="2114" w:name="_Toc28944"/>
      <w:bookmarkStart w:id="2115" w:name="_Toc20116"/>
      <w:bookmarkStart w:id="2116" w:name="_Toc25750682"/>
      <w:bookmarkStart w:id="2117" w:name="_Toc13611"/>
      <w:bookmarkStart w:id="2118" w:name="_Toc23071"/>
      <w:bookmarkStart w:id="2119" w:name="_Toc14488"/>
      <w:bookmarkStart w:id="2120" w:name="_Toc4583"/>
      <w:bookmarkStart w:id="2121" w:name="_Toc26731"/>
      <w:r>
        <w:rPr>
          <w:rFonts w:hint="eastAsia" w:ascii="宋体" w:hAnsi="宋体" w:eastAsia="宋体"/>
          <w:color w:val="auto"/>
          <w:sz w:val="21"/>
          <w:szCs w:val="21"/>
          <w:highlight w:val="none"/>
        </w:rPr>
        <w:t>C</w:t>
      </w:r>
      <w:r>
        <w:rPr>
          <w:rFonts w:ascii="宋体" w:hAnsi="宋体" w:eastAsia="宋体"/>
          <w:color w:val="auto"/>
          <w:sz w:val="21"/>
          <w:szCs w:val="21"/>
          <w:highlight w:val="none"/>
        </w:rPr>
        <w:t>3</w:t>
      </w:r>
      <w:r>
        <w:rPr>
          <w:rFonts w:hint="eastAsia" w:ascii="宋体" w:hAnsi="宋体" w:eastAsia="宋体"/>
          <w:color w:val="auto"/>
          <w:sz w:val="21"/>
          <w:szCs w:val="21"/>
          <w:highlight w:val="none"/>
        </w:rPr>
        <w:t xml:space="preserve"> </w:t>
      </w:r>
      <w:r>
        <w:rPr>
          <w:rFonts w:ascii="宋体" w:hAnsi="宋体" w:eastAsia="宋体"/>
          <w:color w:val="auto"/>
          <w:sz w:val="21"/>
          <w:szCs w:val="21"/>
          <w:highlight w:val="none"/>
        </w:rPr>
        <w:t>比选申请报价表格式</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snapToGrid w:val="0"/>
        <w:spacing w:before="0" w:after="0" w:afterAutospacing="0"/>
        <w:ind w:right="-57" w:firstLine="0"/>
        <w:jc w:val="center"/>
        <w:rPr>
          <w:rFonts w:hint="eastAsia"/>
          <w:color w:val="auto"/>
          <w:lang w:eastAsia="zh-CN"/>
        </w:rPr>
      </w:pPr>
      <w:bookmarkStart w:id="2122" w:name="_Toc20866"/>
      <w:bookmarkStart w:id="2123" w:name="_Hlk86247635"/>
      <w:r>
        <w:rPr>
          <w:rFonts w:hint="eastAsia" w:ascii="宋体" w:hAnsi="宋体"/>
          <w:b/>
          <w:color w:val="auto"/>
          <w:highlight w:val="none"/>
        </w:rPr>
        <w:t>比选申请报价表</w:t>
      </w:r>
      <w:bookmarkEnd w:id="2122"/>
    </w:p>
    <w:p>
      <w:pPr>
        <w:snapToGrid w:val="0"/>
        <w:spacing w:before="0" w:after="0" w:afterAutospacing="0"/>
        <w:ind w:left="0" w:leftChars="0" w:right="-57" w:firstLine="0" w:firstLineChars="0"/>
        <w:jc w:val="both"/>
        <w:rPr>
          <w:rFonts w:hint="eastAsia" w:ascii="宋体" w:hAnsi="宋体"/>
          <w:color w:val="auto"/>
          <w:highlight w:val="none"/>
          <w:lang w:val="en-US" w:eastAsia="zh-CN"/>
        </w:rPr>
      </w:pPr>
      <w:r>
        <w:rPr>
          <w:rFonts w:ascii="宋体" w:hAnsi="宋体"/>
          <w:color w:val="auto"/>
          <w:highlight w:val="none"/>
        </w:rPr>
        <w:t>单位</w:t>
      </w:r>
      <w:r>
        <w:rPr>
          <w:rFonts w:hint="eastAsia" w:ascii="宋体" w:hAnsi="宋体"/>
          <w:color w:val="auto"/>
          <w:highlight w:val="none"/>
          <w:lang w:eastAsia="zh-CN"/>
        </w:rPr>
        <w:t>：</w:t>
      </w:r>
      <w:r>
        <w:rPr>
          <w:rFonts w:hint="eastAsia" w:ascii="宋体" w:hAnsi="宋体"/>
          <w:color w:val="auto"/>
          <w:highlight w:val="none"/>
          <w:lang w:val="en-US" w:eastAsia="zh-CN"/>
        </w:rPr>
        <w:t>元</w:t>
      </w:r>
    </w:p>
    <w:p>
      <w:pPr>
        <w:pStyle w:val="2"/>
        <w:rPr>
          <w:rFonts w:hint="eastAsia"/>
          <w:lang w:val="en-US" w:eastAsia="zh-CN"/>
        </w:rPr>
      </w:pPr>
    </w:p>
    <w:tbl>
      <w:tblPr>
        <w:tblStyle w:val="34"/>
        <w:tblpPr w:leftFromText="180" w:rightFromText="180" w:vertAnchor="text" w:horzAnchor="page" w:tblpXSpec="center" w:tblpY="-71"/>
        <w:tblOverlap w:val="never"/>
        <w:tblW w:w="12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489"/>
        <w:gridCol w:w="1820"/>
        <w:gridCol w:w="1335"/>
        <w:gridCol w:w="2841"/>
        <w:gridCol w:w="469"/>
        <w:gridCol w:w="913"/>
        <w:gridCol w:w="1367"/>
        <w:gridCol w:w="1266"/>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keepNext w:val="0"/>
              <w:keepLines w:val="0"/>
              <w:widowControl/>
              <w:suppressLineNumbers w:val="0"/>
              <w:spacing w:before="0" w:beforeAutospacing="0" w:after="0" w:afterAutospacing="0" w:line="320" w:lineRule="exact"/>
              <w:ind w:left="0" w:right="0" w:firstLine="0"/>
              <w:jc w:val="center"/>
              <w:rPr>
                <w:rFonts w:hint="default" w:ascii="微软雅黑" w:hAnsi="微软雅黑" w:eastAsia="微软雅黑" w:cs="宋体"/>
                <w:b/>
                <w:color w:val="auto"/>
                <w:kern w:val="2"/>
                <w:sz w:val="16"/>
                <w:szCs w:val="16"/>
                <w:highlight w:val="none"/>
              </w:rPr>
            </w:pPr>
            <w:r>
              <w:rPr>
                <w:rFonts w:hint="eastAsia" w:ascii="微软雅黑" w:hAnsi="微软雅黑" w:eastAsia="微软雅黑" w:cs="宋体"/>
                <w:b/>
                <w:color w:val="auto"/>
                <w:kern w:val="2"/>
                <w:sz w:val="16"/>
                <w:szCs w:val="16"/>
                <w:highlight w:val="none"/>
              </w:rPr>
              <w:t>序号</w:t>
            </w:r>
          </w:p>
        </w:tc>
        <w:tc>
          <w:tcPr>
            <w:tcW w:w="1489" w:type="dxa"/>
            <w:vAlign w:val="center"/>
          </w:tcPr>
          <w:p>
            <w:pPr>
              <w:keepNext w:val="0"/>
              <w:keepLines w:val="0"/>
              <w:widowControl/>
              <w:suppressLineNumbers w:val="0"/>
              <w:spacing w:before="0" w:beforeAutospacing="0" w:after="0" w:afterAutospacing="0" w:line="320" w:lineRule="exact"/>
              <w:ind w:left="0" w:right="0" w:firstLine="0"/>
              <w:jc w:val="center"/>
              <w:rPr>
                <w:rFonts w:hint="default" w:ascii="微软雅黑" w:hAnsi="微软雅黑" w:eastAsia="微软雅黑" w:cs="宋体"/>
                <w:b/>
                <w:color w:val="auto"/>
                <w:kern w:val="2"/>
                <w:sz w:val="16"/>
                <w:szCs w:val="16"/>
                <w:highlight w:val="none"/>
              </w:rPr>
            </w:pPr>
            <w:r>
              <w:rPr>
                <w:rFonts w:hint="eastAsia" w:ascii="微软雅黑" w:hAnsi="微软雅黑" w:eastAsia="微软雅黑" w:cs="宋体"/>
                <w:b/>
                <w:color w:val="auto"/>
                <w:kern w:val="2"/>
                <w:sz w:val="16"/>
                <w:szCs w:val="16"/>
                <w:highlight w:val="none"/>
                <w:lang w:val="en-US" w:eastAsia="zh-CN"/>
              </w:rPr>
              <w:t>板卡或服务名称</w:t>
            </w:r>
          </w:p>
        </w:tc>
        <w:tc>
          <w:tcPr>
            <w:tcW w:w="1820" w:type="dxa"/>
            <w:vAlign w:val="center"/>
          </w:tcPr>
          <w:p>
            <w:pPr>
              <w:keepNext w:val="0"/>
              <w:keepLines w:val="0"/>
              <w:widowControl/>
              <w:suppressLineNumbers w:val="0"/>
              <w:spacing w:before="0" w:beforeAutospacing="0" w:after="0" w:afterAutospacing="0" w:line="320" w:lineRule="exact"/>
              <w:ind w:left="0" w:right="0" w:firstLine="0"/>
              <w:jc w:val="center"/>
              <w:rPr>
                <w:rFonts w:hint="default" w:ascii="微软雅黑" w:hAnsi="微软雅黑" w:eastAsia="微软雅黑" w:cs="宋体"/>
                <w:b/>
                <w:color w:val="auto"/>
                <w:kern w:val="2"/>
                <w:sz w:val="16"/>
                <w:szCs w:val="16"/>
                <w:highlight w:val="none"/>
              </w:rPr>
            </w:pPr>
            <w:r>
              <w:rPr>
                <w:rFonts w:hint="eastAsia" w:ascii="微软雅黑" w:hAnsi="微软雅黑" w:eastAsia="微软雅黑" w:cs="宋体"/>
                <w:b/>
                <w:color w:val="auto"/>
                <w:kern w:val="2"/>
                <w:sz w:val="16"/>
                <w:szCs w:val="16"/>
                <w:highlight w:val="none"/>
                <w:lang w:val="en-US" w:eastAsia="zh-CN"/>
              </w:rPr>
              <w:t>型号</w:t>
            </w:r>
          </w:p>
        </w:tc>
        <w:tc>
          <w:tcPr>
            <w:tcW w:w="1335" w:type="dxa"/>
            <w:vAlign w:val="center"/>
          </w:tcPr>
          <w:p>
            <w:pPr>
              <w:keepNext w:val="0"/>
              <w:keepLines w:val="0"/>
              <w:widowControl/>
              <w:suppressLineNumbers w:val="0"/>
              <w:spacing w:before="0" w:beforeAutospacing="0" w:after="0" w:afterAutospacing="0" w:line="320" w:lineRule="exact"/>
              <w:ind w:left="0" w:right="0" w:firstLine="0"/>
              <w:jc w:val="center"/>
              <w:rPr>
                <w:rFonts w:hint="default" w:ascii="微软雅黑" w:hAnsi="微软雅黑" w:eastAsia="微软雅黑" w:cs="宋体"/>
                <w:b/>
                <w:color w:val="auto"/>
                <w:kern w:val="2"/>
                <w:sz w:val="16"/>
                <w:szCs w:val="16"/>
                <w:highlight w:val="none"/>
              </w:rPr>
            </w:pPr>
            <w:r>
              <w:rPr>
                <w:rFonts w:hint="eastAsia" w:ascii="微软雅黑" w:hAnsi="微软雅黑" w:eastAsia="微软雅黑" w:cs="宋体"/>
                <w:b/>
                <w:color w:val="auto"/>
                <w:kern w:val="2"/>
                <w:sz w:val="16"/>
                <w:szCs w:val="16"/>
                <w:highlight w:val="none"/>
                <w:lang w:val="en-US" w:eastAsia="zh-CN"/>
              </w:rPr>
              <w:t>所属设备</w:t>
            </w:r>
          </w:p>
        </w:tc>
        <w:tc>
          <w:tcPr>
            <w:tcW w:w="2841" w:type="dxa"/>
            <w:vAlign w:val="center"/>
          </w:tcPr>
          <w:p>
            <w:pPr>
              <w:keepNext w:val="0"/>
              <w:keepLines w:val="0"/>
              <w:widowControl/>
              <w:suppressLineNumbers w:val="0"/>
              <w:spacing w:before="0" w:beforeAutospacing="0" w:after="0" w:afterAutospacing="0" w:line="320" w:lineRule="exact"/>
              <w:ind w:left="0" w:right="0" w:firstLine="0"/>
              <w:jc w:val="center"/>
              <w:rPr>
                <w:rFonts w:hint="default" w:ascii="微软雅黑" w:hAnsi="微软雅黑" w:eastAsia="微软雅黑" w:cs="宋体"/>
                <w:b/>
                <w:color w:val="auto"/>
                <w:kern w:val="2"/>
                <w:sz w:val="16"/>
                <w:szCs w:val="16"/>
                <w:highlight w:val="none"/>
              </w:rPr>
            </w:pPr>
            <w:r>
              <w:rPr>
                <w:rFonts w:hint="eastAsia" w:ascii="微软雅黑" w:hAnsi="微软雅黑" w:eastAsia="微软雅黑" w:cs="宋体"/>
                <w:b/>
                <w:color w:val="auto"/>
                <w:kern w:val="2"/>
                <w:sz w:val="16"/>
                <w:szCs w:val="16"/>
                <w:highlight w:val="none"/>
              </w:rPr>
              <w:t>需求内容及要求</w:t>
            </w:r>
          </w:p>
        </w:tc>
        <w:tc>
          <w:tcPr>
            <w:tcW w:w="469" w:type="dxa"/>
            <w:vAlign w:val="center"/>
          </w:tcPr>
          <w:p>
            <w:pPr>
              <w:keepNext w:val="0"/>
              <w:keepLines w:val="0"/>
              <w:widowControl/>
              <w:suppressLineNumbers w:val="0"/>
              <w:spacing w:before="0" w:beforeAutospacing="0" w:after="0" w:afterAutospacing="0" w:line="320" w:lineRule="exact"/>
              <w:jc w:val="center"/>
              <w:rPr>
                <w:rFonts w:hint="eastAsia" w:ascii="微软雅黑" w:hAnsi="微软雅黑" w:eastAsia="微软雅黑" w:cs="宋体"/>
                <w:b/>
                <w:color w:val="auto"/>
                <w:kern w:val="2"/>
                <w:sz w:val="16"/>
                <w:szCs w:val="16"/>
                <w:highlight w:val="none"/>
              </w:rPr>
            </w:pPr>
            <w:r>
              <w:rPr>
                <w:rFonts w:hint="eastAsia" w:ascii="微软雅黑" w:hAnsi="微软雅黑" w:eastAsia="微软雅黑" w:cs="宋体"/>
                <w:b/>
                <w:color w:val="auto"/>
                <w:kern w:val="2"/>
                <w:sz w:val="16"/>
                <w:szCs w:val="16"/>
                <w:highlight w:val="none"/>
              </w:rPr>
              <w:t>单</w:t>
            </w:r>
          </w:p>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b/>
                <w:color w:val="auto"/>
                <w:kern w:val="2"/>
                <w:sz w:val="16"/>
                <w:szCs w:val="16"/>
                <w:highlight w:val="none"/>
              </w:rPr>
            </w:pPr>
            <w:r>
              <w:rPr>
                <w:rFonts w:hint="eastAsia" w:ascii="微软雅黑" w:hAnsi="微软雅黑" w:eastAsia="微软雅黑" w:cs="宋体"/>
                <w:b/>
                <w:color w:val="auto"/>
                <w:kern w:val="2"/>
                <w:sz w:val="16"/>
                <w:szCs w:val="16"/>
                <w:highlight w:val="none"/>
              </w:rPr>
              <w:t>位</w:t>
            </w:r>
          </w:p>
        </w:tc>
        <w:tc>
          <w:tcPr>
            <w:tcW w:w="913" w:type="dxa"/>
            <w:vAlign w:val="center"/>
          </w:tcPr>
          <w:p>
            <w:pPr>
              <w:keepNext w:val="0"/>
              <w:keepLines w:val="0"/>
              <w:widowControl/>
              <w:suppressLineNumbers w:val="0"/>
              <w:spacing w:before="0" w:beforeAutospacing="0" w:after="0" w:afterAutospacing="0" w:line="320" w:lineRule="exact"/>
              <w:jc w:val="center"/>
              <w:rPr>
                <w:rFonts w:hint="default" w:ascii="宋体" w:hAnsi="宋体" w:cs="宋体"/>
                <w:b/>
                <w:bCs/>
                <w:color w:val="auto"/>
                <w:sz w:val="18"/>
                <w:szCs w:val="18"/>
                <w:highlight w:val="none"/>
              </w:rPr>
            </w:pPr>
            <w:r>
              <w:rPr>
                <w:rFonts w:hint="eastAsia" w:ascii="宋体" w:hAnsi="宋体" w:cs="宋体"/>
                <w:b/>
                <w:bCs/>
                <w:color w:val="auto"/>
                <w:sz w:val="18"/>
                <w:szCs w:val="18"/>
                <w:highlight w:val="none"/>
              </w:rPr>
              <w:t>数</w:t>
            </w:r>
          </w:p>
          <w:p>
            <w:pPr>
              <w:keepNext w:val="0"/>
              <w:keepLines w:val="0"/>
              <w:widowControl/>
              <w:suppressLineNumbers w:val="0"/>
              <w:spacing w:before="0" w:beforeAutospacing="0" w:after="0" w:afterAutospacing="0" w:line="320" w:lineRule="exact"/>
              <w:jc w:val="center"/>
              <w:rPr>
                <w:rFonts w:hint="default" w:ascii="宋体" w:hAnsi="宋体" w:cs="宋体"/>
                <w:b/>
                <w:bCs/>
                <w:color w:val="auto"/>
                <w:sz w:val="18"/>
                <w:szCs w:val="18"/>
                <w:highlight w:val="none"/>
              </w:rPr>
            </w:pPr>
            <w:r>
              <w:rPr>
                <w:rFonts w:hint="eastAsia" w:ascii="宋体" w:hAnsi="宋体" w:cs="宋体"/>
                <w:b/>
                <w:bCs/>
                <w:color w:val="auto"/>
                <w:sz w:val="18"/>
                <w:szCs w:val="18"/>
                <w:highlight w:val="none"/>
              </w:rPr>
              <w:t>量</w:t>
            </w:r>
          </w:p>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b/>
                <w:color w:val="auto"/>
                <w:kern w:val="2"/>
                <w:sz w:val="16"/>
                <w:szCs w:val="16"/>
                <w:highlight w:val="none"/>
              </w:rPr>
            </w:pPr>
            <w:r>
              <w:rPr>
                <w:rFonts w:hint="eastAsia" w:ascii="宋体" w:hAnsi="宋体" w:cs="宋体"/>
                <w:b/>
                <w:bCs/>
                <w:color w:val="auto"/>
                <w:sz w:val="18"/>
                <w:szCs w:val="18"/>
                <w:highlight w:val="none"/>
              </w:rPr>
              <w:t>①</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宋体" w:hAnsi="宋体" w:cs="宋体"/>
                <w:b/>
                <w:bCs/>
                <w:color w:val="auto"/>
                <w:sz w:val="18"/>
                <w:szCs w:val="18"/>
                <w:highlight w:val="none"/>
              </w:rPr>
            </w:pPr>
            <w:r>
              <w:rPr>
                <w:rFonts w:hint="eastAsia" w:ascii="宋体" w:hAnsi="宋体" w:cs="宋体"/>
                <w:b/>
                <w:bCs/>
                <w:color w:val="auto"/>
                <w:sz w:val="18"/>
                <w:szCs w:val="18"/>
                <w:highlight w:val="none"/>
              </w:rPr>
              <w:t>不含增值税</w:t>
            </w:r>
          </w:p>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b/>
                <w:color w:val="auto"/>
                <w:kern w:val="2"/>
                <w:sz w:val="16"/>
                <w:szCs w:val="16"/>
                <w:highlight w:val="none"/>
              </w:rPr>
            </w:pPr>
            <w:r>
              <w:rPr>
                <w:rFonts w:hint="eastAsia" w:ascii="宋体" w:hAnsi="宋体" w:cs="宋体"/>
                <w:b/>
                <w:bCs/>
                <w:color w:val="auto"/>
                <w:sz w:val="18"/>
                <w:szCs w:val="18"/>
                <w:highlight w:val="none"/>
              </w:rPr>
              <w:t>单价（元）②</w:t>
            </w:r>
          </w:p>
        </w:tc>
        <w:tc>
          <w:tcPr>
            <w:tcW w:w="1266" w:type="dxa"/>
            <w:vAlign w:val="center"/>
          </w:tcPr>
          <w:p>
            <w:pPr>
              <w:keepNext w:val="0"/>
              <w:keepLines w:val="0"/>
              <w:widowControl/>
              <w:suppressLineNumbers w:val="0"/>
              <w:spacing w:before="0" w:beforeAutospacing="0" w:after="0" w:afterAutospacing="0" w:line="320" w:lineRule="exact"/>
              <w:ind w:left="0" w:firstLine="0"/>
              <w:jc w:val="center"/>
              <w:rPr>
                <w:rFonts w:hint="default" w:ascii="宋体" w:hAnsi="宋体" w:cs="宋体"/>
                <w:b/>
                <w:bCs/>
                <w:color w:val="auto"/>
                <w:sz w:val="18"/>
                <w:szCs w:val="18"/>
                <w:highlight w:val="none"/>
              </w:rPr>
            </w:pPr>
            <w:r>
              <w:rPr>
                <w:rFonts w:hint="eastAsia" w:ascii="宋体" w:hAnsi="宋体" w:cs="宋体"/>
                <w:b/>
                <w:bCs/>
                <w:color w:val="auto"/>
                <w:sz w:val="18"/>
                <w:szCs w:val="18"/>
                <w:highlight w:val="none"/>
              </w:rPr>
              <w:t>不含增值税</w:t>
            </w:r>
          </w:p>
          <w:p>
            <w:pPr>
              <w:keepNext w:val="0"/>
              <w:keepLines w:val="0"/>
              <w:widowControl/>
              <w:suppressLineNumbers w:val="0"/>
              <w:spacing w:before="0" w:beforeAutospacing="0" w:after="0" w:afterAutospacing="0" w:line="320" w:lineRule="exact"/>
              <w:ind w:left="0" w:firstLine="0"/>
              <w:jc w:val="center"/>
              <w:rPr>
                <w:rFonts w:hint="default" w:ascii="宋体" w:hAnsi="宋体" w:cs="宋体"/>
                <w:b/>
                <w:bCs/>
                <w:color w:val="auto"/>
                <w:sz w:val="18"/>
                <w:szCs w:val="18"/>
                <w:highlight w:val="none"/>
              </w:rPr>
            </w:pPr>
            <w:r>
              <w:rPr>
                <w:rFonts w:hint="eastAsia" w:ascii="宋体" w:hAnsi="宋体" w:cs="宋体"/>
                <w:b/>
                <w:bCs/>
                <w:color w:val="auto"/>
                <w:sz w:val="18"/>
                <w:szCs w:val="18"/>
                <w:highlight w:val="none"/>
              </w:rPr>
              <w:t>合价（元）</w:t>
            </w:r>
          </w:p>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b/>
                <w:color w:val="auto"/>
                <w:kern w:val="2"/>
                <w:sz w:val="16"/>
                <w:szCs w:val="16"/>
                <w:highlight w:val="none"/>
              </w:rPr>
            </w:pPr>
            <w:r>
              <w:rPr>
                <w:rFonts w:hint="eastAsia" w:ascii="宋体" w:hAnsi="宋体" w:cs="宋体"/>
                <w:b/>
                <w:bCs/>
                <w:color w:val="auto"/>
                <w:sz w:val="18"/>
                <w:szCs w:val="18"/>
                <w:highlight w:val="none"/>
              </w:rPr>
              <w:t>③=②*①</w:t>
            </w:r>
          </w:p>
        </w:tc>
        <w:tc>
          <w:tcPr>
            <w:tcW w:w="680" w:type="dxa"/>
            <w:vAlign w:val="center"/>
          </w:tcPr>
          <w:p>
            <w:pPr>
              <w:keepNext w:val="0"/>
              <w:keepLines w:val="0"/>
              <w:widowControl/>
              <w:suppressLineNumbers w:val="0"/>
              <w:spacing w:before="0" w:beforeAutospacing="0" w:after="0" w:afterAutospacing="0" w:line="320" w:lineRule="exact"/>
              <w:jc w:val="center"/>
              <w:rPr>
                <w:rFonts w:hint="eastAsia" w:ascii="微软雅黑" w:hAnsi="微软雅黑" w:eastAsia="微软雅黑" w:cs="宋体"/>
                <w:b/>
                <w:color w:val="auto"/>
                <w:kern w:val="2"/>
                <w:sz w:val="16"/>
                <w:szCs w:val="16"/>
                <w:highlight w:val="none"/>
                <w:lang w:val="en-US" w:eastAsia="zh-CN"/>
              </w:rPr>
            </w:pPr>
            <w:r>
              <w:rPr>
                <w:rFonts w:hint="eastAsia" w:ascii="微软雅黑" w:hAnsi="微软雅黑" w:eastAsia="微软雅黑" w:cs="宋体"/>
                <w:b/>
                <w:color w:val="auto"/>
                <w:kern w:val="2"/>
                <w:sz w:val="16"/>
                <w:szCs w:val="16"/>
                <w:highlight w:val="none"/>
                <w:lang w:val="en-US" w:eastAsia="zh-CN"/>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jc w:val="center"/>
              <w:textAlignment w:val="center"/>
              <w:rPr>
                <w:rFonts w:hint="default" w:ascii="微软雅黑" w:hAnsi="微软雅黑" w:eastAsia="微软雅黑" w:cs="宋体"/>
                <w:color w:val="auto"/>
                <w:kern w:val="2"/>
                <w:sz w:val="16"/>
                <w:szCs w:val="16"/>
                <w:highlight w:val="none"/>
              </w:rPr>
            </w:pPr>
            <w:r>
              <w:rPr>
                <w:rFonts w:hint="default" w:ascii="宋体" w:hAnsi="宋体" w:cs="宋体"/>
                <w:color w:val="auto"/>
                <w:kern w:val="2"/>
                <w:sz w:val="18"/>
                <w:szCs w:val="18"/>
                <w:highlight w:val="none"/>
              </w:rPr>
              <w:t>1</w:t>
            </w:r>
          </w:p>
        </w:tc>
        <w:tc>
          <w:tcPr>
            <w:tcW w:w="1489"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24</w:t>
            </w:r>
            <w:r>
              <w:rPr>
                <w:rFonts w:hint="eastAsia" w:ascii="宋体" w:hAnsi="宋体"/>
                <w:color w:val="auto"/>
                <w:sz w:val="18"/>
                <w:szCs w:val="21"/>
                <w:highlight w:val="none"/>
                <w:lang w:val="en-US" w:eastAsia="zh-CN"/>
              </w:rPr>
              <w:t>端口万兆</w:t>
            </w:r>
            <w:r>
              <w:rPr>
                <w:rFonts w:hint="default" w:ascii="宋体" w:hAnsi="宋体"/>
                <w:color w:val="auto"/>
                <w:sz w:val="18"/>
                <w:szCs w:val="21"/>
                <w:highlight w:val="none"/>
                <w:lang w:val="en-US" w:eastAsia="zh-CN"/>
              </w:rPr>
              <w:t>SFP+</w:t>
            </w:r>
            <w:r>
              <w:rPr>
                <w:rFonts w:hint="eastAsia" w:ascii="宋体" w:hAnsi="宋体"/>
                <w:color w:val="auto"/>
                <w:sz w:val="18"/>
                <w:szCs w:val="21"/>
                <w:highlight w:val="none"/>
                <w:lang w:val="en-US" w:eastAsia="zh-CN"/>
              </w:rPr>
              <w:t>光接口以太网业务板</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LSXM1TGS24FX1</w:t>
            </w:r>
          </w:p>
        </w:tc>
        <w:tc>
          <w:tcPr>
            <w:tcW w:w="1335" w:type="dxa"/>
            <w:vMerge w:val="restart"/>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H3C</w:t>
            </w:r>
            <w:r>
              <w:rPr>
                <w:rFonts w:hint="eastAsia" w:ascii="宋体" w:hAnsi="宋体"/>
                <w:color w:val="auto"/>
                <w:sz w:val="18"/>
                <w:szCs w:val="21"/>
                <w:highlight w:val="none"/>
                <w:lang w:val="en-US" w:eastAsia="zh-CN"/>
              </w:rPr>
              <w:t xml:space="preserve"> </w:t>
            </w:r>
            <w:r>
              <w:rPr>
                <w:rFonts w:hint="default" w:ascii="宋体" w:hAnsi="宋体"/>
                <w:color w:val="auto"/>
                <w:sz w:val="18"/>
                <w:szCs w:val="21"/>
                <w:highlight w:val="none"/>
                <w:lang w:val="en-US" w:eastAsia="zh-CN"/>
              </w:rPr>
              <w:t xml:space="preserve">S12508X-AF  </w:t>
            </w:r>
            <w:r>
              <w:rPr>
                <w:rFonts w:hint="eastAsia" w:ascii="宋体" w:hAnsi="宋体"/>
                <w:color w:val="auto"/>
                <w:sz w:val="18"/>
                <w:szCs w:val="21"/>
                <w:highlight w:val="none"/>
                <w:lang w:val="en-US" w:eastAsia="zh-CN"/>
              </w:rPr>
              <w:t>路由交换机</w:t>
            </w:r>
          </w:p>
        </w:tc>
        <w:tc>
          <w:tcPr>
            <w:tcW w:w="2841" w:type="dxa"/>
            <w:vAlign w:val="center"/>
          </w:tcPr>
          <w:p>
            <w:pPr>
              <w:keepNext w:val="0"/>
              <w:keepLines w:val="0"/>
              <w:widowControl/>
              <w:suppressLineNumbers w:val="0"/>
              <w:spacing w:beforeAutospacing="0"/>
              <w:ind w:left="0" w:right="0" w:firstLine="0"/>
              <w:jc w:val="left"/>
              <w:textAlignment w:val="center"/>
              <w:rPr>
                <w:rFonts w:hint="eastAsia" w:ascii="Calibri" w:hAnsi="Calibri" w:eastAsia="宋体" w:cs="Times New Roman"/>
                <w:color w:val="auto"/>
                <w:kern w:val="2"/>
                <w:sz w:val="18"/>
                <w:szCs w:val="18"/>
                <w:highlight w:val="none"/>
                <w:lang w:val="en-US" w:eastAsia="zh-CN"/>
              </w:rPr>
            </w:pPr>
            <w:r>
              <w:rPr>
                <w:rFonts w:hint="eastAsia" w:ascii="宋体" w:hAnsi="宋体"/>
                <w:color w:val="auto"/>
                <w:sz w:val="18"/>
                <w:szCs w:val="21"/>
                <w:highlight w:val="none"/>
              </w:rPr>
              <w:t>备件供应</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eastAsia" w:ascii="宋体" w:hAnsi="宋体" w:eastAsia="宋体" w:cs="Times New Roman"/>
                <w:color w:val="auto"/>
                <w:kern w:val="0"/>
                <w:sz w:val="18"/>
                <w:szCs w:val="21"/>
                <w:highlight w:val="none"/>
              </w:rPr>
            </w:pPr>
            <w:r>
              <w:rPr>
                <w:rFonts w:hint="eastAsia" w:ascii="宋体" w:hAnsi="宋体" w:eastAsia="宋体" w:cs="Times New Roman"/>
                <w:i w:val="0"/>
                <w:iCs w:val="0"/>
                <w:color w:val="auto"/>
                <w:kern w:val="0"/>
                <w:sz w:val="18"/>
                <w:szCs w:val="21"/>
                <w:highlight w:val="none"/>
                <w:u w:val="none"/>
                <w:lang w:val="en-US" w:eastAsia="zh-CN" w:bidi="ar"/>
              </w:rPr>
              <w:t>块</w:t>
            </w:r>
          </w:p>
        </w:tc>
        <w:tc>
          <w:tcPr>
            <w:tcW w:w="913"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eastAsia="宋体" w:cs="Times New Roman"/>
                <w:i w:val="0"/>
                <w:iCs w:val="0"/>
                <w:color w:val="auto"/>
                <w:kern w:val="0"/>
                <w:sz w:val="18"/>
                <w:szCs w:val="21"/>
                <w:highlight w:val="none"/>
                <w:u w:val="none"/>
                <w:lang w:val="en-US" w:eastAsia="zh-CN" w:bidi="ar"/>
              </w:rPr>
              <w:t>2</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jc w:val="center"/>
              <w:textAlignment w:val="center"/>
              <w:rPr>
                <w:rFonts w:hint="eastAsia"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2</w:t>
            </w:r>
          </w:p>
        </w:tc>
        <w:tc>
          <w:tcPr>
            <w:tcW w:w="1489"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eastAsia" w:ascii="宋体" w:hAnsi="宋体"/>
                <w:color w:val="auto"/>
                <w:sz w:val="18"/>
                <w:szCs w:val="21"/>
                <w:highlight w:val="none"/>
                <w:lang w:val="en-US" w:eastAsia="zh-CN"/>
              </w:rPr>
              <w:t>电源模块</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PSR2400-54A</w:t>
            </w:r>
          </w:p>
        </w:tc>
        <w:tc>
          <w:tcPr>
            <w:tcW w:w="1335" w:type="dxa"/>
            <w:vMerge w:val="continue"/>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eastAsia" w:ascii="Calibri" w:hAnsi="Calibri" w:eastAsia="宋体" w:cs="Times New Roman"/>
                <w:color w:val="auto"/>
                <w:kern w:val="2"/>
                <w:sz w:val="18"/>
                <w:szCs w:val="18"/>
                <w:highlight w:val="none"/>
                <w:lang w:val="en-US" w:eastAsia="zh-CN" w:bidi="ar-SA"/>
              </w:rPr>
            </w:pPr>
            <w:r>
              <w:rPr>
                <w:rFonts w:hint="eastAsia" w:ascii="宋体" w:hAnsi="宋体"/>
                <w:color w:val="auto"/>
                <w:sz w:val="18"/>
                <w:szCs w:val="21"/>
                <w:highlight w:val="none"/>
              </w:rPr>
              <w:t>备件供应</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eastAsia" w:ascii="宋体" w:hAnsi="宋体" w:eastAsia="宋体" w:cs="Times New Roman"/>
                <w:color w:val="auto"/>
                <w:kern w:val="0"/>
                <w:sz w:val="18"/>
                <w:szCs w:val="21"/>
                <w:highlight w:val="none"/>
              </w:rPr>
            </w:pPr>
            <w:r>
              <w:rPr>
                <w:rFonts w:hint="eastAsia" w:ascii="宋体" w:hAnsi="宋体" w:eastAsia="宋体" w:cs="Times New Roman"/>
                <w:i w:val="0"/>
                <w:iCs w:val="0"/>
                <w:color w:val="auto"/>
                <w:kern w:val="0"/>
                <w:sz w:val="18"/>
                <w:szCs w:val="21"/>
                <w:highlight w:val="none"/>
                <w:u w:val="none"/>
                <w:lang w:val="en-US" w:eastAsia="zh-CN" w:bidi="ar"/>
              </w:rPr>
              <w:t>块</w:t>
            </w:r>
          </w:p>
        </w:tc>
        <w:tc>
          <w:tcPr>
            <w:tcW w:w="913"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eastAsia="宋体" w:cs="Times New Roman"/>
                <w:i w:val="0"/>
                <w:iCs w:val="0"/>
                <w:color w:val="auto"/>
                <w:kern w:val="0"/>
                <w:sz w:val="18"/>
                <w:szCs w:val="21"/>
                <w:highlight w:val="none"/>
                <w:u w:val="none"/>
                <w:lang w:val="en-US" w:eastAsia="zh-CN" w:bidi="ar"/>
              </w:rPr>
              <w:t>2</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jc w:val="center"/>
              <w:textAlignment w:val="center"/>
              <w:rPr>
                <w:rFonts w:hint="eastAsia" w:ascii="微软雅黑" w:hAnsi="微软雅黑" w:eastAsia="宋体" w:cs="宋体"/>
                <w:color w:val="auto"/>
                <w:kern w:val="2"/>
                <w:sz w:val="16"/>
                <w:szCs w:val="16"/>
                <w:highlight w:val="none"/>
                <w:lang w:eastAsia="zh-CN"/>
              </w:rPr>
            </w:pPr>
            <w:r>
              <w:rPr>
                <w:rFonts w:hint="eastAsia" w:ascii="宋体" w:hAnsi="宋体" w:cs="宋体"/>
                <w:color w:val="auto"/>
                <w:kern w:val="2"/>
                <w:sz w:val="18"/>
                <w:szCs w:val="18"/>
                <w:highlight w:val="none"/>
                <w:lang w:val="en-US" w:eastAsia="zh-CN"/>
              </w:rPr>
              <w:t>3</w:t>
            </w:r>
          </w:p>
        </w:tc>
        <w:tc>
          <w:tcPr>
            <w:tcW w:w="1489"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24</w:t>
            </w:r>
            <w:r>
              <w:rPr>
                <w:rFonts w:hint="eastAsia" w:ascii="宋体" w:hAnsi="宋体"/>
                <w:color w:val="auto"/>
                <w:sz w:val="18"/>
                <w:szCs w:val="21"/>
                <w:highlight w:val="none"/>
                <w:lang w:val="en-US" w:eastAsia="zh-CN"/>
              </w:rPr>
              <w:t>端口万兆以太网光接口</w:t>
            </w:r>
            <w:r>
              <w:rPr>
                <w:rFonts w:hint="default" w:ascii="宋体" w:hAnsi="宋体"/>
                <w:color w:val="auto"/>
                <w:sz w:val="18"/>
                <w:szCs w:val="21"/>
                <w:highlight w:val="none"/>
                <w:lang w:val="en-US" w:eastAsia="zh-CN"/>
              </w:rPr>
              <w:t>(SFP+,LC)(FD)</w:t>
            </w:r>
            <w:r>
              <w:rPr>
                <w:rFonts w:hint="eastAsia" w:ascii="宋体" w:hAnsi="宋体"/>
                <w:color w:val="auto"/>
                <w:sz w:val="18"/>
                <w:szCs w:val="21"/>
                <w:highlight w:val="none"/>
                <w:lang w:val="en-US" w:eastAsia="zh-CN"/>
              </w:rPr>
              <w:t>以太网业务板</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LSUM1TGS24FD0</w:t>
            </w:r>
          </w:p>
        </w:tc>
        <w:tc>
          <w:tcPr>
            <w:tcW w:w="1335" w:type="dxa"/>
            <w:vMerge w:val="restart"/>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 xml:space="preserve">H3C </w:t>
            </w:r>
            <w:r>
              <w:rPr>
                <w:rFonts w:hint="eastAsia" w:ascii="宋体" w:hAnsi="宋体"/>
                <w:color w:val="auto"/>
                <w:sz w:val="18"/>
                <w:szCs w:val="21"/>
                <w:highlight w:val="none"/>
                <w:lang w:val="en-US" w:eastAsia="zh-CN"/>
              </w:rPr>
              <w:t xml:space="preserve">  </w:t>
            </w:r>
            <w:r>
              <w:rPr>
                <w:rFonts w:hint="default" w:ascii="宋体" w:hAnsi="宋体"/>
                <w:color w:val="auto"/>
                <w:sz w:val="18"/>
                <w:szCs w:val="21"/>
                <w:highlight w:val="none"/>
                <w:lang w:val="en-US" w:eastAsia="zh-CN"/>
              </w:rPr>
              <w:t>S10506</w:t>
            </w:r>
            <w:r>
              <w:rPr>
                <w:rFonts w:hint="default" w:ascii="宋体" w:hAnsi="宋体"/>
                <w:color w:val="auto"/>
                <w:sz w:val="18"/>
                <w:szCs w:val="21"/>
                <w:highlight w:val="none"/>
                <w:lang w:val="en-US" w:eastAsia="zh-CN"/>
              </w:rPr>
              <w:br w:type="textWrapping"/>
            </w:r>
            <w:r>
              <w:rPr>
                <w:rFonts w:hint="default" w:ascii="宋体" w:hAnsi="宋体"/>
                <w:color w:val="auto"/>
                <w:sz w:val="18"/>
                <w:szCs w:val="21"/>
                <w:highlight w:val="none"/>
                <w:lang w:val="en-US" w:eastAsia="zh-CN"/>
              </w:rPr>
              <w:t xml:space="preserve"> </w:t>
            </w:r>
            <w:r>
              <w:rPr>
                <w:rFonts w:hint="eastAsia" w:ascii="宋体" w:hAnsi="宋体"/>
                <w:color w:val="auto"/>
                <w:sz w:val="18"/>
                <w:szCs w:val="21"/>
                <w:highlight w:val="none"/>
                <w:lang w:val="en-US" w:eastAsia="zh-CN"/>
              </w:rPr>
              <w:t>以太网交换机</w:t>
            </w: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eastAsia" w:ascii="Calibri" w:hAnsi="Calibri" w:eastAsia="宋体" w:cs="Times New Roman"/>
                <w:color w:val="auto"/>
                <w:kern w:val="2"/>
                <w:sz w:val="18"/>
                <w:szCs w:val="18"/>
                <w:highlight w:val="none"/>
                <w:lang w:val="en-US" w:eastAsia="zh-CN"/>
              </w:rPr>
            </w:pPr>
            <w:r>
              <w:rPr>
                <w:rFonts w:hint="eastAsia" w:ascii="宋体" w:hAnsi="宋体"/>
                <w:color w:val="auto"/>
                <w:sz w:val="18"/>
                <w:szCs w:val="21"/>
                <w:highlight w:val="none"/>
              </w:rPr>
              <w:t>备件供应</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eastAsia" w:ascii="宋体" w:hAnsi="宋体" w:eastAsia="宋体" w:cs="Times New Roman"/>
                <w:color w:val="auto"/>
                <w:kern w:val="0"/>
                <w:sz w:val="18"/>
                <w:szCs w:val="21"/>
                <w:highlight w:val="none"/>
              </w:rPr>
            </w:pPr>
            <w:r>
              <w:rPr>
                <w:rFonts w:hint="eastAsia" w:ascii="宋体" w:hAnsi="宋体" w:eastAsia="宋体" w:cs="Times New Roman"/>
                <w:i w:val="0"/>
                <w:iCs w:val="0"/>
                <w:color w:val="auto"/>
                <w:kern w:val="0"/>
                <w:sz w:val="18"/>
                <w:szCs w:val="21"/>
                <w:highlight w:val="none"/>
                <w:u w:val="none"/>
                <w:lang w:val="en-US" w:eastAsia="zh-CN" w:bidi="ar"/>
              </w:rPr>
              <w:t>块</w:t>
            </w:r>
          </w:p>
        </w:tc>
        <w:tc>
          <w:tcPr>
            <w:tcW w:w="913"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eastAsia="宋体" w:cs="Times New Roman"/>
                <w:i w:val="0"/>
                <w:iCs w:val="0"/>
                <w:color w:val="auto"/>
                <w:kern w:val="0"/>
                <w:sz w:val="18"/>
                <w:szCs w:val="21"/>
                <w:highlight w:val="none"/>
                <w:u w:val="none"/>
                <w:lang w:val="en-US" w:eastAsia="zh-CN" w:bidi="ar"/>
              </w:rPr>
              <w:t>1</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jc w:val="center"/>
              <w:textAlignment w:val="center"/>
              <w:rPr>
                <w:rFonts w:hint="eastAsia"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4</w:t>
            </w:r>
          </w:p>
        </w:tc>
        <w:tc>
          <w:tcPr>
            <w:tcW w:w="1489"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10/100/1000BASE-T-RJ45</w:t>
            </w:r>
            <w:r>
              <w:rPr>
                <w:rFonts w:hint="eastAsia" w:ascii="宋体" w:hAnsi="宋体"/>
                <w:color w:val="auto"/>
                <w:sz w:val="18"/>
                <w:szCs w:val="21"/>
                <w:highlight w:val="none"/>
                <w:lang w:val="en-US" w:eastAsia="zh-CN"/>
              </w:rPr>
              <w:t>电接口以太网业务板</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LSUM2GT48SE0</w:t>
            </w:r>
          </w:p>
        </w:tc>
        <w:tc>
          <w:tcPr>
            <w:tcW w:w="1335" w:type="dxa"/>
            <w:vMerge w:val="continue"/>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eastAsia" w:ascii="宋体" w:hAnsi="宋体"/>
                <w:color w:val="auto"/>
                <w:sz w:val="18"/>
                <w:szCs w:val="21"/>
                <w:highlight w:val="none"/>
              </w:rPr>
            </w:pPr>
            <w:r>
              <w:rPr>
                <w:rFonts w:hint="eastAsia" w:ascii="宋体" w:hAnsi="宋体"/>
                <w:color w:val="auto"/>
                <w:sz w:val="18"/>
                <w:szCs w:val="21"/>
                <w:highlight w:val="none"/>
              </w:rPr>
              <w:t>备件供应</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eastAsia" w:ascii="宋体" w:hAnsi="宋体" w:eastAsia="宋体" w:cs="Times New Roman"/>
                <w:color w:val="auto"/>
                <w:kern w:val="0"/>
                <w:sz w:val="18"/>
                <w:szCs w:val="21"/>
                <w:highlight w:val="none"/>
              </w:rPr>
            </w:pPr>
            <w:r>
              <w:rPr>
                <w:rFonts w:hint="eastAsia" w:ascii="宋体" w:hAnsi="宋体" w:eastAsia="宋体" w:cs="Times New Roman"/>
                <w:i w:val="0"/>
                <w:iCs w:val="0"/>
                <w:color w:val="auto"/>
                <w:kern w:val="0"/>
                <w:sz w:val="18"/>
                <w:szCs w:val="21"/>
                <w:highlight w:val="none"/>
                <w:u w:val="none"/>
                <w:lang w:val="en-US" w:eastAsia="zh-CN" w:bidi="ar"/>
              </w:rPr>
              <w:t>块</w:t>
            </w:r>
          </w:p>
        </w:tc>
        <w:tc>
          <w:tcPr>
            <w:tcW w:w="913"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eastAsia="宋体" w:cs="Times New Roman"/>
                <w:i w:val="0"/>
                <w:iCs w:val="0"/>
                <w:color w:val="auto"/>
                <w:kern w:val="0"/>
                <w:sz w:val="18"/>
                <w:szCs w:val="21"/>
                <w:highlight w:val="none"/>
                <w:u w:val="none"/>
                <w:lang w:val="en-US" w:eastAsia="zh-CN" w:bidi="ar"/>
              </w:rPr>
              <w:t>1</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jc w:val="center"/>
              <w:textAlignment w:val="center"/>
              <w:rPr>
                <w:rFonts w:hint="eastAsia" w:ascii="微软雅黑" w:hAnsi="微软雅黑" w:eastAsia="宋体" w:cs="宋体"/>
                <w:color w:val="auto"/>
                <w:kern w:val="2"/>
                <w:sz w:val="16"/>
                <w:szCs w:val="16"/>
                <w:highlight w:val="none"/>
                <w:lang w:eastAsia="zh-CN"/>
              </w:rPr>
            </w:pPr>
            <w:r>
              <w:rPr>
                <w:rFonts w:hint="eastAsia" w:ascii="宋体" w:hAnsi="宋体" w:cs="宋体"/>
                <w:color w:val="auto"/>
                <w:kern w:val="2"/>
                <w:sz w:val="18"/>
                <w:szCs w:val="18"/>
                <w:highlight w:val="none"/>
                <w:lang w:val="en-US" w:eastAsia="zh-CN"/>
              </w:rPr>
              <w:t>5</w:t>
            </w:r>
          </w:p>
        </w:tc>
        <w:tc>
          <w:tcPr>
            <w:tcW w:w="1489"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eastAsia" w:ascii="宋体" w:hAnsi="宋体"/>
                <w:color w:val="auto"/>
                <w:sz w:val="18"/>
                <w:szCs w:val="21"/>
                <w:highlight w:val="none"/>
                <w:lang w:val="en-US" w:eastAsia="zh-CN"/>
              </w:rPr>
              <w:t>交流电源模块</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LSUM1AC1200-1200W</w:t>
            </w:r>
          </w:p>
        </w:tc>
        <w:tc>
          <w:tcPr>
            <w:tcW w:w="1335"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 xml:space="preserve">H3C </w:t>
            </w:r>
            <w:r>
              <w:rPr>
                <w:rFonts w:hint="eastAsia" w:ascii="宋体" w:hAnsi="宋体"/>
                <w:color w:val="auto"/>
                <w:sz w:val="18"/>
                <w:szCs w:val="21"/>
                <w:highlight w:val="none"/>
                <w:lang w:val="en-US" w:eastAsia="zh-CN"/>
              </w:rPr>
              <w:t xml:space="preserve">  </w:t>
            </w:r>
            <w:r>
              <w:rPr>
                <w:rFonts w:hint="default" w:ascii="宋体" w:hAnsi="宋体"/>
                <w:color w:val="auto"/>
                <w:sz w:val="18"/>
                <w:szCs w:val="21"/>
                <w:highlight w:val="none"/>
                <w:lang w:val="en-US" w:eastAsia="zh-CN"/>
              </w:rPr>
              <w:t xml:space="preserve">S10508   </w:t>
            </w:r>
            <w:r>
              <w:rPr>
                <w:rFonts w:hint="default" w:ascii="宋体" w:hAnsi="宋体"/>
                <w:color w:val="auto"/>
                <w:sz w:val="18"/>
                <w:szCs w:val="21"/>
                <w:highlight w:val="none"/>
                <w:lang w:val="en-US" w:eastAsia="zh-CN"/>
              </w:rPr>
              <w:br w:type="textWrapping"/>
            </w:r>
            <w:r>
              <w:rPr>
                <w:rFonts w:hint="eastAsia" w:ascii="宋体" w:hAnsi="宋体"/>
                <w:color w:val="auto"/>
                <w:sz w:val="18"/>
                <w:szCs w:val="21"/>
                <w:highlight w:val="none"/>
                <w:lang w:val="en-US" w:eastAsia="zh-CN"/>
              </w:rPr>
              <w:t>以太网交换机</w:t>
            </w: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eastAsia" w:ascii="Calibri" w:hAnsi="Calibri" w:eastAsia="宋体" w:cs="Times New Roman"/>
                <w:color w:val="auto"/>
                <w:kern w:val="2"/>
                <w:sz w:val="18"/>
                <w:szCs w:val="18"/>
                <w:highlight w:val="none"/>
                <w:lang w:val="en-US" w:eastAsia="zh-CN"/>
              </w:rPr>
            </w:pPr>
            <w:r>
              <w:rPr>
                <w:rFonts w:hint="eastAsia" w:ascii="宋体" w:hAnsi="宋体"/>
                <w:color w:val="auto"/>
                <w:sz w:val="18"/>
                <w:szCs w:val="21"/>
                <w:highlight w:val="none"/>
              </w:rPr>
              <w:t>备件供应</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eastAsia" w:ascii="宋体" w:hAnsi="宋体" w:eastAsia="宋体" w:cs="Times New Roman"/>
                <w:color w:val="auto"/>
                <w:kern w:val="0"/>
                <w:sz w:val="18"/>
                <w:szCs w:val="21"/>
                <w:highlight w:val="none"/>
              </w:rPr>
            </w:pPr>
            <w:r>
              <w:rPr>
                <w:rFonts w:hint="eastAsia" w:ascii="宋体" w:hAnsi="宋体" w:eastAsia="宋体" w:cs="Times New Roman"/>
                <w:i w:val="0"/>
                <w:iCs w:val="0"/>
                <w:color w:val="auto"/>
                <w:kern w:val="0"/>
                <w:sz w:val="18"/>
                <w:szCs w:val="21"/>
                <w:highlight w:val="none"/>
                <w:u w:val="none"/>
                <w:lang w:val="en-US" w:eastAsia="zh-CN" w:bidi="ar"/>
              </w:rPr>
              <w:t>块</w:t>
            </w:r>
          </w:p>
        </w:tc>
        <w:tc>
          <w:tcPr>
            <w:tcW w:w="913"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eastAsia="宋体" w:cs="Times New Roman"/>
                <w:i w:val="0"/>
                <w:iCs w:val="0"/>
                <w:color w:val="auto"/>
                <w:kern w:val="0"/>
                <w:sz w:val="18"/>
                <w:szCs w:val="21"/>
                <w:highlight w:val="none"/>
                <w:u w:val="none"/>
                <w:lang w:val="en-US" w:eastAsia="zh-CN" w:bidi="ar"/>
              </w:rPr>
              <w:t>2</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jc w:val="center"/>
              <w:textAlignment w:val="center"/>
              <w:rPr>
                <w:rFonts w:hint="default" w:ascii="微软雅黑" w:hAnsi="微软雅黑" w:eastAsia="微软雅黑" w:cs="宋体"/>
                <w:color w:val="auto"/>
                <w:kern w:val="2"/>
                <w:sz w:val="16"/>
                <w:szCs w:val="16"/>
                <w:highlight w:val="none"/>
              </w:rPr>
            </w:pPr>
            <w:r>
              <w:rPr>
                <w:rFonts w:hint="eastAsia" w:ascii="宋体" w:hAnsi="宋体" w:cs="宋体"/>
                <w:color w:val="auto"/>
                <w:kern w:val="2"/>
                <w:sz w:val="18"/>
                <w:szCs w:val="18"/>
                <w:highlight w:val="none"/>
                <w:lang w:val="en-US" w:eastAsia="zh-CN"/>
              </w:rPr>
              <w:t>6</w:t>
            </w:r>
          </w:p>
        </w:tc>
        <w:tc>
          <w:tcPr>
            <w:tcW w:w="1489"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eastAsia" w:ascii="宋体" w:hAnsi="宋体"/>
                <w:color w:val="auto"/>
                <w:sz w:val="18"/>
                <w:szCs w:val="21"/>
                <w:highlight w:val="none"/>
                <w:lang w:val="en-US" w:eastAsia="zh-CN"/>
              </w:rPr>
              <w:t>48端口千兆SFP接口以太网业务板</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ET1D2G48SX1E</w:t>
            </w:r>
          </w:p>
        </w:tc>
        <w:tc>
          <w:tcPr>
            <w:tcW w:w="1335"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eastAsia" w:ascii="宋体" w:hAnsi="宋体"/>
                <w:color w:val="auto"/>
                <w:sz w:val="18"/>
                <w:szCs w:val="21"/>
                <w:highlight w:val="none"/>
                <w:lang w:val="en-US" w:eastAsia="zh-CN"/>
              </w:rPr>
              <w:t xml:space="preserve">华为 </w:t>
            </w:r>
            <w:r>
              <w:rPr>
                <w:rFonts w:hint="default" w:ascii="宋体" w:hAnsi="宋体"/>
                <w:color w:val="auto"/>
                <w:sz w:val="18"/>
                <w:szCs w:val="21"/>
                <w:highlight w:val="none"/>
                <w:lang w:val="en-US" w:eastAsia="zh-CN"/>
              </w:rPr>
              <w:t>S12708</w:t>
            </w:r>
            <w:r>
              <w:rPr>
                <w:rFonts w:hint="default" w:ascii="宋体" w:hAnsi="宋体"/>
                <w:color w:val="auto"/>
                <w:sz w:val="18"/>
                <w:szCs w:val="21"/>
                <w:highlight w:val="none"/>
                <w:lang w:val="en-US" w:eastAsia="zh-CN"/>
              </w:rPr>
              <w:br w:type="textWrapping"/>
            </w:r>
            <w:r>
              <w:rPr>
                <w:rFonts w:hint="eastAsia" w:ascii="宋体" w:hAnsi="宋体"/>
                <w:color w:val="auto"/>
                <w:sz w:val="18"/>
                <w:szCs w:val="21"/>
                <w:highlight w:val="none"/>
                <w:lang w:val="en-US" w:eastAsia="zh-CN"/>
              </w:rPr>
              <w:t>以太网交换机</w:t>
            </w: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eastAsia" w:ascii="Calibri" w:hAnsi="Calibri" w:eastAsia="宋体" w:cs="Times New Roman"/>
                <w:color w:val="auto"/>
                <w:kern w:val="2"/>
                <w:sz w:val="18"/>
                <w:szCs w:val="18"/>
                <w:highlight w:val="none"/>
                <w:lang w:val="en-US" w:eastAsia="zh-CN"/>
              </w:rPr>
            </w:pPr>
            <w:r>
              <w:rPr>
                <w:rFonts w:hint="eastAsia" w:ascii="宋体" w:hAnsi="宋体"/>
                <w:color w:val="auto"/>
                <w:sz w:val="18"/>
                <w:szCs w:val="21"/>
                <w:highlight w:val="none"/>
              </w:rPr>
              <w:t>备件供应</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eastAsia" w:ascii="宋体" w:hAnsi="宋体" w:eastAsia="宋体" w:cs="Times New Roman"/>
                <w:color w:val="auto"/>
                <w:kern w:val="0"/>
                <w:sz w:val="18"/>
                <w:szCs w:val="21"/>
                <w:highlight w:val="none"/>
              </w:rPr>
            </w:pPr>
            <w:r>
              <w:rPr>
                <w:rFonts w:hint="eastAsia" w:ascii="宋体" w:hAnsi="宋体" w:eastAsia="宋体" w:cs="Times New Roman"/>
                <w:i w:val="0"/>
                <w:iCs w:val="0"/>
                <w:color w:val="auto"/>
                <w:kern w:val="0"/>
                <w:sz w:val="18"/>
                <w:szCs w:val="21"/>
                <w:highlight w:val="none"/>
                <w:u w:val="none"/>
                <w:lang w:val="en-US" w:eastAsia="zh-CN" w:bidi="ar"/>
              </w:rPr>
              <w:t>块</w:t>
            </w:r>
          </w:p>
        </w:tc>
        <w:tc>
          <w:tcPr>
            <w:tcW w:w="913"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eastAsia="宋体" w:cs="Times New Roman"/>
                <w:i w:val="0"/>
                <w:iCs w:val="0"/>
                <w:color w:val="auto"/>
                <w:kern w:val="0"/>
                <w:sz w:val="18"/>
                <w:szCs w:val="21"/>
                <w:highlight w:val="none"/>
                <w:u w:val="none"/>
                <w:lang w:val="en-US" w:eastAsia="zh-CN" w:bidi="ar"/>
              </w:rPr>
              <w:t>1</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2" w:type="dxa"/>
            <w:vAlign w:val="center"/>
          </w:tcPr>
          <w:p>
            <w:pPr>
              <w:keepNext w:val="0"/>
              <w:keepLines w:val="0"/>
              <w:widowControl/>
              <w:suppressLineNumbers w:val="0"/>
              <w:spacing w:beforeAutospacing="0"/>
              <w:jc w:val="center"/>
              <w:textAlignment w:val="center"/>
              <w:rPr>
                <w:rFonts w:hint="eastAsia" w:ascii="微软雅黑" w:hAnsi="微软雅黑" w:eastAsia="宋体" w:cs="宋体"/>
                <w:color w:val="auto"/>
                <w:kern w:val="2"/>
                <w:sz w:val="16"/>
                <w:szCs w:val="16"/>
                <w:highlight w:val="none"/>
                <w:lang w:eastAsia="zh-CN"/>
              </w:rPr>
            </w:pPr>
            <w:r>
              <w:rPr>
                <w:rFonts w:hint="eastAsia" w:ascii="宋体" w:hAnsi="宋体" w:cs="宋体"/>
                <w:color w:val="auto"/>
                <w:kern w:val="2"/>
                <w:sz w:val="18"/>
                <w:szCs w:val="18"/>
                <w:highlight w:val="none"/>
                <w:lang w:val="en-US" w:eastAsia="zh-CN"/>
              </w:rPr>
              <w:t>7</w:t>
            </w:r>
          </w:p>
        </w:tc>
        <w:tc>
          <w:tcPr>
            <w:tcW w:w="1489"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eastAsia" w:ascii="宋体" w:hAnsi="宋体"/>
                <w:color w:val="auto"/>
                <w:sz w:val="18"/>
                <w:szCs w:val="21"/>
                <w:highlight w:val="none"/>
                <w:lang w:val="en-US" w:eastAsia="zh-CN"/>
              </w:rPr>
              <w:t>16端口万兆光接口以太网业务板</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h1xf16a</w:t>
            </w:r>
          </w:p>
        </w:tc>
        <w:tc>
          <w:tcPr>
            <w:tcW w:w="1335"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eastAsia" w:ascii="宋体" w:hAnsi="宋体"/>
                <w:color w:val="auto"/>
                <w:sz w:val="18"/>
                <w:szCs w:val="21"/>
                <w:highlight w:val="none"/>
                <w:lang w:val="en-US" w:eastAsia="zh-CN"/>
              </w:rPr>
              <w:t>中兴</w:t>
            </w:r>
            <w:r>
              <w:rPr>
                <w:rFonts w:hint="default" w:ascii="宋体" w:hAnsi="宋体"/>
                <w:color w:val="auto"/>
                <w:sz w:val="18"/>
                <w:szCs w:val="21"/>
                <w:highlight w:val="none"/>
                <w:lang w:val="en-US" w:eastAsia="zh-CN"/>
              </w:rPr>
              <w:t xml:space="preserve"> 8908E</w:t>
            </w:r>
            <w:r>
              <w:rPr>
                <w:rFonts w:hint="default" w:ascii="宋体" w:hAnsi="宋体"/>
                <w:color w:val="auto"/>
                <w:sz w:val="18"/>
                <w:szCs w:val="21"/>
                <w:highlight w:val="none"/>
                <w:lang w:val="en-US" w:eastAsia="zh-CN"/>
              </w:rPr>
              <w:br w:type="textWrapping"/>
            </w:r>
            <w:r>
              <w:rPr>
                <w:rFonts w:hint="eastAsia" w:ascii="宋体" w:hAnsi="宋体"/>
                <w:color w:val="auto"/>
                <w:sz w:val="18"/>
                <w:szCs w:val="21"/>
                <w:highlight w:val="none"/>
                <w:lang w:val="en-US" w:eastAsia="zh-CN"/>
              </w:rPr>
              <w:t>以太网交换机</w:t>
            </w: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eastAsia" w:ascii="Calibri" w:hAnsi="Calibri" w:eastAsia="宋体" w:cs="Times New Roman"/>
                <w:color w:val="auto"/>
                <w:kern w:val="2"/>
                <w:sz w:val="18"/>
                <w:szCs w:val="18"/>
                <w:highlight w:val="none"/>
                <w:lang w:val="en-US" w:eastAsia="zh-CN"/>
              </w:rPr>
            </w:pPr>
            <w:r>
              <w:rPr>
                <w:rFonts w:hint="eastAsia" w:ascii="宋体" w:hAnsi="宋体"/>
                <w:color w:val="auto"/>
                <w:sz w:val="18"/>
                <w:szCs w:val="21"/>
                <w:highlight w:val="none"/>
              </w:rPr>
              <w:t>备件供应</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eastAsia" w:ascii="宋体" w:hAnsi="宋体" w:eastAsia="宋体" w:cs="Times New Roman"/>
                <w:color w:val="auto"/>
                <w:kern w:val="0"/>
                <w:sz w:val="18"/>
                <w:szCs w:val="21"/>
                <w:highlight w:val="none"/>
              </w:rPr>
            </w:pPr>
            <w:r>
              <w:rPr>
                <w:rFonts w:hint="eastAsia" w:ascii="宋体" w:hAnsi="宋体" w:eastAsia="宋体" w:cs="Times New Roman"/>
                <w:i w:val="0"/>
                <w:iCs w:val="0"/>
                <w:color w:val="auto"/>
                <w:kern w:val="0"/>
                <w:sz w:val="18"/>
                <w:szCs w:val="21"/>
                <w:highlight w:val="none"/>
                <w:u w:val="none"/>
                <w:lang w:val="en-US" w:eastAsia="zh-CN" w:bidi="ar"/>
              </w:rPr>
              <w:t>块</w:t>
            </w:r>
          </w:p>
        </w:tc>
        <w:tc>
          <w:tcPr>
            <w:tcW w:w="913"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eastAsia="宋体" w:cs="Times New Roman"/>
                <w:i w:val="0"/>
                <w:iCs w:val="0"/>
                <w:color w:val="auto"/>
                <w:kern w:val="0"/>
                <w:sz w:val="18"/>
                <w:szCs w:val="21"/>
                <w:highlight w:val="none"/>
                <w:u w:val="none"/>
                <w:lang w:val="en-US" w:eastAsia="zh-CN" w:bidi="ar"/>
              </w:rPr>
              <w:t>1</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09" w:type="dxa"/>
            <w:gridSpan w:val="7"/>
            <w:vAlign w:val="center"/>
          </w:tcPr>
          <w:p>
            <w:pPr>
              <w:keepNext w:val="0"/>
              <w:keepLines w:val="0"/>
              <w:widowControl/>
              <w:suppressLineNumbers w:val="0"/>
              <w:spacing w:before="0" w:beforeAutospacing="0" w:after="0" w:afterAutospacing="0" w:line="320" w:lineRule="exact"/>
              <w:ind w:left="0" w:firstLine="0"/>
              <w:jc w:val="center"/>
              <w:rPr>
                <w:rFonts w:hint="default" w:ascii="微软雅黑" w:hAnsi="微软雅黑" w:eastAsia="微软雅黑" w:cs="宋体"/>
                <w:b/>
                <w:bCs/>
                <w:color w:val="auto"/>
                <w:kern w:val="2"/>
                <w:sz w:val="16"/>
                <w:szCs w:val="16"/>
                <w:highlight w:val="none"/>
              </w:rPr>
            </w:pPr>
            <w:r>
              <w:rPr>
                <w:rFonts w:hint="eastAsia" w:ascii="微软雅黑" w:hAnsi="微软雅黑" w:eastAsia="微软雅黑" w:cs="宋体"/>
                <w:b/>
                <w:bCs/>
                <w:color w:val="auto"/>
                <w:kern w:val="2"/>
                <w:sz w:val="16"/>
                <w:szCs w:val="16"/>
                <w:highlight w:val="none"/>
                <w:lang w:val="en-US" w:eastAsia="zh-CN"/>
              </w:rPr>
              <w:t>备品备件</w:t>
            </w:r>
            <w:r>
              <w:rPr>
                <w:rFonts w:hint="eastAsia" w:ascii="微软雅黑" w:hAnsi="微软雅黑" w:eastAsia="微软雅黑" w:cs="宋体"/>
                <w:b/>
                <w:bCs/>
                <w:color w:val="auto"/>
                <w:kern w:val="2"/>
                <w:sz w:val="16"/>
                <w:szCs w:val="16"/>
                <w:highlight w:val="none"/>
              </w:rPr>
              <w:t>合计</w:t>
            </w:r>
          </w:p>
        </w:tc>
        <w:tc>
          <w:tcPr>
            <w:tcW w:w="1367" w:type="dxa"/>
            <w:vAlign w:val="center"/>
          </w:tcPr>
          <w:p>
            <w:pPr>
              <w:keepNext w:val="0"/>
              <w:keepLines w:val="0"/>
              <w:widowControl/>
              <w:suppressLineNumbers w:val="0"/>
              <w:spacing w:before="0" w:beforeAutospacing="0" w:after="0" w:afterAutospacing="0" w:line="320" w:lineRule="exact"/>
              <w:jc w:val="center"/>
              <w:rPr>
                <w:rFonts w:hint="eastAsia" w:ascii="微软雅黑" w:hAnsi="微软雅黑" w:eastAsia="微软雅黑" w:cs="宋体"/>
                <w:color w:val="auto"/>
                <w:kern w:val="2"/>
                <w:sz w:val="16"/>
                <w:szCs w:val="16"/>
                <w:highlight w:val="none"/>
                <w:lang w:val="en-US" w:eastAsia="zh-CN"/>
              </w:rPr>
            </w:pPr>
            <w:r>
              <w:rPr>
                <w:rFonts w:hint="eastAsia" w:ascii="微软雅黑" w:hAnsi="微软雅黑" w:eastAsia="微软雅黑" w:cs="宋体"/>
                <w:color w:val="auto"/>
                <w:kern w:val="2"/>
                <w:sz w:val="16"/>
                <w:szCs w:val="16"/>
                <w:highlight w:val="none"/>
                <w:lang w:val="en-US" w:eastAsia="zh-CN"/>
              </w:rPr>
              <w:t>/</w:t>
            </w: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22" w:type="dxa"/>
            <w:gridSpan w:val="10"/>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r>
              <w:rPr>
                <w:rFonts w:hint="default" w:ascii="微软雅黑" w:hAnsi="微软雅黑" w:eastAsia="微软雅黑" w:cs="宋体"/>
                <w:b/>
                <w:bCs/>
                <w:color w:val="auto"/>
                <w:kern w:val="2"/>
                <w:highlight w:val="none"/>
              </w:rPr>
              <w:t>设备故障件维修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2" w:type="dxa"/>
            <w:vAlign w:val="center"/>
          </w:tcPr>
          <w:p>
            <w:pPr>
              <w:keepNext w:val="0"/>
              <w:keepLines w:val="0"/>
              <w:widowControl/>
              <w:suppressLineNumbers w:val="0"/>
              <w:spacing w:beforeAutospacing="0"/>
              <w:jc w:val="center"/>
              <w:textAlignment w:val="center"/>
              <w:rPr>
                <w:rFonts w:hint="default" w:ascii="宋体" w:hAnsi="宋体" w:eastAsia="宋体" w:cs="宋体"/>
                <w:color w:val="auto"/>
                <w:kern w:val="2"/>
                <w:sz w:val="18"/>
                <w:szCs w:val="18"/>
                <w:highlight w:val="none"/>
                <w:lang w:eastAsia="zh-CN"/>
              </w:rPr>
            </w:pPr>
            <w:r>
              <w:rPr>
                <w:rFonts w:hint="eastAsia" w:ascii="宋体" w:hAnsi="宋体" w:cs="宋体"/>
                <w:color w:val="auto"/>
                <w:kern w:val="2"/>
                <w:sz w:val="18"/>
                <w:szCs w:val="18"/>
                <w:highlight w:val="none"/>
                <w:lang w:val="en-US" w:eastAsia="zh-CN"/>
              </w:rPr>
              <w:t>1</w:t>
            </w:r>
          </w:p>
        </w:tc>
        <w:tc>
          <w:tcPr>
            <w:tcW w:w="1489"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default" w:ascii="宋体" w:hAnsi="宋体"/>
                <w:color w:val="auto"/>
                <w:sz w:val="18"/>
                <w:szCs w:val="21"/>
                <w:highlight w:val="none"/>
                <w:lang w:val="en-US" w:eastAsia="zh-CN"/>
              </w:rPr>
              <w:t>24</w:t>
            </w:r>
            <w:r>
              <w:rPr>
                <w:rFonts w:hint="eastAsia" w:ascii="宋体" w:hAnsi="宋体"/>
                <w:color w:val="auto"/>
                <w:sz w:val="18"/>
                <w:szCs w:val="21"/>
                <w:highlight w:val="none"/>
                <w:lang w:val="en-US" w:eastAsia="zh-CN"/>
              </w:rPr>
              <w:t>端口万兆</w:t>
            </w:r>
            <w:r>
              <w:rPr>
                <w:rFonts w:hint="default" w:ascii="宋体" w:hAnsi="宋体"/>
                <w:color w:val="auto"/>
                <w:sz w:val="18"/>
                <w:szCs w:val="21"/>
                <w:highlight w:val="none"/>
                <w:lang w:val="en-US" w:eastAsia="zh-CN"/>
              </w:rPr>
              <w:t>SFP+</w:t>
            </w:r>
            <w:r>
              <w:rPr>
                <w:rFonts w:hint="eastAsia" w:ascii="宋体" w:hAnsi="宋体"/>
                <w:color w:val="auto"/>
                <w:sz w:val="18"/>
                <w:szCs w:val="21"/>
                <w:highlight w:val="none"/>
                <w:lang w:val="en-US" w:eastAsia="zh-CN"/>
              </w:rPr>
              <w:t>光纤接口以太网业务板</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LSXM1TGS24FX1</w:t>
            </w:r>
          </w:p>
        </w:tc>
        <w:tc>
          <w:tcPr>
            <w:tcW w:w="1335"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default" w:ascii="宋体" w:hAnsi="宋体"/>
                <w:color w:val="auto"/>
                <w:sz w:val="18"/>
                <w:szCs w:val="21"/>
                <w:highlight w:val="none"/>
                <w:lang w:val="en-US" w:eastAsia="zh-CN"/>
              </w:rPr>
              <w:t xml:space="preserve">H3C S12508X-AF  </w:t>
            </w:r>
            <w:r>
              <w:rPr>
                <w:rFonts w:hint="eastAsia" w:ascii="宋体" w:hAnsi="宋体"/>
                <w:color w:val="auto"/>
                <w:sz w:val="18"/>
                <w:szCs w:val="21"/>
                <w:highlight w:val="none"/>
                <w:lang w:val="en-US" w:eastAsia="zh-CN"/>
              </w:rPr>
              <w:t>路由交换机</w:t>
            </w:r>
          </w:p>
        </w:tc>
        <w:tc>
          <w:tcPr>
            <w:tcW w:w="2841" w:type="dxa"/>
            <w:vAlign w:val="center"/>
          </w:tcPr>
          <w:p>
            <w:pPr>
              <w:keepNext w:val="0"/>
              <w:keepLines w:val="0"/>
              <w:widowControl/>
              <w:suppressLineNumbers w:val="0"/>
              <w:spacing w:beforeAutospacing="0"/>
              <w:ind w:left="0" w:right="0" w:firstLine="0"/>
              <w:jc w:val="left"/>
              <w:textAlignment w:val="center"/>
              <w:rPr>
                <w:rFonts w:hint="default" w:ascii="Calibri" w:hAnsi="Calibri" w:eastAsia="宋体" w:cs="Times New Roman"/>
                <w:color w:val="auto"/>
                <w:kern w:val="2"/>
                <w:sz w:val="18"/>
                <w:szCs w:val="18"/>
                <w:highlight w:val="none"/>
                <w:lang w:val="en-US" w:eastAsia="zh-CN"/>
              </w:rPr>
            </w:pPr>
            <w:r>
              <w:rPr>
                <w:rFonts w:hint="eastAsia" w:ascii="宋体" w:hAnsi="宋体"/>
                <w:color w:val="auto"/>
                <w:sz w:val="18"/>
                <w:szCs w:val="21"/>
                <w:highlight w:val="none"/>
              </w:rPr>
              <w:t>设备故障件维修</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bidi="ar"/>
              </w:rPr>
            </w:pPr>
            <w:r>
              <w:rPr>
                <w:rFonts w:hint="eastAsia" w:ascii="宋体" w:hAnsi="宋体" w:eastAsia="宋体" w:cs="Times New Roman"/>
                <w:i w:val="0"/>
                <w:iCs w:val="0"/>
                <w:color w:val="auto"/>
                <w:kern w:val="0"/>
                <w:sz w:val="18"/>
                <w:szCs w:val="21"/>
                <w:highlight w:val="none"/>
                <w:u w:val="none"/>
                <w:lang w:val="en-US" w:eastAsia="zh-CN" w:bidi="ar"/>
              </w:rPr>
              <w:t>块</w:t>
            </w:r>
          </w:p>
        </w:tc>
        <w:tc>
          <w:tcPr>
            <w:tcW w:w="91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eastAsia="宋体" w:cs="Times New Roman"/>
                <w:i w:val="0"/>
                <w:iCs w:val="0"/>
                <w:color w:val="auto"/>
                <w:kern w:val="0"/>
                <w:sz w:val="18"/>
                <w:szCs w:val="21"/>
                <w:highlight w:val="none"/>
                <w:u w:val="none"/>
                <w:lang w:val="en-US" w:eastAsia="zh-CN" w:bidi="ar"/>
              </w:rPr>
              <w:t>1</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ind w:left="0" w:leftChars="0" w:right="0" w:rightChars="0" w:firstLine="0" w:firstLineChars="0"/>
              <w:jc w:val="center"/>
              <w:textAlignment w:val="center"/>
              <w:rPr>
                <w:rFonts w:hint="default" w:ascii="宋体" w:hAnsi="宋体" w:cs="宋体"/>
                <w:color w:val="auto"/>
                <w:kern w:val="2"/>
                <w:sz w:val="18"/>
                <w:szCs w:val="18"/>
                <w:highlight w:val="none"/>
              </w:rPr>
            </w:pPr>
            <w:r>
              <w:rPr>
                <w:rFonts w:hint="eastAsia" w:ascii="宋体" w:hAnsi="宋体" w:cs="宋体"/>
                <w:i w:val="0"/>
                <w:iCs w:val="0"/>
                <w:color w:val="auto"/>
                <w:kern w:val="2"/>
                <w:sz w:val="18"/>
                <w:szCs w:val="18"/>
                <w:highlight w:val="none"/>
                <w:u w:val="none"/>
                <w:lang w:val="en-US" w:eastAsia="zh-CN" w:bidi="ar"/>
              </w:rPr>
              <w:t>2</w:t>
            </w:r>
          </w:p>
        </w:tc>
        <w:tc>
          <w:tcPr>
            <w:tcW w:w="1489"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default" w:ascii="宋体" w:hAnsi="宋体"/>
                <w:color w:val="auto"/>
                <w:sz w:val="18"/>
                <w:szCs w:val="21"/>
                <w:highlight w:val="none"/>
                <w:lang w:val="en-US" w:eastAsia="zh-CN"/>
              </w:rPr>
              <w:t>10GBASE-R/SFP+</w:t>
            </w:r>
            <w:r>
              <w:rPr>
                <w:rFonts w:hint="eastAsia" w:ascii="宋体" w:hAnsi="宋体"/>
                <w:color w:val="auto"/>
                <w:sz w:val="18"/>
                <w:szCs w:val="21"/>
                <w:highlight w:val="none"/>
                <w:lang w:val="en-US" w:eastAsia="zh-CN"/>
              </w:rPr>
              <w:t>光接口业务板</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LSU1TGS32SF0</w:t>
            </w:r>
          </w:p>
        </w:tc>
        <w:tc>
          <w:tcPr>
            <w:tcW w:w="1335" w:type="dxa"/>
            <w:vMerge w:val="restart"/>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default" w:ascii="宋体" w:hAnsi="宋体"/>
                <w:color w:val="auto"/>
                <w:sz w:val="18"/>
                <w:szCs w:val="21"/>
                <w:highlight w:val="none"/>
                <w:lang w:val="en-US" w:eastAsia="zh-CN"/>
              </w:rPr>
              <w:t xml:space="preserve">H3C S10506    </w:t>
            </w:r>
            <w:r>
              <w:rPr>
                <w:rFonts w:hint="eastAsia" w:ascii="宋体" w:hAnsi="宋体"/>
                <w:color w:val="auto"/>
                <w:sz w:val="18"/>
                <w:szCs w:val="21"/>
                <w:highlight w:val="none"/>
                <w:lang w:val="en-US" w:eastAsia="zh-CN"/>
              </w:rPr>
              <w:t xml:space="preserve">   以太网交换机</w:t>
            </w: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default" w:ascii="宋体" w:hAnsi="宋体"/>
                <w:color w:val="auto"/>
                <w:sz w:val="18"/>
                <w:szCs w:val="21"/>
                <w:highlight w:val="none"/>
              </w:rPr>
            </w:pPr>
            <w:r>
              <w:rPr>
                <w:rFonts w:hint="eastAsia" w:ascii="宋体" w:hAnsi="宋体"/>
                <w:color w:val="auto"/>
                <w:sz w:val="18"/>
                <w:szCs w:val="21"/>
                <w:highlight w:val="none"/>
              </w:rPr>
              <w:t>设备故障件维修</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bidi="ar"/>
              </w:rPr>
            </w:pPr>
            <w:r>
              <w:rPr>
                <w:rFonts w:hint="eastAsia" w:ascii="宋体" w:hAnsi="宋体" w:eastAsia="宋体" w:cs="Times New Roman"/>
                <w:i w:val="0"/>
                <w:iCs w:val="0"/>
                <w:color w:val="auto"/>
                <w:kern w:val="0"/>
                <w:sz w:val="18"/>
                <w:szCs w:val="21"/>
                <w:highlight w:val="none"/>
                <w:u w:val="none"/>
                <w:lang w:val="en-US" w:eastAsia="zh-CN" w:bidi="ar"/>
              </w:rPr>
              <w:t>块</w:t>
            </w:r>
          </w:p>
        </w:tc>
        <w:tc>
          <w:tcPr>
            <w:tcW w:w="91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eastAsia="宋体" w:cs="Times New Roman"/>
                <w:i w:val="0"/>
                <w:iCs w:val="0"/>
                <w:color w:val="auto"/>
                <w:kern w:val="0"/>
                <w:sz w:val="18"/>
                <w:szCs w:val="21"/>
                <w:highlight w:val="none"/>
                <w:u w:val="none"/>
                <w:lang w:val="en-US" w:eastAsia="zh-CN" w:bidi="ar"/>
              </w:rPr>
              <w:t>1</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ind w:left="0" w:leftChars="0" w:right="0" w:rightChars="0" w:firstLine="0" w:firstLineChars="0"/>
              <w:jc w:val="center"/>
              <w:textAlignment w:val="center"/>
              <w:rPr>
                <w:rFonts w:hint="default" w:ascii="宋体" w:hAnsi="宋体" w:cs="宋体"/>
                <w:color w:val="auto"/>
                <w:kern w:val="2"/>
                <w:sz w:val="18"/>
                <w:szCs w:val="18"/>
                <w:highlight w:val="none"/>
              </w:rPr>
            </w:pPr>
            <w:r>
              <w:rPr>
                <w:rFonts w:hint="eastAsia" w:ascii="宋体" w:hAnsi="宋体" w:cs="宋体"/>
                <w:i w:val="0"/>
                <w:iCs w:val="0"/>
                <w:color w:val="auto"/>
                <w:kern w:val="2"/>
                <w:sz w:val="18"/>
                <w:szCs w:val="18"/>
                <w:highlight w:val="none"/>
                <w:u w:val="none"/>
                <w:lang w:val="en-US" w:eastAsia="zh-CN" w:bidi="ar"/>
              </w:rPr>
              <w:t>3</w:t>
            </w:r>
          </w:p>
        </w:tc>
        <w:tc>
          <w:tcPr>
            <w:tcW w:w="1489"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default" w:ascii="宋体" w:hAnsi="宋体"/>
                <w:color w:val="auto"/>
                <w:sz w:val="18"/>
                <w:szCs w:val="21"/>
                <w:highlight w:val="none"/>
                <w:lang w:val="en-US" w:eastAsia="zh-CN"/>
              </w:rPr>
              <w:t>10/100/1000BASE-T-RJ45</w:t>
            </w:r>
            <w:r>
              <w:rPr>
                <w:rFonts w:hint="eastAsia" w:ascii="宋体" w:hAnsi="宋体"/>
                <w:color w:val="auto"/>
                <w:sz w:val="18"/>
                <w:szCs w:val="21"/>
                <w:highlight w:val="none"/>
                <w:lang w:val="en-US" w:eastAsia="zh-CN"/>
              </w:rPr>
              <w:t>电接口业务板</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LSUM2GT48SE0</w:t>
            </w:r>
          </w:p>
        </w:tc>
        <w:tc>
          <w:tcPr>
            <w:tcW w:w="1335" w:type="dxa"/>
            <w:vMerge w:val="continue"/>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default" w:ascii="宋体" w:hAnsi="宋体"/>
                <w:color w:val="auto"/>
                <w:sz w:val="18"/>
                <w:szCs w:val="21"/>
                <w:highlight w:val="none"/>
              </w:rPr>
            </w:pPr>
            <w:r>
              <w:rPr>
                <w:rFonts w:hint="eastAsia" w:ascii="宋体" w:hAnsi="宋体"/>
                <w:color w:val="auto"/>
                <w:sz w:val="18"/>
                <w:szCs w:val="21"/>
                <w:highlight w:val="none"/>
              </w:rPr>
              <w:t>设备故障件维修</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bidi="ar"/>
              </w:rPr>
            </w:pPr>
            <w:r>
              <w:rPr>
                <w:rFonts w:hint="eastAsia" w:ascii="宋体" w:hAnsi="宋体" w:eastAsia="宋体" w:cs="Times New Roman"/>
                <w:i w:val="0"/>
                <w:iCs w:val="0"/>
                <w:color w:val="auto"/>
                <w:kern w:val="0"/>
                <w:sz w:val="18"/>
                <w:szCs w:val="21"/>
                <w:highlight w:val="none"/>
                <w:u w:val="none"/>
                <w:lang w:val="en-US" w:eastAsia="zh-CN" w:bidi="ar"/>
              </w:rPr>
              <w:t>块</w:t>
            </w:r>
          </w:p>
        </w:tc>
        <w:tc>
          <w:tcPr>
            <w:tcW w:w="91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cs="Times New Roman"/>
                <w:i w:val="0"/>
                <w:iCs w:val="0"/>
                <w:color w:val="auto"/>
                <w:kern w:val="0"/>
                <w:sz w:val="18"/>
                <w:szCs w:val="21"/>
                <w:highlight w:val="none"/>
                <w:u w:val="none"/>
                <w:lang w:val="en-US" w:eastAsia="zh-CN" w:bidi="ar"/>
              </w:rPr>
              <w:t>1</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ind w:left="0" w:leftChars="0" w:right="0" w:rightChars="0" w:firstLine="0" w:firstLineChars="0"/>
              <w:jc w:val="center"/>
              <w:textAlignment w:val="center"/>
              <w:rPr>
                <w:rFonts w:hint="default" w:ascii="宋体" w:hAnsi="宋体" w:cs="宋体"/>
                <w:color w:val="auto"/>
                <w:kern w:val="2"/>
                <w:sz w:val="18"/>
                <w:szCs w:val="18"/>
                <w:highlight w:val="none"/>
              </w:rPr>
            </w:pPr>
            <w:r>
              <w:rPr>
                <w:rFonts w:hint="eastAsia" w:ascii="宋体" w:hAnsi="宋体" w:cs="宋体"/>
                <w:i w:val="0"/>
                <w:iCs w:val="0"/>
                <w:color w:val="auto"/>
                <w:kern w:val="2"/>
                <w:sz w:val="18"/>
                <w:szCs w:val="18"/>
                <w:highlight w:val="none"/>
                <w:u w:val="none"/>
                <w:lang w:val="en-US" w:eastAsia="zh-CN" w:bidi="ar"/>
              </w:rPr>
              <w:t>4</w:t>
            </w:r>
          </w:p>
        </w:tc>
        <w:tc>
          <w:tcPr>
            <w:tcW w:w="1489"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交换网板</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LSUM1FAB06C0</w:t>
            </w:r>
          </w:p>
        </w:tc>
        <w:tc>
          <w:tcPr>
            <w:tcW w:w="1335" w:type="dxa"/>
            <w:vMerge w:val="continue"/>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default" w:ascii="宋体" w:hAnsi="宋体"/>
                <w:color w:val="auto"/>
                <w:sz w:val="18"/>
                <w:szCs w:val="21"/>
                <w:highlight w:val="none"/>
              </w:rPr>
            </w:pPr>
            <w:r>
              <w:rPr>
                <w:rFonts w:hint="eastAsia" w:ascii="宋体" w:hAnsi="宋体"/>
                <w:color w:val="auto"/>
                <w:sz w:val="18"/>
                <w:szCs w:val="21"/>
                <w:highlight w:val="none"/>
              </w:rPr>
              <w:t>设备故障件维修</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bidi="ar"/>
              </w:rPr>
            </w:pPr>
            <w:r>
              <w:rPr>
                <w:rFonts w:hint="eastAsia" w:ascii="宋体" w:hAnsi="宋体" w:eastAsia="宋体" w:cs="Times New Roman"/>
                <w:i w:val="0"/>
                <w:iCs w:val="0"/>
                <w:color w:val="auto"/>
                <w:kern w:val="0"/>
                <w:sz w:val="18"/>
                <w:szCs w:val="21"/>
                <w:highlight w:val="none"/>
                <w:u w:val="none"/>
                <w:lang w:val="en-US" w:eastAsia="zh-CN" w:bidi="ar"/>
              </w:rPr>
              <w:t>块</w:t>
            </w:r>
          </w:p>
        </w:tc>
        <w:tc>
          <w:tcPr>
            <w:tcW w:w="91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eastAsia="宋体" w:cs="Times New Roman"/>
                <w:i w:val="0"/>
                <w:iCs w:val="0"/>
                <w:color w:val="auto"/>
                <w:kern w:val="0"/>
                <w:sz w:val="18"/>
                <w:szCs w:val="21"/>
                <w:highlight w:val="none"/>
                <w:u w:val="none"/>
                <w:lang w:val="en-US" w:eastAsia="zh-CN" w:bidi="ar"/>
              </w:rPr>
              <w:t>1</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rPr>
                <w:rFonts w:hint="default"/>
                <w:color w:val="auto"/>
                <w:sz w:val="18"/>
                <w:szCs w:val="18"/>
              </w:rPr>
            </w:pPr>
          </w:p>
          <w:p>
            <w:pPr>
              <w:keepNext w:val="0"/>
              <w:keepLines w:val="0"/>
              <w:widowControl/>
              <w:suppressLineNumbers w:val="0"/>
              <w:spacing w:beforeAutospacing="0"/>
              <w:ind w:left="0" w:right="0" w:firstLine="0"/>
              <w:jc w:val="center"/>
              <w:textAlignment w:val="center"/>
              <w:rPr>
                <w:rFonts w:hint="default" w:ascii="宋体" w:hAnsi="宋体" w:eastAsia="宋体" w:cs="宋体"/>
                <w:color w:val="auto"/>
                <w:kern w:val="2"/>
                <w:sz w:val="18"/>
                <w:szCs w:val="18"/>
                <w:highlight w:val="none"/>
                <w:u w:val="none"/>
                <w:lang w:val="en-US" w:eastAsia="zh-CN" w:bidi="ar"/>
              </w:rPr>
            </w:pPr>
            <w:r>
              <w:rPr>
                <w:rFonts w:hint="eastAsia" w:ascii="宋体" w:hAnsi="宋体" w:cs="宋体"/>
                <w:color w:val="auto"/>
                <w:kern w:val="2"/>
                <w:sz w:val="18"/>
                <w:szCs w:val="18"/>
                <w:highlight w:val="none"/>
                <w:u w:val="none"/>
                <w:lang w:val="en-US" w:eastAsia="zh-CN" w:bidi="ar"/>
              </w:rPr>
              <w:t>5</w:t>
            </w:r>
          </w:p>
          <w:p>
            <w:pPr>
              <w:keepNext w:val="0"/>
              <w:keepLines w:val="0"/>
              <w:widowControl/>
              <w:suppressLineNumbers w:val="0"/>
              <w:spacing w:beforeAutospacing="0"/>
              <w:ind w:left="0" w:leftChars="0" w:right="0" w:rightChars="0" w:firstLine="0" w:firstLineChars="0"/>
              <w:jc w:val="both"/>
              <w:textAlignment w:val="center"/>
              <w:rPr>
                <w:rFonts w:hint="default" w:ascii="宋体" w:hAnsi="宋体" w:cs="宋体"/>
                <w:color w:val="auto"/>
                <w:kern w:val="2"/>
                <w:sz w:val="18"/>
                <w:szCs w:val="18"/>
                <w:highlight w:val="none"/>
              </w:rPr>
            </w:pPr>
          </w:p>
        </w:tc>
        <w:tc>
          <w:tcPr>
            <w:tcW w:w="1489"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交换网板</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LSU1FAB08B0</w:t>
            </w:r>
          </w:p>
        </w:tc>
        <w:tc>
          <w:tcPr>
            <w:tcW w:w="1335"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H3C S10508       以太网交换机</w:t>
            </w: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default" w:ascii="宋体" w:hAnsi="宋体"/>
                <w:color w:val="auto"/>
                <w:sz w:val="18"/>
                <w:szCs w:val="21"/>
                <w:highlight w:val="none"/>
              </w:rPr>
            </w:pPr>
            <w:r>
              <w:rPr>
                <w:rFonts w:hint="eastAsia" w:ascii="宋体" w:hAnsi="宋体"/>
                <w:color w:val="auto"/>
                <w:sz w:val="18"/>
                <w:szCs w:val="21"/>
                <w:highlight w:val="none"/>
              </w:rPr>
              <w:t>设备故障件维修</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bidi="ar"/>
              </w:rPr>
            </w:pPr>
            <w:r>
              <w:rPr>
                <w:rFonts w:hint="eastAsia" w:ascii="宋体" w:hAnsi="宋体" w:eastAsia="宋体" w:cs="Times New Roman"/>
                <w:i w:val="0"/>
                <w:iCs w:val="0"/>
                <w:color w:val="auto"/>
                <w:kern w:val="0"/>
                <w:sz w:val="18"/>
                <w:szCs w:val="21"/>
                <w:highlight w:val="none"/>
                <w:u w:val="none"/>
                <w:lang w:val="en-US" w:eastAsia="zh-CN" w:bidi="ar"/>
              </w:rPr>
              <w:t>块</w:t>
            </w:r>
          </w:p>
        </w:tc>
        <w:tc>
          <w:tcPr>
            <w:tcW w:w="91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eastAsia="宋体" w:cs="Times New Roman"/>
                <w:i w:val="0"/>
                <w:iCs w:val="0"/>
                <w:color w:val="auto"/>
                <w:kern w:val="0"/>
                <w:sz w:val="18"/>
                <w:szCs w:val="21"/>
                <w:highlight w:val="none"/>
                <w:u w:val="none"/>
                <w:lang w:val="en-US" w:eastAsia="zh-CN" w:bidi="ar"/>
              </w:rPr>
              <w:t>1</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rPr>
                <w:rFonts w:hint="default"/>
                <w:color w:val="auto"/>
                <w:sz w:val="18"/>
                <w:szCs w:val="18"/>
              </w:rPr>
            </w:pPr>
          </w:p>
          <w:p>
            <w:pPr>
              <w:keepNext w:val="0"/>
              <w:keepLines w:val="0"/>
              <w:widowControl/>
              <w:suppressLineNumbers w:val="0"/>
              <w:spacing w:beforeAutospacing="0"/>
              <w:ind w:left="0" w:leftChars="0" w:right="0" w:rightChars="0" w:firstLine="0" w:firstLineChars="0"/>
              <w:jc w:val="center"/>
              <w:textAlignment w:val="center"/>
              <w:rPr>
                <w:rFonts w:hint="default" w:ascii="宋体" w:hAnsi="宋体" w:cs="宋体"/>
                <w:color w:val="auto"/>
                <w:kern w:val="2"/>
                <w:sz w:val="18"/>
                <w:szCs w:val="18"/>
                <w:highlight w:val="none"/>
              </w:rPr>
            </w:pPr>
            <w:r>
              <w:rPr>
                <w:rFonts w:hint="eastAsia" w:ascii="宋体" w:hAnsi="宋体" w:cs="宋体"/>
                <w:i w:val="0"/>
                <w:iCs w:val="0"/>
                <w:color w:val="auto"/>
                <w:kern w:val="2"/>
                <w:sz w:val="18"/>
                <w:szCs w:val="18"/>
                <w:highlight w:val="none"/>
                <w:u w:val="none"/>
                <w:lang w:val="en-US" w:eastAsia="zh-CN" w:bidi="ar"/>
              </w:rPr>
              <w:t>6</w:t>
            </w:r>
          </w:p>
        </w:tc>
        <w:tc>
          <w:tcPr>
            <w:tcW w:w="1489"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48端口千兆SFP接口以太网业务板</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ET1D2G48SX1E</w:t>
            </w:r>
          </w:p>
        </w:tc>
        <w:tc>
          <w:tcPr>
            <w:tcW w:w="1335"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华为 S12708      以太网交换机</w:t>
            </w: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default" w:ascii="宋体" w:hAnsi="宋体"/>
                <w:color w:val="auto"/>
                <w:sz w:val="18"/>
                <w:szCs w:val="21"/>
                <w:highlight w:val="none"/>
              </w:rPr>
            </w:pPr>
            <w:r>
              <w:rPr>
                <w:rFonts w:hint="eastAsia" w:ascii="宋体" w:hAnsi="宋体"/>
                <w:color w:val="auto"/>
                <w:sz w:val="18"/>
                <w:szCs w:val="21"/>
                <w:highlight w:val="none"/>
              </w:rPr>
              <w:t>设备故障件维修</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bidi="ar"/>
              </w:rPr>
            </w:pPr>
            <w:r>
              <w:rPr>
                <w:rFonts w:hint="eastAsia" w:ascii="宋体" w:hAnsi="宋体" w:eastAsia="宋体" w:cs="Times New Roman"/>
                <w:i w:val="0"/>
                <w:iCs w:val="0"/>
                <w:color w:val="auto"/>
                <w:kern w:val="0"/>
                <w:sz w:val="18"/>
                <w:szCs w:val="21"/>
                <w:highlight w:val="none"/>
                <w:u w:val="none"/>
                <w:lang w:val="en-US" w:eastAsia="zh-CN" w:bidi="ar"/>
              </w:rPr>
              <w:t>块</w:t>
            </w:r>
          </w:p>
        </w:tc>
        <w:tc>
          <w:tcPr>
            <w:tcW w:w="91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eastAsia="宋体" w:cs="Times New Roman"/>
                <w:i w:val="0"/>
                <w:iCs w:val="0"/>
                <w:color w:val="auto"/>
                <w:kern w:val="0"/>
                <w:sz w:val="18"/>
                <w:szCs w:val="21"/>
                <w:highlight w:val="none"/>
                <w:u w:val="none"/>
                <w:lang w:val="en-US" w:eastAsia="zh-CN" w:bidi="ar"/>
              </w:rPr>
              <w:t>1</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ind w:left="0" w:leftChars="0" w:right="0" w:rightChars="0" w:firstLine="0" w:firstLineChars="0"/>
              <w:jc w:val="center"/>
              <w:textAlignment w:val="center"/>
              <w:rPr>
                <w:rFonts w:hint="default" w:ascii="宋体" w:hAnsi="宋体" w:cs="宋体"/>
                <w:color w:val="auto"/>
                <w:kern w:val="2"/>
                <w:sz w:val="18"/>
                <w:szCs w:val="18"/>
                <w:highlight w:val="none"/>
              </w:rPr>
            </w:pPr>
            <w:r>
              <w:rPr>
                <w:rFonts w:hint="eastAsia" w:ascii="宋体" w:hAnsi="宋体" w:cs="宋体"/>
                <w:i w:val="0"/>
                <w:iCs w:val="0"/>
                <w:color w:val="auto"/>
                <w:kern w:val="2"/>
                <w:sz w:val="18"/>
                <w:szCs w:val="18"/>
                <w:highlight w:val="none"/>
                <w:u w:val="none"/>
                <w:lang w:val="en-US" w:eastAsia="zh-CN" w:bidi="ar"/>
              </w:rPr>
              <w:t>7</w:t>
            </w:r>
          </w:p>
        </w:tc>
        <w:tc>
          <w:tcPr>
            <w:tcW w:w="1489"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16端口万兆光接口业务板</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h1xf16a</w:t>
            </w:r>
          </w:p>
        </w:tc>
        <w:tc>
          <w:tcPr>
            <w:tcW w:w="1335"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中兴</w:t>
            </w:r>
            <w:r>
              <w:rPr>
                <w:rFonts w:hint="default" w:ascii="宋体" w:hAnsi="宋体"/>
                <w:color w:val="auto"/>
                <w:sz w:val="18"/>
                <w:szCs w:val="21"/>
                <w:highlight w:val="none"/>
                <w:lang w:val="en-US" w:eastAsia="zh-CN"/>
              </w:rPr>
              <w:t xml:space="preserve"> 8908E   </w:t>
            </w:r>
            <w:r>
              <w:rPr>
                <w:rFonts w:hint="eastAsia" w:ascii="宋体" w:hAnsi="宋体"/>
                <w:color w:val="auto"/>
                <w:sz w:val="18"/>
                <w:szCs w:val="21"/>
                <w:highlight w:val="none"/>
                <w:lang w:val="en-US" w:eastAsia="zh-CN"/>
              </w:rPr>
              <w:t xml:space="preserve">    以太网交换机</w:t>
            </w: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default" w:ascii="宋体" w:hAnsi="宋体"/>
                <w:color w:val="auto"/>
                <w:sz w:val="18"/>
                <w:szCs w:val="21"/>
                <w:highlight w:val="none"/>
              </w:rPr>
            </w:pPr>
            <w:r>
              <w:rPr>
                <w:rFonts w:hint="eastAsia" w:ascii="宋体" w:hAnsi="宋体"/>
                <w:color w:val="auto"/>
                <w:sz w:val="18"/>
                <w:szCs w:val="21"/>
                <w:highlight w:val="none"/>
              </w:rPr>
              <w:t>设备故障件维修</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bidi="ar"/>
              </w:rPr>
            </w:pPr>
            <w:r>
              <w:rPr>
                <w:rFonts w:hint="eastAsia" w:ascii="宋体" w:hAnsi="宋体" w:eastAsia="宋体" w:cs="Times New Roman"/>
                <w:i w:val="0"/>
                <w:iCs w:val="0"/>
                <w:color w:val="auto"/>
                <w:kern w:val="0"/>
                <w:sz w:val="18"/>
                <w:szCs w:val="21"/>
                <w:highlight w:val="none"/>
                <w:u w:val="none"/>
                <w:lang w:val="en-US" w:eastAsia="zh-CN" w:bidi="ar"/>
              </w:rPr>
              <w:t>块</w:t>
            </w:r>
          </w:p>
        </w:tc>
        <w:tc>
          <w:tcPr>
            <w:tcW w:w="91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eastAsia="宋体" w:cs="Times New Roman"/>
                <w:i w:val="0"/>
                <w:iCs w:val="0"/>
                <w:color w:val="auto"/>
                <w:kern w:val="0"/>
                <w:sz w:val="18"/>
                <w:szCs w:val="21"/>
                <w:highlight w:val="none"/>
                <w:u w:val="none"/>
                <w:lang w:val="en-US" w:eastAsia="zh-CN" w:bidi="ar"/>
              </w:rPr>
              <w:t>1</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ind w:left="0" w:leftChars="0" w:right="0" w:rightChars="0" w:firstLine="0" w:firstLineChars="0"/>
              <w:jc w:val="center"/>
              <w:textAlignment w:val="center"/>
              <w:rPr>
                <w:rFonts w:hint="default" w:ascii="宋体" w:hAnsi="宋体" w:cs="宋体"/>
                <w:color w:val="auto"/>
                <w:kern w:val="2"/>
                <w:sz w:val="18"/>
                <w:szCs w:val="18"/>
                <w:highlight w:val="none"/>
              </w:rPr>
            </w:pPr>
            <w:r>
              <w:rPr>
                <w:rFonts w:hint="eastAsia" w:ascii="宋体" w:hAnsi="宋体" w:cs="宋体"/>
                <w:i w:val="0"/>
                <w:iCs w:val="0"/>
                <w:color w:val="auto"/>
                <w:kern w:val="2"/>
                <w:sz w:val="18"/>
                <w:szCs w:val="18"/>
                <w:highlight w:val="none"/>
                <w:u w:val="none"/>
                <w:lang w:val="en-US" w:eastAsia="zh-CN" w:bidi="ar"/>
              </w:rPr>
              <w:t>8</w:t>
            </w:r>
          </w:p>
        </w:tc>
        <w:tc>
          <w:tcPr>
            <w:tcW w:w="1489"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H3C S5130 以太网交换机</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H3C S5130</w:t>
            </w:r>
          </w:p>
        </w:tc>
        <w:tc>
          <w:tcPr>
            <w:tcW w:w="1335"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H3C S5130        以太网交换机</w:t>
            </w: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default" w:ascii="宋体" w:hAnsi="宋体"/>
                <w:color w:val="auto"/>
                <w:sz w:val="18"/>
                <w:szCs w:val="21"/>
                <w:highlight w:val="none"/>
              </w:rPr>
            </w:pPr>
            <w:r>
              <w:rPr>
                <w:rFonts w:hint="eastAsia" w:ascii="宋体" w:hAnsi="宋体"/>
                <w:color w:val="auto"/>
                <w:sz w:val="18"/>
                <w:szCs w:val="21"/>
                <w:highlight w:val="none"/>
              </w:rPr>
              <w:t>设备故障件维修</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bidi="ar"/>
              </w:rPr>
            </w:pPr>
            <w:r>
              <w:rPr>
                <w:rFonts w:hint="eastAsia" w:ascii="宋体" w:hAnsi="宋体" w:eastAsia="宋体" w:cs="Times New Roman"/>
                <w:i w:val="0"/>
                <w:iCs w:val="0"/>
                <w:color w:val="auto"/>
                <w:kern w:val="0"/>
                <w:sz w:val="18"/>
                <w:szCs w:val="21"/>
                <w:highlight w:val="none"/>
                <w:u w:val="none"/>
                <w:lang w:val="en-US" w:eastAsia="zh-CN" w:bidi="ar"/>
              </w:rPr>
              <w:t>台</w:t>
            </w:r>
          </w:p>
        </w:tc>
        <w:tc>
          <w:tcPr>
            <w:tcW w:w="91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cs="Times New Roman"/>
                <w:i w:val="0"/>
                <w:iCs w:val="0"/>
                <w:color w:val="auto"/>
                <w:kern w:val="0"/>
                <w:sz w:val="18"/>
                <w:szCs w:val="21"/>
                <w:highlight w:val="none"/>
                <w:u w:val="none"/>
                <w:lang w:val="en-US" w:eastAsia="zh-CN" w:bidi="ar"/>
              </w:rPr>
              <w:t>6</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ind w:left="0" w:leftChars="0" w:right="0" w:rightChars="0" w:firstLine="0" w:firstLineChars="0"/>
              <w:jc w:val="center"/>
              <w:textAlignment w:val="center"/>
              <w:rPr>
                <w:rFonts w:hint="default" w:ascii="宋体" w:hAnsi="宋体" w:cs="宋体"/>
                <w:color w:val="auto"/>
                <w:kern w:val="2"/>
                <w:sz w:val="18"/>
                <w:szCs w:val="18"/>
                <w:highlight w:val="none"/>
              </w:rPr>
            </w:pPr>
            <w:r>
              <w:rPr>
                <w:rFonts w:hint="eastAsia" w:ascii="宋体" w:hAnsi="宋体" w:cs="宋体"/>
                <w:i w:val="0"/>
                <w:iCs w:val="0"/>
                <w:color w:val="auto"/>
                <w:kern w:val="2"/>
                <w:sz w:val="18"/>
                <w:szCs w:val="18"/>
                <w:highlight w:val="none"/>
                <w:u w:val="none"/>
                <w:lang w:val="en-US" w:eastAsia="zh-CN" w:bidi="ar"/>
              </w:rPr>
              <w:t>9</w:t>
            </w:r>
          </w:p>
        </w:tc>
        <w:tc>
          <w:tcPr>
            <w:tcW w:w="1489"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H3C S5560 以太网交换机</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H3C S5560</w:t>
            </w:r>
          </w:p>
        </w:tc>
        <w:tc>
          <w:tcPr>
            <w:tcW w:w="1335"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H3C S5560        以太网交换机</w:t>
            </w: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default" w:ascii="宋体" w:hAnsi="宋体"/>
                <w:color w:val="auto"/>
                <w:sz w:val="18"/>
                <w:szCs w:val="21"/>
                <w:highlight w:val="none"/>
              </w:rPr>
            </w:pPr>
            <w:r>
              <w:rPr>
                <w:rFonts w:hint="eastAsia" w:ascii="宋体" w:hAnsi="宋体"/>
                <w:color w:val="auto"/>
                <w:sz w:val="18"/>
                <w:szCs w:val="21"/>
                <w:highlight w:val="none"/>
              </w:rPr>
              <w:t>设备故障件维修</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bidi="ar"/>
              </w:rPr>
            </w:pPr>
            <w:r>
              <w:rPr>
                <w:rFonts w:hint="eastAsia" w:ascii="宋体" w:hAnsi="宋体" w:eastAsia="宋体" w:cs="Times New Roman"/>
                <w:i w:val="0"/>
                <w:iCs w:val="0"/>
                <w:color w:val="auto"/>
                <w:kern w:val="0"/>
                <w:sz w:val="18"/>
                <w:szCs w:val="21"/>
                <w:highlight w:val="none"/>
                <w:u w:val="none"/>
                <w:lang w:val="en-US" w:eastAsia="zh-CN" w:bidi="ar"/>
              </w:rPr>
              <w:t>台</w:t>
            </w:r>
          </w:p>
        </w:tc>
        <w:tc>
          <w:tcPr>
            <w:tcW w:w="91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cs="Times New Roman"/>
                <w:i w:val="0"/>
                <w:iCs w:val="0"/>
                <w:color w:val="auto"/>
                <w:kern w:val="0"/>
                <w:sz w:val="18"/>
                <w:szCs w:val="21"/>
                <w:highlight w:val="none"/>
                <w:u w:val="none"/>
                <w:lang w:val="en-US" w:eastAsia="zh-CN" w:bidi="ar"/>
              </w:rPr>
              <w:t>3</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ind w:left="0" w:leftChars="0" w:right="0" w:rightChars="0" w:firstLine="0" w:firstLineChars="0"/>
              <w:jc w:val="center"/>
              <w:textAlignment w:val="center"/>
              <w:rPr>
                <w:rFonts w:hint="default" w:ascii="宋体" w:hAnsi="宋体" w:cs="宋体"/>
                <w:color w:val="auto"/>
                <w:kern w:val="2"/>
                <w:sz w:val="18"/>
                <w:szCs w:val="18"/>
                <w:highlight w:val="none"/>
                <w:lang w:val="en-US"/>
              </w:rPr>
            </w:pPr>
            <w:r>
              <w:rPr>
                <w:rFonts w:hint="eastAsia" w:ascii="宋体" w:hAnsi="宋体" w:cs="宋体"/>
                <w:i w:val="0"/>
                <w:iCs w:val="0"/>
                <w:color w:val="auto"/>
                <w:kern w:val="2"/>
                <w:sz w:val="18"/>
                <w:szCs w:val="18"/>
                <w:highlight w:val="none"/>
                <w:u w:val="none"/>
                <w:lang w:val="en-US" w:eastAsia="zh-CN" w:bidi="ar"/>
              </w:rPr>
              <w:t>10</w:t>
            </w:r>
          </w:p>
        </w:tc>
        <w:tc>
          <w:tcPr>
            <w:tcW w:w="1489"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华为S5720 以太网交换机</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华为S5720</w:t>
            </w:r>
          </w:p>
        </w:tc>
        <w:tc>
          <w:tcPr>
            <w:tcW w:w="1335"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华为S5720        以太网交换机</w:t>
            </w: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default" w:ascii="宋体" w:hAnsi="宋体"/>
                <w:color w:val="auto"/>
                <w:sz w:val="18"/>
                <w:szCs w:val="21"/>
                <w:highlight w:val="none"/>
              </w:rPr>
            </w:pPr>
            <w:r>
              <w:rPr>
                <w:rFonts w:hint="eastAsia" w:ascii="宋体" w:hAnsi="宋体"/>
                <w:color w:val="auto"/>
                <w:sz w:val="18"/>
                <w:szCs w:val="21"/>
                <w:highlight w:val="none"/>
              </w:rPr>
              <w:t>设备故障件维修</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bidi="ar"/>
              </w:rPr>
            </w:pPr>
            <w:r>
              <w:rPr>
                <w:rFonts w:hint="eastAsia" w:ascii="宋体" w:hAnsi="宋体" w:eastAsia="宋体" w:cs="Times New Roman"/>
                <w:i w:val="0"/>
                <w:iCs w:val="0"/>
                <w:color w:val="auto"/>
                <w:kern w:val="0"/>
                <w:sz w:val="18"/>
                <w:szCs w:val="21"/>
                <w:highlight w:val="none"/>
                <w:u w:val="none"/>
                <w:lang w:val="en-US" w:eastAsia="zh-CN" w:bidi="ar"/>
              </w:rPr>
              <w:t>台</w:t>
            </w:r>
          </w:p>
        </w:tc>
        <w:tc>
          <w:tcPr>
            <w:tcW w:w="91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cs="Times New Roman"/>
                <w:i w:val="0"/>
                <w:iCs w:val="0"/>
                <w:color w:val="auto"/>
                <w:kern w:val="0"/>
                <w:sz w:val="18"/>
                <w:szCs w:val="21"/>
                <w:highlight w:val="none"/>
                <w:u w:val="none"/>
                <w:lang w:val="en-US" w:eastAsia="zh-CN" w:bidi="ar"/>
              </w:rPr>
              <w:t>1</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ind w:left="0" w:leftChars="0" w:right="0" w:rightChars="0" w:firstLine="0" w:firstLineChars="0"/>
              <w:jc w:val="center"/>
              <w:textAlignment w:val="center"/>
              <w:rPr>
                <w:rFonts w:hint="default" w:ascii="宋体" w:hAnsi="宋体" w:cs="宋体"/>
                <w:color w:val="auto"/>
                <w:kern w:val="2"/>
                <w:sz w:val="18"/>
                <w:szCs w:val="18"/>
                <w:highlight w:val="none"/>
                <w:lang w:val="en-US"/>
              </w:rPr>
            </w:pPr>
            <w:r>
              <w:rPr>
                <w:rFonts w:hint="eastAsia" w:ascii="宋体" w:hAnsi="宋体" w:cs="宋体"/>
                <w:i w:val="0"/>
                <w:iCs w:val="0"/>
                <w:color w:val="auto"/>
                <w:kern w:val="2"/>
                <w:sz w:val="18"/>
                <w:szCs w:val="18"/>
                <w:highlight w:val="none"/>
                <w:u w:val="none"/>
                <w:lang w:val="en-US" w:eastAsia="zh-CN" w:bidi="ar"/>
              </w:rPr>
              <w:t>11</w:t>
            </w:r>
          </w:p>
        </w:tc>
        <w:tc>
          <w:tcPr>
            <w:tcW w:w="1489"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中兴5950 以太网交换机</w:t>
            </w:r>
          </w:p>
        </w:tc>
        <w:tc>
          <w:tcPr>
            <w:tcW w:w="1820" w:type="dxa"/>
            <w:vAlign w:val="center"/>
          </w:tcPr>
          <w:p>
            <w:pPr>
              <w:keepNext w:val="0"/>
              <w:keepLines w:val="0"/>
              <w:widowControl/>
              <w:suppressLineNumbers w:val="0"/>
              <w:spacing w:beforeAutospacing="0"/>
              <w:ind w:left="0" w:right="0" w:firstLine="0"/>
              <w:jc w:val="center"/>
              <w:textAlignment w:val="center"/>
              <w:rPr>
                <w:rFonts w:hint="eastAsia" w:ascii="宋体" w:hAnsi="宋体"/>
                <w:color w:val="auto"/>
                <w:sz w:val="18"/>
                <w:szCs w:val="21"/>
                <w:highlight w:val="none"/>
                <w:lang w:val="en-US" w:eastAsia="zh-CN"/>
              </w:rPr>
            </w:pPr>
            <w:r>
              <w:rPr>
                <w:rFonts w:hint="default" w:ascii="宋体" w:hAnsi="宋体"/>
                <w:color w:val="auto"/>
                <w:sz w:val="18"/>
                <w:szCs w:val="21"/>
                <w:highlight w:val="none"/>
                <w:lang w:val="en-US" w:eastAsia="zh-CN"/>
              </w:rPr>
              <w:t>中兴5950</w:t>
            </w:r>
          </w:p>
        </w:tc>
        <w:tc>
          <w:tcPr>
            <w:tcW w:w="1335" w:type="dxa"/>
            <w:vAlign w:val="center"/>
          </w:tcPr>
          <w:p>
            <w:pPr>
              <w:keepNext w:val="0"/>
              <w:keepLines w:val="0"/>
              <w:widowControl/>
              <w:suppressLineNumbers w:val="0"/>
              <w:spacing w:beforeAutospacing="0"/>
              <w:ind w:left="0" w:right="0" w:firstLine="0"/>
              <w:jc w:val="center"/>
              <w:textAlignment w:val="center"/>
              <w:rPr>
                <w:rFonts w:hint="default" w:ascii="宋体" w:hAnsi="宋体"/>
                <w:color w:val="auto"/>
                <w:sz w:val="18"/>
                <w:szCs w:val="21"/>
                <w:highlight w:val="none"/>
                <w:lang w:val="en-US" w:eastAsia="zh-CN"/>
              </w:rPr>
            </w:pPr>
            <w:r>
              <w:rPr>
                <w:rFonts w:hint="eastAsia" w:ascii="宋体" w:hAnsi="宋体"/>
                <w:color w:val="auto"/>
                <w:sz w:val="18"/>
                <w:szCs w:val="21"/>
                <w:highlight w:val="none"/>
                <w:lang w:val="en-US" w:eastAsia="zh-CN"/>
              </w:rPr>
              <w:t>中兴5950         以太网交换机</w:t>
            </w: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default" w:ascii="宋体" w:hAnsi="宋体"/>
                <w:color w:val="auto"/>
                <w:sz w:val="18"/>
                <w:szCs w:val="21"/>
                <w:highlight w:val="none"/>
              </w:rPr>
            </w:pPr>
            <w:r>
              <w:rPr>
                <w:rFonts w:hint="eastAsia" w:ascii="宋体" w:hAnsi="宋体"/>
                <w:color w:val="auto"/>
                <w:sz w:val="18"/>
                <w:szCs w:val="21"/>
                <w:highlight w:val="none"/>
              </w:rPr>
              <w:t>设备故障件维修</w:t>
            </w:r>
            <w:r>
              <w:rPr>
                <w:rFonts w:hint="eastAsia" w:ascii="宋体" w:hAnsi="宋体"/>
                <w:color w:val="auto"/>
                <w:sz w:val="18"/>
                <w:szCs w:val="21"/>
                <w:highlight w:val="none"/>
                <w:lang w:eastAsia="zh-CN"/>
              </w:rPr>
              <w:t>。</w:t>
            </w:r>
            <w:r>
              <w:rPr>
                <w:rFonts w:hint="eastAsia" w:ascii="宋体" w:hAnsi="宋体"/>
                <w:color w:val="auto"/>
                <w:sz w:val="18"/>
                <w:szCs w:val="21"/>
                <w:highlight w:val="none"/>
                <w:lang w:val="en-US" w:eastAsia="zh-CN"/>
              </w:rPr>
              <w:t>包含</w:t>
            </w:r>
            <w:r>
              <w:rPr>
                <w:rFonts w:hint="eastAsia" w:ascii="宋体" w:hAnsi="宋体"/>
                <w:color w:val="auto"/>
                <w:sz w:val="18"/>
                <w:szCs w:val="21"/>
                <w:highlight w:val="none"/>
              </w:rPr>
              <w:t>设备故障件免费更换</w:t>
            </w:r>
            <w:r>
              <w:rPr>
                <w:rFonts w:hint="eastAsia" w:ascii="Calibri" w:hAnsi="Calibri" w:eastAsia="宋体" w:cs="Times New Roman"/>
                <w:color w:val="auto"/>
                <w:kern w:val="2"/>
                <w:sz w:val="18"/>
                <w:szCs w:val="18"/>
                <w:highlight w:val="none"/>
                <w:lang w:val="en-US" w:eastAsia="zh-CN"/>
              </w:rPr>
              <w:t>、软件升级、预防性巡检、现场技术支持、应急响应及保障等服务。</w:t>
            </w:r>
          </w:p>
        </w:tc>
        <w:tc>
          <w:tcPr>
            <w:tcW w:w="469"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bidi="ar"/>
              </w:rPr>
            </w:pPr>
            <w:r>
              <w:rPr>
                <w:rFonts w:hint="eastAsia" w:ascii="宋体" w:hAnsi="宋体" w:eastAsia="宋体" w:cs="Times New Roman"/>
                <w:i w:val="0"/>
                <w:iCs w:val="0"/>
                <w:color w:val="auto"/>
                <w:kern w:val="0"/>
                <w:sz w:val="18"/>
                <w:szCs w:val="21"/>
                <w:highlight w:val="none"/>
                <w:u w:val="none"/>
                <w:lang w:val="en-US" w:eastAsia="zh-CN" w:bidi="ar"/>
              </w:rPr>
              <w:t>台</w:t>
            </w:r>
          </w:p>
        </w:tc>
        <w:tc>
          <w:tcPr>
            <w:tcW w:w="91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宋体" w:hAnsi="宋体" w:eastAsia="宋体" w:cs="Times New Roman"/>
                <w:color w:val="auto"/>
                <w:kern w:val="0"/>
                <w:sz w:val="18"/>
                <w:szCs w:val="21"/>
                <w:highlight w:val="none"/>
                <w:u w:val="none"/>
                <w:lang w:val="en-US" w:eastAsia="zh-CN" w:bidi="ar"/>
              </w:rPr>
            </w:pPr>
            <w:r>
              <w:rPr>
                <w:rFonts w:hint="eastAsia" w:ascii="宋体" w:hAnsi="宋体" w:cs="Times New Roman"/>
                <w:i w:val="0"/>
                <w:iCs w:val="0"/>
                <w:color w:val="auto"/>
                <w:kern w:val="0"/>
                <w:sz w:val="18"/>
                <w:szCs w:val="21"/>
                <w:highlight w:val="none"/>
                <w:u w:val="none"/>
                <w:lang w:val="en-US" w:eastAsia="zh-CN" w:bidi="ar"/>
              </w:rPr>
              <w:t>2</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509" w:type="dxa"/>
            <w:gridSpan w:val="7"/>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宋体" w:hAnsi="宋体" w:eastAsia="微软雅黑" w:cs="Times New Roman"/>
                <w:i w:val="0"/>
                <w:iCs w:val="0"/>
                <w:color w:val="auto"/>
                <w:kern w:val="0"/>
                <w:sz w:val="18"/>
                <w:szCs w:val="21"/>
                <w:highlight w:val="none"/>
                <w:u w:val="none"/>
                <w:lang w:val="en-US" w:eastAsia="zh-CN" w:bidi="ar"/>
              </w:rPr>
            </w:pPr>
            <w:r>
              <w:rPr>
                <w:rFonts w:hint="eastAsia" w:ascii="微软雅黑" w:hAnsi="微软雅黑" w:eastAsia="微软雅黑" w:cs="宋体"/>
                <w:b/>
                <w:bCs/>
                <w:color w:val="auto"/>
                <w:kern w:val="2"/>
                <w:sz w:val="16"/>
                <w:szCs w:val="16"/>
                <w:highlight w:val="none"/>
                <w:lang w:bidi="ar"/>
              </w:rPr>
              <w:t>设备故障件维修</w:t>
            </w:r>
            <w:r>
              <w:rPr>
                <w:rFonts w:hint="eastAsia" w:ascii="微软雅黑" w:hAnsi="微软雅黑" w:eastAsia="微软雅黑" w:cs="宋体"/>
                <w:b/>
                <w:bCs/>
                <w:color w:val="auto"/>
                <w:kern w:val="2"/>
                <w:sz w:val="16"/>
                <w:szCs w:val="16"/>
                <w:highlight w:val="none"/>
                <w:lang w:val="en-US" w:eastAsia="zh-CN" w:bidi="ar"/>
              </w:rPr>
              <w:t>合计</w:t>
            </w:r>
          </w:p>
        </w:tc>
        <w:tc>
          <w:tcPr>
            <w:tcW w:w="1367" w:type="dxa"/>
            <w:vAlign w:val="center"/>
          </w:tcPr>
          <w:p>
            <w:pPr>
              <w:keepNext w:val="0"/>
              <w:keepLines w:val="0"/>
              <w:widowControl/>
              <w:suppressLineNumbers w:val="0"/>
              <w:spacing w:before="0" w:beforeAutospacing="0" w:after="0" w:afterAutospacing="0" w:line="320" w:lineRule="exact"/>
              <w:jc w:val="center"/>
              <w:rPr>
                <w:rFonts w:hint="eastAsia" w:ascii="微软雅黑" w:hAnsi="微软雅黑" w:eastAsia="微软雅黑" w:cs="宋体"/>
                <w:color w:val="auto"/>
                <w:kern w:val="2"/>
                <w:sz w:val="16"/>
                <w:szCs w:val="16"/>
                <w:highlight w:val="none"/>
                <w:lang w:val="en-US" w:eastAsia="zh-CN"/>
              </w:rPr>
            </w:pPr>
            <w:r>
              <w:rPr>
                <w:rFonts w:hint="eastAsia" w:ascii="微软雅黑" w:hAnsi="微软雅黑" w:eastAsia="微软雅黑" w:cs="宋体"/>
                <w:color w:val="auto"/>
                <w:kern w:val="2"/>
                <w:sz w:val="16"/>
                <w:szCs w:val="16"/>
                <w:highlight w:val="none"/>
                <w:lang w:val="en-US" w:eastAsia="zh-CN"/>
              </w:rPr>
              <w:t>/</w:t>
            </w: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822" w:type="dxa"/>
            <w:gridSpan w:val="10"/>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r>
              <w:rPr>
                <w:rFonts w:hint="default" w:ascii="微软雅黑" w:hAnsi="微软雅黑" w:eastAsia="微软雅黑" w:cs="宋体"/>
                <w:b/>
                <w:bCs/>
                <w:color w:val="auto"/>
                <w:kern w:val="2"/>
                <w:sz w:val="21"/>
                <w:szCs w:val="21"/>
                <w:highlight w:val="none"/>
              </w:rPr>
              <w:t>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jc w:val="center"/>
              <w:textAlignment w:val="center"/>
              <w:rPr>
                <w:rFonts w:hint="default" w:ascii="宋体" w:hAnsi="宋体" w:eastAsia="宋体" w:cs="宋体"/>
                <w:color w:val="auto"/>
                <w:kern w:val="2"/>
                <w:sz w:val="18"/>
                <w:szCs w:val="18"/>
                <w:highlight w:val="none"/>
                <w:lang w:val="en-US" w:eastAsia="zh-CN"/>
              </w:rPr>
            </w:pPr>
            <w:r>
              <w:rPr>
                <w:rFonts w:hint="eastAsia" w:ascii="宋体" w:hAnsi="宋体" w:cs="宋体"/>
                <w:i w:val="0"/>
                <w:iCs w:val="0"/>
                <w:color w:val="auto"/>
                <w:kern w:val="2"/>
                <w:sz w:val="18"/>
                <w:szCs w:val="18"/>
                <w:highlight w:val="none"/>
                <w:u w:val="none"/>
                <w:lang w:val="en-US" w:eastAsia="zh-CN" w:bidi="ar"/>
              </w:rPr>
              <w:t>12</w:t>
            </w:r>
          </w:p>
        </w:tc>
        <w:tc>
          <w:tcPr>
            <w:tcW w:w="1489" w:type="dxa"/>
            <w:vAlign w:val="center"/>
          </w:tcPr>
          <w:p>
            <w:pPr>
              <w:keepNext w:val="0"/>
              <w:keepLines w:val="0"/>
              <w:widowControl/>
              <w:suppressLineNumbers w:val="0"/>
              <w:spacing w:beforeAutospacing="0"/>
              <w:ind w:left="0" w:leftChars="0" w:right="0" w:rightChars="0" w:firstLine="0" w:firstLineChars="0"/>
              <w:jc w:val="center"/>
              <w:textAlignment w:val="center"/>
              <w:rPr>
                <w:rFonts w:hint="default" w:ascii="Calibri" w:hAnsi="Calibri" w:eastAsia="宋体" w:cs="Times New Roman"/>
                <w:color w:val="auto"/>
                <w:kern w:val="2"/>
                <w:sz w:val="18"/>
                <w:szCs w:val="18"/>
                <w:highlight w:val="none"/>
                <w:u w:val="none"/>
                <w:lang w:val="en-US" w:eastAsia="zh-CN" w:bidi="ar"/>
              </w:rPr>
            </w:pPr>
            <w:r>
              <w:rPr>
                <w:rFonts w:hint="eastAsia" w:ascii="Calibri" w:hAnsi="Calibri" w:eastAsia="宋体" w:cs="Times New Roman"/>
                <w:i w:val="0"/>
                <w:iCs w:val="0"/>
                <w:color w:val="auto"/>
                <w:kern w:val="2"/>
                <w:sz w:val="18"/>
                <w:szCs w:val="18"/>
                <w:highlight w:val="none"/>
                <w:u w:val="none"/>
                <w:lang w:val="en-US" w:eastAsia="zh-CN" w:bidi="ar"/>
              </w:rPr>
              <w:t>核</w:t>
            </w:r>
            <w:r>
              <w:rPr>
                <w:rFonts w:hint="eastAsia" w:ascii="宋体" w:hAnsi="宋体"/>
                <w:color w:val="auto"/>
                <w:sz w:val="18"/>
                <w:szCs w:val="21"/>
                <w:highlight w:val="none"/>
                <w:lang w:val="en-US" w:eastAsia="zh-CN"/>
              </w:rPr>
              <w:t>心交换机现场技术支持服</w:t>
            </w:r>
            <w:r>
              <w:rPr>
                <w:rFonts w:hint="eastAsia" w:ascii="Calibri" w:hAnsi="Calibri" w:eastAsia="宋体" w:cs="Times New Roman"/>
                <w:i w:val="0"/>
                <w:iCs w:val="0"/>
                <w:color w:val="auto"/>
                <w:kern w:val="2"/>
                <w:sz w:val="18"/>
                <w:szCs w:val="18"/>
                <w:highlight w:val="none"/>
                <w:u w:val="none"/>
                <w:lang w:val="en-US" w:eastAsia="zh-CN" w:bidi="ar"/>
              </w:rPr>
              <w:t>务</w:t>
            </w:r>
          </w:p>
        </w:tc>
        <w:tc>
          <w:tcPr>
            <w:tcW w:w="1820" w:type="dxa"/>
            <w:vAlign w:val="center"/>
          </w:tcPr>
          <w:p>
            <w:pPr>
              <w:keepNext w:val="0"/>
              <w:keepLines w:val="0"/>
              <w:widowControl/>
              <w:suppressLineNumbers w:val="0"/>
              <w:spacing w:beforeAutospacing="0"/>
              <w:ind w:left="0" w:right="0" w:firstLine="0"/>
              <w:jc w:val="center"/>
              <w:textAlignment w:val="center"/>
              <w:rPr>
                <w:rFonts w:hint="default" w:ascii="Calibri" w:hAnsi="Calibri"/>
                <w:color w:val="auto"/>
                <w:kern w:val="2"/>
                <w:sz w:val="18"/>
                <w:szCs w:val="18"/>
                <w:highlight w:val="none"/>
                <w:u w:val="none"/>
                <w:lang w:bidi="ar"/>
              </w:rPr>
            </w:pPr>
          </w:p>
        </w:tc>
        <w:tc>
          <w:tcPr>
            <w:tcW w:w="1335" w:type="dxa"/>
            <w:vAlign w:val="center"/>
          </w:tcPr>
          <w:p>
            <w:pPr>
              <w:keepNext w:val="0"/>
              <w:keepLines w:val="0"/>
              <w:widowControl/>
              <w:suppressLineNumbers w:val="0"/>
              <w:spacing w:beforeAutospacing="0"/>
              <w:ind w:left="0" w:right="0" w:firstLine="0"/>
              <w:jc w:val="center"/>
              <w:textAlignment w:val="center"/>
              <w:rPr>
                <w:rFonts w:hint="default" w:ascii="Calibri" w:hAnsi="Calibri"/>
                <w:color w:val="auto"/>
                <w:kern w:val="2"/>
                <w:sz w:val="18"/>
                <w:szCs w:val="18"/>
                <w:highlight w:val="none"/>
                <w:u w:val="none"/>
                <w:lang w:bidi="ar"/>
              </w:rPr>
            </w:pP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default" w:ascii="Calibri" w:hAnsi="Calibri"/>
                <w:color w:val="auto"/>
                <w:kern w:val="2"/>
                <w:sz w:val="18"/>
                <w:szCs w:val="18"/>
                <w:highlight w:val="none"/>
                <w:u w:val="none"/>
                <w:lang w:bidi="ar"/>
              </w:rPr>
            </w:pPr>
            <w:r>
              <w:rPr>
                <w:rFonts w:hint="eastAsia" w:ascii="Calibri" w:hAnsi="Calibri" w:eastAsia="宋体" w:cs="Times New Roman"/>
                <w:i w:val="0"/>
                <w:iCs w:val="0"/>
                <w:color w:val="auto"/>
                <w:kern w:val="2"/>
                <w:sz w:val="18"/>
                <w:szCs w:val="18"/>
                <w:highlight w:val="none"/>
                <w:u w:val="none"/>
                <w:lang w:val="en-US" w:eastAsia="zh-CN" w:bidi="ar"/>
              </w:rPr>
              <w:t>现场故障诊断、故障处理、现场故障件更换等。</w:t>
            </w:r>
          </w:p>
        </w:tc>
        <w:tc>
          <w:tcPr>
            <w:tcW w:w="469" w:type="dxa"/>
            <w:vAlign w:val="center"/>
          </w:tcPr>
          <w:p>
            <w:pPr>
              <w:keepNext w:val="0"/>
              <w:keepLines w:val="0"/>
              <w:widowControl/>
              <w:suppressLineNumbers w:val="0"/>
              <w:spacing w:before="0" w:beforeAutospacing="0" w:after="0" w:afterAutospacing="0" w:line="240" w:lineRule="auto"/>
              <w:ind w:left="0" w:right="0" w:firstLine="0"/>
              <w:jc w:val="left"/>
              <w:textAlignment w:val="center"/>
              <w:rPr>
                <w:rFonts w:hint="default" w:ascii="Calibri" w:hAnsi="Calibri" w:eastAsia="宋体" w:cs="Times New Roman"/>
                <w:color w:val="auto"/>
                <w:kern w:val="2"/>
                <w:sz w:val="18"/>
                <w:szCs w:val="18"/>
                <w:highlight w:val="none"/>
                <w:u w:val="none"/>
                <w:lang w:bidi="ar"/>
              </w:rPr>
            </w:pPr>
            <w:r>
              <w:rPr>
                <w:rFonts w:hint="eastAsia" w:ascii="Calibri" w:hAnsi="Calibri" w:eastAsia="宋体" w:cs="Times New Roman"/>
                <w:i w:val="0"/>
                <w:iCs w:val="0"/>
                <w:color w:val="auto"/>
                <w:kern w:val="2"/>
                <w:sz w:val="18"/>
                <w:szCs w:val="18"/>
                <w:highlight w:val="none"/>
                <w:u w:val="none"/>
                <w:lang w:val="en-US" w:eastAsia="zh-CN" w:bidi="ar"/>
              </w:rPr>
              <w:t>次</w:t>
            </w:r>
          </w:p>
        </w:tc>
        <w:tc>
          <w:tcPr>
            <w:tcW w:w="913" w:type="dxa"/>
            <w:vAlign w:val="center"/>
          </w:tcPr>
          <w:p>
            <w:pPr>
              <w:keepNext w:val="0"/>
              <w:keepLines w:val="0"/>
              <w:widowControl/>
              <w:suppressLineNumbers w:val="0"/>
              <w:spacing w:beforeAutospacing="0"/>
              <w:ind w:left="0" w:right="0" w:firstLine="0"/>
              <w:jc w:val="center"/>
              <w:textAlignment w:val="center"/>
              <w:rPr>
                <w:rFonts w:hint="default" w:ascii="Calibri" w:hAnsi="Calibri" w:eastAsia="宋体" w:cs="Times New Roman"/>
                <w:color w:val="auto"/>
                <w:kern w:val="2"/>
                <w:sz w:val="18"/>
                <w:szCs w:val="18"/>
                <w:highlight w:val="none"/>
                <w:u w:val="none"/>
                <w:lang w:val="en-US" w:eastAsia="zh-CN" w:bidi="ar"/>
              </w:rPr>
            </w:pPr>
            <w:r>
              <w:rPr>
                <w:rFonts w:hint="eastAsia" w:ascii="Calibri" w:hAnsi="Calibri" w:cs="Times New Roman"/>
                <w:i w:val="0"/>
                <w:iCs w:val="0"/>
                <w:color w:val="auto"/>
                <w:kern w:val="2"/>
                <w:sz w:val="18"/>
                <w:szCs w:val="18"/>
                <w:highlight w:val="none"/>
                <w:u w:val="none"/>
                <w:lang w:val="en-US" w:eastAsia="zh-CN" w:bidi="ar"/>
              </w:rPr>
              <w:t>6</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jc w:val="center"/>
              <w:textAlignment w:val="center"/>
              <w:rPr>
                <w:rFonts w:hint="default"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13</w:t>
            </w:r>
          </w:p>
        </w:tc>
        <w:tc>
          <w:tcPr>
            <w:tcW w:w="1489" w:type="dxa"/>
            <w:vAlign w:val="center"/>
          </w:tcPr>
          <w:p>
            <w:pPr>
              <w:keepNext w:val="0"/>
              <w:keepLines w:val="0"/>
              <w:widowControl/>
              <w:suppressLineNumbers w:val="0"/>
              <w:spacing w:beforeAutospacing="0"/>
              <w:ind w:left="0" w:leftChars="0" w:right="0" w:rightChars="0" w:firstLine="0" w:firstLineChars="0"/>
              <w:jc w:val="center"/>
              <w:textAlignment w:val="center"/>
              <w:rPr>
                <w:rFonts w:hint="default" w:ascii="Calibri" w:hAnsi="Calibri" w:eastAsia="宋体" w:cs="Times New Roman"/>
                <w:color w:val="auto"/>
                <w:kern w:val="2"/>
                <w:sz w:val="18"/>
                <w:szCs w:val="18"/>
                <w:highlight w:val="none"/>
                <w:u w:val="none"/>
                <w:lang w:val="en-US" w:eastAsia="zh-CN" w:bidi="ar"/>
              </w:rPr>
            </w:pPr>
            <w:r>
              <w:rPr>
                <w:rFonts w:hint="eastAsia" w:ascii="Calibri" w:hAnsi="Calibri" w:eastAsia="宋体" w:cs="Times New Roman"/>
                <w:i w:val="0"/>
                <w:iCs w:val="0"/>
                <w:color w:val="auto"/>
                <w:kern w:val="2"/>
                <w:sz w:val="18"/>
                <w:szCs w:val="18"/>
                <w:highlight w:val="none"/>
                <w:u w:val="none"/>
                <w:lang w:val="en-US" w:eastAsia="zh-CN" w:bidi="ar"/>
              </w:rPr>
              <w:t>核心交换机版本软件服务</w:t>
            </w:r>
          </w:p>
        </w:tc>
        <w:tc>
          <w:tcPr>
            <w:tcW w:w="1820" w:type="dxa"/>
            <w:vAlign w:val="center"/>
          </w:tcPr>
          <w:p>
            <w:pPr>
              <w:keepNext w:val="0"/>
              <w:keepLines w:val="0"/>
              <w:widowControl/>
              <w:suppressLineNumbers w:val="0"/>
              <w:spacing w:beforeAutospacing="0"/>
              <w:ind w:left="0" w:right="0" w:firstLine="0"/>
              <w:jc w:val="center"/>
              <w:textAlignment w:val="center"/>
              <w:rPr>
                <w:rFonts w:hint="default" w:ascii="Calibri" w:hAnsi="Calibri"/>
                <w:color w:val="auto"/>
                <w:kern w:val="2"/>
                <w:sz w:val="18"/>
                <w:szCs w:val="18"/>
                <w:highlight w:val="none"/>
                <w:u w:val="none"/>
                <w:lang w:bidi="ar"/>
              </w:rPr>
            </w:pPr>
          </w:p>
        </w:tc>
        <w:tc>
          <w:tcPr>
            <w:tcW w:w="1335" w:type="dxa"/>
            <w:vAlign w:val="center"/>
          </w:tcPr>
          <w:p>
            <w:pPr>
              <w:keepNext w:val="0"/>
              <w:keepLines w:val="0"/>
              <w:widowControl/>
              <w:suppressLineNumbers w:val="0"/>
              <w:spacing w:beforeAutospacing="0"/>
              <w:ind w:left="0" w:right="0" w:firstLine="0"/>
              <w:jc w:val="center"/>
              <w:textAlignment w:val="center"/>
              <w:rPr>
                <w:rFonts w:hint="default" w:ascii="Calibri" w:hAnsi="Calibri"/>
                <w:color w:val="auto"/>
                <w:kern w:val="2"/>
                <w:sz w:val="18"/>
                <w:szCs w:val="18"/>
                <w:highlight w:val="none"/>
                <w:u w:val="none"/>
                <w:lang w:bidi="ar"/>
              </w:rPr>
            </w:pP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default" w:ascii="Calibri" w:hAnsi="Calibri"/>
                <w:color w:val="auto"/>
                <w:kern w:val="2"/>
                <w:sz w:val="18"/>
                <w:szCs w:val="18"/>
                <w:highlight w:val="none"/>
                <w:u w:val="none"/>
                <w:lang w:bidi="ar"/>
              </w:rPr>
            </w:pPr>
            <w:r>
              <w:rPr>
                <w:rFonts w:hint="eastAsia" w:ascii="Calibri" w:hAnsi="Calibri" w:eastAsia="宋体" w:cs="Times New Roman"/>
                <w:i w:val="0"/>
                <w:iCs w:val="0"/>
                <w:color w:val="auto"/>
                <w:kern w:val="2"/>
                <w:sz w:val="18"/>
                <w:szCs w:val="18"/>
                <w:highlight w:val="none"/>
                <w:u w:val="none"/>
                <w:lang w:val="en-US" w:eastAsia="zh-CN" w:bidi="ar"/>
              </w:rPr>
              <w:t>每季度至少评估一次在网核心设备的版本运行情况，检查整体网络版本一致性，包括但不限于版本软件启动项一致性和版本软件大小一致性，针对隐患设备提供版本升级服务。</w:t>
            </w:r>
          </w:p>
        </w:tc>
        <w:tc>
          <w:tcPr>
            <w:tcW w:w="469" w:type="dxa"/>
            <w:vAlign w:val="center"/>
          </w:tcPr>
          <w:p>
            <w:pPr>
              <w:keepNext w:val="0"/>
              <w:keepLines w:val="0"/>
              <w:widowControl/>
              <w:suppressLineNumbers w:val="0"/>
              <w:spacing w:before="0" w:beforeAutospacing="0" w:after="0" w:afterAutospacing="0" w:line="240" w:lineRule="auto"/>
              <w:ind w:left="0" w:right="0" w:firstLine="0"/>
              <w:jc w:val="left"/>
              <w:textAlignment w:val="center"/>
              <w:rPr>
                <w:rFonts w:hint="default" w:ascii="Calibri" w:hAnsi="Calibri" w:eastAsia="宋体" w:cs="Times New Roman"/>
                <w:color w:val="auto"/>
                <w:kern w:val="2"/>
                <w:sz w:val="18"/>
                <w:szCs w:val="18"/>
                <w:highlight w:val="none"/>
                <w:u w:val="none"/>
                <w:lang w:bidi="ar"/>
              </w:rPr>
            </w:pPr>
            <w:r>
              <w:rPr>
                <w:rFonts w:hint="eastAsia" w:ascii="Calibri" w:hAnsi="Calibri" w:eastAsia="宋体" w:cs="Times New Roman"/>
                <w:i w:val="0"/>
                <w:iCs w:val="0"/>
                <w:color w:val="auto"/>
                <w:kern w:val="2"/>
                <w:sz w:val="18"/>
                <w:szCs w:val="18"/>
                <w:highlight w:val="none"/>
                <w:u w:val="none"/>
                <w:lang w:val="en-US" w:eastAsia="zh-CN" w:bidi="ar"/>
              </w:rPr>
              <w:t>次</w:t>
            </w:r>
          </w:p>
        </w:tc>
        <w:tc>
          <w:tcPr>
            <w:tcW w:w="913" w:type="dxa"/>
            <w:vAlign w:val="center"/>
          </w:tcPr>
          <w:p>
            <w:pPr>
              <w:keepNext w:val="0"/>
              <w:keepLines w:val="0"/>
              <w:widowControl/>
              <w:suppressLineNumbers w:val="0"/>
              <w:spacing w:beforeAutospacing="0"/>
              <w:ind w:left="0" w:right="0" w:firstLine="0"/>
              <w:jc w:val="center"/>
              <w:textAlignment w:val="center"/>
              <w:rPr>
                <w:rFonts w:hint="default" w:ascii="Calibri" w:hAnsi="Calibri" w:eastAsia="宋体" w:cs="Times New Roman"/>
                <w:color w:val="auto"/>
                <w:kern w:val="2"/>
                <w:sz w:val="18"/>
                <w:szCs w:val="18"/>
                <w:highlight w:val="none"/>
                <w:u w:val="none"/>
                <w:lang w:val="en-US" w:eastAsia="zh-CN" w:bidi="ar"/>
              </w:rPr>
            </w:pPr>
            <w:r>
              <w:rPr>
                <w:rFonts w:hint="eastAsia" w:ascii="Calibri" w:hAnsi="Calibri" w:cs="Times New Roman"/>
                <w:i w:val="0"/>
                <w:iCs w:val="0"/>
                <w:color w:val="auto"/>
                <w:kern w:val="2"/>
                <w:sz w:val="18"/>
                <w:szCs w:val="18"/>
                <w:highlight w:val="none"/>
                <w:u w:val="none"/>
                <w:lang w:val="en-US" w:eastAsia="zh-CN" w:bidi="ar"/>
              </w:rPr>
              <w:t>4</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42" w:type="dxa"/>
            <w:vAlign w:val="center"/>
          </w:tcPr>
          <w:p>
            <w:pPr>
              <w:keepNext w:val="0"/>
              <w:keepLines w:val="0"/>
              <w:widowControl/>
              <w:suppressLineNumbers w:val="0"/>
              <w:spacing w:beforeAutospacing="0"/>
              <w:jc w:val="center"/>
              <w:textAlignment w:val="center"/>
              <w:rPr>
                <w:rFonts w:hint="default"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14</w:t>
            </w:r>
          </w:p>
        </w:tc>
        <w:tc>
          <w:tcPr>
            <w:tcW w:w="1489" w:type="dxa"/>
            <w:vAlign w:val="center"/>
          </w:tcPr>
          <w:p>
            <w:pPr>
              <w:keepNext w:val="0"/>
              <w:keepLines w:val="0"/>
              <w:widowControl/>
              <w:suppressLineNumbers w:val="0"/>
              <w:spacing w:beforeAutospacing="0"/>
              <w:ind w:left="0" w:leftChars="0" w:right="0" w:rightChars="0" w:firstLine="0" w:firstLineChars="0"/>
              <w:jc w:val="center"/>
              <w:textAlignment w:val="center"/>
              <w:rPr>
                <w:rFonts w:hint="default" w:ascii="Calibri" w:hAnsi="Calibri" w:eastAsia="宋体" w:cs="Times New Roman"/>
                <w:color w:val="auto"/>
                <w:kern w:val="2"/>
                <w:sz w:val="18"/>
                <w:szCs w:val="18"/>
                <w:highlight w:val="none"/>
                <w:u w:val="none"/>
                <w:lang w:val="en-US" w:eastAsia="zh-CN" w:bidi="ar"/>
              </w:rPr>
            </w:pPr>
            <w:r>
              <w:rPr>
                <w:rFonts w:hint="eastAsia" w:ascii="Calibri" w:hAnsi="Calibri" w:eastAsia="宋体" w:cs="Times New Roman"/>
                <w:i w:val="0"/>
                <w:iCs w:val="0"/>
                <w:color w:val="auto"/>
                <w:kern w:val="2"/>
                <w:sz w:val="18"/>
                <w:szCs w:val="18"/>
                <w:highlight w:val="none"/>
                <w:u w:val="none"/>
                <w:lang w:val="en-US" w:eastAsia="zh-CN" w:bidi="ar"/>
              </w:rPr>
              <w:t>网络安全加固服务</w:t>
            </w:r>
          </w:p>
        </w:tc>
        <w:tc>
          <w:tcPr>
            <w:tcW w:w="1820" w:type="dxa"/>
            <w:vAlign w:val="center"/>
          </w:tcPr>
          <w:p>
            <w:pPr>
              <w:keepNext w:val="0"/>
              <w:keepLines w:val="0"/>
              <w:widowControl/>
              <w:suppressLineNumbers w:val="0"/>
              <w:spacing w:beforeAutospacing="0"/>
              <w:ind w:left="0" w:right="0" w:firstLine="0"/>
              <w:jc w:val="center"/>
              <w:textAlignment w:val="center"/>
              <w:rPr>
                <w:rFonts w:hint="default" w:ascii="Calibri" w:hAnsi="Calibri"/>
                <w:color w:val="auto"/>
                <w:kern w:val="2"/>
                <w:sz w:val="18"/>
                <w:szCs w:val="18"/>
                <w:highlight w:val="none"/>
                <w:u w:val="none"/>
                <w:lang w:bidi="ar"/>
              </w:rPr>
            </w:pPr>
          </w:p>
        </w:tc>
        <w:tc>
          <w:tcPr>
            <w:tcW w:w="1335" w:type="dxa"/>
            <w:vAlign w:val="center"/>
          </w:tcPr>
          <w:p>
            <w:pPr>
              <w:keepNext w:val="0"/>
              <w:keepLines w:val="0"/>
              <w:widowControl/>
              <w:suppressLineNumbers w:val="0"/>
              <w:spacing w:beforeAutospacing="0"/>
              <w:ind w:left="0" w:right="0" w:firstLine="0"/>
              <w:jc w:val="center"/>
              <w:textAlignment w:val="center"/>
              <w:rPr>
                <w:rFonts w:hint="default" w:ascii="Calibri" w:hAnsi="Calibri"/>
                <w:color w:val="auto"/>
                <w:kern w:val="2"/>
                <w:sz w:val="18"/>
                <w:szCs w:val="18"/>
                <w:highlight w:val="none"/>
                <w:u w:val="none"/>
                <w:lang w:bidi="ar"/>
              </w:rPr>
            </w:pP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default" w:ascii="Calibri" w:hAnsi="Calibri"/>
                <w:color w:val="auto"/>
                <w:kern w:val="2"/>
                <w:sz w:val="18"/>
                <w:szCs w:val="18"/>
                <w:highlight w:val="none"/>
                <w:u w:val="none"/>
                <w:lang w:bidi="ar"/>
              </w:rPr>
            </w:pPr>
            <w:r>
              <w:rPr>
                <w:rFonts w:hint="eastAsia" w:ascii="Calibri" w:hAnsi="Calibri" w:eastAsia="宋体" w:cs="Times New Roman"/>
                <w:i w:val="0"/>
                <w:iCs w:val="0"/>
                <w:color w:val="auto"/>
                <w:kern w:val="2"/>
                <w:sz w:val="18"/>
                <w:szCs w:val="18"/>
                <w:highlight w:val="none"/>
                <w:u w:val="none"/>
                <w:lang w:val="en-US" w:eastAsia="zh-CN" w:bidi="ar"/>
              </w:rPr>
              <w:t>设备系统版本补丁修复、设备未使用端口的封堵、安全策略调优等服务。</w:t>
            </w:r>
          </w:p>
        </w:tc>
        <w:tc>
          <w:tcPr>
            <w:tcW w:w="469" w:type="dxa"/>
            <w:vAlign w:val="center"/>
          </w:tcPr>
          <w:p>
            <w:pPr>
              <w:keepNext w:val="0"/>
              <w:keepLines w:val="0"/>
              <w:widowControl/>
              <w:suppressLineNumbers w:val="0"/>
              <w:spacing w:before="0" w:beforeAutospacing="0" w:after="0" w:afterAutospacing="0" w:line="240" w:lineRule="auto"/>
              <w:ind w:left="0" w:right="0" w:firstLine="0"/>
              <w:jc w:val="left"/>
              <w:textAlignment w:val="center"/>
              <w:rPr>
                <w:rFonts w:hint="default" w:ascii="Calibri" w:hAnsi="Calibri" w:eastAsia="宋体" w:cs="Times New Roman"/>
                <w:color w:val="auto"/>
                <w:kern w:val="2"/>
                <w:sz w:val="18"/>
                <w:szCs w:val="18"/>
                <w:highlight w:val="none"/>
                <w:u w:val="none"/>
                <w:lang w:bidi="ar"/>
              </w:rPr>
            </w:pPr>
            <w:r>
              <w:rPr>
                <w:rFonts w:hint="eastAsia" w:ascii="Calibri" w:hAnsi="Calibri" w:eastAsia="宋体" w:cs="Times New Roman"/>
                <w:i w:val="0"/>
                <w:iCs w:val="0"/>
                <w:color w:val="auto"/>
                <w:kern w:val="2"/>
                <w:sz w:val="18"/>
                <w:szCs w:val="18"/>
                <w:highlight w:val="none"/>
                <w:u w:val="none"/>
                <w:lang w:val="en-US" w:eastAsia="zh-CN" w:bidi="ar"/>
              </w:rPr>
              <w:t>次</w:t>
            </w:r>
          </w:p>
        </w:tc>
        <w:tc>
          <w:tcPr>
            <w:tcW w:w="913" w:type="dxa"/>
            <w:vAlign w:val="center"/>
          </w:tcPr>
          <w:p>
            <w:pPr>
              <w:keepNext w:val="0"/>
              <w:keepLines w:val="0"/>
              <w:widowControl/>
              <w:suppressLineNumbers w:val="0"/>
              <w:spacing w:beforeAutospacing="0"/>
              <w:ind w:left="0" w:right="0" w:firstLine="0"/>
              <w:jc w:val="center"/>
              <w:textAlignment w:val="center"/>
              <w:rPr>
                <w:rFonts w:hint="default" w:ascii="Calibri" w:hAnsi="Calibri" w:eastAsia="宋体" w:cs="Times New Roman"/>
                <w:color w:val="auto"/>
                <w:kern w:val="2"/>
                <w:sz w:val="18"/>
                <w:szCs w:val="18"/>
                <w:highlight w:val="none"/>
                <w:u w:val="none"/>
                <w:lang w:val="en-US" w:eastAsia="zh-CN" w:bidi="ar"/>
              </w:rPr>
            </w:pPr>
            <w:r>
              <w:rPr>
                <w:rFonts w:hint="eastAsia" w:ascii="Calibri" w:hAnsi="Calibri" w:eastAsia="宋体" w:cs="Times New Roman"/>
                <w:i w:val="0"/>
                <w:iCs w:val="0"/>
                <w:color w:val="auto"/>
                <w:kern w:val="2"/>
                <w:sz w:val="18"/>
                <w:szCs w:val="18"/>
                <w:highlight w:val="none"/>
                <w:u w:val="none"/>
                <w:lang w:val="en-US" w:eastAsia="zh-CN" w:bidi="ar"/>
              </w:rPr>
              <w:t>4</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42" w:type="dxa"/>
            <w:vAlign w:val="center"/>
          </w:tcPr>
          <w:p>
            <w:pPr>
              <w:keepNext w:val="0"/>
              <w:keepLines w:val="0"/>
              <w:widowControl/>
              <w:suppressLineNumbers w:val="0"/>
              <w:spacing w:beforeAutospacing="0"/>
              <w:jc w:val="center"/>
              <w:textAlignment w:val="center"/>
              <w:rPr>
                <w:rFonts w:hint="default"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15</w:t>
            </w:r>
          </w:p>
        </w:tc>
        <w:tc>
          <w:tcPr>
            <w:tcW w:w="1489" w:type="dxa"/>
            <w:vAlign w:val="center"/>
          </w:tcPr>
          <w:p>
            <w:pPr>
              <w:keepNext w:val="0"/>
              <w:keepLines w:val="0"/>
              <w:widowControl/>
              <w:suppressLineNumbers w:val="0"/>
              <w:spacing w:beforeAutospacing="0"/>
              <w:ind w:left="0" w:leftChars="0" w:right="0" w:rightChars="0" w:firstLine="0" w:firstLineChars="0"/>
              <w:jc w:val="center"/>
              <w:textAlignment w:val="center"/>
              <w:rPr>
                <w:rFonts w:hint="default" w:ascii="Calibri" w:hAnsi="Calibri" w:eastAsia="宋体" w:cs="Times New Roman"/>
                <w:color w:val="auto"/>
                <w:kern w:val="2"/>
                <w:sz w:val="18"/>
                <w:szCs w:val="18"/>
                <w:highlight w:val="none"/>
                <w:u w:val="none"/>
                <w:lang w:val="en-US" w:eastAsia="zh-CN" w:bidi="ar"/>
              </w:rPr>
            </w:pPr>
            <w:r>
              <w:rPr>
                <w:rFonts w:hint="eastAsia" w:ascii="Calibri" w:hAnsi="Calibri" w:eastAsia="宋体" w:cs="Times New Roman"/>
                <w:i w:val="0"/>
                <w:iCs w:val="0"/>
                <w:color w:val="auto"/>
                <w:kern w:val="2"/>
                <w:sz w:val="18"/>
                <w:szCs w:val="18"/>
                <w:highlight w:val="none"/>
                <w:u w:val="none"/>
                <w:lang w:val="en-US" w:eastAsia="zh-CN" w:bidi="ar"/>
              </w:rPr>
              <w:t>技能培训服务</w:t>
            </w:r>
          </w:p>
        </w:tc>
        <w:tc>
          <w:tcPr>
            <w:tcW w:w="1820" w:type="dxa"/>
            <w:vAlign w:val="center"/>
          </w:tcPr>
          <w:p>
            <w:pPr>
              <w:keepNext w:val="0"/>
              <w:keepLines w:val="0"/>
              <w:widowControl/>
              <w:suppressLineNumbers w:val="0"/>
              <w:spacing w:beforeAutospacing="0"/>
              <w:ind w:left="0" w:right="0" w:firstLine="0"/>
              <w:jc w:val="center"/>
              <w:textAlignment w:val="center"/>
              <w:rPr>
                <w:rFonts w:hint="default" w:ascii="Calibri" w:hAnsi="Calibri"/>
                <w:color w:val="auto"/>
                <w:kern w:val="2"/>
                <w:sz w:val="18"/>
                <w:szCs w:val="18"/>
                <w:highlight w:val="none"/>
                <w:u w:val="none"/>
                <w:lang w:bidi="ar"/>
              </w:rPr>
            </w:pPr>
          </w:p>
        </w:tc>
        <w:tc>
          <w:tcPr>
            <w:tcW w:w="1335" w:type="dxa"/>
            <w:vAlign w:val="center"/>
          </w:tcPr>
          <w:p>
            <w:pPr>
              <w:keepNext w:val="0"/>
              <w:keepLines w:val="0"/>
              <w:widowControl/>
              <w:suppressLineNumbers w:val="0"/>
              <w:spacing w:beforeAutospacing="0"/>
              <w:ind w:left="0" w:right="0" w:firstLine="0"/>
              <w:jc w:val="center"/>
              <w:textAlignment w:val="center"/>
              <w:rPr>
                <w:rFonts w:hint="default" w:ascii="Calibri" w:hAnsi="Calibri"/>
                <w:color w:val="auto"/>
                <w:kern w:val="2"/>
                <w:sz w:val="18"/>
                <w:szCs w:val="18"/>
                <w:highlight w:val="none"/>
                <w:u w:val="none"/>
                <w:lang w:bidi="ar"/>
              </w:rPr>
            </w:pP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default" w:ascii="Calibri" w:hAnsi="Calibri"/>
                <w:color w:val="auto"/>
                <w:kern w:val="2"/>
                <w:sz w:val="18"/>
                <w:szCs w:val="18"/>
                <w:highlight w:val="none"/>
                <w:u w:val="none"/>
                <w:lang w:bidi="ar"/>
              </w:rPr>
            </w:pPr>
            <w:r>
              <w:rPr>
                <w:rFonts w:hint="eastAsia" w:ascii="Calibri" w:hAnsi="Calibri" w:eastAsia="宋体" w:cs="Times New Roman"/>
                <w:i w:val="0"/>
                <w:iCs w:val="0"/>
                <w:color w:val="auto"/>
                <w:kern w:val="2"/>
                <w:sz w:val="18"/>
                <w:szCs w:val="18"/>
                <w:highlight w:val="none"/>
                <w:u w:val="none"/>
                <w:lang w:val="en-US" w:eastAsia="zh-CN" w:bidi="ar"/>
              </w:rPr>
              <w:t>路由交换相关协议、日常维护知识及技能；1-5号线办公网核心交换机典型故障培训，理论及实操相结合。</w:t>
            </w:r>
          </w:p>
        </w:tc>
        <w:tc>
          <w:tcPr>
            <w:tcW w:w="469" w:type="dxa"/>
            <w:vAlign w:val="center"/>
          </w:tcPr>
          <w:p>
            <w:pPr>
              <w:keepNext w:val="0"/>
              <w:keepLines w:val="0"/>
              <w:widowControl/>
              <w:suppressLineNumbers w:val="0"/>
              <w:spacing w:before="0" w:beforeAutospacing="0" w:after="0" w:afterAutospacing="0" w:line="240" w:lineRule="auto"/>
              <w:ind w:left="0" w:right="0" w:firstLine="0"/>
              <w:jc w:val="left"/>
              <w:textAlignment w:val="center"/>
              <w:rPr>
                <w:rFonts w:hint="default" w:ascii="Calibri" w:hAnsi="Calibri" w:eastAsia="宋体" w:cs="Times New Roman"/>
                <w:color w:val="auto"/>
                <w:kern w:val="2"/>
                <w:sz w:val="18"/>
                <w:szCs w:val="18"/>
                <w:highlight w:val="none"/>
                <w:u w:val="none"/>
                <w:lang w:bidi="ar"/>
              </w:rPr>
            </w:pPr>
            <w:r>
              <w:rPr>
                <w:rFonts w:hint="eastAsia" w:ascii="Calibri" w:hAnsi="Calibri" w:eastAsia="宋体" w:cs="Times New Roman"/>
                <w:i w:val="0"/>
                <w:iCs w:val="0"/>
                <w:color w:val="auto"/>
                <w:kern w:val="2"/>
                <w:sz w:val="18"/>
                <w:szCs w:val="18"/>
                <w:highlight w:val="none"/>
                <w:u w:val="none"/>
                <w:lang w:val="en-US" w:eastAsia="zh-CN" w:bidi="ar"/>
              </w:rPr>
              <w:t>次</w:t>
            </w:r>
          </w:p>
        </w:tc>
        <w:tc>
          <w:tcPr>
            <w:tcW w:w="913" w:type="dxa"/>
            <w:vAlign w:val="center"/>
          </w:tcPr>
          <w:p>
            <w:pPr>
              <w:keepNext w:val="0"/>
              <w:keepLines w:val="0"/>
              <w:widowControl/>
              <w:suppressLineNumbers w:val="0"/>
              <w:spacing w:beforeAutospacing="0"/>
              <w:ind w:left="0" w:right="0" w:firstLine="0"/>
              <w:jc w:val="center"/>
              <w:textAlignment w:val="center"/>
              <w:rPr>
                <w:rFonts w:hint="default" w:ascii="Calibri" w:hAnsi="Calibri" w:eastAsia="宋体" w:cs="Times New Roman"/>
                <w:color w:val="auto"/>
                <w:kern w:val="2"/>
                <w:sz w:val="18"/>
                <w:szCs w:val="18"/>
                <w:highlight w:val="none"/>
                <w:u w:val="none"/>
                <w:lang w:val="en-US" w:eastAsia="zh-CN" w:bidi="ar"/>
              </w:rPr>
            </w:pPr>
            <w:r>
              <w:rPr>
                <w:rFonts w:hint="eastAsia" w:ascii="Calibri" w:hAnsi="Calibri" w:eastAsia="宋体" w:cs="Times New Roman"/>
                <w:i w:val="0"/>
                <w:iCs w:val="0"/>
                <w:color w:val="auto"/>
                <w:kern w:val="2"/>
                <w:sz w:val="18"/>
                <w:szCs w:val="18"/>
                <w:highlight w:val="none"/>
                <w:u w:val="none"/>
                <w:lang w:val="en-US" w:eastAsia="zh-CN" w:bidi="ar"/>
              </w:rPr>
              <w:t>4</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jc w:val="center"/>
              <w:textAlignment w:val="center"/>
              <w:rPr>
                <w:rFonts w:hint="default"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16</w:t>
            </w:r>
          </w:p>
        </w:tc>
        <w:tc>
          <w:tcPr>
            <w:tcW w:w="1489" w:type="dxa"/>
            <w:vAlign w:val="center"/>
          </w:tcPr>
          <w:p>
            <w:pPr>
              <w:keepNext w:val="0"/>
              <w:keepLines w:val="0"/>
              <w:widowControl/>
              <w:suppressLineNumbers w:val="0"/>
              <w:spacing w:beforeAutospacing="0"/>
              <w:ind w:left="0" w:leftChars="0" w:right="0" w:rightChars="0" w:firstLine="0" w:firstLineChars="0"/>
              <w:jc w:val="center"/>
              <w:textAlignment w:val="center"/>
              <w:rPr>
                <w:rFonts w:hint="default" w:ascii="Calibri" w:hAnsi="Calibri" w:eastAsia="宋体" w:cs="Times New Roman"/>
                <w:color w:val="auto"/>
                <w:kern w:val="2"/>
                <w:sz w:val="18"/>
                <w:szCs w:val="18"/>
                <w:highlight w:val="none"/>
                <w:u w:val="none"/>
                <w:lang w:val="en-US" w:eastAsia="zh-CN" w:bidi="ar"/>
              </w:rPr>
            </w:pPr>
            <w:r>
              <w:rPr>
                <w:rFonts w:hint="eastAsia" w:ascii="Calibri" w:hAnsi="Calibri" w:eastAsia="宋体" w:cs="Times New Roman"/>
                <w:i w:val="0"/>
                <w:iCs w:val="0"/>
                <w:color w:val="auto"/>
                <w:kern w:val="2"/>
                <w:sz w:val="18"/>
                <w:szCs w:val="18"/>
                <w:highlight w:val="none"/>
                <w:u w:val="none"/>
                <w:lang w:val="en-US" w:eastAsia="zh-CN" w:bidi="ar"/>
              </w:rPr>
              <w:t>核心交换机预防性巡检服务</w:t>
            </w:r>
          </w:p>
        </w:tc>
        <w:tc>
          <w:tcPr>
            <w:tcW w:w="1820" w:type="dxa"/>
            <w:vAlign w:val="center"/>
          </w:tcPr>
          <w:p>
            <w:pPr>
              <w:keepNext w:val="0"/>
              <w:keepLines w:val="0"/>
              <w:widowControl/>
              <w:suppressLineNumbers w:val="0"/>
              <w:spacing w:beforeAutospacing="0"/>
              <w:ind w:left="0" w:right="0" w:firstLine="0"/>
              <w:jc w:val="center"/>
              <w:textAlignment w:val="center"/>
              <w:rPr>
                <w:rFonts w:hint="default" w:ascii="Calibri" w:hAnsi="Calibri"/>
                <w:color w:val="auto"/>
                <w:kern w:val="2"/>
                <w:sz w:val="18"/>
                <w:szCs w:val="18"/>
                <w:highlight w:val="none"/>
                <w:u w:val="none"/>
                <w:lang w:bidi="ar"/>
              </w:rPr>
            </w:pPr>
          </w:p>
        </w:tc>
        <w:tc>
          <w:tcPr>
            <w:tcW w:w="1335" w:type="dxa"/>
            <w:vAlign w:val="center"/>
          </w:tcPr>
          <w:p>
            <w:pPr>
              <w:keepNext w:val="0"/>
              <w:keepLines w:val="0"/>
              <w:widowControl/>
              <w:suppressLineNumbers w:val="0"/>
              <w:spacing w:beforeAutospacing="0"/>
              <w:ind w:left="0" w:right="0" w:firstLine="0"/>
              <w:jc w:val="center"/>
              <w:textAlignment w:val="center"/>
              <w:rPr>
                <w:rFonts w:hint="default" w:ascii="Calibri" w:hAnsi="Calibri"/>
                <w:color w:val="auto"/>
                <w:kern w:val="2"/>
                <w:sz w:val="18"/>
                <w:szCs w:val="18"/>
                <w:highlight w:val="none"/>
                <w:u w:val="none"/>
                <w:lang w:bidi="ar"/>
              </w:rPr>
            </w:pP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default" w:ascii="Calibri" w:hAnsi="Calibri"/>
                <w:color w:val="auto"/>
                <w:kern w:val="2"/>
                <w:sz w:val="18"/>
                <w:szCs w:val="18"/>
                <w:highlight w:val="none"/>
                <w:u w:val="none"/>
                <w:lang w:bidi="ar"/>
              </w:rPr>
            </w:pPr>
            <w:r>
              <w:rPr>
                <w:rFonts w:hint="eastAsia" w:ascii="Calibri" w:hAnsi="Calibri" w:eastAsia="宋体" w:cs="Times New Roman"/>
                <w:i w:val="0"/>
                <w:iCs w:val="0"/>
                <w:color w:val="auto"/>
                <w:kern w:val="2"/>
                <w:sz w:val="18"/>
                <w:szCs w:val="18"/>
                <w:highlight w:val="none"/>
                <w:u w:val="none"/>
                <w:lang w:val="en-US" w:eastAsia="zh-CN" w:bidi="ar"/>
              </w:rPr>
              <w:t>硬件状态检查、软件状态检查、协议状态检查、安全状态检查、诊断信息检查、技术公告扫描、配置规范检查、网络整体运行情况检查、系统环境及安全备份检查等。</w:t>
            </w:r>
          </w:p>
        </w:tc>
        <w:tc>
          <w:tcPr>
            <w:tcW w:w="469" w:type="dxa"/>
            <w:vAlign w:val="center"/>
          </w:tcPr>
          <w:p>
            <w:pPr>
              <w:keepNext w:val="0"/>
              <w:keepLines w:val="0"/>
              <w:widowControl/>
              <w:suppressLineNumbers w:val="0"/>
              <w:spacing w:before="0" w:beforeAutospacing="0" w:after="0" w:afterAutospacing="0" w:line="240" w:lineRule="auto"/>
              <w:ind w:left="0" w:right="0" w:firstLine="0"/>
              <w:jc w:val="left"/>
              <w:textAlignment w:val="center"/>
              <w:rPr>
                <w:rFonts w:hint="default" w:ascii="Calibri" w:hAnsi="Calibri" w:eastAsia="宋体" w:cs="Times New Roman"/>
                <w:color w:val="auto"/>
                <w:kern w:val="2"/>
                <w:sz w:val="18"/>
                <w:szCs w:val="18"/>
                <w:highlight w:val="none"/>
                <w:u w:val="none"/>
                <w:lang w:bidi="ar"/>
              </w:rPr>
            </w:pPr>
            <w:r>
              <w:rPr>
                <w:rFonts w:hint="eastAsia" w:ascii="Calibri" w:hAnsi="Calibri" w:eastAsia="宋体" w:cs="Times New Roman"/>
                <w:i w:val="0"/>
                <w:iCs w:val="0"/>
                <w:color w:val="auto"/>
                <w:kern w:val="2"/>
                <w:sz w:val="18"/>
                <w:szCs w:val="18"/>
                <w:highlight w:val="none"/>
                <w:u w:val="none"/>
                <w:lang w:val="en-US" w:eastAsia="zh-CN" w:bidi="ar"/>
              </w:rPr>
              <w:t>人天</w:t>
            </w:r>
          </w:p>
        </w:tc>
        <w:tc>
          <w:tcPr>
            <w:tcW w:w="913" w:type="dxa"/>
            <w:vAlign w:val="center"/>
          </w:tcPr>
          <w:p>
            <w:pPr>
              <w:keepNext w:val="0"/>
              <w:keepLines w:val="0"/>
              <w:widowControl/>
              <w:suppressLineNumbers w:val="0"/>
              <w:spacing w:beforeAutospacing="0"/>
              <w:ind w:left="0" w:right="0" w:firstLine="0"/>
              <w:jc w:val="center"/>
              <w:textAlignment w:val="center"/>
              <w:rPr>
                <w:rFonts w:hint="default" w:ascii="Calibri" w:hAnsi="Calibri" w:eastAsia="宋体" w:cs="Times New Roman"/>
                <w:color w:val="auto"/>
                <w:kern w:val="2"/>
                <w:sz w:val="18"/>
                <w:szCs w:val="18"/>
                <w:highlight w:val="none"/>
                <w:u w:val="none"/>
                <w:lang w:val="en-US" w:eastAsia="zh-CN" w:bidi="ar"/>
              </w:rPr>
            </w:pPr>
            <w:r>
              <w:rPr>
                <w:rFonts w:hint="eastAsia" w:ascii="Calibri" w:hAnsi="Calibri" w:cs="Times New Roman"/>
                <w:i w:val="0"/>
                <w:iCs w:val="0"/>
                <w:color w:val="auto"/>
                <w:kern w:val="2"/>
                <w:sz w:val="18"/>
                <w:szCs w:val="18"/>
                <w:highlight w:val="none"/>
                <w:u w:val="none"/>
                <w:lang w:val="en-US" w:eastAsia="zh-CN" w:bidi="ar"/>
              </w:rPr>
              <w:t>12</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2" w:type="dxa"/>
            <w:vAlign w:val="center"/>
          </w:tcPr>
          <w:p>
            <w:pPr>
              <w:keepNext w:val="0"/>
              <w:keepLines w:val="0"/>
              <w:widowControl/>
              <w:suppressLineNumbers w:val="0"/>
              <w:spacing w:beforeAutospacing="0"/>
              <w:jc w:val="center"/>
              <w:textAlignment w:val="center"/>
              <w:rPr>
                <w:rFonts w:hint="default" w:ascii="宋体" w:hAnsi="宋体" w:eastAsia="宋体" w:cs="宋体"/>
                <w:color w:val="auto"/>
                <w:kern w:val="2"/>
                <w:sz w:val="18"/>
                <w:szCs w:val="18"/>
                <w:highlight w:val="none"/>
                <w:lang w:val="en-US" w:eastAsia="zh-CN"/>
              </w:rPr>
            </w:pPr>
            <w:r>
              <w:rPr>
                <w:rFonts w:hint="eastAsia" w:ascii="宋体" w:hAnsi="宋体" w:cs="宋体"/>
                <w:color w:val="auto"/>
                <w:kern w:val="2"/>
                <w:sz w:val="18"/>
                <w:szCs w:val="18"/>
                <w:highlight w:val="none"/>
                <w:lang w:val="en-US" w:eastAsia="zh-CN"/>
              </w:rPr>
              <w:t>17</w:t>
            </w:r>
          </w:p>
        </w:tc>
        <w:tc>
          <w:tcPr>
            <w:tcW w:w="1489" w:type="dxa"/>
            <w:vAlign w:val="center"/>
          </w:tcPr>
          <w:p>
            <w:pPr>
              <w:keepNext w:val="0"/>
              <w:keepLines w:val="0"/>
              <w:widowControl/>
              <w:suppressLineNumbers w:val="0"/>
              <w:spacing w:beforeAutospacing="0"/>
              <w:ind w:left="0" w:leftChars="0" w:right="0" w:rightChars="0" w:firstLine="0" w:firstLineChars="0"/>
              <w:jc w:val="center"/>
              <w:textAlignment w:val="center"/>
              <w:rPr>
                <w:rFonts w:hint="default" w:ascii="Calibri" w:hAnsi="Calibri" w:eastAsia="宋体" w:cs="Times New Roman"/>
                <w:color w:val="auto"/>
                <w:kern w:val="2"/>
                <w:sz w:val="18"/>
                <w:szCs w:val="18"/>
                <w:highlight w:val="none"/>
                <w:u w:val="none"/>
                <w:lang w:val="en-US" w:eastAsia="zh-CN" w:bidi="ar"/>
              </w:rPr>
            </w:pPr>
            <w:r>
              <w:rPr>
                <w:rFonts w:hint="eastAsia" w:ascii="Calibri" w:hAnsi="Calibri" w:eastAsia="宋体" w:cs="Times New Roman"/>
                <w:i w:val="0"/>
                <w:iCs w:val="0"/>
                <w:color w:val="auto"/>
                <w:kern w:val="2"/>
                <w:sz w:val="18"/>
                <w:szCs w:val="18"/>
                <w:highlight w:val="none"/>
                <w:u w:val="none"/>
                <w:lang w:val="en-US" w:eastAsia="zh-CN" w:bidi="ar"/>
              </w:rPr>
              <w:t>重要节点工作保障服务</w:t>
            </w:r>
          </w:p>
        </w:tc>
        <w:tc>
          <w:tcPr>
            <w:tcW w:w="1820" w:type="dxa"/>
            <w:vAlign w:val="center"/>
          </w:tcPr>
          <w:p>
            <w:pPr>
              <w:keepNext w:val="0"/>
              <w:keepLines w:val="0"/>
              <w:widowControl/>
              <w:suppressLineNumbers w:val="0"/>
              <w:spacing w:beforeAutospacing="0"/>
              <w:ind w:left="0" w:right="0" w:firstLine="0"/>
              <w:jc w:val="center"/>
              <w:textAlignment w:val="center"/>
              <w:rPr>
                <w:rFonts w:hint="default" w:ascii="Calibri" w:hAnsi="Calibri"/>
                <w:color w:val="auto"/>
                <w:kern w:val="2"/>
                <w:sz w:val="18"/>
                <w:szCs w:val="18"/>
                <w:highlight w:val="none"/>
                <w:u w:val="none"/>
                <w:lang w:bidi="ar"/>
              </w:rPr>
            </w:pPr>
          </w:p>
        </w:tc>
        <w:tc>
          <w:tcPr>
            <w:tcW w:w="1335" w:type="dxa"/>
            <w:vAlign w:val="center"/>
          </w:tcPr>
          <w:p>
            <w:pPr>
              <w:keepNext w:val="0"/>
              <w:keepLines w:val="0"/>
              <w:widowControl/>
              <w:suppressLineNumbers w:val="0"/>
              <w:spacing w:beforeAutospacing="0"/>
              <w:ind w:left="0" w:right="0" w:firstLine="0"/>
              <w:jc w:val="center"/>
              <w:textAlignment w:val="center"/>
              <w:rPr>
                <w:rFonts w:hint="default" w:ascii="Calibri" w:hAnsi="Calibri"/>
                <w:color w:val="auto"/>
                <w:kern w:val="2"/>
                <w:sz w:val="18"/>
                <w:szCs w:val="18"/>
                <w:highlight w:val="none"/>
                <w:u w:val="none"/>
                <w:lang w:bidi="ar"/>
              </w:rPr>
            </w:pPr>
          </w:p>
        </w:tc>
        <w:tc>
          <w:tcPr>
            <w:tcW w:w="2841" w:type="dxa"/>
            <w:vAlign w:val="center"/>
          </w:tcPr>
          <w:p>
            <w:pPr>
              <w:keepNext w:val="0"/>
              <w:keepLines w:val="0"/>
              <w:widowControl/>
              <w:suppressLineNumbers w:val="0"/>
              <w:spacing w:beforeAutospacing="0"/>
              <w:ind w:left="0" w:leftChars="0" w:right="0" w:rightChars="0" w:firstLine="0" w:firstLineChars="0"/>
              <w:jc w:val="left"/>
              <w:textAlignment w:val="center"/>
              <w:rPr>
                <w:rFonts w:hint="default" w:ascii="Calibri" w:hAnsi="Calibri"/>
                <w:color w:val="auto"/>
                <w:kern w:val="2"/>
                <w:sz w:val="18"/>
                <w:szCs w:val="18"/>
                <w:highlight w:val="none"/>
                <w:u w:val="none"/>
                <w:lang w:bidi="ar"/>
              </w:rPr>
            </w:pPr>
            <w:r>
              <w:rPr>
                <w:rFonts w:hint="eastAsia" w:ascii="Calibri" w:hAnsi="Calibri" w:eastAsia="宋体" w:cs="Times New Roman"/>
                <w:i w:val="0"/>
                <w:iCs w:val="0"/>
                <w:color w:val="auto"/>
                <w:kern w:val="2"/>
                <w:sz w:val="18"/>
                <w:szCs w:val="18"/>
                <w:highlight w:val="none"/>
                <w:u w:val="none"/>
                <w:lang w:val="en-US" w:eastAsia="zh-CN" w:bidi="ar"/>
              </w:rPr>
              <w:t>广西区及南宁市每年度的网络安全攻防演习期间工作保障服务。</w:t>
            </w:r>
          </w:p>
        </w:tc>
        <w:tc>
          <w:tcPr>
            <w:tcW w:w="469" w:type="dxa"/>
            <w:vAlign w:val="center"/>
          </w:tcPr>
          <w:p>
            <w:pPr>
              <w:keepNext w:val="0"/>
              <w:keepLines w:val="0"/>
              <w:widowControl/>
              <w:suppressLineNumbers w:val="0"/>
              <w:spacing w:before="0" w:beforeAutospacing="0" w:after="0" w:afterAutospacing="0" w:line="240" w:lineRule="auto"/>
              <w:ind w:left="0" w:right="0" w:firstLine="0"/>
              <w:jc w:val="left"/>
              <w:textAlignment w:val="center"/>
              <w:rPr>
                <w:rFonts w:hint="default" w:ascii="Calibri" w:hAnsi="Calibri" w:eastAsia="宋体" w:cs="Times New Roman"/>
                <w:color w:val="auto"/>
                <w:kern w:val="2"/>
                <w:sz w:val="18"/>
                <w:szCs w:val="18"/>
                <w:highlight w:val="none"/>
                <w:u w:val="none"/>
                <w:lang w:bidi="ar"/>
              </w:rPr>
            </w:pPr>
            <w:r>
              <w:rPr>
                <w:rFonts w:hint="eastAsia" w:ascii="Calibri" w:hAnsi="Calibri" w:eastAsia="宋体" w:cs="Times New Roman"/>
                <w:i w:val="0"/>
                <w:iCs w:val="0"/>
                <w:color w:val="auto"/>
                <w:kern w:val="2"/>
                <w:sz w:val="18"/>
                <w:szCs w:val="18"/>
                <w:highlight w:val="none"/>
                <w:u w:val="none"/>
                <w:lang w:val="en-US" w:eastAsia="zh-CN" w:bidi="ar"/>
              </w:rPr>
              <w:t>人天</w:t>
            </w:r>
          </w:p>
        </w:tc>
        <w:tc>
          <w:tcPr>
            <w:tcW w:w="913" w:type="dxa"/>
            <w:vAlign w:val="center"/>
          </w:tcPr>
          <w:p>
            <w:pPr>
              <w:keepNext w:val="0"/>
              <w:keepLines w:val="0"/>
              <w:widowControl/>
              <w:suppressLineNumbers w:val="0"/>
              <w:spacing w:beforeAutospacing="0"/>
              <w:ind w:left="0" w:right="0" w:firstLine="0"/>
              <w:jc w:val="center"/>
              <w:textAlignment w:val="center"/>
              <w:rPr>
                <w:rFonts w:hint="default" w:ascii="Calibri" w:hAnsi="Calibri" w:eastAsia="宋体" w:cs="Times New Roman"/>
                <w:color w:val="auto"/>
                <w:kern w:val="2"/>
                <w:sz w:val="18"/>
                <w:szCs w:val="18"/>
                <w:highlight w:val="none"/>
                <w:u w:val="none"/>
                <w:lang w:val="en-US" w:eastAsia="zh-CN" w:bidi="ar"/>
              </w:rPr>
            </w:pPr>
            <w:r>
              <w:rPr>
                <w:rFonts w:hint="eastAsia" w:ascii="Calibri" w:hAnsi="Calibri" w:cs="Times New Roman"/>
                <w:i w:val="0"/>
                <w:iCs w:val="0"/>
                <w:color w:val="auto"/>
                <w:kern w:val="2"/>
                <w:sz w:val="18"/>
                <w:szCs w:val="18"/>
                <w:highlight w:val="none"/>
                <w:u w:val="none"/>
                <w:lang w:val="en-US" w:eastAsia="zh-CN" w:bidi="ar"/>
              </w:rPr>
              <w:t>12</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509" w:type="dxa"/>
            <w:gridSpan w:val="7"/>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b/>
                <w:bCs/>
                <w:color w:val="auto"/>
                <w:kern w:val="2"/>
                <w:sz w:val="16"/>
                <w:szCs w:val="16"/>
                <w:highlight w:val="none"/>
                <w:lang w:val="en-US" w:eastAsia="zh-CN"/>
              </w:rPr>
            </w:pPr>
            <w:r>
              <w:rPr>
                <w:rFonts w:hint="eastAsia" w:ascii="微软雅黑" w:hAnsi="微软雅黑" w:eastAsia="微软雅黑" w:cs="宋体"/>
                <w:b/>
                <w:bCs/>
                <w:color w:val="auto"/>
                <w:kern w:val="2"/>
                <w:sz w:val="16"/>
                <w:szCs w:val="16"/>
                <w:highlight w:val="none"/>
                <w:lang w:val="en-US" w:eastAsia="zh-CN" w:bidi="ar"/>
              </w:rPr>
              <w:t>技术服务合计</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lang w:val="en-US" w:eastAsia="zh-CN"/>
              </w:rPr>
            </w:pPr>
            <w:r>
              <w:rPr>
                <w:rFonts w:hint="eastAsia" w:ascii="微软雅黑" w:hAnsi="微软雅黑" w:eastAsia="微软雅黑" w:cs="宋体"/>
                <w:color w:val="auto"/>
                <w:kern w:val="2"/>
                <w:sz w:val="16"/>
                <w:szCs w:val="16"/>
                <w:highlight w:val="none"/>
                <w:lang w:val="en-US" w:eastAsia="zh-CN"/>
              </w:rPr>
              <w:t>/</w:t>
            </w: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509" w:type="dxa"/>
            <w:gridSpan w:val="7"/>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b/>
                <w:bCs/>
                <w:color w:val="auto"/>
                <w:kern w:val="2"/>
                <w:sz w:val="16"/>
                <w:szCs w:val="16"/>
                <w:highlight w:val="none"/>
              </w:rPr>
            </w:pPr>
            <w:r>
              <w:rPr>
                <w:rFonts w:hint="eastAsia" w:ascii="微软雅黑" w:hAnsi="微软雅黑" w:eastAsia="微软雅黑" w:cs="宋体"/>
                <w:b/>
                <w:bCs/>
                <w:color w:val="auto"/>
                <w:kern w:val="2"/>
                <w:sz w:val="16"/>
                <w:szCs w:val="16"/>
                <w:highlight w:val="none"/>
              </w:rPr>
              <w:t>合计</w:t>
            </w:r>
          </w:p>
        </w:tc>
        <w:tc>
          <w:tcPr>
            <w:tcW w:w="1367" w:type="dxa"/>
            <w:vAlign w:val="center"/>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lang w:val="en-US" w:eastAsia="zh-CN"/>
              </w:rPr>
            </w:pPr>
            <w:r>
              <w:rPr>
                <w:rFonts w:hint="eastAsia" w:ascii="微软雅黑" w:hAnsi="微软雅黑" w:eastAsia="微软雅黑" w:cs="宋体"/>
                <w:color w:val="auto"/>
                <w:kern w:val="2"/>
                <w:sz w:val="16"/>
                <w:szCs w:val="16"/>
                <w:highlight w:val="none"/>
                <w:lang w:val="en-US" w:eastAsia="zh-CN"/>
              </w:rPr>
              <w:t>/</w:t>
            </w:r>
          </w:p>
        </w:tc>
        <w:tc>
          <w:tcPr>
            <w:tcW w:w="1266"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c>
          <w:tcPr>
            <w:tcW w:w="680" w:type="dxa"/>
          </w:tcPr>
          <w:p>
            <w:pPr>
              <w:keepNext w:val="0"/>
              <w:keepLines w:val="0"/>
              <w:widowControl/>
              <w:suppressLineNumbers w:val="0"/>
              <w:spacing w:before="0" w:beforeAutospacing="0" w:after="0" w:afterAutospacing="0" w:line="320" w:lineRule="exact"/>
              <w:jc w:val="center"/>
              <w:rPr>
                <w:rFonts w:hint="default" w:ascii="微软雅黑" w:hAnsi="微软雅黑" w:eastAsia="微软雅黑" w:cs="宋体"/>
                <w:color w:val="auto"/>
                <w:kern w:val="2"/>
                <w:sz w:val="16"/>
                <w:szCs w:val="16"/>
                <w:highlight w:val="none"/>
              </w:rPr>
            </w:pPr>
          </w:p>
        </w:tc>
      </w:tr>
      <w:bookmarkEnd w:id="2123"/>
    </w:tbl>
    <w:p>
      <w:pPr>
        <w:spacing w:before="0" w:after="0" w:afterAutospacing="0"/>
        <w:ind w:left="0" w:right="0" w:firstLine="0"/>
        <w:rPr>
          <w:rFonts w:ascii="宋体" w:hAnsi="宋体"/>
          <w:color w:val="auto"/>
          <w:highlight w:val="none"/>
        </w:rPr>
      </w:pPr>
    </w:p>
    <w:p>
      <w:pPr>
        <w:spacing w:before="0" w:after="0" w:afterAutospacing="0"/>
        <w:ind w:left="0" w:right="0" w:firstLine="0"/>
        <w:jc w:val="left"/>
        <w:rPr>
          <w:rFonts w:hint="eastAsia" w:ascii="宋体" w:hAnsi="宋体"/>
          <w:color w:val="auto"/>
          <w:highlight w:val="none"/>
        </w:rPr>
      </w:pPr>
      <w:r>
        <w:rPr>
          <w:rFonts w:hint="eastAsia" w:ascii="宋体" w:hAnsi="宋体"/>
          <w:b/>
          <w:color w:val="auto"/>
          <w:highlight w:val="none"/>
        </w:rPr>
        <w:br w:type="page"/>
      </w: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比选申请人须按第五章《用户需求书》中的原厂维保服务清单的顺序进行明细报价，不允许打乱顺序，不含税单价、不含税合价均精确到小数点后两位。</w:t>
      </w:r>
    </w:p>
    <w:p>
      <w:pPr>
        <w:numPr>
          <w:ilvl w:val="0"/>
          <w:numId w:val="17"/>
        </w:numPr>
        <w:spacing w:before="0" w:after="0" w:afterAutospacing="0"/>
        <w:ind w:left="0" w:right="0" w:firstLine="0"/>
        <w:rPr>
          <w:rFonts w:ascii="宋体" w:hAnsi="宋体"/>
          <w:color w:val="auto"/>
          <w:highlight w:val="none"/>
        </w:rPr>
      </w:pPr>
      <w:r>
        <w:rPr>
          <w:rFonts w:hint="eastAsia" w:ascii="宋体" w:hAnsi="宋体"/>
          <w:color w:val="auto"/>
          <w:highlight w:val="none"/>
        </w:rPr>
        <w:t>同一项目在各分项报价中应为同一单价。比选申请人对每个项目</w:t>
      </w:r>
      <w:r>
        <w:rPr>
          <w:rFonts w:ascii="宋体" w:hAnsi="宋体"/>
          <w:color w:val="auto"/>
          <w:highlight w:val="none"/>
        </w:rPr>
        <w:t>(</w:t>
      </w:r>
      <w:r>
        <w:rPr>
          <w:rFonts w:hint="eastAsia" w:ascii="宋体" w:hAnsi="宋体"/>
          <w:color w:val="auto"/>
          <w:highlight w:val="none"/>
        </w:rPr>
        <w:t>指完全相同的同一项目</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p>
    <w:p>
      <w:pPr>
        <w:snapToGrid w:val="0"/>
        <w:spacing w:after="0" w:afterAutospacing="0"/>
        <w:ind w:right="-816" w:firstLine="0"/>
        <w:jc w:val="center"/>
        <w:rPr>
          <w:rFonts w:ascii="宋体" w:hAnsi="宋体"/>
          <w:color w:val="auto"/>
          <w:highlight w:val="none"/>
        </w:rPr>
        <w:sectPr>
          <w:footerReference r:id="rId14" w:type="default"/>
          <w:pgSz w:w="16838" w:h="11906" w:orient="landscape"/>
          <w:pgMar w:top="1440" w:right="1440" w:bottom="1797" w:left="1440" w:header="567" w:footer="567" w:gutter="0"/>
          <w:pgNumType w:fmt="decimal"/>
          <w:cols w:space="720" w:num="1"/>
          <w:docGrid w:linePitch="312" w:charSpace="0"/>
        </w:sectPr>
      </w:pPr>
      <w:r>
        <w:rPr>
          <w:rFonts w:hint="eastAsia" w:ascii="宋体" w:hAnsi="宋体"/>
          <w:color w:val="auto"/>
          <w:highlight w:val="none"/>
        </w:rPr>
        <w:t>日期：    年  月  日</w:t>
      </w:r>
    </w:p>
    <w:p>
      <w:pPr>
        <w:pStyle w:val="16"/>
        <w:pageBreakBefore/>
        <w:ind w:left="0" w:leftChars="0" w:right="-57" w:firstLine="0" w:firstLineChars="0"/>
        <w:jc w:val="center"/>
        <w:outlineLvl w:val="0"/>
        <w:rPr>
          <w:rStyle w:val="46"/>
          <w:rFonts w:ascii="宋体" w:hAnsi="宋体" w:eastAsia="宋体"/>
          <w:color w:val="auto"/>
          <w:highlight w:val="none"/>
        </w:rPr>
      </w:pPr>
      <w:bookmarkStart w:id="2124" w:name="_Toc20298"/>
      <w:bookmarkStart w:id="2125" w:name="_Toc30897"/>
      <w:bookmarkStart w:id="2126" w:name="_Toc13941"/>
      <w:bookmarkStart w:id="2127" w:name="_Toc14566"/>
      <w:bookmarkStart w:id="2128" w:name="_Toc6454"/>
      <w:bookmarkStart w:id="2129" w:name="_Toc2151"/>
      <w:bookmarkStart w:id="2130" w:name="_Toc492478835"/>
      <w:bookmarkStart w:id="2131" w:name="_Toc31681"/>
      <w:bookmarkStart w:id="2132" w:name="_Toc29090"/>
      <w:bookmarkStart w:id="2133" w:name="_Toc328"/>
      <w:bookmarkStart w:id="2134" w:name="_Toc26409"/>
      <w:bookmarkStart w:id="2135" w:name="_Toc4225"/>
      <w:bookmarkStart w:id="2136" w:name="_Toc28535"/>
      <w:bookmarkStart w:id="2137" w:name="_Toc12275"/>
      <w:bookmarkStart w:id="2138" w:name="_Toc6337"/>
      <w:bookmarkStart w:id="2139" w:name="_Toc25061"/>
      <w:bookmarkStart w:id="2140" w:name="_Toc21321"/>
      <w:bookmarkStart w:id="2141" w:name="_Toc31584"/>
      <w:bookmarkStart w:id="2142" w:name="_Toc29462"/>
      <w:bookmarkStart w:id="2143" w:name="_Toc9597"/>
      <w:bookmarkStart w:id="2144" w:name="_Toc5010"/>
      <w:bookmarkStart w:id="2145" w:name="_Toc27332"/>
      <w:bookmarkStart w:id="2146" w:name="_Toc17539"/>
      <w:bookmarkStart w:id="2147" w:name="_Toc16754"/>
      <w:bookmarkStart w:id="2148" w:name="_Toc11064"/>
      <w:bookmarkStart w:id="2149" w:name="_Toc28135"/>
      <w:bookmarkStart w:id="2150" w:name="_Toc12695"/>
      <w:r>
        <w:rPr>
          <w:rStyle w:val="46"/>
          <w:rFonts w:hint="eastAsia" w:ascii="宋体" w:hAnsi="宋体" w:eastAsia="宋体"/>
          <w:color w:val="auto"/>
          <w:highlight w:val="none"/>
        </w:rPr>
        <w:t>第五章用户需求书</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4"/>
        <w:spacing w:before="0" w:after="0" w:afterAutospacing="0"/>
        <w:ind w:left="0" w:leftChars="0" w:right="0" w:rightChars="0" w:firstLine="0"/>
        <w:rPr>
          <w:rStyle w:val="45"/>
          <w:rFonts w:ascii="黑体" w:hAnsi="黑体" w:eastAsia="黑体"/>
          <w:b/>
          <w:bCs/>
          <w:color w:val="auto"/>
        </w:rPr>
      </w:pPr>
      <w:bookmarkStart w:id="2151" w:name="_Toc148449359"/>
      <w:bookmarkStart w:id="2152" w:name="_Toc8132"/>
      <w:bookmarkStart w:id="2153" w:name="_Toc1246"/>
      <w:bookmarkStart w:id="2154" w:name="_Toc990"/>
      <w:bookmarkStart w:id="2155" w:name="_Toc13275"/>
      <w:bookmarkStart w:id="2156" w:name="_Toc7049"/>
      <w:bookmarkStart w:id="2157" w:name="_Toc2808"/>
      <w:bookmarkStart w:id="2158" w:name="_Toc28904"/>
      <w:bookmarkStart w:id="2159" w:name="_Toc138146743"/>
      <w:bookmarkStart w:id="2160" w:name="_Toc135660501"/>
      <w:bookmarkStart w:id="2161" w:name="_Toc29540"/>
      <w:bookmarkStart w:id="2162" w:name="_Toc22100"/>
      <w:bookmarkStart w:id="2163" w:name="_Toc23870"/>
      <w:bookmarkStart w:id="2164" w:name="_Toc147"/>
      <w:bookmarkStart w:id="2165" w:name="_Toc21231"/>
      <w:bookmarkStart w:id="2166" w:name="_Toc23761"/>
      <w:bookmarkStart w:id="2167" w:name="_Toc1104"/>
      <w:bookmarkStart w:id="2168" w:name="_Toc14738"/>
      <w:bookmarkStart w:id="2169" w:name="_Toc14104"/>
      <w:bookmarkStart w:id="2170" w:name="_Toc5008"/>
      <w:bookmarkStart w:id="2171" w:name="_Toc6090"/>
      <w:bookmarkStart w:id="2172" w:name="_Toc4284"/>
      <w:bookmarkStart w:id="2173" w:name="_Toc531"/>
      <w:bookmarkStart w:id="2174" w:name="_Toc25908"/>
      <w:bookmarkStart w:id="2175" w:name="_Toc3551"/>
      <w:bookmarkStart w:id="2176" w:name="_Toc25435"/>
      <w:bookmarkStart w:id="2177" w:name="_Toc9329"/>
      <w:bookmarkStart w:id="2178" w:name="_Toc26286"/>
      <w:bookmarkStart w:id="2179" w:name="_Toc3174"/>
      <w:bookmarkStart w:id="2180" w:name="_Toc17186"/>
      <w:bookmarkStart w:id="2181" w:name="_Toc14995"/>
      <w:bookmarkStart w:id="2182" w:name="_Toc24305"/>
      <w:bookmarkStart w:id="2183" w:name="_Toc1777"/>
      <w:bookmarkStart w:id="2184" w:name="_Toc22547"/>
      <w:r>
        <w:rPr>
          <w:rFonts w:hint="eastAsia" w:ascii="黑体" w:hAnsi="黑体" w:eastAsia="黑体"/>
          <w:color w:val="auto"/>
          <w:sz w:val="24"/>
          <w:szCs w:val="24"/>
        </w:rPr>
        <w:t>1 项目概况</w:t>
      </w:r>
      <w:bookmarkEnd w:id="2151"/>
      <w:bookmarkEnd w:id="2152"/>
    </w:p>
    <w:p>
      <w:pPr>
        <w:spacing w:before="0" w:after="0" w:afterAutospacing="0"/>
        <w:ind w:left="0" w:right="0" w:firstLine="0"/>
        <w:outlineLvl w:val="1"/>
        <w:rPr>
          <w:b/>
          <w:color w:val="auto"/>
        </w:rPr>
      </w:pPr>
      <w:bookmarkStart w:id="2185" w:name="_Toc17116"/>
      <w:bookmarkStart w:id="2186" w:name="_Toc148449360"/>
      <w:r>
        <w:rPr>
          <w:b/>
          <w:color w:val="auto"/>
        </w:rPr>
        <w:t>1.1</w:t>
      </w:r>
      <w:r>
        <w:rPr>
          <w:rFonts w:hint="eastAsia"/>
          <w:b/>
          <w:color w:val="auto"/>
        </w:rPr>
        <w:t>项目名称</w:t>
      </w:r>
      <w:bookmarkEnd w:id="2185"/>
      <w:bookmarkEnd w:id="2186"/>
    </w:p>
    <w:p>
      <w:pPr>
        <w:spacing w:before="0" w:after="0" w:afterAutospacing="0"/>
        <w:ind w:left="0" w:right="0" w:firstLine="420" w:firstLineChars="200"/>
        <w:rPr>
          <w:rFonts w:ascii="宋体" w:hAnsi="宋体"/>
          <w:color w:val="auto"/>
        </w:rPr>
      </w:pPr>
      <w:r>
        <w:rPr>
          <w:rFonts w:ascii="宋体" w:hAnsi="宋体"/>
          <w:color w:val="auto"/>
        </w:rPr>
        <w:t>南宁轨道交通</w:t>
      </w:r>
      <w:r>
        <w:rPr>
          <w:rFonts w:hint="eastAsia" w:ascii="宋体" w:hAnsi="宋体"/>
          <w:color w:val="auto"/>
        </w:rPr>
        <w:t>1-5号线</w:t>
      </w:r>
      <w:r>
        <w:rPr>
          <w:rFonts w:ascii="宋体" w:hAnsi="宋体"/>
          <w:color w:val="auto"/>
        </w:rPr>
        <w:t>办公网交换机设备委外维保维修服务采购项目（202</w:t>
      </w:r>
      <w:r>
        <w:rPr>
          <w:rFonts w:hint="eastAsia" w:ascii="宋体" w:hAnsi="宋体"/>
          <w:color w:val="auto"/>
        </w:rPr>
        <w:t>3</w:t>
      </w:r>
      <w:r>
        <w:rPr>
          <w:rFonts w:ascii="宋体" w:hAnsi="宋体"/>
          <w:color w:val="auto"/>
        </w:rPr>
        <w:t>年-202</w:t>
      </w:r>
      <w:r>
        <w:rPr>
          <w:rFonts w:hint="eastAsia" w:ascii="宋体" w:hAnsi="宋体"/>
          <w:color w:val="auto"/>
        </w:rPr>
        <w:t>4</w:t>
      </w:r>
      <w:r>
        <w:rPr>
          <w:rFonts w:ascii="宋体" w:hAnsi="宋体"/>
          <w:color w:val="auto"/>
        </w:rPr>
        <w:t>年）</w:t>
      </w:r>
    </w:p>
    <w:p>
      <w:pPr>
        <w:spacing w:before="0" w:after="0" w:afterAutospacing="0"/>
        <w:ind w:left="0" w:right="0" w:firstLine="0"/>
        <w:outlineLvl w:val="1"/>
        <w:rPr>
          <w:b/>
          <w:color w:val="auto"/>
        </w:rPr>
      </w:pPr>
      <w:bookmarkStart w:id="2187" w:name="_Toc148449361"/>
      <w:bookmarkStart w:id="2188" w:name="_Toc14028"/>
      <w:r>
        <w:rPr>
          <w:b/>
          <w:color w:val="auto"/>
        </w:rPr>
        <w:t>1.2南宁轨道交通1-5</w:t>
      </w:r>
      <w:r>
        <w:rPr>
          <w:rFonts w:hint="eastAsia"/>
          <w:b/>
          <w:color w:val="auto"/>
        </w:rPr>
        <w:t>号线</w:t>
      </w:r>
      <w:r>
        <w:rPr>
          <w:b/>
          <w:color w:val="auto"/>
        </w:rPr>
        <w:t>办公网交换机设备委外维保维修服务采购项目（2023年-2024年）概况</w:t>
      </w:r>
      <w:bookmarkEnd w:id="2187"/>
      <w:bookmarkEnd w:id="2188"/>
    </w:p>
    <w:p>
      <w:pPr>
        <w:spacing w:before="0" w:after="0" w:afterAutospacing="0"/>
        <w:ind w:left="0" w:right="0" w:firstLine="420" w:firstLineChars="200"/>
        <w:rPr>
          <w:rFonts w:ascii="宋体" w:hAnsi="宋体"/>
          <w:color w:val="auto"/>
        </w:rPr>
      </w:pPr>
      <w:r>
        <w:rPr>
          <w:rFonts w:hint="eastAsia" w:ascii="宋体" w:hAnsi="宋体"/>
          <w:color w:val="auto"/>
        </w:rPr>
        <w:t>本次项目维保维修的1-5号线办公网交换机设备为509台，分布于轨道大厦控制中心的数据中心机房、商用机房及控制中心大楼各楼层配线间，</w:t>
      </w:r>
      <w:r>
        <w:rPr>
          <w:rFonts w:ascii="宋体" w:hAnsi="宋体"/>
          <w:color w:val="auto"/>
        </w:rPr>
        <w:t>1号线沿线25个车站、屯里车辆段和西乡塘停车场OA机房及各楼层配线间，2号线沿线23个车站、安吉综合基地通信机房及各楼层配线间，3号线沿线23个车站、心圩车辆段和新村停车场通信机房及各楼层配线间，4号线沿线16个车站、五</w:t>
      </w:r>
      <w:r>
        <w:rPr>
          <w:rFonts w:hint="eastAsia" w:ascii="宋体" w:hAnsi="宋体"/>
          <w:color w:val="auto"/>
        </w:rPr>
        <w:t>象车辆段通信机房及各楼层配线间，</w:t>
      </w:r>
      <w:r>
        <w:rPr>
          <w:rFonts w:ascii="宋体" w:hAnsi="宋体"/>
          <w:color w:val="auto"/>
        </w:rPr>
        <w:t>5号线沿线17</w:t>
      </w:r>
      <w:r>
        <w:rPr>
          <w:rFonts w:hint="eastAsia" w:ascii="宋体" w:hAnsi="宋体"/>
          <w:color w:val="auto"/>
        </w:rPr>
        <w:t>个车站、那洪车辆段通信机房及各楼层配线间。各线路概况如下：</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1）控制中心位于南宁市高坡岭路和云景路东北面，临近1号线佛子</w:t>
      </w:r>
      <w:r>
        <w:rPr>
          <w:rFonts w:hint="eastAsia" w:ascii="宋体" w:hAnsi="宋体"/>
          <w:color w:val="auto"/>
        </w:rPr>
        <w:t>岭站；控制中心地块内设置综合调度大楼、研发大楼、档案馆、会议中心和轨道交通培训中心等生产办公场所。</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南宁轨道交通1号线（石埠站-火车东站）线路全长约32.1km，共设25个车站（均为地下站），车辆段及停车场各1座、1条试车线、1座线网共用运营控制指挥中心。1号线首通段（火车东站-南湖站）于2016年6月28日开通试运营，1号线全线于2016年12月28日开通试运营。</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南宁轨道交通2号线一、二期工程（坛泽站-西津站）线路全长约27.5km，共设置23座车站（均为地下站）、1座车辆段与综合基地、1条试车线、与1号线共用运营控制指挥中心。主线</w:t>
      </w:r>
      <w:r>
        <w:rPr>
          <w:rFonts w:ascii="宋体" w:hAnsi="宋体"/>
          <w:color w:val="auto"/>
        </w:rPr>
        <w:t>(</w:t>
      </w:r>
      <w:r>
        <w:rPr>
          <w:rFonts w:hint="eastAsia" w:ascii="宋体" w:hAnsi="宋体"/>
          <w:color w:val="auto"/>
        </w:rPr>
        <w:t>西津站至玉洞站</w:t>
      </w:r>
      <w:r>
        <w:rPr>
          <w:rFonts w:ascii="宋体" w:hAnsi="宋体"/>
          <w:color w:val="auto"/>
        </w:rPr>
        <w:t>)</w:t>
      </w:r>
      <w:r>
        <w:rPr>
          <w:rFonts w:hint="eastAsia" w:ascii="宋体" w:hAnsi="宋体"/>
          <w:color w:val="auto"/>
        </w:rPr>
        <w:t>于</w:t>
      </w:r>
      <w:r>
        <w:rPr>
          <w:rFonts w:ascii="宋体" w:hAnsi="宋体"/>
          <w:color w:val="auto"/>
        </w:rPr>
        <w:t>2017</w:t>
      </w:r>
      <w:r>
        <w:rPr>
          <w:rFonts w:hint="eastAsia" w:ascii="宋体" w:hAnsi="宋体"/>
          <w:color w:val="auto"/>
        </w:rPr>
        <w:t>年</w:t>
      </w:r>
      <w:r>
        <w:rPr>
          <w:rFonts w:ascii="宋体" w:hAnsi="宋体"/>
          <w:color w:val="auto"/>
        </w:rPr>
        <w:t>12</w:t>
      </w:r>
      <w:r>
        <w:rPr>
          <w:rFonts w:hint="eastAsia" w:ascii="宋体" w:hAnsi="宋体"/>
          <w:color w:val="auto"/>
        </w:rPr>
        <w:t>月</w:t>
      </w:r>
      <w:r>
        <w:rPr>
          <w:rFonts w:ascii="宋体" w:hAnsi="宋体"/>
          <w:color w:val="auto"/>
        </w:rPr>
        <w:t>28</w:t>
      </w:r>
      <w:r>
        <w:rPr>
          <w:rFonts w:hint="eastAsia" w:ascii="宋体" w:hAnsi="宋体"/>
          <w:color w:val="auto"/>
        </w:rPr>
        <w:t>日开通试运营，东延线</w:t>
      </w:r>
      <w:r>
        <w:rPr>
          <w:rFonts w:ascii="宋体" w:hAnsi="宋体"/>
          <w:color w:val="auto"/>
        </w:rPr>
        <w:t>(</w:t>
      </w:r>
      <w:r>
        <w:rPr>
          <w:rFonts w:hint="eastAsia" w:ascii="宋体" w:hAnsi="宋体"/>
          <w:color w:val="auto"/>
        </w:rPr>
        <w:t>玉洞站至坛泽站</w:t>
      </w:r>
      <w:r>
        <w:rPr>
          <w:rFonts w:ascii="宋体" w:hAnsi="宋体"/>
          <w:color w:val="auto"/>
        </w:rPr>
        <w:t>)</w:t>
      </w:r>
      <w:r>
        <w:rPr>
          <w:rFonts w:hint="eastAsia" w:ascii="宋体" w:hAnsi="宋体"/>
          <w:color w:val="auto"/>
        </w:rPr>
        <w:t>于</w:t>
      </w:r>
      <w:r>
        <w:rPr>
          <w:rFonts w:ascii="宋体" w:hAnsi="宋体"/>
          <w:color w:val="auto"/>
        </w:rPr>
        <w:t>2020</w:t>
      </w:r>
      <w:r>
        <w:rPr>
          <w:rFonts w:hint="eastAsia" w:ascii="宋体" w:hAnsi="宋体"/>
          <w:color w:val="auto"/>
        </w:rPr>
        <w:t>年</w:t>
      </w:r>
      <w:r>
        <w:rPr>
          <w:rFonts w:ascii="宋体" w:hAnsi="宋体"/>
          <w:color w:val="auto"/>
        </w:rPr>
        <w:t>11</w:t>
      </w:r>
      <w:r>
        <w:rPr>
          <w:rFonts w:hint="eastAsia" w:ascii="宋体" w:hAnsi="宋体"/>
          <w:color w:val="auto"/>
        </w:rPr>
        <w:t>月</w:t>
      </w:r>
      <w:r>
        <w:rPr>
          <w:rFonts w:ascii="宋体" w:hAnsi="宋体"/>
          <w:color w:val="auto"/>
        </w:rPr>
        <w:t>23</w:t>
      </w:r>
      <w:r>
        <w:rPr>
          <w:rFonts w:hint="eastAsia" w:ascii="宋体" w:hAnsi="宋体"/>
          <w:color w:val="auto"/>
        </w:rPr>
        <w:t>日开通试运营</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4）</w:t>
      </w:r>
      <w:r>
        <w:rPr>
          <w:rFonts w:hint="eastAsia" w:ascii="宋体" w:hAnsi="宋体"/>
          <w:color w:val="auto"/>
        </w:rPr>
        <w:t>南宁轨道交通3号线一期工程（科园大道站-平良立交站）线路全长约28.04km，共设置23座车站（均为地下站）、1座车辆段与综合基地、1条试车线、与1、2号线共用运营控制指挥中心。3号线于2019年6月6日开通试运营。</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5</w:t>
      </w:r>
      <w:r>
        <w:rPr>
          <w:rFonts w:hint="eastAsia" w:ascii="宋体" w:hAnsi="宋体"/>
          <w:color w:val="auto"/>
        </w:rPr>
        <w:t>）南宁轨道交通4号线一期工程（洪运路站</w:t>
      </w:r>
      <w:r>
        <w:rPr>
          <w:rFonts w:ascii="宋体" w:hAnsi="宋体"/>
          <w:color w:val="auto"/>
        </w:rPr>
        <w:t>-</w:t>
      </w:r>
      <w:r>
        <w:rPr>
          <w:rFonts w:hint="eastAsia" w:ascii="宋体" w:hAnsi="宋体"/>
          <w:color w:val="auto"/>
        </w:rPr>
        <w:t>楞塘村站）线路全长约20.7km，共设置16座车站（均为地下站）、1座车辆段与综合基地、1条试车线、与1、2、3号线共用运营控制指挥中心。4号线于2020年11月23日开通试运营。</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6</w:t>
      </w:r>
      <w:r>
        <w:rPr>
          <w:rFonts w:hint="eastAsia" w:ascii="宋体" w:hAnsi="宋体"/>
          <w:color w:val="auto"/>
        </w:rPr>
        <w:t>）南宁轨道交通5号线一期工程（国凯大道站</w:t>
      </w:r>
      <w:r>
        <w:rPr>
          <w:rFonts w:ascii="宋体" w:hAnsi="宋体"/>
          <w:color w:val="auto"/>
        </w:rPr>
        <w:t>-</w:t>
      </w:r>
      <w:r>
        <w:rPr>
          <w:rFonts w:hint="eastAsia" w:ascii="宋体" w:hAnsi="宋体"/>
          <w:color w:val="auto"/>
        </w:rPr>
        <w:t>金桥客运站）线路全长约</w:t>
      </w:r>
      <w:r>
        <w:rPr>
          <w:rFonts w:ascii="宋体" w:hAnsi="宋体"/>
          <w:color w:val="auto"/>
        </w:rPr>
        <w:t>2</w:t>
      </w:r>
      <w:r>
        <w:rPr>
          <w:rFonts w:hint="eastAsia" w:ascii="宋体" w:hAnsi="宋体"/>
          <w:color w:val="auto"/>
        </w:rPr>
        <w:t>0.21km，共设置17座车站（均为地下站）、1座车辆段与综合基地、</w:t>
      </w:r>
      <w:r>
        <w:rPr>
          <w:rFonts w:ascii="宋体" w:hAnsi="宋体"/>
          <w:color w:val="auto"/>
        </w:rPr>
        <w:t>1条试车线、与1、2</w:t>
      </w:r>
      <w:r>
        <w:rPr>
          <w:rFonts w:hint="eastAsia" w:ascii="宋体" w:hAnsi="宋体"/>
          <w:color w:val="auto"/>
        </w:rPr>
        <w:t>、3、4号线共用运营控制指挥中心。5号线于2021年12月16日开通试运营。</w:t>
      </w:r>
    </w:p>
    <w:p>
      <w:pPr>
        <w:spacing w:before="0" w:after="0" w:afterAutospacing="0"/>
        <w:ind w:left="0" w:right="0" w:firstLine="0"/>
        <w:outlineLvl w:val="1"/>
        <w:rPr>
          <w:rStyle w:val="45"/>
          <w:rFonts w:ascii="宋体" w:hAnsi="宋体"/>
          <w:b w:val="0"/>
          <w:bCs/>
          <w:color w:val="auto"/>
          <w:sz w:val="21"/>
          <w:szCs w:val="21"/>
        </w:rPr>
      </w:pPr>
      <w:bookmarkStart w:id="2189" w:name="_Toc21062"/>
      <w:bookmarkStart w:id="2190" w:name="_Toc148449362"/>
      <w:r>
        <w:rPr>
          <w:b/>
          <w:color w:val="auto"/>
        </w:rPr>
        <w:t>1.3</w:t>
      </w:r>
      <w:r>
        <w:rPr>
          <w:rFonts w:hint="eastAsia" w:ascii="宋体" w:hAnsi="宋体"/>
          <w:b/>
          <w:color w:val="auto"/>
        </w:rPr>
        <w:t>南宁轨道交通1-5号线</w:t>
      </w:r>
      <w:r>
        <w:rPr>
          <w:rFonts w:ascii="宋体" w:hAnsi="宋体"/>
          <w:b/>
          <w:color w:val="auto"/>
        </w:rPr>
        <w:t>办公网交换机设备概况</w:t>
      </w:r>
      <w:bookmarkEnd w:id="2189"/>
      <w:bookmarkEnd w:id="2190"/>
    </w:p>
    <w:p>
      <w:pPr>
        <w:spacing w:before="0" w:after="0" w:afterAutospacing="0"/>
        <w:ind w:left="0" w:right="0" w:firstLine="420" w:firstLineChars="200"/>
        <w:rPr>
          <w:rFonts w:ascii="宋体" w:hAnsi="宋体"/>
          <w:color w:val="auto"/>
        </w:rPr>
      </w:pPr>
      <w:r>
        <w:rPr>
          <w:rFonts w:hint="eastAsia" w:ascii="宋体" w:hAnsi="宋体"/>
          <w:color w:val="auto"/>
        </w:rPr>
        <w:t>南宁轨道交通</w:t>
      </w:r>
      <w:r>
        <w:rPr>
          <w:rFonts w:ascii="宋体" w:hAnsi="宋体"/>
          <w:color w:val="auto"/>
        </w:rPr>
        <w:t>办</w:t>
      </w:r>
      <w:r>
        <w:rPr>
          <w:rFonts w:hint="eastAsia" w:ascii="宋体" w:hAnsi="宋体"/>
          <w:color w:val="auto"/>
        </w:rPr>
        <w:t>1-5号线</w:t>
      </w:r>
      <w:r>
        <w:rPr>
          <w:rFonts w:ascii="宋体" w:hAnsi="宋体"/>
          <w:color w:val="auto"/>
        </w:rPr>
        <w:t>公网交换机设备主要服务于集团公司及分子公司的日常办公，自2016年6月投入使用，以数据中心机房为核心将1-5号线</w:t>
      </w:r>
      <w:r>
        <w:rPr>
          <w:rFonts w:hint="eastAsia" w:ascii="宋体" w:hAnsi="宋体"/>
          <w:color w:val="auto"/>
        </w:rPr>
        <w:t>所有车站和各车辆段、停车场</w:t>
      </w:r>
      <w:r>
        <w:rPr>
          <w:rFonts w:ascii="宋体" w:hAnsi="宋体"/>
          <w:color w:val="auto"/>
        </w:rPr>
        <w:t>采用网络三层模型形成星型结构组网，全面覆盖公司各办公区域场所，数据中心机房核心交换机</w:t>
      </w:r>
      <w:r>
        <w:rPr>
          <w:rFonts w:hint="eastAsia" w:ascii="宋体" w:hAnsi="宋体"/>
          <w:color w:val="auto"/>
        </w:rPr>
        <w:t>作为</w:t>
      </w:r>
      <w:r>
        <w:rPr>
          <w:rFonts w:ascii="宋体" w:hAnsi="宋体"/>
          <w:color w:val="auto"/>
        </w:rPr>
        <w:t>核心引擎进行数据高速转发，采用双机虚拟化组网设计，向下接收服务请求，向上</w:t>
      </w:r>
      <w:r>
        <w:rPr>
          <w:rFonts w:hint="eastAsia" w:ascii="宋体" w:hAnsi="宋体"/>
          <w:color w:val="auto"/>
        </w:rPr>
        <w:t>承载</w:t>
      </w:r>
      <w:r>
        <w:rPr>
          <w:rFonts w:ascii="宋体" w:hAnsi="宋体"/>
          <w:color w:val="auto"/>
        </w:rPr>
        <w:t>各类办公业务信息管理系统，主要包含办公网云计算平台、办公类管理系统</w:t>
      </w:r>
      <w:r>
        <w:rPr>
          <w:rFonts w:hint="eastAsia" w:ascii="宋体" w:hAnsi="宋体"/>
          <w:color w:val="auto"/>
        </w:rPr>
        <w:t>（</w:t>
      </w:r>
      <w:r>
        <w:rPr>
          <w:rFonts w:ascii="宋体" w:hAnsi="宋体"/>
          <w:color w:val="auto"/>
        </w:rPr>
        <w:t>公司官方网站、门户网站、协</w:t>
      </w:r>
      <w:r>
        <w:rPr>
          <w:rFonts w:hint="eastAsia" w:ascii="宋体" w:hAnsi="宋体"/>
          <w:color w:val="auto"/>
        </w:rPr>
        <w:t>同</w:t>
      </w:r>
      <w:r>
        <w:rPr>
          <w:rFonts w:ascii="宋体" w:hAnsi="宋体"/>
          <w:color w:val="auto"/>
        </w:rPr>
        <w:t>办公系统、企业邮箱、信息发布平台、绩效系统、物资管理系统、合同管理系统、人力资源管理系统、工程项目管理系统、紧急信息报送管理系统、信息系统运维平台、公司云盘、微服务平台、云学习平台</w:t>
      </w:r>
      <w:r>
        <w:rPr>
          <w:rFonts w:hint="eastAsia" w:ascii="宋体" w:hAnsi="宋体"/>
          <w:color w:val="auto"/>
        </w:rPr>
        <w:t>）、生产辅助类管理系统（生产调度系统、服务热线系统、乘务派班系统、车站</w:t>
      </w:r>
      <w:r>
        <w:rPr>
          <w:rFonts w:ascii="宋体" w:hAnsi="宋体"/>
          <w:color w:val="auto"/>
        </w:rPr>
        <w:t>IP电话系统</w:t>
      </w:r>
      <w:r>
        <w:rPr>
          <w:rFonts w:hint="eastAsia" w:ascii="宋体" w:hAnsi="宋体"/>
          <w:color w:val="auto"/>
        </w:rPr>
        <w:t>、</w:t>
      </w:r>
      <w:r>
        <w:rPr>
          <w:rFonts w:ascii="宋体" w:hAnsi="宋体"/>
          <w:color w:val="auto"/>
        </w:rPr>
        <w:t>5号线智能运维系统、</w:t>
      </w:r>
      <w:r>
        <w:rPr>
          <w:rFonts w:hint="eastAsia" w:ascii="宋体" w:hAnsi="宋体"/>
          <w:color w:val="auto"/>
        </w:rPr>
        <w:t>安全风险信息系统）、后勤服务类管理系统（智慧食堂系统、</w:t>
      </w:r>
      <w:r>
        <w:rPr>
          <w:rFonts w:ascii="宋体" w:hAnsi="宋体"/>
          <w:color w:val="auto"/>
        </w:rPr>
        <w:t>控制中心道闸系统、</w:t>
      </w:r>
      <w:r>
        <w:rPr>
          <w:rFonts w:hint="eastAsia" w:ascii="宋体" w:hAnsi="宋体"/>
          <w:color w:val="auto"/>
        </w:rPr>
        <w:t>屯里车辆段道闸系统、新能源充电桩系统）、集团公司和运营公司财务管理系统以及</w:t>
      </w:r>
      <w:r>
        <w:rPr>
          <w:rFonts w:ascii="宋体" w:hAnsi="宋体"/>
          <w:color w:val="auto"/>
        </w:rPr>
        <w:t>钉钉、QQ应用等约28</w:t>
      </w:r>
      <w:r>
        <w:rPr>
          <w:rFonts w:hint="eastAsia" w:ascii="宋体" w:hAnsi="宋体"/>
          <w:color w:val="auto"/>
        </w:rPr>
        <w:t>个各类管理系统和应用</w:t>
      </w:r>
      <w:r>
        <w:rPr>
          <w:rFonts w:ascii="宋体" w:hAnsi="宋体"/>
          <w:color w:val="auto"/>
        </w:rPr>
        <w:t>。</w:t>
      </w:r>
      <w:r>
        <w:rPr>
          <w:rFonts w:hint="eastAsia" w:ascii="宋体" w:hAnsi="宋体"/>
          <w:color w:val="auto"/>
        </w:rPr>
        <w:t>大部分核心交换机设备部署在数据中心机房，于</w:t>
      </w:r>
      <w:r>
        <w:rPr>
          <w:rFonts w:ascii="宋体" w:hAnsi="宋体"/>
          <w:color w:val="auto"/>
        </w:rPr>
        <w:t>1号线开通运营前投入使用运行，至今已超过7年，设备运行故障风险存在较大隐患</w:t>
      </w:r>
      <w:r>
        <w:rPr>
          <w:rFonts w:hint="eastAsia" w:ascii="宋体" w:hAnsi="宋体"/>
          <w:color w:val="auto"/>
        </w:rPr>
        <w:t>。</w:t>
      </w:r>
    </w:p>
    <w:p>
      <w:pPr>
        <w:spacing w:before="0" w:after="0" w:afterAutospacing="0"/>
        <w:ind w:left="0" w:right="0" w:firstLine="0"/>
        <w:outlineLvl w:val="1"/>
        <w:rPr>
          <w:b/>
          <w:color w:val="auto"/>
        </w:rPr>
      </w:pPr>
      <w:bookmarkStart w:id="2191" w:name="_Toc11559"/>
      <w:bookmarkStart w:id="2192" w:name="_Toc148449363"/>
      <w:r>
        <w:rPr>
          <w:b/>
          <w:color w:val="auto"/>
        </w:rPr>
        <w:t>1.4</w:t>
      </w:r>
      <w:r>
        <w:rPr>
          <w:rFonts w:hint="eastAsia"/>
          <w:b/>
          <w:color w:val="auto"/>
        </w:rPr>
        <w:t>比选人与比选申请人</w:t>
      </w:r>
      <w:bookmarkEnd w:id="2191"/>
      <w:bookmarkEnd w:id="2192"/>
    </w:p>
    <w:p>
      <w:pPr>
        <w:spacing w:before="0" w:after="0" w:afterAutospacing="0"/>
        <w:ind w:left="0" w:right="0" w:firstLine="420" w:firstLineChars="200"/>
        <w:rPr>
          <w:rFonts w:ascii="宋体" w:hAnsi="宋体"/>
          <w:color w:val="auto"/>
        </w:rPr>
      </w:pPr>
      <w:r>
        <w:rPr>
          <w:rFonts w:hint="eastAsia" w:ascii="宋体" w:hAnsi="宋体"/>
          <w:color w:val="auto"/>
        </w:rPr>
        <w:t>比选人：南宁轨道交通运营有限公司。</w:t>
      </w:r>
    </w:p>
    <w:p>
      <w:pPr>
        <w:spacing w:before="0" w:after="0" w:afterAutospacing="0"/>
        <w:ind w:left="707" w:leftChars="200" w:hanging="287" w:hangingChars="137"/>
        <w:rPr>
          <w:color w:val="auto"/>
        </w:rPr>
      </w:pPr>
      <w:r>
        <w:rPr>
          <w:rFonts w:hint="eastAsia" w:ascii="宋体" w:hAnsi="宋体"/>
          <w:color w:val="auto"/>
        </w:rPr>
        <w:t>比选申请人：本项目比选申请单位。</w:t>
      </w:r>
    </w:p>
    <w:p>
      <w:pPr>
        <w:pStyle w:val="4"/>
        <w:spacing w:before="0" w:after="0" w:afterAutospacing="0"/>
        <w:ind w:left="812" w:leftChars="0" w:right="0" w:rightChars="0" w:hanging="812" w:hangingChars="337"/>
        <w:rPr>
          <w:rFonts w:ascii="黑体" w:hAnsi="黑体" w:eastAsia="黑体"/>
          <w:color w:val="auto"/>
          <w:sz w:val="24"/>
          <w:szCs w:val="24"/>
        </w:rPr>
      </w:pPr>
      <w:bookmarkStart w:id="2193" w:name="_Toc148449364"/>
      <w:bookmarkStart w:id="2194" w:name="_Toc6919"/>
      <w:r>
        <w:rPr>
          <w:rFonts w:hint="eastAsia" w:ascii="黑体" w:hAnsi="黑体" w:eastAsia="黑体"/>
          <w:color w:val="auto"/>
          <w:sz w:val="24"/>
          <w:szCs w:val="24"/>
        </w:rPr>
        <w:t>2 项目范围</w:t>
      </w:r>
      <w:bookmarkEnd w:id="2193"/>
      <w:bookmarkEnd w:id="2194"/>
    </w:p>
    <w:p>
      <w:pPr>
        <w:spacing w:before="0" w:after="0" w:afterAutospacing="0"/>
        <w:ind w:left="0" w:right="0" w:firstLine="0"/>
        <w:outlineLvl w:val="1"/>
        <w:rPr>
          <w:b/>
          <w:color w:val="auto"/>
        </w:rPr>
      </w:pPr>
      <w:bookmarkStart w:id="2195" w:name="_Toc148449365"/>
      <w:bookmarkStart w:id="2196" w:name="_Toc652"/>
      <w:r>
        <w:rPr>
          <w:b/>
          <w:color w:val="auto"/>
        </w:rPr>
        <w:t>2.1</w:t>
      </w:r>
      <w:r>
        <w:rPr>
          <w:rFonts w:hint="eastAsia"/>
          <w:b/>
          <w:color w:val="auto"/>
        </w:rPr>
        <w:t>项目地点</w:t>
      </w:r>
      <w:bookmarkEnd w:id="2195"/>
      <w:bookmarkEnd w:id="2196"/>
    </w:p>
    <w:p>
      <w:pPr>
        <w:spacing w:before="0" w:after="0" w:afterAutospacing="0"/>
        <w:ind w:left="0" w:right="0" w:firstLine="420" w:firstLineChars="200"/>
        <w:rPr>
          <w:rFonts w:ascii="宋体" w:hAnsi="宋体"/>
          <w:color w:val="auto"/>
        </w:rPr>
      </w:pPr>
      <w:r>
        <w:rPr>
          <w:rFonts w:ascii="宋体" w:hAnsi="宋体"/>
          <w:color w:val="auto"/>
        </w:rPr>
        <w:t>南宁轨道交通控制中心、屯里车辆段、西乡塘停车场、安吉车辆段</w:t>
      </w:r>
      <w:r>
        <w:rPr>
          <w:rFonts w:hint="eastAsia" w:ascii="宋体" w:hAnsi="宋体"/>
          <w:color w:val="auto"/>
        </w:rPr>
        <w:t>、</w:t>
      </w:r>
      <w:r>
        <w:rPr>
          <w:rFonts w:ascii="宋体" w:hAnsi="宋体"/>
          <w:color w:val="auto"/>
        </w:rPr>
        <w:t>心圩车辆段、新村停车场、五象车辆段、那洪车辆段及</w:t>
      </w:r>
      <w:r>
        <w:rPr>
          <w:rFonts w:hint="eastAsia" w:ascii="宋体" w:hAnsi="宋体"/>
          <w:color w:val="auto"/>
        </w:rPr>
        <w:t>1-5号线沿线各站点。</w:t>
      </w:r>
    </w:p>
    <w:p>
      <w:pPr>
        <w:spacing w:before="0" w:after="0" w:afterAutospacing="0"/>
        <w:ind w:left="0" w:right="0" w:firstLine="0"/>
        <w:outlineLvl w:val="1"/>
        <w:rPr>
          <w:b/>
          <w:color w:val="auto"/>
        </w:rPr>
      </w:pPr>
      <w:bookmarkStart w:id="2197" w:name="_Toc148449366"/>
      <w:bookmarkStart w:id="2198" w:name="_Toc16737"/>
      <w:r>
        <w:rPr>
          <w:b/>
          <w:color w:val="auto"/>
        </w:rPr>
        <w:t>2.2</w:t>
      </w:r>
      <w:r>
        <w:rPr>
          <w:rFonts w:hint="eastAsia"/>
          <w:b/>
          <w:color w:val="auto"/>
        </w:rPr>
        <w:t>项目范围及内容</w:t>
      </w:r>
      <w:bookmarkEnd w:id="2197"/>
      <w:bookmarkEnd w:id="2198"/>
    </w:p>
    <w:p>
      <w:pPr>
        <w:pStyle w:val="32"/>
        <w:spacing w:before="0" w:after="0" w:afterAutospacing="0"/>
        <w:ind w:left="0" w:leftChars="0" w:right="0" w:firstLine="0" w:firstLineChars="0"/>
        <w:outlineLvl w:val="2"/>
        <w:rPr>
          <w:rFonts w:ascii="宋体" w:hAnsi="宋体"/>
          <w:b/>
          <w:color w:val="auto"/>
        </w:rPr>
      </w:pPr>
      <w:r>
        <w:rPr>
          <w:rFonts w:ascii="宋体" w:hAnsi="宋体"/>
          <w:b/>
          <w:color w:val="auto"/>
        </w:rPr>
        <w:t>2.2.1项目范围</w:t>
      </w:r>
    </w:p>
    <w:p>
      <w:pPr>
        <w:spacing w:before="0" w:after="0" w:afterAutospacing="0"/>
        <w:ind w:left="0" w:right="0" w:firstLine="420" w:firstLineChars="200"/>
        <w:rPr>
          <w:rFonts w:ascii="宋体" w:hAnsi="宋体"/>
          <w:color w:val="auto"/>
        </w:rPr>
      </w:pPr>
      <w:r>
        <w:rPr>
          <w:rFonts w:hint="eastAsia" w:ascii="宋体" w:hAnsi="宋体"/>
          <w:color w:val="auto"/>
        </w:rPr>
        <w:t>本次项目维保维修的1-5号线办公网交换机设备为509台，分布于轨道大厦控制中心的数据中心机房、商用机房及控制中心大楼各楼层配线间，1号线沿线25个车站、屯里车辆段和西乡塘停车场OA机房及各楼层配线间，2号线沿线23个车站、安吉综合基地通信机房及各楼层配线间，3号线沿线23个车站、心圩车辆段和新村停车场通信机房及各楼层配线间，4号线沿线16个车站、五象车辆段通信机房及各楼层配线间，5号线沿线17个车站、那洪车辆段通信机房及各楼层配线间。服务的项目是为上述这些交换机设备提供维保维修服务，服务内容包括备件供应、</w:t>
      </w:r>
      <w:r>
        <w:rPr>
          <w:rFonts w:hint="eastAsia" w:ascii="宋体" w:hAnsi="宋体"/>
          <w:color w:val="auto"/>
          <w:kern w:val="2"/>
        </w:rPr>
        <w:t>设备故障件维修、现场技术支持、交换机版本软件服务、预防性设备巡检、</w:t>
      </w:r>
      <w:r>
        <w:rPr>
          <w:rFonts w:hAnsi="宋体"/>
          <w:color w:val="auto"/>
        </w:rPr>
        <w:t>重要节点工作保障</w:t>
      </w:r>
      <w:r>
        <w:rPr>
          <w:rFonts w:hint="eastAsia" w:ascii="宋体" w:hAnsi="宋体"/>
          <w:color w:val="auto"/>
          <w:kern w:val="2"/>
        </w:rPr>
        <w:t>、</w:t>
      </w:r>
      <w:r>
        <w:rPr>
          <w:rFonts w:hint="eastAsia" w:hAnsi="宋体"/>
          <w:color w:val="auto"/>
        </w:rPr>
        <w:t>安全加固、</w:t>
      </w:r>
      <w:r>
        <w:rPr>
          <w:rFonts w:hint="eastAsia" w:cs="宋体"/>
          <w:color w:val="auto"/>
        </w:rPr>
        <w:t>技能培训</w:t>
      </w:r>
      <w:r>
        <w:rPr>
          <w:rFonts w:hint="eastAsia" w:ascii="宋体" w:hAnsi="宋体"/>
          <w:color w:val="auto"/>
          <w:kern w:val="2"/>
        </w:rPr>
        <w:t>等</w:t>
      </w:r>
      <w:r>
        <w:rPr>
          <w:rFonts w:hint="eastAsia" w:ascii="宋体" w:hAnsi="宋体"/>
          <w:color w:val="auto"/>
          <w:szCs w:val="24"/>
        </w:rPr>
        <w:t>服务</w:t>
      </w:r>
      <w:r>
        <w:rPr>
          <w:rFonts w:hint="eastAsia" w:ascii="宋体" w:hAnsi="宋体"/>
          <w:color w:val="auto"/>
        </w:rPr>
        <w:t>。</w:t>
      </w:r>
    </w:p>
    <w:p>
      <w:pPr>
        <w:spacing w:before="0" w:after="0" w:afterAutospacing="0"/>
        <w:ind w:left="0" w:right="0" w:firstLine="420" w:firstLineChars="200"/>
        <w:jc w:val="left"/>
        <w:rPr>
          <w:rFonts w:ascii="宋体" w:hAnsi="宋体"/>
          <w:color w:val="auto"/>
        </w:rPr>
      </w:pPr>
      <w:r>
        <w:rPr>
          <w:rFonts w:hint="eastAsia" w:ascii="宋体" w:hAnsi="宋体"/>
          <w:color w:val="auto"/>
        </w:rPr>
        <w:t>1-5号线办公网交换机设备维保维修数量清单详见附件</w:t>
      </w:r>
      <w:r>
        <w:rPr>
          <w:rFonts w:ascii="宋体" w:hAnsi="宋体"/>
          <w:color w:val="auto"/>
        </w:rPr>
        <w:t>1，其中</w:t>
      </w:r>
      <w:r>
        <w:rPr>
          <w:rFonts w:hint="eastAsia" w:ascii="宋体" w:hAnsi="宋体"/>
          <w:color w:val="auto"/>
        </w:rPr>
        <w:t>核心交换机设备板卡数量清单详见附件</w:t>
      </w:r>
      <w:r>
        <w:rPr>
          <w:rFonts w:ascii="宋体" w:hAnsi="宋体"/>
          <w:color w:val="auto"/>
        </w:rPr>
        <w:t>2</w:t>
      </w:r>
      <w:r>
        <w:rPr>
          <w:rFonts w:hint="eastAsia" w:ascii="宋体" w:hAnsi="宋体"/>
          <w:color w:val="auto"/>
        </w:rPr>
        <w:t>。</w:t>
      </w:r>
    </w:p>
    <w:p>
      <w:pPr>
        <w:pStyle w:val="32"/>
        <w:spacing w:before="0" w:after="0" w:afterAutospacing="0"/>
        <w:ind w:left="0" w:leftChars="0" w:right="0" w:firstLine="0" w:firstLineChars="0"/>
        <w:outlineLvl w:val="2"/>
        <w:rPr>
          <w:rFonts w:ascii="宋体" w:hAnsi="宋体"/>
          <w:b/>
          <w:color w:val="auto"/>
        </w:rPr>
      </w:pPr>
      <w:r>
        <w:rPr>
          <w:rFonts w:ascii="宋体" w:hAnsi="宋体"/>
          <w:b/>
          <w:color w:val="auto"/>
        </w:rPr>
        <w:t>2.2.</w:t>
      </w:r>
      <w:r>
        <w:rPr>
          <w:rFonts w:hint="eastAsia" w:ascii="宋体" w:hAnsi="宋体"/>
          <w:b/>
          <w:color w:val="auto"/>
        </w:rPr>
        <w:t>2</w:t>
      </w:r>
      <w:r>
        <w:rPr>
          <w:rFonts w:ascii="宋体" w:hAnsi="宋体"/>
          <w:b/>
          <w:color w:val="auto"/>
        </w:rPr>
        <w:t xml:space="preserve"> </w:t>
      </w:r>
      <w:r>
        <w:rPr>
          <w:rFonts w:hint="eastAsia" w:ascii="宋体" w:hAnsi="宋体"/>
          <w:b/>
          <w:color w:val="auto"/>
        </w:rPr>
        <w:t>项目内容</w:t>
      </w:r>
    </w:p>
    <w:p>
      <w:pPr>
        <w:pStyle w:val="16"/>
        <w:spacing w:before="0" w:after="0" w:afterAutospacing="0"/>
        <w:ind w:left="0" w:right="0" w:firstLine="510"/>
        <w:rPr>
          <w:rFonts w:hAnsi="宋体"/>
          <w:color w:val="auto"/>
          <w:sz w:val="21"/>
          <w:szCs w:val="21"/>
        </w:rPr>
      </w:pPr>
      <w:r>
        <w:rPr>
          <w:rFonts w:hAnsi="宋体"/>
          <w:color w:val="auto"/>
          <w:sz w:val="21"/>
          <w:szCs w:val="21"/>
        </w:rPr>
        <w:t>2.2.</w:t>
      </w:r>
      <w:r>
        <w:rPr>
          <w:rFonts w:hint="eastAsia" w:hAnsi="宋体"/>
          <w:color w:val="auto"/>
          <w:sz w:val="21"/>
          <w:szCs w:val="21"/>
        </w:rPr>
        <w:t>3.</w:t>
      </w:r>
      <w:r>
        <w:rPr>
          <w:rFonts w:hAnsi="宋体"/>
          <w:color w:val="auto"/>
          <w:sz w:val="21"/>
          <w:szCs w:val="21"/>
        </w:rPr>
        <w:t>1</w:t>
      </w:r>
      <w:r>
        <w:rPr>
          <w:rFonts w:hint="eastAsia" w:hAnsi="宋体"/>
          <w:color w:val="auto"/>
          <w:sz w:val="21"/>
          <w:szCs w:val="21"/>
        </w:rPr>
        <w:t>电话</w:t>
      </w:r>
      <w:r>
        <w:rPr>
          <w:rFonts w:hAnsi="宋体"/>
          <w:color w:val="auto"/>
          <w:sz w:val="21"/>
          <w:szCs w:val="21"/>
        </w:rPr>
        <w:t>支持服务，要求</w:t>
      </w:r>
      <w:r>
        <w:rPr>
          <w:rFonts w:hint="eastAsia" w:hAnsi="宋体"/>
          <w:color w:val="auto"/>
          <w:sz w:val="21"/>
          <w:szCs w:val="21"/>
        </w:rPr>
        <w:t>比选申请人</w:t>
      </w:r>
      <w:r>
        <w:rPr>
          <w:rFonts w:hAnsi="宋体"/>
          <w:color w:val="auto"/>
          <w:sz w:val="21"/>
          <w:szCs w:val="21"/>
        </w:rPr>
        <w:t>7x24小时</w:t>
      </w:r>
      <w:r>
        <w:rPr>
          <w:rFonts w:hint="eastAsia" w:hAnsi="宋体"/>
          <w:color w:val="auto"/>
          <w:sz w:val="21"/>
          <w:szCs w:val="21"/>
        </w:rPr>
        <w:t>电话支持，实时响应，提供产品技术咨询、故障申报受理、硬件维修</w:t>
      </w:r>
      <w:r>
        <w:rPr>
          <w:rFonts w:hAnsi="宋体"/>
          <w:color w:val="auto"/>
          <w:sz w:val="21"/>
          <w:szCs w:val="21"/>
        </w:rPr>
        <w:t>受理等服务。</w:t>
      </w:r>
    </w:p>
    <w:p>
      <w:pPr>
        <w:pStyle w:val="16"/>
        <w:spacing w:before="0" w:after="0" w:afterAutospacing="0"/>
        <w:ind w:left="0" w:right="0" w:firstLine="420" w:firstLineChars="200"/>
        <w:rPr>
          <w:rFonts w:hAnsi="宋体"/>
          <w:color w:val="auto"/>
          <w:sz w:val="21"/>
          <w:szCs w:val="21"/>
        </w:rPr>
      </w:pPr>
      <w:r>
        <w:rPr>
          <w:rFonts w:hAnsi="宋体"/>
          <w:color w:val="auto"/>
          <w:sz w:val="21"/>
          <w:szCs w:val="21"/>
        </w:rPr>
        <w:t>2.2.</w:t>
      </w:r>
      <w:r>
        <w:rPr>
          <w:rFonts w:hint="eastAsia" w:hAnsi="宋体"/>
          <w:color w:val="auto"/>
          <w:sz w:val="21"/>
          <w:szCs w:val="21"/>
        </w:rPr>
        <w:t>3.</w:t>
      </w:r>
      <w:r>
        <w:rPr>
          <w:rFonts w:hAnsi="宋体"/>
          <w:color w:val="auto"/>
          <w:sz w:val="21"/>
          <w:szCs w:val="21"/>
        </w:rPr>
        <w:t>2远程问题诊断和支持服务，通过电话、Email、远程协助等方式为</w:t>
      </w:r>
      <w:r>
        <w:rPr>
          <w:rFonts w:hint="eastAsia" w:hAnsi="宋体"/>
          <w:color w:val="auto"/>
          <w:sz w:val="21"/>
          <w:szCs w:val="21"/>
        </w:rPr>
        <w:t>比选人</w:t>
      </w:r>
      <w:r>
        <w:rPr>
          <w:rFonts w:hAnsi="宋体"/>
          <w:color w:val="auto"/>
          <w:sz w:val="21"/>
          <w:szCs w:val="21"/>
        </w:rPr>
        <w:t>提供技术支持和帮助，安排技术人员在规定时间内（即响应时间）帮助</w:t>
      </w:r>
      <w:r>
        <w:rPr>
          <w:rFonts w:hint="eastAsia" w:hAnsi="宋体"/>
          <w:color w:val="auto"/>
          <w:sz w:val="21"/>
          <w:szCs w:val="21"/>
        </w:rPr>
        <w:t>比选人</w:t>
      </w:r>
      <w:r>
        <w:rPr>
          <w:rFonts w:hAnsi="宋体"/>
          <w:color w:val="auto"/>
          <w:sz w:val="21"/>
          <w:szCs w:val="21"/>
        </w:rPr>
        <w:t>进行故障定位，并提出解决方案，指导比选人排除设备故障。</w:t>
      </w:r>
    </w:p>
    <w:p>
      <w:pPr>
        <w:spacing w:before="0" w:after="0" w:afterAutospacing="0"/>
        <w:ind w:left="0" w:right="0" w:firstLine="454"/>
        <w:rPr>
          <w:color w:val="auto"/>
        </w:rPr>
      </w:pPr>
      <w:r>
        <w:rPr>
          <w:rFonts w:ascii="宋体" w:hAnsi="宋体" w:cs="宋体"/>
          <w:color w:val="auto"/>
        </w:rPr>
        <w:t>2.2.3.3</w:t>
      </w:r>
      <w:r>
        <w:rPr>
          <w:rFonts w:hint="eastAsia" w:ascii="宋体" w:hAnsi="宋体" w:cs="宋体"/>
          <w:color w:val="auto"/>
        </w:rPr>
        <w:t>设备故障</w:t>
      </w:r>
      <w:r>
        <w:rPr>
          <w:rFonts w:ascii="宋体" w:hAnsi="宋体" w:cs="宋体"/>
          <w:color w:val="auto"/>
        </w:rPr>
        <w:t>件</w:t>
      </w:r>
      <w:r>
        <w:rPr>
          <w:rFonts w:hint="eastAsia" w:ascii="宋体" w:hAnsi="宋体" w:cs="宋体"/>
          <w:color w:val="auto"/>
        </w:rPr>
        <w:t>维修</w:t>
      </w:r>
      <w:r>
        <w:rPr>
          <w:rFonts w:ascii="宋体" w:hAnsi="宋体" w:cs="宋体"/>
          <w:color w:val="auto"/>
        </w:rPr>
        <w:t>服务，快速受理故障设备报修，</w:t>
      </w:r>
      <w:r>
        <w:rPr>
          <w:rFonts w:hint="eastAsia" w:ascii="宋体" w:hAnsi="宋体" w:cs="宋体"/>
          <w:color w:val="auto"/>
        </w:rPr>
        <w:t>故障件维修由比选申请人根据比选人评估后进行维修，故障件修复率不低于年度故障返修件的90%，如低于90%，则比选申请人免费用全新件将剩余未修复的故障件进行替换，以达到90%返修件修复率的要求，返修件返回时，由比选申请人负责在比选人提供的设备上进行确认，共同确认返修件的功能状态正常，方可移交比选人。返修件的质保周期不低于3个月，返修件返厂维修所产生的费用由比选申请人负责。</w:t>
      </w:r>
    </w:p>
    <w:p>
      <w:pPr>
        <w:pStyle w:val="16"/>
        <w:spacing w:before="0" w:after="0" w:afterAutospacing="0"/>
        <w:ind w:left="0" w:right="0" w:firstLine="420" w:firstLineChars="200"/>
        <w:rPr>
          <w:rFonts w:hAnsi="宋体"/>
          <w:color w:val="auto"/>
          <w:sz w:val="21"/>
          <w:szCs w:val="21"/>
        </w:rPr>
      </w:pPr>
      <w:r>
        <w:rPr>
          <w:rFonts w:hAnsi="宋体"/>
          <w:color w:val="auto"/>
          <w:sz w:val="21"/>
          <w:szCs w:val="21"/>
        </w:rPr>
        <w:t>2.2.</w:t>
      </w:r>
      <w:r>
        <w:rPr>
          <w:rFonts w:hint="eastAsia" w:hAnsi="宋体"/>
          <w:color w:val="auto"/>
          <w:sz w:val="21"/>
          <w:szCs w:val="21"/>
        </w:rPr>
        <w:t>3.</w:t>
      </w:r>
      <w:r>
        <w:rPr>
          <w:rFonts w:hAnsi="宋体"/>
          <w:color w:val="auto"/>
          <w:sz w:val="21"/>
          <w:szCs w:val="21"/>
        </w:rPr>
        <w:t>4</w:t>
      </w:r>
      <w:r>
        <w:rPr>
          <w:rFonts w:hint="eastAsia" w:hAnsi="宋体"/>
          <w:color w:val="auto"/>
          <w:sz w:val="21"/>
          <w:szCs w:val="21"/>
        </w:rPr>
        <w:t>核心交换机</w:t>
      </w:r>
      <w:r>
        <w:rPr>
          <w:rFonts w:hAnsi="宋体"/>
          <w:color w:val="auto"/>
          <w:sz w:val="21"/>
          <w:szCs w:val="21"/>
        </w:rPr>
        <w:t>现场技术支持服务，包括现场故障诊断、故障处理、现场</w:t>
      </w:r>
      <w:r>
        <w:rPr>
          <w:rFonts w:hint="eastAsia" w:hAnsi="宋体"/>
          <w:color w:val="auto"/>
          <w:sz w:val="21"/>
          <w:szCs w:val="21"/>
        </w:rPr>
        <w:t>故障件</w:t>
      </w:r>
      <w:r>
        <w:rPr>
          <w:rFonts w:hAnsi="宋体"/>
          <w:color w:val="auto"/>
          <w:sz w:val="21"/>
          <w:szCs w:val="21"/>
        </w:rPr>
        <w:t>更换等，当故障不能使用有效的</w:t>
      </w:r>
      <w:r>
        <w:rPr>
          <w:rFonts w:hint="eastAsia" w:hAnsi="宋体"/>
          <w:color w:val="auto"/>
          <w:sz w:val="21"/>
          <w:szCs w:val="21"/>
        </w:rPr>
        <w:t>远程支持方式进行解决时，要求派遣工程师赶往比选人现场，协助进行现场故障诊断及现场故障排除；若</w:t>
      </w:r>
      <w:r>
        <w:rPr>
          <w:rFonts w:hAnsi="宋体"/>
          <w:color w:val="auto"/>
          <w:sz w:val="21"/>
          <w:szCs w:val="21"/>
        </w:rPr>
        <w:t>H3C S1250</w:t>
      </w:r>
      <w:r>
        <w:rPr>
          <w:rFonts w:hint="eastAsia" w:hAnsi="宋体"/>
          <w:color w:val="auto"/>
          <w:sz w:val="21"/>
          <w:szCs w:val="21"/>
        </w:rPr>
        <w:t>8</w:t>
      </w:r>
      <w:r>
        <w:rPr>
          <w:rFonts w:hAnsi="宋体"/>
          <w:color w:val="auto"/>
          <w:sz w:val="21"/>
          <w:szCs w:val="21"/>
        </w:rPr>
        <w:t xml:space="preserve"> </w:t>
      </w:r>
      <w:r>
        <w:rPr>
          <w:rFonts w:hint="eastAsia" w:hAnsi="宋体"/>
          <w:color w:val="auto"/>
          <w:sz w:val="21"/>
          <w:szCs w:val="21"/>
        </w:rPr>
        <w:t>、</w:t>
      </w:r>
      <w:r>
        <w:rPr>
          <w:rFonts w:hAnsi="宋体"/>
          <w:color w:val="auto"/>
          <w:sz w:val="21"/>
          <w:szCs w:val="21"/>
        </w:rPr>
        <w:t>H3C S10506（H3C S10508）华为</w:t>
      </w:r>
      <w:r>
        <w:rPr>
          <w:rFonts w:hint="eastAsia" w:hAnsi="宋体"/>
          <w:color w:val="auto"/>
          <w:sz w:val="21"/>
          <w:szCs w:val="21"/>
        </w:rPr>
        <w:t>S12708及中兴8908E核心</w:t>
      </w:r>
      <w:r>
        <w:rPr>
          <w:rFonts w:hAnsi="宋体"/>
          <w:color w:val="auto"/>
          <w:sz w:val="21"/>
          <w:szCs w:val="21"/>
        </w:rPr>
        <w:t>交换机出现故障时，</w:t>
      </w:r>
      <w:r>
        <w:rPr>
          <w:rFonts w:hint="eastAsia" w:hAnsi="宋体"/>
          <w:color w:val="auto"/>
          <w:sz w:val="21"/>
          <w:szCs w:val="21"/>
        </w:rPr>
        <w:t>运营期间</w:t>
      </w:r>
      <w:r>
        <w:rPr>
          <w:rFonts w:hAnsi="宋体"/>
          <w:color w:val="auto"/>
          <w:sz w:val="21"/>
          <w:szCs w:val="21"/>
        </w:rPr>
        <w:t>工程师</w:t>
      </w:r>
      <w:r>
        <w:rPr>
          <w:rFonts w:hint="eastAsia" w:hAnsi="宋体"/>
          <w:color w:val="auto"/>
          <w:sz w:val="21"/>
          <w:szCs w:val="21"/>
        </w:rPr>
        <w:t>须</w:t>
      </w:r>
      <w:r>
        <w:rPr>
          <w:rFonts w:hAnsi="宋体"/>
          <w:color w:val="auto"/>
          <w:sz w:val="21"/>
          <w:szCs w:val="21"/>
        </w:rPr>
        <w:t>在</w:t>
      </w:r>
      <w:r>
        <w:rPr>
          <w:rFonts w:hint="eastAsia" w:hAnsi="宋体"/>
          <w:color w:val="auto"/>
          <w:sz w:val="21"/>
          <w:szCs w:val="21"/>
        </w:rPr>
        <w:t>0.5</w:t>
      </w:r>
      <w:r>
        <w:rPr>
          <w:rFonts w:hAnsi="宋体"/>
          <w:color w:val="auto"/>
          <w:sz w:val="21"/>
          <w:szCs w:val="21"/>
        </w:rPr>
        <w:t>小时内到达现场配合处理，</w:t>
      </w:r>
      <w:r>
        <w:rPr>
          <w:rFonts w:hint="eastAsia" w:hAnsi="宋体"/>
          <w:color w:val="auto"/>
          <w:sz w:val="21"/>
          <w:szCs w:val="21"/>
        </w:rPr>
        <w:t>非运营期间</w:t>
      </w:r>
      <w:r>
        <w:rPr>
          <w:rFonts w:hAnsi="宋体"/>
          <w:color w:val="auto"/>
          <w:sz w:val="21"/>
          <w:szCs w:val="21"/>
        </w:rPr>
        <w:t>工程师</w:t>
      </w:r>
      <w:r>
        <w:rPr>
          <w:rFonts w:hint="eastAsia" w:hAnsi="宋体"/>
          <w:color w:val="auto"/>
          <w:sz w:val="21"/>
          <w:szCs w:val="21"/>
        </w:rPr>
        <w:t>须</w:t>
      </w:r>
      <w:r>
        <w:rPr>
          <w:rFonts w:hAnsi="宋体"/>
          <w:color w:val="auto"/>
          <w:sz w:val="21"/>
          <w:szCs w:val="21"/>
        </w:rPr>
        <w:t>在</w:t>
      </w:r>
      <w:r>
        <w:rPr>
          <w:rFonts w:hint="eastAsia" w:hAnsi="宋体"/>
          <w:color w:val="auto"/>
          <w:sz w:val="21"/>
          <w:szCs w:val="21"/>
        </w:rPr>
        <w:t>1</w:t>
      </w:r>
      <w:r>
        <w:rPr>
          <w:rFonts w:hAnsi="宋体"/>
          <w:color w:val="auto"/>
          <w:sz w:val="21"/>
          <w:szCs w:val="21"/>
        </w:rPr>
        <w:t>小时内到达现场配合处理</w:t>
      </w:r>
      <w:r>
        <w:rPr>
          <w:rFonts w:hint="eastAsia" w:hAnsi="宋体"/>
          <w:color w:val="auto"/>
          <w:sz w:val="21"/>
          <w:szCs w:val="21"/>
        </w:rPr>
        <w:t>，</w:t>
      </w:r>
      <w:r>
        <w:rPr>
          <w:rFonts w:hAnsi="宋体"/>
          <w:color w:val="auto"/>
          <w:sz w:val="21"/>
          <w:szCs w:val="21"/>
        </w:rPr>
        <w:t>严格控制业务中断时间</w:t>
      </w:r>
      <w:r>
        <w:rPr>
          <w:rFonts w:hint="eastAsia" w:hAnsi="宋体"/>
          <w:color w:val="auto"/>
          <w:sz w:val="21"/>
          <w:szCs w:val="21"/>
        </w:rPr>
        <w:t>；在处理设备故障或者维修过程中，比选申请人工程师应对设备管理、操作人员进行必要的培训和技术交底，使设备管理、操作人员可以了解，并跟进设备的维护维修情况；故障处理工作完成后须向比选人提交服务工作报告。另外，现场技术支持还应包含但不限于以下服务：（</w:t>
      </w:r>
      <w:r>
        <w:rPr>
          <w:rFonts w:hAnsi="宋体"/>
          <w:color w:val="auto"/>
          <w:sz w:val="21"/>
          <w:szCs w:val="21"/>
        </w:rPr>
        <w:t>1）</w:t>
      </w:r>
      <w:r>
        <w:rPr>
          <w:rFonts w:hint="eastAsia" w:hAnsi="宋体"/>
          <w:color w:val="auto"/>
          <w:sz w:val="21"/>
          <w:szCs w:val="21"/>
        </w:rPr>
        <w:t>设备迁移：由于比选人机房搬迁等原因，需要迁移设备的，比选申请人须对比选人进行现场支持，协助设备迁移工作；迁移完成后，协助比选人做好设备调试、系统配置等工作。（</w:t>
      </w:r>
      <w:r>
        <w:rPr>
          <w:rFonts w:hAnsi="宋体"/>
          <w:color w:val="auto"/>
          <w:sz w:val="21"/>
          <w:szCs w:val="21"/>
        </w:rPr>
        <w:t>2</w:t>
      </w:r>
      <w:r>
        <w:rPr>
          <w:rFonts w:hint="eastAsia" w:hAnsi="宋体"/>
          <w:color w:val="auto"/>
          <w:sz w:val="21"/>
          <w:szCs w:val="21"/>
        </w:rPr>
        <w:t>）数据备份迁移：比选人因实际工作需要将设备内数据迁移或者备份至其他设备的，比选申请人须提供协助服务。（</w:t>
      </w:r>
      <w:r>
        <w:rPr>
          <w:rFonts w:hAnsi="宋体"/>
          <w:color w:val="auto"/>
          <w:sz w:val="21"/>
          <w:szCs w:val="21"/>
        </w:rPr>
        <w:t>3）</w:t>
      </w:r>
      <w:r>
        <w:rPr>
          <w:rFonts w:hint="eastAsia" w:hAnsi="宋体"/>
          <w:color w:val="auto"/>
          <w:sz w:val="21"/>
          <w:szCs w:val="21"/>
        </w:rPr>
        <w:t>升级改造：比选人由于业务要求需要进行软硬件升级、改造等重要事件时，比选申请人须安排工师现场协助，提供技术支持。（</w:t>
      </w:r>
      <w:r>
        <w:rPr>
          <w:rFonts w:hAnsi="宋体"/>
          <w:color w:val="auto"/>
          <w:sz w:val="21"/>
          <w:szCs w:val="21"/>
        </w:rPr>
        <w:t>4）应急预案：</w:t>
      </w:r>
      <w:r>
        <w:rPr>
          <w:rFonts w:hint="eastAsia" w:hAnsi="宋体"/>
          <w:color w:val="auto"/>
          <w:sz w:val="21"/>
          <w:szCs w:val="21"/>
        </w:rPr>
        <w:t>根据比选人实际系统运行环境，协助比选人建立系统硬件及相关软件常见故障的恢复流程及紧急处理措施，并协助开展应急演练等工作。</w:t>
      </w:r>
    </w:p>
    <w:p>
      <w:pPr>
        <w:pStyle w:val="16"/>
        <w:spacing w:before="0" w:after="0" w:afterAutospacing="0"/>
        <w:ind w:left="0" w:right="0" w:firstLine="420" w:firstLineChars="200"/>
        <w:rPr>
          <w:rFonts w:hAnsi="宋体"/>
          <w:color w:val="auto"/>
          <w:sz w:val="21"/>
          <w:szCs w:val="21"/>
        </w:rPr>
      </w:pPr>
      <w:r>
        <w:rPr>
          <w:rFonts w:hAnsi="宋体"/>
          <w:color w:val="auto"/>
          <w:sz w:val="21"/>
          <w:szCs w:val="21"/>
        </w:rPr>
        <w:t>2.2.3.5</w:t>
      </w:r>
      <w:r>
        <w:rPr>
          <w:rFonts w:hint="eastAsia" w:hAnsi="宋体"/>
          <w:color w:val="auto"/>
          <w:sz w:val="21"/>
          <w:szCs w:val="21"/>
        </w:rPr>
        <w:t>核心交换机</w:t>
      </w:r>
      <w:r>
        <w:rPr>
          <w:rFonts w:hAnsi="宋体"/>
          <w:color w:val="auto"/>
          <w:sz w:val="21"/>
          <w:szCs w:val="21"/>
        </w:rPr>
        <w:t>版本软件服务，每季度</w:t>
      </w:r>
      <w:r>
        <w:rPr>
          <w:rFonts w:hint="eastAsia" w:hAnsi="宋体"/>
          <w:color w:val="auto"/>
          <w:sz w:val="21"/>
          <w:szCs w:val="21"/>
        </w:rPr>
        <w:t>至少</w:t>
      </w:r>
      <w:r>
        <w:rPr>
          <w:rFonts w:hAnsi="宋体"/>
          <w:color w:val="auto"/>
          <w:sz w:val="21"/>
          <w:szCs w:val="21"/>
        </w:rPr>
        <w:t>评估一次在</w:t>
      </w:r>
      <w:r>
        <w:rPr>
          <w:rFonts w:hint="eastAsia" w:hAnsi="宋体"/>
          <w:color w:val="auto"/>
          <w:sz w:val="21"/>
          <w:szCs w:val="21"/>
        </w:rPr>
        <w:t>网核心设备的版本运行情况，检查整体网络版本一致性，包括但不限于版本软件启动项一致性和版本软件大小一致性，针对隐患设备提供版本升级服务，并做好记录输出报告。</w:t>
      </w:r>
    </w:p>
    <w:p>
      <w:pPr>
        <w:pStyle w:val="16"/>
        <w:spacing w:before="0" w:after="0" w:afterAutospacing="0"/>
        <w:ind w:left="0" w:right="0" w:firstLine="400" w:firstLineChars="200"/>
        <w:rPr>
          <w:rFonts w:hAnsi="宋体"/>
          <w:color w:val="auto"/>
          <w:sz w:val="21"/>
          <w:szCs w:val="21"/>
        </w:rPr>
      </w:pPr>
      <w:r>
        <w:rPr>
          <w:rFonts w:hAnsi="宋体"/>
          <w:color w:val="auto"/>
        </w:rPr>
        <w:t>2.2.3.</w:t>
      </w:r>
      <w:r>
        <w:rPr>
          <w:rFonts w:hint="eastAsia" w:hAnsi="宋体"/>
          <w:color w:val="auto"/>
        </w:rPr>
        <w:t>6</w:t>
      </w:r>
      <w:r>
        <w:rPr>
          <w:rFonts w:hint="eastAsia" w:hAnsi="宋体"/>
          <w:color w:val="auto"/>
          <w:sz w:val="21"/>
          <w:szCs w:val="21"/>
        </w:rPr>
        <w:t>核心交换机</w:t>
      </w:r>
      <w:r>
        <w:rPr>
          <w:rFonts w:hAnsi="宋体"/>
          <w:color w:val="auto"/>
          <w:sz w:val="21"/>
          <w:szCs w:val="21"/>
        </w:rPr>
        <w:t>预防性巡检服务，巡检内容包括但不限于：（1）硬件状态检查：a、</w:t>
      </w:r>
      <w:r>
        <w:rPr>
          <w:rFonts w:hint="eastAsia" w:hAnsi="宋体"/>
          <w:color w:val="auto"/>
          <w:sz w:val="21"/>
          <w:szCs w:val="21"/>
        </w:rPr>
        <w:t>设备硬件健康状态检查，</w:t>
      </w:r>
      <w:r>
        <w:rPr>
          <w:rFonts w:hAnsi="宋体"/>
          <w:color w:val="auto"/>
          <w:sz w:val="21"/>
          <w:szCs w:val="21"/>
        </w:rPr>
        <w:t>b、光模块功率检查，c、光模块告警信息检查，d、</w:t>
      </w:r>
      <w:r>
        <w:rPr>
          <w:rFonts w:hint="eastAsia" w:hAnsi="宋体"/>
          <w:color w:val="auto"/>
          <w:sz w:val="21"/>
          <w:szCs w:val="21"/>
        </w:rPr>
        <w:t>设备网板在位情况检查，</w:t>
      </w:r>
      <w:r>
        <w:rPr>
          <w:rFonts w:hAnsi="宋体"/>
          <w:color w:val="auto"/>
          <w:sz w:val="21"/>
          <w:szCs w:val="21"/>
        </w:rPr>
        <w:t>e</w:t>
      </w:r>
      <w:r>
        <w:rPr>
          <w:rFonts w:hint="eastAsia" w:hAnsi="宋体"/>
          <w:color w:val="auto"/>
          <w:sz w:val="21"/>
          <w:szCs w:val="21"/>
        </w:rPr>
        <w:t>、整机指示灯状态检查，</w:t>
      </w:r>
      <w:r>
        <w:rPr>
          <w:rFonts w:hAnsi="宋体"/>
          <w:color w:val="auto"/>
          <w:sz w:val="21"/>
          <w:szCs w:val="21"/>
        </w:rPr>
        <w:t>f</w:t>
      </w:r>
      <w:r>
        <w:rPr>
          <w:rFonts w:hint="eastAsia" w:hAnsi="宋体"/>
          <w:color w:val="auto"/>
          <w:sz w:val="21"/>
          <w:szCs w:val="21"/>
        </w:rPr>
        <w:t>、设备地线检查；（</w:t>
      </w:r>
      <w:r>
        <w:rPr>
          <w:rFonts w:hAnsi="宋体"/>
          <w:color w:val="auto"/>
          <w:sz w:val="21"/>
          <w:szCs w:val="21"/>
        </w:rPr>
        <w:t>2）软件</w:t>
      </w:r>
      <w:r>
        <w:rPr>
          <w:rFonts w:hint="eastAsia" w:hAnsi="宋体"/>
          <w:color w:val="auto"/>
          <w:sz w:val="21"/>
          <w:szCs w:val="21"/>
        </w:rPr>
        <w:t>状态检查：</w:t>
      </w:r>
      <w:r>
        <w:rPr>
          <w:rFonts w:hAnsi="宋体"/>
          <w:color w:val="auto"/>
          <w:sz w:val="21"/>
          <w:szCs w:val="21"/>
        </w:rPr>
        <w:t>a、接口物理状态检查，</w:t>
      </w:r>
      <w:r>
        <w:rPr>
          <w:rFonts w:hint="eastAsia" w:hAnsi="宋体"/>
          <w:color w:val="auto"/>
          <w:sz w:val="21"/>
          <w:szCs w:val="21"/>
        </w:rPr>
        <w:t>b</w:t>
      </w:r>
      <w:r>
        <w:rPr>
          <w:rFonts w:hAnsi="宋体"/>
          <w:color w:val="auto"/>
          <w:sz w:val="21"/>
          <w:szCs w:val="21"/>
        </w:rPr>
        <w:t>、链路带宽利用率检查，c、设备端口流量工作情况检查，d、物理接口广播报文流量检查，e、设备</w:t>
      </w:r>
      <w:r>
        <w:rPr>
          <w:rFonts w:hint="eastAsia" w:hAnsi="宋体"/>
          <w:color w:val="auto"/>
          <w:sz w:val="21"/>
          <w:szCs w:val="21"/>
        </w:rPr>
        <w:t>虚拟化</w:t>
      </w:r>
      <w:r>
        <w:rPr>
          <w:rFonts w:hAnsi="宋体"/>
          <w:color w:val="auto"/>
          <w:sz w:val="21"/>
          <w:szCs w:val="21"/>
        </w:rPr>
        <w:t>环境下是否存在跨框镜像检查，f</w:t>
      </w:r>
      <w:r>
        <w:rPr>
          <w:rFonts w:hint="eastAsia" w:hAnsi="宋体"/>
          <w:color w:val="auto"/>
          <w:sz w:val="21"/>
          <w:szCs w:val="21"/>
        </w:rPr>
        <w:t>、</w:t>
      </w:r>
      <w:r>
        <w:rPr>
          <w:rFonts w:hAnsi="宋体"/>
          <w:color w:val="auto"/>
          <w:sz w:val="21"/>
          <w:szCs w:val="21"/>
        </w:rPr>
        <w:t>CPU和内存使用率检查；（3</w:t>
      </w:r>
      <w:r>
        <w:rPr>
          <w:rFonts w:hint="eastAsia" w:hAnsi="宋体"/>
          <w:color w:val="auto"/>
          <w:sz w:val="21"/>
          <w:szCs w:val="21"/>
        </w:rPr>
        <w:t>）、协议状态检查：</w:t>
      </w:r>
      <w:r>
        <w:rPr>
          <w:rFonts w:hAnsi="宋体"/>
          <w:color w:val="auto"/>
          <w:sz w:val="21"/>
          <w:szCs w:val="21"/>
        </w:rPr>
        <w:t>a、</w:t>
      </w:r>
      <w:r>
        <w:rPr>
          <w:rFonts w:hint="eastAsia" w:hAnsi="宋体"/>
          <w:color w:val="auto"/>
          <w:sz w:val="21"/>
          <w:szCs w:val="21"/>
        </w:rPr>
        <w:t>堆叠口部署检查，</w:t>
      </w:r>
      <w:r>
        <w:rPr>
          <w:rFonts w:hAnsi="宋体"/>
          <w:color w:val="auto"/>
          <w:sz w:val="21"/>
          <w:szCs w:val="21"/>
        </w:rPr>
        <w:t>b、链路聚合成员端</w:t>
      </w:r>
      <w:r>
        <w:rPr>
          <w:rFonts w:hint="eastAsia" w:hAnsi="宋体"/>
          <w:color w:val="auto"/>
          <w:sz w:val="21"/>
          <w:szCs w:val="21"/>
        </w:rPr>
        <w:t>口跨板</w:t>
      </w:r>
      <w:r>
        <w:rPr>
          <w:rFonts w:hAnsi="宋体"/>
          <w:color w:val="auto"/>
          <w:sz w:val="21"/>
          <w:szCs w:val="21"/>
        </w:rPr>
        <w:t>/跨</w:t>
      </w:r>
      <w:r>
        <w:rPr>
          <w:rFonts w:hint="eastAsia" w:hAnsi="宋体"/>
          <w:color w:val="auto"/>
          <w:sz w:val="21"/>
          <w:szCs w:val="21"/>
        </w:rPr>
        <w:t>框部署检查，</w:t>
      </w:r>
      <w:r>
        <w:rPr>
          <w:rFonts w:hAnsi="宋体"/>
          <w:color w:val="auto"/>
          <w:sz w:val="21"/>
          <w:szCs w:val="21"/>
        </w:rPr>
        <w:t>c、</w:t>
      </w:r>
      <w:r>
        <w:rPr>
          <w:rFonts w:hint="eastAsia" w:hAnsi="宋体"/>
          <w:color w:val="auto"/>
          <w:sz w:val="21"/>
          <w:szCs w:val="21"/>
        </w:rPr>
        <w:t>聚合组成员端口选中状态检查，</w:t>
      </w:r>
      <w:r>
        <w:rPr>
          <w:rFonts w:hAnsi="宋体"/>
          <w:color w:val="auto"/>
          <w:sz w:val="21"/>
          <w:szCs w:val="21"/>
        </w:rPr>
        <w:t>d、OSPF错误统计检查，e、设备动态路由检查；（4</w:t>
      </w:r>
      <w:r>
        <w:rPr>
          <w:rFonts w:hint="eastAsia" w:hAnsi="宋体"/>
          <w:color w:val="auto"/>
          <w:sz w:val="21"/>
          <w:szCs w:val="21"/>
        </w:rPr>
        <w:t>）安全状态检查：</w:t>
      </w:r>
      <w:r>
        <w:rPr>
          <w:rFonts w:hAnsi="宋体"/>
          <w:color w:val="auto"/>
          <w:sz w:val="21"/>
          <w:szCs w:val="21"/>
        </w:rPr>
        <w:t>Login用户登录失败延迟检查；（5</w:t>
      </w:r>
      <w:r>
        <w:rPr>
          <w:rFonts w:hint="eastAsia" w:hAnsi="宋体"/>
          <w:color w:val="auto"/>
          <w:sz w:val="21"/>
          <w:szCs w:val="21"/>
        </w:rPr>
        <w:t>）诊断信息检查：</w:t>
      </w:r>
      <w:r>
        <w:rPr>
          <w:rFonts w:hAnsi="宋体"/>
          <w:color w:val="auto"/>
          <w:sz w:val="21"/>
          <w:szCs w:val="21"/>
        </w:rPr>
        <w:t>端口错</w:t>
      </w:r>
      <w:r>
        <w:rPr>
          <w:rFonts w:hint="eastAsia" w:hAnsi="宋体"/>
          <w:color w:val="auto"/>
          <w:sz w:val="21"/>
          <w:szCs w:val="21"/>
        </w:rPr>
        <w:t>包统计检查；（</w:t>
      </w:r>
      <w:r>
        <w:rPr>
          <w:rFonts w:hAnsi="宋体"/>
          <w:color w:val="auto"/>
          <w:sz w:val="21"/>
          <w:szCs w:val="21"/>
        </w:rPr>
        <w:t>6</w:t>
      </w:r>
      <w:r>
        <w:rPr>
          <w:rFonts w:hint="eastAsia" w:hAnsi="宋体"/>
          <w:color w:val="auto"/>
          <w:sz w:val="21"/>
          <w:szCs w:val="21"/>
        </w:rPr>
        <w:t>）</w:t>
      </w:r>
      <w:r>
        <w:rPr>
          <w:rFonts w:hAnsi="宋体"/>
          <w:color w:val="auto"/>
          <w:sz w:val="21"/>
          <w:szCs w:val="21"/>
        </w:rPr>
        <w:t>配置规范检查：a、特殊配置检查，b、</w:t>
      </w:r>
      <w:r>
        <w:rPr>
          <w:rFonts w:hint="eastAsia" w:hAnsi="宋体"/>
          <w:color w:val="auto"/>
          <w:sz w:val="21"/>
          <w:szCs w:val="21"/>
        </w:rPr>
        <w:t>虚拟化分裂</w:t>
      </w:r>
      <w:r>
        <w:rPr>
          <w:rFonts w:hAnsi="宋体"/>
          <w:color w:val="auto"/>
          <w:sz w:val="21"/>
          <w:szCs w:val="21"/>
        </w:rPr>
        <w:t>检测接口配置检查，c、静态聚合检查，d、NTP报文源接口为loopback接口检查；（</w:t>
      </w:r>
      <w:r>
        <w:rPr>
          <w:rFonts w:hint="eastAsia" w:hAnsi="宋体"/>
          <w:color w:val="auto"/>
          <w:sz w:val="21"/>
          <w:szCs w:val="21"/>
        </w:rPr>
        <w:t>7</w:t>
      </w:r>
      <w:r>
        <w:rPr>
          <w:rFonts w:hAnsi="宋体"/>
          <w:color w:val="auto"/>
          <w:sz w:val="21"/>
          <w:szCs w:val="21"/>
        </w:rPr>
        <w:t>）网络整体运行情况检查：a、网络变更情况检查，b、网络历史故障调查；（</w:t>
      </w:r>
      <w:r>
        <w:rPr>
          <w:rFonts w:hint="eastAsia" w:hAnsi="宋体"/>
          <w:color w:val="auto"/>
          <w:sz w:val="21"/>
          <w:szCs w:val="21"/>
        </w:rPr>
        <w:t>8</w:t>
      </w:r>
      <w:r>
        <w:rPr>
          <w:rFonts w:hAnsi="宋体"/>
          <w:color w:val="auto"/>
          <w:sz w:val="21"/>
          <w:szCs w:val="21"/>
        </w:rPr>
        <w:t>）系统环境及安全备份检查：a、机房及设备环境检查，b、设备系统及配置备份检查</w:t>
      </w:r>
      <w:r>
        <w:rPr>
          <w:rFonts w:hint="eastAsia" w:hAnsi="宋体"/>
          <w:color w:val="auto"/>
          <w:sz w:val="21"/>
          <w:szCs w:val="21"/>
        </w:rPr>
        <w:t>，</w:t>
      </w:r>
      <w:r>
        <w:rPr>
          <w:rFonts w:hAnsi="宋体"/>
          <w:color w:val="auto"/>
          <w:sz w:val="21"/>
          <w:szCs w:val="21"/>
        </w:rPr>
        <w:t>为</w:t>
      </w:r>
      <w:r>
        <w:rPr>
          <w:rFonts w:hint="eastAsia" w:hAnsi="宋体"/>
          <w:color w:val="auto"/>
          <w:sz w:val="21"/>
          <w:szCs w:val="21"/>
        </w:rPr>
        <w:t>比选人</w:t>
      </w:r>
      <w:r>
        <w:rPr>
          <w:rFonts w:hAnsi="宋体"/>
          <w:color w:val="auto"/>
          <w:sz w:val="21"/>
          <w:szCs w:val="21"/>
        </w:rPr>
        <w:t>提供专业的建议，定期保养设备，协助</w:t>
      </w:r>
      <w:r>
        <w:rPr>
          <w:rFonts w:hint="eastAsia" w:hAnsi="宋体"/>
          <w:color w:val="auto"/>
          <w:sz w:val="21"/>
          <w:szCs w:val="21"/>
        </w:rPr>
        <w:t>比选人</w:t>
      </w:r>
      <w:r>
        <w:rPr>
          <w:rFonts w:hAnsi="宋体"/>
          <w:color w:val="auto"/>
          <w:sz w:val="21"/>
          <w:szCs w:val="21"/>
        </w:rPr>
        <w:t>做好系统的备份工作。</w:t>
      </w:r>
      <w:r>
        <w:rPr>
          <w:rFonts w:hint="eastAsia" w:hAnsi="宋体"/>
          <w:color w:val="auto"/>
          <w:sz w:val="21"/>
          <w:szCs w:val="21"/>
        </w:rPr>
        <w:t>巡检完成后输出巡检报告，巡检报告内容应包含巡检的细项、巡检发现的问题、整改建议及措施。</w:t>
      </w:r>
    </w:p>
    <w:p>
      <w:pPr>
        <w:pStyle w:val="16"/>
        <w:spacing w:before="0" w:after="0" w:afterAutospacing="0"/>
        <w:ind w:left="0" w:right="0" w:firstLine="510"/>
        <w:rPr>
          <w:rFonts w:hAnsi="宋体"/>
          <w:color w:val="auto"/>
          <w:sz w:val="21"/>
          <w:szCs w:val="21"/>
        </w:rPr>
      </w:pPr>
      <w:r>
        <w:rPr>
          <w:rFonts w:hAnsi="宋体"/>
          <w:color w:val="auto"/>
          <w:sz w:val="21"/>
          <w:szCs w:val="21"/>
        </w:rPr>
        <w:t>2.2.</w:t>
      </w:r>
      <w:r>
        <w:rPr>
          <w:rFonts w:hint="eastAsia" w:hAnsi="宋体"/>
          <w:color w:val="auto"/>
          <w:sz w:val="21"/>
          <w:szCs w:val="21"/>
        </w:rPr>
        <w:t>3.7</w:t>
      </w:r>
      <w:r>
        <w:rPr>
          <w:rFonts w:hAnsi="宋体"/>
          <w:color w:val="auto"/>
          <w:sz w:val="21"/>
          <w:szCs w:val="21"/>
        </w:rPr>
        <w:t>重要节点工作保障服务，针对</w:t>
      </w:r>
      <w:r>
        <w:rPr>
          <w:rFonts w:hint="eastAsia" w:hAnsi="宋体"/>
          <w:color w:val="auto"/>
          <w:sz w:val="21"/>
          <w:szCs w:val="21"/>
        </w:rPr>
        <w:t>比选人</w:t>
      </w:r>
      <w:r>
        <w:rPr>
          <w:rFonts w:hAnsi="宋体"/>
          <w:color w:val="auto"/>
          <w:sz w:val="21"/>
          <w:szCs w:val="21"/>
        </w:rPr>
        <w:t>网络和业务，在重要时刻，包括重大会议期间、重大节假日、网络安全检查期间、网络重大割接或其它任何可能对业务运营产生重大影响的时刻，</w:t>
      </w:r>
      <w:r>
        <w:rPr>
          <w:rFonts w:hint="eastAsia" w:hAnsi="宋体"/>
          <w:color w:val="auto"/>
          <w:sz w:val="21"/>
          <w:szCs w:val="21"/>
        </w:rPr>
        <w:t>比选申请人</w:t>
      </w:r>
      <w:r>
        <w:rPr>
          <w:rFonts w:hAnsi="宋体"/>
          <w:color w:val="auto"/>
          <w:sz w:val="21"/>
          <w:szCs w:val="21"/>
        </w:rPr>
        <w:t>须为</w:t>
      </w:r>
      <w:r>
        <w:rPr>
          <w:rFonts w:hint="eastAsia" w:hAnsi="宋体"/>
          <w:color w:val="auto"/>
          <w:sz w:val="21"/>
          <w:szCs w:val="21"/>
        </w:rPr>
        <w:t>比选人</w:t>
      </w:r>
      <w:r>
        <w:rPr>
          <w:rFonts w:hAnsi="宋体"/>
          <w:color w:val="auto"/>
          <w:sz w:val="21"/>
          <w:szCs w:val="21"/>
        </w:rPr>
        <w:t>提供专人保障支持，提供应急和保障服务。</w:t>
      </w:r>
    </w:p>
    <w:p>
      <w:pPr>
        <w:pStyle w:val="16"/>
        <w:spacing w:before="0" w:after="0" w:afterAutospacing="0"/>
        <w:ind w:left="0" w:right="0" w:firstLine="510"/>
        <w:rPr>
          <w:rFonts w:hAnsi="宋体"/>
          <w:color w:val="auto"/>
          <w:sz w:val="21"/>
          <w:szCs w:val="21"/>
        </w:rPr>
      </w:pPr>
      <w:r>
        <w:rPr>
          <w:rFonts w:hAnsi="宋体"/>
          <w:color w:val="auto"/>
          <w:sz w:val="21"/>
          <w:szCs w:val="21"/>
        </w:rPr>
        <w:t>2.2.</w:t>
      </w:r>
      <w:r>
        <w:rPr>
          <w:rFonts w:hint="eastAsia" w:hAnsi="宋体"/>
          <w:color w:val="auto"/>
          <w:sz w:val="21"/>
          <w:szCs w:val="21"/>
        </w:rPr>
        <w:t>3.8</w:t>
      </w:r>
      <w:r>
        <w:rPr>
          <w:rFonts w:hAnsi="宋体"/>
          <w:color w:val="auto"/>
          <w:sz w:val="21"/>
          <w:szCs w:val="21"/>
        </w:rPr>
        <w:t>网络系统运行情况调查与分析，包括网络系统运行情况调查与分析、系统变更情况调查与分析、系统历史故障情况调查与分析；为</w:t>
      </w:r>
      <w:r>
        <w:rPr>
          <w:rFonts w:hint="eastAsia" w:hAnsi="宋体"/>
          <w:color w:val="auto"/>
          <w:sz w:val="21"/>
          <w:szCs w:val="21"/>
        </w:rPr>
        <w:t>比选人</w:t>
      </w:r>
      <w:r>
        <w:rPr>
          <w:rFonts w:hAnsi="宋体"/>
          <w:color w:val="auto"/>
          <w:sz w:val="21"/>
          <w:szCs w:val="21"/>
        </w:rPr>
        <w:t>提供合理化建议，以报告的形式提交给</w:t>
      </w:r>
      <w:r>
        <w:rPr>
          <w:rFonts w:hint="eastAsia" w:hAnsi="宋体"/>
          <w:color w:val="auto"/>
          <w:sz w:val="21"/>
          <w:szCs w:val="21"/>
        </w:rPr>
        <w:t>比选人</w:t>
      </w:r>
      <w:r>
        <w:rPr>
          <w:rFonts w:hAnsi="宋体"/>
          <w:color w:val="auto"/>
          <w:sz w:val="21"/>
          <w:szCs w:val="21"/>
        </w:rPr>
        <w:t>,每年至少提供一次。</w:t>
      </w:r>
    </w:p>
    <w:p>
      <w:pPr>
        <w:pStyle w:val="16"/>
        <w:spacing w:before="0" w:after="0" w:afterAutospacing="0"/>
        <w:ind w:left="0" w:right="0" w:firstLine="510"/>
        <w:rPr>
          <w:rFonts w:hAnsi="宋体"/>
          <w:color w:val="auto"/>
          <w:sz w:val="21"/>
          <w:szCs w:val="21"/>
        </w:rPr>
      </w:pPr>
      <w:r>
        <w:rPr>
          <w:rFonts w:hAnsi="宋体"/>
          <w:color w:val="auto"/>
          <w:sz w:val="21"/>
          <w:szCs w:val="21"/>
        </w:rPr>
        <w:t>2.2.</w:t>
      </w:r>
      <w:r>
        <w:rPr>
          <w:rFonts w:hint="eastAsia" w:hAnsi="宋体"/>
          <w:color w:val="auto"/>
          <w:sz w:val="21"/>
          <w:szCs w:val="21"/>
        </w:rPr>
        <w:t>3.9安全加固服务，维保服务期内，根据比选人的安全整改要求，提供安全加固服务，包含但不仅限于设备系统版本补丁修复、设备未使用端口的封堵、安全策略调优等服务，所有涉及变更操作，比选申请人需在自建的测试环境中进行检测并向比选人提供有效的测试报告，经比选人核实批准后方可在服务对象上实施。</w:t>
      </w:r>
    </w:p>
    <w:p>
      <w:pPr>
        <w:pStyle w:val="16"/>
        <w:spacing w:before="0" w:after="0" w:afterAutospacing="0"/>
        <w:ind w:left="0" w:right="0" w:firstLine="510"/>
        <w:rPr>
          <w:rFonts w:hAnsi="宋体"/>
          <w:color w:val="auto"/>
          <w:sz w:val="21"/>
          <w:szCs w:val="21"/>
        </w:rPr>
      </w:pPr>
      <w:r>
        <w:rPr>
          <w:rFonts w:hAnsi="宋体"/>
          <w:color w:val="auto"/>
          <w:sz w:val="21"/>
          <w:szCs w:val="21"/>
        </w:rPr>
        <w:t>2.2.</w:t>
      </w:r>
      <w:r>
        <w:rPr>
          <w:rFonts w:hint="eastAsia" w:hAnsi="宋体"/>
          <w:color w:val="auto"/>
          <w:sz w:val="21"/>
          <w:szCs w:val="21"/>
        </w:rPr>
        <w:t>3.10技能培训，面向比选人提供每季度不少于1</w:t>
      </w:r>
      <w:r>
        <w:rPr>
          <w:rFonts w:hAnsi="宋体"/>
          <w:color w:val="auto"/>
          <w:sz w:val="21"/>
          <w:szCs w:val="21"/>
        </w:rPr>
        <w:t>次技</w:t>
      </w:r>
      <w:r>
        <w:rPr>
          <w:rFonts w:hint="eastAsia" w:hAnsi="宋体"/>
          <w:color w:val="auto"/>
          <w:sz w:val="21"/>
          <w:szCs w:val="21"/>
        </w:rPr>
        <w:t>能</w:t>
      </w:r>
      <w:r>
        <w:rPr>
          <w:rFonts w:hAnsi="宋体"/>
          <w:color w:val="auto"/>
          <w:sz w:val="21"/>
          <w:szCs w:val="21"/>
        </w:rPr>
        <w:t>运维培训。通过技</w:t>
      </w:r>
      <w:r>
        <w:rPr>
          <w:rFonts w:hint="eastAsia" w:hAnsi="宋体"/>
          <w:color w:val="auto"/>
          <w:sz w:val="21"/>
          <w:szCs w:val="21"/>
        </w:rPr>
        <w:t>能</w:t>
      </w:r>
      <w:r>
        <w:rPr>
          <w:rFonts w:hAnsi="宋体"/>
          <w:color w:val="auto"/>
          <w:sz w:val="21"/>
          <w:szCs w:val="21"/>
        </w:rPr>
        <w:t>培训，提高</w:t>
      </w:r>
      <w:r>
        <w:rPr>
          <w:rFonts w:hint="eastAsia" w:hAnsi="宋体"/>
          <w:color w:val="auto"/>
          <w:sz w:val="21"/>
          <w:szCs w:val="21"/>
        </w:rPr>
        <w:t>比选人</w:t>
      </w:r>
      <w:r>
        <w:rPr>
          <w:rFonts w:hAnsi="宋体"/>
          <w:color w:val="auto"/>
          <w:sz w:val="21"/>
          <w:szCs w:val="21"/>
        </w:rPr>
        <w:t>的运</w:t>
      </w:r>
      <w:r>
        <w:rPr>
          <w:rFonts w:hint="eastAsia" w:hAnsi="宋体"/>
          <w:color w:val="auto"/>
          <w:sz w:val="21"/>
          <w:szCs w:val="21"/>
        </w:rPr>
        <w:t>维管理技能；对新进或者调岗新负责设备、系统的现场维护操作人员进行操作应用培训。</w:t>
      </w:r>
    </w:p>
    <w:p>
      <w:pPr>
        <w:pStyle w:val="16"/>
        <w:spacing w:before="0" w:after="0" w:afterAutospacing="0"/>
        <w:ind w:left="0" w:right="0" w:firstLine="510"/>
        <w:rPr>
          <w:rFonts w:hAnsi="宋体"/>
          <w:color w:val="auto"/>
          <w:sz w:val="21"/>
          <w:szCs w:val="21"/>
        </w:rPr>
      </w:pPr>
      <w:r>
        <w:rPr>
          <w:rFonts w:hAnsi="宋体"/>
          <w:color w:val="auto"/>
          <w:sz w:val="21"/>
          <w:szCs w:val="21"/>
        </w:rPr>
        <w:t>2.2.</w:t>
      </w:r>
      <w:r>
        <w:rPr>
          <w:rFonts w:hint="eastAsia" w:hAnsi="宋体"/>
          <w:color w:val="auto"/>
          <w:sz w:val="21"/>
          <w:szCs w:val="21"/>
        </w:rPr>
        <w:t>3.</w:t>
      </w:r>
      <w:r>
        <w:rPr>
          <w:rFonts w:hAnsi="宋体"/>
          <w:color w:val="auto"/>
          <w:sz w:val="21"/>
          <w:szCs w:val="21"/>
        </w:rPr>
        <w:t>1</w:t>
      </w:r>
      <w:r>
        <w:rPr>
          <w:rFonts w:hint="eastAsia" w:hAnsi="宋体"/>
          <w:color w:val="auto"/>
          <w:sz w:val="21"/>
          <w:szCs w:val="21"/>
        </w:rPr>
        <w:t>1技术资料服务，响应比选人的需求，及时提供保障设备、系统正常运行必要的技术资料。</w:t>
      </w:r>
    </w:p>
    <w:p>
      <w:pPr>
        <w:pStyle w:val="16"/>
        <w:spacing w:before="0" w:after="0" w:afterAutospacing="0"/>
        <w:ind w:left="0" w:right="0" w:firstLine="510"/>
        <w:rPr>
          <w:rFonts w:hAnsi="宋体"/>
          <w:color w:val="auto"/>
          <w:sz w:val="21"/>
          <w:szCs w:val="21"/>
        </w:rPr>
      </w:pPr>
      <w:r>
        <w:rPr>
          <w:rFonts w:hAnsi="宋体"/>
          <w:color w:val="auto"/>
          <w:sz w:val="21"/>
          <w:szCs w:val="21"/>
        </w:rPr>
        <w:t>2.2.3.1</w:t>
      </w:r>
      <w:r>
        <w:rPr>
          <w:rFonts w:hint="eastAsia" w:hAnsi="宋体"/>
          <w:color w:val="auto"/>
          <w:sz w:val="21"/>
          <w:szCs w:val="21"/>
        </w:rPr>
        <w:t>2核心交换机备件供应服务，响应比选人的需求，合同签订后，</w:t>
      </w:r>
      <w:r>
        <w:rPr>
          <w:rFonts w:hint="eastAsia" w:hAnsi="宋体"/>
          <w:color w:val="auto"/>
          <w:sz w:val="21"/>
          <w:szCs w:val="21"/>
          <w:lang w:eastAsia="zh-CN"/>
        </w:rPr>
        <w:t>6</w:t>
      </w:r>
      <w:r>
        <w:rPr>
          <w:rFonts w:hint="eastAsia" w:hAnsi="宋体"/>
          <w:color w:val="auto"/>
          <w:sz w:val="21"/>
          <w:szCs w:val="21"/>
          <w:lang w:val="en-US" w:eastAsia="zh-CN"/>
        </w:rPr>
        <w:t>0天</w:t>
      </w:r>
      <w:r>
        <w:rPr>
          <w:rFonts w:hint="eastAsia" w:hAnsi="宋体"/>
          <w:color w:val="auto"/>
          <w:sz w:val="21"/>
          <w:szCs w:val="21"/>
        </w:rPr>
        <w:t>内提供核心交换机板卡备件，要求提供的备件为全新的原厂板卡备件。核心交换机板卡备件供应具体需求详见附件</w:t>
      </w:r>
      <w:r>
        <w:rPr>
          <w:rFonts w:hAnsi="宋体"/>
          <w:color w:val="auto"/>
          <w:sz w:val="21"/>
          <w:szCs w:val="21"/>
        </w:rPr>
        <w:t xml:space="preserve">3 </w:t>
      </w:r>
    </w:p>
    <w:p>
      <w:pPr>
        <w:spacing w:before="0" w:after="0" w:afterAutospacing="0"/>
        <w:ind w:left="0" w:right="0" w:firstLine="0"/>
        <w:rPr>
          <w:color w:val="auto"/>
        </w:rPr>
      </w:pPr>
    </w:p>
    <w:p>
      <w:pPr>
        <w:pStyle w:val="4"/>
        <w:spacing w:before="0" w:after="0" w:afterAutospacing="0"/>
        <w:ind w:left="0" w:leftChars="0" w:right="0" w:rightChars="0" w:firstLine="0"/>
        <w:rPr>
          <w:rFonts w:ascii="黑体" w:hAnsi="黑体" w:eastAsia="黑体"/>
          <w:color w:val="auto"/>
          <w:sz w:val="24"/>
          <w:szCs w:val="24"/>
        </w:rPr>
      </w:pPr>
      <w:bookmarkStart w:id="2199" w:name="_Toc148449367"/>
      <w:bookmarkStart w:id="2200" w:name="_Toc519"/>
      <w:r>
        <w:rPr>
          <w:rFonts w:ascii="黑体" w:hAnsi="黑体" w:eastAsia="黑体"/>
          <w:color w:val="auto"/>
          <w:sz w:val="24"/>
          <w:szCs w:val="24"/>
        </w:rPr>
        <w:t>3项目</w:t>
      </w:r>
      <w:r>
        <w:rPr>
          <w:rFonts w:hint="eastAsia" w:ascii="黑体" w:hAnsi="黑体" w:eastAsia="黑体"/>
          <w:color w:val="auto"/>
          <w:sz w:val="24"/>
          <w:szCs w:val="24"/>
        </w:rPr>
        <w:t>承包方式及服务期</w:t>
      </w:r>
      <w:bookmarkEnd w:id="2199"/>
      <w:bookmarkEnd w:id="2200"/>
    </w:p>
    <w:p>
      <w:pPr>
        <w:spacing w:before="0" w:after="0" w:afterAutospacing="0"/>
        <w:ind w:left="0" w:right="0" w:firstLine="0"/>
        <w:outlineLvl w:val="1"/>
        <w:rPr>
          <w:b/>
          <w:color w:val="auto"/>
        </w:rPr>
      </w:pPr>
      <w:bookmarkStart w:id="2201" w:name="_Toc23494"/>
      <w:bookmarkStart w:id="2202" w:name="_Toc148449368"/>
      <w:r>
        <w:rPr>
          <w:b/>
          <w:color w:val="auto"/>
        </w:rPr>
        <w:t>3.1</w:t>
      </w:r>
      <w:r>
        <w:rPr>
          <w:rFonts w:hint="eastAsia"/>
          <w:b/>
          <w:color w:val="auto"/>
        </w:rPr>
        <w:t>承包方式</w:t>
      </w:r>
      <w:bookmarkEnd w:id="2201"/>
      <w:bookmarkEnd w:id="2202"/>
    </w:p>
    <w:p>
      <w:pPr>
        <w:pStyle w:val="66"/>
        <w:ind w:firstLine="420"/>
        <w:jc w:val="both"/>
        <w:rPr>
          <w:color w:val="auto"/>
          <w:sz w:val="21"/>
          <w:szCs w:val="21"/>
        </w:rPr>
      </w:pPr>
      <w:r>
        <w:rPr>
          <w:rFonts w:hint="eastAsia" w:cs="宋体"/>
          <w:color w:val="auto"/>
          <w:sz w:val="21"/>
          <w:szCs w:val="21"/>
        </w:rPr>
        <w:t>本维保维修项目承包方式：采用部分总价包干与单次计价方式相结合的形式：</w:t>
      </w:r>
    </w:p>
    <w:p>
      <w:pPr>
        <w:pStyle w:val="66"/>
        <w:ind w:firstLine="420"/>
        <w:jc w:val="both"/>
        <w:rPr>
          <w:color w:val="auto"/>
          <w:sz w:val="21"/>
          <w:szCs w:val="21"/>
        </w:rPr>
      </w:pPr>
      <w:r>
        <w:rPr>
          <w:rFonts w:cs="宋体"/>
          <w:color w:val="auto"/>
          <w:sz w:val="21"/>
          <w:szCs w:val="21"/>
        </w:rPr>
        <w:t xml:space="preserve">1. </w:t>
      </w:r>
      <w:r>
        <w:rPr>
          <w:rFonts w:hint="eastAsia" w:cs="宋体"/>
          <w:color w:val="auto"/>
          <w:sz w:val="21"/>
          <w:szCs w:val="21"/>
        </w:rPr>
        <w:t>核心交换机备件供应实行总价包干形式，费用《</w:t>
      </w:r>
      <w:r>
        <w:rPr>
          <w:rFonts w:hint="eastAsia"/>
          <w:color w:val="auto"/>
          <w:sz w:val="21"/>
          <w:szCs w:val="21"/>
        </w:rPr>
        <w:t>核心交换机板卡备件供应报价表</w:t>
      </w:r>
      <w:r>
        <w:rPr>
          <w:rFonts w:hint="eastAsia" w:cs="宋体"/>
          <w:color w:val="auto"/>
          <w:sz w:val="21"/>
          <w:szCs w:val="21"/>
        </w:rPr>
        <w:t>》的总价格进行结算。</w:t>
      </w:r>
    </w:p>
    <w:p>
      <w:pPr>
        <w:pStyle w:val="66"/>
        <w:ind w:firstLine="420"/>
        <w:jc w:val="both"/>
        <w:rPr>
          <w:color w:val="auto"/>
          <w:sz w:val="21"/>
          <w:szCs w:val="21"/>
        </w:rPr>
      </w:pPr>
      <w:r>
        <w:rPr>
          <w:rFonts w:cs="宋体"/>
          <w:color w:val="auto"/>
          <w:sz w:val="21"/>
          <w:szCs w:val="21"/>
        </w:rPr>
        <w:t>2.</w:t>
      </w:r>
      <w:r>
        <w:rPr>
          <w:rFonts w:hint="eastAsia" w:cs="宋体"/>
          <w:color w:val="auto"/>
          <w:sz w:val="21"/>
          <w:szCs w:val="21"/>
        </w:rPr>
        <w:t xml:space="preserve"> 核心交换机现场技术支持服务、核心交换机版本软件服务</w:t>
      </w:r>
      <w:r>
        <w:rPr>
          <w:rFonts w:cs="宋体"/>
          <w:color w:val="auto"/>
          <w:sz w:val="21"/>
          <w:szCs w:val="21"/>
        </w:rPr>
        <w:t>、</w:t>
      </w:r>
      <w:r>
        <w:rPr>
          <w:rFonts w:hint="eastAsia" w:cs="宋体"/>
          <w:color w:val="auto"/>
          <w:sz w:val="21"/>
          <w:szCs w:val="21"/>
        </w:rPr>
        <w:t>网络安全加固服务</w:t>
      </w:r>
      <w:r>
        <w:rPr>
          <w:rFonts w:cs="宋体"/>
          <w:color w:val="auto"/>
          <w:sz w:val="21"/>
          <w:szCs w:val="21"/>
        </w:rPr>
        <w:t>以及</w:t>
      </w:r>
      <w:r>
        <w:rPr>
          <w:rFonts w:hint="eastAsia" w:cs="宋体"/>
          <w:color w:val="auto"/>
          <w:sz w:val="21"/>
          <w:szCs w:val="21"/>
        </w:rPr>
        <w:t>技能培训按照实际发生次数进行计量。核心交换机预防性巡检</w:t>
      </w:r>
      <w:r>
        <w:rPr>
          <w:rFonts w:cs="宋体"/>
          <w:color w:val="auto"/>
          <w:sz w:val="21"/>
          <w:szCs w:val="21"/>
        </w:rPr>
        <w:t>服务</w:t>
      </w:r>
      <w:r>
        <w:rPr>
          <w:rFonts w:hint="eastAsia" w:cs="宋体"/>
          <w:color w:val="auto"/>
          <w:sz w:val="21"/>
          <w:szCs w:val="21"/>
        </w:rPr>
        <w:t>、重要节点工作保障</w:t>
      </w:r>
      <w:r>
        <w:rPr>
          <w:rFonts w:cs="宋体"/>
          <w:color w:val="auto"/>
          <w:sz w:val="21"/>
          <w:szCs w:val="21"/>
        </w:rPr>
        <w:t>服务</w:t>
      </w:r>
      <w:r>
        <w:rPr>
          <w:rFonts w:hint="eastAsia" w:cs="宋体"/>
          <w:color w:val="auto"/>
          <w:sz w:val="21"/>
          <w:szCs w:val="21"/>
        </w:rPr>
        <w:t>按照实际发生的人天数进行计量。费用以《南宁轨道交通1-5号线办公网交换机设备委外维保维修服务采购项目技术服务报价表》的价格计价，按实际发生的次数和人天数进行计量结算。</w:t>
      </w:r>
    </w:p>
    <w:p>
      <w:pPr>
        <w:pStyle w:val="66"/>
        <w:ind w:firstLine="420"/>
        <w:jc w:val="both"/>
        <w:rPr>
          <w:rFonts w:cs="宋体"/>
          <w:color w:val="auto"/>
          <w:sz w:val="21"/>
          <w:szCs w:val="21"/>
        </w:rPr>
      </w:pPr>
      <w:r>
        <w:rPr>
          <w:rFonts w:cs="宋体"/>
          <w:color w:val="auto"/>
          <w:sz w:val="21"/>
          <w:szCs w:val="21"/>
        </w:rPr>
        <w:t xml:space="preserve">3. </w:t>
      </w:r>
      <w:r>
        <w:rPr>
          <w:rFonts w:hint="eastAsia" w:cs="宋体"/>
          <w:color w:val="auto"/>
          <w:sz w:val="21"/>
          <w:szCs w:val="21"/>
        </w:rPr>
        <w:t>设备故障件维修的费用以《南宁轨道交通</w:t>
      </w:r>
      <w:r>
        <w:rPr>
          <w:rFonts w:cs="宋体"/>
          <w:color w:val="auto"/>
          <w:sz w:val="21"/>
          <w:szCs w:val="21"/>
        </w:rPr>
        <w:t>1-5</w:t>
      </w:r>
      <w:r>
        <w:rPr>
          <w:rFonts w:hint="eastAsia" w:cs="宋体"/>
          <w:color w:val="auto"/>
          <w:sz w:val="21"/>
          <w:szCs w:val="21"/>
        </w:rPr>
        <w:t>号线办公网交换机设备委外维保维修服务采购项目返修件投标报价表》中的价格计价，按实际发生的维修次数计量结算。</w:t>
      </w:r>
    </w:p>
    <w:p>
      <w:pPr>
        <w:pStyle w:val="66"/>
        <w:ind w:firstLine="420"/>
        <w:jc w:val="both"/>
        <w:rPr>
          <w:color w:val="auto"/>
          <w:sz w:val="21"/>
          <w:szCs w:val="21"/>
        </w:rPr>
      </w:pPr>
      <w:r>
        <w:rPr>
          <w:rFonts w:hint="eastAsia" w:cs="宋体"/>
          <w:color w:val="auto"/>
          <w:sz w:val="21"/>
          <w:szCs w:val="21"/>
        </w:rPr>
        <w:t>本项目不允许联合体投标，不允许任何形式的转包或分包。</w:t>
      </w:r>
    </w:p>
    <w:p>
      <w:pPr>
        <w:spacing w:before="0" w:after="0" w:afterAutospacing="0"/>
        <w:ind w:left="0" w:right="0" w:firstLine="0"/>
        <w:outlineLvl w:val="1"/>
        <w:rPr>
          <w:b/>
          <w:color w:val="auto"/>
        </w:rPr>
      </w:pPr>
      <w:bookmarkStart w:id="2203" w:name="_Toc148449369"/>
      <w:bookmarkStart w:id="2204" w:name="_Toc20583"/>
      <w:r>
        <w:rPr>
          <w:b/>
          <w:color w:val="auto"/>
        </w:rPr>
        <w:t>3.2</w:t>
      </w:r>
      <w:r>
        <w:rPr>
          <w:rFonts w:hint="eastAsia"/>
          <w:b/>
          <w:color w:val="auto"/>
        </w:rPr>
        <w:t>计划服务期</w:t>
      </w:r>
      <w:bookmarkEnd w:id="2203"/>
      <w:bookmarkEnd w:id="2204"/>
    </w:p>
    <w:p>
      <w:pPr>
        <w:pStyle w:val="16"/>
        <w:spacing w:before="0" w:after="0" w:afterAutospacing="0"/>
        <w:ind w:left="0" w:right="0" w:firstLine="510"/>
        <w:rPr>
          <w:rFonts w:hAnsi="宋体"/>
          <w:color w:val="auto"/>
          <w:highlight w:val="none"/>
        </w:rPr>
      </w:pPr>
      <w:r>
        <w:rPr>
          <w:rFonts w:hAnsi="宋体"/>
          <w:color w:val="auto"/>
          <w:sz w:val="21"/>
          <w:szCs w:val="21"/>
          <w:highlight w:val="none"/>
        </w:rPr>
        <w:t>12</w:t>
      </w:r>
      <w:r>
        <w:rPr>
          <w:rFonts w:hint="eastAsia" w:hAnsi="宋体"/>
          <w:color w:val="auto"/>
          <w:sz w:val="21"/>
          <w:szCs w:val="21"/>
          <w:highlight w:val="none"/>
        </w:rPr>
        <w:t>个月，具体合同开始时间以进场通知书为准</w:t>
      </w:r>
      <w:r>
        <w:rPr>
          <w:rFonts w:hint="eastAsia" w:hAnsi="宋体"/>
          <w:color w:val="auto"/>
          <w:sz w:val="21"/>
          <w:szCs w:val="21"/>
          <w:highlight w:val="none"/>
          <w:lang w:eastAsia="zh-CN"/>
        </w:rPr>
        <w:t>。</w:t>
      </w:r>
      <w:r>
        <w:rPr>
          <w:rFonts w:hint="eastAsia" w:hAnsi="宋体"/>
          <w:sz w:val="21"/>
          <w:szCs w:val="21"/>
          <w:highlight w:val="none"/>
        </w:rPr>
        <w:t>合同签订后，</w:t>
      </w:r>
      <w:r>
        <w:rPr>
          <w:rFonts w:hint="eastAsia" w:hAnsi="宋体"/>
          <w:sz w:val="21"/>
          <w:szCs w:val="21"/>
          <w:highlight w:val="none"/>
          <w:lang w:eastAsia="zh-CN"/>
        </w:rPr>
        <w:t>6</w:t>
      </w:r>
      <w:r>
        <w:rPr>
          <w:rFonts w:hint="eastAsia" w:hAnsi="宋体"/>
          <w:sz w:val="21"/>
          <w:szCs w:val="21"/>
          <w:highlight w:val="none"/>
          <w:lang w:val="en-US" w:eastAsia="zh-CN"/>
        </w:rPr>
        <w:t>0天</w:t>
      </w:r>
      <w:r>
        <w:rPr>
          <w:rFonts w:hint="eastAsia" w:hAnsi="宋体"/>
          <w:sz w:val="21"/>
          <w:szCs w:val="21"/>
          <w:highlight w:val="none"/>
        </w:rPr>
        <w:t>内提供核心交换机板卡备件</w:t>
      </w:r>
      <w:r>
        <w:rPr>
          <w:rFonts w:hint="eastAsia" w:hAnsi="宋体"/>
          <w:color w:val="auto"/>
          <w:sz w:val="21"/>
          <w:szCs w:val="21"/>
          <w:highlight w:val="none"/>
        </w:rPr>
        <w:t>。</w:t>
      </w:r>
    </w:p>
    <w:p>
      <w:pPr>
        <w:pStyle w:val="4"/>
        <w:spacing w:before="0" w:after="0" w:afterAutospacing="0"/>
        <w:ind w:left="0" w:leftChars="0" w:right="0" w:rightChars="0" w:firstLine="0"/>
        <w:rPr>
          <w:rFonts w:ascii="黑体" w:hAnsi="黑体" w:eastAsia="黑体"/>
          <w:color w:val="auto"/>
          <w:sz w:val="24"/>
          <w:szCs w:val="24"/>
        </w:rPr>
      </w:pPr>
      <w:bookmarkStart w:id="2205" w:name="_Toc11799"/>
      <w:bookmarkStart w:id="2206" w:name="_Toc148449370"/>
      <w:r>
        <w:rPr>
          <w:rFonts w:hint="eastAsia" w:ascii="黑体" w:hAnsi="黑体" w:eastAsia="黑体"/>
          <w:color w:val="auto"/>
          <w:sz w:val="24"/>
          <w:szCs w:val="24"/>
        </w:rPr>
        <w:t>4 项目技术标准、规范及要求：</w:t>
      </w:r>
      <w:bookmarkEnd w:id="2205"/>
      <w:bookmarkEnd w:id="2206"/>
    </w:p>
    <w:p>
      <w:pPr>
        <w:spacing w:before="0" w:after="0" w:afterAutospacing="0"/>
        <w:ind w:left="0" w:right="0" w:firstLine="0"/>
        <w:outlineLvl w:val="1"/>
        <w:rPr>
          <w:b/>
          <w:color w:val="auto"/>
        </w:rPr>
      </w:pPr>
      <w:bookmarkStart w:id="2207" w:name="_Toc148449371"/>
      <w:bookmarkStart w:id="2208" w:name="_Toc24252"/>
      <w:r>
        <w:rPr>
          <w:b/>
          <w:color w:val="auto"/>
        </w:rPr>
        <w:t>4.1</w:t>
      </w:r>
      <w:r>
        <w:rPr>
          <w:rFonts w:hint="eastAsia"/>
          <w:b/>
          <w:color w:val="auto"/>
        </w:rPr>
        <w:t>标准适用原则</w:t>
      </w:r>
      <w:bookmarkEnd w:id="2207"/>
      <w:bookmarkEnd w:id="2208"/>
    </w:p>
    <w:p>
      <w:pPr>
        <w:pStyle w:val="16"/>
        <w:spacing w:before="0" w:after="0" w:afterAutospacing="0"/>
        <w:ind w:left="0" w:right="0" w:firstLine="510"/>
        <w:rPr>
          <w:rFonts w:hAnsi="宋体"/>
          <w:color w:val="auto"/>
          <w:sz w:val="21"/>
          <w:szCs w:val="21"/>
        </w:rPr>
      </w:pPr>
      <w:r>
        <w:rPr>
          <w:rFonts w:hint="eastAsia" w:hAnsi="宋体"/>
          <w:color w:val="auto"/>
          <w:sz w:val="21"/>
          <w:szCs w:val="21"/>
        </w:rPr>
        <w:t>1.本项目须满足各类国家及行业标准，包括但不限于国家相关标准、轨道交通行业通用和专用标准、自治区及南宁市轨道交通相关标准等。</w:t>
      </w:r>
    </w:p>
    <w:p>
      <w:pPr>
        <w:pStyle w:val="16"/>
        <w:spacing w:before="0" w:after="0" w:afterAutospacing="0"/>
        <w:ind w:left="0" w:right="0" w:firstLine="510"/>
        <w:rPr>
          <w:rFonts w:hAnsi="宋体"/>
          <w:color w:val="auto"/>
          <w:sz w:val="21"/>
          <w:szCs w:val="21"/>
        </w:rPr>
      </w:pPr>
      <w:r>
        <w:rPr>
          <w:rFonts w:hint="eastAsia" w:hAnsi="宋体"/>
          <w:color w:val="auto"/>
          <w:sz w:val="21"/>
          <w:szCs w:val="21"/>
        </w:rPr>
        <w:t>2.本项目须满足比选人单位的相关标准或要求：</w:t>
      </w:r>
    </w:p>
    <w:p>
      <w:pPr>
        <w:pStyle w:val="66"/>
        <w:ind w:firstLine="420"/>
        <w:jc w:val="both"/>
        <w:rPr>
          <w:rFonts w:cs="宋体"/>
          <w:color w:val="auto"/>
          <w:sz w:val="21"/>
          <w:szCs w:val="21"/>
        </w:rPr>
      </w:pPr>
      <w:r>
        <w:rPr>
          <w:rFonts w:hint="eastAsia" w:cs="宋体"/>
          <w:color w:val="auto"/>
          <w:sz w:val="21"/>
          <w:szCs w:val="21"/>
        </w:rPr>
        <w:t>（1）比选人的企业标准；</w:t>
      </w:r>
    </w:p>
    <w:p>
      <w:pPr>
        <w:pStyle w:val="66"/>
        <w:ind w:firstLine="420"/>
        <w:jc w:val="both"/>
        <w:rPr>
          <w:rFonts w:cs="宋体"/>
          <w:color w:val="auto"/>
          <w:sz w:val="21"/>
          <w:szCs w:val="21"/>
        </w:rPr>
      </w:pPr>
      <w:r>
        <w:rPr>
          <w:rFonts w:hint="eastAsia" w:cs="宋体"/>
          <w:color w:val="auto"/>
          <w:sz w:val="21"/>
          <w:szCs w:val="21"/>
        </w:rPr>
        <w:t>（2）比选人的规章制度；</w:t>
      </w:r>
    </w:p>
    <w:p>
      <w:pPr>
        <w:pStyle w:val="66"/>
        <w:ind w:firstLine="420"/>
        <w:jc w:val="both"/>
        <w:rPr>
          <w:rFonts w:cs="宋体"/>
          <w:color w:val="auto"/>
          <w:sz w:val="21"/>
          <w:szCs w:val="21"/>
        </w:rPr>
      </w:pPr>
      <w:r>
        <w:rPr>
          <w:rFonts w:hint="eastAsia" w:cs="宋体"/>
          <w:color w:val="auto"/>
          <w:sz w:val="21"/>
          <w:szCs w:val="21"/>
        </w:rPr>
        <w:t>（3）比选人单位的各种会议纪要、决议、通知等；</w:t>
      </w:r>
    </w:p>
    <w:p>
      <w:pPr>
        <w:pStyle w:val="66"/>
        <w:ind w:firstLine="420"/>
        <w:jc w:val="both"/>
        <w:rPr>
          <w:rFonts w:cs="宋体"/>
          <w:color w:val="auto"/>
          <w:sz w:val="21"/>
          <w:szCs w:val="21"/>
        </w:rPr>
      </w:pPr>
      <w:r>
        <w:rPr>
          <w:rFonts w:hint="eastAsia" w:cs="宋体"/>
          <w:color w:val="auto"/>
          <w:sz w:val="21"/>
          <w:szCs w:val="21"/>
        </w:rPr>
        <w:t>（4）比选人制定的设备检修规程、设备操作指南、故障处理指南、规章制度等；</w:t>
      </w:r>
    </w:p>
    <w:p>
      <w:pPr>
        <w:pStyle w:val="66"/>
        <w:ind w:firstLine="420"/>
        <w:jc w:val="both"/>
        <w:rPr>
          <w:rFonts w:cs="宋体"/>
          <w:color w:val="auto"/>
          <w:sz w:val="21"/>
          <w:szCs w:val="21"/>
        </w:rPr>
      </w:pPr>
      <w:r>
        <w:rPr>
          <w:rFonts w:hint="eastAsia" w:cs="宋体"/>
          <w:color w:val="auto"/>
          <w:sz w:val="21"/>
          <w:szCs w:val="21"/>
        </w:rPr>
        <w:t>（5）以上均未涉及的，由比选人与比选申请人共同商定。</w:t>
      </w:r>
    </w:p>
    <w:p>
      <w:pPr>
        <w:pStyle w:val="16"/>
        <w:spacing w:before="0" w:after="0" w:afterAutospacing="0"/>
        <w:ind w:left="0" w:right="0" w:firstLine="510"/>
        <w:rPr>
          <w:rFonts w:hAnsi="宋体"/>
          <w:color w:val="auto"/>
          <w:sz w:val="21"/>
          <w:szCs w:val="21"/>
        </w:rPr>
      </w:pPr>
      <w:r>
        <w:rPr>
          <w:rFonts w:hint="eastAsia" w:hAnsi="宋体"/>
          <w:color w:val="auto"/>
          <w:sz w:val="21"/>
          <w:szCs w:val="21"/>
        </w:rPr>
        <w:t>3.本项目采用的各类标准或要求，如有最新版本，则按新版本执行，同一权威等级取标准高者。</w:t>
      </w:r>
    </w:p>
    <w:p>
      <w:pPr>
        <w:pStyle w:val="16"/>
        <w:spacing w:before="0" w:after="0" w:afterAutospacing="0"/>
        <w:ind w:left="0" w:right="0" w:firstLine="510"/>
        <w:rPr>
          <w:rFonts w:hAnsi="宋体"/>
          <w:color w:val="auto"/>
          <w:sz w:val="21"/>
          <w:szCs w:val="21"/>
        </w:rPr>
      </w:pPr>
      <w:r>
        <w:rPr>
          <w:rFonts w:hint="eastAsia" w:hAnsi="宋体"/>
          <w:color w:val="auto"/>
          <w:sz w:val="21"/>
          <w:szCs w:val="21"/>
        </w:rPr>
        <w:t>4.广西区、南宁市有关规程、规定及要求，未尽部分符合国家现行的有关标准和规范，且当上述标准的内容与其他文件或具体条款描述矛盾时，按较高要求执行。</w:t>
      </w:r>
    </w:p>
    <w:p>
      <w:pPr>
        <w:pStyle w:val="16"/>
        <w:spacing w:before="0" w:after="0" w:afterAutospacing="0"/>
        <w:ind w:left="0" w:right="0" w:firstLine="510"/>
        <w:rPr>
          <w:rFonts w:hAnsi="宋体"/>
          <w:color w:val="auto"/>
          <w:sz w:val="21"/>
          <w:szCs w:val="21"/>
        </w:rPr>
      </w:pPr>
      <w:r>
        <w:rPr>
          <w:rFonts w:hint="eastAsia" w:hAnsi="宋体"/>
          <w:color w:val="auto"/>
          <w:sz w:val="21"/>
          <w:szCs w:val="21"/>
        </w:rPr>
        <w:t>5.</w:t>
      </w:r>
      <w:r>
        <w:rPr>
          <w:rFonts w:hAnsi="宋体"/>
          <w:color w:val="auto"/>
          <w:sz w:val="21"/>
          <w:szCs w:val="21"/>
        </w:rPr>
        <w:t xml:space="preserve"> </w:t>
      </w:r>
      <w:r>
        <w:rPr>
          <w:rFonts w:hint="eastAsia" w:hAnsi="宋体"/>
          <w:color w:val="auto"/>
          <w:sz w:val="21"/>
          <w:szCs w:val="21"/>
        </w:rPr>
        <w:t>本项目所用产品的安装、安全至少满足下列标准、规范及相关引用标准和规范。如果有新的标准，则按照新的标准执行，比选申请人不能因此要求增加任何费用。</w:t>
      </w:r>
    </w:p>
    <w:p>
      <w:pPr>
        <w:spacing w:before="0" w:after="0" w:afterAutospacing="0"/>
        <w:ind w:left="0" w:right="0" w:firstLine="0"/>
        <w:outlineLvl w:val="1"/>
        <w:rPr>
          <w:b/>
          <w:color w:val="auto"/>
        </w:rPr>
      </w:pPr>
      <w:bookmarkStart w:id="2209" w:name="_Toc16026"/>
      <w:bookmarkStart w:id="2210" w:name="_Toc148449372"/>
      <w:r>
        <w:rPr>
          <w:b/>
          <w:color w:val="auto"/>
        </w:rPr>
        <w:t>4.2</w:t>
      </w:r>
      <w:r>
        <w:rPr>
          <w:rFonts w:hint="eastAsia"/>
          <w:b/>
          <w:color w:val="auto"/>
        </w:rPr>
        <w:t>国家技术标准及行业技术标准</w:t>
      </w:r>
      <w:bookmarkEnd w:id="2209"/>
      <w:bookmarkEnd w:id="2210"/>
    </w:p>
    <w:p>
      <w:pPr>
        <w:spacing w:before="0" w:after="0" w:afterAutospacing="0"/>
        <w:ind w:left="0" w:right="0" w:firstLine="420" w:firstLineChars="200"/>
        <w:rPr>
          <w:rFonts w:ascii="宋体" w:hAnsi="宋体"/>
          <w:color w:val="auto"/>
        </w:rPr>
      </w:pPr>
      <w:r>
        <w:rPr>
          <w:rFonts w:hint="eastAsia" w:ascii="宋体" w:hAnsi="宋体"/>
          <w:color w:val="auto"/>
        </w:rPr>
        <w:t>国家相关规范、地铁行业标准，包括不限于:</w:t>
      </w:r>
    </w:p>
    <w:p>
      <w:pPr>
        <w:pStyle w:val="66"/>
        <w:tabs>
          <w:tab w:val="left" w:pos="640"/>
        </w:tabs>
        <w:ind w:firstLine="420"/>
        <w:rPr>
          <w:rFonts w:cs="宋体"/>
          <w:color w:val="auto"/>
          <w:sz w:val="21"/>
          <w:szCs w:val="21"/>
        </w:rPr>
      </w:pPr>
      <w:r>
        <w:rPr>
          <w:rFonts w:cs="宋体"/>
          <w:color w:val="auto"/>
          <w:sz w:val="21"/>
          <w:szCs w:val="21"/>
        </w:rPr>
        <w:t xml:space="preserve">GB 50490-2009  </w:t>
      </w:r>
      <w:r>
        <w:rPr>
          <w:rFonts w:hint="eastAsia" w:cs="宋体"/>
          <w:color w:val="auto"/>
          <w:sz w:val="21"/>
          <w:szCs w:val="21"/>
        </w:rPr>
        <w:t>城市轨道交通技术规范</w:t>
      </w:r>
    </w:p>
    <w:p>
      <w:pPr>
        <w:pStyle w:val="66"/>
        <w:tabs>
          <w:tab w:val="left" w:pos="640"/>
        </w:tabs>
        <w:ind w:firstLine="420"/>
        <w:rPr>
          <w:rFonts w:cs="宋体"/>
          <w:color w:val="auto"/>
          <w:sz w:val="21"/>
          <w:szCs w:val="21"/>
        </w:rPr>
      </w:pPr>
      <w:r>
        <w:rPr>
          <w:rFonts w:cs="宋体"/>
          <w:color w:val="auto"/>
          <w:sz w:val="21"/>
          <w:szCs w:val="21"/>
        </w:rPr>
        <w:t xml:space="preserve">GB 50157-2013  </w:t>
      </w:r>
      <w:r>
        <w:rPr>
          <w:rFonts w:hint="eastAsia" w:cs="宋体"/>
          <w:color w:val="auto"/>
          <w:sz w:val="21"/>
          <w:szCs w:val="21"/>
        </w:rPr>
        <w:t>地铁设计规范</w:t>
      </w:r>
    </w:p>
    <w:p>
      <w:pPr>
        <w:pStyle w:val="66"/>
        <w:tabs>
          <w:tab w:val="left" w:pos="640"/>
        </w:tabs>
        <w:ind w:firstLine="420"/>
        <w:rPr>
          <w:rFonts w:cs="宋体"/>
          <w:color w:val="auto"/>
          <w:sz w:val="21"/>
          <w:szCs w:val="21"/>
        </w:rPr>
      </w:pPr>
      <w:r>
        <w:rPr>
          <w:rFonts w:cs="宋体"/>
          <w:color w:val="auto"/>
          <w:sz w:val="21"/>
          <w:szCs w:val="21"/>
        </w:rPr>
        <w:t xml:space="preserve">GB 50382-2016  </w:t>
      </w:r>
      <w:r>
        <w:rPr>
          <w:rFonts w:hint="eastAsia" w:cs="宋体"/>
          <w:color w:val="auto"/>
          <w:sz w:val="21"/>
          <w:szCs w:val="21"/>
        </w:rPr>
        <w:t>城市轨道交通通信工程质量验收规范</w:t>
      </w:r>
    </w:p>
    <w:p>
      <w:pPr>
        <w:pStyle w:val="66"/>
        <w:tabs>
          <w:tab w:val="left" w:pos="640"/>
        </w:tabs>
        <w:ind w:firstLine="420"/>
        <w:rPr>
          <w:rFonts w:cs="宋体"/>
          <w:color w:val="auto"/>
          <w:sz w:val="21"/>
          <w:szCs w:val="21"/>
        </w:rPr>
      </w:pPr>
      <w:r>
        <w:rPr>
          <w:rFonts w:cs="宋体"/>
          <w:color w:val="auto"/>
          <w:sz w:val="21"/>
          <w:szCs w:val="21"/>
        </w:rPr>
        <w:t xml:space="preserve">GB/T 28001-2011  </w:t>
      </w:r>
      <w:r>
        <w:rPr>
          <w:rFonts w:hint="eastAsia" w:cs="宋体"/>
          <w:color w:val="auto"/>
          <w:sz w:val="21"/>
          <w:szCs w:val="21"/>
        </w:rPr>
        <w:t>职业安全健康安全管理体系要求</w:t>
      </w:r>
    </w:p>
    <w:p>
      <w:pPr>
        <w:pStyle w:val="66"/>
        <w:tabs>
          <w:tab w:val="left" w:pos="640"/>
        </w:tabs>
        <w:ind w:firstLine="420"/>
        <w:rPr>
          <w:rFonts w:cs="宋体"/>
          <w:color w:val="auto"/>
          <w:sz w:val="21"/>
          <w:szCs w:val="21"/>
        </w:rPr>
      </w:pPr>
      <w:r>
        <w:rPr>
          <w:rFonts w:cs="宋体"/>
          <w:color w:val="auto"/>
          <w:sz w:val="21"/>
          <w:szCs w:val="21"/>
        </w:rPr>
        <w:t xml:space="preserve">GB/T </w:t>
      </w:r>
      <w:r>
        <w:rPr>
          <w:rFonts w:hint="eastAsia" w:cs="宋体"/>
          <w:color w:val="auto"/>
          <w:sz w:val="21"/>
          <w:szCs w:val="21"/>
        </w:rPr>
        <w:t>T</w:t>
      </w:r>
      <w:r>
        <w:rPr>
          <w:rFonts w:cs="宋体"/>
          <w:color w:val="auto"/>
          <w:sz w:val="21"/>
          <w:szCs w:val="21"/>
        </w:rPr>
        <w:t>50760-20</w:t>
      </w:r>
      <w:r>
        <w:rPr>
          <w:rFonts w:hint="eastAsia" w:cs="宋体"/>
          <w:color w:val="auto"/>
          <w:sz w:val="21"/>
          <w:szCs w:val="21"/>
        </w:rPr>
        <w:t>21</w:t>
      </w:r>
      <w:r>
        <w:rPr>
          <w:rFonts w:cs="宋体"/>
          <w:color w:val="auto"/>
          <w:sz w:val="21"/>
          <w:szCs w:val="21"/>
        </w:rPr>
        <w:t xml:space="preserve">  </w:t>
      </w:r>
      <w:r>
        <w:rPr>
          <w:rFonts w:hint="eastAsia" w:cs="宋体"/>
          <w:color w:val="auto"/>
          <w:sz w:val="21"/>
          <w:szCs w:val="21"/>
        </w:rPr>
        <w:t>数字集群通信工程技术标准</w:t>
      </w:r>
    </w:p>
    <w:p>
      <w:pPr>
        <w:pStyle w:val="66"/>
        <w:tabs>
          <w:tab w:val="left" w:pos="640"/>
        </w:tabs>
        <w:ind w:firstLine="420"/>
        <w:rPr>
          <w:rFonts w:cs="宋体"/>
          <w:color w:val="auto"/>
          <w:sz w:val="21"/>
          <w:szCs w:val="21"/>
        </w:rPr>
      </w:pPr>
      <w:r>
        <w:rPr>
          <w:rFonts w:cs="宋体"/>
          <w:color w:val="auto"/>
          <w:sz w:val="21"/>
          <w:szCs w:val="21"/>
        </w:rPr>
        <w:t>G</w:t>
      </w:r>
      <w:r>
        <w:rPr>
          <w:rFonts w:hint="eastAsia" w:cs="宋体"/>
          <w:color w:val="auto"/>
          <w:sz w:val="21"/>
          <w:szCs w:val="21"/>
        </w:rPr>
        <w:t>B</w:t>
      </w:r>
      <w:r>
        <w:rPr>
          <w:rFonts w:cs="宋体"/>
          <w:color w:val="auto"/>
          <w:sz w:val="21"/>
          <w:szCs w:val="21"/>
        </w:rPr>
        <w:t xml:space="preserve">/T </w:t>
      </w:r>
      <w:r>
        <w:rPr>
          <w:rFonts w:hint="eastAsia" w:cs="宋体"/>
          <w:color w:val="auto"/>
          <w:sz w:val="21"/>
          <w:szCs w:val="21"/>
        </w:rPr>
        <w:t>40484-2021</w:t>
      </w:r>
      <w:r>
        <w:rPr>
          <w:rFonts w:cs="宋体"/>
          <w:color w:val="auto"/>
          <w:sz w:val="21"/>
          <w:szCs w:val="21"/>
        </w:rPr>
        <w:t xml:space="preserve">  </w:t>
      </w:r>
      <w:r>
        <w:rPr>
          <w:rFonts w:hint="eastAsia" w:cs="宋体"/>
          <w:color w:val="auto"/>
          <w:sz w:val="21"/>
          <w:szCs w:val="21"/>
        </w:rPr>
        <w:t>城市轨道交通消防安全管理</w:t>
      </w:r>
    </w:p>
    <w:p>
      <w:pPr>
        <w:pStyle w:val="66"/>
        <w:tabs>
          <w:tab w:val="left" w:pos="640"/>
        </w:tabs>
        <w:ind w:firstLine="420"/>
        <w:rPr>
          <w:rFonts w:cs="宋体"/>
          <w:color w:val="auto"/>
          <w:sz w:val="21"/>
          <w:szCs w:val="21"/>
        </w:rPr>
      </w:pPr>
      <w:r>
        <w:rPr>
          <w:rFonts w:cs="宋体"/>
          <w:color w:val="auto"/>
          <w:sz w:val="21"/>
          <w:szCs w:val="21"/>
        </w:rPr>
        <w:t xml:space="preserve">YD/T 5034-2005  </w:t>
      </w:r>
      <w:r>
        <w:rPr>
          <w:rFonts w:hint="eastAsia" w:cs="宋体"/>
          <w:color w:val="auto"/>
          <w:sz w:val="21"/>
          <w:szCs w:val="21"/>
        </w:rPr>
        <w:t>数字集群通信工程设计暂行规定</w:t>
      </w:r>
    </w:p>
    <w:p>
      <w:pPr>
        <w:pStyle w:val="66"/>
        <w:tabs>
          <w:tab w:val="left" w:pos="640"/>
        </w:tabs>
        <w:ind w:firstLine="420"/>
        <w:rPr>
          <w:rFonts w:cs="宋体"/>
          <w:color w:val="auto"/>
          <w:sz w:val="21"/>
          <w:szCs w:val="21"/>
        </w:rPr>
      </w:pPr>
      <w:r>
        <w:rPr>
          <w:rFonts w:hint="eastAsia" w:cs="宋体"/>
          <w:color w:val="auto"/>
          <w:sz w:val="21"/>
          <w:szCs w:val="21"/>
        </w:rPr>
        <w:t>建标</w:t>
      </w:r>
      <w:r>
        <w:rPr>
          <w:rFonts w:cs="宋体"/>
          <w:color w:val="auto"/>
          <w:sz w:val="21"/>
          <w:szCs w:val="21"/>
        </w:rPr>
        <w:t xml:space="preserve">104-2008  </w:t>
      </w:r>
      <w:r>
        <w:rPr>
          <w:rFonts w:hint="eastAsia" w:cs="宋体"/>
          <w:color w:val="auto"/>
          <w:sz w:val="21"/>
          <w:szCs w:val="21"/>
        </w:rPr>
        <w:t>城市轨道交通工程项目建设标准（附条文说明）</w:t>
      </w:r>
    </w:p>
    <w:p>
      <w:pPr>
        <w:pStyle w:val="66"/>
        <w:tabs>
          <w:tab w:val="left" w:pos="640"/>
        </w:tabs>
        <w:ind w:firstLine="420"/>
        <w:rPr>
          <w:rFonts w:cs="宋体"/>
          <w:color w:val="auto"/>
          <w:sz w:val="21"/>
          <w:szCs w:val="21"/>
        </w:rPr>
      </w:pPr>
      <w:r>
        <w:rPr>
          <w:rFonts w:cs="宋体"/>
          <w:color w:val="auto"/>
          <w:sz w:val="21"/>
          <w:szCs w:val="21"/>
        </w:rPr>
        <w:t xml:space="preserve">1511211635  </w:t>
      </w:r>
      <w:r>
        <w:rPr>
          <w:rFonts w:hint="eastAsia" w:cs="宋体"/>
          <w:color w:val="auto"/>
          <w:sz w:val="21"/>
          <w:szCs w:val="21"/>
        </w:rPr>
        <w:t>建设工程安全生产管理条例</w:t>
      </w:r>
    </w:p>
    <w:p>
      <w:pPr>
        <w:pStyle w:val="66"/>
        <w:ind w:firstLine="420"/>
        <w:rPr>
          <w:rFonts w:cs="宋体"/>
          <w:color w:val="auto"/>
          <w:sz w:val="21"/>
          <w:szCs w:val="21"/>
        </w:rPr>
      </w:pPr>
      <w:r>
        <w:rPr>
          <w:rFonts w:hint="eastAsia" w:cs="宋体"/>
          <w:color w:val="auto"/>
          <w:sz w:val="21"/>
          <w:szCs w:val="21"/>
        </w:rPr>
        <w:t>国际标准化组织（</w:t>
      </w:r>
      <w:r>
        <w:rPr>
          <w:rFonts w:cs="宋体"/>
          <w:color w:val="auto"/>
          <w:sz w:val="21"/>
          <w:szCs w:val="21"/>
        </w:rPr>
        <w:t>ISO）相关标准</w:t>
      </w:r>
    </w:p>
    <w:p>
      <w:pPr>
        <w:pStyle w:val="66"/>
        <w:ind w:firstLine="420"/>
        <w:rPr>
          <w:rFonts w:cs="宋体"/>
          <w:color w:val="auto"/>
          <w:sz w:val="21"/>
          <w:szCs w:val="21"/>
        </w:rPr>
      </w:pPr>
      <w:r>
        <w:rPr>
          <w:rFonts w:hint="eastAsia" w:cs="宋体"/>
          <w:color w:val="auto"/>
          <w:sz w:val="21"/>
          <w:szCs w:val="21"/>
        </w:rPr>
        <w:t>国际电工技术委员会（</w:t>
      </w:r>
      <w:r>
        <w:rPr>
          <w:rFonts w:cs="宋体"/>
          <w:color w:val="auto"/>
          <w:sz w:val="21"/>
          <w:szCs w:val="21"/>
        </w:rPr>
        <w:t>IEC）相关标准</w:t>
      </w:r>
    </w:p>
    <w:p>
      <w:pPr>
        <w:pStyle w:val="66"/>
        <w:ind w:firstLine="420"/>
        <w:rPr>
          <w:rFonts w:cs="宋体"/>
          <w:color w:val="auto"/>
          <w:sz w:val="21"/>
          <w:szCs w:val="21"/>
        </w:rPr>
      </w:pPr>
      <w:r>
        <w:rPr>
          <w:rFonts w:hint="eastAsia" w:cs="宋体"/>
          <w:color w:val="auto"/>
          <w:sz w:val="21"/>
          <w:szCs w:val="21"/>
        </w:rPr>
        <w:t>国际电气与电子工程师协会</w:t>
      </w:r>
      <w:r>
        <w:rPr>
          <w:rFonts w:cs="宋体"/>
          <w:color w:val="auto"/>
          <w:sz w:val="21"/>
          <w:szCs w:val="21"/>
        </w:rPr>
        <w:t>IEEE有关协议</w:t>
      </w:r>
    </w:p>
    <w:p>
      <w:pPr>
        <w:pStyle w:val="66"/>
        <w:ind w:firstLine="420"/>
        <w:rPr>
          <w:color w:val="auto"/>
          <w:sz w:val="21"/>
          <w:szCs w:val="21"/>
        </w:rPr>
      </w:pPr>
      <w:r>
        <w:rPr>
          <w:rFonts w:hint="eastAsia" w:cs="宋体"/>
          <w:color w:val="auto"/>
          <w:sz w:val="21"/>
          <w:szCs w:val="21"/>
        </w:rPr>
        <w:t>电子工业协会（EIA）的有关标准</w:t>
      </w:r>
    </w:p>
    <w:p>
      <w:pPr>
        <w:spacing w:before="0" w:after="0" w:afterAutospacing="0"/>
        <w:ind w:left="0" w:right="0" w:firstLine="0"/>
        <w:outlineLvl w:val="1"/>
        <w:rPr>
          <w:b/>
          <w:color w:val="auto"/>
        </w:rPr>
      </w:pPr>
      <w:bookmarkStart w:id="2211" w:name="_Toc3237"/>
      <w:bookmarkStart w:id="2212" w:name="_Toc148449373"/>
      <w:r>
        <w:rPr>
          <w:b/>
          <w:color w:val="auto"/>
        </w:rPr>
        <w:t>4.3</w:t>
      </w:r>
      <w:r>
        <w:rPr>
          <w:rFonts w:hint="eastAsia"/>
          <w:b/>
          <w:color w:val="auto"/>
        </w:rPr>
        <w:t>广西区、南宁市有关规程、规定及要求</w:t>
      </w:r>
      <w:bookmarkEnd w:id="2211"/>
      <w:bookmarkEnd w:id="2212"/>
    </w:p>
    <w:p>
      <w:pPr>
        <w:spacing w:before="0" w:after="0" w:afterAutospacing="0"/>
        <w:ind w:left="707" w:leftChars="200" w:right="-28" w:hanging="287" w:hangingChars="137"/>
        <w:rPr>
          <w:color w:val="auto"/>
        </w:rPr>
      </w:pPr>
      <w:r>
        <w:rPr>
          <w:color w:val="auto"/>
        </w:rPr>
        <w:t>无</w:t>
      </w:r>
    </w:p>
    <w:p>
      <w:pPr>
        <w:spacing w:before="0" w:after="0" w:afterAutospacing="0"/>
        <w:ind w:left="0" w:right="0" w:firstLine="0"/>
        <w:outlineLvl w:val="1"/>
        <w:rPr>
          <w:b/>
          <w:color w:val="auto"/>
        </w:rPr>
      </w:pPr>
      <w:bookmarkStart w:id="2213" w:name="_Toc148449374"/>
      <w:bookmarkStart w:id="2214" w:name="_Toc30151"/>
      <w:r>
        <w:rPr>
          <w:b/>
          <w:color w:val="auto"/>
        </w:rPr>
        <w:t>4.4</w:t>
      </w:r>
      <w:r>
        <w:rPr>
          <w:rFonts w:hint="eastAsia"/>
          <w:b/>
          <w:color w:val="auto"/>
        </w:rPr>
        <w:t>维保相关规程、制度</w:t>
      </w:r>
      <w:bookmarkEnd w:id="2213"/>
      <w:bookmarkEnd w:id="2214"/>
    </w:p>
    <w:p>
      <w:pPr>
        <w:pStyle w:val="66"/>
        <w:ind w:firstLine="420"/>
        <w:jc w:val="both"/>
        <w:rPr>
          <w:rFonts w:cs="宋体"/>
          <w:color w:val="auto"/>
          <w:sz w:val="21"/>
          <w:szCs w:val="21"/>
        </w:rPr>
      </w:pPr>
      <w:r>
        <w:rPr>
          <w:rFonts w:hint="eastAsia" w:cs="宋体"/>
          <w:color w:val="auto"/>
          <w:sz w:val="21"/>
          <w:szCs w:val="21"/>
        </w:rPr>
        <w:t>在维保期间，维保服务技术人员在比选人现场服务时须遵守比选人以下相关规程、制度：</w:t>
      </w:r>
    </w:p>
    <w:p>
      <w:pPr>
        <w:pStyle w:val="16"/>
        <w:spacing w:before="0" w:after="0" w:afterAutospacing="0"/>
        <w:ind w:left="0" w:right="0" w:firstLine="420" w:firstLineChars="200"/>
        <w:rPr>
          <w:rFonts w:hAnsi="宋体"/>
          <w:color w:val="auto"/>
          <w:sz w:val="21"/>
          <w:szCs w:val="21"/>
        </w:rPr>
      </w:pPr>
      <w:r>
        <w:rPr>
          <w:rFonts w:hint="eastAsia" w:hAnsi="宋体"/>
          <w:color w:val="auto"/>
          <w:sz w:val="21"/>
          <w:szCs w:val="21"/>
        </w:rPr>
        <w:t>南宁轨道交通集团有限责任公司机房巡检管理制度（南轨发〔2020〕220号）；</w:t>
      </w:r>
    </w:p>
    <w:p>
      <w:pPr>
        <w:pStyle w:val="16"/>
        <w:spacing w:before="0" w:after="0" w:afterAutospacing="0"/>
        <w:ind w:left="0" w:right="0" w:firstLine="420" w:firstLineChars="200"/>
        <w:rPr>
          <w:rFonts w:hAnsi="宋体"/>
          <w:color w:val="auto"/>
          <w:sz w:val="21"/>
          <w:szCs w:val="21"/>
        </w:rPr>
      </w:pPr>
      <w:r>
        <w:rPr>
          <w:rFonts w:hint="eastAsia" w:hAnsi="宋体"/>
          <w:color w:val="auto"/>
          <w:sz w:val="21"/>
          <w:szCs w:val="21"/>
        </w:rPr>
        <w:t>南宁轨道交通集团有限责任公司机房设备维护和使用管理制度（南轨发〔2020〕217号）；</w:t>
      </w:r>
    </w:p>
    <w:p>
      <w:pPr>
        <w:pStyle w:val="16"/>
        <w:spacing w:before="0" w:after="0" w:afterAutospacing="0"/>
        <w:ind w:left="0" w:right="0" w:firstLine="420" w:firstLineChars="200"/>
        <w:rPr>
          <w:rFonts w:hAnsi="宋体"/>
          <w:color w:val="auto"/>
          <w:sz w:val="21"/>
          <w:szCs w:val="21"/>
        </w:rPr>
      </w:pPr>
      <w:r>
        <w:rPr>
          <w:rFonts w:hint="eastAsia" w:hAnsi="宋体"/>
          <w:color w:val="auto"/>
          <w:sz w:val="21"/>
          <w:szCs w:val="21"/>
        </w:rPr>
        <w:t>南宁轨道交通集团有限责任公司机房突发事件处理措施（南轨发〔2020〕218号）；</w:t>
      </w:r>
    </w:p>
    <w:p>
      <w:pPr>
        <w:pStyle w:val="16"/>
        <w:spacing w:before="0" w:after="0" w:afterAutospacing="0"/>
        <w:ind w:left="0" w:right="0" w:firstLine="420" w:firstLineChars="200"/>
        <w:rPr>
          <w:rFonts w:hAnsi="宋体"/>
          <w:color w:val="auto"/>
          <w:sz w:val="21"/>
          <w:szCs w:val="21"/>
        </w:rPr>
      </w:pPr>
      <w:r>
        <w:rPr>
          <w:rFonts w:hint="eastAsia" w:hAnsi="宋体"/>
          <w:color w:val="auto"/>
          <w:sz w:val="21"/>
          <w:szCs w:val="21"/>
        </w:rPr>
        <w:t>南宁轨道交通集团有限责任公司网络及信息安全突发事件应急处理措施（暂行）；</w:t>
      </w:r>
    </w:p>
    <w:p>
      <w:pPr>
        <w:pStyle w:val="16"/>
        <w:spacing w:before="0" w:after="0" w:afterAutospacing="0"/>
        <w:ind w:left="0" w:right="0" w:firstLine="420" w:firstLineChars="200"/>
        <w:rPr>
          <w:rFonts w:hAnsi="宋体"/>
          <w:color w:val="auto"/>
          <w:sz w:val="21"/>
          <w:szCs w:val="21"/>
        </w:rPr>
      </w:pPr>
      <w:r>
        <w:rPr>
          <w:rFonts w:hint="eastAsia" w:hAnsi="宋体"/>
          <w:color w:val="auto"/>
          <w:sz w:val="21"/>
          <w:szCs w:val="21"/>
        </w:rPr>
        <w:t>运营有限公司生产计划管理办法；</w:t>
      </w:r>
    </w:p>
    <w:p>
      <w:pPr>
        <w:pStyle w:val="16"/>
        <w:spacing w:before="0" w:after="0" w:afterAutospacing="0"/>
        <w:ind w:left="0" w:right="0" w:firstLine="420" w:firstLineChars="200"/>
        <w:rPr>
          <w:rFonts w:hAnsi="宋体"/>
          <w:color w:val="auto"/>
          <w:sz w:val="21"/>
          <w:szCs w:val="21"/>
        </w:rPr>
      </w:pPr>
      <w:r>
        <w:rPr>
          <w:rFonts w:hint="eastAsia" w:hAnsi="宋体"/>
          <w:color w:val="auto"/>
          <w:sz w:val="21"/>
          <w:szCs w:val="21"/>
        </w:rPr>
        <w:t>运营有限公司技术管理制度；</w:t>
      </w:r>
    </w:p>
    <w:p>
      <w:pPr>
        <w:pStyle w:val="16"/>
        <w:spacing w:before="0" w:after="0" w:afterAutospacing="0"/>
        <w:ind w:left="0" w:right="0" w:firstLine="420" w:firstLineChars="200"/>
        <w:rPr>
          <w:rFonts w:hAnsi="宋体"/>
          <w:color w:val="auto"/>
          <w:sz w:val="21"/>
          <w:szCs w:val="21"/>
        </w:rPr>
      </w:pPr>
      <w:r>
        <w:rPr>
          <w:rFonts w:hint="eastAsia" w:hAnsi="宋体"/>
          <w:color w:val="auto"/>
          <w:sz w:val="21"/>
          <w:szCs w:val="21"/>
        </w:rPr>
        <w:t>运营有限公司生产管理规定；</w:t>
      </w:r>
    </w:p>
    <w:p>
      <w:pPr>
        <w:pStyle w:val="16"/>
        <w:spacing w:before="0" w:after="0" w:afterAutospacing="0"/>
        <w:ind w:left="0" w:right="0" w:firstLine="420" w:firstLineChars="200"/>
        <w:rPr>
          <w:rFonts w:hAnsi="宋体"/>
          <w:color w:val="auto"/>
          <w:sz w:val="21"/>
          <w:szCs w:val="21"/>
        </w:rPr>
      </w:pPr>
      <w:r>
        <w:rPr>
          <w:rFonts w:hint="eastAsia" w:hAnsi="宋体"/>
          <w:color w:val="auto"/>
          <w:sz w:val="21"/>
          <w:szCs w:val="21"/>
        </w:rPr>
        <w:t>运营有限公司施工管理规定；</w:t>
      </w:r>
    </w:p>
    <w:p>
      <w:pPr>
        <w:pStyle w:val="16"/>
        <w:spacing w:before="0" w:after="0" w:afterAutospacing="0"/>
        <w:ind w:left="0" w:right="0" w:firstLine="420" w:firstLineChars="200"/>
        <w:rPr>
          <w:rFonts w:hAnsi="宋体"/>
          <w:color w:val="auto"/>
        </w:rPr>
      </w:pPr>
      <w:r>
        <w:rPr>
          <w:rFonts w:hint="eastAsia" w:hAnsi="宋体"/>
          <w:color w:val="auto"/>
          <w:sz w:val="21"/>
          <w:szCs w:val="21"/>
        </w:rPr>
        <w:t>运营有限公司设备委外维修施工组织管理办法；</w:t>
      </w:r>
    </w:p>
    <w:p>
      <w:pPr>
        <w:pStyle w:val="16"/>
        <w:spacing w:before="0" w:after="0" w:afterAutospacing="0"/>
        <w:ind w:left="0" w:right="0" w:firstLine="420" w:firstLineChars="200"/>
        <w:rPr>
          <w:rFonts w:hAnsi="宋体"/>
          <w:color w:val="auto"/>
        </w:rPr>
      </w:pPr>
      <w:r>
        <w:rPr>
          <w:rFonts w:hint="eastAsia" w:hAnsi="宋体"/>
          <w:color w:val="auto"/>
          <w:sz w:val="21"/>
          <w:szCs w:val="21"/>
        </w:rPr>
        <w:t>运营有限公司委外维修项目承包商考评实施细则；</w:t>
      </w:r>
    </w:p>
    <w:p>
      <w:pPr>
        <w:pStyle w:val="16"/>
        <w:spacing w:before="0" w:after="0" w:afterAutospacing="0"/>
        <w:ind w:left="0" w:right="0" w:firstLine="420" w:firstLineChars="200"/>
        <w:rPr>
          <w:rFonts w:hAnsi="宋体"/>
          <w:color w:val="auto"/>
        </w:rPr>
      </w:pPr>
      <w:r>
        <w:rPr>
          <w:rFonts w:hint="eastAsia" w:hAnsi="宋体"/>
          <w:color w:val="auto"/>
          <w:sz w:val="21"/>
          <w:szCs w:val="21"/>
        </w:rPr>
        <w:t>运营有限公司委外维修管理规定（试行）；</w:t>
      </w:r>
    </w:p>
    <w:p>
      <w:pPr>
        <w:pStyle w:val="16"/>
        <w:spacing w:before="0" w:after="0" w:afterAutospacing="0"/>
        <w:ind w:left="0" w:right="0" w:firstLine="420" w:firstLineChars="200"/>
        <w:rPr>
          <w:rFonts w:hAnsi="宋体"/>
          <w:color w:val="auto"/>
        </w:rPr>
      </w:pPr>
      <w:r>
        <w:rPr>
          <w:rFonts w:hint="eastAsia" w:hAnsi="宋体"/>
          <w:color w:val="auto"/>
          <w:sz w:val="21"/>
          <w:szCs w:val="21"/>
        </w:rPr>
        <w:t>运营有限公司设备设施维修接口关系规则；</w:t>
      </w:r>
    </w:p>
    <w:p>
      <w:pPr>
        <w:pStyle w:val="16"/>
        <w:spacing w:before="0" w:after="0" w:afterAutospacing="0"/>
        <w:ind w:left="0" w:right="0" w:firstLine="420" w:firstLineChars="200"/>
        <w:rPr>
          <w:rFonts w:hAnsi="宋体"/>
          <w:color w:val="auto"/>
        </w:rPr>
      </w:pPr>
      <w:r>
        <w:rPr>
          <w:rFonts w:hint="eastAsia" w:hAnsi="宋体"/>
          <w:color w:val="auto"/>
          <w:sz w:val="21"/>
          <w:szCs w:val="21"/>
        </w:rPr>
        <w:t>运营有限公司作业通用安全实施守则；</w:t>
      </w:r>
    </w:p>
    <w:p>
      <w:pPr>
        <w:pStyle w:val="16"/>
        <w:spacing w:before="0" w:after="0" w:afterAutospacing="0"/>
        <w:ind w:left="0" w:right="0" w:firstLine="420" w:firstLineChars="200"/>
        <w:rPr>
          <w:rFonts w:hAnsi="宋体"/>
          <w:color w:val="auto"/>
          <w:sz w:val="21"/>
          <w:szCs w:val="21"/>
        </w:rPr>
      </w:pPr>
      <w:r>
        <w:rPr>
          <w:rFonts w:hint="eastAsia" w:hAnsi="宋体"/>
          <w:color w:val="auto"/>
          <w:sz w:val="21"/>
          <w:szCs w:val="21"/>
        </w:rPr>
        <w:t>通号中心委外维修项目管理细则。</w:t>
      </w:r>
    </w:p>
    <w:p>
      <w:pPr>
        <w:spacing w:before="0" w:after="0" w:afterAutospacing="0"/>
        <w:ind w:left="0" w:right="0" w:firstLine="0"/>
        <w:outlineLvl w:val="1"/>
        <w:rPr>
          <w:b/>
          <w:color w:val="auto"/>
        </w:rPr>
      </w:pPr>
      <w:bookmarkStart w:id="2215" w:name="_Toc148449375"/>
      <w:bookmarkStart w:id="2216" w:name="_Toc31669"/>
      <w:r>
        <w:rPr>
          <w:b/>
          <w:color w:val="auto"/>
        </w:rPr>
        <w:t>4.5</w:t>
      </w:r>
      <w:r>
        <w:rPr>
          <w:rFonts w:hint="eastAsia"/>
          <w:b/>
          <w:color w:val="auto"/>
        </w:rPr>
        <w:t>维保作业要求</w:t>
      </w:r>
      <w:bookmarkEnd w:id="2215"/>
      <w:bookmarkEnd w:id="2216"/>
    </w:p>
    <w:p>
      <w:pPr>
        <w:pStyle w:val="16"/>
        <w:spacing w:before="0" w:after="0" w:afterAutospacing="0"/>
        <w:ind w:left="0" w:right="0" w:firstLine="510"/>
        <w:rPr>
          <w:rFonts w:hAnsi="宋体"/>
          <w:color w:val="auto"/>
          <w:sz w:val="21"/>
          <w:szCs w:val="21"/>
        </w:rPr>
      </w:pPr>
      <w:r>
        <w:rPr>
          <w:rFonts w:hint="eastAsia" w:hAnsi="宋体"/>
          <w:color w:val="auto"/>
          <w:sz w:val="21"/>
          <w:szCs w:val="21"/>
        </w:rPr>
        <w:t>4.5.1维保服务技术人员在比选人现场服务时需要遵守比选人机房管理相关规定，进入机房须按照比选人进出机房审批流程审批同意后方可进入机房，在机房内不能随意操作其他与所需维护对象无关的设备。</w:t>
      </w:r>
    </w:p>
    <w:p>
      <w:pPr>
        <w:pStyle w:val="16"/>
        <w:spacing w:before="0" w:after="0" w:afterAutospacing="0"/>
        <w:ind w:left="0" w:right="0" w:firstLine="510"/>
        <w:rPr>
          <w:rFonts w:hAnsi="宋体"/>
          <w:color w:val="auto"/>
          <w:sz w:val="21"/>
          <w:szCs w:val="21"/>
        </w:rPr>
      </w:pPr>
      <w:r>
        <w:rPr>
          <w:rFonts w:hint="eastAsia" w:hAnsi="宋体"/>
          <w:color w:val="auto"/>
          <w:sz w:val="21"/>
          <w:szCs w:val="21"/>
        </w:rPr>
        <w:t>4.5.2在维保期间，重大或影响比选人业务运行的任何操作，如停机维护等，必须经比选人同意后方可进行。计划性停机维护工作由比选人根据业务需要确定停机作业时间。</w:t>
      </w:r>
    </w:p>
    <w:p>
      <w:pPr>
        <w:spacing w:before="0" w:after="0" w:afterAutospacing="0"/>
        <w:ind w:left="0" w:right="0" w:firstLine="0"/>
        <w:outlineLvl w:val="1"/>
        <w:rPr>
          <w:b/>
          <w:color w:val="auto"/>
        </w:rPr>
      </w:pPr>
      <w:bookmarkStart w:id="2217" w:name="_Toc148449376"/>
      <w:bookmarkStart w:id="2218" w:name="_Toc27976"/>
      <w:r>
        <w:rPr>
          <w:rFonts w:hint="eastAsia"/>
          <w:b/>
          <w:color w:val="auto"/>
        </w:rPr>
        <w:t>4.6保密要求</w:t>
      </w:r>
      <w:bookmarkEnd w:id="2217"/>
      <w:bookmarkEnd w:id="2218"/>
    </w:p>
    <w:p>
      <w:pPr>
        <w:pStyle w:val="16"/>
        <w:spacing w:before="0" w:after="0" w:afterAutospacing="0"/>
        <w:ind w:left="0" w:right="0" w:firstLine="510"/>
        <w:rPr>
          <w:rFonts w:hAnsi="宋体"/>
          <w:color w:val="auto"/>
          <w:sz w:val="21"/>
          <w:szCs w:val="21"/>
        </w:rPr>
      </w:pPr>
      <w:r>
        <w:rPr>
          <w:rFonts w:hint="eastAsia" w:hAnsi="宋体"/>
          <w:color w:val="auto"/>
          <w:sz w:val="21"/>
          <w:szCs w:val="21"/>
        </w:rPr>
        <w:t>4.6</w:t>
      </w:r>
      <w:r>
        <w:rPr>
          <w:rFonts w:hAnsi="宋体"/>
          <w:color w:val="auto"/>
          <w:sz w:val="21"/>
          <w:szCs w:val="21"/>
        </w:rPr>
        <w:t>.1比选申请人在进行设备维保维修时，必须遵守比选人规定的任何成文的保密规章、制度，履行与其工作岗位相应的保密职责，比选人的保密规章、制度没有规定或者规定不明确之处，比选申请人亦应本着谨慎、诚实的态度，合理的措施，维护比选人的保密义务，以保持其机密性。</w:t>
      </w:r>
    </w:p>
    <w:p>
      <w:pPr>
        <w:pStyle w:val="16"/>
        <w:spacing w:before="0" w:after="0" w:afterAutospacing="0"/>
        <w:ind w:left="0" w:right="0" w:firstLine="510"/>
        <w:rPr>
          <w:rFonts w:hAnsi="宋体"/>
          <w:color w:val="auto"/>
          <w:sz w:val="21"/>
          <w:szCs w:val="21"/>
        </w:rPr>
      </w:pPr>
      <w:r>
        <w:rPr>
          <w:rFonts w:hint="eastAsia" w:hAnsi="宋体"/>
          <w:color w:val="auto"/>
          <w:sz w:val="21"/>
          <w:szCs w:val="21"/>
        </w:rPr>
        <w:t>4.6</w:t>
      </w:r>
      <w:r>
        <w:rPr>
          <w:rFonts w:hAnsi="宋体"/>
          <w:color w:val="auto"/>
          <w:sz w:val="21"/>
          <w:szCs w:val="21"/>
        </w:rPr>
        <w:t>.2未经比选人同意，比选申请人不得泄露、告知、发布、发表、出版、传授、转让或者其他任何方式使第三方知悉属于比选人或者属于他人但比选人承诺有保密义务的技术秘密或者其他商业秘密信息，也不得在进行维保维修时随意使用和观看这些秘密信息。</w:t>
      </w:r>
    </w:p>
    <w:p>
      <w:pPr>
        <w:pStyle w:val="16"/>
        <w:spacing w:before="0" w:after="0" w:afterAutospacing="0"/>
        <w:ind w:left="0" w:right="0" w:firstLine="510"/>
        <w:rPr>
          <w:rFonts w:hAnsi="宋体"/>
          <w:color w:val="auto"/>
          <w:sz w:val="21"/>
          <w:szCs w:val="21"/>
        </w:rPr>
      </w:pPr>
      <w:r>
        <w:rPr>
          <w:rFonts w:hint="eastAsia" w:hAnsi="宋体"/>
          <w:color w:val="auto"/>
          <w:sz w:val="21"/>
          <w:szCs w:val="21"/>
        </w:rPr>
        <w:t>4.6</w:t>
      </w:r>
      <w:r>
        <w:rPr>
          <w:rFonts w:hAnsi="宋体"/>
          <w:color w:val="auto"/>
          <w:sz w:val="21"/>
          <w:szCs w:val="21"/>
        </w:rPr>
        <w:t xml:space="preserve">.3 </w:t>
      </w:r>
      <w:r>
        <w:rPr>
          <w:rFonts w:hint="eastAsia" w:hAnsi="宋体"/>
          <w:color w:val="auto"/>
          <w:sz w:val="21"/>
          <w:szCs w:val="21"/>
        </w:rPr>
        <w:t>本需求书提及的保密内容包括：维保维修环境、技术方案、技术指标、技术报告、图纸、设备密码、设备配置、网络拓扑、操作手册、及相关技术文档等比选人所要求的其他内容。</w:t>
      </w:r>
    </w:p>
    <w:p>
      <w:pPr>
        <w:spacing w:before="0" w:after="0" w:afterAutospacing="0"/>
        <w:ind w:left="0" w:right="0" w:firstLine="0"/>
        <w:outlineLvl w:val="1"/>
        <w:rPr>
          <w:b/>
          <w:color w:val="auto"/>
        </w:rPr>
      </w:pPr>
      <w:bookmarkStart w:id="2219" w:name="_Toc3847"/>
      <w:bookmarkStart w:id="2220" w:name="_Toc148449377"/>
      <w:r>
        <w:rPr>
          <w:b/>
          <w:color w:val="auto"/>
        </w:rPr>
        <w:t>4.</w:t>
      </w:r>
      <w:r>
        <w:rPr>
          <w:rFonts w:hint="eastAsia"/>
          <w:b/>
          <w:color w:val="auto"/>
        </w:rPr>
        <w:t>7其他要求</w:t>
      </w:r>
      <w:bookmarkEnd w:id="2219"/>
      <w:bookmarkEnd w:id="2220"/>
    </w:p>
    <w:p>
      <w:pPr>
        <w:pStyle w:val="16"/>
        <w:spacing w:before="0" w:after="0" w:afterAutospacing="0"/>
        <w:ind w:left="0" w:right="0" w:firstLine="510"/>
        <w:rPr>
          <w:rFonts w:hAnsi="宋体"/>
          <w:color w:val="auto"/>
          <w:sz w:val="21"/>
          <w:szCs w:val="21"/>
        </w:rPr>
      </w:pPr>
      <w:r>
        <w:rPr>
          <w:rFonts w:hint="eastAsia" w:hAnsi="宋体"/>
          <w:color w:val="auto"/>
          <w:sz w:val="21"/>
          <w:szCs w:val="21"/>
        </w:rPr>
        <w:t>在维保工作中，因比选申请人原因损坏其它非维保设备及配件的，由比选申请人进行赔偿。比选申请人无法按比选文件要求在规定时间内解决软硬件故障，直接影响采购人正常开展业务工作的，比选人有权选择第三方公司提供服务，由此产生的各种费用由比选申请人无条件承担。</w:t>
      </w:r>
    </w:p>
    <w:p>
      <w:pPr>
        <w:pStyle w:val="4"/>
        <w:spacing w:before="0" w:after="0" w:afterAutospacing="0"/>
        <w:ind w:left="0" w:leftChars="0" w:right="0" w:rightChars="0" w:firstLine="0"/>
        <w:rPr>
          <w:rFonts w:ascii="黑体" w:hAnsi="黑体" w:eastAsia="黑体"/>
          <w:color w:val="auto"/>
          <w:sz w:val="24"/>
          <w:szCs w:val="24"/>
        </w:rPr>
      </w:pPr>
      <w:bookmarkStart w:id="2221" w:name="_Toc3153"/>
      <w:bookmarkStart w:id="2222" w:name="_Toc148449378"/>
      <w:r>
        <w:rPr>
          <w:rFonts w:ascii="黑体" w:hAnsi="黑体" w:eastAsia="黑体"/>
          <w:color w:val="auto"/>
          <w:sz w:val="24"/>
          <w:szCs w:val="24"/>
        </w:rPr>
        <w:t>5</w:t>
      </w:r>
      <w:r>
        <w:rPr>
          <w:rFonts w:hint="eastAsia" w:ascii="黑体" w:hAnsi="黑体" w:eastAsia="黑体"/>
          <w:color w:val="auto"/>
          <w:sz w:val="24"/>
          <w:szCs w:val="24"/>
        </w:rPr>
        <w:t>项目管理</w:t>
      </w:r>
      <w:bookmarkEnd w:id="2221"/>
      <w:bookmarkEnd w:id="2222"/>
    </w:p>
    <w:p>
      <w:pPr>
        <w:spacing w:before="0" w:after="0" w:afterAutospacing="0"/>
        <w:ind w:left="0" w:right="0" w:firstLine="0"/>
        <w:outlineLvl w:val="1"/>
        <w:rPr>
          <w:b/>
          <w:color w:val="auto"/>
        </w:rPr>
      </w:pPr>
      <w:bookmarkStart w:id="2223" w:name="_Toc148449379"/>
      <w:bookmarkStart w:id="2224" w:name="_Toc23313"/>
      <w:r>
        <w:rPr>
          <w:b/>
          <w:color w:val="auto"/>
        </w:rPr>
        <w:t>5.1</w:t>
      </w:r>
      <w:r>
        <w:rPr>
          <w:rFonts w:hint="eastAsia"/>
          <w:b/>
          <w:color w:val="auto"/>
        </w:rPr>
        <w:t>比选申请人资质要求</w:t>
      </w:r>
      <w:bookmarkEnd w:id="2223"/>
      <w:bookmarkEnd w:id="2224"/>
    </w:p>
    <w:p>
      <w:pPr>
        <w:pStyle w:val="16"/>
        <w:spacing w:before="0" w:after="0" w:afterAutospacing="0"/>
        <w:ind w:left="0" w:right="0" w:firstLine="510"/>
        <w:rPr>
          <w:rFonts w:hAnsi="宋体"/>
          <w:color w:val="auto"/>
          <w:sz w:val="21"/>
          <w:szCs w:val="21"/>
        </w:rPr>
      </w:pPr>
      <w:r>
        <w:rPr>
          <w:rFonts w:hAnsi="宋体"/>
          <w:color w:val="auto"/>
          <w:sz w:val="21"/>
          <w:szCs w:val="21"/>
        </w:rPr>
        <w:t>5.1.1比选申请人为中华人民共和国境内依法设立的法人或其他组织。持有工商行政管理部门</w:t>
      </w:r>
      <w:r>
        <w:rPr>
          <w:rFonts w:hint="eastAsia" w:hAnsi="宋体"/>
          <w:color w:val="auto"/>
          <w:sz w:val="21"/>
          <w:szCs w:val="21"/>
        </w:rPr>
        <w:t>核发且在有效期内的营业执照，按国家法律经营；法定代表人为同一人的两个及两个以上法人，母公司、全资子公司及其控股、管理关系的不同单位，不得同时参加本项目比选。</w:t>
      </w:r>
    </w:p>
    <w:p>
      <w:pPr>
        <w:pStyle w:val="16"/>
        <w:spacing w:before="0" w:after="0" w:afterAutospacing="0"/>
        <w:ind w:left="0" w:right="0" w:firstLine="510"/>
        <w:rPr>
          <w:rFonts w:hAnsi="宋体"/>
          <w:color w:val="auto"/>
          <w:sz w:val="21"/>
          <w:szCs w:val="21"/>
        </w:rPr>
      </w:pPr>
      <w:r>
        <w:rPr>
          <w:rFonts w:hAnsi="宋体"/>
          <w:color w:val="auto"/>
          <w:sz w:val="21"/>
          <w:szCs w:val="21"/>
        </w:rPr>
        <w:t>5.1.2比选申请人没有处于被责令停业，或投标资格被住建部、国家安监总局、广西区或南宁市建设行政主管部门取消，或财产被接管、破产状态；在投标截止前3年内没有骗取中标、严重违约或重大安全质量事故。</w:t>
      </w:r>
    </w:p>
    <w:p>
      <w:pPr>
        <w:pStyle w:val="16"/>
        <w:spacing w:before="0" w:after="0" w:afterAutospacing="0"/>
        <w:ind w:left="0" w:right="0" w:firstLine="510"/>
        <w:rPr>
          <w:rFonts w:hAnsi="宋体"/>
          <w:color w:val="auto"/>
          <w:sz w:val="21"/>
          <w:szCs w:val="21"/>
        </w:rPr>
      </w:pPr>
      <w:r>
        <w:rPr>
          <w:rFonts w:hint="eastAsia" w:hAnsi="宋体"/>
          <w:color w:val="auto"/>
          <w:sz w:val="21"/>
          <w:szCs w:val="21"/>
          <w:lang w:val="en-US" w:eastAsia="zh-CN"/>
        </w:rPr>
        <w:t>5.1.3 比选申请人自2021年1月1日至截标时间前至少有1项合同金额为50万元及以上的类似业绩，类似业绩是指网络核心交换机维保维修服务项目业绩。</w:t>
      </w:r>
    </w:p>
    <w:p>
      <w:pPr>
        <w:spacing w:before="0" w:after="0" w:afterAutospacing="0"/>
        <w:ind w:left="0" w:right="0" w:firstLine="0"/>
        <w:outlineLvl w:val="1"/>
        <w:rPr>
          <w:b/>
          <w:color w:val="auto"/>
        </w:rPr>
      </w:pPr>
      <w:bookmarkStart w:id="2225" w:name="_Toc148449380"/>
      <w:bookmarkStart w:id="2226" w:name="_Toc4199"/>
      <w:r>
        <w:rPr>
          <w:b/>
          <w:color w:val="auto"/>
        </w:rPr>
        <w:t>5.2</w:t>
      </w:r>
      <w:r>
        <w:rPr>
          <w:rFonts w:hint="eastAsia"/>
          <w:b/>
          <w:color w:val="auto"/>
        </w:rPr>
        <w:t>项目部建设</w:t>
      </w:r>
      <w:bookmarkEnd w:id="2225"/>
      <w:bookmarkEnd w:id="2226"/>
    </w:p>
    <w:p>
      <w:pPr>
        <w:pStyle w:val="16"/>
        <w:spacing w:before="0" w:after="0" w:afterAutospacing="0"/>
        <w:ind w:left="0" w:right="0" w:firstLine="420"/>
        <w:rPr>
          <w:color w:val="auto"/>
          <w:sz w:val="21"/>
          <w:szCs w:val="21"/>
        </w:rPr>
      </w:pPr>
      <w:r>
        <w:rPr>
          <w:rFonts w:hint="eastAsia" w:hAnsi="宋体"/>
          <w:color w:val="auto"/>
          <w:sz w:val="21"/>
          <w:szCs w:val="21"/>
        </w:rPr>
        <w:t>为满足本维保项目部生产及办公需求，满足故障处理及抢修的承诺时间，比选申请人需成立专门项目部。</w:t>
      </w:r>
    </w:p>
    <w:p>
      <w:pPr>
        <w:spacing w:before="0" w:after="0" w:afterAutospacing="0"/>
        <w:ind w:left="0" w:right="0" w:firstLine="0"/>
        <w:outlineLvl w:val="1"/>
        <w:rPr>
          <w:b/>
          <w:color w:val="auto"/>
        </w:rPr>
      </w:pPr>
      <w:bookmarkStart w:id="2227" w:name="_Toc148449381"/>
      <w:bookmarkStart w:id="2228" w:name="_Toc27478"/>
      <w:r>
        <w:rPr>
          <w:b/>
          <w:color w:val="auto"/>
        </w:rPr>
        <w:t>5.3</w:t>
      </w:r>
      <w:r>
        <w:rPr>
          <w:rFonts w:hint="eastAsia"/>
          <w:b/>
          <w:color w:val="auto"/>
        </w:rPr>
        <w:t>组织架构及人员配置</w:t>
      </w:r>
      <w:bookmarkEnd w:id="2227"/>
      <w:bookmarkEnd w:id="2228"/>
    </w:p>
    <w:p>
      <w:pPr>
        <w:spacing w:before="0" w:after="0" w:afterAutospacing="0"/>
        <w:ind w:left="0" w:right="0" w:firstLine="420" w:firstLineChars="200"/>
        <w:rPr>
          <w:rFonts w:hAnsi="宋体"/>
          <w:color w:val="auto"/>
        </w:rPr>
      </w:pPr>
      <w:r>
        <w:rPr>
          <w:rFonts w:hint="eastAsia" w:hAnsi="宋体"/>
          <w:color w:val="auto"/>
        </w:rPr>
        <w:t>为保证</w:t>
      </w:r>
      <w:r>
        <w:rPr>
          <w:rFonts w:ascii="宋体" w:hAnsi="宋体"/>
          <w:color w:val="auto"/>
        </w:rPr>
        <w:t>南宁轨道交通</w:t>
      </w:r>
      <w:r>
        <w:rPr>
          <w:rFonts w:hint="eastAsia" w:ascii="宋体" w:hAnsi="宋体"/>
          <w:color w:val="auto"/>
        </w:rPr>
        <w:t>1-5号线</w:t>
      </w:r>
      <w:r>
        <w:rPr>
          <w:rFonts w:ascii="宋体" w:hAnsi="宋体"/>
          <w:color w:val="auto"/>
        </w:rPr>
        <w:t>办公网交换机设备委外维保维修服务采购项目（202</w:t>
      </w:r>
      <w:r>
        <w:rPr>
          <w:rFonts w:hint="eastAsia" w:ascii="宋体" w:hAnsi="宋体"/>
          <w:color w:val="auto"/>
        </w:rPr>
        <w:t>3</w:t>
      </w:r>
      <w:r>
        <w:rPr>
          <w:rFonts w:ascii="宋体" w:hAnsi="宋体"/>
          <w:color w:val="auto"/>
        </w:rPr>
        <w:t>年-202</w:t>
      </w:r>
      <w:r>
        <w:rPr>
          <w:rFonts w:hint="eastAsia" w:ascii="宋体" w:hAnsi="宋体"/>
          <w:color w:val="auto"/>
        </w:rPr>
        <w:t>4</w:t>
      </w:r>
      <w:r>
        <w:rPr>
          <w:rFonts w:ascii="宋体" w:hAnsi="宋体"/>
          <w:color w:val="auto"/>
        </w:rPr>
        <w:t>年）</w:t>
      </w:r>
      <w:r>
        <w:rPr>
          <w:rFonts w:hAnsi="宋体"/>
          <w:color w:val="auto"/>
        </w:rPr>
        <w:t>安全、顺利、高效、可靠地实施，</w:t>
      </w:r>
      <w:r>
        <w:rPr>
          <w:rFonts w:hint="eastAsia" w:hAnsi="宋体"/>
          <w:color w:val="auto"/>
        </w:rPr>
        <w:t>比选申请人</w:t>
      </w:r>
      <w:r>
        <w:rPr>
          <w:rFonts w:hAnsi="宋体"/>
          <w:color w:val="auto"/>
        </w:rPr>
        <w:t>必须充分考虑</w:t>
      </w:r>
      <w:r>
        <w:rPr>
          <w:rFonts w:hint="eastAsia" w:ascii="宋体" w:hAnsi="宋体"/>
          <w:color w:val="auto"/>
        </w:rPr>
        <w:t>1-5号线</w:t>
      </w:r>
      <w:r>
        <w:rPr>
          <w:rFonts w:ascii="宋体" w:hAnsi="宋体"/>
          <w:color w:val="auto"/>
        </w:rPr>
        <w:t>办公网交换机设备</w:t>
      </w:r>
      <w:r>
        <w:rPr>
          <w:rFonts w:hAnsi="宋体"/>
          <w:color w:val="auto"/>
        </w:rPr>
        <w:t>的运行状况、周边环境、以及</w:t>
      </w:r>
      <w:r>
        <w:rPr>
          <w:rFonts w:hint="eastAsia" w:hAnsi="宋体"/>
          <w:color w:val="auto"/>
        </w:rPr>
        <w:t>设备故障</w:t>
      </w:r>
      <w:r>
        <w:rPr>
          <w:rFonts w:hAnsi="宋体"/>
          <w:color w:val="auto"/>
        </w:rPr>
        <w:t>应急</w:t>
      </w:r>
      <w:r>
        <w:rPr>
          <w:rFonts w:hint="eastAsia" w:hAnsi="宋体"/>
          <w:color w:val="auto"/>
        </w:rPr>
        <w:t>抢修</w:t>
      </w:r>
      <w:r>
        <w:rPr>
          <w:rFonts w:hAnsi="宋体"/>
          <w:color w:val="auto"/>
        </w:rPr>
        <w:t>带来的问题，合理安排</w:t>
      </w:r>
      <w:r>
        <w:rPr>
          <w:rFonts w:hint="eastAsia" w:hAnsi="宋体"/>
          <w:color w:val="auto"/>
        </w:rPr>
        <w:t>维保服务项目经理</w:t>
      </w:r>
      <w:r>
        <w:rPr>
          <w:rFonts w:hAnsi="宋体"/>
          <w:color w:val="auto"/>
        </w:rPr>
        <w:t>、项目技术负责人及技术工程师</w:t>
      </w:r>
      <w:r>
        <w:rPr>
          <w:rFonts w:hint="eastAsia" w:hAnsi="宋体"/>
          <w:color w:val="auto"/>
        </w:rPr>
        <w:t>，以满足设备故障处理、应急响应的承诺时间。比选申请人关于维保服务人员配置须包含但不限于以下表格1配置要求：</w:t>
      </w:r>
    </w:p>
    <w:p>
      <w:pPr>
        <w:pStyle w:val="32"/>
        <w:spacing w:before="0" w:after="0" w:afterAutospacing="0"/>
        <w:ind w:left="0" w:leftChars="0" w:right="0" w:firstLine="0" w:firstLineChars="0"/>
        <w:jc w:val="center"/>
        <w:rPr>
          <w:rFonts w:ascii="宋体" w:hAnsi="宋体"/>
          <w:color w:val="auto"/>
        </w:rPr>
      </w:pPr>
      <w:r>
        <w:rPr>
          <w:rFonts w:hint="eastAsia" w:ascii="宋体" w:hAnsi="宋体"/>
          <w:color w:val="auto"/>
        </w:rPr>
        <w:t>表格1</w:t>
      </w:r>
      <w:r>
        <w:rPr>
          <w:rFonts w:ascii="宋体" w:hAnsi="宋体"/>
          <w:color w:val="auto"/>
        </w:rPr>
        <w:t xml:space="preserve"> </w:t>
      </w:r>
      <w:r>
        <w:rPr>
          <w:rFonts w:hint="eastAsia" w:ascii="宋体" w:hAnsi="宋体"/>
          <w:color w:val="auto"/>
        </w:rPr>
        <w:t xml:space="preserve"> 维保服务</w:t>
      </w:r>
      <w:r>
        <w:rPr>
          <w:rFonts w:ascii="宋体" w:hAnsi="宋体"/>
          <w:color w:val="auto"/>
        </w:rPr>
        <w:t>人员配置表</w:t>
      </w:r>
    </w:p>
    <w:tbl>
      <w:tblPr>
        <w:tblStyle w:val="33"/>
        <w:tblW w:w="80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1275"/>
        <w:gridCol w:w="709"/>
        <w:gridCol w:w="4836"/>
        <w:gridCol w:w="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blHeader/>
          <w:jc w:val="center"/>
        </w:trPr>
        <w:tc>
          <w:tcPr>
            <w:tcW w:w="674"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序号</w:t>
            </w:r>
          </w:p>
        </w:tc>
        <w:tc>
          <w:tcPr>
            <w:tcW w:w="1275"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岗位名称</w:t>
            </w:r>
          </w:p>
        </w:tc>
        <w:tc>
          <w:tcPr>
            <w:tcW w:w="709"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人数</w:t>
            </w:r>
          </w:p>
        </w:tc>
        <w:tc>
          <w:tcPr>
            <w:tcW w:w="4836"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资格要求</w:t>
            </w:r>
          </w:p>
        </w:tc>
        <w:tc>
          <w:tcPr>
            <w:tcW w:w="536"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 w:hRule="atLeast"/>
          <w:jc w:val="center"/>
        </w:trPr>
        <w:tc>
          <w:tcPr>
            <w:tcW w:w="674"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rPr>
            </w:pPr>
            <w:r>
              <w:rPr>
                <w:rFonts w:hint="default" w:ascii="宋体" w:hAnsi="宋体" w:cs="宋体"/>
                <w:color w:val="auto"/>
              </w:rPr>
              <w:t>1</w:t>
            </w:r>
          </w:p>
        </w:tc>
        <w:tc>
          <w:tcPr>
            <w:tcW w:w="1275" w:type="dxa"/>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项目经理</w:t>
            </w:r>
          </w:p>
        </w:tc>
        <w:tc>
          <w:tcPr>
            <w:tcW w:w="709" w:type="dxa"/>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default" w:ascii="宋体" w:hAnsi="宋体" w:cs="宋体"/>
                <w:color w:val="auto"/>
              </w:rPr>
              <w:t>1</w:t>
            </w:r>
          </w:p>
        </w:tc>
        <w:tc>
          <w:tcPr>
            <w:tcW w:w="4836" w:type="dxa"/>
            <w:tcMar>
              <w:top w:w="15" w:type="dxa"/>
              <w:left w:w="15" w:type="dxa"/>
              <w:right w:w="15" w:type="dxa"/>
            </w:tcMar>
            <w:vAlign w:val="center"/>
          </w:tcPr>
          <w:p>
            <w:pPr>
              <w:pStyle w:val="66"/>
              <w:keepNext w:val="0"/>
              <w:keepLines w:val="0"/>
              <w:suppressLineNumbers w:val="0"/>
              <w:adjustRightInd/>
              <w:snapToGrid/>
              <w:spacing w:beforeAutospacing="0" w:line="240" w:lineRule="auto"/>
              <w:ind w:firstLine="420"/>
              <w:rPr>
                <w:rFonts w:hint="default" w:cs="宋体"/>
                <w:color w:val="auto"/>
                <w:sz w:val="21"/>
                <w:szCs w:val="21"/>
              </w:rPr>
            </w:pPr>
            <w:r>
              <w:rPr>
                <w:rFonts w:hint="eastAsia" w:cs="宋体"/>
                <w:color w:val="auto"/>
                <w:sz w:val="21"/>
                <w:szCs w:val="21"/>
              </w:rPr>
              <w:t>大专及以上学历，应熟练掌握</w:t>
            </w:r>
            <w:r>
              <w:rPr>
                <w:rFonts w:hint="eastAsia"/>
                <w:color w:val="auto"/>
                <w:sz w:val="21"/>
                <w:szCs w:val="21"/>
              </w:rPr>
              <w:t>信息网络系统设备及信息网络系统集成</w:t>
            </w:r>
            <w:r>
              <w:rPr>
                <w:rFonts w:hint="eastAsia" w:cs="宋体"/>
                <w:color w:val="auto"/>
                <w:sz w:val="21"/>
                <w:szCs w:val="21"/>
              </w:rPr>
              <w:t>国家和行业有关标准，须持有华三认证的</w:t>
            </w:r>
            <w:r>
              <w:rPr>
                <w:rFonts w:hint="default" w:cs="宋体"/>
                <w:color w:val="auto"/>
                <w:sz w:val="21"/>
                <w:szCs w:val="21"/>
              </w:rPr>
              <w:t>H3CIE</w:t>
            </w:r>
            <w:r>
              <w:rPr>
                <w:rFonts w:hint="eastAsia" w:cs="宋体"/>
                <w:color w:val="auto"/>
                <w:sz w:val="21"/>
                <w:szCs w:val="21"/>
              </w:rPr>
              <w:t>或华为认证的</w:t>
            </w:r>
            <w:r>
              <w:rPr>
                <w:rFonts w:hint="default" w:cs="宋体"/>
                <w:color w:val="auto"/>
                <w:sz w:val="21"/>
                <w:szCs w:val="21"/>
              </w:rPr>
              <w:t>HCIE</w:t>
            </w:r>
            <w:r>
              <w:rPr>
                <w:rFonts w:hint="eastAsia" w:cs="宋体"/>
                <w:color w:val="auto"/>
                <w:sz w:val="21"/>
                <w:szCs w:val="21"/>
              </w:rPr>
              <w:t>专业技术资格证书，具有</w:t>
            </w:r>
            <w:r>
              <w:rPr>
                <w:rFonts w:hint="eastAsia"/>
                <w:color w:val="auto"/>
                <w:sz w:val="21"/>
                <w:szCs w:val="21"/>
              </w:rPr>
              <w:t>信息网络系统设备</w:t>
            </w:r>
            <w:r>
              <w:rPr>
                <w:rFonts w:hint="eastAsia" w:cs="宋体"/>
                <w:color w:val="auto"/>
                <w:sz w:val="21"/>
                <w:szCs w:val="21"/>
              </w:rPr>
              <w:t>设施维保或</w:t>
            </w:r>
            <w:r>
              <w:rPr>
                <w:rFonts w:hint="eastAsia"/>
                <w:color w:val="auto"/>
                <w:sz w:val="21"/>
                <w:szCs w:val="21"/>
              </w:rPr>
              <w:t>信息网络</w:t>
            </w:r>
            <w:r>
              <w:rPr>
                <w:rFonts w:hint="eastAsia" w:cs="宋体"/>
                <w:color w:val="auto"/>
                <w:sz w:val="21"/>
                <w:szCs w:val="21"/>
              </w:rPr>
              <w:t>系统集成项目管理经验，至少</w:t>
            </w:r>
            <w:r>
              <w:rPr>
                <w:rFonts w:hint="default" w:cs="宋体"/>
                <w:color w:val="auto"/>
                <w:sz w:val="21"/>
                <w:szCs w:val="21"/>
              </w:rPr>
              <w:t>8</w:t>
            </w:r>
            <w:r>
              <w:rPr>
                <w:rFonts w:hint="eastAsia" w:cs="宋体"/>
                <w:color w:val="auto"/>
                <w:sz w:val="21"/>
                <w:szCs w:val="21"/>
              </w:rPr>
              <w:t>年工作经验。</w:t>
            </w:r>
          </w:p>
        </w:tc>
        <w:tc>
          <w:tcPr>
            <w:tcW w:w="536"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rPr>
                <w:rFonts w:hint="default"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jc w:val="center"/>
        </w:trPr>
        <w:tc>
          <w:tcPr>
            <w:tcW w:w="674" w:type="dxa"/>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default" w:ascii="宋体" w:hAnsi="宋体" w:cs="宋体"/>
                <w:color w:val="auto"/>
              </w:rPr>
              <w:t>2</w:t>
            </w:r>
          </w:p>
        </w:tc>
        <w:tc>
          <w:tcPr>
            <w:tcW w:w="1275"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color w:val="auto"/>
              </w:rPr>
            </w:pPr>
            <w:r>
              <w:rPr>
                <w:rFonts w:hint="default" w:ascii="宋体" w:hAnsi="宋体" w:cs="宋体"/>
                <w:bCs/>
                <w:color w:val="auto"/>
              </w:rPr>
              <w:t>技术负责人</w:t>
            </w:r>
          </w:p>
        </w:tc>
        <w:tc>
          <w:tcPr>
            <w:tcW w:w="709" w:type="dxa"/>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default" w:ascii="宋体" w:hAnsi="宋体" w:cs="宋体"/>
                <w:color w:val="auto"/>
              </w:rPr>
              <w:t>1</w:t>
            </w:r>
          </w:p>
        </w:tc>
        <w:tc>
          <w:tcPr>
            <w:tcW w:w="4836" w:type="dxa"/>
            <w:tcMar>
              <w:top w:w="15" w:type="dxa"/>
              <w:left w:w="15" w:type="dxa"/>
              <w:right w:w="15" w:type="dxa"/>
            </w:tcMar>
            <w:vAlign w:val="center"/>
          </w:tcPr>
          <w:p>
            <w:pPr>
              <w:pStyle w:val="66"/>
              <w:keepNext w:val="0"/>
              <w:keepLines w:val="0"/>
              <w:suppressLineNumbers w:val="0"/>
              <w:adjustRightInd/>
              <w:snapToGrid/>
              <w:spacing w:beforeAutospacing="0" w:line="240" w:lineRule="auto"/>
              <w:ind w:firstLine="420"/>
              <w:rPr>
                <w:rFonts w:hint="default"/>
                <w:color w:val="auto"/>
                <w:sz w:val="21"/>
                <w:szCs w:val="21"/>
              </w:rPr>
            </w:pPr>
            <w:r>
              <w:rPr>
                <w:rFonts w:hint="eastAsia" w:cs="宋体"/>
                <w:color w:val="auto"/>
                <w:sz w:val="21"/>
                <w:szCs w:val="21"/>
              </w:rPr>
              <w:t>大专及以上学历，应熟练掌握信息网络系统设备及信息网络系统集成国家和行业有关标准，具有信息网络系统设备设施维保或信息网络系统集成项目实施经验；须持有华三认证的</w:t>
            </w:r>
            <w:r>
              <w:rPr>
                <w:rFonts w:hint="default" w:cs="宋体"/>
                <w:color w:val="auto"/>
                <w:sz w:val="21"/>
                <w:szCs w:val="21"/>
              </w:rPr>
              <w:t>H3CIE</w:t>
            </w:r>
            <w:r>
              <w:rPr>
                <w:rFonts w:hint="eastAsia" w:cs="宋体"/>
                <w:color w:val="auto"/>
                <w:sz w:val="21"/>
                <w:szCs w:val="21"/>
              </w:rPr>
              <w:t>专业技术资格证书，至少5年工作经验。</w:t>
            </w:r>
          </w:p>
        </w:tc>
        <w:tc>
          <w:tcPr>
            <w:tcW w:w="536"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rPr>
                <w:rFonts w:hint="default"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674" w:type="dxa"/>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default" w:ascii="宋体" w:hAnsi="宋体" w:cs="宋体"/>
                <w:color w:val="auto"/>
              </w:rPr>
              <w:t>3</w:t>
            </w:r>
          </w:p>
        </w:tc>
        <w:tc>
          <w:tcPr>
            <w:tcW w:w="1275"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color w:val="auto"/>
              </w:rPr>
            </w:pPr>
            <w:r>
              <w:rPr>
                <w:rFonts w:hint="default" w:ascii="宋体" w:hAnsi="宋体" w:cs="宋体"/>
                <w:bCs/>
                <w:color w:val="auto"/>
              </w:rPr>
              <w:t>技术工程师</w:t>
            </w:r>
          </w:p>
        </w:tc>
        <w:tc>
          <w:tcPr>
            <w:tcW w:w="709" w:type="dxa"/>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≥3</w:t>
            </w:r>
          </w:p>
        </w:tc>
        <w:tc>
          <w:tcPr>
            <w:tcW w:w="4836" w:type="dxa"/>
            <w:tcMar>
              <w:top w:w="15" w:type="dxa"/>
              <w:left w:w="15" w:type="dxa"/>
              <w:right w:w="15" w:type="dxa"/>
            </w:tcMar>
            <w:vAlign w:val="center"/>
          </w:tcPr>
          <w:p>
            <w:pPr>
              <w:pStyle w:val="66"/>
              <w:keepNext w:val="0"/>
              <w:keepLines w:val="0"/>
              <w:suppressLineNumbers w:val="0"/>
              <w:adjustRightInd/>
              <w:snapToGrid/>
              <w:spacing w:beforeAutospacing="0" w:line="240" w:lineRule="auto"/>
              <w:ind w:firstLine="420"/>
              <w:rPr>
                <w:rFonts w:hint="default" w:cs="宋体"/>
                <w:color w:val="auto"/>
                <w:sz w:val="21"/>
                <w:szCs w:val="21"/>
              </w:rPr>
            </w:pPr>
            <w:r>
              <w:rPr>
                <w:rFonts w:hint="eastAsia" w:cs="宋体"/>
                <w:color w:val="auto"/>
                <w:sz w:val="21"/>
                <w:szCs w:val="21"/>
              </w:rPr>
              <w:t>大专及以上学历，应熟练掌握信息网络系统设备及信息网络系统集成国家和行业有关标准，具有信息网络系统设备设施维保或信息网络系统集成项目实施经验；</w:t>
            </w:r>
            <w:r>
              <w:rPr>
                <w:rFonts w:hint="default" w:cs="宋体"/>
                <w:color w:val="auto"/>
                <w:sz w:val="21"/>
                <w:szCs w:val="21"/>
              </w:rPr>
              <w:t>3</w:t>
            </w:r>
            <w:r>
              <w:rPr>
                <w:rFonts w:hint="eastAsia" w:cs="宋体"/>
                <w:color w:val="auto"/>
                <w:sz w:val="21"/>
                <w:szCs w:val="21"/>
              </w:rPr>
              <w:t>名高级工程师均须持有华三认证的</w:t>
            </w:r>
            <w:r>
              <w:rPr>
                <w:rFonts w:hint="default" w:cs="宋体"/>
                <w:color w:val="auto"/>
                <w:sz w:val="21"/>
                <w:szCs w:val="21"/>
              </w:rPr>
              <w:t>H3CSE-RS+</w:t>
            </w:r>
            <w:r>
              <w:rPr>
                <w:rFonts w:hint="eastAsia" w:cs="宋体"/>
                <w:color w:val="auto"/>
                <w:sz w:val="21"/>
                <w:szCs w:val="21"/>
              </w:rPr>
              <w:t>或华为认证的</w:t>
            </w:r>
            <w:r>
              <w:rPr>
                <w:rFonts w:hint="default" w:cs="宋体"/>
                <w:color w:val="auto"/>
                <w:sz w:val="21"/>
                <w:szCs w:val="21"/>
              </w:rPr>
              <w:t>HCIP-datacom</w:t>
            </w:r>
            <w:r>
              <w:rPr>
                <w:rFonts w:hint="eastAsia" w:cs="宋体"/>
                <w:color w:val="auto"/>
                <w:sz w:val="21"/>
                <w:szCs w:val="21"/>
              </w:rPr>
              <w:t>及以上专业技术资格证书，至少3年工作经验。</w:t>
            </w:r>
          </w:p>
        </w:tc>
        <w:tc>
          <w:tcPr>
            <w:tcW w:w="536" w:type="dxa"/>
            <w:tcMar>
              <w:top w:w="15" w:type="dxa"/>
              <w:left w:w="15" w:type="dxa"/>
              <w:right w:w="15" w:type="dxa"/>
            </w:tcMar>
            <w:vAlign w:val="center"/>
          </w:tcPr>
          <w:p>
            <w:pPr>
              <w:keepNext w:val="0"/>
              <w:keepLines w:val="0"/>
              <w:widowControl/>
              <w:suppressLineNumbers w:val="0"/>
              <w:spacing w:before="0" w:beforeAutospacing="0" w:after="0" w:afterAutospacing="0" w:line="240" w:lineRule="auto"/>
              <w:rPr>
                <w:rFonts w:hint="default"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jc w:val="center"/>
        </w:trPr>
        <w:tc>
          <w:tcPr>
            <w:tcW w:w="674" w:type="dxa"/>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default" w:ascii="宋体" w:hAnsi="宋体" w:cs="宋体"/>
                <w:color w:val="auto"/>
              </w:rPr>
              <w:t>4</w:t>
            </w:r>
          </w:p>
        </w:tc>
        <w:tc>
          <w:tcPr>
            <w:tcW w:w="1275" w:type="dxa"/>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合计</w:t>
            </w:r>
          </w:p>
        </w:tc>
        <w:tc>
          <w:tcPr>
            <w:tcW w:w="709" w:type="dxa"/>
            <w:shd w:val="clear" w:color="auto" w:fill="FFFFFF"/>
            <w:tcMar>
              <w:top w:w="15" w:type="dxa"/>
              <w:left w:w="15" w:type="dxa"/>
              <w:right w:w="15" w:type="dxa"/>
            </w:tcMar>
            <w:vAlign w:val="center"/>
          </w:tcPr>
          <w:p>
            <w:pPr>
              <w:keepNext w:val="0"/>
              <w:keepLines w:val="0"/>
              <w:widowControl w:val="0"/>
              <w:suppressLineNumbers w:val="0"/>
              <w:spacing w:before="0" w:beforeAutospacing="0" w:after="0" w:afterAutospacing="0" w:line="240" w:lineRule="auto"/>
              <w:jc w:val="center"/>
              <w:textAlignment w:val="center"/>
              <w:rPr>
                <w:rFonts w:hint="default" w:ascii="宋体" w:hAnsi="宋体" w:cs="宋体"/>
                <w:color w:val="auto"/>
              </w:rPr>
            </w:pPr>
            <w:r>
              <w:rPr>
                <w:rFonts w:hint="eastAsia" w:ascii="宋体" w:hAnsi="宋体" w:cs="宋体"/>
                <w:color w:val="auto"/>
              </w:rPr>
              <w:t>≥5</w:t>
            </w:r>
          </w:p>
        </w:tc>
        <w:tc>
          <w:tcPr>
            <w:tcW w:w="4836" w:type="dxa"/>
            <w:shd w:val="clear" w:color="auto" w:fill="FFFFFF"/>
            <w:tcMar>
              <w:top w:w="15" w:type="dxa"/>
              <w:left w:w="15" w:type="dxa"/>
              <w:right w:w="15" w:type="dxa"/>
            </w:tcMar>
            <w:vAlign w:val="center"/>
          </w:tcPr>
          <w:p>
            <w:pPr>
              <w:keepNext/>
              <w:keepLines/>
              <w:widowControl/>
              <w:suppressLineNumbers w:val="0"/>
              <w:spacing w:before="0" w:beforeAutospacing="0" w:after="0" w:afterAutospacing="0" w:line="240" w:lineRule="auto"/>
              <w:textAlignment w:val="center"/>
              <w:outlineLvl w:val="0"/>
              <w:rPr>
                <w:rFonts w:hint="default" w:ascii="宋体" w:hAnsi="宋体" w:cs="宋体"/>
                <w:color w:val="auto"/>
                <w:kern w:val="44"/>
              </w:rPr>
            </w:pPr>
          </w:p>
        </w:tc>
        <w:tc>
          <w:tcPr>
            <w:tcW w:w="536" w:type="dxa"/>
            <w:tcMar>
              <w:top w:w="15" w:type="dxa"/>
              <w:left w:w="15" w:type="dxa"/>
              <w:right w:w="15" w:type="dxa"/>
            </w:tcMar>
            <w:vAlign w:val="center"/>
          </w:tcPr>
          <w:p>
            <w:pPr>
              <w:keepNext/>
              <w:keepLines/>
              <w:widowControl/>
              <w:suppressLineNumbers w:val="0"/>
              <w:spacing w:before="0" w:beforeAutospacing="0" w:after="0" w:afterAutospacing="0" w:line="240" w:lineRule="auto"/>
              <w:outlineLvl w:val="0"/>
              <w:rPr>
                <w:rFonts w:hint="default" w:ascii="宋体" w:hAnsi="宋体" w:cs="宋体"/>
                <w:color w:val="auto"/>
              </w:rPr>
            </w:pPr>
          </w:p>
        </w:tc>
      </w:tr>
    </w:tbl>
    <w:p>
      <w:pPr>
        <w:pStyle w:val="67"/>
        <w:tabs>
          <w:tab w:val="left" w:pos="0"/>
        </w:tabs>
        <w:spacing w:line="360" w:lineRule="auto"/>
        <w:ind w:firstLine="422" w:firstLineChars="200"/>
        <w:rPr>
          <w:rFonts w:ascii="宋体" w:hAnsi="宋体" w:cs="宋体"/>
          <w:b/>
          <w:color w:val="auto"/>
        </w:rPr>
      </w:pPr>
      <w:r>
        <w:rPr>
          <w:rFonts w:hint="eastAsia" w:ascii="宋体" w:hAnsi="宋体" w:eastAsia="宋体" w:cs="宋体"/>
          <w:b/>
          <w:color w:val="auto"/>
          <w:sz w:val="21"/>
          <w:szCs w:val="21"/>
        </w:rPr>
        <w:t>备注：</w:t>
      </w:r>
    </w:p>
    <w:p>
      <w:pPr>
        <w:pStyle w:val="67"/>
        <w:tabs>
          <w:tab w:val="left" w:pos="0"/>
        </w:tabs>
        <w:spacing w:line="36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 xml:space="preserve">1. </w:t>
      </w:r>
      <w:r>
        <w:rPr>
          <w:rFonts w:hint="eastAsia" w:ascii="宋体" w:hAnsi="宋体" w:eastAsia="宋体" w:cs="宋体"/>
          <w:color w:val="auto"/>
          <w:sz w:val="21"/>
          <w:szCs w:val="21"/>
        </w:rPr>
        <w:t>比选申请人</w:t>
      </w:r>
      <w:r>
        <w:rPr>
          <w:rFonts w:ascii="宋体" w:hAnsi="宋体" w:eastAsia="宋体" w:cs="宋体"/>
          <w:color w:val="auto"/>
          <w:sz w:val="21"/>
          <w:szCs w:val="21"/>
        </w:rPr>
        <w:t>须在</w:t>
      </w:r>
      <w:r>
        <w:rPr>
          <w:rFonts w:hint="eastAsia" w:ascii="宋体" w:hAnsi="宋体" w:eastAsia="宋体" w:cs="宋体"/>
          <w:color w:val="auto"/>
          <w:sz w:val="21"/>
          <w:szCs w:val="21"/>
        </w:rPr>
        <w:t>比选</w:t>
      </w:r>
      <w:r>
        <w:rPr>
          <w:rFonts w:ascii="宋体" w:hAnsi="宋体" w:eastAsia="宋体" w:cs="宋体"/>
          <w:color w:val="auto"/>
          <w:sz w:val="21"/>
          <w:szCs w:val="21"/>
        </w:rPr>
        <w:t>响应文件中明确投入本项目的</w:t>
      </w:r>
      <w:r>
        <w:rPr>
          <w:rFonts w:hint="eastAsia" w:ascii="宋体" w:hAnsi="宋体" w:eastAsia="宋体" w:cs="宋体"/>
          <w:color w:val="auto"/>
          <w:sz w:val="21"/>
          <w:szCs w:val="21"/>
        </w:rPr>
        <w:t>技术</w:t>
      </w:r>
      <w:r>
        <w:rPr>
          <w:rFonts w:ascii="宋体" w:hAnsi="宋体" w:eastAsia="宋体" w:cs="宋体"/>
          <w:color w:val="auto"/>
          <w:sz w:val="21"/>
          <w:szCs w:val="21"/>
        </w:rPr>
        <w:t>工程师及以上管理人员信息（包含人员姓名、年龄、职务、学历、专业、工作年限等信息）。</w:t>
      </w:r>
    </w:p>
    <w:p>
      <w:pPr>
        <w:pStyle w:val="67"/>
        <w:tabs>
          <w:tab w:val="left" w:pos="0"/>
        </w:tabs>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w:t>
      </w:r>
      <w:r>
        <w:rPr>
          <w:rFonts w:ascii="宋体" w:hAnsi="宋体" w:eastAsia="宋体" w:cs="宋体"/>
          <w:color w:val="auto"/>
          <w:sz w:val="21"/>
          <w:szCs w:val="21"/>
        </w:rPr>
        <w:t>.</w:t>
      </w:r>
      <w:r>
        <w:rPr>
          <w:rFonts w:hint="eastAsia" w:ascii="宋体" w:hAnsi="宋体" w:eastAsia="宋体" w:cs="宋体"/>
          <w:color w:val="auto"/>
          <w:sz w:val="21"/>
          <w:szCs w:val="21"/>
        </w:rPr>
        <w:t>比选申请人</w:t>
      </w:r>
      <w:r>
        <w:rPr>
          <w:rFonts w:ascii="宋体" w:hAnsi="宋体" w:eastAsia="宋体" w:cs="宋体"/>
          <w:color w:val="auto"/>
          <w:sz w:val="21"/>
          <w:szCs w:val="21"/>
        </w:rPr>
        <w:t>所有人员必须身体健康，</w:t>
      </w:r>
      <w:r>
        <w:rPr>
          <w:rFonts w:hint="eastAsia" w:ascii="宋体" w:hAnsi="宋体" w:eastAsia="宋体" w:cs="宋体"/>
          <w:color w:val="auto"/>
          <w:sz w:val="21"/>
          <w:szCs w:val="21"/>
        </w:rPr>
        <w:t>不可</w:t>
      </w:r>
      <w:r>
        <w:rPr>
          <w:rFonts w:ascii="宋体" w:hAnsi="宋体" w:eastAsia="宋体" w:cs="宋体"/>
          <w:color w:val="auto"/>
          <w:sz w:val="21"/>
          <w:szCs w:val="21"/>
        </w:rPr>
        <w:t>带病上岗</w:t>
      </w:r>
      <w:r>
        <w:rPr>
          <w:rFonts w:hint="eastAsia" w:ascii="宋体" w:hAnsi="宋体" w:eastAsia="宋体" w:cs="宋体"/>
          <w:color w:val="auto"/>
          <w:sz w:val="21"/>
          <w:szCs w:val="21"/>
        </w:rPr>
        <w:t>。</w:t>
      </w:r>
    </w:p>
    <w:p>
      <w:pPr>
        <w:pStyle w:val="67"/>
        <w:tabs>
          <w:tab w:val="left" w:pos="0"/>
        </w:tabs>
        <w:spacing w:line="360" w:lineRule="auto"/>
        <w:ind w:firstLine="420" w:firstLineChars="200"/>
        <w:rPr>
          <w:rFonts w:eastAsia="宋体"/>
          <w:color w:val="auto"/>
          <w:sz w:val="21"/>
          <w:szCs w:val="21"/>
        </w:rPr>
      </w:pPr>
      <w:r>
        <w:rPr>
          <w:rFonts w:hint="eastAsia" w:ascii="宋体" w:hAnsi="宋体" w:eastAsia="宋体" w:cs="宋体"/>
          <w:color w:val="auto"/>
          <w:sz w:val="21"/>
          <w:szCs w:val="21"/>
        </w:rPr>
        <w:t>3</w:t>
      </w:r>
      <w:r>
        <w:rPr>
          <w:rFonts w:ascii="宋体" w:hAnsi="宋体" w:eastAsia="宋体" w:cs="宋体"/>
          <w:color w:val="auto"/>
          <w:sz w:val="21"/>
          <w:szCs w:val="21"/>
        </w:rPr>
        <w:t>.</w:t>
      </w:r>
      <w:r>
        <w:rPr>
          <w:rFonts w:hint="eastAsia" w:ascii="宋体" w:hAnsi="宋体" w:eastAsia="宋体" w:cs="宋体"/>
          <w:color w:val="auto"/>
          <w:sz w:val="21"/>
          <w:szCs w:val="21"/>
        </w:rPr>
        <w:t>项目经理</w:t>
      </w:r>
      <w:r>
        <w:rPr>
          <w:rFonts w:ascii="宋体" w:hAnsi="宋体" w:eastAsia="宋体" w:cs="宋体"/>
          <w:color w:val="auto"/>
          <w:sz w:val="21"/>
          <w:szCs w:val="21"/>
        </w:rPr>
        <w:t>、技术负责人、</w:t>
      </w:r>
      <w:r>
        <w:rPr>
          <w:rFonts w:hint="eastAsia" w:ascii="宋体" w:hAnsi="宋体" w:eastAsia="宋体" w:cs="宋体"/>
          <w:color w:val="auto"/>
          <w:sz w:val="21"/>
          <w:szCs w:val="21"/>
        </w:rPr>
        <w:t>技术</w:t>
      </w:r>
      <w:r>
        <w:rPr>
          <w:rFonts w:ascii="宋体" w:hAnsi="宋体" w:eastAsia="宋体" w:cs="宋体"/>
          <w:color w:val="auto"/>
          <w:sz w:val="21"/>
          <w:szCs w:val="21"/>
        </w:rPr>
        <w:t>工程师必须为</w:t>
      </w:r>
      <w:r>
        <w:rPr>
          <w:rFonts w:hint="eastAsia" w:ascii="宋体" w:hAnsi="宋体" w:eastAsia="宋体" w:cs="宋体"/>
          <w:color w:val="auto"/>
          <w:sz w:val="21"/>
          <w:szCs w:val="21"/>
        </w:rPr>
        <w:t>比选申请人</w:t>
      </w:r>
      <w:r>
        <w:rPr>
          <w:rFonts w:ascii="宋体" w:hAnsi="宋体" w:eastAsia="宋体" w:cs="宋体"/>
          <w:color w:val="auto"/>
          <w:sz w:val="21"/>
          <w:szCs w:val="21"/>
        </w:rPr>
        <w:t>正式员工，并提供近半年的社保缴费证明。</w:t>
      </w:r>
      <w:r>
        <w:rPr>
          <w:rFonts w:hint="eastAsia" w:ascii="宋体" w:hAnsi="宋体" w:eastAsia="宋体" w:cs="宋体"/>
          <w:color w:val="auto"/>
          <w:sz w:val="21"/>
          <w:szCs w:val="21"/>
        </w:rPr>
        <w:t>比选人</w:t>
      </w:r>
      <w:r>
        <w:rPr>
          <w:rFonts w:ascii="宋体" w:hAnsi="宋体" w:eastAsia="宋体" w:cs="宋体"/>
          <w:color w:val="auto"/>
          <w:sz w:val="21"/>
          <w:szCs w:val="21"/>
        </w:rPr>
        <w:t>可根据现场工作需求，有权要求</w:t>
      </w:r>
      <w:r>
        <w:rPr>
          <w:rFonts w:hint="eastAsia" w:ascii="宋体" w:hAnsi="宋体" w:eastAsia="宋体" w:cs="宋体"/>
          <w:color w:val="auto"/>
          <w:sz w:val="21"/>
          <w:szCs w:val="21"/>
        </w:rPr>
        <w:t>比选申请人</w:t>
      </w:r>
      <w:r>
        <w:rPr>
          <w:rFonts w:ascii="宋体" w:hAnsi="宋体" w:eastAsia="宋体" w:cs="宋体"/>
          <w:color w:val="auto"/>
          <w:sz w:val="21"/>
          <w:szCs w:val="21"/>
        </w:rPr>
        <w:t>更换不符合要求的人员</w:t>
      </w:r>
      <w:r>
        <w:rPr>
          <w:rFonts w:hint="eastAsia" w:ascii="宋体" w:hAnsi="宋体" w:eastAsia="宋体" w:cs="宋体"/>
          <w:color w:val="auto"/>
          <w:sz w:val="21"/>
          <w:szCs w:val="21"/>
        </w:rPr>
        <w:t>。</w:t>
      </w:r>
    </w:p>
    <w:p>
      <w:pPr>
        <w:pStyle w:val="67"/>
        <w:tabs>
          <w:tab w:val="left" w:pos="0"/>
        </w:tabs>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w:t>
      </w:r>
      <w:r>
        <w:rPr>
          <w:rFonts w:ascii="宋体" w:hAnsi="宋体" w:eastAsia="宋体" w:cs="宋体"/>
          <w:color w:val="auto"/>
          <w:sz w:val="21"/>
          <w:szCs w:val="21"/>
        </w:rPr>
        <w:t>.</w:t>
      </w:r>
      <w:r>
        <w:rPr>
          <w:rFonts w:hint="eastAsia" w:ascii="宋体" w:hAnsi="宋体" w:eastAsia="宋体" w:cs="宋体"/>
          <w:color w:val="auto"/>
          <w:sz w:val="21"/>
          <w:szCs w:val="21"/>
        </w:rPr>
        <w:t>比选申请人</w:t>
      </w:r>
      <w:r>
        <w:rPr>
          <w:rFonts w:ascii="宋体" w:hAnsi="宋体" w:eastAsia="宋体" w:cs="宋体"/>
          <w:color w:val="auto"/>
          <w:sz w:val="21"/>
          <w:szCs w:val="21"/>
        </w:rPr>
        <w:t>对其筹备组织机构定岗、定员，并保证建立的筹备服务团队稳定，人员素质和专业技术结构满足各项筹备要求，同一个人不能兼任两个岗位。</w:t>
      </w:r>
      <w:r>
        <w:rPr>
          <w:rFonts w:hint="eastAsia" w:ascii="宋体" w:hAnsi="宋体" w:eastAsia="宋体" w:cs="宋体"/>
          <w:color w:val="auto"/>
          <w:sz w:val="21"/>
          <w:szCs w:val="21"/>
        </w:rPr>
        <w:t>若</w:t>
      </w:r>
      <w:r>
        <w:rPr>
          <w:rFonts w:ascii="宋体" w:hAnsi="宋体" w:eastAsia="宋体" w:cs="宋体"/>
          <w:color w:val="auto"/>
          <w:sz w:val="21"/>
          <w:szCs w:val="21"/>
        </w:rPr>
        <w:t>因</w:t>
      </w:r>
      <w:r>
        <w:rPr>
          <w:rFonts w:hint="eastAsia" w:ascii="宋体" w:hAnsi="宋体" w:eastAsia="宋体" w:cs="宋体"/>
          <w:color w:val="auto"/>
          <w:sz w:val="21"/>
          <w:szCs w:val="21"/>
        </w:rPr>
        <w:t>比选申请人</w:t>
      </w:r>
      <w:r>
        <w:rPr>
          <w:rFonts w:ascii="宋体" w:hAnsi="宋体" w:eastAsia="宋体" w:cs="宋体"/>
          <w:color w:val="auto"/>
          <w:sz w:val="21"/>
          <w:szCs w:val="21"/>
        </w:rPr>
        <w:t>人员技术水平低，责任</w:t>
      </w:r>
      <w:r>
        <w:rPr>
          <w:rFonts w:hint="eastAsia" w:ascii="宋体" w:hAnsi="宋体" w:eastAsia="宋体" w:cs="宋体"/>
          <w:color w:val="auto"/>
          <w:sz w:val="21"/>
          <w:szCs w:val="21"/>
        </w:rPr>
        <w:t>心</w:t>
      </w:r>
      <w:r>
        <w:rPr>
          <w:rFonts w:ascii="宋体" w:hAnsi="宋体" w:eastAsia="宋体" w:cs="宋体"/>
          <w:color w:val="auto"/>
          <w:sz w:val="21"/>
          <w:szCs w:val="21"/>
        </w:rPr>
        <w:t>差不符合</w:t>
      </w:r>
      <w:r>
        <w:rPr>
          <w:rFonts w:hint="eastAsia" w:ascii="宋体" w:hAnsi="宋体" w:eastAsia="宋体" w:cs="宋体"/>
          <w:color w:val="auto"/>
          <w:sz w:val="21"/>
          <w:szCs w:val="21"/>
        </w:rPr>
        <w:t>比选人</w:t>
      </w:r>
      <w:r>
        <w:rPr>
          <w:rFonts w:ascii="宋体" w:hAnsi="宋体" w:eastAsia="宋体" w:cs="宋体"/>
          <w:color w:val="auto"/>
          <w:sz w:val="21"/>
          <w:szCs w:val="21"/>
        </w:rPr>
        <w:t>条件</w:t>
      </w:r>
      <w:r>
        <w:rPr>
          <w:rFonts w:hint="eastAsia" w:ascii="宋体" w:hAnsi="宋体" w:eastAsia="宋体" w:cs="宋体"/>
          <w:color w:val="auto"/>
          <w:sz w:val="21"/>
          <w:szCs w:val="21"/>
        </w:rPr>
        <w:t>的</w:t>
      </w:r>
      <w:r>
        <w:rPr>
          <w:rFonts w:ascii="宋体" w:hAnsi="宋体" w:eastAsia="宋体" w:cs="宋体"/>
          <w:color w:val="auto"/>
          <w:sz w:val="21"/>
          <w:szCs w:val="21"/>
        </w:rPr>
        <w:t>，</w:t>
      </w:r>
      <w:r>
        <w:rPr>
          <w:rFonts w:hint="eastAsia" w:ascii="宋体" w:hAnsi="宋体" w:eastAsia="宋体" w:cs="宋体"/>
          <w:color w:val="auto"/>
          <w:sz w:val="21"/>
          <w:szCs w:val="21"/>
        </w:rPr>
        <w:t>比选人</w:t>
      </w:r>
      <w:r>
        <w:rPr>
          <w:rFonts w:ascii="宋体" w:hAnsi="宋体" w:eastAsia="宋体" w:cs="宋体"/>
          <w:color w:val="auto"/>
          <w:sz w:val="21"/>
          <w:szCs w:val="21"/>
        </w:rPr>
        <w:t>有权拒绝使用</w:t>
      </w:r>
      <w:r>
        <w:rPr>
          <w:rFonts w:hint="eastAsia" w:ascii="宋体" w:hAnsi="宋体" w:eastAsia="宋体" w:cs="宋体"/>
          <w:color w:val="auto"/>
          <w:sz w:val="21"/>
          <w:szCs w:val="21"/>
        </w:rPr>
        <w:t>。</w:t>
      </w:r>
    </w:p>
    <w:p>
      <w:pPr>
        <w:spacing w:before="0" w:after="0" w:afterAutospacing="0"/>
        <w:ind w:left="0" w:right="0" w:firstLine="0"/>
        <w:outlineLvl w:val="1"/>
        <w:rPr>
          <w:b/>
          <w:color w:val="auto"/>
        </w:rPr>
      </w:pPr>
      <w:bookmarkStart w:id="2229" w:name="_Toc148449382"/>
      <w:bookmarkStart w:id="2230" w:name="_Toc2719"/>
      <w:r>
        <w:rPr>
          <w:b/>
          <w:color w:val="auto"/>
        </w:rPr>
        <w:t>5.4生产配置</w:t>
      </w:r>
      <w:bookmarkEnd w:id="2229"/>
      <w:bookmarkEnd w:id="2230"/>
    </w:p>
    <w:p>
      <w:pPr>
        <w:pStyle w:val="32"/>
        <w:spacing w:before="0" w:after="0" w:afterAutospacing="0"/>
        <w:ind w:left="0" w:leftChars="0" w:right="0" w:firstLine="0" w:firstLineChars="0"/>
        <w:outlineLvl w:val="2"/>
        <w:rPr>
          <w:rFonts w:ascii="宋体" w:hAnsi="宋体"/>
          <w:color w:val="auto"/>
        </w:rPr>
      </w:pPr>
      <w:r>
        <w:rPr>
          <w:rFonts w:ascii="宋体" w:hAnsi="宋体"/>
          <w:b/>
          <w:color w:val="auto"/>
        </w:rPr>
        <w:t>5.4.1</w:t>
      </w:r>
      <w:r>
        <w:rPr>
          <w:rFonts w:hint="eastAsia" w:ascii="宋体" w:hAnsi="宋体"/>
          <w:b/>
          <w:color w:val="auto"/>
        </w:rPr>
        <w:t>耗材配备</w:t>
      </w:r>
    </w:p>
    <w:p>
      <w:pPr>
        <w:pStyle w:val="67"/>
        <w:tabs>
          <w:tab w:val="left" w:pos="0"/>
        </w:tabs>
        <w:spacing w:line="360" w:lineRule="auto"/>
        <w:ind w:firstLine="420" w:firstLineChars="200"/>
        <w:rPr>
          <w:rFonts w:ascii="宋体" w:hAnsi="宋体" w:cs="宋体"/>
          <w:color w:val="auto"/>
        </w:rPr>
      </w:pPr>
      <w:r>
        <w:rPr>
          <w:rFonts w:hint="eastAsia" w:ascii="宋体" w:hAnsi="宋体" w:eastAsia="宋体" w:cs="宋体"/>
          <w:color w:val="auto"/>
          <w:sz w:val="21"/>
          <w:szCs w:val="21"/>
        </w:rPr>
        <w:t>比选申请人</w:t>
      </w:r>
      <w:r>
        <w:rPr>
          <w:rFonts w:hint="eastAsia" w:cs="宋体"/>
          <w:color w:val="auto"/>
          <w:sz w:val="21"/>
          <w:szCs w:val="21"/>
        </w:rPr>
        <w:t>自行配备</w:t>
      </w:r>
      <w:r>
        <w:rPr>
          <w:rFonts w:hint="eastAsia" w:ascii="宋体" w:hAnsi="宋体" w:eastAsia="宋体" w:cs="宋体"/>
          <w:color w:val="auto"/>
          <w:sz w:val="21"/>
          <w:szCs w:val="21"/>
        </w:rPr>
        <w:t>的耗材须能满足本项目所有工作的顺利开展，包括但不限于抹布、扎带、防静电手套、绝缘胶布等。</w:t>
      </w:r>
    </w:p>
    <w:p>
      <w:pPr>
        <w:pStyle w:val="32"/>
        <w:spacing w:before="0" w:after="0" w:afterAutospacing="0"/>
        <w:ind w:left="0" w:leftChars="0" w:right="0" w:firstLine="0" w:firstLineChars="0"/>
        <w:outlineLvl w:val="2"/>
        <w:rPr>
          <w:rFonts w:ascii="宋体" w:hAnsi="宋体"/>
          <w:color w:val="auto"/>
        </w:rPr>
      </w:pPr>
      <w:r>
        <w:rPr>
          <w:rFonts w:ascii="宋体" w:hAnsi="宋体"/>
          <w:b/>
          <w:color w:val="auto"/>
        </w:rPr>
        <w:t>5.4.2</w:t>
      </w:r>
      <w:r>
        <w:rPr>
          <w:rFonts w:hint="eastAsia" w:ascii="宋体" w:hAnsi="宋体"/>
          <w:b/>
          <w:color w:val="auto"/>
        </w:rPr>
        <w:t>工器具配置</w:t>
      </w:r>
    </w:p>
    <w:p>
      <w:pPr>
        <w:pStyle w:val="66"/>
        <w:ind w:firstLine="420"/>
        <w:jc w:val="both"/>
        <w:rPr>
          <w:rFonts w:cs="宋体"/>
          <w:color w:val="auto"/>
          <w:sz w:val="21"/>
          <w:szCs w:val="21"/>
        </w:rPr>
      </w:pPr>
      <w:r>
        <w:rPr>
          <w:rFonts w:hint="eastAsia" w:cs="宋体"/>
          <w:color w:val="auto"/>
          <w:sz w:val="21"/>
          <w:szCs w:val="21"/>
        </w:rPr>
        <w:t>为满足本项目所有工作的顺利开展，比选申请人根据项目的实际情况，为维保服务人员自行配备包括但不限于以下表格2要求的工器具。</w:t>
      </w:r>
    </w:p>
    <w:p>
      <w:pPr>
        <w:pStyle w:val="32"/>
        <w:spacing w:before="0" w:after="0" w:afterAutospacing="0"/>
        <w:ind w:left="0" w:leftChars="0" w:right="0" w:firstLine="0" w:firstLineChars="0"/>
        <w:jc w:val="center"/>
        <w:rPr>
          <w:rFonts w:ascii="宋体" w:hAnsi="宋体"/>
          <w:color w:val="auto"/>
        </w:rPr>
      </w:pPr>
      <w:r>
        <w:rPr>
          <w:rFonts w:hint="eastAsia" w:ascii="宋体" w:hAnsi="宋体"/>
          <w:color w:val="auto"/>
        </w:rPr>
        <w:t>表格2 工器具配置清单</w:t>
      </w:r>
    </w:p>
    <w:tbl>
      <w:tblPr>
        <w:tblStyle w:val="33"/>
        <w:tblW w:w="47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2262"/>
        <w:gridCol w:w="2895"/>
        <w:gridCol w:w="1108"/>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blHeader/>
          <w:jc w:val="center"/>
        </w:trPr>
        <w:tc>
          <w:tcPr>
            <w:tcW w:w="56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s="宋体"/>
                <w:color w:val="auto"/>
              </w:rPr>
              <w:t>序号</w:t>
            </w:r>
          </w:p>
        </w:tc>
        <w:tc>
          <w:tcPr>
            <w:tcW w:w="1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cs="宋体"/>
                <w:color w:val="auto"/>
              </w:rPr>
            </w:pPr>
            <w:r>
              <w:rPr>
                <w:rFonts w:hint="eastAsia" w:ascii="宋体" w:hAnsi="宋体" w:cs="宋体"/>
                <w:color w:val="auto"/>
              </w:rPr>
              <w:t>名称</w:t>
            </w:r>
          </w:p>
        </w:tc>
        <w:tc>
          <w:tcPr>
            <w:tcW w:w="175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cs="宋体"/>
                <w:color w:val="auto"/>
              </w:rPr>
            </w:pPr>
            <w:r>
              <w:rPr>
                <w:rFonts w:hint="eastAsia" w:ascii="宋体" w:hAnsi="宋体" w:cs="宋体"/>
                <w:color w:val="auto"/>
              </w:rPr>
              <w:t>规格、技术参数及要求</w:t>
            </w:r>
          </w:p>
        </w:tc>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cs="宋体"/>
                <w:color w:val="auto"/>
              </w:rPr>
            </w:pPr>
            <w:r>
              <w:rPr>
                <w:rFonts w:hint="eastAsia" w:ascii="宋体" w:hAnsi="宋体" w:cs="宋体"/>
                <w:color w:val="auto"/>
              </w:rPr>
              <w:t>单位</w:t>
            </w:r>
          </w:p>
        </w:tc>
        <w:tc>
          <w:tcPr>
            <w:tcW w:w="7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cs="宋体"/>
                <w:color w:val="auto"/>
              </w:rPr>
            </w:pPr>
            <w:r>
              <w:rPr>
                <w:rFonts w:hint="eastAsia" w:ascii="宋体" w:hAnsi="宋体" w:cs="宋体"/>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6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s="宋体"/>
                <w:color w:val="auto"/>
              </w:rPr>
              <w:t>1</w:t>
            </w:r>
          </w:p>
        </w:tc>
        <w:tc>
          <w:tcPr>
            <w:tcW w:w="1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eastAsia="Times New Roman" w:cs="宋体"/>
                <w:color w:val="auto"/>
              </w:rPr>
            </w:pPr>
            <w:r>
              <w:rPr>
                <w:rFonts w:hint="eastAsia" w:ascii="宋体" w:hAnsi="宋体" w:cs="宋体"/>
                <w:color w:val="auto"/>
              </w:rPr>
              <w:t>螺丝刀（套装）</w:t>
            </w:r>
          </w:p>
        </w:tc>
        <w:tc>
          <w:tcPr>
            <w:tcW w:w="175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710" w:right="-28" w:hanging="709" w:hangingChars="338"/>
              <w:jc w:val="left"/>
              <w:rPr>
                <w:rFonts w:hint="default" w:ascii="宋体" w:hAnsi="宋体" w:eastAsia="Times New Roman" w:cs="宋体"/>
                <w:color w:val="auto"/>
              </w:rPr>
            </w:pPr>
            <w:r>
              <w:rPr>
                <w:rFonts w:hint="eastAsia" w:ascii="宋体" w:hAnsi="宋体" w:cs="宋体"/>
                <w:color w:val="auto"/>
              </w:rPr>
              <w:t>一字</w:t>
            </w:r>
            <w:r>
              <w:rPr>
                <w:rFonts w:hint="default" w:ascii="宋体" w:hAnsi="宋体" w:cs="宋体"/>
                <w:color w:val="auto"/>
              </w:rPr>
              <w:t>3*150mm、5*200mm，</w:t>
            </w:r>
          </w:p>
          <w:p>
            <w:pPr>
              <w:keepNext w:val="0"/>
              <w:keepLines w:val="0"/>
              <w:widowControl/>
              <w:suppressLineNumbers w:val="0"/>
              <w:spacing w:before="0" w:beforeAutospacing="0" w:after="0" w:afterAutospacing="0" w:line="240" w:lineRule="auto"/>
              <w:ind w:left="710" w:right="-28" w:hanging="709" w:hangingChars="338"/>
              <w:jc w:val="left"/>
              <w:rPr>
                <w:rFonts w:hint="default" w:ascii="宋体" w:hAnsi="宋体" w:eastAsia="Times New Roman" w:cs="宋体"/>
                <w:color w:val="auto"/>
              </w:rPr>
            </w:pPr>
            <w:r>
              <w:rPr>
                <w:rFonts w:hint="eastAsia" w:ascii="宋体" w:hAnsi="宋体" w:cs="宋体"/>
                <w:color w:val="auto"/>
              </w:rPr>
              <w:t>十字</w:t>
            </w:r>
            <w:r>
              <w:rPr>
                <w:rFonts w:hint="default" w:ascii="宋体" w:hAnsi="宋体" w:cs="宋体"/>
                <w:color w:val="auto"/>
              </w:rPr>
              <w:t>6*200mm</w:t>
            </w:r>
            <w:r>
              <w:rPr>
                <w:rFonts w:hint="eastAsia" w:ascii="宋体" w:hAnsi="宋体" w:cs="宋体"/>
                <w:color w:val="auto"/>
              </w:rPr>
              <w:t>，防滑橡胶手柄</w:t>
            </w:r>
          </w:p>
        </w:tc>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eastAsia="Times New Roman" w:cs="宋体"/>
                <w:color w:val="auto"/>
              </w:rPr>
            </w:pPr>
            <w:r>
              <w:rPr>
                <w:rFonts w:hint="eastAsia" w:ascii="宋体" w:hAnsi="宋体" w:cs="宋体"/>
                <w:color w:val="auto"/>
              </w:rPr>
              <w:t>套</w:t>
            </w:r>
          </w:p>
        </w:tc>
        <w:tc>
          <w:tcPr>
            <w:tcW w:w="7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eastAsia="Times New Roman" w:cs="宋体"/>
                <w:color w:val="auto"/>
              </w:rPr>
            </w:pPr>
            <w:r>
              <w:rPr>
                <w:rFonts w:hint="eastAsia" w:ascii="宋体" w:hAnsi="宋体" w:cs="宋体"/>
                <w:color w:val="auto"/>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6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s="宋体"/>
                <w:color w:val="auto"/>
              </w:rPr>
              <w:t>2</w:t>
            </w:r>
          </w:p>
        </w:tc>
        <w:tc>
          <w:tcPr>
            <w:tcW w:w="1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eastAsia="Times New Roman" w:cs="宋体"/>
                <w:color w:val="auto"/>
              </w:rPr>
            </w:pPr>
            <w:r>
              <w:rPr>
                <w:rFonts w:hint="eastAsia" w:ascii="宋体" w:hAnsi="宋体" w:cs="宋体"/>
                <w:color w:val="auto"/>
              </w:rPr>
              <w:t>花型螺丝刀（套装）</w:t>
            </w:r>
          </w:p>
        </w:tc>
        <w:tc>
          <w:tcPr>
            <w:tcW w:w="175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jc w:val="left"/>
              <w:rPr>
                <w:rFonts w:hint="default" w:ascii="宋体" w:hAnsi="宋体" w:eastAsia="Times New Roman" w:cs="宋体"/>
                <w:color w:val="auto"/>
              </w:rPr>
            </w:pPr>
            <w:r>
              <w:rPr>
                <w:rFonts w:hint="eastAsia" w:ascii="宋体" w:hAnsi="宋体" w:cs="宋体"/>
                <w:color w:val="auto"/>
              </w:rPr>
              <w:t>高碳钢材质T6-T20</w:t>
            </w:r>
          </w:p>
        </w:tc>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eastAsia="Times New Roman" w:cs="宋体"/>
                <w:color w:val="auto"/>
              </w:rPr>
            </w:pPr>
            <w:r>
              <w:rPr>
                <w:rFonts w:hint="eastAsia" w:ascii="宋体" w:hAnsi="宋体" w:cs="宋体"/>
                <w:color w:val="auto"/>
              </w:rPr>
              <w:t>套</w:t>
            </w:r>
          </w:p>
        </w:tc>
        <w:tc>
          <w:tcPr>
            <w:tcW w:w="7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eastAsia="Times New Roman" w:cs="宋体"/>
                <w:color w:val="auto"/>
              </w:rPr>
            </w:pPr>
            <w:r>
              <w:rPr>
                <w:rFonts w:hint="eastAsia" w:ascii="宋体" w:hAnsi="宋体" w:cs="宋体"/>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6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s="宋体"/>
                <w:color w:val="auto"/>
              </w:rPr>
              <w:t>3</w:t>
            </w:r>
          </w:p>
        </w:tc>
        <w:tc>
          <w:tcPr>
            <w:tcW w:w="1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eastAsia="Times New Roman" w:cs="宋体"/>
                <w:color w:val="auto"/>
              </w:rPr>
            </w:pPr>
            <w:r>
              <w:rPr>
                <w:rFonts w:hint="eastAsia" w:ascii="宋体" w:hAnsi="宋体" w:cs="宋体"/>
                <w:color w:val="auto"/>
              </w:rPr>
              <w:t>配置线</w:t>
            </w:r>
          </w:p>
        </w:tc>
        <w:tc>
          <w:tcPr>
            <w:tcW w:w="175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jc w:val="left"/>
              <w:rPr>
                <w:rFonts w:hint="default" w:ascii="宋体" w:hAnsi="宋体" w:eastAsia="Times New Roman" w:cs="宋体"/>
                <w:color w:val="auto"/>
              </w:rPr>
            </w:pPr>
            <w:r>
              <w:rPr>
                <w:rFonts w:hint="eastAsia" w:ascii="宋体" w:hAnsi="宋体" w:cs="宋体"/>
                <w:color w:val="auto"/>
              </w:rPr>
              <w:t>能适配华三、华为、中兴等品牌交换机</w:t>
            </w:r>
          </w:p>
        </w:tc>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eastAsia="Times New Roman" w:cs="宋体"/>
                <w:color w:val="auto"/>
              </w:rPr>
            </w:pPr>
            <w:r>
              <w:rPr>
                <w:rFonts w:hint="eastAsia" w:ascii="宋体" w:hAnsi="宋体" w:cs="宋体"/>
                <w:color w:val="auto"/>
              </w:rPr>
              <w:t>根</w:t>
            </w:r>
          </w:p>
        </w:tc>
        <w:tc>
          <w:tcPr>
            <w:tcW w:w="7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eastAsia="Times New Roman" w:cs="宋体"/>
                <w:color w:val="auto"/>
              </w:rPr>
            </w:pPr>
            <w:r>
              <w:rPr>
                <w:rFonts w:hint="eastAsia" w:ascii="宋体" w:hAnsi="宋体" w:cs="宋体"/>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6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s="宋体"/>
                <w:color w:val="auto"/>
              </w:rPr>
              <w:t>4</w:t>
            </w:r>
          </w:p>
        </w:tc>
        <w:tc>
          <w:tcPr>
            <w:tcW w:w="1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eastAsia="Times New Roman" w:cs="宋体"/>
                <w:color w:val="auto"/>
              </w:rPr>
            </w:pPr>
            <w:r>
              <w:rPr>
                <w:rFonts w:hint="eastAsia" w:ascii="宋体" w:hAnsi="宋体" w:cs="宋体"/>
                <w:color w:val="auto"/>
              </w:rPr>
              <w:t>尖嘴钳</w:t>
            </w:r>
          </w:p>
        </w:tc>
        <w:tc>
          <w:tcPr>
            <w:tcW w:w="175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jc w:val="left"/>
              <w:rPr>
                <w:rFonts w:hint="default" w:ascii="宋体" w:hAnsi="宋体" w:eastAsia="Times New Roman" w:cs="宋体"/>
                <w:color w:val="auto"/>
              </w:rPr>
            </w:pPr>
            <w:r>
              <w:rPr>
                <w:rFonts w:hint="eastAsia" w:ascii="宋体" w:hAnsi="宋体" w:cs="宋体"/>
                <w:color w:val="auto"/>
              </w:rPr>
              <w:t>防滑手柄、防静电</w:t>
            </w:r>
          </w:p>
        </w:tc>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eastAsia="Times New Roman" w:cs="宋体"/>
                <w:color w:val="auto"/>
              </w:rPr>
            </w:pPr>
            <w:r>
              <w:rPr>
                <w:rFonts w:hint="eastAsia" w:ascii="宋体" w:hAnsi="宋体" w:cs="宋体"/>
                <w:color w:val="auto"/>
              </w:rPr>
              <w:t>把</w:t>
            </w:r>
          </w:p>
        </w:tc>
        <w:tc>
          <w:tcPr>
            <w:tcW w:w="7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eastAsia="Times New Roman" w:cs="宋体"/>
                <w:color w:val="auto"/>
              </w:rPr>
            </w:pPr>
            <w:r>
              <w:rPr>
                <w:rFonts w:hint="eastAsia" w:ascii="宋体" w:hAnsi="宋体" w:cs="宋体"/>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6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s="宋体"/>
                <w:color w:val="auto"/>
              </w:rPr>
              <w:t>5</w:t>
            </w:r>
          </w:p>
        </w:tc>
        <w:tc>
          <w:tcPr>
            <w:tcW w:w="13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eastAsia="Times New Roman" w:cs="宋体"/>
                <w:color w:val="auto"/>
              </w:rPr>
            </w:pPr>
            <w:r>
              <w:rPr>
                <w:rFonts w:hint="eastAsia" w:ascii="宋体" w:hAnsi="宋体" w:cs="宋体"/>
                <w:color w:val="auto"/>
              </w:rPr>
              <w:t>毛刷</w:t>
            </w:r>
          </w:p>
        </w:tc>
        <w:tc>
          <w:tcPr>
            <w:tcW w:w="175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jc w:val="left"/>
              <w:rPr>
                <w:rFonts w:hint="default" w:ascii="宋体" w:hAnsi="宋体" w:eastAsia="Times New Roman" w:cs="宋体"/>
                <w:color w:val="auto"/>
              </w:rPr>
            </w:pPr>
            <w:r>
              <w:rPr>
                <w:rFonts w:hint="eastAsia" w:ascii="宋体" w:hAnsi="宋体" w:cs="宋体"/>
                <w:color w:val="auto"/>
              </w:rPr>
              <w:t>防静电</w:t>
            </w:r>
          </w:p>
        </w:tc>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eastAsia="Times New Roman" w:cs="宋体"/>
                <w:color w:val="auto"/>
              </w:rPr>
            </w:pPr>
            <w:r>
              <w:rPr>
                <w:rFonts w:hint="eastAsia" w:ascii="宋体" w:hAnsi="宋体" w:cs="宋体"/>
                <w:color w:val="auto"/>
              </w:rPr>
              <w:t>把</w:t>
            </w:r>
          </w:p>
        </w:tc>
        <w:tc>
          <w:tcPr>
            <w:tcW w:w="7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710" w:right="-28" w:hanging="709" w:hangingChars="338"/>
              <w:rPr>
                <w:rFonts w:hint="default" w:ascii="宋体" w:hAnsi="宋体" w:eastAsia="Times New Roman" w:cs="宋体"/>
                <w:color w:val="auto"/>
              </w:rPr>
            </w:pPr>
            <w:r>
              <w:rPr>
                <w:rFonts w:hint="eastAsia" w:ascii="宋体" w:hAnsi="宋体" w:cs="宋体"/>
                <w:color w:val="auto"/>
              </w:rPr>
              <w:t>5</w:t>
            </w:r>
          </w:p>
        </w:tc>
      </w:tr>
    </w:tbl>
    <w:p>
      <w:pPr>
        <w:widowControl w:val="0"/>
        <w:numPr>
          <w:ilvl w:val="0"/>
          <w:numId w:val="18"/>
        </w:numPr>
        <w:spacing w:before="0" w:after="0" w:afterAutospacing="0"/>
        <w:ind w:right="0" w:firstLine="420" w:firstLineChars="200"/>
        <w:rPr>
          <w:rFonts w:ascii="宋体" w:hAnsi="宋体"/>
          <w:color w:val="auto"/>
        </w:rPr>
      </w:pPr>
      <w:r>
        <w:rPr>
          <w:rFonts w:hint="eastAsia" w:ascii="宋体" w:hAnsi="宋体"/>
          <w:color w:val="auto"/>
        </w:rPr>
        <w:t>比选申请人应结合现场情况、工作范围、损耗情况、市场风险及环境因素等对工器具的配备进行充分考虑，以满足现场检修及抢修需要。比选申请人人配置的工器具须由比选申请人自行采购，费用包含在本项目比选总价中。</w:t>
      </w:r>
    </w:p>
    <w:p>
      <w:pPr>
        <w:widowControl w:val="0"/>
        <w:numPr>
          <w:ilvl w:val="0"/>
          <w:numId w:val="18"/>
        </w:numPr>
        <w:spacing w:before="0" w:after="0" w:afterAutospacing="0"/>
        <w:ind w:right="0" w:firstLine="420" w:firstLineChars="200"/>
        <w:rPr>
          <w:rFonts w:ascii="宋体" w:hAnsi="宋体"/>
          <w:color w:val="auto"/>
        </w:rPr>
      </w:pPr>
      <w:r>
        <w:rPr>
          <w:rFonts w:hint="eastAsia" w:ascii="宋体" w:hAnsi="宋体"/>
          <w:color w:val="auto"/>
        </w:rPr>
        <w:t>比选申请人所使用的通用和专用类工器具必须是合格品且具有使用说明书。</w:t>
      </w:r>
    </w:p>
    <w:p>
      <w:pPr>
        <w:widowControl w:val="0"/>
        <w:numPr>
          <w:ilvl w:val="0"/>
          <w:numId w:val="18"/>
        </w:numPr>
        <w:spacing w:before="0" w:after="0" w:afterAutospacing="0"/>
        <w:ind w:right="0" w:firstLine="420" w:firstLineChars="200"/>
        <w:rPr>
          <w:rFonts w:ascii="宋体" w:hAnsi="宋体"/>
          <w:color w:val="auto"/>
        </w:rPr>
      </w:pPr>
      <w:r>
        <w:rPr>
          <w:rFonts w:hint="eastAsia" w:ascii="宋体" w:hAnsi="宋体"/>
          <w:color w:val="auto"/>
        </w:rPr>
        <w:t>比选申请人所使用的计量、</w:t>
      </w:r>
      <w:r>
        <w:rPr>
          <w:rFonts w:ascii="宋体" w:hAnsi="宋体"/>
          <w:color w:val="auto"/>
        </w:rPr>
        <w:t>测量</w:t>
      </w:r>
      <w:r>
        <w:rPr>
          <w:rFonts w:hint="eastAsia" w:ascii="宋体" w:hAnsi="宋体"/>
          <w:color w:val="auto"/>
        </w:rPr>
        <w:t>类工器具如各种仪表、各种测量仪器在首次使用前必须按照比选人的要求送相关部门进行检定，待检定合格且经过比选人相关部门认可，方可以进场使用，严禁未检定的或者过期未检定的计量、</w:t>
      </w:r>
      <w:r>
        <w:rPr>
          <w:rFonts w:ascii="宋体" w:hAnsi="宋体"/>
          <w:color w:val="auto"/>
        </w:rPr>
        <w:t>测量</w:t>
      </w:r>
      <w:r>
        <w:rPr>
          <w:rFonts w:hint="eastAsia" w:ascii="宋体" w:hAnsi="宋体"/>
          <w:color w:val="auto"/>
        </w:rPr>
        <w:t>类工器具进场使用，禁止不合格的计量、</w:t>
      </w:r>
      <w:r>
        <w:rPr>
          <w:rFonts w:ascii="宋体" w:hAnsi="宋体"/>
          <w:color w:val="auto"/>
        </w:rPr>
        <w:t>测量</w:t>
      </w:r>
      <w:r>
        <w:rPr>
          <w:rFonts w:hint="eastAsia" w:ascii="宋体" w:hAnsi="宋体"/>
          <w:color w:val="auto"/>
        </w:rPr>
        <w:t>类工器具进场使用，进场后计量、</w:t>
      </w:r>
      <w:r>
        <w:rPr>
          <w:rFonts w:ascii="宋体" w:hAnsi="宋体"/>
          <w:color w:val="auto"/>
        </w:rPr>
        <w:t>测量</w:t>
      </w:r>
      <w:r>
        <w:rPr>
          <w:rFonts w:hint="eastAsia" w:ascii="宋体" w:hAnsi="宋体"/>
          <w:color w:val="auto"/>
        </w:rPr>
        <w:t>类工器具送检周期以比选人相关规定为准，检定</w:t>
      </w:r>
      <w:r>
        <w:rPr>
          <w:rFonts w:ascii="宋体" w:hAnsi="宋体"/>
          <w:color w:val="auto"/>
        </w:rPr>
        <w:t>费用由</w:t>
      </w:r>
      <w:r>
        <w:rPr>
          <w:rFonts w:hint="eastAsia" w:ascii="宋体" w:hAnsi="宋体"/>
          <w:color w:val="auto"/>
        </w:rPr>
        <w:t>比选申请人</w:t>
      </w:r>
      <w:r>
        <w:rPr>
          <w:rFonts w:ascii="宋体" w:hAnsi="宋体"/>
          <w:color w:val="auto"/>
        </w:rPr>
        <w:t>负责</w:t>
      </w:r>
      <w:r>
        <w:rPr>
          <w:rFonts w:hint="eastAsia" w:ascii="宋体" w:hAnsi="宋体"/>
          <w:color w:val="auto"/>
        </w:rPr>
        <w:t>。</w:t>
      </w:r>
    </w:p>
    <w:p>
      <w:pPr>
        <w:widowControl w:val="0"/>
        <w:numPr>
          <w:ilvl w:val="0"/>
          <w:numId w:val="18"/>
        </w:numPr>
        <w:spacing w:before="0" w:after="0" w:afterAutospacing="0"/>
        <w:ind w:right="0" w:firstLine="420" w:firstLineChars="200"/>
        <w:rPr>
          <w:rFonts w:ascii="宋体" w:hAnsi="宋体"/>
          <w:color w:val="auto"/>
        </w:rPr>
      </w:pPr>
      <w:r>
        <w:rPr>
          <w:rFonts w:hint="eastAsia" w:ascii="宋体" w:hAnsi="宋体"/>
          <w:color w:val="auto"/>
        </w:rPr>
        <w:t>比选申请人进场使用的计量、</w:t>
      </w:r>
      <w:r>
        <w:rPr>
          <w:rFonts w:ascii="宋体" w:hAnsi="宋体"/>
          <w:color w:val="auto"/>
        </w:rPr>
        <w:t>测量</w:t>
      </w:r>
      <w:r>
        <w:rPr>
          <w:rFonts w:hint="eastAsia" w:ascii="宋体" w:hAnsi="宋体"/>
          <w:color w:val="auto"/>
        </w:rPr>
        <w:t>类工器具在使用过程中，应按照比选人的相关规定定期对这些工器具进行检定工作；对于非专用工器具尤其是机械设施等比选申请人应定期进行保养，确保处于可以开动状态，确保随机使用时，能以良好的状态投入使用。</w:t>
      </w:r>
    </w:p>
    <w:p>
      <w:pPr>
        <w:widowControl w:val="0"/>
        <w:numPr>
          <w:ilvl w:val="0"/>
          <w:numId w:val="18"/>
        </w:numPr>
        <w:spacing w:before="0" w:after="0" w:afterAutospacing="0"/>
        <w:ind w:right="0" w:firstLine="420" w:firstLineChars="200"/>
        <w:rPr>
          <w:rFonts w:ascii="宋体" w:hAnsi="宋体"/>
          <w:color w:val="auto"/>
        </w:rPr>
      </w:pPr>
      <w:r>
        <w:rPr>
          <w:rFonts w:hint="eastAsia" w:ascii="宋体" w:hAnsi="宋体"/>
          <w:color w:val="auto"/>
        </w:rPr>
        <w:t>维修所用的电动工器具须考虑与可供电源的匹配性并不得对配电线路构成危害。</w:t>
      </w:r>
    </w:p>
    <w:p>
      <w:pPr>
        <w:pStyle w:val="32"/>
        <w:spacing w:before="0" w:after="0" w:afterAutospacing="0"/>
        <w:ind w:left="0" w:leftChars="0" w:right="0" w:firstLine="0" w:firstLineChars="0"/>
        <w:outlineLvl w:val="2"/>
        <w:rPr>
          <w:rFonts w:ascii="宋体" w:hAnsi="宋体"/>
          <w:b/>
          <w:color w:val="auto"/>
        </w:rPr>
      </w:pPr>
      <w:r>
        <w:rPr>
          <w:rFonts w:ascii="宋体" w:hAnsi="宋体"/>
          <w:b/>
          <w:color w:val="auto"/>
        </w:rPr>
        <w:t>5.4.</w:t>
      </w:r>
      <w:r>
        <w:rPr>
          <w:rFonts w:hint="eastAsia" w:ascii="宋体" w:hAnsi="宋体"/>
          <w:b/>
          <w:color w:val="auto"/>
        </w:rPr>
        <w:t>3劳保防护用品配备</w:t>
      </w:r>
    </w:p>
    <w:p>
      <w:pPr>
        <w:tabs>
          <w:tab w:val="left" w:pos="0"/>
        </w:tabs>
        <w:spacing w:before="0" w:after="0" w:afterAutospacing="0"/>
        <w:ind w:left="0" w:right="0" w:firstLine="420" w:firstLineChars="200"/>
        <w:rPr>
          <w:rFonts w:hAnsi="宋体"/>
          <w:color w:val="auto"/>
        </w:rPr>
      </w:pPr>
      <w:r>
        <w:rPr>
          <w:rFonts w:hint="eastAsia" w:ascii="宋体" w:hAnsi="宋体"/>
          <w:color w:val="auto"/>
        </w:rPr>
        <w:t>比选申请人应为所有参与本项目的维保人员配置统一着装，且必须对所有参与该项目的维保人员配置劳保防护用品，所配置的劳保防护用品须</w:t>
      </w:r>
      <w:r>
        <w:rPr>
          <w:rFonts w:ascii="宋体" w:hAnsi="宋体"/>
          <w:color w:val="auto"/>
        </w:rPr>
        <w:t>满足</w:t>
      </w:r>
      <w:r>
        <w:rPr>
          <w:rFonts w:hint="eastAsia" w:ascii="宋体" w:hAnsi="宋体"/>
          <w:color w:val="auto"/>
        </w:rPr>
        <w:t>国家</w:t>
      </w:r>
      <w:r>
        <w:rPr>
          <w:rFonts w:ascii="宋体" w:hAnsi="宋体"/>
          <w:color w:val="auto"/>
        </w:rPr>
        <w:t>、行业标准，</w:t>
      </w:r>
      <w:r>
        <w:rPr>
          <w:rFonts w:hint="eastAsia" w:ascii="宋体" w:hAnsi="宋体"/>
          <w:color w:val="auto"/>
        </w:rPr>
        <w:t>劳保防护用品配置数量与使用期限按照比选人提供的《运营有限公司员工劳动防护用品管理办法》相关要求执行，劳保防护用品配置要求包括但不限于以下表格3</w:t>
      </w:r>
      <w:r>
        <w:rPr>
          <w:rFonts w:ascii="宋体" w:hAnsi="宋体"/>
          <w:color w:val="auto"/>
        </w:rPr>
        <w:t>所示的内容。</w:t>
      </w:r>
    </w:p>
    <w:p>
      <w:pPr>
        <w:pStyle w:val="32"/>
        <w:spacing w:before="0" w:after="0" w:afterAutospacing="0"/>
        <w:ind w:left="0" w:leftChars="0" w:right="0" w:firstLine="0" w:firstLineChars="0"/>
        <w:jc w:val="center"/>
        <w:rPr>
          <w:rFonts w:ascii="宋体" w:hAnsi="宋体"/>
          <w:color w:val="auto"/>
        </w:rPr>
      </w:pPr>
      <w:r>
        <w:rPr>
          <w:rFonts w:ascii="宋体" w:hAnsi="宋体"/>
          <w:color w:val="auto"/>
        </w:rPr>
        <w:t>表格</w:t>
      </w:r>
      <w:r>
        <w:rPr>
          <w:rFonts w:hint="eastAsia" w:ascii="宋体" w:hAnsi="宋体"/>
          <w:color w:val="auto"/>
        </w:rPr>
        <w:t xml:space="preserve">3 </w:t>
      </w:r>
      <w:r>
        <w:rPr>
          <w:rFonts w:ascii="宋体" w:hAnsi="宋体"/>
          <w:color w:val="auto"/>
        </w:rPr>
        <w:t>劳保防护用品配置清单</w:t>
      </w:r>
    </w:p>
    <w:tbl>
      <w:tblPr>
        <w:tblStyle w:val="33"/>
        <w:tblW w:w="8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055"/>
        <w:gridCol w:w="889"/>
        <w:gridCol w:w="1432"/>
        <w:gridCol w:w="200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86" w:type="dxa"/>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s="宋体"/>
                <w:color w:val="auto"/>
              </w:rPr>
              <w:t>序号</w:t>
            </w:r>
          </w:p>
        </w:tc>
        <w:tc>
          <w:tcPr>
            <w:tcW w:w="2055" w:type="dxa"/>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s="宋体"/>
                <w:color w:val="auto"/>
              </w:rPr>
              <w:t>劳保防护用品名称</w:t>
            </w:r>
          </w:p>
        </w:tc>
        <w:tc>
          <w:tcPr>
            <w:tcW w:w="889" w:type="dxa"/>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s="宋体"/>
                <w:color w:val="auto"/>
              </w:rPr>
              <w:t>单位</w:t>
            </w:r>
          </w:p>
        </w:tc>
        <w:tc>
          <w:tcPr>
            <w:tcW w:w="1432" w:type="dxa"/>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s="宋体"/>
                <w:color w:val="auto"/>
              </w:rPr>
              <w:t>数量</w:t>
            </w:r>
          </w:p>
        </w:tc>
        <w:tc>
          <w:tcPr>
            <w:tcW w:w="2001" w:type="dxa"/>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s="宋体"/>
                <w:color w:val="auto"/>
              </w:rPr>
              <w:t>使用期限</w:t>
            </w:r>
          </w:p>
        </w:tc>
        <w:tc>
          <w:tcPr>
            <w:tcW w:w="1275" w:type="dxa"/>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686" w:type="dxa"/>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default" w:ascii="宋体" w:hAnsi="宋体" w:cs="宋体"/>
                <w:color w:val="auto"/>
              </w:rPr>
              <w:t>1</w:t>
            </w:r>
          </w:p>
        </w:tc>
        <w:tc>
          <w:tcPr>
            <w:tcW w:w="2055" w:type="dxa"/>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s="宋体"/>
                <w:color w:val="auto"/>
              </w:rPr>
              <w:t>劳保鞋</w:t>
            </w:r>
          </w:p>
        </w:tc>
        <w:tc>
          <w:tcPr>
            <w:tcW w:w="889" w:type="dxa"/>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s="宋体"/>
                <w:color w:val="auto"/>
              </w:rPr>
              <w:t>双</w:t>
            </w:r>
          </w:p>
        </w:tc>
        <w:tc>
          <w:tcPr>
            <w:tcW w:w="1432" w:type="dxa"/>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default" w:ascii="宋体" w:hAnsi="宋体" w:cs="宋体"/>
                <w:color w:val="auto"/>
              </w:rPr>
              <w:t>1双/人</w:t>
            </w:r>
          </w:p>
        </w:tc>
        <w:tc>
          <w:tcPr>
            <w:tcW w:w="2001" w:type="dxa"/>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default" w:ascii="宋体" w:hAnsi="宋体" w:cs="宋体"/>
                <w:color w:val="auto"/>
              </w:rPr>
              <w:t>12个月</w:t>
            </w:r>
          </w:p>
        </w:tc>
        <w:tc>
          <w:tcPr>
            <w:tcW w:w="1275" w:type="dxa"/>
            <w:vAlign w:val="center"/>
          </w:tcPr>
          <w:p>
            <w:pPr>
              <w:keepNext/>
              <w:keepLines/>
              <w:widowControl/>
              <w:suppressLineNumbers w:val="0"/>
              <w:spacing w:before="0" w:beforeAutospacing="0" w:after="0" w:afterAutospacing="0" w:line="240" w:lineRule="auto"/>
              <w:ind w:left="710" w:right="-28" w:hanging="709" w:hangingChars="338"/>
              <w:outlineLvl w:val="0"/>
              <w:rPr>
                <w:rFonts w:hint="default" w:ascii="宋体" w:hAnsi="宋体" w:cs="宋体"/>
                <w:color w:val="auto"/>
                <w:kern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default" w:ascii="宋体" w:hAnsi="宋体" w:cs="宋体"/>
                <w:color w:val="auto"/>
              </w:rPr>
              <w:t>2</w:t>
            </w:r>
          </w:p>
        </w:tc>
        <w:tc>
          <w:tcPr>
            <w:tcW w:w="2055" w:type="dxa"/>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olor w:val="auto"/>
              </w:rPr>
              <w:t>防静电手套</w:t>
            </w:r>
          </w:p>
        </w:tc>
        <w:tc>
          <w:tcPr>
            <w:tcW w:w="889" w:type="dxa"/>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olor w:val="auto"/>
              </w:rPr>
              <w:t>双</w:t>
            </w:r>
          </w:p>
        </w:tc>
        <w:tc>
          <w:tcPr>
            <w:tcW w:w="1432" w:type="dxa"/>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olor w:val="auto"/>
              </w:rPr>
              <w:t>2双</w:t>
            </w:r>
            <w:r>
              <w:rPr>
                <w:rFonts w:hint="default" w:ascii="宋体" w:hAnsi="宋体"/>
                <w:color w:val="auto"/>
              </w:rPr>
              <w:t>/人</w:t>
            </w:r>
          </w:p>
        </w:tc>
        <w:tc>
          <w:tcPr>
            <w:tcW w:w="2001" w:type="dxa"/>
            <w:vAlign w:val="center"/>
          </w:tcPr>
          <w:p>
            <w:pPr>
              <w:keepNext w:val="0"/>
              <w:keepLines w:val="0"/>
              <w:widowControl/>
              <w:suppressLineNumbers w:val="0"/>
              <w:spacing w:before="0" w:beforeAutospacing="0" w:after="0" w:afterAutospacing="0" w:line="240" w:lineRule="auto"/>
              <w:ind w:left="710" w:right="-28" w:hanging="709" w:hangingChars="338"/>
              <w:jc w:val="center"/>
              <w:rPr>
                <w:rFonts w:hint="default" w:ascii="宋体" w:hAnsi="宋体" w:cs="宋体"/>
                <w:color w:val="auto"/>
              </w:rPr>
            </w:pPr>
            <w:r>
              <w:rPr>
                <w:rFonts w:hint="eastAsia" w:ascii="宋体" w:hAnsi="宋体"/>
                <w:color w:val="auto"/>
              </w:rPr>
              <w:t>12个月</w:t>
            </w:r>
          </w:p>
        </w:tc>
        <w:tc>
          <w:tcPr>
            <w:tcW w:w="1275" w:type="dxa"/>
            <w:vAlign w:val="center"/>
          </w:tcPr>
          <w:p>
            <w:pPr>
              <w:keepNext/>
              <w:keepLines/>
              <w:widowControl/>
              <w:suppressLineNumbers w:val="0"/>
              <w:spacing w:before="0" w:beforeAutospacing="0" w:after="0" w:afterAutospacing="0" w:line="240" w:lineRule="auto"/>
              <w:ind w:left="710" w:right="-28" w:hanging="709" w:hangingChars="338"/>
              <w:outlineLvl w:val="0"/>
              <w:rPr>
                <w:rFonts w:hint="default" w:ascii="宋体" w:hAnsi="宋体" w:cs="宋体"/>
                <w:color w:val="auto"/>
                <w:kern w:val="44"/>
              </w:rPr>
            </w:pPr>
          </w:p>
        </w:tc>
      </w:tr>
    </w:tbl>
    <w:p>
      <w:pPr>
        <w:spacing w:before="0" w:after="0" w:afterAutospacing="0"/>
        <w:ind w:left="0" w:right="0" w:firstLine="0"/>
        <w:rPr>
          <w:b/>
          <w:color w:val="auto"/>
        </w:rPr>
      </w:pPr>
    </w:p>
    <w:p>
      <w:pPr>
        <w:spacing w:before="0" w:after="0" w:afterAutospacing="0"/>
        <w:ind w:left="0" w:right="0" w:firstLine="0"/>
        <w:outlineLvl w:val="1"/>
        <w:rPr>
          <w:b/>
          <w:color w:val="auto"/>
        </w:rPr>
      </w:pPr>
      <w:bookmarkStart w:id="2231" w:name="_Toc31157"/>
      <w:bookmarkStart w:id="2232" w:name="_Toc148449383"/>
      <w:r>
        <w:rPr>
          <w:b/>
          <w:color w:val="auto"/>
        </w:rPr>
        <w:t>5.</w:t>
      </w:r>
      <w:r>
        <w:rPr>
          <w:rFonts w:hint="eastAsia"/>
          <w:b/>
          <w:color w:val="auto"/>
        </w:rPr>
        <w:t>4知识产权</w:t>
      </w:r>
      <w:bookmarkEnd w:id="2231"/>
      <w:bookmarkEnd w:id="2232"/>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5.5.1</w:t>
      </w:r>
      <w:r>
        <w:rPr>
          <w:rFonts w:hint="eastAsia" w:ascii="宋体" w:hAnsi="宋体" w:eastAsia="宋体" w:cs="宋体"/>
          <w:color w:val="auto"/>
          <w:sz w:val="21"/>
          <w:szCs w:val="21"/>
        </w:rPr>
        <w:t>比选申请人保证依据本合同所提供的任何产品、资料、物件及服务均不构成对第三方合法权益的侵犯，包括但不限于知识产权，即比选人在中国使用比选申请人提供的产品及产品的任何一部分、资料或服务无产权纠纷。</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5.5.2</w:t>
      </w:r>
      <w:r>
        <w:rPr>
          <w:rFonts w:hint="eastAsia" w:ascii="宋体" w:hAnsi="宋体" w:eastAsia="宋体" w:cs="宋体"/>
          <w:color w:val="auto"/>
          <w:sz w:val="21"/>
          <w:szCs w:val="21"/>
        </w:rPr>
        <w:t>在比选申请人履行合同过程中，需使用第三人专利、专有技术、技术秘密、商业秘密、著作权、商标权等知识产权的，比选申请人应取得比选人同意，所使用的知识产权应支付的费用由比选申请人承担。</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5.5.3</w:t>
      </w:r>
      <w:r>
        <w:rPr>
          <w:rFonts w:hint="eastAsia" w:ascii="宋体" w:hAnsi="宋体" w:eastAsia="宋体" w:cs="宋体"/>
          <w:color w:val="auto"/>
          <w:sz w:val="21"/>
          <w:szCs w:val="21"/>
        </w:rPr>
        <w:t>因比选申请人提供的任何产品、资料、物件及服务引起的知识产权纠纷，由比选申请人负责与第三人交涉、参加诉讼、进行辩护，并承担由此引起的一切法律和经济上的责任。上述纠纷包括但不限于因比选申请人拥有或者有权许可的知识产权存在瑕疵导致产品瑕疵引起的索赔、诉讼或损失，因上述知识产权未在中国申请知识产权保护或海关备案而引起的侵权纠纷。</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5.5.4</w:t>
      </w:r>
      <w:r>
        <w:rPr>
          <w:rFonts w:hint="eastAsia" w:ascii="宋体" w:hAnsi="宋体" w:eastAsia="宋体" w:cs="宋体"/>
          <w:color w:val="auto"/>
          <w:sz w:val="21"/>
          <w:szCs w:val="21"/>
        </w:rPr>
        <w:t>如比选申请人拒绝、怠于履行上述义务或出现知识产权纠纷，比选人有权解除合同。比选人被第三方起诉或以其它方式追究责任，比选申请人应赔偿因比选人被第三方索赔所引起的一切损失，包括但不限于比选人所支付的侵权损害赔偿费、律师费、诉讼费、仲裁费、办案差旅费等因应诉、沟通协调所发的一切费用。</w:t>
      </w:r>
    </w:p>
    <w:p>
      <w:pPr>
        <w:pStyle w:val="4"/>
        <w:spacing w:before="0" w:after="0" w:afterAutospacing="0"/>
        <w:ind w:left="0" w:leftChars="0" w:right="0" w:rightChars="0" w:firstLine="0"/>
        <w:rPr>
          <w:rFonts w:ascii="黑体" w:hAnsi="黑体" w:eastAsia="黑体"/>
          <w:color w:val="auto"/>
          <w:sz w:val="24"/>
          <w:szCs w:val="24"/>
        </w:rPr>
      </w:pPr>
      <w:bookmarkStart w:id="2233" w:name="_Toc28180"/>
      <w:bookmarkStart w:id="2234" w:name="_Toc148449384"/>
      <w:r>
        <w:rPr>
          <w:rFonts w:ascii="黑体" w:hAnsi="黑体" w:eastAsia="黑体"/>
          <w:color w:val="auto"/>
          <w:sz w:val="24"/>
          <w:szCs w:val="24"/>
        </w:rPr>
        <w:t>6项目现场管理</w:t>
      </w:r>
      <w:bookmarkEnd w:id="2233"/>
      <w:bookmarkEnd w:id="2234"/>
    </w:p>
    <w:p>
      <w:pPr>
        <w:spacing w:before="0" w:after="0" w:afterAutospacing="0"/>
        <w:ind w:left="0" w:right="0" w:firstLine="0"/>
        <w:outlineLvl w:val="1"/>
        <w:rPr>
          <w:b/>
          <w:color w:val="auto"/>
        </w:rPr>
      </w:pPr>
      <w:bookmarkStart w:id="2235" w:name="_Toc4801"/>
      <w:bookmarkStart w:id="2236" w:name="_Toc148449385"/>
      <w:r>
        <w:rPr>
          <w:b/>
          <w:color w:val="auto"/>
        </w:rPr>
        <w:t>6.1安全管理</w:t>
      </w:r>
      <w:bookmarkEnd w:id="2235"/>
      <w:bookmarkEnd w:id="2236"/>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6.1.1</w:t>
      </w:r>
      <w:r>
        <w:rPr>
          <w:rFonts w:hint="eastAsia" w:ascii="宋体" w:hAnsi="宋体" w:eastAsia="宋体" w:cs="宋体"/>
          <w:color w:val="auto"/>
          <w:sz w:val="21"/>
          <w:szCs w:val="21"/>
        </w:rPr>
        <w:t>严格遵守执行国家、地方和行业的相关法律、法规、规范、规程、标准及比选人规章制度等各项管理制度和规定。遵对比选人下发的文件、通知及会议纪要中涉及本项目的要求应无条件执行。</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6.1.2</w:t>
      </w:r>
      <w:r>
        <w:rPr>
          <w:rFonts w:hint="eastAsia" w:ascii="宋体" w:hAnsi="宋体" w:eastAsia="宋体" w:cs="宋体"/>
          <w:color w:val="auto"/>
          <w:sz w:val="21"/>
          <w:szCs w:val="21"/>
        </w:rPr>
        <w:t>在</w:t>
      </w:r>
      <w:r>
        <w:rPr>
          <w:rFonts w:ascii="宋体" w:hAnsi="宋体" w:eastAsia="宋体" w:cs="宋体"/>
          <w:color w:val="auto"/>
          <w:sz w:val="21"/>
          <w:szCs w:val="21"/>
        </w:rPr>
        <w:t>正常</w:t>
      </w:r>
      <w:r>
        <w:rPr>
          <w:rFonts w:hint="eastAsia" w:ascii="宋体" w:hAnsi="宋体" w:eastAsia="宋体" w:cs="宋体"/>
          <w:color w:val="auto"/>
          <w:sz w:val="21"/>
          <w:szCs w:val="21"/>
        </w:rPr>
        <w:t>维保</w:t>
      </w:r>
      <w:r>
        <w:rPr>
          <w:rFonts w:ascii="宋体" w:hAnsi="宋体" w:eastAsia="宋体" w:cs="宋体"/>
          <w:color w:val="auto"/>
          <w:sz w:val="21"/>
          <w:szCs w:val="21"/>
        </w:rPr>
        <w:t>作业</w:t>
      </w:r>
      <w:r>
        <w:rPr>
          <w:rFonts w:hint="eastAsia" w:ascii="宋体" w:hAnsi="宋体" w:eastAsia="宋体" w:cs="宋体"/>
          <w:color w:val="auto"/>
          <w:sz w:val="21"/>
          <w:szCs w:val="21"/>
        </w:rPr>
        <w:t>过程中凡比选申请人人员出现伤亡情况及因此导致的所有损失均由比选申请人自行负责。由于事故造成比选人或第三方人身伤亡或财产损失，可能引发争议，由比选申请人承担责任。产生诉讼的，比选申请人应独立应诉，承担一切诉讼后果，且比选人仍对比选申请人进行考核。</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6.1.3</w:t>
      </w:r>
      <w:r>
        <w:rPr>
          <w:rFonts w:hint="eastAsia" w:ascii="宋体" w:hAnsi="宋体" w:eastAsia="宋体" w:cs="宋体"/>
          <w:color w:val="auto"/>
          <w:sz w:val="21"/>
          <w:szCs w:val="21"/>
        </w:rPr>
        <w:t>比选申请人对合同范围内所有工作失误或渎职而引发的事故负全部责任，承担因此给比选人造成的直接和间接经济损失，且比选人仍须对其进行考核。</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6.1.4</w:t>
      </w:r>
      <w:r>
        <w:rPr>
          <w:rFonts w:hint="eastAsia" w:ascii="宋体" w:hAnsi="宋体" w:eastAsia="宋体" w:cs="宋体"/>
          <w:color w:val="auto"/>
          <w:sz w:val="21"/>
          <w:szCs w:val="21"/>
        </w:rPr>
        <w:t>比选申请人须严格按照运营管理和服务质量要求完成备设施维护和服务质量工作，达到比选人的标准和考核要求。</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6.1.5</w:t>
      </w:r>
      <w:r>
        <w:rPr>
          <w:rFonts w:hint="eastAsia" w:ascii="宋体" w:hAnsi="宋体" w:eastAsia="宋体" w:cs="宋体"/>
          <w:color w:val="auto"/>
          <w:sz w:val="21"/>
          <w:szCs w:val="21"/>
        </w:rPr>
        <w:t>比选申请人及项目人员须与比选人签订安全生产协议、安全责任状及保密协议，并按要求参加比选人组织的安全再教育考试。</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6.1.6</w:t>
      </w:r>
      <w:r>
        <w:rPr>
          <w:rFonts w:hint="eastAsia" w:ascii="宋体" w:hAnsi="宋体" w:eastAsia="宋体" w:cs="宋体"/>
          <w:color w:val="auto"/>
          <w:sz w:val="21"/>
          <w:szCs w:val="21"/>
        </w:rPr>
        <w:t>比选申请人项目人员必须通过比选人组织的安全教育且考试合格后方能上岗。</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6.1.7</w:t>
      </w:r>
      <w:r>
        <w:rPr>
          <w:rFonts w:hint="eastAsia" w:ascii="宋体" w:hAnsi="宋体" w:eastAsia="宋体" w:cs="宋体"/>
          <w:color w:val="auto"/>
          <w:sz w:val="21"/>
          <w:szCs w:val="21"/>
        </w:rPr>
        <w:t>比选申请人应该严格按照“安全第一、预防为主”的思想，做到“不违章指挥、不违章操作、不伤害自己、不被别人伤害”，不断地加强项目人员的安全生产教育，提高项目人员整体安全防护意识、自我防护能力及安全第一的责任感，把安全生产作为项目质量的基础保证。</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6.1.8</w:t>
      </w:r>
      <w:r>
        <w:rPr>
          <w:rFonts w:hint="eastAsia" w:ascii="宋体" w:hAnsi="宋体" w:eastAsia="宋体" w:cs="宋体"/>
          <w:color w:val="auto"/>
          <w:sz w:val="21"/>
          <w:szCs w:val="21"/>
        </w:rPr>
        <w:t>所有施工人员和管理人员要熟悉掌握消防设备的性能和使用方法。不得乱动消防器材。遵守劳动纪律，服从安全人员的指挥，严禁在施工场地睡觉、嬉戏。施工现场杜绝火种，严禁烟火（吸烟）。</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6.1.9</w:t>
      </w:r>
      <w:r>
        <w:rPr>
          <w:rFonts w:hint="eastAsia" w:ascii="宋体" w:hAnsi="宋体" w:eastAsia="宋体" w:cs="宋体"/>
          <w:color w:val="auto"/>
          <w:sz w:val="21"/>
          <w:szCs w:val="21"/>
        </w:rPr>
        <w:t>项目人员在作业前向作业人员进行安全交底，按要求穿戴劳保防护用品及工服，严禁未做安全防护的人员进入作业现场。</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6.1.10</w:t>
      </w:r>
      <w:r>
        <w:rPr>
          <w:rFonts w:hint="eastAsia" w:ascii="宋体" w:hAnsi="宋体" w:eastAsia="宋体" w:cs="宋体"/>
          <w:color w:val="auto"/>
          <w:sz w:val="21"/>
          <w:szCs w:val="21"/>
        </w:rPr>
        <w:t>作业时，项目人员不得损坏及影响地铁设备设施的正常运行，对可能造成影响的设备设施做好安全防护，制定应急处置预案，如发生影响设备设施运行的情况，比选申请人应立即通知比选人，配合比选人进行现场处置及事后调查工作。</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6.1.11</w:t>
      </w:r>
      <w:r>
        <w:rPr>
          <w:rFonts w:hint="eastAsia" w:ascii="宋体" w:hAnsi="宋体" w:eastAsia="宋体" w:cs="宋体"/>
          <w:color w:val="auto"/>
          <w:sz w:val="21"/>
          <w:szCs w:val="21"/>
        </w:rPr>
        <w:t>作业时，项目人员须在作业结束前</w:t>
      </w:r>
      <w:r>
        <w:rPr>
          <w:rFonts w:ascii="宋体" w:hAnsi="宋体" w:eastAsia="宋体" w:cs="宋体"/>
          <w:color w:val="auto"/>
          <w:sz w:val="21"/>
          <w:szCs w:val="21"/>
        </w:rPr>
        <w:t>30分钟做好现场出清工作，作业过程必须严格遵守</w:t>
      </w:r>
      <w:r>
        <w:rPr>
          <w:rFonts w:hint="eastAsia" w:ascii="宋体" w:hAnsi="宋体" w:eastAsia="宋体" w:cs="宋体"/>
          <w:color w:val="auto"/>
          <w:sz w:val="21"/>
          <w:szCs w:val="21"/>
        </w:rPr>
        <w:t>比选人管理制度，以防事故的发生。</w:t>
      </w:r>
    </w:p>
    <w:p>
      <w:pPr>
        <w:pStyle w:val="67"/>
        <w:tabs>
          <w:tab w:val="left" w:pos="0"/>
        </w:tabs>
        <w:spacing w:line="360" w:lineRule="auto"/>
        <w:ind w:firstLine="420" w:firstLineChars="200"/>
        <w:rPr>
          <w:rFonts w:ascii="宋体" w:hAnsi="宋体"/>
          <w:color w:val="auto"/>
        </w:rPr>
      </w:pPr>
      <w:r>
        <w:rPr>
          <w:rFonts w:ascii="宋体" w:hAnsi="宋体" w:eastAsia="宋体" w:cs="宋体"/>
          <w:color w:val="auto"/>
          <w:sz w:val="21"/>
          <w:szCs w:val="21"/>
        </w:rPr>
        <w:t>6.1.12</w:t>
      </w:r>
      <w:r>
        <w:rPr>
          <w:rFonts w:hint="eastAsia" w:ascii="宋体" w:hAnsi="宋体" w:eastAsia="宋体" w:cs="宋体"/>
          <w:color w:val="auto"/>
          <w:sz w:val="21"/>
          <w:szCs w:val="21"/>
        </w:rPr>
        <w:t>严禁比选申请人使用列车、扶梯、垂直电梯搬运超大、超重工器具，乘车携带工具包须要配合安检。</w:t>
      </w:r>
    </w:p>
    <w:p>
      <w:pPr>
        <w:spacing w:before="0" w:after="0" w:afterAutospacing="0"/>
        <w:ind w:left="0" w:right="0" w:firstLine="0"/>
        <w:outlineLvl w:val="1"/>
        <w:rPr>
          <w:b/>
          <w:color w:val="auto"/>
        </w:rPr>
      </w:pPr>
      <w:bookmarkStart w:id="2237" w:name="_Toc2891"/>
      <w:bookmarkStart w:id="2238" w:name="_Toc148449386"/>
      <w:r>
        <w:rPr>
          <w:b/>
          <w:color w:val="auto"/>
        </w:rPr>
        <w:t>6.2</w:t>
      </w:r>
      <w:r>
        <w:rPr>
          <w:rFonts w:hint="eastAsia"/>
          <w:b/>
          <w:color w:val="auto"/>
        </w:rPr>
        <w:t>文明维修管理</w:t>
      </w:r>
      <w:bookmarkEnd w:id="2237"/>
      <w:bookmarkEnd w:id="2238"/>
    </w:p>
    <w:p>
      <w:pPr>
        <w:pStyle w:val="67"/>
        <w:tabs>
          <w:tab w:val="left" w:pos="0"/>
        </w:tabs>
        <w:spacing w:line="360" w:lineRule="auto"/>
        <w:ind w:firstLine="420" w:firstLineChars="200"/>
        <w:rPr>
          <w:rFonts w:ascii="宋体" w:hAnsi="宋体" w:cs="宋体"/>
          <w:color w:val="auto"/>
        </w:rPr>
      </w:pPr>
      <w:bookmarkStart w:id="2239" w:name="_Toc17906"/>
      <w:r>
        <w:rPr>
          <w:rFonts w:ascii="宋体" w:hAnsi="宋体" w:eastAsia="宋体" w:cs="宋体"/>
          <w:color w:val="auto"/>
          <w:sz w:val="21"/>
          <w:szCs w:val="21"/>
        </w:rPr>
        <w:t>6.2.1</w:t>
      </w:r>
      <w:r>
        <w:rPr>
          <w:rFonts w:hint="eastAsia" w:ascii="宋体" w:hAnsi="宋体" w:eastAsia="宋体" w:cs="宋体"/>
          <w:color w:val="auto"/>
          <w:sz w:val="21"/>
          <w:szCs w:val="21"/>
        </w:rPr>
        <w:t>维保人员维修过程中，严格按照“规范化管理、标准化作业”规定要求，实施文明维修管理。</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6.2.2</w:t>
      </w:r>
      <w:r>
        <w:rPr>
          <w:rFonts w:hint="eastAsia" w:ascii="宋体" w:hAnsi="宋体" w:eastAsia="宋体" w:cs="宋体"/>
          <w:color w:val="auto"/>
          <w:sz w:val="21"/>
          <w:szCs w:val="21"/>
        </w:rPr>
        <w:t>作业过程中，比选申请人应合理地保持作业现场中不出现不必要的障碍，处置好作业设备及多余材料，保持现场整洁和道路通畅。</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 xml:space="preserve">6.2.3 </w:t>
      </w:r>
      <w:r>
        <w:rPr>
          <w:rFonts w:hint="eastAsia" w:ascii="宋体" w:hAnsi="宋体" w:eastAsia="宋体" w:cs="宋体"/>
          <w:color w:val="auto"/>
          <w:sz w:val="21"/>
          <w:szCs w:val="21"/>
        </w:rPr>
        <w:t>保护维修区域内各种管线、输电及通信线路、控制开关、生产通道、测量标点等，不得随意破坏、操作、占用。如与其他维修作业发生矛盾，应事先通知比选人，在得到比选人同意后方可按要求执行，发现未经请示同意擅自行事，将视其具体情况予以处理。</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6.2.4</w:t>
      </w:r>
      <w:r>
        <w:rPr>
          <w:rFonts w:hint="eastAsia" w:ascii="宋体" w:hAnsi="宋体" w:eastAsia="宋体" w:cs="宋体"/>
          <w:color w:val="auto"/>
          <w:sz w:val="21"/>
          <w:szCs w:val="21"/>
        </w:rPr>
        <w:t>必须负责维修现场日常卫生清理工作，保证公共环境清洁。</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6.2.5</w:t>
      </w:r>
      <w:r>
        <w:rPr>
          <w:rFonts w:hint="eastAsia" w:ascii="宋体" w:hAnsi="宋体" w:eastAsia="宋体" w:cs="宋体"/>
          <w:color w:val="auto"/>
          <w:sz w:val="21"/>
          <w:szCs w:val="21"/>
        </w:rPr>
        <w:t>维修现场讲文明，讲礼貌，遇事商量解决，严禁打架斗殴。</w:t>
      </w:r>
    </w:p>
    <w:p>
      <w:pPr>
        <w:spacing w:before="0" w:after="0" w:afterAutospacing="0"/>
        <w:ind w:left="0" w:right="0" w:firstLine="0"/>
        <w:outlineLvl w:val="1"/>
        <w:rPr>
          <w:b/>
          <w:color w:val="auto"/>
        </w:rPr>
      </w:pPr>
      <w:bookmarkStart w:id="2240" w:name="_Toc148449387"/>
      <w:bookmarkStart w:id="2241" w:name="_Toc27177"/>
      <w:r>
        <w:rPr>
          <w:b/>
          <w:color w:val="auto"/>
        </w:rPr>
        <w:t>6.3</w:t>
      </w:r>
      <w:r>
        <w:rPr>
          <w:rFonts w:hint="eastAsia"/>
          <w:b/>
          <w:color w:val="auto"/>
        </w:rPr>
        <w:t>现场管理</w:t>
      </w:r>
      <w:bookmarkEnd w:id="2239"/>
      <w:bookmarkEnd w:id="2240"/>
      <w:bookmarkEnd w:id="2241"/>
    </w:p>
    <w:p>
      <w:pPr>
        <w:pStyle w:val="32"/>
        <w:spacing w:before="0" w:after="0" w:afterAutospacing="0"/>
        <w:ind w:left="0" w:leftChars="0" w:right="0" w:firstLine="0" w:firstLineChars="0"/>
        <w:outlineLvl w:val="2"/>
        <w:rPr>
          <w:rFonts w:ascii="宋体" w:hAnsi="宋体"/>
          <w:b/>
          <w:color w:val="auto"/>
        </w:rPr>
      </w:pPr>
      <w:r>
        <w:rPr>
          <w:rFonts w:ascii="宋体" w:hAnsi="宋体"/>
          <w:b/>
          <w:color w:val="auto"/>
        </w:rPr>
        <w:t>6.3.1进场要求</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6.3.1.1</w:t>
      </w:r>
      <w:r>
        <w:rPr>
          <w:rFonts w:hint="eastAsia" w:ascii="宋体" w:hAnsi="宋体" w:eastAsia="宋体" w:cs="宋体"/>
          <w:color w:val="auto"/>
          <w:sz w:val="21"/>
          <w:szCs w:val="21"/>
        </w:rPr>
        <w:t>严格遵守执行国家、地方、行业的相关法律、法规、规范、规程、标准及比选人规章制度等各项管理制度和规定。</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6.3.1.2</w:t>
      </w:r>
      <w:r>
        <w:rPr>
          <w:rFonts w:hint="eastAsia" w:ascii="宋体" w:hAnsi="宋体" w:eastAsia="宋体" w:cs="宋体"/>
          <w:color w:val="auto"/>
          <w:sz w:val="21"/>
          <w:szCs w:val="21"/>
        </w:rPr>
        <w:t>严格遵守合同协议，组织足够力量的技术人员、维保人员完成日常工作。</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6.3.1.3</w:t>
      </w:r>
      <w:r>
        <w:rPr>
          <w:rFonts w:hint="eastAsia" w:ascii="宋体" w:hAnsi="宋体" w:eastAsia="宋体" w:cs="宋体"/>
          <w:color w:val="auto"/>
          <w:sz w:val="21"/>
          <w:szCs w:val="21"/>
        </w:rPr>
        <w:t>对组织架构定岗、定员。队伍人员素质、专业技术满足各项维修要求，并保证参与作业的人员相对稳定。</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6.3.1.4</w:t>
      </w:r>
      <w:r>
        <w:rPr>
          <w:rFonts w:hint="eastAsia" w:ascii="宋体" w:hAnsi="宋体" w:eastAsia="宋体" w:cs="宋体"/>
          <w:color w:val="auto"/>
          <w:sz w:val="21"/>
          <w:szCs w:val="21"/>
        </w:rPr>
        <w:t>严格按照比选人维修管理模式即比选人审核通过的巡检计划和检修方案组织实施。</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6.3.1.5</w:t>
      </w:r>
      <w:r>
        <w:rPr>
          <w:rFonts w:hint="eastAsia" w:ascii="宋体" w:hAnsi="宋体" w:eastAsia="宋体" w:cs="宋体"/>
          <w:color w:val="auto"/>
          <w:sz w:val="21"/>
          <w:szCs w:val="21"/>
        </w:rPr>
        <w:t>人员组织到位，包括项目经理、技术负责人、技术工程师及相关的管理人员，所有人员通过比选人政审审核备案。</w:t>
      </w:r>
      <w:r>
        <w:rPr>
          <w:rFonts w:ascii="宋体" w:hAnsi="宋体" w:cs="宋体"/>
          <w:color w:val="auto"/>
        </w:rPr>
        <w:t xml:space="preserve"> </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6.3.1.</w:t>
      </w:r>
      <w:r>
        <w:rPr>
          <w:rFonts w:hint="eastAsia" w:ascii="宋体" w:hAnsi="宋体" w:eastAsia="宋体" w:cs="宋体"/>
          <w:color w:val="auto"/>
          <w:sz w:val="21"/>
          <w:szCs w:val="21"/>
        </w:rPr>
        <w:t>6</w:t>
      </w:r>
      <w:r>
        <w:rPr>
          <w:rFonts w:ascii="宋体" w:hAnsi="宋体" w:eastAsia="宋体" w:cs="宋体"/>
          <w:color w:val="auto"/>
          <w:sz w:val="21"/>
          <w:szCs w:val="21"/>
        </w:rPr>
        <w:t>进场前</w:t>
      </w:r>
      <w:r>
        <w:rPr>
          <w:rFonts w:hint="eastAsia" w:ascii="宋体" w:hAnsi="宋体" w:eastAsia="宋体" w:cs="宋体"/>
          <w:color w:val="auto"/>
          <w:sz w:val="21"/>
          <w:szCs w:val="21"/>
        </w:rPr>
        <w:t>与比选人完成项目合同及安全协议签订。</w:t>
      </w:r>
    </w:p>
    <w:p>
      <w:pPr>
        <w:pStyle w:val="67"/>
        <w:tabs>
          <w:tab w:val="left" w:pos="0"/>
        </w:tabs>
        <w:spacing w:line="360" w:lineRule="auto"/>
        <w:ind w:firstLine="420" w:firstLineChars="200"/>
        <w:rPr>
          <w:rFonts w:hAnsi="宋体"/>
          <w:color w:val="auto"/>
          <w:sz w:val="21"/>
          <w:szCs w:val="21"/>
        </w:rPr>
      </w:pPr>
      <w:r>
        <w:rPr>
          <w:rFonts w:ascii="宋体" w:hAnsi="宋体" w:eastAsia="宋体" w:cs="宋体"/>
          <w:color w:val="auto"/>
          <w:sz w:val="21"/>
          <w:szCs w:val="21"/>
        </w:rPr>
        <w:t>6.3.1.</w:t>
      </w:r>
      <w:r>
        <w:rPr>
          <w:rFonts w:hint="eastAsia" w:ascii="宋体" w:hAnsi="宋体" w:eastAsia="宋体" w:cs="宋体"/>
          <w:color w:val="auto"/>
          <w:sz w:val="21"/>
          <w:szCs w:val="21"/>
        </w:rPr>
        <w:t>7当比选人发出中选通知书后，比选申请人应立即为本项目技术管理人员办理相关临时出入证并接受比选人组织的相关安全培训</w:t>
      </w:r>
      <w:r>
        <w:rPr>
          <w:rFonts w:ascii="宋体" w:hAnsi="宋体" w:eastAsia="宋体" w:cs="宋体"/>
          <w:color w:val="auto"/>
          <w:sz w:val="21"/>
          <w:szCs w:val="21"/>
        </w:rPr>
        <w:t>。</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6.3.1.</w:t>
      </w:r>
      <w:r>
        <w:rPr>
          <w:rFonts w:hint="eastAsia" w:ascii="宋体" w:hAnsi="宋体" w:eastAsia="宋体" w:cs="宋体"/>
          <w:color w:val="auto"/>
          <w:sz w:val="21"/>
          <w:szCs w:val="21"/>
        </w:rPr>
        <w:t>8比选申请人须做好设备设施状态普查、技术交底。</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6.3.1.</w:t>
      </w:r>
      <w:r>
        <w:rPr>
          <w:rFonts w:hint="eastAsia" w:ascii="宋体" w:hAnsi="宋体" w:eastAsia="宋体" w:cs="宋体"/>
          <w:color w:val="auto"/>
          <w:sz w:val="21"/>
          <w:szCs w:val="21"/>
        </w:rPr>
        <w:t>9比选申请人在进场前按比选人要求将人员劳保防护用品配置到位。</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6.3.1.1</w:t>
      </w:r>
      <w:r>
        <w:rPr>
          <w:rFonts w:hint="eastAsia" w:ascii="宋体" w:hAnsi="宋体" w:eastAsia="宋体" w:cs="宋体"/>
          <w:color w:val="auto"/>
          <w:sz w:val="21"/>
          <w:szCs w:val="21"/>
        </w:rPr>
        <w:t>0比选申请人在进场前须按比选人要求配备应急周转备件、耗材及工器具等，并提交清单供比选人审核确认。</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6.3.1.1</w:t>
      </w:r>
      <w:r>
        <w:rPr>
          <w:rFonts w:hint="eastAsia" w:ascii="宋体" w:hAnsi="宋体" w:eastAsia="宋体" w:cs="宋体"/>
          <w:color w:val="auto"/>
          <w:sz w:val="21"/>
          <w:szCs w:val="21"/>
        </w:rPr>
        <w:t>1合同期内维保人员原则上不许替换，更换维保人员必须提前一个月通知比选人并提交有关人员资料，必须确保替换人员的资历、经验不低于原来被替换的人员，并提供相关书面证明，并由比选人组织资料审核，未经比选人许可不得更换维保人员。</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6.3.1.1</w:t>
      </w:r>
      <w:r>
        <w:rPr>
          <w:rFonts w:hint="eastAsia" w:ascii="宋体" w:hAnsi="宋体" w:eastAsia="宋体" w:cs="宋体"/>
          <w:color w:val="auto"/>
          <w:sz w:val="21"/>
          <w:szCs w:val="21"/>
        </w:rPr>
        <w:t>2比选申请人应合理安排员工的年假休假时间，严禁出现集中休假影响正常人员配置的情况，对于员工的事假及病假，比选申请人应合理调配人员进行替岗，保证正常人员配置，比选申请人所有员工的休假须提前上报比选人。</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6.3.1.1</w:t>
      </w:r>
      <w:r>
        <w:rPr>
          <w:rFonts w:hint="eastAsia" w:ascii="宋体" w:hAnsi="宋体" w:eastAsia="宋体" w:cs="宋体"/>
          <w:color w:val="auto"/>
          <w:sz w:val="21"/>
          <w:szCs w:val="21"/>
        </w:rPr>
        <w:t>3比选人向比选申请人提供的任何文件，包括规格书、手册、图纸只供比选申请人履行本合同使用，不因文件的提供而改变这些文件的知识产权和专利权。且所有移交的材料均被视为保密资料，在合同结束时须返还比选人。所有下发至比选申请人的材料，仅被用于它所规定的用途，如无比选人同意，比选申请人不能擅自使用或向任何第三方透露，否则比选申请人将承担由此泄密行为给比选人造成的一切损失。</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6.3.1.1</w:t>
      </w:r>
      <w:r>
        <w:rPr>
          <w:rFonts w:hint="eastAsia" w:ascii="宋体" w:hAnsi="宋体" w:eastAsia="宋体" w:cs="宋体"/>
          <w:color w:val="auto"/>
          <w:sz w:val="21"/>
          <w:szCs w:val="21"/>
        </w:rPr>
        <w:t>4比选申请人建立的设备设施台帐、设备设施维修履历、所有工作表格、所有工作记录及工作所需资料（除规章制度外）的所有权归比选人所有，比选申请人应无条件地接受比选人检查，配合比选人审查，并根据比选人须要随时提交比选人。</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6.3.1.1</w:t>
      </w:r>
      <w:r>
        <w:rPr>
          <w:rFonts w:hint="eastAsia" w:ascii="宋体" w:hAnsi="宋体" w:eastAsia="宋体" w:cs="宋体"/>
          <w:color w:val="auto"/>
          <w:sz w:val="21"/>
          <w:szCs w:val="21"/>
        </w:rPr>
        <w:t>5比选申请人可以根据设备设施管理情况向比选人提出变更维护检修规程及作业方法的建议，但在比选人完成评审及完成相关变更手续前，不得自行变更，应仍然按照比选人的作业标准及作业指导执行。</w:t>
      </w:r>
    </w:p>
    <w:p>
      <w:pPr>
        <w:pStyle w:val="32"/>
        <w:spacing w:before="0" w:after="0" w:afterAutospacing="0"/>
        <w:ind w:left="0" w:leftChars="0" w:right="0" w:firstLine="0" w:firstLineChars="0"/>
        <w:outlineLvl w:val="2"/>
        <w:rPr>
          <w:rFonts w:ascii="宋体" w:hAnsi="宋体"/>
          <w:b/>
          <w:color w:val="auto"/>
        </w:rPr>
      </w:pPr>
      <w:r>
        <w:rPr>
          <w:rFonts w:ascii="宋体" w:hAnsi="宋体"/>
          <w:b/>
          <w:color w:val="auto"/>
        </w:rPr>
        <w:t>6.3.2</w:t>
      </w:r>
      <w:r>
        <w:rPr>
          <w:rFonts w:hint="eastAsia" w:ascii="宋体" w:hAnsi="宋体"/>
          <w:b/>
          <w:color w:val="auto"/>
        </w:rPr>
        <w:t>会议要求</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6.3.2.1</w:t>
      </w:r>
      <w:r>
        <w:rPr>
          <w:rFonts w:hint="eastAsia" w:ascii="宋体" w:hAnsi="宋体" w:eastAsia="宋体" w:cs="宋体"/>
          <w:color w:val="auto"/>
          <w:sz w:val="21"/>
          <w:szCs w:val="21"/>
        </w:rPr>
        <w:t>比选申请人须根据比选人要求参加比选人各类会议。</w:t>
      </w:r>
    </w:p>
    <w:p>
      <w:pPr>
        <w:pStyle w:val="67"/>
        <w:tabs>
          <w:tab w:val="left" w:pos="0"/>
        </w:tabs>
        <w:spacing w:line="360" w:lineRule="auto"/>
        <w:ind w:firstLine="420" w:firstLineChars="200"/>
        <w:rPr>
          <w:rFonts w:ascii="宋体" w:hAnsi="宋体" w:cs="宋体"/>
          <w:color w:val="auto"/>
        </w:rPr>
      </w:pPr>
      <w:r>
        <w:rPr>
          <w:rFonts w:ascii="宋体" w:hAnsi="宋体" w:eastAsia="宋体" w:cs="宋体"/>
          <w:color w:val="auto"/>
          <w:sz w:val="21"/>
          <w:szCs w:val="21"/>
        </w:rPr>
        <w:t>6.3.2.2</w:t>
      </w:r>
      <w:r>
        <w:rPr>
          <w:rFonts w:hint="eastAsia" w:ascii="宋体" w:hAnsi="宋体" w:eastAsia="宋体" w:cs="宋体"/>
          <w:color w:val="auto"/>
          <w:sz w:val="21"/>
          <w:szCs w:val="21"/>
        </w:rPr>
        <w:t>维保期间将结合比选人要求以及比选申请人的管理体制，比选人每季度（时间相对固定）定期召开联系会议，也可根据双方需要随时召开；由比选申请人技术负责人及技术工程师参加，由比选申请人汇报上个季度的维保情况，比选人依据上个季度的维保情况对比选申请人提出要求。特殊情况比选人可以召开临时或故障分析会，针对突发或紧急事故进行分析，对比选申请人提出要求，做出部署。会议包括但不限于如下内容：</w:t>
      </w:r>
    </w:p>
    <w:p>
      <w:pPr>
        <w:pStyle w:val="67"/>
        <w:tabs>
          <w:tab w:val="left" w:pos="0"/>
        </w:tabs>
        <w:spacing w:line="360" w:lineRule="auto"/>
        <w:ind w:firstLine="420" w:firstLineChars="200"/>
        <w:rPr>
          <w:rFonts w:ascii="宋体" w:hAnsi="宋体" w:cs="宋体"/>
          <w:color w:val="auto"/>
        </w:rPr>
      </w:pPr>
      <w:r>
        <w:rPr>
          <w:rFonts w:hint="eastAsia" w:ascii="宋体" w:hAnsi="宋体" w:eastAsia="宋体" w:cs="宋体"/>
          <w:color w:val="auto"/>
          <w:sz w:val="21"/>
          <w:szCs w:val="21"/>
        </w:rPr>
        <w:t>凡涉及下列内容，除可在会议纪要形式上反映，比选人、比选申请人必须以书面形式沟通。</w:t>
      </w:r>
    </w:p>
    <w:p>
      <w:pPr>
        <w:widowControl w:val="0"/>
        <w:numPr>
          <w:ilvl w:val="0"/>
          <w:numId w:val="19"/>
        </w:numPr>
        <w:spacing w:before="0" w:after="0" w:afterAutospacing="0"/>
        <w:ind w:right="0" w:firstLine="420" w:firstLineChars="200"/>
        <w:rPr>
          <w:rFonts w:ascii="宋体" w:hAnsi="宋体" w:cs="宋体"/>
          <w:color w:val="auto"/>
        </w:rPr>
      </w:pPr>
      <w:r>
        <w:rPr>
          <w:rFonts w:hint="eastAsia" w:ascii="宋体" w:hAnsi="宋体" w:cs="宋体"/>
          <w:color w:val="auto"/>
        </w:rPr>
        <w:t>涉及重大技术方案、材料使用的；</w:t>
      </w:r>
    </w:p>
    <w:p>
      <w:pPr>
        <w:widowControl w:val="0"/>
        <w:numPr>
          <w:ilvl w:val="0"/>
          <w:numId w:val="19"/>
        </w:numPr>
        <w:spacing w:before="0" w:after="0" w:afterAutospacing="0"/>
        <w:ind w:right="0" w:firstLine="420" w:firstLineChars="200"/>
        <w:rPr>
          <w:rFonts w:ascii="宋体" w:hAnsi="宋体" w:cs="宋体"/>
          <w:color w:val="auto"/>
        </w:rPr>
      </w:pPr>
      <w:r>
        <w:rPr>
          <w:rFonts w:hint="eastAsia" w:ascii="宋体" w:hAnsi="宋体" w:cs="宋体"/>
          <w:color w:val="auto"/>
        </w:rPr>
        <w:t>进入委外维修期间，南宁轨道交通发布、变更各种规章制度，影响到比选申请人作业或利益的事项；</w:t>
      </w:r>
    </w:p>
    <w:p>
      <w:pPr>
        <w:widowControl w:val="0"/>
        <w:numPr>
          <w:ilvl w:val="0"/>
          <w:numId w:val="19"/>
        </w:numPr>
        <w:spacing w:before="0" w:after="0" w:afterAutospacing="0"/>
        <w:ind w:right="0" w:firstLine="420" w:firstLineChars="200"/>
        <w:rPr>
          <w:rFonts w:ascii="宋体" w:hAnsi="宋体" w:cs="宋体"/>
          <w:color w:val="auto"/>
        </w:rPr>
      </w:pPr>
      <w:r>
        <w:rPr>
          <w:rFonts w:hint="eastAsia" w:ascii="宋体" w:hAnsi="宋体" w:cs="宋体"/>
          <w:color w:val="auto"/>
        </w:rPr>
        <w:t>讨论、解决维修生产遇到困难、问题等；</w:t>
      </w:r>
    </w:p>
    <w:p>
      <w:pPr>
        <w:widowControl w:val="0"/>
        <w:numPr>
          <w:ilvl w:val="0"/>
          <w:numId w:val="19"/>
        </w:numPr>
        <w:spacing w:before="0" w:after="0" w:afterAutospacing="0"/>
        <w:ind w:right="0" w:firstLine="420" w:firstLineChars="200"/>
        <w:rPr>
          <w:rFonts w:ascii="宋体" w:hAnsi="宋体" w:cs="宋体"/>
          <w:color w:val="auto"/>
        </w:rPr>
      </w:pPr>
      <w:r>
        <w:rPr>
          <w:rFonts w:hint="eastAsia" w:ascii="宋体" w:hAnsi="宋体" w:cs="宋体"/>
          <w:color w:val="auto"/>
        </w:rPr>
        <w:t>比选人对比选申请人的工作计划审核和提出要求等；</w:t>
      </w:r>
    </w:p>
    <w:p>
      <w:pPr>
        <w:widowControl w:val="0"/>
        <w:numPr>
          <w:ilvl w:val="0"/>
          <w:numId w:val="19"/>
        </w:numPr>
        <w:spacing w:before="0" w:after="0" w:afterAutospacing="0"/>
        <w:ind w:right="0" w:firstLine="420" w:firstLineChars="200"/>
        <w:rPr>
          <w:rFonts w:ascii="宋体" w:hAnsi="宋体" w:cs="宋体"/>
          <w:color w:val="auto"/>
        </w:rPr>
      </w:pPr>
      <w:r>
        <w:rPr>
          <w:rFonts w:hint="eastAsia" w:ascii="宋体" w:hAnsi="宋体" w:cs="宋体"/>
          <w:color w:val="auto"/>
        </w:rPr>
        <w:t>商讨维修技术、管理方案；</w:t>
      </w:r>
    </w:p>
    <w:p>
      <w:pPr>
        <w:widowControl w:val="0"/>
        <w:numPr>
          <w:ilvl w:val="0"/>
          <w:numId w:val="19"/>
        </w:numPr>
        <w:spacing w:before="0" w:after="0" w:afterAutospacing="0"/>
        <w:ind w:right="0" w:firstLine="420" w:firstLineChars="200"/>
        <w:rPr>
          <w:rFonts w:ascii="宋体" w:hAnsi="宋体" w:cs="宋体"/>
          <w:color w:val="auto"/>
        </w:rPr>
      </w:pPr>
      <w:r>
        <w:rPr>
          <w:rFonts w:hint="eastAsia" w:ascii="宋体" w:hAnsi="宋体" w:cs="宋体"/>
          <w:color w:val="auto"/>
        </w:rPr>
        <w:t>对出现的违约事件进行分析，落实违约责任及采取的措施</w:t>
      </w:r>
      <w:r>
        <w:rPr>
          <w:rFonts w:ascii="宋体" w:hAnsi="宋体" w:cs="宋体"/>
          <w:color w:val="auto"/>
        </w:rPr>
        <w:t>,如直接扣进度款等。</w:t>
      </w:r>
    </w:p>
    <w:p>
      <w:pPr>
        <w:widowControl w:val="0"/>
        <w:numPr>
          <w:ilvl w:val="0"/>
          <w:numId w:val="19"/>
        </w:numPr>
        <w:spacing w:before="0" w:after="0" w:afterAutospacing="0"/>
        <w:ind w:right="0" w:firstLine="420" w:firstLineChars="200"/>
        <w:rPr>
          <w:rFonts w:hAnsi="宋体"/>
          <w:color w:val="auto"/>
        </w:rPr>
      </w:pPr>
      <w:r>
        <w:rPr>
          <w:rFonts w:ascii="宋体" w:hAnsi="宋体" w:cs="宋体"/>
          <w:color w:val="auto"/>
        </w:rPr>
        <w:t>其它需要以书面形式的事项如表格</w:t>
      </w:r>
      <w:r>
        <w:rPr>
          <w:rFonts w:hint="eastAsia" w:ascii="宋体" w:hAnsi="宋体" w:cs="宋体"/>
          <w:color w:val="auto"/>
        </w:rPr>
        <w:t>4</w:t>
      </w:r>
      <w:r>
        <w:rPr>
          <w:rFonts w:ascii="宋体" w:hAnsi="宋体" w:cs="宋体"/>
          <w:color w:val="auto"/>
        </w:rPr>
        <w:t>所示。</w:t>
      </w:r>
    </w:p>
    <w:p>
      <w:pPr>
        <w:pStyle w:val="32"/>
        <w:spacing w:before="0" w:after="0" w:afterAutospacing="0"/>
        <w:ind w:left="0" w:leftChars="0" w:right="0" w:firstLine="0" w:firstLineChars="0"/>
        <w:jc w:val="center"/>
        <w:rPr>
          <w:rFonts w:ascii="宋体" w:hAnsi="宋体"/>
          <w:color w:val="auto"/>
        </w:rPr>
      </w:pPr>
      <w:r>
        <w:rPr>
          <w:rFonts w:hint="eastAsia" w:ascii="宋体" w:hAnsi="宋体"/>
          <w:color w:val="auto"/>
        </w:rPr>
        <w:t xml:space="preserve">表格4 </w:t>
      </w:r>
      <w:r>
        <w:rPr>
          <w:rFonts w:ascii="宋体" w:hAnsi="宋体"/>
          <w:color w:val="auto"/>
        </w:rPr>
        <w:t>例会要求</w:t>
      </w:r>
    </w:p>
    <w:tbl>
      <w:tblPr>
        <w:tblStyle w:val="33"/>
        <w:tblW w:w="8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194"/>
        <w:gridCol w:w="3321"/>
        <w:gridCol w:w="925"/>
        <w:gridCol w:w="103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blHeader/>
          <w:jc w:val="center"/>
        </w:trPr>
        <w:tc>
          <w:tcPr>
            <w:tcW w:w="673" w:type="dxa"/>
            <w:vAlign w:val="center"/>
          </w:tcPr>
          <w:p>
            <w:pPr>
              <w:keepNext w:val="0"/>
              <w:keepLines w:val="0"/>
              <w:widowControl/>
              <w:suppressLineNumbers w:val="0"/>
              <w:spacing w:before="0" w:beforeAutospacing="0" w:after="0" w:afterAutospacing="0" w:line="240" w:lineRule="auto"/>
              <w:jc w:val="center"/>
              <w:rPr>
                <w:rFonts w:hint="default" w:ascii="宋体" w:hAnsi="宋体"/>
                <w:color w:val="auto"/>
              </w:rPr>
            </w:pPr>
            <w:r>
              <w:rPr>
                <w:rFonts w:hint="eastAsia" w:ascii="宋体" w:hAnsi="宋体"/>
                <w:color w:val="auto"/>
              </w:rPr>
              <w:t>序号</w:t>
            </w:r>
          </w:p>
        </w:tc>
        <w:tc>
          <w:tcPr>
            <w:tcW w:w="1194" w:type="dxa"/>
            <w:vAlign w:val="center"/>
          </w:tcPr>
          <w:p>
            <w:pPr>
              <w:keepNext w:val="0"/>
              <w:keepLines w:val="0"/>
              <w:widowControl/>
              <w:suppressLineNumbers w:val="0"/>
              <w:spacing w:before="0" w:beforeAutospacing="0" w:after="0" w:afterAutospacing="0" w:line="240" w:lineRule="auto"/>
              <w:jc w:val="center"/>
              <w:rPr>
                <w:rFonts w:hint="default" w:ascii="宋体" w:hAnsi="宋体"/>
                <w:color w:val="auto"/>
              </w:rPr>
            </w:pPr>
            <w:r>
              <w:rPr>
                <w:rFonts w:hint="eastAsia" w:ascii="宋体" w:hAnsi="宋体"/>
                <w:color w:val="auto"/>
              </w:rPr>
              <w:t>会议名称</w:t>
            </w:r>
          </w:p>
        </w:tc>
        <w:tc>
          <w:tcPr>
            <w:tcW w:w="3321" w:type="dxa"/>
            <w:vAlign w:val="center"/>
          </w:tcPr>
          <w:p>
            <w:pPr>
              <w:keepNext w:val="0"/>
              <w:keepLines w:val="0"/>
              <w:widowControl/>
              <w:suppressLineNumbers w:val="0"/>
              <w:spacing w:before="0" w:beforeAutospacing="0" w:after="0" w:afterAutospacing="0" w:line="240" w:lineRule="auto"/>
              <w:jc w:val="center"/>
              <w:rPr>
                <w:rFonts w:hint="default" w:ascii="宋体" w:hAnsi="宋体"/>
                <w:color w:val="auto"/>
              </w:rPr>
            </w:pPr>
            <w:r>
              <w:rPr>
                <w:rFonts w:hint="eastAsia" w:ascii="宋体" w:hAnsi="宋体"/>
                <w:color w:val="auto"/>
              </w:rPr>
              <w:t>会议议题</w:t>
            </w:r>
          </w:p>
        </w:tc>
        <w:tc>
          <w:tcPr>
            <w:tcW w:w="925" w:type="dxa"/>
            <w:vAlign w:val="center"/>
          </w:tcPr>
          <w:p>
            <w:pPr>
              <w:keepNext w:val="0"/>
              <w:keepLines w:val="0"/>
              <w:widowControl/>
              <w:suppressLineNumbers w:val="0"/>
              <w:spacing w:before="0" w:beforeAutospacing="0" w:after="0" w:afterAutospacing="0" w:line="240" w:lineRule="auto"/>
              <w:jc w:val="center"/>
              <w:rPr>
                <w:rFonts w:hint="default" w:ascii="宋体" w:hAnsi="宋体"/>
                <w:color w:val="auto"/>
              </w:rPr>
            </w:pPr>
            <w:r>
              <w:rPr>
                <w:rFonts w:hint="eastAsia" w:ascii="宋体" w:hAnsi="宋体"/>
                <w:color w:val="auto"/>
              </w:rPr>
              <w:t>主持</w:t>
            </w:r>
          </w:p>
        </w:tc>
        <w:tc>
          <w:tcPr>
            <w:tcW w:w="1038" w:type="dxa"/>
            <w:vAlign w:val="center"/>
          </w:tcPr>
          <w:p>
            <w:pPr>
              <w:keepNext w:val="0"/>
              <w:keepLines w:val="0"/>
              <w:widowControl/>
              <w:suppressLineNumbers w:val="0"/>
              <w:spacing w:before="0" w:beforeAutospacing="0" w:after="0" w:afterAutospacing="0" w:line="240" w:lineRule="auto"/>
              <w:jc w:val="center"/>
              <w:rPr>
                <w:rFonts w:hint="default" w:ascii="宋体" w:hAnsi="宋体"/>
                <w:color w:val="auto"/>
              </w:rPr>
            </w:pPr>
            <w:r>
              <w:rPr>
                <w:rFonts w:hint="eastAsia" w:ascii="宋体" w:hAnsi="宋体"/>
                <w:color w:val="auto"/>
              </w:rPr>
              <w:t>会议频率</w:t>
            </w:r>
          </w:p>
        </w:tc>
        <w:tc>
          <w:tcPr>
            <w:tcW w:w="1352" w:type="dxa"/>
            <w:vAlign w:val="center"/>
          </w:tcPr>
          <w:p>
            <w:pPr>
              <w:keepNext w:val="0"/>
              <w:keepLines w:val="0"/>
              <w:widowControl/>
              <w:suppressLineNumbers w:val="0"/>
              <w:spacing w:before="0" w:beforeAutospacing="0" w:after="0" w:afterAutospacing="0" w:line="240" w:lineRule="auto"/>
              <w:jc w:val="center"/>
              <w:rPr>
                <w:rFonts w:hint="default" w:ascii="宋体" w:hAnsi="宋体"/>
                <w:color w:val="auto"/>
              </w:rPr>
            </w:pPr>
            <w:r>
              <w:rPr>
                <w:rFonts w:hint="eastAsia" w:ascii="宋体" w:hAnsi="宋体"/>
                <w:color w:val="auto"/>
              </w:rPr>
              <w:t>与会相关方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keepNext w:val="0"/>
              <w:keepLines w:val="0"/>
              <w:widowControl/>
              <w:suppressLineNumbers w:val="0"/>
              <w:spacing w:before="0" w:beforeAutospacing="0" w:after="0" w:afterAutospacing="0" w:line="240" w:lineRule="auto"/>
              <w:jc w:val="center"/>
              <w:rPr>
                <w:rFonts w:hint="default" w:ascii="宋体" w:hAnsi="宋体"/>
                <w:bCs/>
                <w:color w:val="auto"/>
              </w:rPr>
            </w:pPr>
            <w:r>
              <w:rPr>
                <w:rFonts w:hint="default" w:ascii="宋体" w:hAnsi="宋体"/>
                <w:bCs/>
                <w:color w:val="auto"/>
              </w:rPr>
              <w:t>1</w:t>
            </w:r>
          </w:p>
        </w:tc>
        <w:tc>
          <w:tcPr>
            <w:tcW w:w="1194" w:type="dxa"/>
            <w:vAlign w:val="center"/>
          </w:tcPr>
          <w:p>
            <w:pPr>
              <w:keepNext w:val="0"/>
              <w:keepLines w:val="0"/>
              <w:widowControl/>
              <w:suppressLineNumbers w:val="0"/>
              <w:spacing w:before="0" w:beforeAutospacing="0" w:after="0" w:afterAutospacing="0" w:line="240" w:lineRule="auto"/>
              <w:ind w:left="0" w:firstLine="0"/>
              <w:rPr>
                <w:rFonts w:hint="default" w:ascii="宋体" w:hAnsi="宋体" w:cs="宋体"/>
                <w:bCs/>
                <w:color w:val="auto"/>
              </w:rPr>
            </w:pPr>
            <w:r>
              <w:rPr>
                <w:rFonts w:hint="eastAsia" w:ascii="宋体" w:hAnsi="宋体" w:cs="宋体"/>
                <w:bCs/>
                <w:color w:val="auto"/>
              </w:rPr>
              <w:t>维保服务季度会议</w:t>
            </w:r>
          </w:p>
        </w:tc>
        <w:tc>
          <w:tcPr>
            <w:tcW w:w="3321" w:type="dxa"/>
            <w:vAlign w:val="center"/>
          </w:tcPr>
          <w:p>
            <w:pPr>
              <w:keepNext w:val="0"/>
              <w:keepLines w:val="0"/>
              <w:widowControl/>
              <w:suppressLineNumbers w:val="0"/>
              <w:spacing w:before="0" w:beforeAutospacing="0" w:after="0" w:afterAutospacing="0" w:line="240" w:lineRule="auto"/>
              <w:ind w:left="0" w:firstLine="0"/>
              <w:rPr>
                <w:rFonts w:hint="default" w:ascii="宋体" w:hAnsi="宋体"/>
                <w:bCs/>
                <w:color w:val="auto"/>
              </w:rPr>
            </w:pPr>
            <w:r>
              <w:rPr>
                <w:rFonts w:hint="default" w:ascii="宋体" w:hAnsi="宋体" w:cs="宋体"/>
                <w:bCs/>
                <w:color w:val="auto"/>
              </w:rPr>
              <w:t>1.讨论及检查</w:t>
            </w:r>
            <w:r>
              <w:rPr>
                <w:rFonts w:hint="eastAsia" w:ascii="宋体" w:hAnsi="宋体" w:cs="宋体"/>
                <w:bCs/>
                <w:color w:val="auto"/>
              </w:rPr>
              <w:t>维保单位</w:t>
            </w:r>
            <w:r>
              <w:rPr>
                <w:rFonts w:hint="default" w:ascii="宋体" w:hAnsi="宋体" w:cs="宋体"/>
                <w:bCs/>
                <w:color w:val="auto"/>
              </w:rPr>
              <w:t>提供的</w:t>
            </w:r>
            <w:r>
              <w:rPr>
                <w:rFonts w:hint="eastAsia" w:ascii="宋体" w:hAnsi="宋体" w:cs="宋体"/>
                <w:bCs/>
                <w:color w:val="auto"/>
              </w:rPr>
              <w:t>季度巡检报告</w:t>
            </w:r>
            <w:r>
              <w:rPr>
                <w:rFonts w:hint="default" w:ascii="宋体" w:hAnsi="宋体" w:cs="宋体"/>
                <w:bCs/>
                <w:color w:val="auto"/>
              </w:rPr>
              <w:t>；</w:t>
            </w:r>
            <w:r>
              <w:rPr>
                <w:rFonts w:hint="default" w:ascii="宋体" w:hAnsi="宋体" w:cs="宋体"/>
                <w:bCs/>
                <w:color w:val="auto"/>
              </w:rPr>
              <w:br w:type="textWrapping"/>
            </w:r>
            <w:r>
              <w:rPr>
                <w:rFonts w:hint="default" w:ascii="宋体" w:hAnsi="宋体" w:cs="宋体"/>
                <w:bCs/>
                <w:color w:val="auto"/>
              </w:rPr>
              <w:t>2.与维修有关的困难；</w:t>
            </w:r>
            <w:r>
              <w:rPr>
                <w:rFonts w:hint="default" w:ascii="宋体" w:hAnsi="宋体" w:cs="宋体"/>
                <w:bCs/>
                <w:color w:val="auto"/>
              </w:rPr>
              <w:br w:type="textWrapping"/>
            </w:r>
            <w:r>
              <w:rPr>
                <w:rFonts w:hint="default" w:ascii="宋体" w:hAnsi="宋体" w:cs="宋体"/>
                <w:bCs/>
                <w:color w:val="auto"/>
              </w:rPr>
              <w:t xml:space="preserve">3. </w:t>
            </w:r>
            <w:r>
              <w:rPr>
                <w:rFonts w:hint="eastAsia" w:ascii="宋体" w:hAnsi="宋体" w:cs="宋体"/>
                <w:bCs/>
                <w:color w:val="auto"/>
              </w:rPr>
              <w:t>设备</w:t>
            </w:r>
            <w:r>
              <w:rPr>
                <w:rFonts w:hint="default" w:ascii="宋体" w:hAnsi="宋体" w:cs="宋体"/>
                <w:bCs/>
                <w:color w:val="auto"/>
              </w:rPr>
              <w:t>出现的故障及</w:t>
            </w:r>
            <w:r>
              <w:rPr>
                <w:rFonts w:hint="eastAsia" w:ascii="宋体" w:hAnsi="宋体" w:cs="宋体"/>
                <w:bCs/>
                <w:color w:val="auto"/>
              </w:rPr>
              <w:t>恢复</w:t>
            </w:r>
            <w:r>
              <w:rPr>
                <w:rFonts w:hint="default" w:ascii="宋体" w:hAnsi="宋体" w:cs="宋体"/>
                <w:bCs/>
                <w:color w:val="auto"/>
              </w:rPr>
              <w:t>情况；</w:t>
            </w:r>
            <w:r>
              <w:rPr>
                <w:rFonts w:hint="default" w:ascii="宋体" w:hAnsi="宋体" w:cs="宋体"/>
                <w:bCs/>
                <w:color w:val="auto"/>
              </w:rPr>
              <w:br w:type="textWrapping"/>
            </w:r>
            <w:r>
              <w:rPr>
                <w:rFonts w:hint="eastAsia" w:ascii="宋体" w:hAnsi="宋体" w:cs="宋体"/>
                <w:bCs/>
                <w:color w:val="auto"/>
              </w:rPr>
              <w:t>4</w:t>
            </w:r>
            <w:r>
              <w:rPr>
                <w:rFonts w:hint="default" w:ascii="宋体" w:hAnsi="宋体" w:cs="宋体"/>
                <w:bCs/>
                <w:color w:val="auto"/>
              </w:rPr>
              <w:t>.其他。</w:t>
            </w:r>
          </w:p>
        </w:tc>
        <w:tc>
          <w:tcPr>
            <w:tcW w:w="925" w:type="dxa"/>
            <w:vAlign w:val="center"/>
          </w:tcPr>
          <w:p>
            <w:pPr>
              <w:keepNext w:val="0"/>
              <w:keepLines w:val="0"/>
              <w:widowControl w:val="0"/>
              <w:suppressLineNumbers w:val="0"/>
              <w:spacing w:before="0" w:beforeAutospacing="0" w:after="0" w:afterAutospacing="0" w:line="240" w:lineRule="auto"/>
              <w:jc w:val="center"/>
              <w:rPr>
                <w:rFonts w:hint="default" w:ascii="宋体" w:hAnsi="宋体" w:eastAsia="Times New Roman"/>
                <w:bCs/>
                <w:color w:val="auto"/>
              </w:rPr>
            </w:pPr>
            <w:r>
              <w:rPr>
                <w:rFonts w:hint="eastAsia" w:ascii="宋体" w:hAnsi="宋体"/>
                <w:bCs/>
                <w:color w:val="auto"/>
              </w:rPr>
              <w:t>比选人</w:t>
            </w:r>
          </w:p>
        </w:tc>
        <w:tc>
          <w:tcPr>
            <w:tcW w:w="1038" w:type="dxa"/>
            <w:vAlign w:val="center"/>
          </w:tcPr>
          <w:p>
            <w:pPr>
              <w:keepNext w:val="0"/>
              <w:keepLines w:val="0"/>
              <w:widowControl w:val="0"/>
              <w:suppressLineNumbers w:val="0"/>
              <w:spacing w:before="0" w:beforeAutospacing="0" w:after="0" w:afterAutospacing="0" w:line="240" w:lineRule="auto"/>
              <w:jc w:val="center"/>
              <w:rPr>
                <w:rFonts w:hint="default" w:ascii="宋体" w:hAnsi="宋体" w:eastAsia="Times New Roman"/>
                <w:bCs/>
                <w:color w:val="auto"/>
              </w:rPr>
            </w:pPr>
            <w:r>
              <w:rPr>
                <w:rFonts w:hint="eastAsia" w:ascii="宋体" w:hAnsi="宋体"/>
                <w:bCs/>
                <w:color w:val="auto"/>
              </w:rPr>
              <w:t>季度</w:t>
            </w:r>
          </w:p>
        </w:tc>
        <w:tc>
          <w:tcPr>
            <w:tcW w:w="1352" w:type="dxa"/>
            <w:vAlign w:val="center"/>
          </w:tcPr>
          <w:p>
            <w:pPr>
              <w:keepNext w:val="0"/>
              <w:keepLines w:val="0"/>
              <w:widowControl/>
              <w:suppressLineNumbers w:val="0"/>
              <w:spacing w:before="0" w:beforeAutospacing="0" w:after="0" w:afterAutospacing="0" w:line="240" w:lineRule="auto"/>
              <w:ind w:left="0" w:firstLine="0"/>
              <w:rPr>
                <w:rFonts w:hint="default" w:ascii="宋体" w:hAnsi="宋体" w:eastAsia="Times New Roman" w:cs="宋体"/>
                <w:bCs/>
                <w:color w:val="auto"/>
              </w:rPr>
            </w:pPr>
            <w:r>
              <w:rPr>
                <w:rFonts w:hint="eastAsia" w:ascii="宋体" w:hAnsi="宋体" w:cs="宋体"/>
                <w:bCs/>
                <w:color w:val="auto"/>
              </w:rPr>
              <w:t>比选人：比选人代表</w:t>
            </w:r>
            <w:r>
              <w:rPr>
                <w:rFonts w:hint="default" w:ascii="宋体" w:hAnsi="宋体" w:cs="宋体"/>
                <w:bCs/>
                <w:color w:val="auto"/>
              </w:rPr>
              <w:br w:type="textWrapping"/>
            </w:r>
            <w:r>
              <w:rPr>
                <w:rFonts w:hint="eastAsia" w:ascii="宋体" w:hAnsi="宋体" w:cs="宋体"/>
                <w:bCs/>
                <w:color w:val="auto"/>
              </w:rPr>
              <w:t>比选申请人：技术负责人、技术工程师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keepNext w:val="0"/>
              <w:keepLines w:val="0"/>
              <w:widowControl/>
              <w:suppressLineNumbers w:val="0"/>
              <w:spacing w:before="0" w:beforeAutospacing="0" w:after="0" w:afterAutospacing="0" w:line="240" w:lineRule="auto"/>
              <w:jc w:val="center"/>
              <w:rPr>
                <w:rFonts w:hint="default" w:ascii="宋体" w:hAnsi="宋体"/>
                <w:bCs/>
                <w:color w:val="auto"/>
              </w:rPr>
            </w:pPr>
            <w:r>
              <w:rPr>
                <w:rFonts w:hint="default" w:ascii="宋体" w:hAnsi="宋体"/>
                <w:bCs/>
                <w:color w:val="auto"/>
              </w:rPr>
              <w:t>2</w:t>
            </w:r>
          </w:p>
        </w:tc>
        <w:tc>
          <w:tcPr>
            <w:tcW w:w="1194" w:type="dxa"/>
            <w:vAlign w:val="center"/>
          </w:tcPr>
          <w:p>
            <w:pPr>
              <w:keepNext w:val="0"/>
              <w:keepLines w:val="0"/>
              <w:widowControl/>
              <w:suppressLineNumbers w:val="0"/>
              <w:spacing w:before="0" w:beforeAutospacing="0" w:after="0" w:afterAutospacing="0" w:line="240" w:lineRule="auto"/>
              <w:ind w:left="0" w:firstLine="0"/>
              <w:rPr>
                <w:rFonts w:hint="default" w:ascii="宋体" w:hAnsi="宋体" w:eastAsia="Times New Roman" w:cs="宋体"/>
                <w:bCs/>
                <w:color w:val="auto"/>
              </w:rPr>
            </w:pPr>
            <w:r>
              <w:rPr>
                <w:rFonts w:hint="eastAsia" w:ascii="宋体" w:hAnsi="宋体" w:cs="宋体"/>
                <w:bCs/>
                <w:color w:val="auto"/>
              </w:rPr>
              <w:t>年度服务总结会</w:t>
            </w:r>
          </w:p>
        </w:tc>
        <w:tc>
          <w:tcPr>
            <w:tcW w:w="3321" w:type="dxa"/>
            <w:vAlign w:val="center"/>
          </w:tcPr>
          <w:p>
            <w:pPr>
              <w:keepNext w:val="0"/>
              <w:keepLines w:val="0"/>
              <w:widowControl/>
              <w:suppressLineNumbers w:val="0"/>
              <w:spacing w:before="0" w:beforeAutospacing="0" w:after="0" w:afterAutospacing="0" w:line="240" w:lineRule="auto"/>
              <w:ind w:left="0" w:firstLine="0"/>
              <w:rPr>
                <w:rFonts w:hint="default" w:ascii="宋体" w:hAnsi="宋体"/>
                <w:bCs/>
                <w:color w:val="auto"/>
              </w:rPr>
            </w:pPr>
            <w:r>
              <w:rPr>
                <w:rFonts w:hint="default" w:ascii="宋体" w:hAnsi="宋体" w:cs="宋体"/>
                <w:bCs/>
                <w:color w:val="auto"/>
              </w:rPr>
              <w:t>1.一年的各项考核指标完成状况；</w:t>
            </w:r>
            <w:r>
              <w:rPr>
                <w:rFonts w:hint="default" w:ascii="宋体" w:hAnsi="宋体" w:cs="宋体"/>
                <w:bCs/>
                <w:color w:val="auto"/>
              </w:rPr>
              <w:br w:type="textWrapping"/>
            </w:r>
            <w:r>
              <w:rPr>
                <w:rFonts w:hint="default" w:ascii="宋体" w:hAnsi="宋体" w:cs="宋体"/>
                <w:bCs/>
                <w:color w:val="auto"/>
              </w:rPr>
              <w:t>2.一年的故障分析汇总；</w:t>
            </w:r>
            <w:r>
              <w:rPr>
                <w:rFonts w:hint="default" w:ascii="宋体" w:hAnsi="宋体" w:cs="宋体"/>
                <w:bCs/>
                <w:color w:val="auto"/>
              </w:rPr>
              <w:br w:type="textWrapping"/>
            </w:r>
            <w:r>
              <w:rPr>
                <w:rFonts w:hint="default" w:ascii="宋体" w:hAnsi="宋体" w:cs="宋体"/>
                <w:bCs/>
                <w:color w:val="auto"/>
              </w:rPr>
              <w:t>3.一年的安全事件分析以及防范；</w:t>
            </w:r>
            <w:r>
              <w:rPr>
                <w:rFonts w:hint="default" w:ascii="宋体" w:hAnsi="宋体" w:cs="宋体"/>
                <w:bCs/>
                <w:color w:val="auto"/>
              </w:rPr>
              <w:br w:type="textWrapping"/>
            </w:r>
            <w:r>
              <w:rPr>
                <w:rFonts w:hint="eastAsia" w:ascii="宋体" w:hAnsi="宋体" w:cs="宋体"/>
                <w:bCs/>
                <w:color w:val="auto"/>
              </w:rPr>
              <w:t>4</w:t>
            </w:r>
            <w:r>
              <w:rPr>
                <w:rFonts w:hint="default" w:ascii="宋体" w:hAnsi="宋体" w:cs="宋体"/>
                <w:bCs/>
                <w:color w:val="auto"/>
              </w:rPr>
              <w:t>.其他。</w:t>
            </w:r>
          </w:p>
        </w:tc>
        <w:tc>
          <w:tcPr>
            <w:tcW w:w="925" w:type="dxa"/>
            <w:vAlign w:val="center"/>
          </w:tcPr>
          <w:p>
            <w:pPr>
              <w:keepNext w:val="0"/>
              <w:keepLines w:val="0"/>
              <w:widowControl w:val="0"/>
              <w:suppressLineNumbers w:val="0"/>
              <w:spacing w:before="0" w:beforeAutospacing="0" w:after="0" w:afterAutospacing="0" w:line="240" w:lineRule="auto"/>
              <w:jc w:val="center"/>
              <w:rPr>
                <w:rFonts w:hint="default" w:ascii="宋体" w:hAnsi="宋体" w:eastAsia="Times New Roman"/>
                <w:bCs/>
                <w:color w:val="auto"/>
              </w:rPr>
            </w:pPr>
            <w:r>
              <w:rPr>
                <w:rFonts w:hint="eastAsia" w:ascii="宋体" w:hAnsi="宋体"/>
                <w:bCs/>
                <w:color w:val="auto"/>
              </w:rPr>
              <w:t>比选人</w:t>
            </w:r>
          </w:p>
        </w:tc>
        <w:tc>
          <w:tcPr>
            <w:tcW w:w="1038" w:type="dxa"/>
            <w:vAlign w:val="center"/>
          </w:tcPr>
          <w:p>
            <w:pPr>
              <w:keepNext w:val="0"/>
              <w:keepLines w:val="0"/>
              <w:widowControl w:val="0"/>
              <w:suppressLineNumbers w:val="0"/>
              <w:spacing w:before="0" w:beforeAutospacing="0" w:after="0" w:afterAutospacing="0" w:line="240" w:lineRule="auto"/>
              <w:jc w:val="center"/>
              <w:rPr>
                <w:rFonts w:hint="default" w:ascii="宋体" w:hAnsi="宋体" w:eastAsia="Times New Roman"/>
                <w:bCs/>
                <w:color w:val="auto"/>
              </w:rPr>
            </w:pPr>
            <w:r>
              <w:rPr>
                <w:rFonts w:hint="eastAsia" w:ascii="宋体" w:hAnsi="宋体"/>
                <w:bCs/>
                <w:color w:val="auto"/>
              </w:rPr>
              <w:t>年度</w:t>
            </w:r>
          </w:p>
        </w:tc>
        <w:tc>
          <w:tcPr>
            <w:tcW w:w="1352" w:type="dxa"/>
            <w:vAlign w:val="center"/>
          </w:tcPr>
          <w:p>
            <w:pPr>
              <w:keepNext w:val="0"/>
              <w:keepLines w:val="0"/>
              <w:widowControl/>
              <w:suppressLineNumbers w:val="0"/>
              <w:spacing w:before="0" w:beforeAutospacing="0" w:after="0" w:afterAutospacing="0" w:line="240" w:lineRule="auto"/>
              <w:ind w:left="0" w:firstLine="0"/>
              <w:rPr>
                <w:rFonts w:hint="default" w:ascii="宋体" w:hAnsi="宋体" w:eastAsia="Times New Roman" w:cs="宋体"/>
                <w:bCs/>
                <w:color w:val="auto"/>
              </w:rPr>
            </w:pPr>
            <w:r>
              <w:rPr>
                <w:rFonts w:hint="eastAsia" w:ascii="宋体" w:hAnsi="宋体" w:cs="宋体"/>
                <w:bCs/>
                <w:color w:val="auto"/>
              </w:rPr>
              <w:t>比选人：比选人代表</w:t>
            </w:r>
            <w:r>
              <w:rPr>
                <w:rFonts w:hint="default" w:ascii="宋体" w:hAnsi="宋体" w:cs="宋体"/>
                <w:bCs/>
                <w:color w:val="auto"/>
              </w:rPr>
              <w:br w:type="textWrapping"/>
            </w:r>
            <w:r>
              <w:rPr>
                <w:rFonts w:hint="eastAsia" w:ascii="宋体" w:hAnsi="宋体" w:cs="宋体"/>
                <w:bCs/>
                <w:color w:val="auto"/>
              </w:rPr>
              <w:t>比选申请人：项目经理、技术负责人、技术工程师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keepNext w:val="0"/>
              <w:keepLines w:val="0"/>
              <w:widowControl/>
              <w:suppressLineNumbers w:val="0"/>
              <w:spacing w:before="0" w:beforeAutospacing="0" w:after="0" w:afterAutospacing="0" w:line="240" w:lineRule="auto"/>
              <w:jc w:val="center"/>
              <w:rPr>
                <w:rFonts w:hint="default" w:ascii="宋体" w:hAnsi="宋体"/>
                <w:bCs/>
                <w:color w:val="auto"/>
              </w:rPr>
            </w:pPr>
            <w:r>
              <w:rPr>
                <w:rFonts w:hint="default" w:ascii="宋体" w:hAnsi="宋体"/>
                <w:bCs/>
                <w:color w:val="auto"/>
              </w:rPr>
              <w:t>3</w:t>
            </w:r>
          </w:p>
        </w:tc>
        <w:tc>
          <w:tcPr>
            <w:tcW w:w="1194" w:type="dxa"/>
            <w:vAlign w:val="center"/>
          </w:tcPr>
          <w:p>
            <w:pPr>
              <w:keepNext w:val="0"/>
              <w:keepLines w:val="0"/>
              <w:widowControl/>
              <w:suppressLineNumbers w:val="0"/>
              <w:spacing w:before="0" w:beforeAutospacing="0" w:after="0" w:afterAutospacing="0" w:line="240" w:lineRule="auto"/>
              <w:ind w:left="0" w:firstLine="0"/>
              <w:rPr>
                <w:rFonts w:hint="default" w:ascii="宋体" w:hAnsi="宋体"/>
                <w:bCs/>
                <w:color w:val="auto"/>
              </w:rPr>
            </w:pPr>
            <w:r>
              <w:rPr>
                <w:rFonts w:hint="eastAsia" w:ascii="宋体" w:hAnsi="宋体" w:cs="宋体"/>
                <w:bCs/>
                <w:color w:val="auto"/>
              </w:rPr>
              <w:t>故障分析会</w:t>
            </w:r>
          </w:p>
        </w:tc>
        <w:tc>
          <w:tcPr>
            <w:tcW w:w="3321" w:type="dxa"/>
            <w:vAlign w:val="center"/>
          </w:tcPr>
          <w:p>
            <w:pPr>
              <w:keepNext w:val="0"/>
              <w:keepLines w:val="0"/>
              <w:widowControl/>
              <w:suppressLineNumbers w:val="0"/>
              <w:spacing w:before="0" w:beforeAutospacing="0" w:after="0" w:afterAutospacing="0" w:line="240" w:lineRule="auto"/>
              <w:ind w:left="0" w:firstLine="0"/>
              <w:rPr>
                <w:rFonts w:hint="default" w:ascii="宋体" w:hAnsi="宋体"/>
                <w:bCs/>
                <w:color w:val="auto"/>
              </w:rPr>
            </w:pPr>
            <w:r>
              <w:rPr>
                <w:rFonts w:hint="default" w:ascii="宋体" w:hAnsi="宋体" w:cs="宋体"/>
                <w:bCs/>
                <w:color w:val="auto"/>
              </w:rPr>
              <w:t>1.故障技术分析；</w:t>
            </w:r>
            <w:r>
              <w:rPr>
                <w:rFonts w:hint="default" w:ascii="宋体" w:hAnsi="宋体" w:cs="宋体"/>
                <w:bCs/>
                <w:color w:val="auto"/>
              </w:rPr>
              <w:br w:type="textWrapping"/>
            </w:r>
            <w:r>
              <w:rPr>
                <w:rFonts w:hint="default" w:ascii="宋体" w:hAnsi="宋体" w:cs="宋体"/>
                <w:bCs/>
                <w:color w:val="auto"/>
              </w:rPr>
              <w:t>2.故障安全分析；</w:t>
            </w:r>
            <w:r>
              <w:rPr>
                <w:rFonts w:hint="default" w:ascii="宋体" w:hAnsi="宋体" w:cs="宋体"/>
                <w:bCs/>
                <w:color w:val="auto"/>
              </w:rPr>
              <w:br w:type="textWrapping"/>
            </w:r>
            <w:r>
              <w:rPr>
                <w:rFonts w:hint="default" w:ascii="宋体" w:hAnsi="宋体" w:cs="宋体"/>
                <w:bCs/>
                <w:color w:val="auto"/>
              </w:rPr>
              <w:t>3.故障影响范围分析；</w:t>
            </w:r>
            <w:r>
              <w:rPr>
                <w:rFonts w:hint="default" w:ascii="宋体" w:hAnsi="宋体" w:cs="宋体"/>
                <w:bCs/>
                <w:color w:val="auto"/>
              </w:rPr>
              <w:br w:type="textWrapping"/>
            </w:r>
            <w:r>
              <w:rPr>
                <w:rFonts w:hint="default" w:ascii="宋体" w:hAnsi="宋体" w:cs="宋体"/>
                <w:bCs/>
                <w:color w:val="auto"/>
              </w:rPr>
              <w:t>4.预防防范；</w:t>
            </w:r>
            <w:r>
              <w:rPr>
                <w:rFonts w:hint="default" w:ascii="宋体" w:hAnsi="宋体" w:cs="宋体"/>
                <w:bCs/>
                <w:color w:val="auto"/>
              </w:rPr>
              <w:br w:type="textWrapping"/>
            </w:r>
            <w:r>
              <w:rPr>
                <w:rFonts w:hint="default" w:ascii="宋体" w:hAnsi="宋体" w:cs="宋体"/>
                <w:bCs/>
                <w:color w:val="auto"/>
              </w:rPr>
              <w:t>5.其他。</w:t>
            </w:r>
          </w:p>
        </w:tc>
        <w:tc>
          <w:tcPr>
            <w:tcW w:w="925" w:type="dxa"/>
            <w:vAlign w:val="center"/>
          </w:tcPr>
          <w:p>
            <w:pPr>
              <w:keepNext w:val="0"/>
              <w:keepLines w:val="0"/>
              <w:widowControl w:val="0"/>
              <w:suppressLineNumbers w:val="0"/>
              <w:spacing w:before="0" w:beforeAutospacing="0" w:after="0" w:afterAutospacing="0" w:line="240" w:lineRule="auto"/>
              <w:jc w:val="center"/>
              <w:rPr>
                <w:rFonts w:hint="default" w:ascii="宋体" w:hAnsi="宋体" w:eastAsia="Times New Roman"/>
                <w:bCs/>
                <w:color w:val="auto"/>
              </w:rPr>
            </w:pPr>
            <w:r>
              <w:rPr>
                <w:rFonts w:hint="eastAsia" w:ascii="宋体" w:hAnsi="宋体"/>
                <w:bCs/>
                <w:color w:val="auto"/>
              </w:rPr>
              <w:t>比选人</w:t>
            </w:r>
          </w:p>
        </w:tc>
        <w:tc>
          <w:tcPr>
            <w:tcW w:w="1038" w:type="dxa"/>
            <w:vAlign w:val="center"/>
          </w:tcPr>
          <w:p>
            <w:pPr>
              <w:keepNext w:val="0"/>
              <w:keepLines w:val="0"/>
              <w:widowControl w:val="0"/>
              <w:suppressLineNumbers w:val="0"/>
              <w:spacing w:before="0" w:beforeAutospacing="0" w:after="0" w:afterAutospacing="0" w:line="240" w:lineRule="auto"/>
              <w:jc w:val="center"/>
              <w:rPr>
                <w:rFonts w:hint="default" w:ascii="宋体" w:hAnsi="宋体" w:eastAsia="Times New Roman"/>
                <w:bCs/>
                <w:color w:val="auto"/>
              </w:rPr>
            </w:pPr>
            <w:r>
              <w:rPr>
                <w:rFonts w:hint="eastAsia" w:ascii="宋体" w:hAnsi="宋体"/>
                <w:bCs/>
                <w:color w:val="auto"/>
              </w:rPr>
              <w:t>事件发生</w:t>
            </w:r>
          </w:p>
        </w:tc>
        <w:tc>
          <w:tcPr>
            <w:tcW w:w="1352" w:type="dxa"/>
            <w:vAlign w:val="center"/>
          </w:tcPr>
          <w:p>
            <w:pPr>
              <w:keepNext w:val="0"/>
              <w:keepLines w:val="0"/>
              <w:widowControl/>
              <w:suppressLineNumbers w:val="0"/>
              <w:spacing w:before="0" w:beforeAutospacing="0" w:after="0" w:afterAutospacing="0" w:line="240" w:lineRule="auto"/>
              <w:ind w:left="0" w:firstLine="0"/>
              <w:rPr>
                <w:rFonts w:hint="default" w:ascii="宋体" w:hAnsi="宋体" w:eastAsia="Times New Roman" w:cs="宋体"/>
                <w:bCs/>
                <w:color w:val="auto"/>
              </w:rPr>
            </w:pPr>
            <w:r>
              <w:rPr>
                <w:rFonts w:hint="eastAsia" w:ascii="宋体" w:hAnsi="宋体" w:cs="宋体"/>
                <w:bCs/>
                <w:color w:val="auto"/>
              </w:rPr>
              <w:t>比选人：比选人代表</w:t>
            </w:r>
            <w:r>
              <w:rPr>
                <w:rFonts w:hint="default" w:ascii="宋体" w:hAnsi="宋体" w:cs="宋体"/>
                <w:bCs/>
                <w:color w:val="auto"/>
              </w:rPr>
              <w:br w:type="textWrapping"/>
            </w:r>
            <w:r>
              <w:rPr>
                <w:rFonts w:hint="eastAsia" w:ascii="宋体" w:hAnsi="宋体" w:cs="宋体"/>
                <w:bCs/>
                <w:color w:val="auto"/>
              </w:rPr>
              <w:t>比选申请人：技术负责人、技术工程师</w:t>
            </w:r>
          </w:p>
        </w:tc>
      </w:tr>
    </w:tbl>
    <w:p>
      <w:pPr>
        <w:pStyle w:val="32"/>
        <w:spacing w:before="0" w:after="0" w:afterAutospacing="0"/>
        <w:ind w:left="0" w:leftChars="0" w:right="0" w:firstLine="0" w:firstLineChars="0"/>
        <w:rPr>
          <w:rFonts w:hAnsi="宋体"/>
          <w:color w:val="auto"/>
        </w:rPr>
      </w:pPr>
      <w:bookmarkStart w:id="2242" w:name="_Toc25759"/>
    </w:p>
    <w:p>
      <w:pPr>
        <w:pStyle w:val="32"/>
        <w:spacing w:before="0" w:after="0" w:afterAutospacing="0"/>
        <w:ind w:left="0" w:leftChars="0" w:right="0" w:firstLine="0" w:firstLineChars="0"/>
        <w:outlineLvl w:val="2"/>
        <w:rPr>
          <w:rFonts w:ascii="宋体" w:hAnsi="宋体"/>
          <w:b/>
          <w:color w:val="auto"/>
        </w:rPr>
      </w:pPr>
      <w:r>
        <w:rPr>
          <w:rFonts w:ascii="宋体" w:hAnsi="宋体"/>
          <w:b/>
          <w:color w:val="auto"/>
        </w:rPr>
        <w:t>6.3.</w:t>
      </w:r>
      <w:r>
        <w:rPr>
          <w:rFonts w:hint="eastAsia" w:ascii="宋体" w:hAnsi="宋体"/>
          <w:b/>
          <w:color w:val="auto"/>
        </w:rPr>
        <w:t>3培训要求</w:t>
      </w:r>
      <w:bookmarkEnd w:id="2242"/>
    </w:p>
    <w:p>
      <w:pPr>
        <w:widowControl w:val="0"/>
        <w:tabs>
          <w:tab w:val="left" w:pos="0"/>
        </w:tabs>
        <w:spacing w:before="0" w:after="0" w:afterAutospacing="0"/>
        <w:ind w:left="403" w:right="0" w:firstLine="0"/>
        <w:rPr>
          <w:rFonts w:cs="宋体"/>
          <w:color w:val="auto"/>
        </w:rPr>
      </w:pPr>
      <w:r>
        <w:rPr>
          <w:rFonts w:hint="eastAsia" w:ascii="宋体" w:hAnsi="宋体" w:cs="宋体"/>
          <w:color w:val="auto"/>
        </w:rPr>
        <w:t>6.3.3.1比选申请人对比选人人员培训要求</w:t>
      </w:r>
    </w:p>
    <w:p>
      <w:pPr>
        <w:spacing w:before="0" w:after="0" w:afterAutospacing="0"/>
        <w:ind w:left="0" w:right="0" w:firstLine="420" w:firstLineChars="200"/>
        <w:rPr>
          <w:color w:val="auto"/>
        </w:rPr>
      </w:pPr>
      <w:r>
        <w:rPr>
          <w:rFonts w:hint="eastAsia"/>
          <w:color w:val="auto"/>
        </w:rPr>
        <w:t>比选申请人在维保期间须对比选人员工进行</w:t>
      </w:r>
      <w:r>
        <w:rPr>
          <w:rFonts w:ascii="宋体" w:hAnsi="宋体"/>
          <w:color w:val="auto"/>
        </w:rPr>
        <w:t>南宁轨道交通</w:t>
      </w:r>
      <w:r>
        <w:rPr>
          <w:rFonts w:hint="eastAsia" w:ascii="宋体" w:hAnsi="宋体"/>
          <w:color w:val="auto"/>
        </w:rPr>
        <w:t>1-5号线</w:t>
      </w:r>
      <w:r>
        <w:rPr>
          <w:rFonts w:ascii="宋体" w:hAnsi="宋体"/>
          <w:color w:val="auto"/>
        </w:rPr>
        <w:t>办公网交换机设备</w:t>
      </w:r>
      <w:r>
        <w:rPr>
          <w:rFonts w:hint="eastAsia"/>
          <w:color w:val="auto"/>
        </w:rPr>
        <w:t>维护技能培训，根据比选人要求开展</w:t>
      </w:r>
      <w:r>
        <w:rPr>
          <w:rFonts w:hint="eastAsia" w:hAnsi="宋体"/>
          <w:color w:val="auto"/>
        </w:rPr>
        <w:t>每季度不少于1</w:t>
      </w:r>
      <w:r>
        <w:rPr>
          <w:rFonts w:hAnsi="宋体"/>
          <w:color w:val="auto"/>
        </w:rPr>
        <w:t>次</w:t>
      </w:r>
      <w:r>
        <w:rPr>
          <w:rFonts w:hint="eastAsia"/>
          <w:color w:val="auto"/>
        </w:rPr>
        <w:t>现场培训，负责组织与比选人之间的培训或技术交流，具体培训内容、方案、时间等由比选人确定，培训效果须要达到比选人的培训要求，以理论、实操培训相结合，并保证比选人员工能独立完成设备设施的巡检及故障处理等工作。在合同到期前，必须使比选人至少有</w:t>
      </w:r>
      <w:r>
        <w:rPr>
          <w:color w:val="auto"/>
        </w:rPr>
        <w:t>2</w:t>
      </w:r>
      <w:r>
        <w:rPr>
          <w:rFonts w:hint="eastAsia"/>
          <w:color w:val="auto"/>
        </w:rPr>
        <w:t>人能独立完成</w:t>
      </w:r>
      <w:r>
        <w:rPr>
          <w:rFonts w:ascii="宋体" w:hAnsi="宋体"/>
          <w:color w:val="auto"/>
        </w:rPr>
        <w:t>南宁轨道交通</w:t>
      </w:r>
      <w:r>
        <w:rPr>
          <w:rFonts w:hint="eastAsia" w:ascii="宋体" w:hAnsi="宋体"/>
          <w:color w:val="auto"/>
        </w:rPr>
        <w:t>1-5号线</w:t>
      </w:r>
      <w:r>
        <w:rPr>
          <w:rFonts w:ascii="宋体" w:hAnsi="宋体"/>
          <w:color w:val="auto"/>
        </w:rPr>
        <w:t>办公网交换机设备</w:t>
      </w:r>
      <w:r>
        <w:rPr>
          <w:rFonts w:hint="eastAsia"/>
          <w:color w:val="auto"/>
        </w:rPr>
        <w:t>的</w:t>
      </w:r>
      <w:r>
        <w:rPr>
          <w:color w:val="auto"/>
        </w:rPr>
        <w:t>配置、调试</w:t>
      </w:r>
      <w:r>
        <w:rPr>
          <w:rFonts w:hint="eastAsia"/>
          <w:color w:val="auto"/>
        </w:rPr>
        <w:t>、备件更换及模块拆装、图纸原理，同时达到一定的培训要求，培训要求包括但不限于表格5的内容。</w:t>
      </w:r>
    </w:p>
    <w:p>
      <w:pPr>
        <w:pStyle w:val="32"/>
        <w:spacing w:before="0" w:after="0" w:afterAutospacing="0"/>
        <w:ind w:left="0" w:leftChars="0" w:right="0" w:firstLine="0" w:firstLineChars="0"/>
        <w:jc w:val="center"/>
        <w:rPr>
          <w:rFonts w:ascii="宋体" w:hAnsi="宋体"/>
          <w:color w:val="auto"/>
        </w:rPr>
      </w:pPr>
      <w:r>
        <w:rPr>
          <w:rFonts w:hint="eastAsia" w:ascii="宋体" w:hAnsi="宋体"/>
          <w:color w:val="auto"/>
        </w:rPr>
        <w:t>表格5 比选申请人</w:t>
      </w:r>
      <w:r>
        <w:rPr>
          <w:rFonts w:ascii="宋体" w:hAnsi="宋体"/>
          <w:color w:val="auto"/>
        </w:rPr>
        <w:t>对</w:t>
      </w:r>
      <w:r>
        <w:rPr>
          <w:rFonts w:hint="eastAsia" w:ascii="宋体" w:hAnsi="宋体"/>
          <w:color w:val="auto"/>
        </w:rPr>
        <w:t>比选人</w:t>
      </w:r>
      <w:r>
        <w:rPr>
          <w:rFonts w:ascii="宋体" w:hAnsi="宋体"/>
          <w:color w:val="auto"/>
        </w:rPr>
        <w:t>人员培训要求</w:t>
      </w:r>
    </w:p>
    <w:tbl>
      <w:tblPr>
        <w:tblStyle w:val="33"/>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431"/>
        <w:gridCol w:w="3969"/>
        <w:gridCol w:w="1433"/>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662" w:type="dxa"/>
            <w:vAlign w:val="center"/>
          </w:tcPr>
          <w:p>
            <w:pPr>
              <w:keepNext w:val="0"/>
              <w:keepLines w:val="0"/>
              <w:widowControl/>
              <w:suppressLineNumbers w:val="0"/>
              <w:spacing w:before="0" w:beforeAutospacing="0" w:after="0" w:afterAutospacing="0" w:line="240" w:lineRule="auto"/>
              <w:ind w:left="0" w:right="-28" w:firstLine="0"/>
              <w:jc w:val="center"/>
              <w:rPr>
                <w:rFonts w:hint="default" w:ascii="宋体" w:hAnsi="宋体" w:cs="宋体"/>
                <w:color w:val="auto"/>
              </w:rPr>
            </w:pPr>
            <w:r>
              <w:rPr>
                <w:rFonts w:hint="eastAsia" w:ascii="宋体" w:hAnsi="宋体" w:cs="宋体"/>
                <w:color w:val="auto"/>
              </w:rPr>
              <w:t>序号</w:t>
            </w:r>
          </w:p>
        </w:tc>
        <w:tc>
          <w:tcPr>
            <w:tcW w:w="1431" w:type="dxa"/>
            <w:vAlign w:val="center"/>
          </w:tcPr>
          <w:p>
            <w:pPr>
              <w:keepNext w:val="0"/>
              <w:keepLines w:val="0"/>
              <w:widowControl/>
              <w:suppressLineNumbers w:val="0"/>
              <w:spacing w:before="0" w:beforeAutospacing="0" w:after="0" w:afterAutospacing="0" w:line="240" w:lineRule="auto"/>
              <w:ind w:left="0" w:right="-28" w:firstLine="0"/>
              <w:jc w:val="center"/>
              <w:rPr>
                <w:rFonts w:hint="default" w:ascii="宋体" w:hAnsi="宋体" w:cs="宋体"/>
                <w:color w:val="auto"/>
              </w:rPr>
            </w:pPr>
            <w:r>
              <w:rPr>
                <w:rFonts w:hint="eastAsia" w:ascii="宋体" w:hAnsi="宋体" w:cs="宋体"/>
                <w:color w:val="auto"/>
              </w:rPr>
              <w:t>培训范围</w:t>
            </w:r>
          </w:p>
        </w:tc>
        <w:tc>
          <w:tcPr>
            <w:tcW w:w="3969" w:type="dxa"/>
            <w:vAlign w:val="center"/>
          </w:tcPr>
          <w:p>
            <w:pPr>
              <w:keepNext w:val="0"/>
              <w:keepLines w:val="0"/>
              <w:widowControl/>
              <w:suppressLineNumbers w:val="0"/>
              <w:spacing w:before="0" w:beforeAutospacing="0" w:after="0" w:afterAutospacing="0" w:line="240" w:lineRule="auto"/>
              <w:ind w:left="0" w:right="-28" w:firstLine="0"/>
              <w:jc w:val="center"/>
              <w:rPr>
                <w:rFonts w:hint="default" w:ascii="宋体" w:hAnsi="宋体" w:cs="宋体"/>
                <w:color w:val="auto"/>
              </w:rPr>
            </w:pPr>
            <w:r>
              <w:rPr>
                <w:rFonts w:hint="eastAsia" w:ascii="宋体" w:hAnsi="宋体" w:cs="宋体"/>
                <w:color w:val="auto"/>
              </w:rPr>
              <w:t>内容</w:t>
            </w:r>
          </w:p>
        </w:tc>
        <w:tc>
          <w:tcPr>
            <w:tcW w:w="1433" w:type="dxa"/>
            <w:vAlign w:val="center"/>
          </w:tcPr>
          <w:p>
            <w:pPr>
              <w:keepNext w:val="0"/>
              <w:keepLines w:val="0"/>
              <w:widowControl/>
              <w:suppressLineNumbers w:val="0"/>
              <w:spacing w:before="0" w:beforeAutospacing="0" w:after="0" w:afterAutospacing="0" w:line="240" w:lineRule="auto"/>
              <w:ind w:left="0" w:right="-28" w:firstLine="0"/>
              <w:jc w:val="center"/>
              <w:rPr>
                <w:rFonts w:hint="default" w:ascii="宋体" w:hAnsi="宋体" w:cs="宋体"/>
                <w:color w:val="auto"/>
              </w:rPr>
            </w:pPr>
            <w:r>
              <w:rPr>
                <w:rFonts w:hint="eastAsia" w:ascii="宋体" w:hAnsi="宋体" w:cs="宋体"/>
                <w:color w:val="auto"/>
              </w:rPr>
              <w:t>时间</w:t>
            </w:r>
          </w:p>
        </w:tc>
        <w:tc>
          <w:tcPr>
            <w:tcW w:w="965" w:type="dxa"/>
            <w:vAlign w:val="center"/>
          </w:tcPr>
          <w:p>
            <w:pPr>
              <w:keepNext w:val="0"/>
              <w:keepLines w:val="0"/>
              <w:widowControl/>
              <w:suppressLineNumbers w:val="0"/>
              <w:spacing w:before="0" w:beforeAutospacing="0" w:after="0" w:afterAutospacing="0" w:line="240" w:lineRule="auto"/>
              <w:ind w:left="0" w:right="-28" w:firstLine="0"/>
              <w:jc w:val="center"/>
              <w:rPr>
                <w:rFonts w:hint="default" w:ascii="宋体" w:hAnsi="宋体" w:cs="宋体"/>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2" w:type="dxa"/>
            <w:vAlign w:val="center"/>
          </w:tcPr>
          <w:p>
            <w:pPr>
              <w:keepNext w:val="0"/>
              <w:keepLines w:val="0"/>
              <w:widowControl/>
              <w:suppressLineNumbers w:val="0"/>
              <w:spacing w:before="0" w:beforeAutospacing="0" w:after="0" w:afterAutospacing="0" w:line="240" w:lineRule="auto"/>
              <w:ind w:left="0" w:right="-28" w:firstLine="0"/>
              <w:jc w:val="center"/>
              <w:rPr>
                <w:rFonts w:hint="default" w:ascii="宋体" w:hAnsi="宋体" w:cs="宋体"/>
                <w:color w:val="auto"/>
              </w:rPr>
            </w:pPr>
            <w:r>
              <w:rPr>
                <w:rFonts w:hint="default" w:ascii="宋体" w:hAnsi="宋体" w:cs="宋体"/>
                <w:color w:val="auto"/>
              </w:rPr>
              <w:t>1</w:t>
            </w:r>
          </w:p>
        </w:tc>
        <w:tc>
          <w:tcPr>
            <w:tcW w:w="1431" w:type="dxa"/>
            <w:vAlign w:val="center"/>
          </w:tcPr>
          <w:p>
            <w:pPr>
              <w:keepNext w:val="0"/>
              <w:keepLines w:val="0"/>
              <w:widowControl/>
              <w:suppressLineNumbers w:val="0"/>
              <w:spacing w:before="0" w:beforeAutospacing="0" w:after="0" w:afterAutospacing="0" w:line="240" w:lineRule="auto"/>
              <w:ind w:left="0" w:right="-28" w:firstLine="0"/>
              <w:jc w:val="center"/>
              <w:rPr>
                <w:rFonts w:hint="default" w:ascii="宋体" w:hAnsi="宋体" w:cs="宋体"/>
                <w:color w:val="auto"/>
              </w:rPr>
            </w:pPr>
            <w:r>
              <w:rPr>
                <w:rFonts w:hint="eastAsia" w:ascii="宋体" w:hAnsi="宋体" w:cs="宋体"/>
                <w:color w:val="auto"/>
              </w:rPr>
              <w:t>设备配置</w:t>
            </w:r>
          </w:p>
        </w:tc>
        <w:tc>
          <w:tcPr>
            <w:tcW w:w="3969" w:type="dxa"/>
            <w:vAlign w:val="center"/>
          </w:tcPr>
          <w:p>
            <w:pPr>
              <w:keepNext w:val="0"/>
              <w:keepLines w:val="0"/>
              <w:widowControl/>
              <w:suppressLineNumbers w:val="0"/>
              <w:spacing w:before="0" w:beforeAutospacing="0" w:after="0" w:afterAutospacing="0" w:line="240" w:lineRule="auto"/>
              <w:ind w:left="0" w:right="-28" w:firstLine="0"/>
              <w:rPr>
                <w:rFonts w:hint="default" w:ascii="宋体" w:hAnsi="宋体" w:cs="宋体"/>
                <w:color w:val="auto"/>
              </w:rPr>
            </w:pPr>
            <w:r>
              <w:rPr>
                <w:rFonts w:hint="default" w:ascii="宋体" w:hAnsi="宋体" w:cs="宋体"/>
                <w:color w:val="auto"/>
              </w:rPr>
              <w:t>路由交换相关协议、日常维护知识及技能。</w:t>
            </w:r>
          </w:p>
        </w:tc>
        <w:tc>
          <w:tcPr>
            <w:tcW w:w="1433" w:type="dxa"/>
            <w:vAlign w:val="center"/>
          </w:tcPr>
          <w:p>
            <w:pPr>
              <w:keepNext w:val="0"/>
              <w:keepLines w:val="0"/>
              <w:widowControl/>
              <w:suppressLineNumbers w:val="0"/>
              <w:spacing w:before="0" w:beforeAutospacing="0" w:after="0" w:afterAutospacing="0" w:line="240" w:lineRule="auto"/>
              <w:ind w:left="0" w:right="-28" w:firstLine="0"/>
              <w:rPr>
                <w:rFonts w:hint="default" w:ascii="宋体" w:hAnsi="宋体" w:cs="宋体"/>
                <w:color w:val="auto"/>
              </w:rPr>
            </w:pPr>
            <w:r>
              <w:rPr>
                <w:rFonts w:hint="eastAsia" w:ascii="宋体" w:hAnsi="宋体" w:cs="宋体"/>
                <w:color w:val="auto"/>
              </w:rPr>
              <w:t>项目验收前</w:t>
            </w:r>
          </w:p>
        </w:tc>
        <w:tc>
          <w:tcPr>
            <w:tcW w:w="965" w:type="dxa"/>
            <w:vAlign w:val="center"/>
          </w:tcPr>
          <w:p>
            <w:pPr>
              <w:keepNext w:val="0"/>
              <w:keepLines w:val="0"/>
              <w:widowControl/>
              <w:suppressLineNumbers w:val="0"/>
              <w:spacing w:before="0" w:beforeAutospacing="0" w:after="0" w:afterAutospacing="0" w:line="240" w:lineRule="auto"/>
              <w:ind w:left="0" w:right="-28" w:firstLine="0"/>
              <w:rPr>
                <w:rFonts w:hint="default"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2" w:type="dxa"/>
            <w:vAlign w:val="center"/>
          </w:tcPr>
          <w:p>
            <w:pPr>
              <w:keepNext w:val="0"/>
              <w:keepLines w:val="0"/>
              <w:widowControl/>
              <w:suppressLineNumbers w:val="0"/>
              <w:spacing w:before="0" w:beforeAutospacing="0" w:after="0" w:afterAutospacing="0" w:line="240" w:lineRule="auto"/>
              <w:ind w:left="0" w:right="-28" w:firstLine="0"/>
              <w:jc w:val="center"/>
              <w:rPr>
                <w:rFonts w:hint="default" w:ascii="宋体" w:hAnsi="宋体" w:cs="宋体"/>
                <w:color w:val="auto"/>
              </w:rPr>
            </w:pPr>
            <w:r>
              <w:rPr>
                <w:rFonts w:hint="default" w:ascii="宋体" w:hAnsi="宋体" w:cs="宋体"/>
                <w:color w:val="auto"/>
              </w:rPr>
              <w:t>2</w:t>
            </w:r>
          </w:p>
        </w:tc>
        <w:tc>
          <w:tcPr>
            <w:tcW w:w="1431" w:type="dxa"/>
            <w:vAlign w:val="center"/>
          </w:tcPr>
          <w:p>
            <w:pPr>
              <w:keepNext w:val="0"/>
              <w:keepLines w:val="0"/>
              <w:widowControl/>
              <w:suppressLineNumbers w:val="0"/>
              <w:spacing w:before="0" w:beforeAutospacing="0" w:after="0" w:afterAutospacing="0" w:line="240" w:lineRule="auto"/>
              <w:ind w:left="0" w:right="-28" w:firstLine="0"/>
              <w:jc w:val="center"/>
              <w:rPr>
                <w:rFonts w:hint="default" w:ascii="宋体" w:hAnsi="宋体" w:cs="宋体"/>
                <w:color w:val="auto"/>
              </w:rPr>
            </w:pPr>
            <w:r>
              <w:rPr>
                <w:rFonts w:hint="eastAsia" w:ascii="宋体" w:hAnsi="宋体" w:cs="宋体"/>
                <w:color w:val="auto"/>
              </w:rPr>
              <w:t>故障处理</w:t>
            </w:r>
          </w:p>
        </w:tc>
        <w:tc>
          <w:tcPr>
            <w:tcW w:w="3969" w:type="dxa"/>
            <w:vAlign w:val="center"/>
          </w:tcPr>
          <w:p>
            <w:pPr>
              <w:keepNext w:val="0"/>
              <w:keepLines w:val="0"/>
              <w:widowControl/>
              <w:suppressLineNumbers w:val="0"/>
              <w:spacing w:before="0" w:beforeAutospacing="0" w:after="0" w:afterAutospacing="0" w:line="240" w:lineRule="auto"/>
              <w:ind w:left="0" w:right="-28" w:firstLine="0"/>
              <w:rPr>
                <w:rFonts w:hint="default" w:ascii="宋体" w:hAnsi="宋体" w:cs="宋体"/>
                <w:color w:val="auto"/>
              </w:rPr>
            </w:pPr>
            <w:r>
              <w:rPr>
                <w:rFonts w:hint="eastAsia" w:ascii="宋体" w:hAnsi="宋体" w:cs="宋体"/>
                <w:color w:val="auto"/>
              </w:rPr>
              <w:t>1-5号线办公网</w:t>
            </w:r>
            <w:r>
              <w:rPr>
                <w:rFonts w:hint="default" w:ascii="宋体" w:hAnsi="宋体" w:cs="宋体"/>
                <w:color w:val="auto"/>
              </w:rPr>
              <w:t>核心交换机</w:t>
            </w:r>
            <w:r>
              <w:rPr>
                <w:rFonts w:hint="eastAsia" w:ascii="宋体" w:hAnsi="宋体" w:cs="宋体"/>
                <w:color w:val="auto"/>
              </w:rPr>
              <w:t>典型故障培训，理论及实操相结合。</w:t>
            </w:r>
          </w:p>
        </w:tc>
        <w:tc>
          <w:tcPr>
            <w:tcW w:w="1433" w:type="dxa"/>
            <w:vAlign w:val="center"/>
          </w:tcPr>
          <w:p>
            <w:pPr>
              <w:keepNext w:val="0"/>
              <w:keepLines w:val="0"/>
              <w:widowControl/>
              <w:suppressLineNumbers w:val="0"/>
              <w:spacing w:before="0" w:beforeAutospacing="0" w:after="0" w:afterAutospacing="0" w:line="240" w:lineRule="auto"/>
              <w:ind w:left="0" w:right="-28" w:firstLine="0"/>
              <w:rPr>
                <w:rFonts w:hint="default" w:ascii="宋体" w:hAnsi="宋体" w:cs="宋体"/>
                <w:color w:val="auto"/>
              </w:rPr>
            </w:pPr>
            <w:r>
              <w:rPr>
                <w:rFonts w:hint="eastAsia" w:ascii="宋体" w:hAnsi="宋体" w:cs="宋体"/>
                <w:color w:val="auto"/>
              </w:rPr>
              <w:t>项目验收前</w:t>
            </w:r>
          </w:p>
        </w:tc>
        <w:tc>
          <w:tcPr>
            <w:tcW w:w="965" w:type="dxa"/>
            <w:vAlign w:val="center"/>
          </w:tcPr>
          <w:p>
            <w:pPr>
              <w:keepNext w:val="0"/>
              <w:keepLines w:val="0"/>
              <w:widowControl/>
              <w:suppressLineNumbers w:val="0"/>
              <w:spacing w:before="0" w:beforeAutospacing="0" w:after="0" w:afterAutospacing="0" w:line="240" w:lineRule="auto"/>
              <w:ind w:left="0" w:right="-28" w:firstLine="0"/>
              <w:rPr>
                <w:rFonts w:hint="default" w:ascii="宋体" w:hAnsi="宋体" w:cs="宋体"/>
                <w:color w:val="auto"/>
              </w:rPr>
            </w:pPr>
          </w:p>
        </w:tc>
      </w:tr>
    </w:tbl>
    <w:p>
      <w:pPr>
        <w:spacing w:after="0" w:afterAutospacing="0"/>
        <w:ind w:left="710" w:right="-28" w:hanging="709" w:hangingChars="338"/>
        <w:rPr>
          <w:rFonts w:ascii="宋体" w:hAnsi="宋体"/>
          <w:color w:val="auto"/>
        </w:rPr>
      </w:pPr>
      <w:r>
        <w:rPr>
          <w:rFonts w:hint="eastAsia" w:ascii="宋体" w:hAnsi="宋体"/>
          <w:color w:val="auto"/>
        </w:rPr>
        <w:t>备注：</w:t>
      </w:r>
    </w:p>
    <w:p>
      <w:pPr>
        <w:pStyle w:val="66"/>
        <w:ind w:firstLine="420"/>
        <w:jc w:val="both"/>
        <w:rPr>
          <w:color w:val="auto"/>
        </w:rPr>
      </w:pPr>
      <w:r>
        <w:rPr>
          <w:rFonts w:hint="eastAsia"/>
          <w:color w:val="auto"/>
          <w:sz w:val="21"/>
          <w:szCs w:val="21"/>
        </w:rPr>
        <w:t>此清单培训项目及内容仅供参考，比选申请人应结合现场情况、工作范围、损耗情况、市场风险及环境因素等对清单内容进行充分考虑，比选人拥有对培训要求清单项目和内容进行调整的权利。</w:t>
      </w:r>
    </w:p>
    <w:p>
      <w:pPr>
        <w:widowControl w:val="0"/>
        <w:tabs>
          <w:tab w:val="left" w:pos="0"/>
        </w:tabs>
        <w:spacing w:before="0" w:after="0" w:afterAutospacing="0"/>
        <w:ind w:left="403" w:right="0" w:firstLine="0"/>
        <w:rPr>
          <w:rFonts w:ascii="宋体" w:hAnsi="宋体" w:cs="宋体"/>
          <w:color w:val="auto"/>
        </w:rPr>
      </w:pPr>
      <w:r>
        <w:rPr>
          <w:rFonts w:hint="eastAsia" w:ascii="宋体" w:hAnsi="宋体" w:cs="宋体"/>
          <w:color w:val="auto"/>
        </w:rPr>
        <w:t>6.3.3.2比选申请人内部人员培训要求</w:t>
      </w:r>
    </w:p>
    <w:p>
      <w:pPr>
        <w:pStyle w:val="66"/>
        <w:ind w:firstLine="420"/>
        <w:jc w:val="both"/>
        <w:rPr>
          <w:color w:val="auto"/>
        </w:rPr>
      </w:pPr>
      <w:r>
        <w:rPr>
          <w:rFonts w:hint="eastAsia"/>
          <w:color w:val="auto"/>
          <w:sz w:val="21"/>
          <w:szCs w:val="21"/>
        </w:rPr>
        <w:t>比选申请人应该强化比选申请人维保服务人员技能培训以及对比选人规章制度及文本的学习，强化危险源学习及避免大面积故障的相关措施培训及应急预案培训，每个比选申请人维保服务人员要熟知应急处理中的岗位指引及注重应急处理能力的培养。</w:t>
      </w:r>
    </w:p>
    <w:p>
      <w:pPr>
        <w:spacing w:before="0" w:after="0" w:afterAutospacing="0"/>
        <w:ind w:left="0" w:right="0" w:firstLine="0"/>
        <w:outlineLvl w:val="1"/>
        <w:rPr>
          <w:b/>
          <w:color w:val="auto"/>
        </w:rPr>
      </w:pPr>
      <w:bookmarkStart w:id="2243" w:name="_Toc16269"/>
      <w:bookmarkStart w:id="2244" w:name="_Toc148449388"/>
      <w:r>
        <w:rPr>
          <w:b/>
          <w:color w:val="auto"/>
        </w:rPr>
        <w:t>6.4</w:t>
      </w:r>
      <w:r>
        <w:rPr>
          <w:rFonts w:hint="eastAsia"/>
          <w:b/>
          <w:color w:val="auto"/>
        </w:rPr>
        <w:t>生产质量管理</w:t>
      </w:r>
      <w:bookmarkEnd w:id="2243"/>
      <w:bookmarkEnd w:id="2244"/>
    </w:p>
    <w:p>
      <w:pPr>
        <w:pStyle w:val="32"/>
        <w:spacing w:before="0" w:after="0" w:afterAutospacing="0"/>
        <w:ind w:left="0" w:leftChars="0" w:right="0" w:firstLine="0" w:firstLineChars="0"/>
        <w:outlineLvl w:val="2"/>
        <w:rPr>
          <w:rFonts w:ascii="宋体" w:hAnsi="宋体"/>
          <w:b/>
          <w:color w:val="auto"/>
        </w:rPr>
      </w:pPr>
      <w:r>
        <w:rPr>
          <w:rFonts w:ascii="宋体" w:hAnsi="宋体"/>
          <w:b/>
          <w:color w:val="auto"/>
        </w:rPr>
        <w:t>6.4.1</w:t>
      </w:r>
      <w:r>
        <w:rPr>
          <w:rFonts w:hint="eastAsia" w:ascii="宋体" w:hAnsi="宋体"/>
          <w:b/>
          <w:color w:val="auto"/>
        </w:rPr>
        <w:t>项目质量管理</w:t>
      </w:r>
    </w:p>
    <w:p>
      <w:pPr>
        <w:widowControl w:val="0"/>
        <w:tabs>
          <w:tab w:val="left" w:pos="0"/>
        </w:tabs>
        <w:spacing w:before="0" w:after="0" w:afterAutospacing="0"/>
        <w:ind w:left="403" w:right="0" w:firstLine="0"/>
        <w:rPr>
          <w:rFonts w:ascii="宋体" w:hAnsi="宋体" w:cs="宋体"/>
          <w:color w:val="auto"/>
        </w:rPr>
      </w:pPr>
      <w:r>
        <w:rPr>
          <w:rFonts w:ascii="宋体" w:hAnsi="宋体" w:cs="宋体"/>
          <w:color w:val="auto"/>
        </w:rPr>
        <w:t>6.4.1.1</w:t>
      </w:r>
      <w:r>
        <w:rPr>
          <w:rFonts w:hint="eastAsia" w:ascii="宋体" w:hAnsi="宋体" w:cs="宋体"/>
          <w:color w:val="auto"/>
        </w:rPr>
        <w:t>维保项目内容</w:t>
      </w:r>
    </w:p>
    <w:p>
      <w:pPr>
        <w:widowControl w:val="0"/>
        <w:numPr>
          <w:ilvl w:val="0"/>
          <w:numId w:val="20"/>
        </w:numPr>
        <w:spacing w:before="0" w:after="0" w:afterAutospacing="0"/>
        <w:ind w:left="0" w:right="0" w:firstLine="420" w:firstLineChars="200"/>
        <w:rPr>
          <w:rFonts w:ascii="宋体" w:hAnsi="宋体"/>
          <w:color w:val="auto"/>
        </w:rPr>
      </w:pPr>
      <w:r>
        <w:rPr>
          <w:rFonts w:hint="eastAsia" w:ascii="宋体" w:hAnsi="宋体"/>
          <w:color w:val="auto"/>
        </w:rPr>
        <w:t>比选申请人必须确保根据《运营有限公司生产设备设施维修接口关系规则》相关要求，按照《南宁轨道交通办公网络和信息管理系统</w:t>
      </w:r>
      <w:r>
        <w:rPr>
          <w:rFonts w:hint="eastAsia" w:ascii="宋体" w:hAnsi="宋体" w:cs="宋体"/>
          <w:color w:val="auto"/>
        </w:rPr>
        <w:t>设备</w:t>
      </w:r>
      <w:r>
        <w:rPr>
          <w:rFonts w:ascii="宋体" w:hAnsi="宋体"/>
          <w:color w:val="auto"/>
        </w:rPr>
        <w:t>检修规程》</w:t>
      </w:r>
      <w:r>
        <w:rPr>
          <w:rFonts w:hint="eastAsia" w:ascii="宋体" w:hAnsi="宋体"/>
          <w:color w:val="auto"/>
        </w:rPr>
        <w:t>、</w:t>
      </w:r>
      <w:r>
        <w:rPr>
          <w:rFonts w:ascii="宋体" w:hAnsi="宋体"/>
          <w:color w:val="auto"/>
        </w:rPr>
        <w:t>《</w:t>
      </w:r>
      <w:r>
        <w:rPr>
          <w:rFonts w:hint="eastAsia" w:ascii="宋体" w:hAnsi="宋体"/>
          <w:color w:val="auto"/>
        </w:rPr>
        <w:t>南宁轨道交通办公网络和信息管理系统</w:t>
      </w:r>
      <w:r>
        <w:rPr>
          <w:rFonts w:hint="eastAsia" w:ascii="宋体" w:hAnsi="宋体" w:cs="宋体"/>
          <w:color w:val="auto"/>
        </w:rPr>
        <w:t>设备</w:t>
      </w:r>
      <w:r>
        <w:rPr>
          <w:rFonts w:ascii="宋体" w:hAnsi="宋体"/>
          <w:color w:val="auto"/>
        </w:rPr>
        <w:t>检修作业指导书》等文件</w:t>
      </w:r>
      <w:r>
        <w:rPr>
          <w:rFonts w:hint="eastAsia" w:ascii="宋体" w:hAnsi="宋体"/>
          <w:color w:val="auto"/>
        </w:rPr>
        <w:t>的要求对1-5号线</w:t>
      </w:r>
      <w:r>
        <w:rPr>
          <w:rFonts w:ascii="宋体" w:hAnsi="宋体"/>
          <w:color w:val="auto"/>
        </w:rPr>
        <w:t>办公网交换机设备设施开展设备</w:t>
      </w:r>
      <w:r>
        <w:rPr>
          <w:rFonts w:hint="eastAsia" w:ascii="宋体" w:hAnsi="宋体"/>
          <w:color w:val="auto"/>
        </w:rPr>
        <w:t>巡检</w:t>
      </w:r>
      <w:r>
        <w:rPr>
          <w:rFonts w:ascii="宋体" w:hAnsi="宋体"/>
          <w:color w:val="auto"/>
        </w:rPr>
        <w:t>、故障抢修、故障</w:t>
      </w:r>
      <w:r>
        <w:rPr>
          <w:rFonts w:hint="eastAsia" w:ascii="宋体" w:hAnsi="宋体"/>
          <w:color w:val="auto"/>
        </w:rPr>
        <w:t>件更换及维修</w:t>
      </w:r>
      <w:r>
        <w:rPr>
          <w:rFonts w:ascii="宋体" w:hAnsi="宋体"/>
          <w:color w:val="auto"/>
        </w:rPr>
        <w:t>、节前关键设备检查、特殊时期现场值班保障、其他技术改进或升级作业及</w:t>
      </w:r>
      <w:r>
        <w:rPr>
          <w:rFonts w:hint="eastAsia" w:ascii="宋体" w:hAnsi="宋体"/>
          <w:color w:val="auto"/>
        </w:rPr>
        <w:t>申请人</w:t>
      </w:r>
      <w:r>
        <w:rPr>
          <w:rFonts w:ascii="宋体" w:hAnsi="宋体"/>
          <w:color w:val="auto"/>
        </w:rPr>
        <w:t>下达的其他临时任务等。巡检完成后做好相关记录，保证设备完整，功能良好，安全可靠运行。</w:t>
      </w:r>
    </w:p>
    <w:p>
      <w:pPr>
        <w:widowControl w:val="0"/>
        <w:numPr>
          <w:ilvl w:val="0"/>
          <w:numId w:val="20"/>
        </w:numPr>
        <w:spacing w:before="0" w:after="0" w:afterAutospacing="0"/>
        <w:ind w:left="0" w:right="0" w:firstLine="420" w:firstLineChars="200"/>
        <w:rPr>
          <w:rFonts w:ascii="宋体" w:hAnsi="宋体"/>
          <w:color w:val="auto"/>
        </w:rPr>
      </w:pPr>
      <w:r>
        <w:rPr>
          <w:rFonts w:hint="eastAsia" w:ascii="宋体" w:hAnsi="宋体"/>
          <w:color w:val="auto"/>
        </w:rPr>
        <w:t>设备检修作业，必须安排</w:t>
      </w:r>
      <w:r>
        <w:rPr>
          <w:rFonts w:ascii="宋体" w:hAnsi="宋体"/>
          <w:color w:val="auto"/>
        </w:rPr>
        <w:t>2人及以上互控开展作业，</w:t>
      </w:r>
      <w:r>
        <w:rPr>
          <w:rFonts w:hint="eastAsia" w:ascii="宋体" w:hAnsi="宋体"/>
          <w:color w:val="auto"/>
        </w:rPr>
        <w:t>年度网络系统运行调查与分析至少须技术负责人参与</w:t>
      </w:r>
      <w:r>
        <w:rPr>
          <w:rFonts w:ascii="宋体" w:hAnsi="宋体"/>
          <w:color w:val="auto"/>
        </w:rPr>
        <w:t>。</w:t>
      </w:r>
    </w:p>
    <w:p>
      <w:pPr>
        <w:widowControl w:val="0"/>
        <w:numPr>
          <w:ilvl w:val="0"/>
          <w:numId w:val="20"/>
        </w:numPr>
        <w:spacing w:before="0" w:after="0" w:afterAutospacing="0"/>
        <w:ind w:left="0" w:right="0" w:firstLine="420" w:firstLineChars="200"/>
        <w:rPr>
          <w:rFonts w:ascii="宋体" w:hAnsi="宋体"/>
          <w:color w:val="auto"/>
        </w:rPr>
      </w:pPr>
      <w:r>
        <w:rPr>
          <w:rFonts w:ascii="宋体" w:hAnsi="宋体"/>
          <w:color w:val="auto"/>
        </w:rPr>
        <w:t>故障处理：比选申请人应对比选人的设备设施在正常运行下出现的故障、比选人报送的故障以及比选人要求处理的故障进行处理，国家法定节假日及周六周日比选申请人须正常受理比选人的故障。故障处理按照设备故障响应、临时修复及完全修复时间要求进行故障处理；由比选通知比选申请人进行的故障抢修，要求从接报故障起120分钟内到达故障地点进行抢修。</w:t>
      </w:r>
    </w:p>
    <w:p>
      <w:pPr>
        <w:widowControl w:val="0"/>
        <w:numPr>
          <w:ilvl w:val="0"/>
          <w:numId w:val="20"/>
        </w:numPr>
        <w:spacing w:before="0" w:after="0" w:afterAutospacing="0"/>
        <w:ind w:left="0" w:right="0" w:firstLine="420" w:firstLineChars="200"/>
        <w:rPr>
          <w:rFonts w:ascii="宋体" w:hAnsi="宋体"/>
          <w:color w:val="auto"/>
        </w:rPr>
      </w:pPr>
      <w:r>
        <w:rPr>
          <w:rFonts w:ascii="宋体" w:hAnsi="宋体"/>
          <w:color w:val="auto"/>
        </w:rPr>
        <w:t>故障件维修：</w:t>
      </w:r>
      <w:r>
        <w:rPr>
          <w:rFonts w:hint="eastAsia" w:ascii="宋体" w:hAnsi="宋体"/>
          <w:color w:val="auto"/>
        </w:rPr>
        <w:t>由比选申请人</w:t>
      </w:r>
      <w:r>
        <w:rPr>
          <w:rFonts w:ascii="宋体" w:hAnsi="宋体"/>
          <w:color w:val="auto"/>
        </w:rPr>
        <w:t>根据</w:t>
      </w:r>
      <w:r>
        <w:rPr>
          <w:rFonts w:hint="eastAsia" w:ascii="宋体" w:hAnsi="宋体"/>
          <w:color w:val="auto"/>
        </w:rPr>
        <w:t>比选人</w:t>
      </w:r>
      <w:r>
        <w:rPr>
          <w:rFonts w:ascii="宋体" w:hAnsi="宋体"/>
          <w:color w:val="auto"/>
        </w:rPr>
        <w:t>评估后进行</w:t>
      </w:r>
      <w:r>
        <w:rPr>
          <w:rFonts w:hint="eastAsia" w:ascii="宋体" w:hAnsi="宋体"/>
          <w:color w:val="auto"/>
        </w:rPr>
        <w:t>维修，故障件修复率不低于年度故障返修件的</w:t>
      </w:r>
      <w:r>
        <w:rPr>
          <w:rFonts w:ascii="宋体" w:hAnsi="宋体"/>
          <w:color w:val="auto"/>
        </w:rPr>
        <w:t>90%，如低于90%，则乙方免费用</w:t>
      </w:r>
      <w:r>
        <w:rPr>
          <w:rFonts w:hint="eastAsia" w:ascii="宋体" w:hAnsi="宋体"/>
          <w:color w:val="auto"/>
        </w:rPr>
        <w:t>全新件将剩余未修复的故障件进行替换，以达到</w:t>
      </w:r>
      <w:r>
        <w:rPr>
          <w:rFonts w:ascii="宋体" w:hAnsi="宋体"/>
          <w:color w:val="auto"/>
        </w:rPr>
        <w:t>90%返修件修复率的要求，返修件返回时，由</w:t>
      </w:r>
      <w:r>
        <w:rPr>
          <w:rFonts w:hint="eastAsia" w:ascii="宋体" w:hAnsi="宋体"/>
          <w:color w:val="auto"/>
        </w:rPr>
        <w:t>比选</w:t>
      </w:r>
      <w:r>
        <w:rPr>
          <w:rFonts w:ascii="宋体" w:hAnsi="宋体"/>
          <w:color w:val="auto"/>
        </w:rPr>
        <w:t>申请人负责在</w:t>
      </w:r>
      <w:r>
        <w:rPr>
          <w:rFonts w:hint="eastAsia" w:ascii="宋体" w:hAnsi="宋体"/>
          <w:color w:val="auto"/>
        </w:rPr>
        <w:t>比选人</w:t>
      </w:r>
      <w:r>
        <w:rPr>
          <w:rFonts w:ascii="宋体" w:hAnsi="宋体"/>
          <w:color w:val="auto"/>
        </w:rPr>
        <w:t>提供的设备上进行确认，共同确认返修件的功能状态正常，方可移交</w:t>
      </w:r>
      <w:r>
        <w:rPr>
          <w:rFonts w:hint="eastAsia" w:ascii="宋体" w:hAnsi="宋体"/>
          <w:color w:val="auto"/>
        </w:rPr>
        <w:t>比选</w:t>
      </w:r>
      <w:r>
        <w:rPr>
          <w:rFonts w:ascii="宋体" w:hAnsi="宋体"/>
          <w:color w:val="auto"/>
        </w:rPr>
        <w:t>人，返修件的质保周期不低于3个月，返修件返厂维修所产生的费用由</w:t>
      </w:r>
      <w:r>
        <w:rPr>
          <w:rFonts w:hint="eastAsia" w:ascii="宋体" w:hAnsi="宋体"/>
          <w:color w:val="auto"/>
        </w:rPr>
        <w:t>比选</w:t>
      </w:r>
      <w:r>
        <w:rPr>
          <w:rFonts w:ascii="宋体" w:hAnsi="宋体"/>
          <w:color w:val="auto"/>
        </w:rPr>
        <w:t>申请人负责。</w:t>
      </w:r>
    </w:p>
    <w:p>
      <w:pPr>
        <w:widowControl w:val="0"/>
        <w:numPr>
          <w:ilvl w:val="0"/>
          <w:numId w:val="20"/>
        </w:numPr>
        <w:spacing w:before="0" w:after="0" w:afterAutospacing="0"/>
        <w:ind w:left="0" w:right="0" w:firstLine="420" w:firstLineChars="200"/>
        <w:rPr>
          <w:rFonts w:ascii="宋体" w:hAnsi="宋体"/>
          <w:color w:val="auto"/>
        </w:rPr>
      </w:pPr>
      <w:r>
        <w:rPr>
          <w:rFonts w:hint="eastAsia" w:ascii="宋体" w:hAnsi="宋体"/>
          <w:color w:val="auto"/>
        </w:rPr>
        <w:t>核心交换机</w:t>
      </w:r>
      <w:r>
        <w:rPr>
          <w:rFonts w:ascii="宋体" w:hAnsi="宋体"/>
          <w:color w:val="auto"/>
        </w:rPr>
        <w:t>版本软件服务，每季度</w:t>
      </w:r>
      <w:r>
        <w:rPr>
          <w:rFonts w:hint="eastAsia" w:ascii="宋体" w:hAnsi="宋体"/>
          <w:color w:val="auto"/>
        </w:rPr>
        <w:t>至少</w:t>
      </w:r>
      <w:r>
        <w:rPr>
          <w:rFonts w:ascii="宋体" w:hAnsi="宋体"/>
          <w:color w:val="auto"/>
        </w:rPr>
        <w:t>评估一次在</w:t>
      </w:r>
      <w:r>
        <w:rPr>
          <w:rFonts w:hint="eastAsia" w:ascii="宋体" w:hAnsi="宋体"/>
          <w:color w:val="auto"/>
        </w:rPr>
        <w:t>网核心设备的版本运行情况，检查整体网络版本一致性，包括但不限于版本软件启动项一致性和版本软件大小一致性，针对隐患设备提供版本升级服务，并做好记录输出报告。</w:t>
      </w:r>
    </w:p>
    <w:p>
      <w:pPr>
        <w:widowControl w:val="0"/>
        <w:numPr>
          <w:ilvl w:val="0"/>
          <w:numId w:val="20"/>
        </w:numPr>
        <w:spacing w:before="0" w:after="0" w:afterAutospacing="0"/>
        <w:ind w:left="0" w:right="0" w:firstLine="420" w:firstLineChars="200"/>
        <w:rPr>
          <w:rFonts w:ascii="宋体" w:hAnsi="宋体" w:cs="宋体"/>
          <w:color w:val="auto"/>
        </w:rPr>
      </w:pPr>
      <w:r>
        <w:rPr>
          <w:rFonts w:hint="eastAsia" w:ascii="宋体" w:hAnsi="宋体" w:cs="宋体"/>
          <w:color w:val="auto"/>
        </w:rPr>
        <w:t>节假日保障：春节、国庆、元旦、清明、五一、端午、中秋、东盟博览会、三月三等节假日或上级部门检查时，比选申请人须编制节假日保障方案经</w:t>
      </w:r>
      <w:r>
        <w:rPr>
          <w:rFonts w:hint="eastAsia" w:ascii="宋体" w:hAnsi="宋体"/>
          <w:color w:val="auto"/>
        </w:rPr>
        <w:t>比选人</w:t>
      </w:r>
      <w:r>
        <w:rPr>
          <w:rFonts w:hint="eastAsia" w:ascii="宋体" w:hAnsi="宋体" w:cs="宋体"/>
          <w:color w:val="auto"/>
        </w:rPr>
        <w:t>审核同意后执行，原则上比选申请人安排线上保障技术人员应不少于</w:t>
      </w:r>
      <w:r>
        <w:rPr>
          <w:rFonts w:ascii="宋体" w:hAnsi="宋体" w:cs="宋体"/>
          <w:color w:val="auto"/>
        </w:rPr>
        <w:t>1人，项目经理或技术负责人至少须有一人在线上配合设备保障或检查工作，当</w:t>
      </w:r>
      <w:r>
        <w:rPr>
          <w:rFonts w:hint="eastAsia" w:ascii="宋体" w:hAnsi="宋体"/>
          <w:color w:val="auto"/>
        </w:rPr>
        <w:t>比选人</w:t>
      </w:r>
      <w:r>
        <w:rPr>
          <w:rFonts w:ascii="宋体" w:hAnsi="宋体" w:cs="宋体"/>
          <w:color w:val="auto"/>
        </w:rPr>
        <w:t>认为</w:t>
      </w:r>
      <w:r>
        <w:rPr>
          <w:rFonts w:hint="eastAsia" w:ascii="宋体" w:hAnsi="宋体" w:cs="宋体"/>
          <w:color w:val="auto"/>
        </w:rPr>
        <w:t>比选申请人</w:t>
      </w:r>
      <w:r>
        <w:rPr>
          <w:rFonts w:ascii="宋体" w:hAnsi="宋体" w:cs="宋体"/>
          <w:color w:val="auto"/>
        </w:rPr>
        <w:t>安排的保障人员数量或技术力量不满足时，</w:t>
      </w:r>
      <w:r>
        <w:rPr>
          <w:rFonts w:hint="eastAsia" w:ascii="宋体" w:hAnsi="宋体" w:cs="宋体"/>
          <w:color w:val="auto"/>
        </w:rPr>
        <w:t>比选申请人</w:t>
      </w:r>
      <w:r>
        <w:rPr>
          <w:rFonts w:ascii="宋体" w:hAnsi="宋体" w:cs="宋体"/>
          <w:color w:val="auto"/>
        </w:rPr>
        <w:t>须按照</w:t>
      </w:r>
      <w:r>
        <w:rPr>
          <w:rFonts w:hint="eastAsia" w:ascii="宋体" w:hAnsi="宋体"/>
          <w:color w:val="auto"/>
        </w:rPr>
        <w:t>比选人</w:t>
      </w:r>
      <w:r>
        <w:rPr>
          <w:rFonts w:ascii="宋体" w:hAnsi="宋体" w:cs="宋体"/>
          <w:color w:val="auto"/>
        </w:rPr>
        <w:t>要求安排足够人员数量及技术力量进行</w:t>
      </w:r>
      <w:r>
        <w:rPr>
          <w:rFonts w:hint="eastAsia" w:ascii="宋体" w:hAnsi="宋体" w:cs="宋体"/>
          <w:color w:val="auto"/>
        </w:rPr>
        <w:t>线上</w:t>
      </w:r>
      <w:r>
        <w:rPr>
          <w:rFonts w:ascii="宋体" w:hAnsi="宋体" w:cs="宋体"/>
          <w:color w:val="auto"/>
        </w:rPr>
        <w:t>值守。</w:t>
      </w:r>
    </w:p>
    <w:p>
      <w:pPr>
        <w:widowControl w:val="0"/>
        <w:numPr>
          <w:ilvl w:val="0"/>
          <w:numId w:val="20"/>
        </w:numPr>
        <w:spacing w:before="0" w:after="0" w:afterAutospacing="0"/>
        <w:ind w:left="0" w:right="0" w:firstLine="420" w:firstLineChars="200"/>
        <w:rPr>
          <w:rFonts w:ascii="宋体" w:hAnsi="宋体"/>
          <w:color w:val="auto"/>
        </w:rPr>
      </w:pPr>
      <w:r>
        <w:rPr>
          <w:rFonts w:hint="eastAsia" w:ascii="宋体" w:hAnsi="宋体"/>
          <w:color w:val="auto"/>
        </w:rPr>
        <w:t>其他工作：须完成技术改进、软件升级、配合国家规定的年度检验及</w:t>
      </w:r>
      <w:r>
        <w:rPr>
          <w:rFonts w:ascii="宋体" w:hAnsi="宋体"/>
          <w:color w:val="auto"/>
        </w:rPr>
        <w:t>向</w:t>
      </w:r>
      <w:r>
        <w:rPr>
          <w:rFonts w:hint="eastAsia" w:ascii="宋体" w:hAnsi="宋体"/>
          <w:color w:val="auto"/>
        </w:rPr>
        <w:t>比选人</w:t>
      </w:r>
      <w:r>
        <w:rPr>
          <w:rFonts w:ascii="宋体" w:hAnsi="宋体"/>
          <w:color w:val="auto"/>
        </w:rPr>
        <w:t>提供</w:t>
      </w:r>
      <w:r>
        <w:rPr>
          <w:rFonts w:hint="eastAsia" w:ascii="宋体" w:hAnsi="宋体"/>
          <w:color w:val="auto"/>
        </w:rPr>
        <w:t>每日</w:t>
      </w:r>
      <w:r>
        <w:rPr>
          <w:rFonts w:ascii="宋体" w:hAnsi="宋体"/>
          <w:color w:val="auto"/>
        </w:rPr>
        <w:t>24小时免费远程技术支持。</w:t>
      </w:r>
    </w:p>
    <w:p>
      <w:pPr>
        <w:widowControl w:val="0"/>
        <w:tabs>
          <w:tab w:val="left" w:pos="0"/>
        </w:tabs>
        <w:spacing w:before="0" w:after="0" w:afterAutospacing="0"/>
        <w:ind w:left="403" w:right="0" w:firstLine="0"/>
        <w:rPr>
          <w:rFonts w:ascii="宋体" w:hAnsi="宋体"/>
          <w:color w:val="auto"/>
        </w:rPr>
      </w:pPr>
      <w:r>
        <w:rPr>
          <w:rFonts w:ascii="宋体" w:hAnsi="宋体"/>
          <w:color w:val="auto"/>
        </w:rPr>
        <w:t>6.4.1.2</w:t>
      </w:r>
      <w:r>
        <w:rPr>
          <w:rFonts w:hint="eastAsia" w:ascii="宋体" w:hAnsi="宋体"/>
          <w:color w:val="auto"/>
        </w:rPr>
        <w:t>维保质量标准</w:t>
      </w:r>
    </w:p>
    <w:p>
      <w:pPr>
        <w:widowControl w:val="0"/>
        <w:numPr>
          <w:ilvl w:val="0"/>
          <w:numId w:val="21"/>
        </w:numPr>
        <w:spacing w:before="0" w:after="0" w:afterAutospacing="0"/>
        <w:ind w:right="0"/>
        <w:rPr>
          <w:rFonts w:ascii="宋体" w:hAnsi="宋体" w:cs="宋体"/>
          <w:color w:val="auto"/>
        </w:rPr>
      </w:pPr>
      <w:r>
        <w:rPr>
          <w:rFonts w:hint="eastAsia" w:ascii="宋体" w:hAnsi="宋体" w:cs="宋体"/>
          <w:color w:val="auto"/>
        </w:rPr>
        <w:t>维保质量标准</w:t>
      </w:r>
      <w:r>
        <w:rPr>
          <w:rFonts w:ascii="宋体" w:hAnsi="宋体" w:cs="宋体"/>
          <w:color w:val="auto"/>
        </w:rPr>
        <w:t>:</w:t>
      </w:r>
      <w:r>
        <w:rPr>
          <w:rFonts w:hint="eastAsia" w:ascii="宋体" w:hAnsi="宋体" w:cs="宋体"/>
          <w:color w:val="auto"/>
        </w:rPr>
        <w:t>比选申请人</w:t>
      </w:r>
      <w:r>
        <w:rPr>
          <w:rFonts w:ascii="宋体" w:hAnsi="宋体" w:cs="宋体"/>
          <w:color w:val="auto"/>
        </w:rPr>
        <w:t>必须确保本项目</w:t>
      </w:r>
      <w:r>
        <w:rPr>
          <w:rFonts w:hint="eastAsia" w:ascii="宋体" w:hAnsi="宋体"/>
          <w:color w:val="auto"/>
        </w:rPr>
        <w:t>1-5号线</w:t>
      </w:r>
      <w:r>
        <w:rPr>
          <w:rFonts w:ascii="宋体" w:hAnsi="宋体"/>
          <w:color w:val="auto"/>
        </w:rPr>
        <w:t>办公网交换机设备</w:t>
      </w:r>
      <w:r>
        <w:rPr>
          <w:rFonts w:ascii="宋体" w:hAnsi="宋体" w:cs="宋体"/>
          <w:color w:val="auto"/>
        </w:rPr>
        <w:t>的维保</w:t>
      </w:r>
      <w:r>
        <w:rPr>
          <w:rFonts w:hint="eastAsia" w:ascii="宋体" w:hAnsi="宋体" w:cs="宋体"/>
          <w:color w:val="auto"/>
        </w:rPr>
        <w:t>质量</w:t>
      </w:r>
      <w:r>
        <w:rPr>
          <w:rFonts w:ascii="宋体" w:hAnsi="宋体" w:cs="宋体"/>
          <w:color w:val="auto"/>
        </w:rPr>
        <w:t>达到</w:t>
      </w:r>
      <w:r>
        <w:rPr>
          <w:rFonts w:hint="eastAsia" w:ascii="宋体" w:hAnsi="宋体" w:cs="宋体"/>
          <w:color w:val="auto"/>
        </w:rPr>
        <w:t>设备检修质量，设备检修周期及标准严格按照检修检标准执行</w:t>
      </w:r>
      <w:r>
        <w:rPr>
          <w:rFonts w:ascii="宋体" w:hAnsi="宋体" w:cs="宋体"/>
          <w:color w:val="auto"/>
        </w:rPr>
        <w:t>，</w:t>
      </w:r>
      <w:r>
        <w:rPr>
          <w:rFonts w:hint="eastAsia" w:ascii="宋体" w:hAnsi="宋体"/>
          <w:color w:val="auto"/>
        </w:rPr>
        <w:t>比选人</w:t>
      </w:r>
      <w:r>
        <w:rPr>
          <w:rFonts w:hint="eastAsia" w:ascii="宋体" w:hAnsi="宋体" w:cs="宋体"/>
          <w:color w:val="auto"/>
        </w:rPr>
        <w:t>组织相关专业人员定期对本项目合同约定范围内由比选申请人</w:t>
      </w:r>
      <w:r>
        <w:rPr>
          <w:rFonts w:ascii="宋体" w:hAnsi="宋体" w:cs="宋体"/>
          <w:color w:val="auto"/>
        </w:rPr>
        <w:t>负责</w:t>
      </w:r>
      <w:r>
        <w:rPr>
          <w:rFonts w:hint="eastAsia" w:ascii="宋体" w:hAnsi="宋体" w:cs="宋体"/>
          <w:color w:val="auto"/>
        </w:rPr>
        <w:t>的所有设备计划性检修的工作质量进行检查，检查</w:t>
      </w:r>
      <w:r>
        <w:rPr>
          <w:rFonts w:ascii="宋体" w:hAnsi="宋体" w:cs="宋体"/>
          <w:color w:val="auto"/>
        </w:rPr>
        <w:t>结果纳入相关考核当中。</w:t>
      </w:r>
      <w:r>
        <w:rPr>
          <w:rFonts w:hint="eastAsia" w:ascii="宋体" w:hAnsi="宋体"/>
          <w:color w:val="auto"/>
        </w:rPr>
        <w:t>比选人</w:t>
      </w:r>
      <w:r>
        <w:rPr>
          <w:rFonts w:hint="eastAsia" w:ascii="宋体" w:hAnsi="宋体" w:cs="宋体"/>
          <w:color w:val="auto"/>
        </w:rPr>
        <w:t>拥有</w:t>
      </w:r>
      <w:r>
        <w:rPr>
          <w:rFonts w:ascii="宋体" w:hAnsi="宋体" w:cs="宋体"/>
          <w:color w:val="auto"/>
        </w:rPr>
        <w:t>对</w:t>
      </w:r>
      <w:r>
        <w:rPr>
          <w:rFonts w:hint="eastAsia" w:ascii="宋体" w:hAnsi="宋体" w:cs="宋体"/>
          <w:color w:val="auto"/>
        </w:rPr>
        <w:t>设备</w:t>
      </w:r>
      <w:r>
        <w:rPr>
          <w:rFonts w:ascii="宋体" w:hAnsi="宋体" w:cs="宋体"/>
          <w:color w:val="auto"/>
        </w:rPr>
        <w:t>的相关检修质量标准根据设备的实际运行情况进行调整的权</w:t>
      </w:r>
      <w:r>
        <w:rPr>
          <w:rFonts w:hint="eastAsia" w:ascii="宋体" w:hAnsi="宋体" w:cs="宋体"/>
          <w:color w:val="auto"/>
        </w:rPr>
        <w:t>力</w:t>
      </w:r>
      <w:r>
        <w:rPr>
          <w:rFonts w:ascii="宋体" w:hAnsi="宋体" w:cs="宋体"/>
          <w:color w:val="auto"/>
        </w:rPr>
        <w:t>。</w:t>
      </w:r>
    </w:p>
    <w:p>
      <w:pPr>
        <w:widowControl w:val="0"/>
        <w:numPr>
          <w:ilvl w:val="0"/>
          <w:numId w:val="21"/>
        </w:numPr>
        <w:tabs>
          <w:tab w:val="left" w:pos="0"/>
        </w:tabs>
        <w:spacing w:before="0" w:after="0" w:afterAutospacing="0"/>
        <w:ind w:right="0"/>
        <w:rPr>
          <w:rFonts w:ascii="宋体" w:hAnsi="宋体" w:cs="宋体"/>
          <w:color w:val="auto"/>
        </w:rPr>
      </w:pPr>
      <w:r>
        <w:rPr>
          <w:rFonts w:hint="eastAsia" w:ascii="宋体" w:hAnsi="宋体" w:cs="宋体"/>
          <w:color w:val="auto"/>
        </w:rPr>
        <w:t>维保质量总体评价指标</w:t>
      </w:r>
      <w:r>
        <w:rPr>
          <w:rFonts w:ascii="宋体" w:hAnsi="宋体" w:cs="宋体"/>
          <w:color w:val="auto"/>
        </w:rPr>
        <w:t>:根据以下维保质量总体评价要素及依据</w:t>
      </w:r>
      <w:r>
        <w:rPr>
          <w:rFonts w:hint="eastAsia" w:ascii="宋体" w:hAnsi="宋体" w:cs="宋体"/>
          <w:color w:val="auto"/>
        </w:rPr>
        <w:t>执行。</w:t>
      </w:r>
    </w:p>
    <w:p>
      <w:pPr>
        <w:tabs>
          <w:tab w:val="left" w:pos="397"/>
        </w:tabs>
        <w:spacing w:before="0" w:after="0" w:afterAutospacing="0"/>
        <w:ind w:left="481" w:leftChars="229" w:right="-28" w:firstLine="0"/>
        <w:rPr>
          <w:rFonts w:ascii="宋体" w:hAnsi="宋体" w:cs="宋体"/>
          <w:color w:val="auto"/>
        </w:rPr>
      </w:pPr>
      <w:r>
        <w:rPr>
          <w:rFonts w:hint="eastAsia" w:ascii="宋体" w:hAnsi="宋体" w:cs="宋体"/>
          <w:color w:val="auto"/>
        </w:rPr>
        <w:t>a.</w:t>
      </w:r>
      <w:r>
        <w:rPr>
          <w:rFonts w:ascii="宋体" w:hAnsi="宋体" w:cs="宋体"/>
          <w:color w:val="auto"/>
        </w:rPr>
        <w:t xml:space="preserve"> </w:t>
      </w:r>
      <w:r>
        <w:rPr>
          <w:rFonts w:hint="eastAsia" w:ascii="宋体" w:hAnsi="宋体"/>
          <w:color w:val="auto"/>
        </w:rPr>
        <w:t>1-5号线</w:t>
      </w:r>
      <w:r>
        <w:rPr>
          <w:rFonts w:ascii="宋体" w:hAnsi="宋体"/>
          <w:color w:val="auto"/>
        </w:rPr>
        <w:t>办公网交换机设备</w:t>
      </w:r>
      <w:r>
        <w:rPr>
          <w:rFonts w:hint="eastAsia" w:ascii="宋体" w:hAnsi="宋体" w:cs="宋体"/>
          <w:color w:val="auto"/>
        </w:rPr>
        <w:t>设施故障情况；</w:t>
      </w:r>
    </w:p>
    <w:p>
      <w:pPr>
        <w:tabs>
          <w:tab w:val="left" w:pos="397"/>
        </w:tabs>
        <w:spacing w:before="0" w:after="0" w:afterAutospacing="0"/>
        <w:ind w:left="1060" w:leftChars="218" w:right="-28" w:hanging="602" w:hangingChars="287"/>
        <w:rPr>
          <w:rFonts w:ascii="宋体" w:hAnsi="宋体" w:cs="宋体"/>
          <w:color w:val="auto"/>
        </w:rPr>
      </w:pPr>
      <w:r>
        <w:rPr>
          <w:rFonts w:hint="eastAsia" w:ascii="宋体" w:hAnsi="宋体" w:cs="宋体"/>
          <w:color w:val="auto"/>
        </w:rPr>
        <w:t>b.</w:t>
      </w:r>
      <w:r>
        <w:rPr>
          <w:rFonts w:ascii="宋体" w:hAnsi="宋体" w:cs="宋体"/>
          <w:color w:val="auto"/>
        </w:rPr>
        <w:t xml:space="preserve"> </w:t>
      </w:r>
      <w:r>
        <w:rPr>
          <w:rFonts w:hint="eastAsia" w:ascii="宋体" w:hAnsi="宋体"/>
          <w:color w:val="auto"/>
        </w:rPr>
        <w:t>1-5号线</w:t>
      </w:r>
      <w:r>
        <w:rPr>
          <w:rFonts w:ascii="宋体" w:hAnsi="宋体"/>
          <w:color w:val="auto"/>
        </w:rPr>
        <w:t>办公网交换机设备</w:t>
      </w:r>
      <w:r>
        <w:rPr>
          <w:rFonts w:hint="eastAsia" w:ascii="宋体" w:hAnsi="宋体" w:cs="宋体"/>
          <w:color w:val="auto"/>
        </w:rPr>
        <w:t>设施维修及修复情况；</w:t>
      </w:r>
    </w:p>
    <w:p>
      <w:pPr>
        <w:tabs>
          <w:tab w:val="left" w:pos="397"/>
        </w:tabs>
        <w:spacing w:before="0" w:after="0" w:afterAutospacing="0"/>
        <w:ind w:left="481" w:leftChars="229" w:right="-28" w:firstLine="0"/>
        <w:rPr>
          <w:rFonts w:ascii="宋体" w:hAnsi="宋体" w:cs="宋体"/>
          <w:color w:val="auto"/>
        </w:rPr>
      </w:pPr>
      <w:r>
        <w:rPr>
          <w:rFonts w:hint="eastAsia" w:ascii="宋体" w:hAnsi="宋体" w:cs="宋体"/>
          <w:color w:val="auto"/>
        </w:rPr>
        <w:t>c.</w:t>
      </w:r>
      <w:r>
        <w:rPr>
          <w:rFonts w:hint="eastAsia" w:ascii="宋体" w:hAnsi="宋体"/>
          <w:color w:val="auto"/>
        </w:rPr>
        <w:t xml:space="preserve"> 1-5号线</w:t>
      </w:r>
      <w:r>
        <w:rPr>
          <w:rFonts w:ascii="宋体" w:hAnsi="宋体"/>
          <w:color w:val="auto"/>
        </w:rPr>
        <w:t>办公网交换机设备</w:t>
      </w:r>
      <w:r>
        <w:rPr>
          <w:rFonts w:hint="eastAsia" w:ascii="宋体" w:hAnsi="宋体" w:cs="宋体"/>
          <w:color w:val="auto"/>
        </w:rPr>
        <w:t>设施规范规定运行指标；</w:t>
      </w:r>
    </w:p>
    <w:p>
      <w:pPr>
        <w:tabs>
          <w:tab w:val="left" w:pos="397"/>
        </w:tabs>
        <w:spacing w:before="0" w:after="0" w:afterAutospacing="0"/>
        <w:ind w:left="481" w:leftChars="229" w:right="-28" w:firstLine="0"/>
        <w:rPr>
          <w:rFonts w:ascii="宋体" w:hAnsi="宋体" w:cs="宋体"/>
          <w:color w:val="auto"/>
        </w:rPr>
      </w:pPr>
      <w:r>
        <w:rPr>
          <w:rFonts w:hint="eastAsia" w:ascii="宋体" w:hAnsi="宋体" w:cs="宋体"/>
          <w:color w:val="auto"/>
        </w:rPr>
        <w:t>d.南宁轨道交通相关规章制度；</w:t>
      </w:r>
    </w:p>
    <w:p>
      <w:pPr>
        <w:tabs>
          <w:tab w:val="left" w:pos="397"/>
        </w:tabs>
        <w:spacing w:before="0" w:after="0" w:afterAutospacing="0"/>
        <w:ind w:left="481" w:leftChars="229" w:right="-28" w:firstLine="0"/>
        <w:rPr>
          <w:rFonts w:ascii="宋体" w:hAnsi="宋体" w:cs="宋体"/>
          <w:color w:val="auto"/>
        </w:rPr>
      </w:pPr>
      <w:r>
        <w:rPr>
          <w:rFonts w:hint="eastAsia" w:ascii="宋体" w:hAnsi="宋体" w:cs="宋体"/>
          <w:color w:val="auto"/>
        </w:rPr>
        <w:t>e.用户维保质量控制措施；</w:t>
      </w:r>
    </w:p>
    <w:p>
      <w:pPr>
        <w:tabs>
          <w:tab w:val="left" w:pos="397"/>
        </w:tabs>
        <w:spacing w:before="0" w:after="0" w:afterAutospacing="0"/>
        <w:ind w:left="481" w:leftChars="229" w:right="-28" w:firstLine="0"/>
        <w:rPr>
          <w:rFonts w:ascii="宋体" w:hAnsi="宋体" w:cs="宋体"/>
          <w:color w:val="auto"/>
        </w:rPr>
      </w:pPr>
      <w:r>
        <w:rPr>
          <w:rFonts w:hint="eastAsia" w:ascii="宋体" w:hAnsi="宋体" w:cs="宋体"/>
          <w:color w:val="auto"/>
        </w:rPr>
        <w:t>f</w:t>
      </w:r>
      <w:r>
        <w:rPr>
          <w:rFonts w:ascii="宋体" w:hAnsi="宋体" w:cs="宋体"/>
          <w:color w:val="auto"/>
        </w:rPr>
        <w:t>.</w:t>
      </w:r>
      <w:r>
        <w:rPr>
          <w:rFonts w:hint="eastAsia" w:ascii="宋体" w:hAnsi="宋体" w:cs="宋体"/>
          <w:color w:val="auto"/>
        </w:rPr>
        <w:t xml:space="preserve"> 用户需求书、招标文件、投标文件及合同相关条款.</w:t>
      </w:r>
    </w:p>
    <w:p>
      <w:pPr>
        <w:spacing w:before="0" w:after="0" w:afterAutospacing="0"/>
        <w:ind w:left="707" w:leftChars="200" w:right="-28" w:hanging="287" w:hangingChars="137"/>
        <w:rPr>
          <w:rFonts w:ascii="宋体" w:hAnsi="宋体"/>
          <w:color w:val="auto"/>
        </w:rPr>
      </w:pPr>
      <w:r>
        <w:rPr>
          <w:rFonts w:hint="eastAsia" w:ascii="宋体" w:hAnsi="宋体"/>
          <w:color w:val="auto"/>
        </w:rPr>
        <w:t>特别说明：</w:t>
      </w:r>
    </w:p>
    <w:p>
      <w:pPr>
        <w:widowControl w:val="0"/>
        <w:numPr>
          <w:ilvl w:val="0"/>
          <w:numId w:val="22"/>
        </w:numPr>
        <w:spacing w:before="0" w:after="0" w:afterAutospacing="0"/>
        <w:ind w:right="0"/>
        <w:rPr>
          <w:rFonts w:ascii="宋体" w:hAnsi="宋体"/>
          <w:color w:val="auto"/>
        </w:rPr>
      </w:pPr>
      <w:r>
        <w:rPr>
          <w:rFonts w:hint="eastAsia" w:ascii="宋体" w:hAnsi="宋体"/>
          <w:color w:val="auto"/>
        </w:rPr>
        <w:t>一般故障：是指一般不能正常使用的情况及其他局部的异常情况。一般故障超过</w:t>
      </w:r>
      <w:r>
        <w:rPr>
          <w:rFonts w:ascii="宋体" w:hAnsi="宋体"/>
          <w:color w:val="auto"/>
        </w:rPr>
        <w:t>24小时不能修复按严重故障计。</w:t>
      </w:r>
    </w:p>
    <w:p>
      <w:pPr>
        <w:widowControl w:val="0"/>
        <w:numPr>
          <w:ilvl w:val="0"/>
          <w:numId w:val="22"/>
        </w:numPr>
        <w:spacing w:before="0" w:after="0" w:afterAutospacing="0"/>
        <w:ind w:right="0"/>
        <w:rPr>
          <w:rFonts w:ascii="宋体" w:hAnsi="宋体"/>
          <w:color w:val="auto"/>
        </w:rPr>
      </w:pPr>
      <w:r>
        <w:rPr>
          <w:rFonts w:hint="eastAsia" w:ascii="宋体" w:hAnsi="宋体"/>
          <w:color w:val="auto"/>
        </w:rPr>
        <w:t>严重故障：是指对乘客造成人身伤害、对设备正常运行影响大的故障。</w:t>
      </w:r>
    </w:p>
    <w:p>
      <w:pPr>
        <w:widowControl w:val="0"/>
        <w:numPr>
          <w:ilvl w:val="0"/>
          <w:numId w:val="22"/>
        </w:numPr>
        <w:spacing w:before="0" w:after="0" w:afterAutospacing="0"/>
        <w:ind w:right="0"/>
        <w:rPr>
          <w:rFonts w:ascii="宋体" w:hAnsi="宋体"/>
          <w:color w:val="auto"/>
        </w:rPr>
      </w:pPr>
      <w:r>
        <w:rPr>
          <w:rFonts w:hint="eastAsia" w:ascii="宋体" w:hAnsi="宋体"/>
          <w:color w:val="auto"/>
        </w:rPr>
        <w:t>未及时修复故障：比选申请人人员在运营时间及非运营时间内接报普通故障后在规定</w:t>
      </w:r>
      <w:r>
        <w:rPr>
          <w:rFonts w:ascii="宋体" w:hAnsi="宋体"/>
          <w:color w:val="auto"/>
        </w:rPr>
        <w:t>时间内</w:t>
      </w:r>
      <w:r>
        <w:rPr>
          <w:rFonts w:hint="eastAsia" w:ascii="宋体" w:hAnsi="宋体"/>
          <w:color w:val="auto"/>
        </w:rPr>
        <w:t>仍未修复的故障。</w:t>
      </w:r>
    </w:p>
    <w:p>
      <w:pPr>
        <w:widowControl w:val="0"/>
        <w:numPr>
          <w:ilvl w:val="0"/>
          <w:numId w:val="22"/>
        </w:numPr>
        <w:spacing w:before="0" w:after="0" w:afterAutospacing="0"/>
        <w:ind w:right="0"/>
        <w:rPr>
          <w:rFonts w:ascii="宋体" w:hAnsi="宋体"/>
          <w:color w:val="auto"/>
        </w:rPr>
      </w:pPr>
      <w:r>
        <w:rPr>
          <w:rFonts w:hint="eastAsia" w:ascii="宋体" w:hAnsi="宋体"/>
          <w:color w:val="auto"/>
        </w:rPr>
        <w:t>设备维护率：实际检修次数</w:t>
      </w:r>
      <w:r>
        <w:rPr>
          <w:rFonts w:ascii="宋体" w:hAnsi="宋体"/>
          <w:color w:val="auto"/>
        </w:rPr>
        <w:t>/计划检修次数*100%。</w:t>
      </w:r>
    </w:p>
    <w:p>
      <w:pPr>
        <w:spacing w:before="0" w:after="0" w:afterAutospacing="0"/>
        <w:ind w:left="707" w:leftChars="250" w:hanging="182" w:hangingChars="87"/>
        <w:rPr>
          <w:rFonts w:ascii="宋体" w:hAnsi="宋体"/>
          <w:color w:val="auto"/>
        </w:rPr>
      </w:pPr>
      <w:r>
        <w:rPr>
          <w:rFonts w:hint="eastAsia" w:ascii="宋体" w:hAnsi="宋体"/>
          <w:color w:val="auto"/>
        </w:rPr>
        <w:t>比选人会根据实际情况增加考核指标，具体以比选人最新要求为准。</w:t>
      </w:r>
    </w:p>
    <w:p>
      <w:pPr>
        <w:pStyle w:val="4"/>
        <w:spacing w:before="0" w:after="0" w:afterAutospacing="0"/>
        <w:ind w:left="0" w:leftChars="0" w:right="0" w:rightChars="0" w:firstLine="0"/>
        <w:rPr>
          <w:rFonts w:ascii="黑体" w:hAnsi="黑体" w:eastAsia="黑体"/>
          <w:color w:val="auto"/>
          <w:sz w:val="24"/>
          <w:szCs w:val="24"/>
        </w:rPr>
      </w:pPr>
      <w:bookmarkStart w:id="2245" w:name="_Toc148449389"/>
      <w:bookmarkStart w:id="2246" w:name="_Toc18205"/>
      <w:r>
        <w:rPr>
          <w:rFonts w:ascii="黑体" w:hAnsi="黑体" w:eastAsia="黑体"/>
          <w:color w:val="auto"/>
          <w:sz w:val="24"/>
          <w:szCs w:val="24"/>
        </w:rPr>
        <w:t>7项目计划性</w:t>
      </w:r>
      <w:r>
        <w:rPr>
          <w:rFonts w:hint="eastAsia" w:ascii="黑体" w:hAnsi="黑体" w:eastAsia="黑体"/>
          <w:color w:val="auto"/>
          <w:sz w:val="24"/>
          <w:szCs w:val="24"/>
        </w:rPr>
        <w:t>巡检管理</w:t>
      </w:r>
      <w:bookmarkEnd w:id="2245"/>
      <w:bookmarkEnd w:id="2246"/>
    </w:p>
    <w:p>
      <w:pPr>
        <w:spacing w:before="0" w:after="0" w:afterAutospacing="0"/>
        <w:ind w:left="0" w:right="0" w:firstLine="0"/>
        <w:outlineLvl w:val="1"/>
        <w:rPr>
          <w:b/>
          <w:color w:val="auto"/>
        </w:rPr>
      </w:pPr>
      <w:bookmarkStart w:id="2247" w:name="_Toc148449390"/>
      <w:bookmarkStart w:id="2248" w:name="_Toc16423"/>
      <w:r>
        <w:rPr>
          <w:b/>
          <w:color w:val="auto"/>
        </w:rPr>
        <w:t>7.1</w:t>
      </w:r>
      <w:r>
        <w:rPr>
          <w:rFonts w:hint="eastAsia"/>
          <w:b/>
          <w:color w:val="auto"/>
        </w:rPr>
        <w:t>巡检计划编制</w:t>
      </w:r>
      <w:bookmarkEnd w:id="2247"/>
      <w:bookmarkEnd w:id="2248"/>
    </w:p>
    <w:p>
      <w:pPr>
        <w:pStyle w:val="32"/>
        <w:spacing w:before="0" w:after="0" w:afterAutospacing="0"/>
        <w:ind w:left="0" w:leftChars="0" w:right="0" w:firstLine="0" w:firstLineChars="0"/>
        <w:outlineLvl w:val="2"/>
        <w:rPr>
          <w:rFonts w:ascii="宋体" w:hAnsi="宋体"/>
          <w:b/>
          <w:color w:val="auto"/>
        </w:rPr>
      </w:pPr>
      <w:r>
        <w:rPr>
          <w:rFonts w:ascii="宋体" w:hAnsi="宋体"/>
          <w:b/>
          <w:color w:val="auto"/>
        </w:rPr>
        <w:t>7.1.1</w:t>
      </w:r>
      <w:r>
        <w:rPr>
          <w:rFonts w:hint="eastAsia" w:ascii="宋体" w:hAnsi="宋体"/>
          <w:b/>
          <w:color w:val="auto"/>
        </w:rPr>
        <w:t>编制依据</w:t>
      </w:r>
    </w:p>
    <w:p>
      <w:pPr>
        <w:pStyle w:val="16"/>
        <w:spacing w:before="0" w:after="0" w:afterAutospacing="0"/>
        <w:ind w:left="0" w:right="0" w:firstLine="510"/>
        <w:rPr>
          <w:rFonts w:hAnsi="宋体"/>
          <w:color w:val="auto"/>
          <w:sz w:val="21"/>
          <w:szCs w:val="21"/>
        </w:rPr>
      </w:pPr>
      <w:r>
        <w:rPr>
          <w:rFonts w:hint="eastAsia" w:hAnsi="宋体"/>
          <w:color w:val="auto"/>
          <w:sz w:val="21"/>
          <w:szCs w:val="21"/>
        </w:rPr>
        <w:t>依据包括但不限于通号中心信息管理室设备系统年度巡检计划表、设备系统月度巡检计划表，可对</w:t>
      </w:r>
      <w:r>
        <w:rPr>
          <w:rFonts w:hAnsi="宋体"/>
          <w:color w:val="auto"/>
          <w:sz w:val="21"/>
          <w:szCs w:val="21"/>
        </w:rPr>
        <w:t>设备</w:t>
      </w:r>
      <w:r>
        <w:rPr>
          <w:rFonts w:hint="eastAsia" w:hAnsi="宋体"/>
          <w:color w:val="auto"/>
          <w:sz w:val="21"/>
          <w:szCs w:val="21"/>
        </w:rPr>
        <w:t>运行</w:t>
      </w:r>
      <w:r>
        <w:rPr>
          <w:rFonts w:hAnsi="宋体"/>
          <w:color w:val="auto"/>
          <w:sz w:val="21"/>
          <w:szCs w:val="21"/>
        </w:rPr>
        <w:t>情况</w:t>
      </w:r>
      <w:r>
        <w:rPr>
          <w:rFonts w:hint="eastAsia" w:hAnsi="宋体"/>
          <w:color w:val="auto"/>
          <w:sz w:val="21"/>
          <w:szCs w:val="21"/>
        </w:rPr>
        <w:t>及</w:t>
      </w:r>
      <w:r>
        <w:rPr>
          <w:rFonts w:hAnsi="宋体"/>
          <w:color w:val="auto"/>
          <w:sz w:val="21"/>
          <w:szCs w:val="21"/>
        </w:rPr>
        <w:t>巡检</w:t>
      </w:r>
      <w:r>
        <w:rPr>
          <w:rFonts w:hint="eastAsia" w:hAnsi="宋体"/>
          <w:color w:val="auto"/>
          <w:sz w:val="21"/>
          <w:szCs w:val="21"/>
        </w:rPr>
        <w:t>结果进行编制。</w:t>
      </w:r>
    </w:p>
    <w:p>
      <w:pPr>
        <w:pStyle w:val="32"/>
        <w:spacing w:before="0" w:after="0" w:afterAutospacing="0"/>
        <w:ind w:left="0" w:leftChars="0" w:right="0" w:firstLine="0" w:firstLineChars="0"/>
        <w:outlineLvl w:val="2"/>
        <w:rPr>
          <w:rFonts w:ascii="宋体" w:hAnsi="宋体"/>
          <w:b/>
          <w:color w:val="auto"/>
        </w:rPr>
      </w:pPr>
      <w:r>
        <w:rPr>
          <w:rFonts w:ascii="宋体" w:hAnsi="宋体"/>
          <w:b/>
          <w:color w:val="auto"/>
        </w:rPr>
        <w:t>7.1.2</w:t>
      </w:r>
      <w:r>
        <w:rPr>
          <w:rFonts w:hint="eastAsia" w:ascii="宋体" w:hAnsi="宋体"/>
          <w:b/>
          <w:color w:val="auto"/>
        </w:rPr>
        <w:t>计划编制</w:t>
      </w:r>
    </w:p>
    <w:p>
      <w:pPr>
        <w:pStyle w:val="16"/>
        <w:spacing w:before="0" w:after="0" w:afterAutospacing="0"/>
        <w:ind w:left="0" w:right="0" w:firstLine="510"/>
        <w:rPr>
          <w:rFonts w:hAnsi="宋体"/>
          <w:color w:val="auto"/>
        </w:rPr>
      </w:pPr>
      <w:r>
        <w:rPr>
          <w:rFonts w:hint="eastAsia" w:hAnsi="宋体"/>
          <w:color w:val="auto"/>
          <w:sz w:val="21"/>
          <w:szCs w:val="21"/>
        </w:rPr>
        <w:t>比选申请人根据通号中心信息管理室设备系统年度巡检计划表、设备系统月度巡检计划表，分解巡检计划，按照相关</w:t>
      </w:r>
      <w:r>
        <w:rPr>
          <w:rFonts w:hAnsi="宋体"/>
          <w:color w:val="auto"/>
          <w:sz w:val="21"/>
          <w:szCs w:val="21"/>
        </w:rPr>
        <w:t>计划</w:t>
      </w:r>
      <w:r>
        <w:rPr>
          <w:rFonts w:hint="eastAsia" w:hAnsi="宋体"/>
          <w:color w:val="auto"/>
          <w:sz w:val="21"/>
          <w:szCs w:val="21"/>
        </w:rPr>
        <w:t>开展检修作业。比选人根据巡检计划，进行监控及抽查。</w:t>
      </w:r>
    </w:p>
    <w:p>
      <w:pPr>
        <w:spacing w:before="0" w:after="0" w:afterAutospacing="0"/>
        <w:ind w:left="0" w:right="0" w:firstLine="0"/>
        <w:outlineLvl w:val="1"/>
        <w:rPr>
          <w:b/>
          <w:color w:val="auto"/>
        </w:rPr>
      </w:pPr>
      <w:bookmarkStart w:id="2249" w:name="_Toc148449391"/>
      <w:bookmarkStart w:id="2250" w:name="_Toc28941"/>
      <w:r>
        <w:rPr>
          <w:b/>
          <w:color w:val="auto"/>
        </w:rPr>
        <w:t>7.2</w:t>
      </w:r>
      <w:r>
        <w:rPr>
          <w:rFonts w:hint="eastAsia"/>
          <w:b/>
          <w:color w:val="auto"/>
        </w:rPr>
        <w:t>巡检计划申报</w:t>
      </w:r>
      <w:bookmarkEnd w:id="2249"/>
      <w:bookmarkEnd w:id="2250"/>
    </w:p>
    <w:p>
      <w:pPr>
        <w:pStyle w:val="16"/>
        <w:spacing w:before="0" w:after="0" w:afterAutospacing="0"/>
        <w:ind w:left="0" w:right="0" w:firstLine="510"/>
        <w:rPr>
          <w:rFonts w:hAnsi="宋体"/>
          <w:color w:val="auto"/>
          <w:sz w:val="21"/>
          <w:szCs w:val="21"/>
        </w:rPr>
      </w:pPr>
      <w:r>
        <w:rPr>
          <w:rFonts w:hint="eastAsia" w:hAnsi="宋体"/>
          <w:color w:val="auto"/>
          <w:sz w:val="21"/>
          <w:szCs w:val="21"/>
        </w:rPr>
        <w:t>比选申请人编制设备巡检计划后，提交比选人的本项目管理部门审核，以便于比选人掌握与监控作业。</w:t>
      </w:r>
    </w:p>
    <w:p>
      <w:pPr>
        <w:pStyle w:val="16"/>
        <w:spacing w:before="0" w:after="0" w:afterAutospacing="0"/>
        <w:ind w:left="0" w:right="0" w:firstLine="510"/>
        <w:rPr>
          <w:color w:val="auto"/>
        </w:rPr>
      </w:pPr>
      <w:r>
        <w:rPr>
          <w:rFonts w:hint="eastAsia" w:hAnsi="宋体"/>
          <w:color w:val="auto"/>
          <w:sz w:val="21"/>
          <w:szCs w:val="21"/>
        </w:rPr>
        <w:t>如需要开展重点监控作业时，比选申请人根据比选人关于重点监控作业级别（公司级、中心级）的相关要求及流程，准备相关材料提交比选人，经比选人审核审批后，比选申请人根据重点监控作业相关流程开展施工作业及监控。</w:t>
      </w:r>
    </w:p>
    <w:p>
      <w:pPr>
        <w:spacing w:before="0" w:after="0" w:afterAutospacing="0"/>
        <w:ind w:left="0" w:right="0" w:firstLine="0"/>
        <w:outlineLvl w:val="1"/>
        <w:rPr>
          <w:b/>
          <w:color w:val="auto"/>
        </w:rPr>
      </w:pPr>
      <w:bookmarkStart w:id="2251" w:name="_Toc1853"/>
      <w:bookmarkStart w:id="2252" w:name="_Toc148449392"/>
      <w:r>
        <w:rPr>
          <w:b/>
          <w:color w:val="auto"/>
        </w:rPr>
        <w:t>7.3</w:t>
      </w:r>
      <w:r>
        <w:rPr>
          <w:rFonts w:hint="eastAsia"/>
          <w:b/>
          <w:color w:val="auto"/>
        </w:rPr>
        <w:t>巡检作业要求</w:t>
      </w:r>
      <w:bookmarkEnd w:id="2251"/>
      <w:bookmarkEnd w:id="2252"/>
    </w:p>
    <w:p>
      <w:pPr>
        <w:pStyle w:val="16"/>
        <w:spacing w:before="0" w:after="0" w:afterAutospacing="0"/>
        <w:ind w:left="0" w:right="0" w:firstLine="510"/>
        <w:rPr>
          <w:rFonts w:hAnsi="宋体"/>
          <w:color w:val="auto"/>
        </w:rPr>
      </w:pPr>
      <w:r>
        <w:rPr>
          <w:rFonts w:hAnsi="宋体"/>
          <w:color w:val="auto"/>
          <w:sz w:val="21"/>
          <w:szCs w:val="21"/>
        </w:rPr>
        <w:t>7.</w:t>
      </w:r>
      <w:r>
        <w:rPr>
          <w:rFonts w:hint="eastAsia" w:hAnsi="宋体"/>
          <w:color w:val="auto"/>
          <w:sz w:val="21"/>
          <w:szCs w:val="21"/>
        </w:rPr>
        <w:t>3</w:t>
      </w:r>
      <w:r>
        <w:rPr>
          <w:rFonts w:hAnsi="宋体"/>
          <w:color w:val="auto"/>
          <w:sz w:val="21"/>
          <w:szCs w:val="21"/>
        </w:rPr>
        <w:t>.1</w:t>
      </w:r>
      <w:r>
        <w:rPr>
          <w:rFonts w:hint="eastAsia" w:hAnsi="宋体"/>
          <w:color w:val="auto"/>
          <w:sz w:val="21"/>
          <w:szCs w:val="21"/>
        </w:rPr>
        <w:t>比选申请人必须牢固树立“安全第一、预防为主”的思想，严格按照申请人《运营有限公司设备委外维修施工组织管理办法》《运营有限公司施工管理规定》《运营有限公司作业通用安全实施守则》等文件的要求进行施工及巡检作业，掌握、严守申请人制定的相关安全生产规章制度、员工通用安全守则、行车组织规则及员工安全守则等各项规章制度。</w:t>
      </w:r>
    </w:p>
    <w:p>
      <w:pPr>
        <w:pStyle w:val="16"/>
        <w:spacing w:before="0" w:after="0" w:afterAutospacing="0"/>
        <w:ind w:left="0" w:right="0" w:firstLine="510"/>
        <w:rPr>
          <w:rFonts w:hAnsi="宋体"/>
          <w:color w:val="auto"/>
        </w:rPr>
      </w:pPr>
      <w:r>
        <w:rPr>
          <w:rFonts w:hAnsi="宋体"/>
          <w:color w:val="auto"/>
          <w:sz w:val="21"/>
          <w:szCs w:val="21"/>
        </w:rPr>
        <w:t>7.</w:t>
      </w:r>
      <w:r>
        <w:rPr>
          <w:rFonts w:hint="eastAsia" w:hAnsi="宋体"/>
          <w:color w:val="auto"/>
          <w:sz w:val="21"/>
          <w:szCs w:val="21"/>
        </w:rPr>
        <w:t>3</w:t>
      </w:r>
      <w:r>
        <w:rPr>
          <w:rFonts w:hAnsi="宋体"/>
          <w:color w:val="auto"/>
          <w:sz w:val="21"/>
          <w:szCs w:val="21"/>
        </w:rPr>
        <w:t>.2</w:t>
      </w:r>
      <w:r>
        <w:rPr>
          <w:rFonts w:hint="eastAsia" w:hAnsi="宋体"/>
          <w:color w:val="auto"/>
          <w:sz w:val="21"/>
          <w:szCs w:val="21"/>
        </w:rPr>
        <w:t>比选申请人必须服从比选人的管理，按照申请人的相关要求进行巡检，确保按质、按量地完成工作；对于比选人认为确须紧急处理的紧急故障，比选申请人应该按照“无条件、即时性、高效性”的原则处理完成。在紧急情况下，因比选申请人未及时响应比选人要求，比选人保留另行处理的权力，因此造成的费用由比选申请人承担。</w:t>
      </w:r>
    </w:p>
    <w:p>
      <w:pPr>
        <w:pStyle w:val="16"/>
        <w:spacing w:before="0" w:after="0" w:afterAutospacing="0"/>
        <w:ind w:left="0" w:right="0" w:firstLine="510"/>
        <w:rPr>
          <w:rFonts w:hAnsi="宋体"/>
          <w:color w:val="auto"/>
        </w:rPr>
      </w:pPr>
      <w:r>
        <w:rPr>
          <w:rFonts w:hint="eastAsia" w:hAnsi="宋体"/>
          <w:color w:val="auto"/>
          <w:sz w:val="21"/>
          <w:szCs w:val="21"/>
        </w:rPr>
        <w:t>7.3.3比选申请人必须确保按照项目范围中设备巡检周期与工作内容的要求及比选人对指定设备设施所提出的巡检要求进行相关的检修作业，并按照相关规定要求，填写相关记录.</w:t>
      </w:r>
    </w:p>
    <w:p>
      <w:pPr>
        <w:pStyle w:val="16"/>
        <w:spacing w:before="0" w:after="0" w:afterAutospacing="0"/>
        <w:ind w:left="0" w:right="0" w:firstLine="510"/>
        <w:rPr>
          <w:rFonts w:hAnsi="宋体"/>
          <w:color w:val="auto"/>
        </w:rPr>
      </w:pPr>
      <w:r>
        <w:rPr>
          <w:rFonts w:hAnsi="宋体"/>
          <w:color w:val="auto"/>
          <w:sz w:val="21"/>
          <w:szCs w:val="21"/>
        </w:rPr>
        <w:t>7.</w:t>
      </w:r>
      <w:r>
        <w:rPr>
          <w:rFonts w:hint="eastAsia" w:hAnsi="宋体"/>
          <w:color w:val="auto"/>
          <w:sz w:val="21"/>
          <w:szCs w:val="21"/>
        </w:rPr>
        <w:t>3</w:t>
      </w:r>
      <w:r>
        <w:rPr>
          <w:rFonts w:hAnsi="宋体"/>
          <w:color w:val="auto"/>
          <w:sz w:val="21"/>
          <w:szCs w:val="21"/>
        </w:rPr>
        <w:t>.4</w:t>
      </w:r>
      <w:r>
        <w:rPr>
          <w:rFonts w:hint="eastAsia" w:hAnsi="宋体"/>
          <w:color w:val="auto"/>
          <w:sz w:val="21"/>
          <w:szCs w:val="21"/>
        </w:rPr>
        <w:t>比选申请人应本着“实事求是、节约成本”的原则和态度对</w:t>
      </w:r>
      <w:r>
        <w:rPr>
          <w:rFonts w:hAnsi="宋体"/>
          <w:color w:val="auto"/>
          <w:sz w:val="21"/>
          <w:szCs w:val="21"/>
        </w:rPr>
        <w:t>1</w:t>
      </w:r>
      <w:r>
        <w:rPr>
          <w:rFonts w:hint="eastAsia" w:hAnsi="宋体"/>
          <w:color w:val="auto"/>
          <w:sz w:val="21"/>
          <w:szCs w:val="21"/>
        </w:rPr>
        <w:t>-5</w:t>
      </w:r>
      <w:r>
        <w:rPr>
          <w:rFonts w:hAnsi="宋体"/>
          <w:color w:val="auto"/>
          <w:sz w:val="21"/>
          <w:szCs w:val="21"/>
        </w:rPr>
        <w:t>号线</w:t>
      </w:r>
      <w:r>
        <w:rPr>
          <w:rFonts w:hint="eastAsia" w:hAnsi="宋体"/>
          <w:color w:val="auto"/>
          <w:sz w:val="21"/>
          <w:szCs w:val="21"/>
        </w:rPr>
        <w:t>办公网交换机</w:t>
      </w:r>
      <w:r>
        <w:rPr>
          <w:rFonts w:hAnsi="宋体"/>
          <w:color w:val="auto"/>
          <w:sz w:val="21"/>
          <w:szCs w:val="21"/>
        </w:rPr>
        <w:t>设备设施进行维修维护工作。针对具体的故障，采取切实可行的办法进行处理，坚决杜绝夸大故障、浪费成本、敷衍了事现象的出现，切实维护合同双方的利益。</w:t>
      </w:r>
    </w:p>
    <w:p>
      <w:pPr>
        <w:spacing w:before="0" w:after="0" w:afterAutospacing="0"/>
        <w:ind w:left="0" w:right="0" w:firstLine="0"/>
        <w:outlineLvl w:val="1"/>
        <w:rPr>
          <w:b/>
          <w:color w:val="auto"/>
        </w:rPr>
      </w:pPr>
      <w:bookmarkStart w:id="2253" w:name="_Toc148449393"/>
      <w:bookmarkStart w:id="2254" w:name="_Toc16885"/>
      <w:r>
        <w:rPr>
          <w:b/>
          <w:color w:val="auto"/>
        </w:rPr>
        <w:t>7.4</w:t>
      </w:r>
      <w:r>
        <w:rPr>
          <w:rFonts w:hint="eastAsia"/>
          <w:b/>
          <w:color w:val="auto"/>
        </w:rPr>
        <w:t>巡检计划实施</w:t>
      </w:r>
      <w:bookmarkEnd w:id="2253"/>
      <w:bookmarkEnd w:id="2254"/>
    </w:p>
    <w:p>
      <w:pPr>
        <w:pStyle w:val="16"/>
        <w:spacing w:before="0" w:after="0" w:afterAutospacing="0"/>
        <w:ind w:left="0" w:right="0" w:firstLine="510"/>
        <w:rPr>
          <w:color w:val="auto"/>
        </w:rPr>
      </w:pPr>
      <w:r>
        <w:rPr>
          <w:rFonts w:hint="eastAsia" w:hAnsi="宋体"/>
          <w:color w:val="auto"/>
          <w:sz w:val="21"/>
          <w:szCs w:val="21"/>
        </w:rPr>
        <w:t>比选申请人按照比选人审核通过的巡检计划表开展巡检工作。</w:t>
      </w:r>
    </w:p>
    <w:p>
      <w:pPr>
        <w:spacing w:before="0" w:after="0" w:afterAutospacing="0"/>
        <w:ind w:left="0" w:right="0" w:firstLine="0"/>
        <w:outlineLvl w:val="1"/>
        <w:rPr>
          <w:b/>
          <w:color w:val="auto"/>
        </w:rPr>
      </w:pPr>
      <w:bookmarkStart w:id="2255" w:name="_Toc21096"/>
      <w:bookmarkStart w:id="2256" w:name="_Toc148449394"/>
      <w:r>
        <w:rPr>
          <w:b/>
          <w:color w:val="auto"/>
        </w:rPr>
        <w:t>7.5</w:t>
      </w:r>
      <w:r>
        <w:rPr>
          <w:rFonts w:hint="eastAsia"/>
          <w:b/>
          <w:color w:val="auto"/>
        </w:rPr>
        <w:t>巡检记录及报告</w:t>
      </w:r>
      <w:bookmarkEnd w:id="2255"/>
      <w:bookmarkEnd w:id="2256"/>
    </w:p>
    <w:p>
      <w:pPr>
        <w:pStyle w:val="32"/>
        <w:spacing w:before="0" w:after="0" w:afterAutospacing="0"/>
        <w:ind w:left="0" w:leftChars="0" w:right="0" w:firstLine="0" w:firstLineChars="0"/>
        <w:jc w:val="center"/>
        <w:rPr>
          <w:rFonts w:ascii="宋体" w:hAnsi="宋体"/>
          <w:color w:val="auto"/>
        </w:rPr>
      </w:pPr>
      <w:r>
        <w:rPr>
          <w:rFonts w:hint="eastAsia" w:ascii="宋体" w:hAnsi="宋体"/>
          <w:color w:val="auto"/>
        </w:rPr>
        <w:t>表格6 巡检记录及报告</w:t>
      </w:r>
    </w:p>
    <w:tbl>
      <w:tblPr>
        <w:tblStyle w:val="33"/>
        <w:tblW w:w="8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134"/>
        <w:gridCol w:w="1276"/>
        <w:gridCol w:w="2835"/>
        <w:gridCol w:w="1725"/>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rPr>
                <w:rFonts w:hint="default" w:ascii="宋体" w:hAnsi="宋体" w:cs="宋体"/>
                <w:color w:val="auto"/>
              </w:rPr>
            </w:pPr>
            <w:r>
              <w:rPr>
                <w:rFonts w:hint="eastAsia" w:ascii="宋体" w:hAnsi="宋体" w:cs="宋体"/>
                <w:color w:val="auto"/>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rPr>
            </w:pPr>
            <w:r>
              <w:rPr>
                <w:rFonts w:hint="eastAsia" w:ascii="宋体" w:hAnsi="宋体" w:cs="宋体"/>
                <w:color w:val="auto"/>
              </w:rPr>
              <w:t>巡检工作</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rPr>
            </w:pPr>
            <w:r>
              <w:rPr>
                <w:rFonts w:hint="eastAsia" w:ascii="宋体" w:hAnsi="宋体" w:cs="宋体"/>
                <w:color w:val="auto"/>
              </w:rPr>
              <w:t>报告/记录</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rPr>
            </w:pPr>
            <w:r>
              <w:rPr>
                <w:rFonts w:hint="eastAsia" w:ascii="宋体" w:hAnsi="宋体" w:cs="宋体"/>
                <w:color w:val="auto"/>
              </w:rPr>
              <w:t>主要内容</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rPr>
            </w:pPr>
            <w:r>
              <w:rPr>
                <w:rFonts w:hint="eastAsia" w:ascii="宋体" w:hAnsi="宋体" w:cs="宋体"/>
                <w:color w:val="auto"/>
              </w:rPr>
              <w:t>提交时间</w:t>
            </w:r>
          </w:p>
        </w:tc>
        <w:tc>
          <w:tcPr>
            <w:tcW w:w="12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rPr>
                <w:rFonts w:hint="default" w:ascii="宋体" w:hAnsi="宋体" w:cs="宋体"/>
                <w:color w:val="auto"/>
              </w:rPr>
            </w:pPr>
            <w:r>
              <w:rPr>
                <w:rFonts w:hint="eastAsia" w:ascii="宋体" w:hAnsi="宋体" w:cs="宋体"/>
                <w:bCs/>
                <w:color w:val="auto"/>
              </w:rPr>
              <w:t>报告/记录递交形式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bCs/>
                <w:color w:val="auto"/>
              </w:rPr>
            </w:pPr>
            <w:r>
              <w:rPr>
                <w:rFonts w:hint="eastAsia" w:ascii="宋体" w:hAnsi="宋体" w:cs="宋体"/>
                <w:bCs/>
                <w:color w:val="auto"/>
              </w:rPr>
              <w:t>1</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rPr>
                <w:rFonts w:hint="default" w:ascii="宋体" w:hAnsi="宋体" w:cs="宋体"/>
                <w:bCs/>
                <w:color w:val="auto"/>
              </w:rPr>
            </w:pPr>
            <w:r>
              <w:rPr>
                <w:rFonts w:hint="eastAsia" w:ascii="宋体" w:hAnsi="宋体" w:cs="宋体"/>
                <w:bCs/>
                <w:color w:val="auto"/>
              </w:rPr>
              <w:t>核心交换机月检</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rPr>
                <w:rFonts w:hint="default" w:ascii="宋体" w:hAnsi="宋体" w:eastAsia="Times New Roman" w:cs="宋体"/>
                <w:bCs/>
                <w:color w:val="auto"/>
              </w:rPr>
            </w:pPr>
            <w:r>
              <w:rPr>
                <w:rFonts w:hint="eastAsia" w:ascii="宋体" w:hAnsi="宋体" w:cs="宋体"/>
                <w:bCs/>
                <w:color w:val="auto"/>
              </w:rPr>
              <w:t>月检工作报告</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numPr>
                <w:ilvl w:val="0"/>
                <w:numId w:val="23"/>
              </w:numPr>
              <w:suppressLineNumbers w:val="0"/>
              <w:spacing w:before="0" w:beforeAutospacing="0" w:after="0" w:afterAutospacing="0" w:line="240" w:lineRule="auto"/>
              <w:ind w:left="0" w:right="0" w:firstLine="0"/>
              <w:jc w:val="left"/>
              <w:rPr>
                <w:rFonts w:hint="default" w:ascii="宋体" w:hAnsi="宋体" w:cs="宋体"/>
                <w:bCs/>
                <w:color w:val="auto"/>
              </w:rPr>
            </w:pPr>
            <w:r>
              <w:rPr>
                <w:rFonts w:hint="eastAsia" w:ascii="宋体" w:hAnsi="宋体" w:cs="宋体"/>
                <w:bCs/>
                <w:color w:val="auto"/>
              </w:rPr>
              <w:t>巡检计划表；</w:t>
            </w:r>
          </w:p>
          <w:p>
            <w:pPr>
              <w:keepNext w:val="0"/>
              <w:keepLines w:val="0"/>
              <w:widowControl w:val="0"/>
              <w:numPr>
                <w:ilvl w:val="0"/>
                <w:numId w:val="23"/>
              </w:numPr>
              <w:suppressLineNumbers w:val="0"/>
              <w:spacing w:before="0" w:beforeAutospacing="0" w:after="0" w:afterAutospacing="0" w:line="240" w:lineRule="auto"/>
              <w:ind w:left="0" w:right="0" w:firstLine="0"/>
              <w:jc w:val="left"/>
              <w:rPr>
                <w:rFonts w:hint="default" w:ascii="宋体" w:hAnsi="宋体" w:eastAsia="Times New Roman" w:cs="宋体"/>
                <w:bCs/>
                <w:color w:val="auto"/>
              </w:rPr>
            </w:pPr>
            <w:r>
              <w:rPr>
                <w:rFonts w:hint="eastAsia" w:ascii="宋体" w:hAnsi="宋体" w:cs="宋体"/>
                <w:bCs/>
                <w:color w:val="auto"/>
              </w:rPr>
              <w:t>巡检记录表；</w:t>
            </w:r>
          </w:p>
          <w:p>
            <w:pPr>
              <w:keepNext w:val="0"/>
              <w:keepLines w:val="0"/>
              <w:widowControl w:val="0"/>
              <w:numPr>
                <w:ilvl w:val="0"/>
                <w:numId w:val="23"/>
              </w:numPr>
              <w:suppressLineNumbers w:val="0"/>
              <w:spacing w:before="0" w:beforeAutospacing="0" w:after="0" w:afterAutospacing="0" w:line="240" w:lineRule="auto"/>
              <w:ind w:left="0" w:right="0" w:firstLine="0"/>
              <w:jc w:val="left"/>
              <w:rPr>
                <w:rFonts w:hint="default" w:ascii="宋体" w:hAnsi="宋体" w:eastAsia="Times New Roman" w:cs="宋体"/>
                <w:bCs/>
                <w:color w:val="auto"/>
              </w:rPr>
            </w:pPr>
            <w:r>
              <w:rPr>
                <w:rFonts w:hint="eastAsia" w:ascii="宋体" w:hAnsi="宋体" w:cs="宋体"/>
                <w:bCs/>
                <w:color w:val="auto"/>
              </w:rPr>
              <w:t>设备状态检查；</w:t>
            </w:r>
          </w:p>
          <w:p>
            <w:pPr>
              <w:keepNext w:val="0"/>
              <w:keepLines w:val="0"/>
              <w:widowControl w:val="0"/>
              <w:numPr>
                <w:ilvl w:val="0"/>
                <w:numId w:val="23"/>
              </w:numPr>
              <w:suppressLineNumbers w:val="0"/>
              <w:spacing w:before="0" w:beforeAutospacing="0" w:after="0" w:afterAutospacing="0" w:line="240" w:lineRule="auto"/>
              <w:ind w:left="0" w:right="0" w:firstLine="0"/>
              <w:jc w:val="left"/>
              <w:rPr>
                <w:rFonts w:hint="default" w:ascii="宋体" w:hAnsi="宋体" w:cs="宋体"/>
                <w:bCs/>
                <w:color w:val="auto"/>
              </w:rPr>
            </w:pPr>
            <w:r>
              <w:rPr>
                <w:rFonts w:hint="eastAsia" w:ascii="宋体" w:hAnsi="宋体" w:cs="宋体"/>
                <w:bCs/>
                <w:color w:val="auto"/>
              </w:rPr>
              <w:t>巡检存在问题及整改措施等。</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bCs/>
                <w:color w:val="auto"/>
              </w:rPr>
            </w:pPr>
            <w:r>
              <w:rPr>
                <w:rFonts w:hint="eastAsia" w:ascii="宋体" w:hAnsi="宋体" w:cs="宋体"/>
                <w:bCs/>
                <w:color w:val="auto"/>
              </w:rPr>
              <w:t>当次月检后</w:t>
            </w:r>
          </w:p>
          <w:p>
            <w:pPr>
              <w:keepNext w:val="0"/>
              <w:keepLines w:val="0"/>
              <w:widowControl/>
              <w:suppressLineNumbers w:val="0"/>
              <w:spacing w:before="0" w:beforeAutospacing="0" w:after="0" w:afterAutospacing="0" w:line="240" w:lineRule="auto"/>
              <w:jc w:val="center"/>
              <w:rPr>
                <w:rFonts w:hint="default" w:ascii="宋体" w:hAnsi="宋体" w:eastAsia="Times New Roman" w:cs="宋体"/>
                <w:bCs/>
                <w:color w:val="auto"/>
              </w:rPr>
            </w:pPr>
            <w:r>
              <w:rPr>
                <w:rFonts w:hint="eastAsia" w:ascii="宋体" w:hAnsi="宋体" w:cs="宋体"/>
                <w:bCs/>
                <w:color w:val="auto"/>
              </w:rPr>
              <w:t>一周内</w:t>
            </w:r>
          </w:p>
        </w:tc>
        <w:tc>
          <w:tcPr>
            <w:tcW w:w="12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rPr>
                <w:rFonts w:hint="default" w:ascii="宋体" w:hAnsi="宋体" w:eastAsia="Times New Roman" w:cs="宋体"/>
                <w:bCs/>
                <w:color w:val="auto"/>
              </w:rPr>
            </w:pPr>
            <w:r>
              <w:rPr>
                <w:rFonts w:hint="eastAsia" w:ascii="宋体" w:hAnsi="宋体" w:cs="宋体"/>
                <w:bCs/>
                <w:color w:val="auto"/>
              </w:rPr>
              <w:t>正式纸质发文/电子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eastAsia="Times New Roman" w:cs="宋体"/>
                <w:bCs/>
                <w:color w:val="auto"/>
              </w:rPr>
            </w:pPr>
            <w:r>
              <w:rPr>
                <w:rFonts w:hint="eastAsia" w:ascii="宋体" w:hAnsi="宋体" w:cs="宋体"/>
                <w:bCs/>
                <w:color w:val="auto"/>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rPr>
                <w:rFonts w:hint="default" w:ascii="宋体" w:hAnsi="宋体" w:eastAsia="Times New Roman" w:cs="宋体"/>
                <w:bCs/>
                <w:color w:val="auto"/>
              </w:rPr>
            </w:pPr>
            <w:r>
              <w:rPr>
                <w:rFonts w:hint="default" w:ascii="宋体" w:hAnsi="宋体" w:cs="宋体"/>
                <w:bCs/>
                <w:color w:val="auto"/>
              </w:rPr>
              <w:t>网络系统运行调查与分析</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rPr>
                <w:rFonts w:hint="default" w:ascii="宋体" w:hAnsi="宋体" w:eastAsia="Times New Roman" w:cs="宋体"/>
                <w:bCs/>
                <w:color w:val="auto"/>
              </w:rPr>
            </w:pPr>
            <w:r>
              <w:rPr>
                <w:rFonts w:hint="default" w:ascii="宋体" w:hAnsi="宋体" w:cs="宋体"/>
                <w:bCs/>
                <w:color w:val="auto"/>
              </w:rPr>
              <w:t>网络系统运行调查与分析</w:t>
            </w:r>
            <w:r>
              <w:rPr>
                <w:rFonts w:hint="eastAsia" w:ascii="宋体" w:hAnsi="宋体" w:cs="宋体"/>
                <w:bCs/>
                <w:color w:val="auto"/>
              </w:rPr>
              <w:t>年度报告</w:t>
            </w:r>
          </w:p>
        </w:tc>
        <w:tc>
          <w:tcPr>
            <w:tcW w:w="2835" w:type="dxa"/>
            <w:tcBorders>
              <w:top w:val="single" w:color="auto" w:sz="4" w:space="0"/>
              <w:left w:val="single" w:color="auto" w:sz="4" w:space="0"/>
              <w:bottom w:val="single" w:color="auto" w:sz="4" w:space="0"/>
              <w:right w:val="single" w:color="auto" w:sz="4" w:space="0"/>
            </w:tcBorders>
            <w:vAlign w:val="center"/>
          </w:tcPr>
          <w:p>
            <w:pPr>
              <w:pStyle w:val="41"/>
              <w:keepNext w:val="0"/>
              <w:keepLines w:val="0"/>
              <w:widowControl w:val="0"/>
              <w:numPr>
                <w:ilvl w:val="0"/>
                <w:numId w:val="24"/>
              </w:numPr>
              <w:suppressLineNumbers w:val="0"/>
              <w:spacing w:before="0" w:beforeAutospacing="0" w:after="0" w:afterAutospacing="0" w:line="240" w:lineRule="auto"/>
              <w:ind w:right="0"/>
              <w:jc w:val="left"/>
              <w:rPr>
                <w:rFonts w:hint="default" w:ascii="宋体" w:hAnsi="宋体" w:cs="宋体"/>
                <w:bCs/>
                <w:color w:val="auto"/>
              </w:rPr>
            </w:pPr>
            <w:r>
              <w:rPr>
                <w:rFonts w:hint="eastAsia" w:ascii="宋体" w:hAnsi="宋体" w:cs="宋体"/>
                <w:bCs/>
                <w:color w:val="auto"/>
              </w:rPr>
              <w:t>检查问题汇总；</w:t>
            </w:r>
          </w:p>
          <w:p>
            <w:pPr>
              <w:keepNext w:val="0"/>
              <w:keepLines w:val="0"/>
              <w:widowControl w:val="0"/>
              <w:numPr>
                <w:ilvl w:val="0"/>
                <w:numId w:val="24"/>
              </w:numPr>
              <w:suppressLineNumbers w:val="0"/>
              <w:spacing w:before="0" w:beforeAutospacing="0" w:after="0" w:afterAutospacing="0" w:line="240" w:lineRule="auto"/>
              <w:ind w:right="0"/>
              <w:jc w:val="left"/>
              <w:rPr>
                <w:rFonts w:hint="default" w:ascii="宋体" w:hAnsi="宋体" w:cs="宋体"/>
                <w:bCs/>
                <w:color w:val="auto"/>
              </w:rPr>
            </w:pPr>
            <w:r>
              <w:rPr>
                <w:rFonts w:hint="eastAsia" w:ascii="宋体" w:hAnsi="宋体" w:cs="宋体"/>
                <w:bCs/>
                <w:color w:val="auto"/>
              </w:rPr>
              <w:t>网络系统现状分析；</w:t>
            </w:r>
          </w:p>
          <w:p>
            <w:pPr>
              <w:keepNext w:val="0"/>
              <w:keepLines w:val="0"/>
              <w:widowControl w:val="0"/>
              <w:numPr>
                <w:ilvl w:val="0"/>
                <w:numId w:val="24"/>
              </w:numPr>
              <w:suppressLineNumbers w:val="0"/>
              <w:spacing w:before="0" w:beforeAutospacing="0" w:after="0" w:afterAutospacing="0" w:line="240" w:lineRule="auto"/>
              <w:ind w:right="0"/>
              <w:jc w:val="left"/>
              <w:rPr>
                <w:rFonts w:hint="default"/>
                <w:color w:val="auto"/>
              </w:rPr>
            </w:pPr>
            <w:r>
              <w:rPr>
                <w:rFonts w:hint="eastAsia" w:ascii="宋体" w:hAnsi="宋体" w:cs="宋体"/>
                <w:bCs/>
                <w:color w:val="auto"/>
              </w:rPr>
              <w:t>网络系统优化需求分析。</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rPr>
            </w:pPr>
            <w:r>
              <w:rPr>
                <w:rFonts w:hint="eastAsia" w:ascii="宋体" w:hAnsi="宋体" w:cs="宋体"/>
                <w:bCs/>
                <w:color w:val="auto"/>
              </w:rPr>
              <w:t>服务期满后一周内</w:t>
            </w:r>
          </w:p>
        </w:tc>
        <w:tc>
          <w:tcPr>
            <w:tcW w:w="12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rPr>
                <w:rFonts w:hint="default" w:ascii="宋体" w:hAnsi="宋体" w:eastAsia="Times New Roman" w:cs="宋体"/>
                <w:bCs/>
                <w:color w:val="auto"/>
              </w:rPr>
            </w:pPr>
            <w:r>
              <w:rPr>
                <w:rFonts w:hint="eastAsia" w:ascii="宋体" w:hAnsi="宋体" w:cs="宋体"/>
                <w:bCs/>
                <w:color w:val="auto"/>
              </w:rPr>
              <w:t>正式纸质发文/电子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eastAsia="Times New Roman" w:cs="宋体"/>
                <w:bCs/>
                <w:color w:val="auto"/>
              </w:rPr>
            </w:pPr>
            <w:r>
              <w:rPr>
                <w:rFonts w:hint="eastAsia" w:ascii="宋体" w:hAnsi="宋体" w:cs="宋体"/>
                <w:bCs/>
                <w:color w:val="auto"/>
              </w:rPr>
              <w:t>3</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rPr>
                <w:rFonts w:hint="default" w:ascii="宋体" w:hAnsi="宋体" w:eastAsia="Times New Roman" w:cs="宋体"/>
                <w:bCs/>
                <w:color w:val="auto"/>
              </w:rPr>
            </w:pPr>
            <w:r>
              <w:rPr>
                <w:rFonts w:hint="eastAsia" w:ascii="宋体" w:hAnsi="宋体" w:cs="宋体"/>
                <w:bCs/>
                <w:color w:val="auto"/>
              </w:rPr>
              <w:t>维保设备年度服务总结</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rPr>
                <w:rFonts w:hint="default" w:ascii="宋体" w:hAnsi="宋体" w:eastAsia="Times New Roman" w:cs="宋体"/>
                <w:bCs/>
                <w:color w:val="auto"/>
              </w:rPr>
            </w:pPr>
            <w:r>
              <w:rPr>
                <w:rFonts w:hint="eastAsia" w:ascii="宋体" w:hAnsi="宋体" w:cs="宋体"/>
                <w:bCs/>
                <w:color w:val="auto"/>
              </w:rPr>
              <w:t>年度服务总结报告</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right="0" w:firstLine="0"/>
              <w:jc w:val="left"/>
              <w:rPr>
                <w:rFonts w:hint="default" w:ascii="宋体" w:hAnsi="宋体" w:cs="宋体"/>
                <w:bCs/>
                <w:color w:val="auto"/>
              </w:rPr>
            </w:pPr>
            <w:r>
              <w:rPr>
                <w:rFonts w:hint="eastAsia" w:ascii="宋体" w:hAnsi="宋体" w:cs="宋体"/>
                <w:bCs/>
                <w:color w:val="auto"/>
              </w:rPr>
              <w:t>1、服务保障总结；</w:t>
            </w:r>
          </w:p>
          <w:p>
            <w:pPr>
              <w:keepNext w:val="0"/>
              <w:keepLines w:val="0"/>
              <w:widowControl w:val="0"/>
              <w:suppressLineNumbers w:val="0"/>
              <w:spacing w:before="0" w:beforeAutospacing="0" w:after="0" w:afterAutospacing="0" w:line="240" w:lineRule="auto"/>
              <w:ind w:left="0" w:right="0" w:firstLine="0"/>
              <w:jc w:val="left"/>
              <w:rPr>
                <w:rFonts w:hint="default" w:ascii="宋体" w:hAnsi="宋体" w:cs="宋体"/>
                <w:bCs/>
                <w:color w:val="auto"/>
              </w:rPr>
            </w:pPr>
            <w:r>
              <w:rPr>
                <w:rFonts w:hint="eastAsia" w:ascii="宋体" w:hAnsi="宋体" w:cs="宋体"/>
                <w:bCs/>
                <w:color w:val="auto"/>
              </w:rPr>
              <w:t>2、服务管理总结；</w:t>
            </w:r>
          </w:p>
          <w:p>
            <w:pPr>
              <w:keepNext w:val="0"/>
              <w:keepLines w:val="0"/>
              <w:widowControl w:val="0"/>
              <w:suppressLineNumbers w:val="0"/>
              <w:spacing w:before="0" w:beforeAutospacing="0" w:after="0" w:afterAutospacing="0" w:line="240" w:lineRule="auto"/>
              <w:ind w:left="0" w:right="0" w:firstLine="0"/>
              <w:jc w:val="left"/>
              <w:rPr>
                <w:rFonts w:hint="default" w:ascii="宋体" w:hAnsi="宋体" w:cs="宋体"/>
                <w:bCs/>
                <w:color w:val="auto"/>
              </w:rPr>
            </w:pPr>
            <w:r>
              <w:rPr>
                <w:rFonts w:hint="eastAsia" w:ascii="宋体" w:hAnsi="宋体" w:cs="宋体"/>
                <w:bCs/>
                <w:color w:val="auto"/>
              </w:rPr>
              <w:t>3、服务响应总结。</w:t>
            </w:r>
          </w:p>
          <w:p>
            <w:pPr>
              <w:keepNext w:val="0"/>
              <w:keepLines w:val="0"/>
              <w:widowControl/>
              <w:suppressLineNumbers w:val="0"/>
              <w:spacing w:before="0" w:beforeAutospacing="0" w:after="0" w:afterAutospacing="0" w:line="240" w:lineRule="auto"/>
              <w:jc w:val="left"/>
              <w:rPr>
                <w:rFonts w:hint="default"/>
                <w:color w:val="auto"/>
              </w:rPr>
            </w:pP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420" w:hanging="909"/>
              <w:jc w:val="center"/>
              <w:rPr>
                <w:rFonts w:hint="default" w:ascii="宋体" w:hAnsi="宋体" w:eastAsia="Times New Roman" w:cs="宋体"/>
                <w:bCs/>
                <w:color w:val="auto"/>
              </w:rPr>
            </w:pPr>
            <w:r>
              <w:rPr>
                <w:rFonts w:hint="eastAsia" w:ascii="宋体" w:hAnsi="宋体" w:cs="宋体"/>
                <w:bCs/>
                <w:color w:val="auto"/>
              </w:rPr>
              <w:t xml:space="preserve">     服务期满后一周内</w:t>
            </w:r>
          </w:p>
        </w:tc>
        <w:tc>
          <w:tcPr>
            <w:tcW w:w="12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rPr>
                <w:rFonts w:hint="default" w:ascii="宋体" w:hAnsi="宋体" w:eastAsia="Times New Roman" w:cs="宋体"/>
                <w:bCs/>
                <w:color w:val="auto"/>
              </w:rPr>
            </w:pPr>
            <w:r>
              <w:rPr>
                <w:rFonts w:hint="eastAsia" w:ascii="宋体" w:hAnsi="宋体" w:cs="宋体"/>
                <w:bCs/>
                <w:color w:val="auto"/>
              </w:rPr>
              <w:t>正式纸质发文/电子</w:t>
            </w:r>
          </w:p>
        </w:tc>
      </w:tr>
    </w:tbl>
    <w:p>
      <w:pPr>
        <w:spacing w:before="0" w:after="0" w:afterAutospacing="0"/>
        <w:ind w:left="0" w:right="0" w:firstLine="0"/>
        <w:rPr>
          <w:color w:val="auto"/>
        </w:rPr>
      </w:pPr>
    </w:p>
    <w:p>
      <w:pPr>
        <w:pStyle w:val="4"/>
        <w:spacing w:before="0" w:after="0" w:afterAutospacing="0"/>
        <w:ind w:left="0" w:leftChars="0" w:right="0" w:rightChars="0" w:firstLine="0"/>
        <w:rPr>
          <w:rFonts w:ascii="黑体" w:hAnsi="黑体" w:eastAsia="黑体"/>
          <w:color w:val="auto"/>
          <w:sz w:val="24"/>
          <w:szCs w:val="24"/>
        </w:rPr>
      </w:pPr>
      <w:bookmarkStart w:id="2257" w:name="_Toc148449395"/>
      <w:bookmarkStart w:id="2258" w:name="_Toc28004"/>
      <w:r>
        <w:rPr>
          <w:rFonts w:hint="eastAsia" w:ascii="黑体" w:hAnsi="黑体" w:eastAsia="黑体"/>
          <w:color w:val="auto"/>
          <w:sz w:val="24"/>
          <w:szCs w:val="24"/>
        </w:rPr>
        <w:t>8考核条款</w:t>
      </w:r>
      <w:bookmarkEnd w:id="2257"/>
      <w:bookmarkEnd w:id="2258"/>
    </w:p>
    <w:p>
      <w:pPr>
        <w:spacing w:before="0" w:after="0" w:afterAutospacing="0"/>
        <w:ind w:left="0" w:right="0" w:firstLine="0"/>
        <w:outlineLvl w:val="1"/>
        <w:rPr>
          <w:b/>
          <w:color w:val="auto"/>
        </w:rPr>
      </w:pPr>
      <w:bookmarkStart w:id="2259" w:name="_Toc148449396"/>
      <w:bookmarkStart w:id="2260" w:name="_Toc32376"/>
      <w:r>
        <w:rPr>
          <w:b/>
          <w:color w:val="auto"/>
        </w:rPr>
        <w:t>8.1</w:t>
      </w:r>
      <w:r>
        <w:rPr>
          <w:rFonts w:hint="eastAsia"/>
          <w:b/>
          <w:color w:val="auto"/>
        </w:rPr>
        <w:t>合同期评价</w:t>
      </w:r>
      <w:bookmarkEnd w:id="2259"/>
      <w:bookmarkEnd w:id="2260"/>
    </w:p>
    <w:p>
      <w:pPr>
        <w:pStyle w:val="32"/>
        <w:spacing w:before="0" w:after="0" w:afterAutospacing="0"/>
        <w:ind w:left="0" w:leftChars="0" w:right="0" w:firstLine="0" w:firstLineChars="0"/>
        <w:outlineLvl w:val="2"/>
        <w:rPr>
          <w:rFonts w:ascii="宋体" w:hAnsi="宋体"/>
          <w:b/>
          <w:color w:val="auto"/>
        </w:rPr>
      </w:pPr>
      <w:r>
        <w:rPr>
          <w:rFonts w:ascii="宋体" w:hAnsi="宋体"/>
          <w:b/>
          <w:color w:val="auto"/>
        </w:rPr>
        <w:t>8.1.1维保期评价</w:t>
      </w:r>
    </w:p>
    <w:p>
      <w:pPr>
        <w:spacing w:before="0" w:after="0" w:afterAutospacing="0"/>
        <w:ind w:left="0" w:right="0" w:firstLine="420" w:firstLineChars="200"/>
        <w:rPr>
          <w:rFonts w:ascii="宋体" w:hAnsi="宋体" w:cs="宋体"/>
          <w:color w:val="auto"/>
        </w:rPr>
      </w:pPr>
      <w:r>
        <w:rPr>
          <w:rFonts w:hint="eastAsia" w:ascii="宋体" w:hAnsi="宋体"/>
          <w:color w:val="auto"/>
        </w:rPr>
        <w:t>比选人</w:t>
      </w:r>
      <w:r>
        <w:rPr>
          <w:rFonts w:hint="eastAsia" w:ascii="宋体" w:hAnsi="宋体" w:cs="宋体"/>
          <w:color w:val="auto"/>
        </w:rPr>
        <w:t>每半年将</w:t>
      </w:r>
      <w:r>
        <w:rPr>
          <w:rFonts w:ascii="宋体" w:hAnsi="宋体" w:cs="宋体"/>
          <w:color w:val="auto"/>
        </w:rPr>
        <w:t>对</w:t>
      </w:r>
      <w:r>
        <w:rPr>
          <w:rFonts w:hint="eastAsia" w:ascii="宋体" w:hAnsi="宋体" w:cs="宋体"/>
          <w:color w:val="auto"/>
        </w:rPr>
        <w:t>比选申请人</w:t>
      </w:r>
      <w:r>
        <w:rPr>
          <w:rFonts w:ascii="宋体" w:hAnsi="宋体" w:cs="宋体"/>
          <w:color w:val="auto"/>
        </w:rPr>
        <w:t>的合同履约情况进行评价，</w:t>
      </w:r>
      <w:r>
        <w:rPr>
          <w:rFonts w:hint="eastAsia" w:ascii="宋体" w:hAnsi="宋体" w:cs="宋体"/>
          <w:color w:val="auto"/>
        </w:rPr>
        <w:t>考核周期内每个月对项目进行考核评价，</w:t>
      </w:r>
      <w:r>
        <w:rPr>
          <w:rFonts w:hint="eastAsia" w:ascii="宋体" w:hAnsi="宋体"/>
          <w:color w:val="auto"/>
        </w:rPr>
        <w:t>考核内容详见附件7，</w:t>
      </w:r>
      <w:r>
        <w:rPr>
          <w:rFonts w:hint="eastAsia" w:cs="宋体"/>
          <w:color w:val="auto"/>
        </w:rPr>
        <w:t>汇总半年违约及考核处理情况，并经比选人相关部门审核后，在合同应付款中减去相应金额</w:t>
      </w:r>
      <w:r>
        <w:rPr>
          <w:rFonts w:hint="eastAsia" w:ascii="宋体" w:hAnsi="宋体" w:cs="宋体"/>
          <w:color w:val="auto"/>
        </w:rPr>
        <w:t>。比选申请人在实施维保项目过程中，对违反比选人安全、生产、乘车、文明等管理规定的情形，</w:t>
      </w:r>
      <w:r>
        <w:rPr>
          <w:rFonts w:hint="eastAsia" w:cs="宋体"/>
          <w:color w:val="auto"/>
        </w:rPr>
        <w:t>违约处理标准按照比选人文件执行，违约金在当期应付款中扣除</w:t>
      </w:r>
      <w:r>
        <w:rPr>
          <w:rFonts w:hint="eastAsia" w:ascii="宋体" w:hAnsi="宋体" w:cs="宋体"/>
          <w:color w:val="auto"/>
        </w:rPr>
        <w:t>，不再返还，违约处理通知单详见附件8。</w:t>
      </w:r>
    </w:p>
    <w:p>
      <w:pPr>
        <w:spacing w:before="0" w:after="0" w:afterAutospacing="0"/>
        <w:ind w:left="0" w:right="0" w:firstLine="420" w:firstLineChars="200"/>
        <w:rPr>
          <w:rFonts w:ascii="宋体" w:hAnsi="宋体" w:cs="宋体"/>
          <w:color w:val="auto"/>
        </w:rPr>
      </w:pPr>
      <w:r>
        <w:rPr>
          <w:rFonts w:hint="eastAsia" w:ascii="宋体" w:hAnsi="宋体" w:cs="宋体"/>
          <w:color w:val="auto"/>
        </w:rPr>
        <w:t>评价时间：合同执行期每半年</w:t>
      </w:r>
    </w:p>
    <w:p>
      <w:pPr>
        <w:spacing w:before="0" w:after="0" w:afterAutospacing="0"/>
        <w:ind w:left="0" w:right="0" w:firstLine="420" w:firstLineChars="200"/>
        <w:rPr>
          <w:rFonts w:ascii="宋体" w:hAnsi="宋体" w:cs="宋体"/>
          <w:color w:val="auto"/>
        </w:rPr>
      </w:pPr>
      <w:r>
        <w:rPr>
          <w:rFonts w:hint="eastAsia" w:ascii="宋体" w:hAnsi="宋体" w:cs="宋体"/>
          <w:color w:val="auto"/>
        </w:rPr>
        <w:t>评价主持：</w:t>
      </w:r>
      <w:r>
        <w:rPr>
          <w:rFonts w:hint="eastAsia" w:ascii="宋体" w:hAnsi="宋体"/>
          <w:color w:val="auto"/>
        </w:rPr>
        <w:t>比选人</w:t>
      </w:r>
      <w:r>
        <w:rPr>
          <w:rFonts w:hint="eastAsia" w:ascii="宋体" w:hAnsi="宋体" w:cs="宋体"/>
          <w:color w:val="auto"/>
        </w:rPr>
        <w:t>相关部门</w:t>
      </w:r>
    </w:p>
    <w:p>
      <w:pPr>
        <w:spacing w:before="0" w:after="0" w:afterAutospacing="0"/>
        <w:ind w:left="0" w:right="0" w:firstLine="420" w:firstLineChars="200"/>
        <w:rPr>
          <w:rFonts w:ascii="宋体" w:hAnsi="宋体" w:cs="宋体"/>
          <w:color w:val="auto"/>
        </w:rPr>
      </w:pPr>
      <w:r>
        <w:rPr>
          <w:rFonts w:hint="eastAsia" w:ascii="宋体" w:hAnsi="宋体" w:cs="宋体"/>
          <w:color w:val="auto"/>
        </w:rPr>
        <w:t>参加人员：</w:t>
      </w:r>
      <w:r>
        <w:rPr>
          <w:rFonts w:hint="eastAsia" w:ascii="宋体" w:hAnsi="宋体"/>
          <w:color w:val="auto"/>
        </w:rPr>
        <w:t>比选人</w:t>
      </w:r>
      <w:r>
        <w:rPr>
          <w:rFonts w:hint="eastAsia" w:ascii="宋体" w:hAnsi="宋体" w:cs="宋体"/>
          <w:color w:val="auto"/>
        </w:rPr>
        <w:t>部门</w:t>
      </w:r>
    </w:p>
    <w:p>
      <w:pPr>
        <w:spacing w:before="0" w:after="0" w:afterAutospacing="0"/>
        <w:ind w:left="0" w:right="0" w:firstLine="420" w:firstLineChars="200"/>
        <w:rPr>
          <w:rFonts w:ascii="宋体" w:hAnsi="宋体" w:cs="宋体"/>
          <w:color w:val="auto"/>
        </w:rPr>
      </w:pPr>
      <w:r>
        <w:rPr>
          <w:rFonts w:hint="eastAsia" w:ascii="宋体" w:hAnsi="宋体" w:cs="宋体"/>
          <w:color w:val="auto"/>
        </w:rPr>
        <w:t>半年评价得分</w:t>
      </w:r>
      <w:r>
        <w:rPr>
          <w:rFonts w:ascii="宋体" w:hAnsi="宋体" w:cs="宋体"/>
          <w:color w:val="auto"/>
        </w:rPr>
        <w:t>=当期6个月月度考评得分的平均得分。</w:t>
      </w:r>
    </w:p>
    <w:p>
      <w:pPr>
        <w:spacing w:before="0" w:after="0" w:afterAutospacing="0"/>
        <w:ind w:left="0" w:right="0" w:firstLine="420" w:firstLineChars="200"/>
        <w:rPr>
          <w:rFonts w:ascii="宋体" w:hAnsi="宋体" w:cs="宋体"/>
          <w:color w:val="auto"/>
        </w:rPr>
      </w:pPr>
      <w:r>
        <w:rPr>
          <w:rFonts w:hint="eastAsia" w:ascii="宋体" w:hAnsi="宋体" w:cs="宋体"/>
          <w:color w:val="auto"/>
        </w:rPr>
        <w:t>考核结果</w:t>
      </w:r>
    </w:p>
    <w:p>
      <w:pPr>
        <w:spacing w:before="0" w:after="0" w:afterAutospacing="0"/>
        <w:ind w:left="0" w:right="0" w:firstLine="420" w:firstLineChars="200"/>
        <w:rPr>
          <w:rFonts w:ascii="宋体" w:hAnsi="宋体" w:cs="宋体"/>
          <w:color w:val="auto"/>
        </w:rPr>
      </w:pPr>
      <w:r>
        <w:rPr>
          <w:rFonts w:ascii="宋体" w:hAnsi="宋体" w:cs="宋体"/>
          <w:color w:val="auto"/>
        </w:rPr>
        <w:t>(1)当期得分在90分及以上，半年度考评为优秀。</w:t>
      </w:r>
    </w:p>
    <w:p>
      <w:pPr>
        <w:spacing w:before="0" w:after="0" w:afterAutospacing="0"/>
        <w:ind w:left="0" w:right="0" w:firstLine="420" w:firstLineChars="200"/>
        <w:rPr>
          <w:rFonts w:ascii="宋体" w:hAnsi="宋体" w:cs="宋体"/>
          <w:color w:val="auto"/>
        </w:rPr>
      </w:pPr>
      <w:r>
        <w:rPr>
          <w:rFonts w:ascii="宋体" w:hAnsi="宋体" w:cs="宋体"/>
          <w:color w:val="auto"/>
        </w:rPr>
        <w:t>(2)当期得分在80分及以上至90分，则向</w:t>
      </w:r>
      <w:r>
        <w:rPr>
          <w:rFonts w:hint="eastAsia" w:ascii="宋体" w:hAnsi="宋体" w:cs="宋体"/>
          <w:color w:val="auto"/>
        </w:rPr>
        <w:t>比选申请人</w:t>
      </w:r>
      <w:r>
        <w:rPr>
          <w:rFonts w:ascii="宋体" w:hAnsi="宋体" w:cs="宋体"/>
          <w:color w:val="auto"/>
        </w:rPr>
        <w:t>提出警告，</w:t>
      </w:r>
      <w:r>
        <w:rPr>
          <w:rFonts w:hint="eastAsia" w:ascii="宋体" w:hAnsi="宋体" w:cs="宋体"/>
          <w:color w:val="auto"/>
        </w:rPr>
        <w:t>比选申请人</w:t>
      </w:r>
      <w:r>
        <w:rPr>
          <w:rFonts w:ascii="宋体" w:hAnsi="宋体" w:cs="宋体"/>
          <w:color w:val="auto"/>
        </w:rPr>
        <w:t>负责整改。</w:t>
      </w:r>
    </w:p>
    <w:p>
      <w:pPr>
        <w:spacing w:before="0" w:after="0" w:afterAutospacing="0"/>
        <w:ind w:left="0" w:right="0" w:firstLine="420" w:firstLineChars="200"/>
        <w:rPr>
          <w:rFonts w:ascii="宋体" w:hAnsi="宋体" w:cs="宋体"/>
          <w:color w:val="auto"/>
        </w:rPr>
      </w:pPr>
      <w:r>
        <w:rPr>
          <w:rFonts w:ascii="宋体" w:hAnsi="宋体" w:cs="宋体"/>
          <w:color w:val="auto"/>
        </w:rPr>
        <w:t>(3)当期得分在70分及以上至80分，对比80分，每低于1分扣</w:t>
      </w:r>
      <w:r>
        <w:rPr>
          <w:rFonts w:hint="eastAsia" w:ascii="宋体" w:hAnsi="宋体" w:cs="宋体"/>
          <w:color w:val="auto"/>
        </w:rPr>
        <w:t>比选申请人</w:t>
      </w:r>
      <w:r>
        <w:rPr>
          <w:rFonts w:ascii="宋体" w:hAnsi="宋体" w:cs="宋体"/>
          <w:color w:val="auto"/>
        </w:rPr>
        <w:t>当期进度款0.5%。</w:t>
      </w:r>
    </w:p>
    <w:p>
      <w:pPr>
        <w:spacing w:before="0" w:after="0" w:afterAutospacing="0"/>
        <w:ind w:left="0" w:right="0" w:firstLine="420" w:firstLineChars="200"/>
        <w:rPr>
          <w:rFonts w:ascii="宋体" w:hAnsi="宋体" w:cs="宋体"/>
          <w:color w:val="auto"/>
        </w:rPr>
      </w:pPr>
      <w:r>
        <w:rPr>
          <w:rFonts w:ascii="宋体" w:hAnsi="宋体" w:cs="宋体"/>
          <w:color w:val="auto"/>
        </w:rPr>
        <w:t>(4)当期得分低于70分，扣</w:t>
      </w:r>
      <w:r>
        <w:rPr>
          <w:rFonts w:hint="eastAsia" w:ascii="宋体" w:hAnsi="宋体" w:cs="宋体"/>
          <w:color w:val="auto"/>
        </w:rPr>
        <w:t>比选申请人</w:t>
      </w:r>
      <w:r>
        <w:rPr>
          <w:rFonts w:ascii="宋体" w:hAnsi="宋体" w:cs="宋体"/>
          <w:color w:val="auto"/>
        </w:rPr>
        <w:t>10%</w:t>
      </w:r>
      <w:r>
        <w:rPr>
          <w:rFonts w:hint="eastAsia" w:ascii="宋体" w:hAnsi="宋体" w:cs="宋体"/>
          <w:color w:val="auto"/>
        </w:rPr>
        <w:t>当期进度款，同时申请人有权立即终止合同。</w:t>
      </w:r>
    </w:p>
    <w:p>
      <w:pPr>
        <w:spacing w:before="0" w:after="0" w:afterAutospacing="0"/>
        <w:ind w:left="0" w:right="0" w:firstLine="420" w:firstLineChars="200"/>
        <w:rPr>
          <w:rFonts w:ascii="宋体" w:hAnsi="宋体" w:cs="宋体"/>
          <w:color w:val="auto"/>
        </w:rPr>
      </w:pPr>
      <w:r>
        <w:rPr>
          <w:rFonts w:ascii="宋体" w:hAnsi="宋体" w:cs="宋体"/>
          <w:color w:val="auto"/>
        </w:rPr>
        <w:t>(5)月度评估单次所得分数低于60分，</w:t>
      </w:r>
      <w:r>
        <w:rPr>
          <w:rFonts w:hint="eastAsia" w:ascii="宋体" w:hAnsi="宋体"/>
          <w:color w:val="auto"/>
        </w:rPr>
        <w:t>比选人</w:t>
      </w:r>
      <w:r>
        <w:rPr>
          <w:rFonts w:ascii="宋体" w:hAnsi="宋体" w:cs="宋体"/>
          <w:color w:val="auto"/>
        </w:rPr>
        <w:t>有权立即终止合同。</w:t>
      </w:r>
    </w:p>
    <w:p>
      <w:pPr>
        <w:spacing w:before="0" w:after="0" w:afterAutospacing="0"/>
        <w:ind w:left="0" w:right="0" w:firstLine="420" w:firstLineChars="200"/>
        <w:rPr>
          <w:rFonts w:ascii="宋体" w:hAnsi="宋体" w:cs="宋体"/>
          <w:color w:val="auto"/>
        </w:rPr>
      </w:pPr>
      <w:r>
        <w:rPr>
          <w:rFonts w:hint="eastAsia" w:ascii="宋体" w:hAnsi="宋体" w:cs="宋体"/>
          <w:color w:val="auto"/>
        </w:rPr>
        <w:t>因承包方责任造成解除合同的，由承包方承担相应的责任</w:t>
      </w:r>
      <w:r>
        <w:rPr>
          <w:rFonts w:ascii="宋体" w:hAnsi="宋体" w:cs="宋体"/>
          <w:color w:val="auto"/>
        </w:rPr>
        <w:t xml:space="preserve">, </w:t>
      </w:r>
      <w:r>
        <w:rPr>
          <w:rFonts w:hint="eastAsia" w:ascii="宋体" w:hAnsi="宋体" w:cs="宋体"/>
          <w:color w:val="auto"/>
        </w:rPr>
        <w:t>并赔偿相应损失。</w:t>
      </w:r>
    </w:p>
    <w:p>
      <w:pPr>
        <w:spacing w:before="0" w:after="0" w:afterAutospacing="0"/>
        <w:ind w:left="0" w:right="0" w:firstLine="420" w:firstLineChars="200"/>
        <w:rPr>
          <w:rFonts w:ascii="宋体" w:hAnsi="宋体" w:cs="宋体"/>
          <w:color w:val="auto"/>
        </w:rPr>
      </w:pPr>
      <w:r>
        <w:rPr>
          <w:rFonts w:hint="eastAsia" w:ascii="宋体" w:hAnsi="宋体" w:cs="宋体"/>
          <w:color w:val="auto"/>
        </w:rPr>
        <w:t>比选申请人在收到考核单后，如有意见，在两个工作日可提出申诉，</w:t>
      </w:r>
      <w:r>
        <w:rPr>
          <w:rFonts w:hint="eastAsia" w:ascii="宋体" w:hAnsi="宋体"/>
          <w:color w:val="auto"/>
        </w:rPr>
        <w:t>比选人</w:t>
      </w:r>
      <w:r>
        <w:rPr>
          <w:rFonts w:hint="eastAsia" w:ascii="宋体" w:hAnsi="宋体" w:cs="宋体"/>
          <w:color w:val="auto"/>
        </w:rPr>
        <w:t>在收到申诉后两个工作日答复，比选申请人在五个工作日内必须签字盖章返回，若因此导致申请人支付进度款延时，责任由比选申请人自行承担。</w:t>
      </w:r>
    </w:p>
    <w:p>
      <w:pPr>
        <w:spacing w:before="0" w:after="0" w:afterAutospacing="0"/>
        <w:ind w:left="0" w:right="0" w:firstLine="0"/>
        <w:outlineLvl w:val="1"/>
        <w:rPr>
          <w:b/>
          <w:color w:val="auto"/>
        </w:rPr>
      </w:pPr>
      <w:bookmarkStart w:id="2261" w:name="_Toc148449397"/>
      <w:bookmarkStart w:id="2262" w:name="_Toc31118"/>
      <w:r>
        <w:rPr>
          <w:b/>
          <w:color w:val="auto"/>
        </w:rPr>
        <w:t>8.2</w:t>
      </w:r>
      <w:r>
        <w:rPr>
          <w:rFonts w:hint="eastAsia"/>
          <w:b/>
          <w:color w:val="auto"/>
        </w:rPr>
        <w:t>违约处理</w:t>
      </w:r>
      <w:bookmarkEnd w:id="2261"/>
      <w:bookmarkEnd w:id="2262"/>
    </w:p>
    <w:p>
      <w:pPr>
        <w:spacing w:before="0" w:after="0" w:afterAutospacing="0"/>
        <w:ind w:left="0" w:right="0" w:firstLine="420" w:firstLineChars="200"/>
        <w:rPr>
          <w:rFonts w:ascii="宋体" w:hAnsi="宋体" w:cs="宋体"/>
          <w:color w:val="auto"/>
        </w:rPr>
      </w:pPr>
      <w:r>
        <w:rPr>
          <w:rFonts w:hint="eastAsia" w:ascii="宋体" w:hAnsi="宋体" w:cs="宋体"/>
          <w:color w:val="auto"/>
        </w:rPr>
        <w:t>8.2.1作业过程中因比选申请人原因导致的直接及间接经济损失由比选申请人承担。</w:t>
      </w:r>
    </w:p>
    <w:p>
      <w:pPr>
        <w:spacing w:before="0" w:after="0" w:afterAutospacing="0"/>
        <w:ind w:left="0" w:right="0" w:firstLine="420" w:firstLineChars="200"/>
        <w:rPr>
          <w:rFonts w:ascii="宋体" w:hAnsi="宋体" w:cs="宋体"/>
          <w:color w:val="auto"/>
        </w:rPr>
      </w:pPr>
      <w:r>
        <w:rPr>
          <w:rFonts w:ascii="宋体" w:hAnsi="宋体" w:cs="宋体"/>
          <w:color w:val="auto"/>
        </w:rPr>
        <w:t>8.2.2</w:t>
      </w:r>
      <w:r>
        <w:rPr>
          <w:rFonts w:hint="eastAsia" w:ascii="宋体" w:hAnsi="宋体" w:cs="宋体"/>
          <w:color w:val="auto"/>
        </w:rPr>
        <w:t>比选申请人违反比选人保密规定相关内容时，每次扣除</w:t>
      </w:r>
      <w:r>
        <w:rPr>
          <w:rFonts w:ascii="宋体" w:hAnsi="宋体" w:cs="宋体"/>
          <w:color w:val="auto"/>
        </w:rPr>
        <w:t>10000元。</w:t>
      </w:r>
    </w:p>
    <w:p>
      <w:pPr>
        <w:spacing w:before="0" w:after="0" w:afterAutospacing="0"/>
        <w:ind w:left="0" w:right="0" w:firstLine="420" w:firstLineChars="200"/>
        <w:rPr>
          <w:rFonts w:ascii="宋体" w:hAnsi="宋体" w:cs="宋体"/>
          <w:color w:val="auto"/>
        </w:rPr>
      </w:pPr>
      <w:r>
        <w:rPr>
          <w:rFonts w:ascii="宋体" w:hAnsi="宋体" w:cs="宋体"/>
          <w:color w:val="auto"/>
        </w:rPr>
        <w:t>8.2.3</w:t>
      </w:r>
      <w:r>
        <w:rPr>
          <w:rFonts w:hint="eastAsia" w:ascii="宋体" w:hAnsi="宋体" w:cs="宋体"/>
          <w:color w:val="auto"/>
        </w:rPr>
        <w:t>发生责任一般事件（</w:t>
      </w:r>
      <w:r>
        <w:rPr>
          <w:rFonts w:ascii="宋体" w:hAnsi="宋体" w:cs="宋体"/>
          <w:color w:val="auto"/>
        </w:rPr>
        <w:t>C类、B类、A类）、责任一般事故（C类、B类、A类）、责任较大事故、责任重大事故、责任特别重大事故的，发生一次扣除10000元起，每上升一档增加扣除10000元。</w:t>
      </w:r>
    </w:p>
    <w:p>
      <w:pPr>
        <w:spacing w:before="0" w:after="0" w:afterAutospacing="0"/>
        <w:ind w:left="0" w:right="0" w:firstLine="420" w:firstLineChars="200"/>
        <w:rPr>
          <w:rFonts w:ascii="宋体" w:hAnsi="宋体" w:cs="宋体"/>
          <w:color w:val="auto"/>
        </w:rPr>
      </w:pPr>
      <w:r>
        <w:rPr>
          <w:rFonts w:ascii="宋体" w:hAnsi="宋体" w:cs="宋体"/>
          <w:color w:val="auto"/>
        </w:rPr>
        <w:t>8.2.4</w:t>
      </w:r>
      <w:r>
        <w:rPr>
          <w:rFonts w:hint="eastAsia" w:ascii="宋体" w:hAnsi="宋体" w:cs="宋体"/>
          <w:color w:val="auto"/>
        </w:rPr>
        <w:t>因比选申请人人为原因造成一般事件</w:t>
      </w:r>
      <w:r>
        <w:rPr>
          <w:rFonts w:ascii="宋体" w:hAnsi="宋体" w:cs="宋体"/>
          <w:color w:val="auto"/>
        </w:rPr>
        <w:t>C</w:t>
      </w:r>
      <w:r>
        <w:rPr>
          <w:rFonts w:hint="eastAsia" w:ascii="宋体" w:hAnsi="宋体" w:cs="宋体"/>
          <w:color w:val="auto"/>
        </w:rPr>
        <w:t>类以下的安全责任事件的，每次扣除</w:t>
      </w:r>
      <w:r>
        <w:rPr>
          <w:rFonts w:ascii="宋体" w:hAnsi="宋体" w:cs="宋体"/>
          <w:color w:val="auto"/>
        </w:rPr>
        <w:t>1000元，以</w:t>
      </w:r>
      <w:r>
        <w:rPr>
          <w:rFonts w:hint="eastAsia" w:ascii="宋体" w:hAnsi="宋体" w:cs="宋体"/>
          <w:color w:val="auto"/>
        </w:rPr>
        <w:t>比选人最终发文的责任认定为准。</w:t>
      </w:r>
    </w:p>
    <w:p>
      <w:pPr>
        <w:spacing w:before="0" w:after="0" w:afterAutospacing="0"/>
        <w:ind w:left="0" w:right="0" w:firstLine="420" w:firstLineChars="200"/>
        <w:rPr>
          <w:rFonts w:ascii="宋体" w:hAnsi="宋体" w:cs="宋体"/>
          <w:color w:val="auto"/>
        </w:rPr>
      </w:pPr>
      <w:r>
        <w:rPr>
          <w:rFonts w:ascii="宋体" w:hAnsi="宋体" w:cs="宋体"/>
          <w:color w:val="auto"/>
        </w:rPr>
        <w:t>8.2.5</w:t>
      </w:r>
      <w:r>
        <w:rPr>
          <w:rFonts w:hint="eastAsia" w:ascii="宋体" w:hAnsi="宋体" w:cs="宋体"/>
          <w:color w:val="auto"/>
        </w:rPr>
        <w:t>因比选申请人原因造成死亡</w:t>
      </w:r>
      <w:r>
        <w:rPr>
          <w:rFonts w:ascii="宋体" w:hAnsi="宋体" w:cs="宋体"/>
          <w:color w:val="auto"/>
        </w:rPr>
        <w:t>1人以上或重伤10人以上或直接经济损失200万元以上的，</w:t>
      </w:r>
      <w:r>
        <w:rPr>
          <w:rFonts w:hint="eastAsia" w:ascii="宋体" w:hAnsi="宋体" w:cs="宋体"/>
          <w:color w:val="auto"/>
        </w:rPr>
        <w:t>比选人不支付比选申请人当期委外维保款，并有权向比选申请人追责及终止合同。</w:t>
      </w:r>
    </w:p>
    <w:p>
      <w:pPr>
        <w:spacing w:before="0" w:after="0" w:afterAutospacing="0"/>
        <w:ind w:left="0" w:right="0" w:firstLine="420" w:firstLineChars="200"/>
        <w:rPr>
          <w:rFonts w:ascii="宋体" w:hAnsi="宋体" w:cs="宋体"/>
          <w:color w:val="auto"/>
        </w:rPr>
      </w:pPr>
      <w:r>
        <w:rPr>
          <w:rFonts w:ascii="宋体" w:hAnsi="宋体" w:cs="宋体"/>
          <w:color w:val="auto"/>
        </w:rPr>
        <w:t>8.2.6</w:t>
      </w:r>
      <w:r>
        <w:rPr>
          <w:rFonts w:hint="eastAsia" w:ascii="宋体" w:hAnsi="宋体" w:cs="宋体"/>
          <w:color w:val="auto"/>
        </w:rPr>
        <w:t>凡因设备故障而产生重大影响，导致比选人归口管理室、中心或运营分公司受到上级部门及外部门考核的情况，比选申请人须按上级部门及外部门考核比选人归口管理中心金额的</w:t>
      </w:r>
      <w:r>
        <w:rPr>
          <w:rFonts w:ascii="宋体" w:hAnsi="宋体" w:cs="宋体"/>
          <w:color w:val="auto"/>
        </w:rPr>
        <w:t>2倍向</w:t>
      </w:r>
      <w:r>
        <w:rPr>
          <w:rFonts w:hint="eastAsia" w:ascii="宋体" w:hAnsi="宋体" w:cs="宋体"/>
          <w:color w:val="auto"/>
        </w:rPr>
        <w:t>比选人支付违约金。</w:t>
      </w:r>
    </w:p>
    <w:p>
      <w:pPr>
        <w:spacing w:before="0" w:after="0" w:afterAutospacing="0"/>
        <w:ind w:left="0" w:right="0" w:firstLine="420" w:firstLineChars="200"/>
        <w:rPr>
          <w:rFonts w:ascii="宋体" w:hAnsi="宋体" w:cs="宋体"/>
          <w:color w:val="auto"/>
        </w:rPr>
      </w:pPr>
      <w:r>
        <w:rPr>
          <w:rFonts w:hint="eastAsia" w:ascii="宋体" w:hAnsi="宋体" w:cs="宋体"/>
          <w:color w:val="auto"/>
        </w:rPr>
        <w:t>注：由于比选申请人原因导致的事故事件，除进行上述的扣款外，比选申请人还要承担由此造成的经济损失，并承担全部责任。</w:t>
      </w:r>
    </w:p>
    <w:p>
      <w:pPr>
        <w:pStyle w:val="4"/>
        <w:spacing w:before="0" w:after="0" w:afterAutospacing="0"/>
        <w:ind w:left="0" w:leftChars="0" w:right="0" w:rightChars="0" w:firstLine="0"/>
        <w:rPr>
          <w:rFonts w:ascii="黑体" w:hAnsi="黑体" w:eastAsia="黑体"/>
          <w:color w:val="auto"/>
          <w:sz w:val="24"/>
          <w:szCs w:val="24"/>
        </w:rPr>
      </w:pPr>
      <w:bookmarkStart w:id="2263" w:name="_Toc148449398"/>
      <w:bookmarkStart w:id="2264" w:name="_Toc11140"/>
      <w:r>
        <w:rPr>
          <w:rFonts w:ascii="黑体" w:hAnsi="黑体" w:eastAsia="黑体"/>
          <w:color w:val="auto"/>
          <w:sz w:val="24"/>
          <w:szCs w:val="24"/>
        </w:rPr>
        <w:t>9验收</w:t>
      </w:r>
      <w:r>
        <w:rPr>
          <w:rFonts w:hint="eastAsia" w:ascii="黑体" w:hAnsi="黑体" w:eastAsia="黑体"/>
          <w:color w:val="auto"/>
          <w:sz w:val="24"/>
          <w:szCs w:val="24"/>
        </w:rPr>
        <w:t>要求</w:t>
      </w:r>
      <w:bookmarkEnd w:id="2263"/>
      <w:bookmarkEnd w:id="2264"/>
    </w:p>
    <w:p>
      <w:pPr>
        <w:spacing w:before="0" w:after="0" w:afterAutospacing="0"/>
        <w:ind w:left="0" w:right="0" w:firstLine="0"/>
        <w:outlineLvl w:val="1"/>
        <w:rPr>
          <w:b/>
          <w:color w:val="auto"/>
        </w:rPr>
      </w:pPr>
      <w:bookmarkStart w:id="2265" w:name="_Toc148449399"/>
      <w:bookmarkStart w:id="2266" w:name="_Toc26178"/>
      <w:r>
        <w:rPr>
          <w:b/>
          <w:color w:val="auto"/>
        </w:rPr>
        <w:t>9.1</w:t>
      </w:r>
      <w:r>
        <w:rPr>
          <w:rFonts w:hint="eastAsia"/>
          <w:b/>
          <w:color w:val="auto"/>
        </w:rPr>
        <w:t>本服务验收总则如下：</w:t>
      </w:r>
      <w:bookmarkEnd w:id="2265"/>
      <w:bookmarkEnd w:id="2266"/>
    </w:p>
    <w:p>
      <w:pPr>
        <w:spacing w:before="0" w:after="0" w:afterAutospacing="0"/>
        <w:ind w:left="0" w:right="0" w:firstLine="420" w:firstLineChars="200"/>
        <w:rPr>
          <w:rFonts w:hAnsi="宋体"/>
          <w:color w:val="auto"/>
        </w:rPr>
      </w:pPr>
      <w:r>
        <w:rPr>
          <w:rFonts w:ascii="宋体" w:hAnsi="宋体" w:cs="宋体"/>
          <w:color w:val="auto"/>
        </w:rPr>
        <w:t>9.1.1在</w:t>
      </w:r>
      <w:r>
        <w:rPr>
          <w:rFonts w:hint="eastAsia" w:ascii="宋体" w:hAnsi="宋体" w:cs="宋体"/>
          <w:color w:val="auto"/>
        </w:rPr>
        <w:t>验收</w:t>
      </w:r>
      <w:r>
        <w:rPr>
          <w:rFonts w:ascii="宋体" w:hAnsi="宋体" w:cs="宋体"/>
          <w:color w:val="auto"/>
        </w:rPr>
        <w:t>开始前，</w:t>
      </w:r>
      <w:r>
        <w:rPr>
          <w:rFonts w:hint="eastAsia" w:ascii="宋体" w:hAnsi="宋体" w:cs="宋体"/>
          <w:color w:val="auto"/>
        </w:rPr>
        <w:t>比选申请人</w:t>
      </w:r>
      <w:r>
        <w:rPr>
          <w:rFonts w:ascii="宋体" w:hAnsi="宋体" w:cs="宋体"/>
          <w:color w:val="auto"/>
        </w:rPr>
        <w:t>应保证完成维保服务期每个阶段的服务并提交相关</w:t>
      </w:r>
      <w:r>
        <w:rPr>
          <w:rFonts w:hint="eastAsia" w:ascii="宋体" w:hAnsi="宋体" w:cs="宋体"/>
          <w:color w:val="auto"/>
        </w:rPr>
        <w:t>成果</w:t>
      </w:r>
      <w:r>
        <w:rPr>
          <w:rFonts w:ascii="宋体" w:hAnsi="宋体" w:cs="宋体"/>
          <w:color w:val="auto"/>
        </w:rPr>
        <w:t>性文件，使</w:t>
      </w:r>
      <w:r>
        <w:rPr>
          <w:rFonts w:hint="eastAsia" w:ascii="宋体" w:hAnsi="宋体" w:cs="宋体"/>
          <w:color w:val="auto"/>
        </w:rPr>
        <w:t>本项目 维保服务质量</w:t>
      </w:r>
      <w:r>
        <w:rPr>
          <w:rFonts w:ascii="宋体" w:hAnsi="宋体" w:cs="宋体"/>
          <w:color w:val="auto"/>
        </w:rPr>
        <w:t xml:space="preserve">满足合同的各项要求。 </w:t>
      </w:r>
    </w:p>
    <w:p>
      <w:pPr>
        <w:spacing w:before="0" w:after="0" w:afterAutospacing="0"/>
        <w:ind w:left="0" w:right="0" w:firstLine="420" w:firstLineChars="200"/>
        <w:rPr>
          <w:rFonts w:hAnsi="宋体"/>
          <w:color w:val="auto"/>
        </w:rPr>
      </w:pPr>
      <w:r>
        <w:rPr>
          <w:rFonts w:ascii="宋体" w:hAnsi="宋体" w:cs="宋体"/>
          <w:color w:val="auto"/>
        </w:rPr>
        <w:t>9.1.2</w:t>
      </w:r>
      <w:r>
        <w:rPr>
          <w:rFonts w:hint="eastAsia" w:ascii="宋体" w:hAnsi="宋体" w:cs="宋体"/>
          <w:color w:val="auto"/>
        </w:rPr>
        <w:t>比选申请人对所有正式交付文件的综合质量审查负责，相关成果性文件经比选申请人项目经理签字并加盖比选申请人公章。</w:t>
      </w:r>
    </w:p>
    <w:p>
      <w:pPr>
        <w:spacing w:before="0" w:after="0" w:afterAutospacing="0"/>
        <w:ind w:left="0" w:right="0" w:firstLine="420" w:firstLineChars="200"/>
        <w:rPr>
          <w:rFonts w:hAnsi="宋体"/>
          <w:color w:val="auto"/>
        </w:rPr>
      </w:pPr>
      <w:r>
        <w:rPr>
          <w:rFonts w:ascii="宋体" w:hAnsi="宋体" w:cs="宋体"/>
          <w:color w:val="auto"/>
        </w:rPr>
        <w:t>9.1.3</w:t>
      </w:r>
      <w:r>
        <w:rPr>
          <w:rFonts w:hint="eastAsia" w:ascii="宋体" w:hAnsi="宋体" w:cs="宋体"/>
          <w:color w:val="auto"/>
        </w:rPr>
        <w:t>比选申请人</w:t>
      </w:r>
      <w:r>
        <w:rPr>
          <w:rFonts w:ascii="宋体" w:hAnsi="宋体" w:cs="宋体"/>
          <w:color w:val="auto"/>
        </w:rPr>
        <w:t>按照要求</w:t>
      </w:r>
      <w:r>
        <w:rPr>
          <w:rFonts w:hint="eastAsia" w:ascii="宋体" w:hAnsi="宋体" w:cs="宋体"/>
          <w:color w:val="auto"/>
        </w:rPr>
        <w:t>提供</w:t>
      </w:r>
      <w:r>
        <w:rPr>
          <w:rFonts w:ascii="宋体" w:hAnsi="宋体" w:cs="宋体"/>
          <w:color w:val="auto"/>
        </w:rPr>
        <w:t>维保服务期每个阶段的服务及相关</w:t>
      </w:r>
      <w:r>
        <w:rPr>
          <w:rFonts w:hint="eastAsia" w:ascii="宋体" w:hAnsi="宋体" w:cs="宋体"/>
          <w:color w:val="auto"/>
        </w:rPr>
        <w:t>成果</w:t>
      </w:r>
      <w:r>
        <w:rPr>
          <w:rFonts w:ascii="宋体" w:hAnsi="宋体" w:cs="宋体"/>
          <w:color w:val="auto"/>
        </w:rPr>
        <w:t>性文件，无遗漏。</w:t>
      </w:r>
    </w:p>
    <w:p>
      <w:pPr>
        <w:spacing w:before="0" w:after="0" w:afterAutospacing="0"/>
        <w:ind w:left="0" w:right="0" w:firstLine="420" w:firstLineChars="200"/>
        <w:rPr>
          <w:rFonts w:hAnsi="宋体"/>
          <w:color w:val="auto"/>
        </w:rPr>
      </w:pPr>
      <w:r>
        <w:rPr>
          <w:rFonts w:ascii="宋体" w:hAnsi="宋体" w:cs="宋体"/>
          <w:color w:val="auto"/>
        </w:rPr>
        <w:t>9.1.4验收由</w:t>
      </w:r>
      <w:r>
        <w:rPr>
          <w:rFonts w:hint="eastAsia" w:ascii="宋体" w:hAnsi="宋体" w:cs="宋体"/>
          <w:color w:val="auto"/>
        </w:rPr>
        <w:t>比选人负责组织比选人、比选申请人</w:t>
      </w:r>
      <w:r>
        <w:rPr>
          <w:rFonts w:ascii="宋体" w:hAnsi="宋体" w:cs="宋体"/>
          <w:color w:val="auto"/>
        </w:rPr>
        <w:t>共同参加。</w:t>
      </w:r>
    </w:p>
    <w:p>
      <w:pPr>
        <w:spacing w:before="0" w:after="0" w:afterAutospacing="0"/>
        <w:ind w:left="0" w:right="0" w:firstLine="0"/>
        <w:outlineLvl w:val="1"/>
        <w:rPr>
          <w:b/>
          <w:color w:val="auto"/>
        </w:rPr>
      </w:pPr>
      <w:bookmarkStart w:id="2267" w:name="_Toc148449400"/>
      <w:bookmarkStart w:id="2268" w:name="_Toc16297"/>
      <w:r>
        <w:rPr>
          <w:b/>
          <w:color w:val="auto"/>
        </w:rPr>
        <w:t>9.2</w:t>
      </w:r>
      <w:r>
        <w:rPr>
          <w:rFonts w:hint="eastAsia"/>
          <w:b/>
          <w:color w:val="auto"/>
        </w:rPr>
        <w:t>验收文档</w:t>
      </w:r>
      <w:bookmarkEnd w:id="2267"/>
      <w:bookmarkEnd w:id="2268"/>
    </w:p>
    <w:p>
      <w:pPr>
        <w:pStyle w:val="16"/>
        <w:spacing w:before="0" w:after="0" w:afterAutospacing="0"/>
        <w:ind w:left="0" w:right="0" w:firstLine="510"/>
        <w:rPr>
          <w:rFonts w:hAnsi="宋体"/>
          <w:color w:val="auto"/>
          <w:sz w:val="21"/>
          <w:szCs w:val="21"/>
        </w:rPr>
      </w:pPr>
      <w:r>
        <w:rPr>
          <w:rFonts w:hint="eastAsia" w:hAnsi="宋体"/>
          <w:color w:val="auto"/>
          <w:sz w:val="21"/>
          <w:szCs w:val="21"/>
        </w:rPr>
        <w:t>文档列表：</w:t>
      </w:r>
    </w:p>
    <w:p>
      <w:pPr>
        <w:pStyle w:val="16"/>
        <w:spacing w:before="0" w:after="0" w:afterAutospacing="0"/>
        <w:ind w:left="0" w:right="0" w:firstLine="510"/>
        <w:rPr>
          <w:rFonts w:hAnsi="宋体"/>
          <w:color w:val="auto"/>
          <w:sz w:val="21"/>
          <w:szCs w:val="21"/>
        </w:rPr>
      </w:pPr>
      <w:r>
        <w:rPr>
          <w:rFonts w:hint="eastAsia" w:hAnsi="宋体"/>
          <w:color w:val="auto"/>
          <w:sz w:val="21"/>
          <w:szCs w:val="21"/>
        </w:rPr>
        <w:t>（</w:t>
      </w:r>
      <w:r>
        <w:rPr>
          <w:rFonts w:hAnsi="宋体"/>
          <w:color w:val="auto"/>
          <w:sz w:val="21"/>
          <w:szCs w:val="21"/>
        </w:rPr>
        <w:t>1）</w:t>
      </w:r>
      <w:r>
        <w:rPr>
          <w:rFonts w:hint="eastAsia" w:hAnsi="宋体"/>
          <w:color w:val="auto"/>
          <w:sz w:val="21"/>
          <w:szCs w:val="21"/>
        </w:rPr>
        <w:t>核心交换机</w:t>
      </w:r>
      <w:r>
        <w:rPr>
          <w:rFonts w:hAnsi="宋体"/>
          <w:color w:val="auto"/>
          <w:sz w:val="21"/>
          <w:szCs w:val="21"/>
        </w:rPr>
        <w:t>巡检报告</w:t>
      </w:r>
      <w:r>
        <w:rPr>
          <w:rFonts w:hint="eastAsia" w:hAnsi="宋体"/>
          <w:color w:val="auto"/>
          <w:sz w:val="21"/>
          <w:szCs w:val="21"/>
        </w:rPr>
        <w:t>，每个月提交一次，服务期内提交十二次。</w:t>
      </w:r>
    </w:p>
    <w:p>
      <w:pPr>
        <w:pStyle w:val="16"/>
        <w:spacing w:before="0" w:after="0" w:afterAutospacing="0"/>
        <w:ind w:left="0" w:right="0" w:firstLine="510"/>
        <w:rPr>
          <w:rFonts w:hAnsi="宋体"/>
          <w:color w:val="auto"/>
          <w:sz w:val="21"/>
          <w:szCs w:val="21"/>
        </w:rPr>
      </w:pPr>
      <w:r>
        <w:rPr>
          <w:rFonts w:hint="eastAsia" w:hAnsi="宋体"/>
          <w:color w:val="auto"/>
          <w:sz w:val="21"/>
          <w:szCs w:val="21"/>
        </w:rPr>
        <w:t>（</w:t>
      </w:r>
      <w:r>
        <w:rPr>
          <w:rFonts w:hAnsi="宋体"/>
          <w:color w:val="auto"/>
          <w:sz w:val="21"/>
          <w:szCs w:val="21"/>
        </w:rPr>
        <w:t>2）</w:t>
      </w:r>
      <w:r>
        <w:rPr>
          <w:rFonts w:hint="eastAsia" w:hAnsi="宋体"/>
          <w:color w:val="auto"/>
          <w:sz w:val="21"/>
          <w:szCs w:val="21"/>
        </w:rPr>
        <w:t>核心交换机</w:t>
      </w:r>
      <w:r>
        <w:rPr>
          <w:rFonts w:hAnsi="宋体"/>
          <w:color w:val="auto"/>
          <w:sz w:val="21"/>
          <w:szCs w:val="21"/>
        </w:rPr>
        <w:t>版本软件服务</w:t>
      </w:r>
      <w:r>
        <w:rPr>
          <w:rFonts w:hint="eastAsia" w:hAnsi="宋体"/>
          <w:color w:val="auto"/>
          <w:sz w:val="21"/>
          <w:szCs w:val="21"/>
        </w:rPr>
        <w:t>报告，每个季度提交一次，服务期内提交四次。</w:t>
      </w:r>
    </w:p>
    <w:p>
      <w:pPr>
        <w:pStyle w:val="16"/>
        <w:spacing w:before="0" w:after="0" w:afterAutospacing="0"/>
        <w:ind w:left="0" w:right="0" w:firstLine="510"/>
        <w:rPr>
          <w:rFonts w:hAnsi="宋体"/>
          <w:color w:val="auto"/>
          <w:sz w:val="21"/>
          <w:szCs w:val="21"/>
        </w:rPr>
      </w:pPr>
      <w:r>
        <w:rPr>
          <w:rFonts w:hint="eastAsia" w:hAnsi="宋体"/>
          <w:color w:val="auto"/>
          <w:sz w:val="21"/>
          <w:szCs w:val="21"/>
        </w:rPr>
        <w:t>（</w:t>
      </w:r>
      <w:r>
        <w:rPr>
          <w:rFonts w:hAnsi="宋体"/>
          <w:color w:val="auto"/>
          <w:sz w:val="21"/>
          <w:szCs w:val="21"/>
        </w:rPr>
        <w:t>3）</w:t>
      </w:r>
      <w:r>
        <w:rPr>
          <w:rFonts w:hint="eastAsia" w:hAnsi="宋体"/>
          <w:color w:val="auto"/>
          <w:sz w:val="21"/>
          <w:szCs w:val="21"/>
        </w:rPr>
        <w:t>网络系统运行情况调查与分析报告，服务期满后提交一次。</w:t>
      </w:r>
    </w:p>
    <w:p>
      <w:pPr>
        <w:pStyle w:val="16"/>
        <w:spacing w:before="0" w:after="0" w:afterAutospacing="0"/>
        <w:ind w:left="0" w:right="0" w:firstLine="510"/>
        <w:rPr>
          <w:rFonts w:hAnsi="宋体"/>
          <w:color w:val="auto"/>
          <w:sz w:val="21"/>
          <w:szCs w:val="21"/>
        </w:rPr>
      </w:pPr>
      <w:r>
        <w:rPr>
          <w:rFonts w:hint="eastAsia" w:hAnsi="宋体"/>
          <w:color w:val="auto"/>
          <w:sz w:val="21"/>
          <w:szCs w:val="21"/>
        </w:rPr>
        <w:t>（</w:t>
      </w:r>
      <w:r>
        <w:rPr>
          <w:rFonts w:hAnsi="宋体"/>
          <w:color w:val="auto"/>
          <w:sz w:val="21"/>
          <w:szCs w:val="21"/>
        </w:rPr>
        <w:t>4）年度服务总结报告</w:t>
      </w:r>
      <w:r>
        <w:rPr>
          <w:rFonts w:hint="eastAsia" w:hAnsi="宋体"/>
          <w:color w:val="auto"/>
          <w:sz w:val="21"/>
          <w:szCs w:val="21"/>
        </w:rPr>
        <w:t>，服务期满后提交一次。</w:t>
      </w:r>
    </w:p>
    <w:p>
      <w:pPr>
        <w:pStyle w:val="16"/>
        <w:spacing w:before="0" w:after="0" w:afterAutospacing="0"/>
        <w:ind w:left="0" w:right="0" w:firstLine="510"/>
        <w:rPr>
          <w:rFonts w:hAnsi="宋体"/>
          <w:color w:val="auto"/>
          <w:sz w:val="21"/>
          <w:szCs w:val="21"/>
        </w:rPr>
      </w:pPr>
      <w:r>
        <w:rPr>
          <w:rFonts w:hint="eastAsia" w:hAnsi="宋体"/>
          <w:color w:val="auto"/>
          <w:sz w:val="21"/>
          <w:szCs w:val="21"/>
        </w:rPr>
        <w:t>（</w:t>
      </w:r>
      <w:r>
        <w:rPr>
          <w:rFonts w:hAnsi="宋体"/>
          <w:color w:val="auto"/>
          <w:sz w:val="21"/>
          <w:szCs w:val="21"/>
        </w:rPr>
        <w:t>5）培训资料，按照</w:t>
      </w:r>
      <w:r>
        <w:rPr>
          <w:rFonts w:hint="eastAsia" w:hAnsi="宋体"/>
          <w:color w:val="auto"/>
          <w:sz w:val="21"/>
          <w:szCs w:val="21"/>
        </w:rPr>
        <w:t>培训内容提供相应的培训资料。</w:t>
      </w:r>
    </w:p>
    <w:p>
      <w:pPr>
        <w:pStyle w:val="16"/>
        <w:spacing w:before="0" w:after="0" w:afterAutospacing="0"/>
        <w:ind w:left="0" w:right="0" w:firstLine="510"/>
        <w:rPr>
          <w:rFonts w:hAnsi="宋体"/>
          <w:color w:val="auto"/>
          <w:sz w:val="21"/>
          <w:szCs w:val="21"/>
        </w:rPr>
      </w:pPr>
      <w:r>
        <w:rPr>
          <w:rFonts w:hint="eastAsia" w:hAnsi="宋体"/>
          <w:color w:val="auto"/>
          <w:sz w:val="21"/>
          <w:szCs w:val="21"/>
        </w:rPr>
        <w:t>（</w:t>
      </w:r>
      <w:r>
        <w:rPr>
          <w:rFonts w:hAnsi="宋体"/>
          <w:color w:val="auto"/>
          <w:sz w:val="21"/>
          <w:szCs w:val="21"/>
        </w:rPr>
        <w:t>6）验收报告，</w:t>
      </w:r>
      <w:r>
        <w:rPr>
          <w:rFonts w:hint="eastAsia" w:hAnsi="宋体"/>
          <w:color w:val="auto"/>
          <w:sz w:val="21"/>
          <w:szCs w:val="21"/>
        </w:rPr>
        <w:t>验收报告按照《南宁轨道交通运营有限公司委外项目工作任务验收单》格式填写。</w:t>
      </w:r>
    </w:p>
    <w:p>
      <w:pPr>
        <w:pStyle w:val="4"/>
        <w:spacing w:before="0" w:after="0" w:afterAutospacing="0"/>
        <w:ind w:left="0" w:leftChars="0" w:right="0" w:rightChars="0" w:firstLine="0"/>
        <w:rPr>
          <w:rFonts w:ascii="黑体" w:hAnsi="黑体" w:eastAsia="黑体"/>
          <w:color w:val="auto"/>
          <w:sz w:val="24"/>
          <w:szCs w:val="24"/>
        </w:rPr>
      </w:pPr>
      <w:bookmarkStart w:id="2269" w:name="_Toc148449401"/>
      <w:bookmarkStart w:id="2270" w:name="_Toc2435"/>
      <w:r>
        <w:rPr>
          <w:rFonts w:ascii="黑体" w:hAnsi="黑体" w:eastAsia="黑体"/>
          <w:color w:val="auto"/>
          <w:sz w:val="24"/>
          <w:szCs w:val="24"/>
        </w:rPr>
        <w:t>10附件</w:t>
      </w:r>
      <w:bookmarkEnd w:id="2269"/>
      <w:bookmarkEnd w:id="2270"/>
    </w:p>
    <w:p>
      <w:pPr>
        <w:spacing w:before="0" w:after="0" w:afterAutospacing="0"/>
        <w:ind w:left="0" w:right="0" w:firstLine="0"/>
        <w:outlineLvl w:val="1"/>
        <w:rPr>
          <w:color w:val="auto"/>
        </w:rPr>
      </w:pPr>
      <w:bookmarkStart w:id="2271" w:name="_Toc4340"/>
      <w:bookmarkStart w:id="2272" w:name="_Toc148449402"/>
      <w:r>
        <w:rPr>
          <w:color w:val="auto"/>
        </w:rPr>
        <w:t>附件1</w:t>
      </w:r>
      <w:r>
        <w:rPr>
          <w:rFonts w:hint="eastAsia"/>
          <w:color w:val="auto"/>
        </w:rPr>
        <w:t>：</w:t>
      </w:r>
      <w:r>
        <w:rPr>
          <w:color w:val="auto"/>
        </w:rPr>
        <w:t>1-5</w:t>
      </w:r>
      <w:r>
        <w:rPr>
          <w:rFonts w:hint="eastAsia"/>
          <w:color w:val="auto"/>
        </w:rPr>
        <w:t>号线办公网交换机设备维保维修数量清单</w:t>
      </w:r>
      <w:bookmarkEnd w:id="2271"/>
      <w:bookmarkEnd w:id="2272"/>
    </w:p>
    <w:p>
      <w:pPr>
        <w:spacing w:before="0" w:after="0" w:afterAutospacing="0"/>
        <w:ind w:left="0" w:right="0" w:firstLine="0"/>
        <w:outlineLvl w:val="1"/>
        <w:rPr>
          <w:color w:val="auto"/>
        </w:rPr>
      </w:pPr>
      <w:bookmarkStart w:id="2273" w:name="_Toc22033"/>
      <w:bookmarkStart w:id="2274" w:name="_Toc148449403"/>
      <w:r>
        <w:rPr>
          <w:rFonts w:hint="eastAsia"/>
          <w:color w:val="auto"/>
        </w:rPr>
        <w:t>附件</w:t>
      </w:r>
      <w:r>
        <w:rPr>
          <w:color w:val="auto"/>
        </w:rPr>
        <w:t>2</w:t>
      </w:r>
      <w:r>
        <w:rPr>
          <w:rFonts w:hint="eastAsia"/>
          <w:color w:val="auto"/>
        </w:rPr>
        <w:t>：</w:t>
      </w:r>
      <w:r>
        <w:rPr>
          <w:color w:val="auto"/>
        </w:rPr>
        <w:t>1-5</w:t>
      </w:r>
      <w:r>
        <w:rPr>
          <w:rFonts w:hint="eastAsia"/>
          <w:color w:val="auto"/>
        </w:rPr>
        <w:t>号线办公网核心交换机设备板卡清单</w:t>
      </w:r>
      <w:bookmarkEnd w:id="2273"/>
      <w:bookmarkEnd w:id="2274"/>
    </w:p>
    <w:p>
      <w:pPr>
        <w:spacing w:before="0" w:after="0" w:afterAutospacing="0"/>
        <w:ind w:left="0" w:right="0" w:firstLine="0"/>
        <w:outlineLvl w:val="1"/>
        <w:rPr>
          <w:color w:val="auto"/>
        </w:rPr>
      </w:pPr>
      <w:bookmarkStart w:id="2275" w:name="_Toc5403"/>
      <w:bookmarkStart w:id="2276" w:name="_Toc148449404"/>
      <w:r>
        <w:rPr>
          <w:rFonts w:hint="eastAsia"/>
          <w:color w:val="auto"/>
        </w:rPr>
        <w:t>附件</w:t>
      </w:r>
      <w:r>
        <w:rPr>
          <w:color w:val="auto"/>
        </w:rPr>
        <w:t>3</w:t>
      </w:r>
      <w:r>
        <w:rPr>
          <w:rFonts w:hint="eastAsia"/>
          <w:color w:val="auto"/>
        </w:rPr>
        <w:t>：核心交换机板卡备件供应投标报价清单</w:t>
      </w:r>
      <w:bookmarkEnd w:id="2275"/>
      <w:bookmarkEnd w:id="2276"/>
    </w:p>
    <w:p>
      <w:pPr>
        <w:spacing w:before="0" w:after="0" w:afterAutospacing="0"/>
        <w:ind w:left="0" w:right="0" w:firstLine="0"/>
        <w:outlineLvl w:val="1"/>
        <w:rPr>
          <w:rFonts w:ascii="宋体" w:hAnsi="宋体"/>
          <w:b/>
          <w:color w:val="auto"/>
        </w:rPr>
      </w:pPr>
      <w:bookmarkStart w:id="2277" w:name="_Toc148449405"/>
      <w:bookmarkStart w:id="2278" w:name="_Toc2768"/>
      <w:r>
        <w:rPr>
          <w:rFonts w:hint="eastAsia"/>
          <w:color w:val="auto"/>
        </w:rPr>
        <w:t>附件</w:t>
      </w:r>
      <w:r>
        <w:rPr>
          <w:rFonts w:hint="eastAsia" w:ascii="宋体" w:hAnsi="宋体"/>
          <w:color w:val="auto"/>
        </w:rPr>
        <w:t>4：</w:t>
      </w:r>
      <w:r>
        <w:rPr>
          <w:color w:val="auto"/>
        </w:rPr>
        <w:t>南宁轨道交通1-5</w:t>
      </w:r>
      <w:r>
        <w:rPr>
          <w:rFonts w:hint="eastAsia"/>
          <w:color w:val="auto"/>
        </w:rPr>
        <w:t>号线办公网交换机设备委外维保维修服务采购项目返修件投标报价</w:t>
      </w:r>
      <w:r>
        <w:rPr>
          <w:color w:val="auto"/>
        </w:rPr>
        <w:t xml:space="preserve">  </w:t>
      </w:r>
      <w:r>
        <w:rPr>
          <w:rFonts w:hint="eastAsia"/>
          <w:color w:val="auto"/>
        </w:rPr>
        <w:t>清单</w:t>
      </w:r>
      <w:bookmarkEnd w:id="2277"/>
      <w:bookmarkEnd w:id="2278"/>
    </w:p>
    <w:p>
      <w:pPr>
        <w:spacing w:before="0" w:after="0" w:afterAutospacing="0"/>
        <w:ind w:left="0" w:right="0" w:firstLine="0"/>
        <w:outlineLvl w:val="1"/>
        <w:rPr>
          <w:color w:val="auto"/>
        </w:rPr>
      </w:pPr>
      <w:bookmarkStart w:id="2279" w:name="_Toc148449406"/>
      <w:bookmarkStart w:id="2280" w:name="_Toc22009"/>
      <w:r>
        <w:rPr>
          <w:color w:val="auto"/>
        </w:rPr>
        <w:t>附件5：南宁轨道交通1-5</w:t>
      </w:r>
      <w:r>
        <w:rPr>
          <w:rFonts w:hint="eastAsia"/>
          <w:color w:val="auto"/>
        </w:rPr>
        <w:t>号线办公网交换机设备委外维保维修服务采购项目技术服务报价清单</w:t>
      </w:r>
      <w:bookmarkEnd w:id="2279"/>
      <w:bookmarkEnd w:id="2280"/>
    </w:p>
    <w:p>
      <w:pPr>
        <w:spacing w:before="0" w:after="0" w:afterAutospacing="0"/>
        <w:ind w:left="0" w:right="0" w:firstLine="0"/>
        <w:outlineLvl w:val="1"/>
        <w:rPr>
          <w:rFonts w:ascii="黑体" w:hAnsi="黑体" w:eastAsia="黑体"/>
          <w:color w:val="auto"/>
          <w:sz w:val="24"/>
          <w:szCs w:val="24"/>
        </w:rPr>
      </w:pPr>
      <w:bookmarkStart w:id="2281" w:name="_Toc148449407"/>
      <w:bookmarkStart w:id="2282" w:name="_Toc25846"/>
      <w:r>
        <w:rPr>
          <w:color w:val="auto"/>
        </w:rPr>
        <w:t>附件6</w:t>
      </w:r>
      <w:r>
        <w:rPr>
          <w:rFonts w:hint="eastAsia"/>
          <w:color w:val="auto"/>
        </w:rPr>
        <w:t>：运营公司故障分析报告模板</w:t>
      </w:r>
      <w:bookmarkEnd w:id="2281"/>
      <w:bookmarkEnd w:id="2282"/>
    </w:p>
    <w:p>
      <w:pPr>
        <w:spacing w:before="0" w:after="0" w:afterAutospacing="0"/>
        <w:ind w:left="0" w:right="0" w:firstLine="0"/>
        <w:outlineLvl w:val="1"/>
        <w:rPr>
          <w:color w:val="auto"/>
        </w:rPr>
      </w:pPr>
      <w:bookmarkStart w:id="2283" w:name="_Toc12482"/>
      <w:bookmarkStart w:id="2284" w:name="_Toc148449408"/>
      <w:r>
        <w:rPr>
          <w:rFonts w:hint="eastAsia"/>
          <w:color w:val="auto"/>
        </w:rPr>
        <w:t>附件</w:t>
      </w:r>
      <w:r>
        <w:rPr>
          <w:color w:val="auto"/>
        </w:rPr>
        <w:t>7</w:t>
      </w:r>
      <w:r>
        <w:rPr>
          <w:rFonts w:hint="eastAsia"/>
          <w:color w:val="auto"/>
        </w:rPr>
        <w:t>：违约与考核处理</w:t>
      </w:r>
      <w:bookmarkEnd w:id="2283"/>
      <w:bookmarkEnd w:id="2284"/>
    </w:p>
    <w:p>
      <w:pPr>
        <w:spacing w:before="0" w:after="0" w:afterAutospacing="0"/>
        <w:ind w:right="0"/>
        <w:outlineLvl w:val="1"/>
        <w:rPr>
          <w:color w:val="auto"/>
        </w:rPr>
      </w:pPr>
      <w:bookmarkStart w:id="2285" w:name="_Toc30789"/>
      <w:bookmarkStart w:id="2286" w:name="_Toc148449409"/>
      <w:r>
        <w:rPr>
          <w:rFonts w:hint="eastAsia"/>
          <w:color w:val="auto"/>
        </w:rPr>
        <w:t>附件</w:t>
      </w:r>
      <w:r>
        <w:rPr>
          <w:color w:val="auto"/>
        </w:rPr>
        <w:t>8</w:t>
      </w:r>
      <w:r>
        <w:rPr>
          <w:rFonts w:hint="eastAsia"/>
          <w:color w:val="auto"/>
        </w:rPr>
        <w:t>：合同违约处理通知单</w:t>
      </w:r>
      <w:bookmarkEnd w:id="2285"/>
      <w:bookmarkEnd w:id="2286"/>
    </w:p>
    <w:p>
      <w:pPr>
        <w:pStyle w:val="32"/>
        <w:ind w:left="0" w:leftChars="0" w:firstLine="0" w:firstLineChars="0"/>
        <w:rPr>
          <w:color w:val="auto"/>
        </w:rPr>
      </w:pPr>
    </w:p>
    <w:p>
      <w:pPr>
        <w:pStyle w:val="32"/>
        <w:ind w:left="0" w:leftChars="0" w:firstLine="0" w:firstLineChars="0"/>
        <w:rPr>
          <w:color w:val="auto"/>
        </w:rPr>
      </w:pPr>
    </w:p>
    <w:p>
      <w:pPr>
        <w:pStyle w:val="32"/>
        <w:ind w:left="0" w:leftChars="0" w:firstLine="0" w:firstLineChars="0"/>
        <w:rPr>
          <w:color w:val="auto"/>
        </w:rPr>
      </w:pPr>
    </w:p>
    <w:p>
      <w:pPr>
        <w:pStyle w:val="32"/>
        <w:ind w:left="0" w:leftChars="0" w:firstLine="0" w:firstLineChars="0"/>
        <w:rPr>
          <w:color w:val="auto"/>
        </w:rPr>
      </w:pPr>
    </w:p>
    <w:p>
      <w:pPr>
        <w:pStyle w:val="32"/>
        <w:ind w:left="0" w:leftChars="0" w:firstLine="0" w:firstLineChars="0"/>
        <w:rPr>
          <w:color w:val="auto"/>
        </w:rPr>
      </w:pPr>
    </w:p>
    <w:p>
      <w:pPr>
        <w:pStyle w:val="32"/>
        <w:spacing w:before="0" w:after="0" w:afterAutospacing="0"/>
        <w:ind w:left="0" w:leftChars="0" w:right="0" w:firstLine="422" w:firstLineChars="0"/>
        <w:rPr>
          <w:color w:val="auto"/>
        </w:rPr>
      </w:pPr>
      <w:bookmarkStart w:id="2287" w:name="附件1"/>
      <w:bookmarkEnd w:id="2287"/>
      <w:r>
        <w:rPr>
          <w:rStyle w:val="46"/>
          <w:rFonts w:hint="eastAsia" w:ascii="宋体" w:hAnsi="宋体"/>
          <w:color w:val="auto"/>
          <w:sz w:val="21"/>
          <w:szCs w:val="21"/>
        </w:rPr>
        <w:t>附件</w:t>
      </w:r>
      <w:r>
        <w:rPr>
          <w:rStyle w:val="46"/>
          <w:rFonts w:ascii="宋体" w:hAnsi="宋体"/>
          <w:color w:val="auto"/>
          <w:sz w:val="21"/>
          <w:szCs w:val="21"/>
        </w:rPr>
        <w:t xml:space="preserve">1 </w:t>
      </w:r>
      <w:r>
        <w:rPr>
          <w:rStyle w:val="46"/>
          <w:rFonts w:hint="eastAsia" w:ascii="宋体" w:hAnsi="宋体"/>
          <w:color w:val="auto"/>
          <w:sz w:val="21"/>
          <w:szCs w:val="21"/>
        </w:rPr>
        <w:t xml:space="preserve"> </w:t>
      </w:r>
      <w:r>
        <w:rPr>
          <w:rStyle w:val="46"/>
          <w:rFonts w:ascii="宋体" w:hAnsi="宋体"/>
          <w:color w:val="auto"/>
          <w:sz w:val="21"/>
          <w:szCs w:val="21"/>
        </w:rPr>
        <w:t>1-5号线</w:t>
      </w:r>
      <w:r>
        <w:rPr>
          <w:rStyle w:val="46"/>
          <w:rFonts w:hint="eastAsia" w:ascii="宋体" w:hAnsi="宋体"/>
          <w:color w:val="auto"/>
          <w:sz w:val="21"/>
          <w:szCs w:val="21"/>
        </w:rPr>
        <w:t>办公网交换机设备维保维修数量清单</w:t>
      </w:r>
    </w:p>
    <w:tbl>
      <w:tblPr>
        <w:tblStyle w:val="34"/>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800"/>
        <w:gridCol w:w="894"/>
        <w:gridCol w:w="709"/>
        <w:gridCol w:w="708"/>
        <w:gridCol w:w="2508"/>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76" w:type="dxa"/>
            <w:vAlign w:val="center"/>
          </w:tcPr>
          <w:p>
            <w:pPr>
              <w:keepNext w:val="0"/>
              <w:keepLines w:val="0"/>
              <w:widowControl/>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序号</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设备名称及型号</w:t>
            </w:r>
          </w:p>
        </w:tc>
        <w:tc>
          <w:tcPr>
            <w:tcW w:w="894" w:type="dxa"/>
            <w:vAlign w:val="center"/>
          </w:tcPr>
          <w:p>
            <w:pPr>
              <w:keepNext w:val="0"/>
              <w:keepLines w:val="0"/>
              <w:widowControl/>
              <w:suppressLineNumbers w:val="0"/>
              <w:spacing w:before="0" w:beforeAutospacing="0" w:after="0" w:afterAutospacing="0" w:line="240" w:lineRule="auto"/>
              <w:ind w:left="0" w:firstLine="0"/>
              <w:rPr>
                <w:rFonts w:hint="default" w:ascii="宋体" w:hAnsi="宋体" w:cs="宋体"/>
                <w:color w:val="auto"/>
                <w:kern w:val="2"/>
              </w:rPr>
            </w:pPr>
            <w:r>
              <w:rPr>
                <w:rFonts w:hint="eastAsia" w:ascii="宋体" w:hAnsi="宋体" w:cs="宋体"/>
                <w:color w:val="auto"/>
                <w:kern w:val="2"/>
              </w:rPr>
              <w:t>制造商</w:t>
            </w:r>
          </w:p>
        </w:tc>
        <w:tc>
          <w:tcPr>
            <w:tcW w:w="709"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r>
              <w:rPr>
                <w:rFonts w:hint="eastAsia" w:ascii="宋体" w:hAnsi="宋体" w:cs="宋体"/>
                <w:color w:val="auto"/>
                <w:kern w:val="2"/>
              </w:rPr>
              <w:t>单位</w:t>
            </w:r>
          </w:p>
        </w:tc>
        <w:tc>
          <w:tcPr>
            <w:tcW w:w="708"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r>
              <w:rPr>
                <w:rFonts w:hint="eastAsia" w:ascii="宋体" w:hAnsi="宋体" w:cs="宋体"/>
                <w:color w:val="auto"/>
                <w:kern w:val="2"/>
              </w:rPr>
              <w:t>数量</w:t>
            </w:r>
          </w:p>
        </w:tc>
        <w:tc>
          <w:tcPr>
            <w:tcW w:w="2508"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r>
              <w:rPr>
                <w:rFonts w:hint="eastAsia" w:ascii="宋体" w:hAnsi="宋体" w:cs="宋体"/>
                <w:color w:val="auto"/>
                <w:kern w:val="2"/>
              </w:rPr>
              <w:t>设备位置</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r>
              <w:rPr>
                <w:rFonts w:hint="eastAsia" w:ascii="宋体" w:hAnsi="宋体" w:cs="宋体"/>
                <w:color w:val="auto"/>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676"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kern w:val="2"/>
              </w:rPr>
            </w:pPr>
            <w:r>
              <w:rPr>
                <w:rFonts w:hint="default" w:ascii="宋体" w:hAnsi="宋体" w:cs="宋体"/>
                <w:color w:val="auto"/>
                <w:kern w:val="2"/>
              </w:rPr>
              <w:t>1</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 xml:space="preserve">S12500X-AF </w:t>
            </w:r>
            <w:r>
              <w:rPr>
                <w:rFonts w:hint="eastAsia" w:ascii="宋体" w:hAnsi="宋体"/>
                <w:color w:val="auto"/>
                <w:kern w:val="2"/>
              </w:rPr>
              <w:t>路由交换机</w:t>
            </w:r>
          </w:p>
        </w:tc>
        <w:tc>
          <w:tcPr>
            <w:tcW w:w="894"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olor w:val="auto"/>
                <w:kern w:val="2"/>
              </w:rPr>
            </w:pPr>
            <w:r>
              <w:rPr>
                <w:rFonts w:hint="default" w:ascii="宋体" w:hAnsi="宋体"/>
                <w:color w:val="auto"/>
                <w:kern w:val="2"/>
              </w:rPr>
              <w:t>H3C</w:t>
            </w:r>
          </w:p>
        </w:tc>
        <w:tc>
          <w:tcPr>
            <w:tcW w:w="709" w:type="dxa"/>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台</w:t>
            </w:r>
          </w:p>
        </w:tc>
        <w:tc>
          <w:tcPr>
            <w:tcW w:w="708" w:type="dxa"/>
            <w:vAlign w:val="center"/>
          </w:tcPr>
          <w:p>
            <w:pPr>
              <w:keepNext w:val="0"/>
              <w:keepLines w:val="0"/>
              <w:widowControl/>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default" w:ascii="宋体" w:hAnsi="宋体" w:cs="宋体"/>
                <w:color w:val="auto"/>
                <w:kern w:val="2"/>
              </w:rPr>
              <w:t>2</w:t>
            </w:r>
          </w:p>
        </w:tc>
        <w:tc>
          <w:tcPr>
            <w:tcW w:w="25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控制中心A1栋6层数据中心机房</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676"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kern w:val="2"/>
              </w:rPr>
            </w:pPr>
            <w:r>
              <w:rPr>
                <w:rFonts w:hint="default" w:ascii="宋体" w:hAnsi="宋体" w:cs="宋体"/>
                <w:color w:val="auto"/>
                <w:kern w:val="2"/>
              </w:rPr>
              <w:t>2</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 xml:space="preserve">S10506 </w:t>
            </w:r>
          </w:p>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以太网交换机</w:t>
            </w:r>
          </w:p>
        </w:tc>
        <w:tc>
          <w:tcPr>
            <w:tcW w:w="894"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olor w:val="auto"/>
                <w:kern w:val="2"/>
              </w:rPr>
            </w:pPr>
            <w:r>
              <w:rPr>
                <w:rFonts w:hint="default" w:ascii="宋体" w:hAnsi="宋体"/>
                <w:color w:val="auto"/>
                <w:kern w:val="2"/>
              </w:rPr>
              <w:t>H3C</w:t>
            </w:r>
          </w:p>
        </w:tc>
        <w:tc>
          <w:tcPr>
            <w:tcW w:w="709" w:type="dxa"/>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台</w:t>
            </w:r>
          </w:p>
        </w:tc>
        <w:tc>
          <w:tcPr>
            <w:tcW w:w="708" w:type="dxa"/>
            <w:vAlign w:val="center"/>
          </w:tcPr>
          <w:p>
            <w:pPr>
              <w:keepNext w:val="0"/>
              <w:keepLines w:val="0"/>
              <w:widowControl/>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8</w:t>
            </w:r>
          </w:p>
        </w:tc>
        <w:tc>
          <w:tcPr>
            <w:tcW w:w="25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控制中心A1栋6层数据中心机房及1层商用机房、屯里车辆段维修楼4层OA机房、西乡塘停车场综合楼2层OA机房。</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6"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kern w:val="2"/>
              </w:rPr>
            </w:pPr>
            <w:r>
              <w:rPr>
                <w:rFonts w:hint="default" w:ascii="宋体" w:hAnsi="宋体" w:cs="宋体"/>
                <w:color w:val="auto"/>
                <w:kern w:val="2"/>
              </w:rPr>
              <w:t>3</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 xml:space="preserve">S10508 </w:t>
            </w:r>
          </w:p>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以太网交换机</w:t>
            </w:r>
          </w:p>
        </w:tc>
        <w:tc>
          <w:tcPr>
            <w:tcW w:w="894"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olor w:val="auto"/>
                <w:kern w:val="2"/>
              </w:rPr>
            </w:pPr>
            <w:r>
              <w:rPr>
                <w:rFonts w:hint="default" w:ascii="宋体" w:hAnsi="宋体"/>
                <w:color w:val="auto"/>
                <w:kern w:val="2"/>
              </w:rPr>
              <w:t>H3C</w:t>
            </w:r>
          </w:p>
        </w:tc>
        <w:tc>
          <w:tcPr>
            <w:tcW w:w="709" w:type="dxa"/>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台</w:t>
            </w:r>
          </w:p>
        </w:tc>
        <w:tc>
          <w:tcPr>
            <w:tcW w:w="708" w:type="dxa"/>
            <w:vAlign w:val="center"/>
          </w:tcPr>
          <w:p>
            <w:pPr>
              <w:keepNext w:val="0"/>
              <w:keepLines w:val="0"/>
              <w:widowControl/>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2</w:t>
            </w:r>
          </w:p>
        </w:tc>
        <w:tc>
          <w:tcPr>
            <w:tcW w:w="25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安吉综合基地信号楼</w:t>
            </w:r>
            <w:r>
              <w:rPr>
                <w:rFonts w:hint="default" w:ascii="宋体" w:hAnsi="宋体"/>
                <w:color w:val="auto"/>
                <w:kern w:val="2"/>
              </w:rPr>
              <w:t>1层通信机房</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6"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kern w:val="2"/>
              </w:rPr>
            </w:pPr>
            <w:r>
              <w:rPr>
                <w:rFonts w:hint="default" w:ascii="宋体" w:hAnsi="宋体" w:cs="宋体"/>
                <w:color w:val="auto"/>
                <w:kern w:val="2"/>
              </w:rPr>
              <w:t>4</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S</w:t>
            </w:r>
            <w:r>
              <w:rPr>
                <w:rFonts w:hint="eastAsia" w:ascii="宋体" w:hAnsi="宋体"/>
                <w:color w:val="auto"/>
                <w:kern w:val="2"/>
              </w:rPr>
              <w:t>5820</w:t>
            </w:r>
          </w:p>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以太网交换机</w:t>
            </w:r>
          </w:p>
        </w:tc>
        <w:tc>
          <w:tcPr>
            <w:tcW w:w="894"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olor w:val="auto"/>
                <w:kern w:val="2"/>
              </w:rPr>
            </w:pPr>
            <w:r>
              <w:rPr>
                <w:rFonts w:hint="default" w:ascii="宋体" w:hAnsi="宋体"/>
                <w:color w:val="auto"/>
                <w:kern w:val="2"/>
              </w:rPr>
              <w:t>H3C</w:t>
            </w:r>
          </w:p>
        </w:tc>
        <w:tc>
          <w:tcPr>
            <w:tcW w:w="709" w:type="dxa"/>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台</w:t>
            </w:r>
          </w:p>
        </w:tc>
        <w:tc>
          <w:tcPr>
            <w:tcW w:w="708" w:type="dxa"/>
            <w:vAlign w:val="center"/>
          </w:tcPr>
          <w:p>
            <w:pPr>
              <w:keepNext w:val="0"/>
              <w:keepLines w:val="0"/>
              <w:widowControl/>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2</w:t>
            </w:r>
          </w:p>
        </w:tc>
        <w:tc>
          <w:tcPr>
            <w:tcW w:w="25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控制中心A1栋6层数据中心机房</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6"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kern w:val="2"/>
              </w:rPr>
            </w:pPr>
            <w:r>
              <w:rPr>
                <w:rFonts w:hint="eastAsia" w:ascii="宋体" w:hAnsi="宋体" w:cs="宋体"/>
                <w:color w:val="auto"/>
                <w:kern w:val="2"/>
              </w:rPr>
              <w:t>5</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CN6600B</w:t>
            </w:r>
          </w:p>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光纤交换机</w:t>
            </w:r>
          </w:p>
        </w:tc>
        <w:tc>
          <w:tcPr>
            <w:tcW w:w="894"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olor w:val="auto"/>
                <w:kern w:val="2"/>
              </w:rPr>
            </w:pPr>
            <w:r>
              <w:rPr>
                <w:rFonts w:hint="default" w:ascii="宋体" w:hAnsi="宋体"/>
                <w:color w:val="auto"/>
                <w:kern w:val="2"/>
              </w:rPr>
              <w:t>H3C</w:t>
            </w:r>
          </w:p>
        </w:tc>
        <w:tc>
          <w:tcPr>
            <w:tcW w:w="709" w:type="dxa"/>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olor w:val="auto"/>
                <w:kern w:val="2"/>
              </w:rPr>
              <w:t>台</w:t>
            </w:r>
          </w:p>
        </w:tc>
        <w:tc>
          <w:tcPr>
            <w:tcW w:w="708" w:type="dxa"/>
            <w:vAlign w:val="center"/>
          </w:tcPr>
          <w:p>
            <w:pPr>
              <w:keepNext w:val="0"/>
              <w:keepLines w:val="0"/>
              <w:widowControl/>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olor w:val="auto"/>
                <w:kern w:val="2"/>
              </w:rPr>
              <w:t>2</w:t>
            </w:r>
          </w:p>
        </w:tc>
        <w:tc>
          <w:tcPr>
            <w:tcW w:w="25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控制中心A1栋6层数据中心机房</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6"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kern w:val="2"/>
              </w:rPr>
            </w:pPr>
            <w:r>
              <w:rPr>
                <w:rFonts w:hint="eastAsia" w:ascii="宋体" w:hAnsi="宋体" w:cs="宋体"/>
                <w:color w:val="auto"/>
                <w:kern w:val="2"/>
              </w:rPr>
              <w:t>6</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 xml:space="preserve">S3600V2-28TP-EI </w:t>
            </w:r>
          </w:p>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以太网交换机</w:t>
            </w:r>
          </w:p>
        </w:tc>
        <w:tc>
          <w:tcPr>
            <w:tcW w:w="894"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H3C</w:t>
            </w:r>
          </w:p>
        </w:tc>
        <w:tc>
          <w:tcPr>
            <w:tcW w:w="709" w:type="dxa"/>
            <w:vAlign w:val="center"/>
          </w:tcPr>
          <w:p>
            <w:pPr>
              <w:keepNext w:val="0"/>
              <w:keepLines w:val="0"/>
              <w:widowControl w:val="0"/>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s="宋体"/>
                <w:color w:val="auto"/>
                <w:kern w:val="2"/>
              </w:rPr>
              <w:t>台</w:t>
            </w:r>
          </w:p>
        </w:tc>
        <w:tc>
          <w:tcPr>
            <w:tcW w:w="7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s="宋体"/>
                <w:color w:val="auto"/>
                <w:kern w:val="2"/>
              </w:rPr>
              <w:t>1</w:t>
            </w:r>
          </w:p>
        </w:tc>
        <w:tc>
          <w:tcPr>
            <w:tcW w:w="25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控制中心A1栋6层数据中心机房</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6"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kern w:val="2"/>
              </w:rPr>
            </w:pPr>
            <w:r>
              <w:rPr>
                <w:rFonts w:hint="eastAsia" w:ascii="宋体" w:hAnsi="宋体" w:cs="宋体"/>
                <w:color w:val="auto"/>
                <w:kern w:val="2"/>
              </w:rPr>
              <w:t>7</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WX3510E</w:t>
            </w:r>
          </w:p>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无线控制器</w:t>
            </w:r>
          </w:p>
        </w:tc>
        <w:tc>
          <w:tcPr>
            <w:tcW w:w="894"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olor w:val="auto"/>
                <w:kern w:val="2"/>
              </w:rPr>
            </w:pPr>
            <w:r>
              <w:rPr>
                <w:rFonts w:hint="default" w:ascii="宋体" w:hAnsi="宋体"/>
                <w:color w:val="auto"/>
                <w:kern w:val="2"/>
              </w:rPr>
              <w:t>H3C</w:t>
            </w:r>
          </w:p>
        </w:tc>
        <w:tc>
          <w:tcPr>
            <w:tcW w:w="709" w:type="dxa"/>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台</w:t>
            </w:r>
          </w:p>
        </w:tc>
        <w:tc>
          <w:tcPr>
            <w:tcW w:w="708" w:type="dxa"/>
            <w:vAlign w:val="center"/>
          </w:tcPr>
          <w:p>
            <w:pPr>
              <w:keepNext w:val="0"/>
              <w:keepLines w:val="0"/>
              <w:widowControl/>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default" w:ascii="宋体" w:hAnsi="宋体" w:cs="宋体"/>
                <w:color w:val="auto"/>
                <w:kern w:val="2"/>
              </w:rPr>
              <w:t>1</w:t>
            </w:r>
          </w:p>
        </w:tc>
        <w:tc>
          <w:tcPr>
            <w:tcW w:w="25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控制中心A1栋1层商用机房</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6"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kern w:val="2"/>
              </w:rPr>
            </w:pPr>
            <w:r>
              <w:rPr>
                <w:rFonts w:hint="eastAsia" w:ascii="宋体" w:hAnsi="宋体" w:cs="宋体"/>
                <w:color w:val="auto"/>
                <w:kern w:val="2"/>
              </w:rPr>
              <w:t>8</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 xml:space="preserve">S12708 </w:t>
            </w:r>
          </w:p>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以太网交换机</w:t>
            </w:r>
          </w:p>
        </w:tc>
        <w:tc>
          <w:tcPr>
            <w:tcW w:w="894"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olor w:val="auto"/>
                <w:kern w:val="2"/>
              </w:rPr>
            </w:pPr>
            <w:r>
              <w:rPr>
                <w:rFonts w:hint="default" w:ascii="宋体" w:hAnsi="宋体"/>
                <w:color w:val="auto"/>
                <w:kern w:val="2"/>
              </w:rPr>
              <w:t>华为</w:t>
            </w:r>
          </w:p>
        </w:tc>
        <w:tc>
          <w:tcPr>
            <w:tcW w:w="709" w:type="dxa"/>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olor w:val="auto"/>
                <w:kern w:val="2"/>
              </w:rPr>
              <w:t>台</w:t>
            </w:r>
          </w:p>
        </w:tc>
        <w:tc>
          <w:tcPr>
            <w:tcW w:w="708" w:type="dxa"/>
            <w:vAlign w:val="center"/>
          </w:tcPr>
          <w:p>
            <w:pPr>
              <w:keepNext w:val="0"/>
              <w:keepLines w:val="0"/>
              <w:widowControl/>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default" w:ascii="宋体" w:hAnsi="宋体"/>
                <w:color w:val="auto"/>
                <w:kern w:val="2"/>
              </w:rPr>
              <w:t>4</w:t>
            </w:r>
          </w:p>
        </w:tc>
        <w:tc>
          <w:tcPr>
            <w:tcW w:w="25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心圩车辆段通信机房、新村停车场通信机房</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6"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kern w:val="2"/>
              </w:rPr>
            </w:pPr>
            <w:r>
              <w:rPr>
                <w:rFonts w:hint="eastAsia" w:ascii="宋体" w:hAnsi="宋体" w:cs="宋体"/>
                <w:color w:val="auto"/>
                <w:kern w:val="2"/>
              </w:rPr>
              <w:t>9</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 xml:space="preserve">8908E </w:t>
            </w:r>
          </w:p>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以太网交换机</w:t>
            </w:r>
          </w:p>
        </w:tc>
        <w:tc>
          <w:tcPr>
            <w:tcW w:w="894"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olor w:val="auto"/>
                <w:kern w:val="2"/>
              </w:rPr>
            </w:pPr>
            <w:r>
              <w:rPr>
                <w:rFonts w:hint="eastAsia" w:ascii="宋体" w:hAnsi="宋体"/>
                <w:color w:val="auto"/>
                <w:kern w:val="2"/>
              </w:rPr>
              <w:t>中兴</w:t>
            </w:r>
          </w:p>
        </w:tc>
        <w:tc>
          <w:tcPr>
            <w:tcW w:w="709" w:type="dxa"/>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olor w:val="auto"/>
                <w:kern w:val="2"/>
              </w:rPr>
              <w:t>台</w:t>
            </w:r>
          </w:p>
        </w:tc>
        <w:tc>
          <w:tcPr>
            <w:tcW w:w="708" w:type="dxa"/>
            <w:vAlign w:val="center"/>
          </w:tcPr>
          <w:p>
            <w:pPr>
              <w:keepNext w:val="0"/>
              <w:keepLines w:val="0"/>
              <w:widowControl/>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default" w:ascii="宋体" w:hAnsi="宋体"/>
                <w:color w:val="auto"/>
                <w:kern w:val="2"/>
              </w:rPr>
              <w:t>4</w:t>
            </w:r>
          </w:p>
        </w:tc>
        <w:tc>
          <w:tcPr>
            <w:tcW w:w="25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五象车辆段通信机房、那洪车辆段通信机房</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6"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kern w:val="2"/>
              </w:rPr>
            </w:pPr>
            <w:r>
              <w:rPr>
                <w:rFonts w:hint="eastAsia" w:ascii="宋体" w:hAnsi="宋体" w:cs="宋体"/>
                <w:color w:val="auto"/>
                <w:kern w:val="2"/>
              </w:rPr>
              <w:t>10</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iMC</w:t>
            </w:r>
            <w:r>
              <w:rPr>
                <w:rFonts w:hint="eastAsia" w:ascii="宋体" w:hAnsi="宋体"/>
                <w:color w:val="auto"/>
                <w:kern w:val="2"/>
              </w:rPr>
              <w:t>智能管理  平台</w:t>
            </w:r>
          </w:p>
        </w:tc>
        <w:tc>
          <w:tcPr>
            <w:tcW w:w="894"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olor w:val="auto"/>
                <w:kern w:val="2"/>
              </w:rPr>
            </w:pPr>
            <w:r>
              <w:rPr>
                <w:rFonts w:hint="default" w:ascii="宋体" w:hAnsi="宋体"/>
                <w:color w:val="auto"/>
                <w:kern w:val="2"/>
              </w:rPr>
              <w:t>H3C</w:t>
            </w:r>
          </w:p>
        </w:tc>
        <w:tc>
          <w:tcPr>
            <w:tcW w:w="709" w:type="dxa"/>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套</w:t>
            </w:r>
          </w:p>
        </w:tc>
        <w:tc>
          <w:tcPr>
            <w:tcW w:w="708" w:type="dxa"/>
            <w:vAlign w:val="center"/>
          </w:tcPr>
          <w:p>
            <w:pPr>
              <w:keepNext w:val="0"/>
              <w:keepLines w:val="0"/>
              <w:widowControl/>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default" w:ascii="宋体" w:hAnsi="宋体" w:cs="宋体"/>
                <w:color w:val="auto"/>
                <w:kern w:val="2"/>
              </w:rPr>
              <w:t>1</w:t>
            </w:r>
          </w:p>
        </w:tc>
        <w:tc>
          <w:tcPr>
            <w:tcW w:w="25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控制中心A1栋6层数据中心机房</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6"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kern w:val="2"/>
              </w:rPr>
            </w:pPr>
            <w:r>
              <w:rPr>
                <w:rFonts w:hint="eastAsia" w:ascii="宋体" w:hAnsi="宋体" w:cs="宋体"/>
                <w:color w:val="auto"/>
                <w:kern w:val="2"/>
              </w:rPr>
              <w:t>11</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eSight智能管理平台</w:t>
            </w:r>
          </w:p>
        </w:tc>
        <w:tc>
          <w:tcPr>
            <w:tcW w:w="894"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olor w:val="auto"/>
                <w:kern w:val="2"/>
              </w:rPr>
            </w:pPr>
            <w:r>
              <w:rPr>
                <w:rFonts w:hint="default" w:ascii="宋体" w:hAnsi="宋体"/>
                <w:color w:val="auto"/>
                <w:kern w:val="2"/>
              </w:rPr>
              <w:t>华为</w:t>
            </w:r>
          </w:p>
        </w:tc>
        <w:tc>
          <w:tcPr>
            <w:tcW w:w="709" w:type="dxa"/>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套</w:t>
            </w:r>
          </w:p>
        </w:tc>
        <w:tc>
          <w:tcPr>
            <w:tcW w:w="708" w:type="dxa"/>
            <w:vAlign w:val="center"/>
          </w:tcPr>
          <w:p>
            <w:pPr>
              <w:keepNext w:val="0"/>
              <w:keepLines w:val="0"/>
              <w:widowControl/>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1</w:t>
            </w:r>
          </w:p>
        </w:tc>
        <w:tc>
          <w:tcPr>
            <w:tcW w:w="25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控制中心A1栋6层数据中心机房</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6"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kern w:val="2"/>
              </w:rPr>
            </w:pPr>
            <w:r>
              <w:rPr>
                <w:rFonts w:hint="eastAsia" w:ascii="宋体" w:hAnsi="宋体" w:cs="宋体"/>
                <w:color w:val="auto"/>
                <w:kern w:val="2"/>
              </w:rPr>
              <w:t>12</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U31网管系统</w:t>
            </w:r>
          </w:p>
        </w:tc>
        <w:tc>
          <w:tcPr>
            <w:tcW w:w="894"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olor w:val="auto"/>
                <w:kern w:val="2"/>
              </w:rPr>
            </w:pPr>
            <w:r>
              <w:rPr>
                <w:rFonts w:hint="eastAsia" w:ascii="宋体" w:hAnsi="宋体"/>
                <w:color w:val="auto"/>
                <w:kern w:val="2"/>
              </w:rPr>
              <w:t>中兴</w:t>
            </w:r>
          </w:p>
        </w:tc>
        <w:tc>
          <w:tcPr>
            <w:tcW w:w="709" w:type="dxa"/>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套</w:t>
            </w:r>
          </w:p>
        </w:tc>
        <w:tc>
          <w:tcPr>
            <w:tcW w:w="708" w:type="dxa"/>
            <w:vAlign w:val="center"/>
          </w:tcPr>
          <w:p>
            <w:pPr>
              <w:keepNext w:val="0"/>
              <w:keepLines w:val="0"/>
              <w:widowControl/>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1</w:t>
            </w:r>
          </w:p>
        </w:tc>
        <w:tc>
          <w:tcPr>
            <w:tcW w:w="25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控制中心A1栋6层数据中心机房</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6"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kern w:val="2"/>
              </w:rPr>
            </w:pPr>
            <w:r>
              <w:rPr>
                <w:rFonts w:hint="eastAsia" w:ascii="宋体" w:hAnsi="宋体" w:cs="宋体"/>
                <w:color w:val="auto"/>
                <w:kern w:val="2"/>
              </w:rPr>
              <w:t>13</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 xml:space="preserve">S5130 </w:t>
            </w:r>
          </w:p>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以太网交换机</w:t>
            </w:r>
          </w:p>
        </w:tc>
        <w:tc>
          <w:tcPr>
            <w:tcW w:w="894"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olor w:val="auto"/>
                <w:kern w:val="2"/>
              </w:rPr>
            </w:pPr>
            <w:r>
              <w:rPr>
                <w:rFonts w:hint="default" w:ascii="宋体" w:hAnsi="宋体"/>
                <w:color w:val="auto"/>
                <w:kern w:val="2"/>
              </w:rPr>
              <w:t>H3C</w:t>
            </w:r>
          </w:p>
        </w:tc>
        <w:tc>
          <w:tcPr>
            <w:tcW w:w="709" w:type="dxa"/>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台</w:t>
            </w:r>
          </w:p>
        </w:tc>
        <w:tc>
          <w:tcPr>
            <w:tcW w:w="708" w:type="dxa"/>
            <w:vAlign w:val="center"/>
          </w:tcPr>
          <w:p>
            <w:pPr>
              <w:keepNext w:val="0"/>
              <w:keepLines w:val="0"/>
              <w:widowControl/>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145</w:t>
            </w:r>
          </w:p>
        </w:tc>
        <w:tc>
          <w:tcPr>
            <w:tcW w:w="25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控制中心、屯里车辆段、西乡塘停车场及</w:t>
            </w:r>
            <w:r>
              <w:rPr>
                <w:rFonts w:hint="default" w:ascii="宋体" w:hAnsi="宋体"/>
                <w:color w:val="auto"/>
                <w:kern w:val="2"/>
              </w:rPr>
              <w:t>1号线</w:t>
            </w:r>
            <w:r>
              <w:rPr>
                <w:rFonts w:hint="eastAsia" w:ascii="宋体" w:hAnsi="宋体"/>
                <w:color w:val="auto"/>
                <w:kern w:val="2"/>
              </w:rPr>
              <w:t>沿线各个站点</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6"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kern w:val="2"/>
              </w:rPr>
            </w:pPr>
            <w:r>
              <w:rPr>
                <w:rFonts w:hint="eastAsia" w:ascii="宋体" w:hAnsi="宋体" w:cs="宋体"/>
                <w:color w:val="auto"/>
                <w:kern w:val="2"/>
              </w:rPr>
              <w:t>14</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S5</w:t>
            </w:r>
            <w:r>
              <w:rPr>
                <w:rFonts w:hint="eastAsia" w:ascii="宋体" w:hAnsi="宋体"/>
                <w:color w:val="auto"/>
                <w:kern w:val="2"/>
              </w:rPr>
              <w:t>560</w:t>
            </w:r>
            <w:r>
              <w:rPr>
                <w:rFonts w:hint="default" w:ascii="宋体" w:hAnsi="宋体"/>
                <w:color w:val="auto"/>
                <w:kern w:val="2"/>
              </w:rPr>
              <w:t xml:space="preserve"> </w:t>
            </w:r>
          </w:p>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以太网交换机</w:t>
            </w:r>
          </w:p>
        </w:tc>
        <w:tc>
          <w:tcPr>
            <w:tcW w:w="894"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olor w:val="auto"/>
                <w:kern w:val="2"/>
              </w:rPr>
            </w:pPr>
            <w:r>
              <w:rPr>
                <w:rFonts w:hint="default" w:ascii="宋体" w:hAnsi="宋体"/>
                <w:color w:val="auto"/>
                <w:kern w:val="2"/>
              </w:rPr>
              <w:t>H3C</w:t>
            </w:r>
          </w:p>
        </w:tc>
        <w:tc>
          <w:tcPr>
            <w:tcW w:w="709" w:type="dxa"/>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台</w:t>
            </w:r>
          </w:p>
        </w:tc>
        <w:tc>
          <w:tcPr>
            <w:tcW w:w="708" w:type="dxa"/>
            <w:vAlign w:val="center"/>
          </w:tcPr>
          <w:p>
            <w:pPr>
              <w:keepNext w:val="0"/>
              <w:keepLines w:val="0"/>
              <w:widowControl/>
              <w:suppressLineNumbers w:val="0"/>
              <w:spacing w:before="0" w:beforeAutospacing="0" w:after="0" w:afterAutospacing="0" w:line="240" w:lineRule="auto"/>
              <w:ind w:left="0" w:right="0" w:firstLine="0"/>
              <w:jc w:val="center"/>
              <w:rPr>
                <w:rFonts w:hint="default" w:ascii="宋体" w:hAnsi="宋体" w:cs="宋体"/>
                <w:color w:val="auto"/>
                <w:kern w:val="2"/>
              </w:rPr>
            </w:pPr>
            <w:r>
              <w:rPr>
                <w:rFonts w:hint="eastAsia" w:ascii="宋体" w:hAnsi="宋体" w:cs="宋体"/>
                <w:color w:val="auto"/>
                <w:kern w:val="2"/>
              </w:rPr>
              <w:t>71</w:t>
            </w:r>
          </w:p>
        </w:tc>
        <w:tc>
          <w:tcPr>
            <w:tcW w:w="25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安吉综合基地及</w:t>
            </w:r>
            <w:r>
              <w:rPr>
                <w:rFonts w:hint="default" w:ascii="宋体" w:hAnsi="宋体"/>
                <w:color w:val="auto"/>
                <w:kern w:val="2"/>
              </w:rPr>
              <w:t>2号线</w:t>
            </w:r>
            <w:r>
              <w:rPr>
                <w:rFonts w:hint="eastAsia" w:ascii="宋体" w:hAnsi="宋体"/>
                <w:color w:val="auto"/>
                <w:kern w:val="2"/>
              </w:rPr>
              <w:t>沿线各个站点</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6"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kern w:val="2"/>
              </w:rPr>
            </w:pPr>
            <w:r>
              <w:rPr>
                <w:rFonts w:hint="eastAsia" w:ascii="宋体" w:hAnsi="宋体" w:cs="宋体"/>
                <w:color w:val="auto"/>
                <w:kern w:val="2"/>
              </w:rPr>
              <w:t>15</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S</w:t>
            </w:r>
            <w:r>
              <w:rPr>
                <w:rFonts w:hint="default" w:ascii="宋体" w:hAnsi="宋体"/>
                <w:color w:val="auto"/>
                <w:kern w:val="2"/>
              </w:rPr>
              <w:t xml:space="preserve">5720  </w:t>
            </w:r>
          </w:p>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以太网交换机</w:t>
            </w:r>
          </w:p>
        </w:tc>
        <w:tc>
          <w:tcPr>
            <w:tcW w:w="894"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华为</w:t>
            </w:r>
          </w:p>
        </w:tc>
        <w:tc>
          <w:tcPr>
            <w:tcW w:w="709" w:type="dxa"/>
            <w:vAlign w:val="center"/>
          </w:tcPr>
          <w:p>
            <w:pPr>
              <w:keepNext w:val="0"/>
              <w:keepLines w:val="0"/>
              <w:widowControl w:val="0"/>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台</w:t>
            </w:r>
          </w:p>
        </w:tc>
        <w:tc>
          <w:tcPr>
            <w:tcW w:w="7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71</w:t>
            </w:r>
          </w:p>
        </w:tc>
        <w:tc>
          <w:tcPr>
            <w:tcW w:w="25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心圩车辆段、新村停车场及</w:t>
            </w:r>
            <w:r>
              <w:rPr>
                <w:rFonts w:hint="default" w:ascii="宋体" w:hAnsi="宋体"/>
                <w:color w:val="auto"/>
                <w:kern w:val="2"/>
              </w:rPr>
              <w:t>3号线</w:t>
            </w:r>
            <w:r>
              <w:rPr>
                <w:rFonts w:hint="eastAsia" w:ascii="宋体" w:hAnsi="宋体"/>
                <w:color w:val="auto"/>
                <w:kern w:val="2"/>
              </w:rPr>
              <w:t>沿线各个站点</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76" w:type="dxa"/>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kern w:val="2"/>
              </w:rPr>
            </w:pPr>
            <w:r>
              <w:rPr>
                <w:rFonts w:hint="eastAsia" w:ascii="宋体" w:hAnsi="宋体" w:cs="宋体"/>
                <w:color w:val="auto"/>
                <w:kern w:val="2"/>
              </w:rPr>
              <w:t>16</w:t>
            </w:r>
          </w:p>
        </w:tc>
        <w:tc>
          <w:tcPr>
            <w:tcW w:w="180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 xml:space="preserve">5950  </w:t>
            </w:r>
          </w:p>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以太网交换机</w:t>
            </w:r>
          </w:p>
        </w:tc>
        <w:tc>
          <w:tcPr>
            <w:tcW w:w="894"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中兴</w:t>
            </w:r>
          </w:p>
        </w:tc>
        <w:tc>
          <w:tcPr>
            <w:tcW w:w="709" w:type="dxa"/>
            <w:vAlign w:val="center"/>
          </w:tcPr>
          <w:p>
            <w:pPr>
              <w:keepNext w:val="0"/>
              <w:keepLines w:val="0"/>
              <w:widowControl w:val="0"/>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台</w:t>
            </w:r>
          </w:p>
        </w:tc>
        <w:tc>
          <w:tcPr>
            <w:tcW w:w="7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default" w:ascii="宋体" w:hAnsi="宋体"/>
                <w:color w:val="auto"/>
                <w:kern w:val="2"/>
              </w:rPr>
              <w:t>193</w:t>
            </w:r>
          </w:p>
        </w:tc>
        <w:tc>
          <w:tcPr>
            <w:tcW w:w="2508"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color w:val="auto"/>
                <w:kern w:val="2"/>
              </w:rPr>
            </w:pPr>
            <w:r>
              <w:rPr>
                <w:rFonts w:hint="eastAsia" w:ascii="宋体" w:hAnsi="宋体"/>
                <w:color w:val="auto"/>
                <w:kern w:val="2"/>
              </w:rPr>
              <w:t>象车辆段、那洪车辆段及</w:t>
            </w:r>
            <w:r>
              <w:rPr>
                <w:rFonts w:hint="default" w:ascii="宋体" w:hAnsi="宋体"/>
                <w:color w:val="auto"/>
                <w:kern w:val="2"/>
              </w:rPr>
              <w:t>4-5号线</w:t>
            </w:r>
            <w:r>
              <w:rPr>
                <w:rFonts w:hint="eastAsia" w:ascii="宋体" w:hAnsi="宋体"/>
                <w:color w:val="auto"/>
                <w:kern w:val="2"/>
              </w:rPr>
              <w:t>沿线各个站点</w:t>
            </w:r>
          </w:p>
        </w:tc>
        <w:tc>
          <w:tcPr>
            <w:tcW w:w="1221" w:type="dxa"/>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kern w:val="2"/>
              </w:rPr>
            </w:pPr>
          </w:p>
        </w:tc>
      </w:tr>
    </w:tbl>
    <w:p>
      <w:pPr>
        <w:pStyle w:val="32"/>
        <w:rPr>
          <w:color w:val="auto"/>
        </w:rPr>
      </w:pPr>
    </w:p>
    <w:p>
      <w:pPr>
        <w:pStyle w:val="32"/>
        <w:rPr>
          <w:color w:val="auto"/>
        </w:rPr>
      </w:pPr>
    </w:p>
    <w:p>
      <w:pPr>
        <w:pStyle w:val="32"/>
        <w:ind w:left="0" w:leftChars="0" w:firstLine="0" w:firstLineChars="0"/>
        <w:rPr>
          <w:color w:val="auto"/>
        </w:rPr>
      </w:pPr>
    </w:p>
    <w:p>
      <w:pPr>
        <w:pStyle w:val="32"/>
        <w:spacing w:before="0" w:after="0" w:afterAutospacing="0"/>
        <w:ind w:left="0" w:leftChars="0" w:right="0" w:firstLine="422" w:firstLineChars="0"/>
        <w:rPr>
          <w:color w:val="auto"/>
        </w:rPr>
      </w:pPr>
      <w:bookmarkStart w:id="2288" w:name="附件2"/>
      <w:bookmarkEnd w:id="2288"/>
      <w:r>
        <w:rPr>
          <w:rStyle w:val="46"/>
          <w:rFonts w:hint="eastAsia" w:ascii="宋体" w:hAnsi="宋体"/>
          <w:color w:val="auto"/>
          <w:sz w:val="21"/>
          <w:szCs w:val="21"/>
        </w:rPr>
        <w:t>附件</w:t>
      </w:r>
      <w:r>
        <w:rPr>
          <w:rStyle w:val="46"/>
          <w:rFonts w:ascii="宋体" w:hAnsi="宋体"/>
          <w:color w:val="auto"/>
          <w:sz w:val="21"/>
          <w:szCs w:val="21"/>
        </w:rPr>
        <w:t xml:space="preserve">2 </w:t>
      </w:r>
      <w:r>
        <w:rPr>
          <w:rStyle w:val="46"/>
          <w:rFonts w:hint="eastAsia" w:ascii="宋体" w:hAnsi="宋体"/>
          <w:color w:val="auto"/>
          <w:sz w:val="21"/>
          <w:szCs w:val="21"/>
        </w:rPr>
        <w:t xml:space="preserve"> </w:t>
      </w:r>
      <w:r>
        <w:rPr>
          <w:rStyle w:val="46"/>
          <w:rFonts w:ascii="宋体" w:hAnsi="宋体"/>
          <w:color w:val="auto"/>
          <w:sz w:val="21"/>
          <w:szCs w:val="21"/>
        </w:rPr>
        <w:t>1-5号线办公</w:t>
      </w:r>
      <w:r>
        <w:rPr>
          <w:rStyle w:val="46"/>
          <w:rFonts w:hint="eastAsia" w:ascii="宋体" w:hAnsi="宋体"/>
          <w:color w:val="auto"/>
          <w:sz w:val="21"/>
          <w:szCs w:val="21"/>
        </w:rPr>
        <w:t>网核心交换机设备板卡数量清单</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60"/>
        <w:gridCol w:w="3969"/>
        <w:gridCol w:w="992"/>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序号</w:t>
            </w:r>
          </w:p>
        </w:tc>
        <w:tc>
          <w:tcPr>
            <w:tcW w:w="156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设备名称    及型号</w:t>
            </w:r>
          </w:p>
        </w:tc>
        <w:tc>
          <w:tcPr>
            <w:tcW w:w="396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板卡名称及型号</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数量 （单台）</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单位</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w:t>
            </w:r>
          </w:p>
        </w:tc>
        <w:tc>
          <w:tcPr>
            <w:tcW w:w="1560" w:type="dxa"/>
            <w:vMerge w:val="restart"/>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H3C S12508X-AF  路由交换机</w:t>
            </w: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 xml:space="preserve">24端口万兆SFP+光纤接口以太网业务板：LSXM1TGS24FX1 </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 xml:space="preserve">48端口千兆SFP接口以太网业务板：LSXM1GP48FX1  </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3</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 xml:space="preserve">48端口万兆以太网电接口业务板：LSXM1TGT48FX1 </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4</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 xml:space="preserve">48端口千兆电口以太网接口业务板(RJ45)(FX)：LSXM1GT48FX1 </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5</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主控板：LSXM1SUPB1</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6</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交换网板：LSXM1SFF08A1</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4</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7</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电源模块：PSR2400-54A</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4</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8</w:t>
            </w:r>
          </w:p>
        </w:tc>
        <w:tc>
          <w:tcPr>
            <w:tcW w:w="1560" w:type="dxa"/>
            <w:vMerge w:val="restart"/>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default"/>
                <w:color w:val="auto"/>
              </w:rPr>
              <w:t>H3C S10506</w:t>
            </w:r>
            <w:r>
              <w:rPr>
                <w:rFonts w:hint="eastAsia"/>
                <w:color w:val="auto"/>
              </w:rPr>
              <w:t xml:space="preserve">    以太网交换机</w:t>
            </w: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10GBASE-R/SFP+光接口业务板：LSU1TGS32SF0</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9</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 xml:space="preserve">44个1000BASE-X-SFP光接口业务板：LSUM2GP44TSSE0 </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10</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 xml:space="preserve">10GBASE-T-RJ45电接口业务板：LSU1TGT24SF0 </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11</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 xml:space="preserve">10/100/1000BASE-T-RJ45电接口业务板：LSUM2GT48SE0 </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12</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主控板：LSUM1MPU06B0</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13</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交换网板：LSUM1FAB06C0</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14</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交流电源模块：LSUM1AC2500-2500W</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4</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15</w:t>
            </w:r>
          </w:p>
        </w:tc>
        <w:tc>
          <w:tcPr>
            <w:tcW w:w="1560" w:type="dxa"/>
            <w:vMerge w:val="restart"/>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default"/>
                <w:color w:val="auto"/>
              </w:rPr>
              <w:t xml:space="preserve">H3C S10508   </w:t>
            </w:r>
            <w:r>
              <w:rPr>
                <w:rFonts w:hint="eastAsia"/>
                <w:color w:val="auto"/>
              </w:rPr>
              <w:t xml:space="preserve"> 以太网交换机</w:t>
            </w: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 xml:space="preserve">1000BASE-X-SFP光接口业务板：LSUM1GP48FD0 </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16</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10/100/1000BASE-T-RJ45电接口业务板：LSUM2GT48SE0</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17</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 xml:space="preserve">10GBASE-R-SFP+光接口业务板：LSUM2TGS16SF0 </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4</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18</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主控板：LSUM1SUPC0</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19</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交换网板：LSU1FAB08B0</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3</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20</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交流电源模块：LSUM1AC1200-1200W</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21</w:t>
            </w:r>
          </w:p>
        </w:tc>
        <w:tc>
          <w:tcPr>
            <w:tcW w:w="1560" w:type="dxa"/>
            <w:vMerge w:val="restart"/>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华为 S12708   以太网交换机</w:t>
            </w: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48端口千兆电口以太网接口业务板：ET1D2G48TEA0</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22</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48端口千兆SFP接口以太网业务板：ET1D2G48SX1E</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23</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16端口万兆SFP接口以太网业务板：ET1D2S16SX2S</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24</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主控板：ET1D2MPUA000</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25</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line="240" w:lineRule="auto"/>
              <w:ind w:left="0" w:leftChars="0" w:firstLine="0" w:firstLineChars="0"/>
              <w:rPr>
                <w:rFonts w:hint="default"/>
                <w:color w:val="auto"/>
              </w:rPr>
            </w:pPr>
            <w:r>
              <w:rPr>
                <w:rFonts w:hint="eastAsia"/>
                <w:color w:val="auto"/>
              </w:rPr>
              <w:t>交换板：</w:t>
            </w:r>
          </w:p>
          <w:p>
            <w:pPr>
              <w:pStyle w:val="32"/>
              <w:keepNext w:val="0"/>
              <w:keepLines w:val="0"/>
              <w:widowControl/>
              <w:suppressLineNumbers w:val="0"/>
              <w:spacing w:beforeAutospacing="0" w:line="240" w:lineRule="auto"/>
              <w:ind w:left="0" w:leftChars="0" w:firstLine="0" w:firstLineChars="0"/>
              <w:rPr>
                <w:rFonts w:hint="default"/>
                <w:color w:val="auto"/>
              </w:rPr>
            </w:pPr>
            <w:r>
              <w:rPr>
                <w:rFonts w:hint="default"/>
                <w:color w:val="auto"/>
              </w:rPr>
              <w:t>-   ET1D2SFUA000</w:t>
            </w:r>
          </w:p>
          <w:p>
            <w:pPr>
              <w:pStyle w:val="32"/>
              <w:keepNext w:val="0"/>
              <w:keepLines w:val="0"/>
              <w:widowControl/>
              <w:suppressLineNumbers w:val="0"/>
              <w:spacing w:beforeAutospacing="0" w:line="240" w:lineRule="auto"/>
              <w:ind w:left="0" w:leftChars="0" w:firstLine="0" w:firstLineChars="0"/>
              <w:rPr>
                <w:rFonts w:hint="default"/>
                <w:color w:val="auto"/>
              </w:rPr>
            </w:pPr>
            <w:r>
              <w:rPr>
                <w:rFonts w:hint="eastAsia"/>
                <w:color w:val="auto"/>
              </w:rPr>
              <w:t xml:space="preserve">1   EH1D2VS08000     </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26</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监控板：EH1D200CMU00</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27</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 xml:space="preserve">电源模块：PAC3KS54-CB </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28</w:t>
            </w:r>
          </w:p>
        </w:tc>
        <w:tc>
          <w:tcPr>
            <w:tcW w:w="1560" w:type="dxa"/>
            <w:vMerge w:val="restart"/>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中兴 8908E   以太网交换机</w:t>
            </w: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16端口万兆光接口业务板：板h1xf16a</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29</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48端口千兆光接口业务板：s1gf48a</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30</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48端口千兆电接口业务板：s1gt48a</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31</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4端口万兆光接口业务板：h1xf4a</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1</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32</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主控板：8900ehmcua</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2</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33</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交换板：8900ehsfu3e</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4</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34</w:t>
            </w:r>
          </w:p>
        </w:tc>
        <w:tc>
          <w:tcPr>
            <w:tcW w:w="1560" w:type="dxa"/>
            <w:vMerge w:val="continue"/>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c>
          <w:tcPr>
            <w:tcW w:w="3969" w:type="dxa"/>
            <w:vAlign w:val="center"/>
          </w:tcPr>
          <w:p>
            <w:pPr>
              <w:pStyle w:val="32"/>
              <w:keepNext w:val="0"/>
              <w:keepLines w:val="0"/>
              <w:widowControl/>
              <w:suppressLineNumbers w:val="0"/>
              <w:spacing w:beforeAutospacing="0"/>
              <w:ind w:left="0" w:leftChars="0" w:firstLine="0" w:firstLineChars="0"/>
              <w:rPr>
                <w:rFonts w:hint="default"/>
                <w:color w:val="auto"/>
              </w:rPr>
            </w:pPr>
            <w:r>
              <w:rPr>
                <w:rFonts w:hint="eastAsia"/>
                <w:color w:val="auto"/>
              </w:rPr>
              <w:t>电源模块：8900E-ACPWA</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3</w:t>
            </w:r>
          </w:p>
        </w:tc>
        <w:tc>
          <w:tcPr>
            <w:tcW w:w="850"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r>
              <w:rPr>
                <w:rFonts w:hint="eastAsia"/>
                <w:color w:val="auto"/>
              </w:rPr>
              <w:t>块</w:t>
            </w:r>
          </w:p>
        </w:tc>
        <w:tc>
          <w:tcPr>
            <w:tcW w:w="709" w:type="dxa"/>
            <w:vAlign w:val="center"/>
          </w:tcPr>
          <w:p>
            <w:pPr>
              <w:pStyle w:val="32"/>
              <w:keepNext w:val="0"/>
              <w:keepLines w:val="0"/>
              <w:widowControl/>
              <w:suppressLineNumbers w:val="0"/>
              <w:spacing w:beforeAutospacing="0"/>
              <w:ind w:left="0" w:leftChars="0" w:firstLine="0" w:firstLineChars="0"/>
              <w:jc w:val="center"/>
              <w:rPr>
                <w:rFonts w:hint="default"/>
                <w:color w:val="auto"/>
              </w:rPr>
            </w:pPr>
          </w:p>
        </w:tc>
      </w:tr>
    </w:tbl>
    <w:p>
      <w:pPr>
        <w:pStyle w:val="32"/>
        <w:ind w:left="0" w:leftChars="0" w:firstLine="0" w:firstLineChars="0"/>
        <w:rPr>
          <w:color w:val="auto"/>
        </w:rPr>
      </w:pPr>
    </w:p>
    <w:p>
      <w:pPr>
        <w:pStyle w:val="32"/>
        <w:ind w:left="0" w:leftChars="0" w:firstLine="0" w:firstLineChars="0"/>
        <w:rPr>
          <w:color w:val="auto"/>
        </w:rPr>
      </w:pPr>
    </w:p>
    <w:p>
      <w:pPr>
        <w:pStyle w:val="32"/>
        <w:ind w:left="0" w:leftChars="0" w:firstLine="0" w:firstLineChars="0"/>
        <w:rPr>
          <w:color w:val="auto"/>
        </w:rPr>
      </w:pPr>
    </w:p>
    <w:p>
      <w:pPr>
        <w:pStyle w:val="32"/>
        <w:spacing w:before="0" w:after="0" w:afterAutospacing="0"/>
        <w:ind w:left="0" w:leftChars="0" w:right="0" w:firstLine="422" w:firstLineChars="0"/>
        <w:rPr>
          <w:rStyle w:val="46"/>
          <w:rFonts w:ascii="宋体" w:hAnsi="宋体"/>
          <w:sz w:val="21"/>
          <w:szCs w:val="21"/>
        </w:rPr>
      </w:pPr>
      <w:bookmarkStart w:id="2289" w:name="附件3"/>
      <w:bookmarkEnd w:id="2289"/>
      <w:r>
        <w:rPr>
          <w:rStyle w:val="46"/>
          <w:rFonts w:hint="eastAsia" w:ascii="宋体" w:hAnsi="宋体"/>
          <w:sz w:val="21"/>
          <w:szCs w:val="21"/>
        </w:rPr>
        <w:t>附件</w:t>
      </w:r>
      <w:r>
        <w:rPr>
          <w:rStyle w:val="46"/>
          <w:rFonts w:ascii="宋体" w:hAnsi="宋体"/>
          <w:sz w:val="21"/>
          <w:szCs w:val="21"/>
        </w:rPr>
        <w:t>3</w:t>
      </w:r>
      <w:r>
        <w:rPr>
          <w:rStyle w:val="46"/>
          <w:rFonts w:hint="eastAsia" w:ascii="宋体" w:hAnsi="宋体"/>
          <w:sz w:val="21"/>
          <w:szCs w:val="21"/>
        </w:rPr>
        <w:t xml:space="preserve"> 核心交换机板卡备件供应投标报价清单</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3308"/>
        <w:gridCol w:w="992"/>
        <w:gridCol w:w="992"/>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序号</w:t>
            </w:r>
          </w:p>
        </w:tc>
        <w:tc>
          <w:tcPr>
            <w:tcW w:w="3308"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板卡名称及型号</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 xml:space="preserve">数量 </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单位</w:t>
            </w:r>
          </w:p>
        </w:tc>
        <w:tc>
          <w:tcPr>
            <w:tcW w:w="1701" w:type="dxa"/>
          </w:tcPr>
          <w:p>
            <w:pPr>
              <w:pStyle w:val="32"/>
              <w:keepNext w:val="0"/>
              <w:keepLines w:val="0"/>
              <w:widowControl/>
              <w:suppressLineNumbers w:val="0"/>
              <w:spacing w:beforeAutospacing="0"/>
              <w:ind w:left="0" w:leftChars="0" w:firstLine="0" w:firstLineChars="0"/>
              <w:jc w:val="center"/>
              <w:rPr>
                <w:rFonts w:hint="default"/>
              </w:rPr>
            </w:pPr>
            <w:r>
              <w:rPr>
                <w:rFonts w:hint="eastAsia"/>
              </w:rPr>
              <w:t>所属设备</w:t>
            </w:r>
          </w:p>
        </w:tc>
        <w:tc>
          <w:tcPr>
            <w:tcW w:w="1134"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1</w:t>
            </w:r>
          </w:p>
        </w:tc>
        <w:tc>
          <w:tcPr>
            <w:tcW w:w="3308" w:type="dxa"/>
            <w:vAlign w:val="center"/>
          </w:tcPr>
          <w:p>
            <w:pPr>
              <w:pStyle w:val="32"/>
              <w:keepNext w:val="0"/>
              <w:keepLines w:val="0"/>
              <w:widowControl/>
              <w:suppressLineNumbers w:val="0"/>
              <w:spacing w:beforeAutospacing="0"/>
              <w:ind w:left="0" w:leftChars="0" w:firstLine="0" w:firstLineChars="0"/>
              <w:rPr>
                <w:rFonts w:hint="default"/>
              </w:rPr>
            </w:pPr>
            <w:r>
              <w:rPr>
                <w:rFonts w:hint="eastAsia"/>
              </w:rPr>
              <w:t xml:space="preserve">24端口万兆SFP+光纤接口以太网业务板：LSXM1TGS24FX1 </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2</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块</w:t>
            </w:r>
          </w:p>
        </w:tc>
        <w:tc>
          <w:tcPr>
            <w:tcW w:w="1701" w:type="dxa"/>
            <w:vMerge w:val="restart"/>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H3C S12508X-AF  路由交换机</w:t>
            </w:r>
          </w:p>
        </w:tc>
        <w:tc>
          <w:tcPr>
            <w:tcW w:w="1134" w:type="dxa"/>
            <w:vAlign w:val="center"/>
          </w:tcPr>
          <w:p>
            <w:pPr>
              <w:pStyle w:val="32"/>
              <w:keepNext w:val="0"/>
              <w:keepLines w:val="0"/>
              <w:widowControl/>
              <w:suppressLineNumbers w:val="0"/>
              <w:spacing w:beforeAutospacing="0"/>
              <w:ind w:left="0" w:leftChars="0" w:firstLine="0" w:firstLine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2</w:t>
            </w:r>
          </w:p>
        </w:tc>
        <w:tc>
          <w:tcPr>
            <w:tcW w:w="3308" w:type="dxa"/>
            <w:vAlign w:val="center"/>
          </w:tcPr>
          <w:p>
            <w:pPr>
              <w:pStyle w:val="32"/>
              <w:keepNext w:val="0"/>
              <w:keepLines w:val="0"/>
              <w:widowControl/>
              <w:suppressLineNumbers w:val="0"/>
              <w:spacing w:beforeAutospacing="0"/>
              <w:ind w:left="0" w:leftChars="0" w:firstLine="0" w:firstLineChars="0"/>
              <w:rPr>
                <w:rFonts w:hint="default"/>
              </w:rPr>
            </w:pPr>
            <w:r>
              <w:rPr>
                <w:rFonts w:hint="eastAsia"/>
              </w:rPr>
              <w:t>电源模块：PSR2400-54A</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2</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块</w:t>
            </w:r>
          </w:p>
        </w:tc>
        <w:tc>
          <w:tcPr>
            <w:tcW w:w="1701" w:type="dxa"/>
            <w:vMerge w:val="continue"/>
            <w:vAlign w:val="center"/>
          </w:tcPr>
          <w:p>
            <w:pPr>
              <w:pStyle w:val="32"/>
              <w:keepNext w:val="0"/>
              <w:keepLines w:val="0"/>
              <w:widowControl/>
              <w:suppressLineNumbers w:val="0"/>
              <w:spacing w:beforeAutospacing="0"/>
              <w:ind w:left="0" w:leftChars="0" w:firstLine="0" w:firstLineChars="0"/>
              <w:jc w:val="center"/>
              <w:rPr>
                <w:rFonts w:hint="default"/>
              </w:rPr>
            </w:pPr>
          </w:p>
        </w:tc>
        <w:tc>
          <w:tcPr>
            <w:tcW w:w="1134" w:type="dxa"/>
            <w:vAlign w:val="center"/>
          </w:tcPr>
          <w:p>
            <w:pPr>
              <w:pStyle w:val="32"/>
              <w:keepNext w:val="0"/>
              <w:keepLines w:val="0"/>
              <w:widowControl/>
              <w:suppressLineNumbers w:val="0"/>
              <w:spacing w:beforeAutospacing="0"/>
              <w:ind w:left="0" w:leftChars="0" w:firstLine="0" w:firstLine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3</w:t>
            </w:r>
          </w:p>
        </w:tc>
        <w:tc>
          <w:tcPr>
            <w:tcW w:w="3308" w:type="dxa"/>
            <w:vAlign w:val="center"/>
          </w:tcPr>
          <w:p>
            <w:pPr>
              <w:pStyle w:val="32"/>
              <w:keepNext w:val="0"/>
              <w:keepLines w:val="0"/>
              <w:widowControl/>
              <w:suppressLineNumbers w:val="0"/>
              <w:spacing w:beforeAutospacing="0"/>
              <w:ind w:left="0" w:leftChars="0" w:firstLine="0" w:firstLineChars="0"/>
              <w:rPr>
                <w:rFonts w:hint="default"/>
              </w:rPr>
            </w:pPr>
            <w:r>
              <w:rPr>
                <w:rFonts w:hint="eastAsia"/>
              </w:rPr>
              <w:t>24端口万兆以太网光接口(SFP+，LC)（FD）以太网业务板：LSUM1TGS24FD0</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1</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块</w:t>
            </w:r>
          </w:p>
        </w:tc>
        <w:tc>
          <w:tcPr>
            <w:tcW w:w="1701" w:type="dxa"/>
            <w:vMerge w:val="restart"/>
            <w:vAlign w:val="center"/>
          </w:tcPr>
          <w:p>
            <w:pPr>
              <w:pStyle w:val="32"/>
              <w:keepNext w:val="0"/>
              <w:keepLines w:val="0"/>
              <w:widowControl/>
              <w:suppressLineNumbers w:val="0"/>
              <w:spacing w:beforeAutospacing="0"/>
              <w:ind w:left="0" w:leftChars="0" w:firstLine="0" w:firstLineChars="0"/>
              <w:jc w:val="center"/>
              <w:rPr>
                <w:rFonts w:hint="default"/>
              </w:rPr>
            </w:pPr>
            <w:r>
              <w:rPr>
                <w:rFonts w:hint="default"/>
              </w:rPr>
              <w:t>H3C S10506</w:t>
            </w:r>
            <w:r>
              <w:rPr>
                <w:rFonts w:hint="eastAsia"/>
              </w:rPr>
              <w:t xml:space="preserve">    以太网交换机</w:t>
            </w:r>
          </w:p>
        </w:tc>
        <w:tc>
          <w:tcPr>
            <w:tcW w:w="1134" w:type="dxa"/>
            <w:vAlign w:val="center"/>
          </w:tcPr>
          <w:p>
            <w:pPr>
              <w:pStyle w:val="32"/>
              <w:keepNext w:val="0"/>
              <w:keepLines w:val="0"/>
              <w:widowControl/>
              <w:suppressLineNumbers w:val="0"/>
              <w:spacing w:beforeAutospacing="0"/>
              <w:ind w:left="0" w:leftChars="0" w:firstLine="0" w:firstLine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4</w:t>
            </w:r>
          </w:p>
        </w:tc>
        <w:tc>
          <w:tcPr>
            <w:tcW w:w="3308" w:type="dxa"/>
            <w:vAlign w:val="center"/>
          </w:tcPr>
          <w:p>
            <w:pPr>
              <w:pStyle w:val="32"/>
              <w:keepNext w:val="0"/>
              <w:keepLines w:val="0"/>
              <w:widowControl/>
              <w:suppressLineNumbers w:val="0"/>
              <w:spacing w:beforeAutospacing="0"/>
              <w:ind w:left="0" w:leftChars="0" w:firstLine="0" w:firstLineChars="0"/>
              <w:rPr>
                <w:rFonts w:hint="default"/>
              </w:rPr>
            </w:pPr>
            <w:r>
              <w:rPr>
                <w:rFonts w:hint="eastAsia"/>
              </w:rPr>
              <w:t xml:space="preserve">10/100/1000BASE-T-RJ45电接口业务板：LSUM2GT48SE0 </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1</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块</w:t>
            </w:r>
          </w:p>
        </w:tc>
        <w:tc>
          <w:tcPr>
            <w:tcW w:w="1701" w:type="dxa"/>
            <w:vMerge w:val="continue"/>
            <w:vAlign w:val="center"/>
          </w:tcPr>
          <w:p>
            <w:pPr>
              <w:pStyle w:val="32"/>
              <w:keepNext w:val="0"/>
              <w:keepLines w:val="0"/>
              <w:widowControl/>
              <w:suppressLineNumbers w:val="0"/>
              <w:spacing w:beforeAutospacing="0"/>
              <w:ind w:left="0" w:leftChars="0" w:firstLine="0" w:firstLineChars="0"/>
              <w:jc w:val="center"/>
              <w:rPr>
                <w:rFonts w:hint="default"/>
              </w:rPr>
            </w:pPr>
          </w:p>
        </w:tc>
        <w:tc>
          <w:tcPr>
            <w:tcW w:w="1134" w:type="dxa"/>
            <w:vAlign w:val="center"/>
          </w:tcPr>
          <w:p>
            <w:pPr>
              <w:pStyle w:val="32"/>
              <w:keepNext w:val="0"/>
              <w:keepLines w:val="0"/>
              <w:widowControl/>
              <w:suppressLineNumbers w:val="0"/>
              <w:spacing w:beforeAutospacing="0"/>
              <w:ind w:left="0" w:leftChars="0" w:firstLine="0" w:firstLine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5</w:t>
            </w:r>
          </w:p>
        </w:tc>
        <w:tc>
          <w:tcPr>
            <w:tcW w:w="3308" w:type="dxa"/>
            <w:vAlign w:val="center"/>
          </w:tcPr>
          <w:p>
            <w:pPr>
              <w:pStyle w:val="32"/>
              <w:keepNext w:val="0"/>
              <w:keepLines w:val="0"/>
              <w:widowControl/>
              <w:suppressLineNumbers w:val="0"/>
              <w:spacing w:beforeAutospacing="0"/>
              <w:ind w:left="0" w:leftChars="0" w:firstLine="0" w:firstLineChars="0"/>
              <w:rPr>
                <w:rFonts w:hint="default"/>
              </w:rPr>
            </w:pPr>
            <w:r>
              <w:rPr>
                <w:rFonts w:hint="eastAsia"/>
              </w:rPr>
              <w:t>交流电源模块：LSUM1AC1200-1200W</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2</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块</w:t>
            </w:r>
          </w:p>
        </w:tc>
        <w:tc>
          <w:tcPr>
            <w:tcW w:w="1701"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default"/>
              </w:rPr>
              <w:t xml:space="preserve">H3C S10508   </w:t>
            </w:r>
            <w:r>
              <w:rPr>
                <w:rFonts w:hint="eastAsia"/>
              </w:rPr>
              <w:t xml:space="preserve"> 以太网交换机</w:t>
            </w:r>
          </w:p>
        </w:tc>
        <w:tc>
          <w:tcPr>
            <w:tcW w:w="1134" w:type="dxa"/>
            <w:vAlign w:val="center"/>
          </w:tcPr>
          <w:p>
            <w:pPr>
              <w:pStyle w:val="32"/>
              <w:keepNext w:val="0"/>
              <w:keepLines w:val="0"/>
              <w:widowControl/>
              <w:suppressLineNumbers w:val="0"/>
              <w:spacing w:beforeAutospacing="0"/>
              <w:ind w:left="0" w:leftChars="0" w:firstLine="0" w:firstLine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6</w:t>
            </w:r>
          </w:p>
        </w:tc>
        <w:tc>
          <w:tcPr>
            <w:tcW w:w="3308" w:type="dxa"/>
            <w:vAlign w:val="center"/>
          </w:tcPr>
          <w:p>
            <w:pPr>
              <w:pStyle w:val="32"/>
              <w:keepNext w:val="0"/>
              <w:keepLines w:val="0"/>
              <w:widowControl/>
              <w:suppressLineNumbers w:val="0"/>
              <w:spacing w:beforeAutospacing="0"/>
              <w:ind w:left="0" w:leftChars="0" w:firstLine="0" w:firstLineChars="0"/>
              <w:rPr>
                <w:rFonts w:hint="default"/>
              </w:rPr>
            </w:pPr>
            <w:r>
              <w:rPr>
                <w:rFonts w:hint="eastAsia"/>
              </w:rPr>
              <w:t xml:space="preserve">48端口千兆SFP接口以太网业务板：ET1D2G48SX1E </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1</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块</w:t>
            </w:r>
          </w:p>
        </w:tc>
        <w:tc>
          <w:tcPr>
            <w:tcW w:w="1701"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华为 S12708   以太网交换机</w:t>
            </w:r>
          </w:p>
        </w:tc>
        <w:tc>
          <w:tcPr>
            <w:tcW w:w="1134" w:type="dxa"/>
            <w:vAlign w:val="center"/>
          </w:tcPr>
          <w:p>
            <w:pPr>
              <w:pStyle w:val="32"/>
              <w:keepNext w:val="0"/>
              <w:keepLines w:val="0"/>
              <w:widowControl/>
              <w:suppressLineNumbers w:val="0"/>
              <w:spacing w:beforeAutospacing="0"/>
              <w:ind w:left="0" w:leftChars="0" w:firstLine="0" w:firstLine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7</w:t>
            </w:r>
          </w:p>
        </w:tc>
        <w:tc>
          <w:tcPr>
            <w:tcW w:w="3308" w:type="dxa"/>
            <w:vAlign w:val="center"/>
          </w:tcPr>
          <w:p>
            <w:pPr>
              <w:pStyle w:val="32"/>
              <w:keepNext w:val="0"/>
              <w:keepLines w:val="0"/>
              <w:widowControl/>
              <w:suppressLineNumbers w:val="0"/>
              <w:spacing w:beforeAutospacing="0"/>
              <w:ind w:left="0" w:leftChars="0" w:firstLine="0" w:firstLineChars="0"/>
              <w:rPr>
                <w:rFonts w:hint="default"/>
              </w:rPr>
            </w:pPr>
            <w:r>
              <w:rPr>
                <w:rFonts w:hint="eastAsia"/>
              </w:rPr>
              <w:t>16端口万兆光接口以太网业务板：h1xf16a</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1</w:t>
            </w:r>
          </w:p>
        </w:tc>
        <w:tc>
          <w:tcPr>
            <w:tcW w:w="992"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块</w:t>
            </w:r>
          </w:p>
        </w:tc>
        <w:tc>
          <w:tcPr>
            <w:tcW w:w="1701"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中兴 8908E   以太网交换机</w:t>
            </w:r>
          </w:p>
        </w:tc>
        <w:tc>
          <w:tcPr>
            <w:tcW w:w="1134" w:type="dxa"/>
            <w:vAlign w:val="center"/>
          </w:tcPr>
          <w:p>
            <w:pPr>
              <w:pStyle w:val="32"/>
              <w:keepNext w:val="0"/>
              <w:keepLines w:val="0"/>
              <w:widowControl/>
              <w:suppressLineNumbers w:val="0"/>
              <w:spacing w:beforeAutospacing="0"/>
              <w:ind w:left="0" w:leftChars="0" w:firstLine="0" w:firstLineChars="0"/>
              <w:jc w:val="center"/>
              <w:rPr>
                <w:rFonts w:hint="default"/>
              </w:rPr>
            </w:pPr>
          </w:p>
        </w:tc>
      </w:tr>
    </w:tbl>
    <w:p>
      <w:pPr>
        <w:pStyle w:val="32"/>
        <w:spacing w:before="0" w:after="0" w:afterAutospacing="0"/>
        <w:ind w:left="0" w:leftChars="0" w:right="0" w:firstLine="0" w:firstLineChars="0"/>
        <w:rPr>
          <w:rStyle w:val="46"/>
          <w:rFonts w:ascii="宋体" w:hAnsi="宋体"/>
          <w:sz w:val="21"/>
          <w:szCs w:val="21"/>
        </w:rPr>
      </w:pPr>
    </w:p>
    <w:p>
      <w:pPr>
        <w:pStyle w:val="32"/>
        <w:spacing w:before="0" w:after="0" w:afterAutospacing="0"/>
        <w:ind w:left="0" w:leftChars="0" w:right="0" w:firstLine="422" w:firstLineChars="0"/>
        <w:rPr>
          <w:rStyle w:val="46"/>
          <w:rFonts w:ascii="宋体" w:hAnsi="宋体"/>
          <w:sz w:val="21"/>
          <w:szCs w:val="21"/>
        </w:rPr>
      </w:pPr>
    </w:p>
    <w:p>
      <w:pPr>
        <w:pStyle w:val="32"/>
        <w:spacing w:before="0" w:after="0" w:afterAutospacing="0"/>
        <w:ind w:left="0" w:leftChars="0" w:right="0" w:firstLine="422" w:firstLineChars="0"/>
        <w:rPr>
          <w:rStyle w:val="46"/>
          <w:rFonts w:ascii="宋体" w:hAnsi="宋体"/>
          <w:sz w:val="21"/>
          <w:szCs w:val="21"/>
        </w:rPr>
      </w:pPr>
    </w:p>
    <w:p>
      <w:pPr>
        <w:pStyle w:val="32"/>
        <w:spacing w:before="0" w:after="0" w:afterAutospacing="0"/>
        <w:ind w:left="0" w:leftChars="0" w:right="0" w:firstLine="422" w:firstLineChars="0"/>
        <w:rPr>
          <w:rStyle w:val="46"/>
          <w:rFonts w:ascii="宋体" w:hAnsi="宋体"/>
          <w:sz w:val="21"/>
          <w:szCs w:val="21"/>
        </w:rPr>
      </w:pPr>
    </w:p>
    <w:p>
      <w:pPr>
        <w:pStyle w:val="32"/>
        <w:spacing w:before="0" w:after="0" w:afterAutospacing="0"/>
        <w:ind w:left="0" w:leftChars="0" w:right="0" w:firstLine="422" w:firstLineChars="0"/>
        <w:rPr>
          <w:rStyle w:val="46"/>
          <w:rFonts w:ascii="宋体" w:hAnsi="宋体"/>
          <w:sz w:val="21"/>
          <w:szCs w:val="21"/>
        </w:rPr>
      </w:pPr>
    </w:p>
    <w:p>
      <w:pPr>
        <w:pStyle w:val="32"/>
        <w:spacing w:before="0" w:after="0" w:afterAutospacing="0"/>
        <w:ind w:left="0" w:leftChars="0" w:right="0" w:firstLine="422" w:firstLineChars="0"/>
        <w:rPr>
          <w:rStyle w:val="46"/>
          <w:rFonts w:ascii="宋体" w:hAnsi="宋体"/>
          <w:sz w:val="21"/>
          <w:szCs w:val="21"/>
        </w:rPr>
      </w:pPr>
    </w:p>
    <w:p>
      <w:pPr>
        <w:pStyle w:val="32"/>
        <w:spacing w:before="0" w:after="0" w:afterAutospacing="0"/>
        <w:ind w:left="0" w:leftChars="0" w:right="0" w:firstLine="422" w:firstLineChars="0"/>
        <w:rPr>
          <w:rStyle w:val="46"/>
          <w:rFonts w:ascii="宋体" w:hAnsi="宋体"/>
          <w:sz w:val="21"/>
          <w:szCs w:val="21"/>
        </w:rPr>
      </w:pPr>
    </w:p>
    <w:p>
      <w:pPr>
        <w:pStyle w:val="32"/>
        <w:spacing w:before="0" w:after="0" w:afterAutospacing="0"/>
        <w:ind w:left="0" w:leftChars="0" w:right="0" w:firstLine="422" w:firstLineChars="0"/>
        <w:rPr>
          <w:rStyle w:val="46"/>
          <w:rFonts w:ascii="宋体" w:hAnsi="宋体"/>
          <w:sz w:val="21"/>
          <w:szCs w:val="21"/>
        </w:rPr>
      </w:pPr>
    </w:p>
    <w:p>
      <w:pPr>
        <w:pStyle w:val="32"/>
        <w:spacing w:before="0" w:after="0" w:afterAutospacing="0"/>
        <w:ind w:left="0" w:leftChars="0" w:right="0" w:firstLine="422" w:firstLineChars="0"/>
        <w:rPr>
          <w:rStyle w:val="46"/>
          <w:rFonts w:ascii="宋体" w:hAnsi="宋体"/>
          <w:sz w:val="21"/>
          <w:szCs w:val="21"/>
        </w:rPr>
      </w:pPr>
    </w:p>
    <w:p>
      <w:pPr>
        <w:pStyle w:val="32"/>
        <w:spacing w:before="0" w:after="0" w:afterAutospacing="0"/>
        <w:ind w:left="0" w:leftChars="0" w:right="0" w:firstLine="422" w:firstLineChars="0"/>
        <w:rPr>
          <w:rStyle w:val="46"/>
          <w:rFonts w:ascii="宋体" w:hAnsi="宋体"/>
          <w:sz w:val="21"/>
          <w:szCs w:val="21"/>
        </w:rPr>
      </w:pPr>
    </w:p>
    <w:p>
      <w:pPr>
        <w:pStyle w:val="32"/>
        <w:spacing w:before="0" w:after="0" w:afterAutospacing="0"/>
        <w:ind w:left="0" w:leftChars="0" w:right="0" w:firstLine="422" w:firstLineChars="0"/>
        <w:rPr>
          <w:rStyle w:val="46"/>
          <w:rFonts w:ascii="宋体" w:hAnsi="宋体"/>
          <w:sz w:val="21"/>
          <w:szCs w:val="21"/>
        </w:rPr>
      </w:pPr>
    </w:p>
    <w:p>
      <w:pPr>
        <w:pStyle w:val="32"/>
        <w:spacing w:before="0" w:after="0" w:afterAutospacing="0"/>
        <w:ind w:left="0" w:leftChars="0" w:right="0" w:firstLine="422" w:firstLineChars="0"/>
        <w:rPr>
          <w:rStyle w:val="46"/>
          <w:rFonts w:ascii="宋体" w:hAnsi="宋体"/>
          <w:sz w:val="21"/>
          <w:szCs w:val="21"/>
        </w:rPr>
      </w:pPr>
    </w:p>
    <w:p>
      <w:pPr>
        <w:pStyle w:val="32"/>
        <w:spacing w:before="0" w:after="0" w:afterAutospacing="0"/>
        <w:ind w:left="0" w:leftChars="0" w:right="0" w:firstLine="422" w:firstLineChars="0"/>
        <w:rPr>
          <w:rStyle w:val="46"/>
          <w:rFonts w:ascii="宋体" w:hAnsi="宋体"/>
          <w:sz w:val="21"/>
          <w:szCs w:val="21"/>
        </w:rPr>
      </w:pPr>
    </w:p>
    <w:p>
      <w:pPr>
        <w:spacing w:before="0" w:after="0" w:afterAutospacing="0"/>
        <w:ind w:left="0" w:leftChars="0" w:right="0" w:firstLine="422" w:firstLineChars="0"/>
        <w:rPr>
          <w:rStyle w:val="46"/>
          <w:rFonts w:ascii="宋体" w:hAnsi="宋体"/>
          <w:sz w:val="21"/>
          <w:szCs w:val="21"/>
        </w:rPr>
      </w:pPr>
      <w:r>
        <w:rPr>
          <w:rStyle w:val="46"/>
          <w:rFonts w:ascii="宋体" w:hAnsi="宋体"/>
          <w:sz w:val="21"/>
          <w:szCs w:val="21"/>
        </w:rPr>
        <w:br w:type="page"/>
      </w:r>
    </w:p>
    <w:p>
      <w:pPr>
        <w:pStyle w:val="32"/>
        <w:spacing w:before="0" w:after="0" w:afterAutospacing="0"/>
        <w:ind w:left="0" w:leftChars="0" w:right="0" w:firstLine="422" w:firstLineChars="0"/>
        <w:rPr>
          <w:rStyle w:val="46"/>
          <w:rFonts w:ascii="宋体" w:hAnsi="宋体"/>
          <w:sz w:val="21"/>
          <w:szCs w:val="21"/>
        </w:rPr>
      </w:pPr>
    </w:p>
    <w:p>
      <w:pPr>
        <w:pStyle w:val="32"/>
        <w:spacing w:before="0" w:after="0" w:afterAutospacing="0"/>
        <w:ind w:left="0" w:leftChars="0" w:right="0" w:firstLine="0" w:firstLineChars="0"/>
        <w:rPr>
          <w:rStyle w:val="46"/>
          <w:rFonts w:ascii="宋体" w:hAnsi="宋体"/>
          <w:sz w:val="21"/>
          <w:szCs w:val="21"/>
        </w:rPr>
      </w:pPr>
      <w:r>
        <w:rPr>
          <w:rStyle w:val="46"/>
          <w:rFonts w:hint="eastAsia" w:ascii="宋体" w:hAnsi="宋体"/>
          <w:sz w:val="21"/>
          <w:szCs w:val="21"/>
        </w:rPr>
        <w:t>附件4南宁轨道交通</w:t>
      </w:r>
      <w:r>
        <w:rPr>
          <w:rStyle w:val="46"/>
          <w:rFonts w:ascii="宋体" w:hAnsi="宋体"/>
          <w:sz w:val="21"/>
          <w:szCs w:val="21"/>
        </w:rPr>
        <w:t>1-5</w:t>
      </w:r>
      <w:r>
        <w:rPr>
          <w:rStyle w:val="46"/>
          <w:rFonts w:hint="eastAsia" w:ascii="宋体" w:hAnsi="宋体"/>
          <w:sz w:val="21"/>
          <w:szCs w:val="21"/>
        </w:rPr>
        <w:t>号线办公网交换机设备委外维保维修服务采购项目返修件投标报价  清单</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675"/>
        <w:gridCol w:w="3650"/>
        <w:gridCol w:w="962"/>
        <w:gridCol w:w="92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序号</w:t>
            </w:r>
          </w:p>
        </w:tc>
        <w:tc>
          <w:tcPr>
            <w:tcW w:w="167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设备名称及型号</w:t>
            </w:r>
          </w:p>
        </w:tc>
        <w:tc>
          <w:tcPr>
            <w:tcW w:w="3650"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板卡名称及型号</w:t>
            </w:r>
          </w:p>
        </w:tc>
        <w:tc>
          <w:tcPr>
            <w:tcW w:w="962" w:type="dxa"/>
            <w:vAlign w:val="center"/>
          </w:tcPr>
          <w:p>
            <w:pPr>
              <w:pStyle w:val="32"/>
              <w:keepNext w:val="0"/>
              <w:keepLines w:val="0"/>
              <w:widowControl/>
              <w:suppressLineNumbers w:val="0"/>
              <w:spacing w:beforeAutospacing="0"/>
              <w:ind w:left="0" w:leftChars="0" w:firstLine="0" w:firstLineChars="0"/>
              <w:jc w:val="center"/>
              <w:rPr>
                <w:rFonts w:hint="eastAsia" w:eastAsia="宋体"/>
                <w:lang w:val="en-US" w:eastAsia="zh-CN"/>
              </w:rPr>
            </w:pPr>
            <w:r>
              <w:rPr>
                <w:rFonts w:hint="eastAsia"/>
                <w:lang w:val="en-US" w:eastAsia="zh-CN"/>
              </w:rPr>
              <w:t>数量</w:t>
            </w:r>
          </w:p>
        </w:tc>
        <w:tc>
          <w:tcPr>
            <w:tcW w:w="92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单位</w:t>
            </w:r>
          </w:p>
        </w:tc>
        <w:tc>
          <w:tcPr>
            <w:tcW w:w="100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1</w:t>
            </w:r>
          </w:p>
        </w:tc>
        <w:tc>
          <w:tcPr>
            <w:tcW w:w="167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H3C S12508X-AF  路由交换机</w:t>
            </w:r>
          </w:p>
        </w:tc>
        <w:tc>
          <w:tcPr>
            <w:tcW w:w="3650"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24端口万兆SFP+光纤接口以太网业务板：LSXM1TGS24FX1</w:t>
            </w:r>
          </w:p>
        </w:tc>
        <w:tc>
          <w:tcPr>
            <w:tcW w:w="962" w:type="dxa"/>
            <w:vAlign w:val="center"/>
          </w:tcPr>
          <w:p>
            <w:pPr>
              <w:pStyle w:val="32"/>
              <w:keepNext w:val="0"/>
              <w:keepLines w:val="0"/>
              <w:widowControl/>
              <w:suppressLineNumbers w:val="0"/>
              <w:spacing w:beforeAutospacing="0"/>
              <w:ind w:left="0" w:leftChars="0" w:firstLine="0" w:firstLineChars="0"/>
              <w:jc w:val="center"/>
              <w:rPr>
                <w:rFonts w:hint="eastAsia" w:eastAsia="宋体"/>
                <w:lang w:val="en-US" w:eastAsia="zh-CN"/>
              </w:rPr>
            </w:pPr>
            <w:r>
              <w:rPr>
                <w:rFonts w:hint="eastAsia"/>
                <w:lang w:val="en-US" w:eastAsia="zh-CN"/>
              </w:rPr>
              <w:t>1</w:t>
            </w:r>
          </w:p>
        </w:tc>
        <w:tc>
          <w:tcPr>
            <w:tcW w:w="92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块</w:t>
            </w:r>
          </w:p>
        </w:tc>
        <w:tc>
          <w:tcPr>
            <w:tcW w:w="1005" w:type="dxa"/>
            <w:vAlign w:val="center"/>
          </w:tcPr>
          <w:p>
            <w:pPr>
              <w:pStyle w:val="32"/>
              <w:keepNext w:val="0"/>
              <w:keepLines w:val="0"/>
              <w:widowControl/>
              <w:suppressLineNumbers w:val="0"/>
              <w:spacing w:beforeAutospacing="0"/>
              <w:ind w:left="0" w:leftChars="0" w:firstLine="0" w:firstLine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5" w:type="dxa"/>
            <w:vAlign w:val="center"/>
          </w:tcPr>
          <w:p>
            <w:pPr>
              <w:pStyle w:val="32"/>
              <w:keepNext w:val="0"/>
              <w:keepLines w:val="0"/>
              <w:widowControl/>
              <w:suppressLineNumbers w:val="0"/>
              <w:spacing w:beforeAutospacing="0"/>
              <w:ind w:left="0" w:leftChars="0" w:firstLine="0" w:firstLineChars="0"/>
              <w:jc w:val="center"/>
              <w:rPr>
                <w:rFonts w:hint="eastAsia" w:eastAsia="宋体"/>
                <w:lang w:eastAsia="zh-CN"/>
              </w:rPr>
            </w:pPr>
            <w:r>
              <w:rPr>
                <w:rFonts w:hint="eastAsia"/>
                <w:lang w:val="en-US" w:eastAsia="zh-CN"/>
              </w:rPr>
              <w:t>2</w:t>
            </w:r>
          </w:p>
        </w:tc>
        <w:tc>
          <w:tcPr>
            <w:tcW w:w="1675" w:type="dxa"/>
            <w:vMerge w:val="restart"/>
            <w:vAlign w:val="center"/>
          </w:tcPr>
          <w:p>
            <w:pPr>
              <w:pStyle w:val="32"/>
              <w:keepNext w:val="0"/>
              <w:keepLines w:val="0"/>
              <w:widowControl/>
              <w:suppressLineNumbers w:val="0"/>
              <w:spacing w:beforeAutospacing="0"/>
              <w:ind w:left="0" w:leftChars="0" w:firstLine="0" w:firstLineChars="0"/>
              <w:jc w:val="center"/>
              <w:rPr>
                <w:rFonts w:hint="default"/>
              </w:rPr>
            </w:pPr>
            <w:r>
              <w:rPr>
                <w:rFonts w:hint="default"/>
              </w:rPr>
              <w:t>H3C S10506</w:t>
            </w:r>
            <w:r>
              <w:rPr>
                <w:rFonts w:hint="eastAsia"/>
              </w:rPr>
              <w:t xml:space="preserve">    以太网交换机</w:t>
            </w:r>
          </w:p>
        </w:tc>
        <w:tc>
          <w:tcPr>
            <w:tcW w:w="3650"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10GBASE-R/SFP+光接口业务板：LSU1TGS32SF0</w:t>
            </w:r>
          </w:p>
        </w:tc>
        <w:tc>
          <w:tcPr>
            <w:tcW w:w="962" w:type="dxa"/>
            <w:vAlign w:val="center"/>
          </w:tcPr>
          <w:p>
            <w:pPr>
              <w:pStyle w:val="32"/>
              <w:keepNext w:val="0"/>
              <w:keepLines w:val="0"/>
              <w:widowControl/>
              <w:suppressLineNumbers w:val="0"/>
              <w:spacing w:beforeAutospacing="0"/>
              <w:ind w:left="0" w:leftChars="0" w:firstLine="0" w:firstLineChars="0"/>
              <w:jc w:val="center"/>
              <w:rPr>
                <w:rFonts w:hint="eastAsia" w:eastAsia="宋体"/>
                <w:lang w:val="en-US" w:eastAsia="zh-CN"/>
              </w:rPr>
            </w:pPr>
            <w:r>
              <w:rPr>
                <w:rFonts w:hint="eastAsia"/>
                <w:lang w:val="en-US" w:eastAsia="zh-CN"/>
              </w:rPr>
              <w:t>1</w:t>
            </w:r>
          </w:p>
        </w:tc>
        <w:tc>
          <w:tcPr>
            <w:tcW w:w="92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块</w:t>
            </w:r>
          </w:p>
        </w:tc>
        <w:tc>
          <w:tcPr>
            <w:tcW w:w="1005" w:type="dxa"/>
            <w:vAlign w:val="center"/>
          </w:tcPr>
          <w:p>
            <w:pPr>
              <w:pStyle w:val="32"/>
              <w:keepNext w:val="0"/>
              <w:keepLines w:val="0"/>
              <w:widowControl/>
              <w:suppressLineNumbers w:val="0"/>
              <w:spacing w:beforeAutospacing="0"/>
              <w:ind w:left="0" w:leftChars="0" w:firstLine="0" w:firstLine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5" w:type="dxa"/>
            <w:vAlign w:val="center"/>
          </w:tcPr>
          <w:p>
            <w:pPr>
              <w:pStyle w:val="32"/>
              <w:keepNext w:val="0"/>
              <w:keepLines w:val="0"/>
              <w:widowControl/>
              <w:suppressLineNumbers w:val="0"/>
              <w:spacing w:beforeAutospacing="0"/>
              <w:ind w:left="0" w:leftChars="0" w:firstLine="0" w:firstLineChars="0"/>
              <w:jc w:val="center"/>
              <w:rPr>
                <w:rFonts w:hint="eastAsia" w:eastAsia="宋体"/>
                <w:lang w:eastAsia="zh-CN"/>
              </w:rPr>
            </w:pPr>
            <w:r>
              <w:rPr>
                <w:rFonts w:hint="eastAsia"/>
                <w:lang w:val="en-US" w:eastAsia="zh-CN"/>
              </w:rPr>
              <w:t>3</w:t>
            </w:r>
          </w:p>
        </w:tc>
        <w:tc>
          <w:tcPr>
            <w:tcW w:w="1675" w:type="dxa"/>
            <w:vMerge w:val="continue"/>
            <w:vAlign w:val="center"/>
          </w:tcPr>
          <w:p>
            <w:pPr>
              <w:pStyle w:val="32"/>
              <w:keepNext w:val="0"/>
              <w:keepLines w:val="0"/>
              <w:widowControl/>
              <w:suppressLineNumbers w:val="0"/>
              <w:spacing w:beforeAutospacing="0"/>
              <w:ind w:left="0" w:leftChars="0" w:firstLine="0" w:firstLineChars="0"/>
              <w:jc w:val="center"/>
              <w:rPr>
                <w:rFonts w:hint="default"/>
              </w:rPr>
            </w:pPr>
          </w:p>
        </w:tc>
        <w:tc>
          <w:tcPr>
            <w:tcW w:w="3650"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10/100/1000BASE-T-RJ45电接口业务板：LSUM2GT48SE0</w:t>
            </w:r>
          </w:p>
        </w:tc>
        <w:tc>
          <w:tcPr>
            <w:tcW w:w="962" w:type="dxa"/>
            <w:vAlign w:val="center"/>
          </w:tcPr>
          <w:p>
            <w:pPr>
              <w:pStyle w:val="32"/>
              <w:keepNext w:val="0"/>
              <w:keepLines w:val="0"/>
              <w:widowControl/>
              <w:suppressLineNumbers w:val="0"/>
              <w:spacing w:beforeAutospacing="0"/>
              <w:ind w:left="0" w:leftChars="0" w:firstLine="0" w:firstLineChars="0"/>
              <w:jc w:val="center"/>
              <w:rPr>
                <w:rFonts w:hint="eastAsia" w:eastAsia="宋体"/>
                <w:lang w:val="en-US" w:eastAsia="zh-CN"/>
              </w:rPr>
            </w:pPr>
            <w:r>
              <w:rPr>
                <w:rFonts w:hint="eastAsia"/>
                <w:lang w:val="en-US" w:eastAsia="zh-CN"/>
              </w:rPr>
              <w:t>1</w:t>
            </w:r>
          </w:p>
        </w:tc>
        <w:tc>
          <w:tcPr>
            <w:tcW w:w="92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块</w:t>
            </w:r>
          </w:p>
        </w:tc>
        <w:tc>
          <w:tcPr>
            <w:tcW w:w="1005" w:type="dxa"/>
            <w:vAlign w:val="center"/>
          </w:tcPr>
          <w:p>
            <w:pPr>
              <w:pStyle w:val="32"/>
              <w:keepNext w:val="0"/>
              <w:keepLines w:val="0"/>
              <w:widowControl/>
              <w:suppressLineNumbers w:val="0"/>
              <w:spacing w:beforeAutospacing="0"/>
              <w:ind w:left="0" w:leftChars="0" w:firstLine="0" w:firstLine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5" w:type="dxa"/>
            <w:vAlign w:val="center"/>
          </w:tcPr>
          <w:p>
            <w:pPr>
              <w:pStyle w:val="32"/>
              <w:keepNext w:val="0"/>
              <w:keepLines w:val="0"/>
              <w:widowControl/>
              <w:suppressLineNumbers w:val="0"/>
              <w:spacing w:beforeAutospacing="0"/>
              <w:ind w:left="0" w:leftChars="0" w:firstLine="0" w:firstLineChars="0"/>
              <w:jc w:val="center"/>
              <w:rPr>
                <w:rFonts w:hint="eastAsia" w:eastAsia="宋体"/>
                <w:lang w:eastAsia="zh-CN"/>
              </w:rPr>
            </w:pPr>
            <w:r>
              <w:rPr>
                <w:rFonts w:hint="eastAsia"/>
                <w:lang w:val="en-US" w:eastAsia="zh-CN"/>
              </w:rPr>
              <w:t>4</w:t>
            </w:r>
          </w:p>
        </w:tc>
        <w:tc>
          <w:tcPr>
            <w:tcW w:w="1675" w:type="dxa"/>
            <w:vMerge w:val="continue"/>
            <w:vAlign w:val="center"/>
          </w:tcPr>
          <w:p>
            <w:pPr>
              <w:pStyle w:val="32"/>
              <w:keepNext w:val="0"/>
              <w:keepLines w:val="0"/>
              <w:widowControl/>
              <w:suppressLineNumbers w:val="0"/>
              <w:spacing w:beforeAutospacing="0"/>
              <w:ind w:left="0" w:leftChars="0" w:firstLine="0" w:firstLineChars="0"/>
              <w:jc w:val="center"/>
              <w:rPr>
                <w:rFonts w:hint="default"/>
              </w:rPr>
            </w:pPr>
          </w:p>
        </w:tc>
        <w:tc>
          <w:tcPr>
            <w:tcW w:w="3650"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交换网板：LSUM1FAB06C0</w:t>
            </w:r>
          </w:p>
        </w:tc>
        <w:tc>
          <w:tcPr>
            <w:tcW w:w="962" w:type="dxa"/>
            <w:vAlign w:val="center"/>
          </w:tcPr>
          <w:p>
            <w:pPr>
              <w:pStyle w:val="32"/>
              <w:keepNext w:val="0"/>
              <w:keepLines w:val="0"/>
              <w:widowControl/>
              <w:suppressLineNumbers w:val="0"/>
              <w:spacing w:beforeAutospacing="0"/>
              <w:ind w:left="0" w:leftChars="0" w:firstLine="0" w:firstLineChars="0"/>
              <w:jc w:val="center"/>
              <w:rPr>
                <w:rFonts w:hint="eastAsia" w:eastAsia="宋体"/>
                <w:lang w:val="en-US" w:eastAsia="zh-CN"/>
              </w:rPr>
            </w:pPr>
            <w:r>
              <w:rPr>
                <w:rFonts w:hint="eastAsia"/>
                <w:lang w:val="en-US" w:eastAsia="zh-CN"/>
              </w:rPr>
              <w:t>1</w:t>
            </w:r>
          </w:p>
        </w:tc>
        <w:tc>
          <w:tcPr>
            <w:tcW w:w="92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块</w:t>
            </w:r>
          </w:p>
        </w:tc>
        <w:tc>
          <w:tcPr>
            <w:tcW w:w="1005" w:type="dxa"/>
            <w:vAlign w:val="center"/>
          </w:tcPr>
          <w:p>
            <w:pPr>
              <w:pStyle w:val="32"/>
              <w:keepNext w:val="0"/>
              <w:keepLines w:val="0"/>
              <w:widowControl/>
              <w:suppressLineNumbers w:val="0"/>
              <w:spacing w:beforeAutospacing="0"/>
              <w:ind w:left="0" w:leftChars="0" w:firstLine="0" w:firstLine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5" w:type="dxa"/>
            <w:vAlign w:val="center"/>
          </w:tcPr>
          <w:p>
            <w:pPr>
              <w:pStyle w:val="32"/>
              <w:keepNext w:val="0"/>
              <w:keepLines w:val="0"/>
              <w:widowControl/>
              <w:suppressLineNumbers w:val="0"/>
              <w:spacing w:beforeAutospacing="0"/>
              <w:ind w:left="0" w:leftChars="0" w:firstLine="0" w:firstLineChars="0"/>
              <w:jc w:val="center"/>
              <w:rPr>
                <w:rFonts w:hint="eastAsia" w:eastAsia="宋体"/>
                <w:lang w:eastAsia="zh-CN"/>
              </w:rPr>
            </w:pPr>
            <w:r>
              <w:rPr>
                <w:rFonts w:hint="eastAsia"/>
                <w:lang w:val="en-US" w:eastAsia="zh-CN"/>
              </w:rPr>
              <w:t>5</w:t>
            </w:r>
          </w:p>
        </w:tc>
        <w:tc>
          <w:tcPr>
            <w:tcW w:w="167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default"/>
              </w:rPr>
              <w:t xml:space="preserve">H3C S10508   </w:t>
            </w:r>
            <w:r>
              <w:rPr>
                <w:rFonts w:hint="eastAsia"/>
              </w:rPr>
              <w:t xml:space="preserve"> 以太网交换机</w:t>
            </w:r>
          </w:p>
        </w:tc>
        <w:tc>
          <w:tcPr>
            <w:tcW w:w="3650"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交换网板：LSU1FAB08B0</w:t>
            </w:r>
          </w:p>
        </w:tc>
        <w:tc>
          <w:tcPr>
            <w:tcW w:w="962" w:type="dxa"/>
            <w:vAlign w:val="center"/>
          </w:tcPr>
          <w:p>
            <w:pPr>
              <w:pStyle w:val="32"/>
              <w:keepNext w:val="0"/>
              <w:keepLines w:val="0"/>
              <w:widowControl/>
              <w:suppressLineNumbers w:val="0"/>
              <w:spacing w:beforeAutospacing="0"/>
              <w:ind w:left="0" w:leftChars="0" w:firstLine="0" w:firstLineChars="0"/>
              <w:jc w:val="center"/>
              <w:rPr>
                <w:rFonts w:hint="eastAsia" w:eastAsia="宋体"/>
                <w:lang w:val="en-US" w:eastAsia="zh-CN"/>
              </w:rPr>
            </w:pPr>
            <w:r>
              <w:rPr>
                <w:rFonts w:hint="eastAsia"/>
                <w:lang w:val="en-US" w:eastAsia="zh-CN"/>
              </w:rPr>
              <w:t>1</w:t>
            </w:r>
          </w:p>
        </w:tc>
        <w:tc>
          <w:tcPr>
            <w:tcW w:w="92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块</w:t>
            </w:r>
          </w:p>
        </w:tc>
        <w:tc>
          <w:tcPr>
            <w:tcW w:w="1005" w:type="dxa"/>
            <w:vAlign w:val="center"/>
          </w:tcPr>
          <w:p>
            <w:pPr>
              <w:pStyle w:val="32"/>
              <w:keepNext w:val="0"/>
              <w:keepLines w:val="0"/>
              <w:widowControl/>
              <w:suppressLineNumbers w:val="0"/>
              <w:spacing w:beforeAutospacing="0"/>
              <w:ind w:left="0" w:leftChars="0" w:firstLine="0" w:firstLine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5" w:type="dxa"/>
            <w:vAlign w:val="center"/>
          </w:tcPr>
          <w:p>
            <w:pPr>
              <w:pStyle w:val="32"/>
              <w:keepNext w:val="0"/>
              <w:keepLines w:val="0"/>
              <w:widowControl/>
              <w:suppressLineNumbers w:val="0"/>
              <w:spacing w:beforeAutospacing="0"/>
              <w:ind w:left="0" w:leftChars="0" w:firstLine="0" w:firstLineChars="0"/>
              <w:jc w:val="center"/>
              <w:rPr>
                <w:rFonts w:hint="eastAsia" w:eastAsia="宋体"/>
                <w:lang w:eastAsia="zh-CN"/>
              </w:rPr>
            </w:pPr>
            <w:r>
              <w:rPr>
                <w:rFonts w:hint="eastAsia"/>
                <w:lang w:val="en-US" w:eastAsia="zh-CN"/>
              </w:rPr>
              <w:t>6</w:t>
            </w:r>
          </w:p>
        </w:tc>
        <w:tc>
          <w:tcPr>
            <w:tcW w:w="167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华为 S12708   以太网交换机</w:t>
            </w:r>
          </w:p>
        </w:tc>
        <w:tc>
          <w:tcPr>
            <w:tcW w:w="3650"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48端口千兆SFP接口以太网业务板：ET1D2G48SX1E</w:t>
            </w:r>
          </w:p>
        </w:tc>
        <w:tc>
          <w:tcPr>
            <w:tcW w:w="962" w:type="dxa"/>
            <w:vAlign w:val="center"/>
          </w:tcPr>
          <w:p>
            <w:pPr>
              <w:pStyle w:val="32"/>
              <w:keepNext w:val="0"/>
              <w:keepLines w:val="0"/>
              <w:widowControl/>
              <w:suppressLineNumbers w:val="0"/>
              <w:spacing w:beforeAutospacing="0"/>
              <w:ind w:left="0" w:leftChars="0" w:firstLine="0" w:firstLineChars="0"/>
              <w:jc w:val="center"/>
              <w:rPr>
                <w:rFonts w:hint="eastAsia" w:eastAsia="宋体"/>
                <w:lang w:val="en-US" w:eastAsia="zh-CN"/>
              </w:rPr>
            </w:pPr>
            <w:r>
              <w:rPr>
                <w:rFonts w:hint="eastAsia"/>
                <w:lang w:val="en-US" w:eastAsia="zh-CN"/>
              </w:rPr>
              <w:t>1</w:t>
            </w:r>
          </w:p>
        </w:tc>
        <w:tc>
          <w:tcPr>
            <w:tcW w:w="92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块</w:t>
            </w:r>
          </w:p>
        </w:tc>
        <w:tc>
          <w:tcPr>
            <w:tcW w:w="1005" w:type="dxa"/>
            <w:vAlign w:val="center"/>
          </w:tcPr>
          <w:p>
            <w:pPr>
              <w:pStyle w:val="32"/>
              <w:keepNext w:val="0"/>
              <w:keepLines w:val="0"/>
              <w:widowControl/>
              <w:suppressLineNumbers w:val="0"/>
              <w:spacing w:beforeAutospacing="0"/>
              <w:ind w:left="0" w:leftChars="0" w:firstLine="0" w:firstLine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5" w:type="dxa"/>
            <w:vAlign w:val="center"/>
          </w:tcPr>
          <w:p>
            <w:pPr>
              <w:pStyle w:val="32"/>
              <w:keepNext w:val="0"/>
              <w:keepLines w:val="0"/>
              <w:widowControl/>
              <w:suppressLineNumbers w:val="0"/>
              <w:spacing w:beforeAutospacing="0"/>
              <w:ind w:left="0" w:leftChars="0" w:firstLine="0" w:firstLineChars="0"/>
              <w:jc w:val="center"/>
              <w:rPr>
                <w:rFonts w:hint="eastAsia" w:eastAsia="宋体"/>
                <w:lang w:eastAsia="zh-CN"/>
              </w:rPr>
            </w:pPr>
            <w:r>
              <w:rPr>
                <w:rFonts w:hint="eastAsia"/>
                <w:lang w:val="en-US" w:eastAsia="zh-CN"/>
              </w:rPr>
              <w:t>7</w:t>
            </w:r>
          </w:p>
        </w:tc>
        <w:tc>
          <w:tcPr>
            <w:tcW w:w="167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中兴 8908E   以太网交换机</w:t>
            </w:r>
          </w:p>
        </w:tc>
        <w:tc>
          <w:tcPr>
            <w:tcW w:w="3650"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16端口万兆光接口业务板：h1xf16a</w:t>
            </w:r>
          </w:p>
        </w:tc>
        <w:tc>
          <w:tcPr>
            <w:tcW w:w="962" w:type="dxa"/>
            <w:vAlign w:val="center"/>
          </w:tcPr>
          <w:p>
            <w:pPr>
              <w:pStyle w:val="32"/>
              <w:keepNext w:val="0"/>
              <w:keepLines w:val="0"/>
              <w:widowControl/>
              <w:suppressLineNumbers w:val="0"/>
              <w:spacing w:beforeAutospacing="0"/>
              <w:ind w:left="0" w:leftChars="0" w:firstLine="0" w:firstLineChars="0"/>
              <w:jc w:val="center"/>
              <w:rPr>
                <w:rFonts w:hint="eastAsia" w:eastAsia="宋体"/>
                <w:lang w:val="en-US" w:eastAsia="zh-CN"/>
              </w:rPr>
            </w:pPr>
            <w:r>
              <w:rPr>
                <w:rFonts w:hint="eastAsia"/>
                <w:lang w:val="en-US" w:eastAsia="zh-CN"/>
              </w:rPr>
              <w:t>1</w:t>
            </w:r>
          </w:p>
        </w:tc>
        <w:tc>
          <w:tcPr>
            <w:tcW w:w="92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块</w:t>
            </w:r>
          </w:p>
        </w:tc>
        <w:tc>
          <w:tcPr>
            <w:tcW w:w="1005" w:type="dxa"/>
            <w:vAlign w:val="center"/>
          </w:tcPr>
          <w:p>
            <w:pPr>
              <w:pStyle w:val="32"/>
              <w:keepNext w:val="0"/>
              <w:keepLines w:val="0"/>
              <w:widowControl/>
              <w:suppressLineNumbers w:val="0"/>
              <w:spacing w:beforeAutospacing="0"/>
              <w:ind w:left="0" w:leftChars="0" w:firstLine="0" w:firstLine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5" w:type="dxa"/>
            <w:vAlign w:val="center"/>
          </w:tcPr>
          <w:p>
            <w:pPr>
              <w:pStyle w:val="32"/>
              <w:keepNext w:val="0"/>
              <w:keepLines w:val="0"/>
              <w:widowControl/>
              <w:suppressLineNumbers w:val="0"/>
              <w:spacing w:beforeAutospacing="0"/>
              <w:ind w:left="0" w:leftChars="0" w:firstLine="0" w:firstLineChars="0"/>
              <w:jc w:val="center"/>
              <w:rPr>
                <w:rFonts w:hint="eastAsia" w:eastAsia="宋体"/>
                <w:lang w:eastAsia="zh-CN"/>
              </w:rPr>
            </w:pPr>
            <w:r>
              <w:rPr>
                <w:rFonts w:hint="eastAsia"/>
                <w:lang w:val="en-US" w:eastAsia="zh-CN"/>
              </w:rPr>
              <w:t>8</w:t>
            </w:r>
          </w:p>
        </w:tc>
        <w:tc>
          <w:tcPr>
            <w:tcW w:w="1675"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kern w:val="2"/>
              </w:rPr>
            </w:pPr>
            <w:r>
              <w:rPr>
                <w:rFonts w:hint="default" w:ascii="宋体" w:hAnsi="宋体"/>
                <w:kern w:val="2"/>
              </w:rPr>
              <w:t xml:space="preserve">H3C S5130 </w:t>
            </w:r>
          </w:p>
          <w:p>
            <w:pPr>
              <w:pStyle w:val="32"/>
              <w:keepNext w:val="0"/>
              <w:keepLines w:val="0"/>
              <w:widowControl/>
              <w:suppressLineNumbers w:val="0"/>
              <w:spacing w:beforeAutospacing="0"/>
              <w:ind w:left="0" w:leftChars="0" w:firstLine="0" w:firstLineChars="0"/>
              <w:jc w:val="center"/>
              <w:rPr>
                <w:rFonts w:hint="default"/>
              </w:rPr>
            </w:pPr>
            <w:r>
              <w:rPr>
                <w:rFonts w:hint="eastAsia" w:ascii="宋体" w:hAnsi="宋体"/>
                <w:kern w:val="2"/>
              </w:rPr>
              <w:t>以太网交换机</w:t>
            </w:r>
          </w:p>
        </w:tc>
        <w:tc>
          <w:tcPr>
            <w:tcW w:w="3650"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rPr>
            </w:pPr>
            <w:r>
              <w:rPr>
                <w:rFonts w:hint="default" w:ascii="宋体" w:hAnsi="宋体"/>
                <w:kern w:val="2"/>
              </w:rPr>
              <w:t>H3C S5130</w:t>
            </w:r>
          </w:p>
        </w:tc>
        <w:tc>
          <w:tcPr>
            <w:tcW w:w="962" w:type="dxa"/>
            <w:vAlign w:val="center"/>
          </w:tcPr>
          <w:p>
            <w:pPr>
              <w:pStyle w:val="32"/>
              <w:keepNext w:val="0"/>
              <w:keepLines w:val="0"/>
              <w:widowControl/>
              <w:suppressLineNumbers w:val="0"/>
              <w:spacing w:beforeAutospacing="0"/>
              <w:ind w:left="0" w:leftChars="0" w:firstLine="0" w:firstLineChars="0"/>
              <w:jc w:val="center"/>
              <w:rPr>
                <w:rFonts w:hint="eastAsia" w:ascii="宋体" w:hAnsi="宋体" w:eastAsia="宋体" w:cs="宋体"/>
                <w:kern w:val="2"/>
                <w:lang w:val="en-US" w:eastAsia="zh-CN"/>
              </w:rPr>
            </w:pPr>
            <w:r>
              <w:rPr>
                <w:rFonts w:hint="eastAsia" w:ascii="宋体" w:hAnsi="宋体" w:cs="宋体"/>
                <w:kern w:val="2"/>
                <w:lang w:val="en-US" w:eastAsia="zh-CN"/>
              </w:rPr>
              <w:t>6</w:t>
            </w:r>
          </w:p>
        </w:tc>
        <w:tc>
          <w:tcPr>
            <w:tcW w:w="92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ascii="宋体" w:hAnsi="宋体" w:cs="宋体"/>
                <w:kern w:val="2"/>
              </w:rPr>
              <w:t>台</w:t>
            </w:r>
          </w:p>
        </w:tc>
        <w:tc>
          <w:tcPr>
            <w:tcW w:w="1005" w:type="dxa"/>
            <w:vAlign w:val="center"/>
          </w:tcPr>
          <w:p>
            <w:pPr>
              <w:pStyle w:val="32"/>
              <w:keepNext w:val="0"/>
              <w:keepLines w:val="0"/>
              <w:widowControl/>
              <w:suppressLineNumbers w:val="0"/>
              <w:spacing w:beforeAutospacing="0"/>
              <w:ind w:left="0" w:leftChars="0" w:firstLine="0" w:firstLine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5" w:type="dxa"/>
            <w:vAlign w:val="center"/>
          </w:tcPr>
          <w:p>
            <w:pPr>
              <w:pStyle w:val="32"/>
              <w:keepNext w:val="0"/>
              <w:keepLines w:val="0"/>
              <w:widowControl/>
              <w:suppressLineNumbers w:val="0"/>
              <w:spacing w:beforeAutospacing="0"/>
              <w:ind w:left="0" w:leftChars="0" w:firstLine="0" w:firstLineChars="0"/>
              <w:jc w:val="center"/>
              <w:rPr>
                <w:rFonts w:hint="default" w:eastAsia="宋体"/>
                <w:lang w:val="en-US" w:eastAsia="zh-CN"/>
              </w:rPr>
            </w:pPr>
            <w:r>
              <w:rPr>
                <w:rFonts w:hint="eastAsia"/>
                <w:lang w:val="en-US" w:eastAsia="zh-CN"/>
              </w:rPr>
              <w:t>9</w:t>
            </w:r>
          </w:p>
        </w:tc>
        <w:tc>
          <w:tcPr>
            <w:tcW w:w="1675"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kern w:val="2"/>
              </w:rPr>
            </w:pPr>
            <w:r>
              <w:rPr>
                <w:rFonts w:hint="default" w:ascii="宋体" w:hAnsi="宋体"/>
                <w:kern w:val="2"/>
              </w:rPr>
              <w:t>H3C S5</w:t>
            </w:r>
            <w:r>
              <w:rPr>
                <w:rFonts w:hint="eastAsia" w:ascii="宋体" w:hAnsi="宋体"/>
                <w:kern w:val="2"/>
              </w:rPr>
              <w:t>560</w:t>
            </w:r>
            <w:r>
              <w:rPr>
                <w:rFonts w:hint="default" w:ascii="宋体" w:hAnsi="宋体"/>
                <w:kern w:val="2"/>
              </w:rPr>
              <w:t xml:space="preserve"> </w:t>
            </w:r>
          </w:p>
          <w:p>
            <w:pPr>
              <w:pStyle w:val="32"/>
              <w:keepNext w:val="0"/>
              <w:keepLines w:val="0"/>
              <w:widowControl/>
              <w:suppressLineNumbers w:val="0"/>
              <w:spacing w:beforeAutospacing="0"/>
              <w:ind w:left="0" w:leftChars="0" w:firstLine="0" w:firstLineChars="0"/>
              <w:jc w:val="center"/>
              <w:rPr>
                <w:rFonts w:hint="default"/>
              </w:rPr>
            </w:pPr>
            <w:r>
              <w:rPr>
                <w:rFonts w:hint="eastAsia" w:ascii="宋体" w:hAnsi="宋体"/>
                <w:kern w:val="2"/>
              </w:rPr>
              <w:t>以太网交换机</w:t>
            </w:r>
          </w:p>
        </w:tc>
        <w:tc>
          <w:tcPr>
            <w:tcW w:w="3650"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default" w:ascii="宋体" w:hAnsi="宋体"/>
                <w:kern w:val="2"/>
              </w:rPr>
              <w:t>H3C S5</w:t>
            </w:r>
            <w:r>
              <w:rPr>
                <w:rFonts w:hint="eastAsia" w:ascii="宋体" w:hAnsi="宋体"/>
                <w:kern w:val="2"/>
              </w:rPr>
              <w:t>560</w:t>
            </w:r>
          </w:p>
        </w:tc>
        <w:tc>
          <w:tcPr>
            <w:tcW w:w="962" w:type="dxa"/>
            <w:vAlign w:val="center"/>
          </w:tcPr>
          <w:p>
            <w:pPr>
              <w:pStyle w:val="32"/>
              <w:keepNext w:val="0"/>
              <w:keepLines w:val="0"/>
              <w:widowControl/>
              <w:suppressLineNumbers w:val="0"/>
              <w:spacing w:beforeAutospacing="0"/>
              <w:ind w:left="0" w:leftChars="0" w:firstLine="0" w:firstLineChars="0"/>
              <w:jc w:val="center"/>
              <w:rPr>
                <w:rFonts w:hint="eastAsia" w:ascii="宋体" w:hAnsi="宋体" w:eastAsia="宋体" w:cs="宋体"/>
                <w:kern w:val="2"/>
                <w:lang w:val="en-US" w:eastAsia="zh-CN"/>
              </w:rPr>
            </w:pPr>
            <w:r>
              <w:rPr>
                <w:rFonts w:hint="eastAsia" w:ascii="宋体" w:hAnsi="宋体" w:cs="宋体"/>
                <w:kern w:val="2"/>
                <w:lang w:val="en-US" w:eastAsia="zh-CN"/>
              </w:rPr>
              <w:t>3</w:t>
            </w:r>
          </w:p>
        </w:tc>
        <w:tc>
          <w:tcPr>
            <w:tcW w:w="92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ascii="宋体" w:hAnsi="宋体" w:cs="宋体"/>
                <w:kern w:val="2"/>
              </w:rPr>
              <w:t>台</w:t>
            </w:r>
          </w:p>
        </w:tc>
        <w:tc>
          <w:tcPr>
            <w:tcW w:w="1005" w:type="dxa"/>
            <w:vAlign w:val="center"/>
          </w:tcPr>
          <w:p>
            <w:pPr>
              <w:pStyle w:val="32"/>
              <w:keepNext w:val="0"/>
              <w:keepLines w:val="0"/>
              <w:widowControl/>
              <w:suppressLineNumbers w:val="0"/>
              <w:spacing w:beforeAutospacing="0"/>
              <w:ind w:left="0" w:leftChars="0" w:firstLine="0" w:firstLine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5" w:type="dxa"/>
            <w:vAlign w:val="center"/>
          </w:tcPr>
          <w:p>
            <w:pPr>
              <w:pStyle w:val="32"/>
              <w:keepNext w:val="0"/>
              <w:keepLines w:val="0"/>
              <w:widowControl/>
              <w:suppressLineNumbers w:val="0"/>
              <w:spacing w:beforeAutospacing="0"/>
              <w:ind w:left="0" w:leftChars="0" w:firstLine="0" w:firstLineChars="0"/>
              <w:jc w:val="center"/>
              <w:rPr>
                <w:rFonts w:hint="default" w:eastAsia="宋体"/>
                <w:lang w:val="en-US" w:eastAsia="zh-CN"/>
              </w:rPr>
            </w:pPr>
            <w:r>
              <w:rPr>
                <w:rFonts w:hint="eastAsia"/>
                <w:lang w:val="en-US" w:eastAsia="zh-CN"/>
              </w:rPr>
              <w:t>10</w:t>
            </w:r>
          </w:p>
        </w:tc>
        <w:tc>
          <w:tcPr>
            <w:tcW w:w="1675"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kern w:val="2"/>
              </w:rPr>
            </w:pPr>
            <w:r>
              <w:rPr>
                <w:rFonts w:hint="default" w:ascii="宋体" w:hAnsi="宋体"/>
                <w:kern w:val="2"/>
              </w:rPr>
              <w:t>华为</w:t>
            </w:r>
            <w:r>
              <w:rPr>
                <w:rFonts w:hint="eastAsia" w:ascii="宋体" w:hAnsi="宋体"/>
                <w:kern w:val="2"/>
              </w:rPr>
              <w:t>S</w:t>
            </w:r>
            <w:r>
              <w:rPr>
                <w:rFonts w:hint="default" w:ascii="宋体" w:hAnsi="宋体"/>
                <w:kern w:val="2"/>
              </w:rPr>
              <w:t xml:space="preserve">5720  </w:t>
            </w:r>
          </w:p>
          <w:p>
            <w:pPr>
              <w:pStyle w:val="32"/>
              <w:keepNext w:val="0"/>
              <w:keepLines w:val="0"/>
              <w:widowControl/>
              <w:suppressLineNumbers w:val="0"/>
              <w:spacing w:beforeAutospacing="0"/>
              <w:ind w:left="0" w:leftChars="0" w:firstLine="0" w:firstLineChars="0"/>
              <w:jc w:val="center"/>
              <w:rPr>
                <w:rFonts w:hint="default"/>
              </w:rPr>
            </w:pPr>
            <w:r>
              <w:rPr>
                <w:rFonts w:hint="eastAsia" w:ascii="宋体" w:hAnsi="宋体"/>
                <w:kern w:val="2"/>
              </w:rPr>
              <w:t>以太网交换机</w:t>
            </w:r>
          </w:p>
        </w:tc>
        <w:tc>
          <w:tcPr>
            <w:tcW w:w="3650"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default" w:ascii="宋体" w:hAnsi="宋体"/>
                <w:kern w:val="2"/>
              </w:rPr>
              <w:t>华为</w:t>
            </w:r>
            <w:r>
              <w:rPr>
                <w:rFonts w:hint="eastAsia" w:ascii="宋体" w:hAnsi="宋体"/>
                <w:kern w:val="2"/>
              </w:rPr>
              <w:t>S</w:t>
            </w:r>
            <w:r>
              <w:rPr>
                <w:rFonts w:hint="default" w:ascii="宋体" w:hAnsi="宋体"/>
                <w:kern w:val="2"/>
              </w:rPr>
              <w:t>5720</w:t>
            </w:r>
          </w:p>
        </w:tc>
        <w:tc>
          <w:tcPr>
            <w:tcW w:w="962" w:type="dxa"/>
            <w:vAlign w:val="center"/>
          </w:tcPr>
          <w:p>
            <w:pPr>
              <w:pStyle w:val="32"/>
              <w:keepNext w:val="0"/>
              <w:keepLines w:val="0"/>
              <w:widowControl/>
              <w:suppressLineNumbers w:val="0"/>
              <w:spacing w:beforeAutospacing="0"/>
              <w:ind w:left="0" w:leftChars="0" w:firstLine="0" w:firstLineChars="0"/>
              <w:jc w:val="center"/>
              <w:rPr>
                <w:rFonts w:hint="eastAsia" w:ascii="宋体" w:hAnsi="宋体" w:eastAsia="宋体"/>
                <w:kern w:val="2"/>
                <w:lang w:val="en-US" w:eastAsia="zh-CN"/>
              </w:rPr>
            </w:pPr>
            <w:r>
              <w:rPr>
                <w:rFonts w:hint="eastAsia" w:ascii="宋体" w:hAnsi="宋体"/>
                <w:kern w:val="2"/>
                <w:lang w:val="en-US" w:eastAsia="zh-CN"/>
              </w:rPr>
              <w:t>1</w:t>
            </w:r>
          </w:p>
        </w:tc>
        <w:tc>
          <w:tcPr>
            <w:tcW w:w="92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ascii="宋体" w:hAnsi="宋体"/>
                <w:kern w:val="2"/>
              </w:rPr>
              <w:t>台</w:t>
            </w:r>
          </w:p>
        </w:tc>
        <w:tc>
          <w:tcPr>
            <w:tcW w:w="1005" w:type="dxa"/>
            <w:vAlign w:val="center"/>
          </w:tcPr>
          <w:p>
            <w:pPr>
              <w:pStyle w:val="32"/>
              <w:keepNext w:val="0"/>
              <w:keepLines w:val="0"/>
              <w:widowControl/>
              <w:suppressLineNumbers w:val="0"/>
              <w:spacing w:beforeAutospacing="0"/>
              <w:ind w:left="0" w:leftChars="0" w:firstLine="0" w:firstLineChars="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5" w:type="dxa"/>
            <w:vAlign w:val="center"/>
          </w:tcPr>
          <w:p>
            <w:pPr>
              <w:pStyle w:val="32"/>
              <w:keepNext w:val="0"/>
              <w:keepLines w:val="0"/>
              <w:widowControl/>
              <w:suppressLineNumbers w:val="0"/>
              <w:spacing w:beforeAutospacing="0"/>
              <w:ind w:left="0" w:leftChars="0" w:firstLine="0" w:firstLineChars="0"/>
              <w:jc w:val="center"/>
              <w:rPr>
                <w:rFonts w:hint="default" w:eastAsia="宋体"/>
                <w:lang w:val="en-US" w:eastAsia="zh-CN"/>
              </w:rPr>
            </w:pPr>
            <w:r>
              <w:rPr>
                <w:rFonts w:hint="eastAsia"/>
                <w:lang w:val="en-US" w:eastAsia="zh-CN"/>
              </w:rPr>
              <w:t>11</w:t>
            </w:r>
          </w:p>
        </w:tc>
        <w:tc>
          <w:tcPr>
            <w:tcW w:w="1675" w:type="dxa"/>
            <w:vAlign w:val="center"/>
          </w:tcPr>
          <w:p>
            <w:pPr>
              <w:keepNext w:val="0"/>
              <w:keepLines w:val="0"/>
              <w:widowControl/>
              <w:suppressLineNumbers w:val="0"/>
              <w:spacing w:before="0" w:beforeAutospacing="0" w:after="0" w:afterAutospacing="0" w:line="240" w:lineRule="auto"/>
              <w:ind w:left="0" w:right="0" w:firstLine="0"/>
              <w:jc w:val="center"/>
              <w:textAlignment w:val="center"/>
              <w:rPr>
                <w:rFonts w:hint="default" w:ascii="宋体" w:hAnsi="宋体"/>
                <w:kern w:val="2"/>
              </w:rPr>
            </w:pPr>
            <w:r>
              <w:rPr>
                <w:rFonts w:hint="eastAsia" w:ascii="宋体" w:hAnsi="宋体"/>
                <w:kern w:val="2"/>
              </w:rPr>
              <w:t>中兴</w:t>
            </w:r>
            <w:r>
              <w:rPr>
                <w:rFonts w:hint="default" w:ascii="宋体" w:hAnsi="宋体"/>
                <w:kern w:val="2"/>
              </w:rPr>
              <w:t xml:space="preserve">5950  </w:t>
            </w:r>
          </w:p>
          <w:p>
            <w:pPr>
              <w:pStyle w:val="32"/>
              <w:keepNext w:val="0"/>
              <w:keepLines w:val="0"/>
              <w:widowControl/>
              <w:suppressLineNumbers w:val="0"/>
              <w:spacing w:beforeAutospacing="0"/>
              <w:ind w:left="0" w:leftChars="0" w:firstLine="0" w:firstLineChars="0"/>
              <w:jc w:val="center"/>
              <w:rPr>
                <w:rFonts w:hint="default"/>
              </w:rPr>
            </w:pPr>
            <w:r>
              <w:rPr>
                <w:rFonts w:hint="eastAsia" w:ascii="宋体" w:hAnsi="宋体"/>
                <w:kern w:val="2"/>
              </w:rPr>
              <w:t>以太网交换机</w:t>
            </w:r>
          </w:p>
        </w:tc>
        <w:tc>
          <w:tcPr>
            <w:tcW w:w="3650"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ascii="宋体" w:hAnsi="宋体"/>
                <w:kern w:val="2"/>
              </w:rPr>
              <w:t>中兴</w:t>
            </w:r>
            <w:r>
              <w:rPr>
                <w:rFonts w:hint="default" w:ascii="宋体" w:hAnsi="宋体"/>
                <w:kern w:val="2"/>
              </w:rPr>
              <w:t>5950</w:t>
            </w:r>
          </w:p>
        </w:tc>
        <w:tc>
          <w:tcPr>
            <w:tcW w:w="962" w:type="dxa"/>
            <w:vAlign w:val="center"/>
          </w:tcPr>
          <w:p>
            <w:pPr>
              <w:pStyle w:val="32"/>
              <w:keepNext w:val="0"/>
              <w:keepLines w:val="0"/>
              <w:widowControl/>
              <w:suppressLineNumbers w:val="0"/>
              <w:spacing w:beforeAutospacing="0"/>
              <w:ind w:left="0" w:leftChars="0" w:firstLine="0" w:firstLineChars="0"/>
              <w:jc w:val="center"/>
              <w:rPr>
                <w:rFonts w:hint="eastAsia" w:ascii="宋体" w:hAnsi="宋体" w:eastAsia="宋体"/>
                <w:kern w:val="2"/>
                <w:lang w:val="en-US" w:eastAsia="zh-CN"/>
              </w:rPr>
            </w:pPr>
            <w:r>
              <w:rPr>
                <w:rFonts w:hint="eastAsia" w:ascii="宋体" w:hAnsi="宋体"/>
                <w:kern w:val="2"/>
                <w:lang w:val="en-US" w:eastAsia="zh-CN"/>
              </w:rPr>
              <w:t>2</w:t>
            </w:r>
          </w:p>
        </w:tc>
        <w:tc>
          <w:tcPr>
            <w:tcW w:w="92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ascii="宋体" w:hAnsi="宋体"/>
                <w:kern w:val="2"/>
              </w:rPr>
              <w:t>台</w:t>
            </w:r>
          </w:p>
        </w:tc>
        <w:tc>
          <w:tcPr>
            <w:tcW w:w="1005" w:type="dxa"/>
            <w:vAlign w:val="center"/>
          </w:tcPr>
          <w:p>
            <w:pPr>
              <w:pStyle w:val="32"/>
              <w:keepNext w:val="0"/>
              <w:keepLines w:val="0"/>
              <w:widowControl/>
              <w:suppressLineNumbers w:val="0"/>
              <w:spacing w:beforeAutospacing="0"/>
              <w:ind w:left="0" w:leftChars="0" w:firstLine="0" w:firstLineChars="0"/>
              <w:jc w:val="center"/>
              <w:rPr>
                <w:rFonts w:hint="default"/>
              </w:rPr>
            </w:pPr>
          </w:p>
        </w:tc>
      </w:tr>
    </w:tbl>
    <w:p>
      <w:pPr>
        <w:pStyle w:val="32"/>
        <w:spacing w:before="0" w:after="0" w:afterAutospacing="0"/>
        <w:ind w:left="0" w:leftChars="0" w:right="0" w:firstLine="0" w:firstLineChars="0"/>
        <w:rPr>
          <w:rStyle w:val="46"/>
          <w:rFonts w:ascii="宋体" w:hAnsi="宋体"/>
          <w:sz w:val="21"/>
          <w:szCs w:val="21"/>
        </w:rPr>
      </w:pPr>
    </w:p>
    <w:p>
      <w:pPr>
        <w:pStyle w:val="32"/>
        <w:spacing w:before="0" w:after="0" w:afterAutospacing="0"/>
        <w:ind w:left="0" w:leftChars="0" w:right="0" w:firstLine="0" w:firstLineChars="0"/>
        <w:rPr>
          <w:rStyle w:val="46"/>
          <w:rFonts w:ascii="宋体" w:hAnsi="宋体"/>
          <w:sz w:val="21"/>
          <w:szCs w:val="21"/>
        </w:rPr>
      </w:pPr>
    </w:p>
    <w:p>
      <w:pPr>
        <w:pStyle w:val="32"/>
        <w:spacing w:before="0" w:after="0" w:afterAutospacing="0"/>
        <w:ind w:left="0" w:leftChars="0" w:right="0" w:firstLine="0" w:firstLineChars="0"/>
        <w:rPr>
          <w:rStyle w:val="46"/>
          <w:rFonts w:ascii="宋体" w:hAnsi="宋体"/>
          <w:sz w:val="21"/>
          <w:szCs w:val="21"/>
        </w:rPr>
      </w:pPr>
    </w:p>
    <w:p>
      <w:pPr>
        <w:spacing w:before="0" w:after="0" w:afterAutospacing="0"/>
        <w:ind w:left="0" w:leftChars="0" w:right="0" w:firstLine="0" w:firstLineChars="0"/>
        <w:rPr>
          <w:rStyle w:val="46"/>
          <w:rFonts w:ascii="宋体" w:hAnsi="宋体"/>
          <w:sz w:val="21"/>
          <w:szCs w:val="21"/>
        </w:rPr>
      </w:pPr>
      <w:r>
        <w:rPr>
          <w:rStyle w:val="46"/>
          <w:rFonts w:ascii="宋体" w:hAnsi="宋体"/>
          <w:sz w:val="21"/>
          <w:szCs w:val="21"/>
        </w:rPr>
        <w:br w:type="page"/>
      </w:r>
    </w:p>
    <w:p>
      <w:pPr>
        <w:pStyle w:val="32"/>
        <w:spacing w:before="0" w:after="0" w:afterAutospacing="0"/>
        <w:ind w:left="0" w:leftChars="0" w:right="0" w:firstLine="0" w:firstLineChars="0"/>
        <w:rPr>
          <w:rStyle w:val="46"/>
          <w:rFonts w:ascii="宋体" w:hAnsi="宋体"/>
          <w:sz w:val="21"/>
          <w:szCs w:val="21"/>
        </w:rPr>
      </w:pPr>
    </w:p>
    <w:p>
      <w:pPr>
        <w:pStyle w:val="32"/>
        <w:spacing w:before="0" w:after="0" w:afterAutospacing="0"/>
        <w:ind w:left="0" w:leftChars="0" w:right="0" w:firstLine="0" w:firstLineChars="0"/>
        <w:rPr>
          <w:rStyle w:val="46"/>
          <w:rFonts w:ascii="宋体" w:hAnsi="宋体"/>
          <w:sz w:val="21"/>
          <w:szCs w:val="21"/>
        </w:rPr>
      </w:pPr>
    </w:p>
    <w:p>
      <w:pPr>
        <w:pStyle w:val="32"/>
        <w:spacing w:before="0" w:after="0" w:afterAutospacing="0"/>
        <w:ind w:left="0" w:leftChars="0" w:right="0" w:firstLine="422" w:firstLineChars="0"/>
      </w:pPr>
      <w:r>
        <w:rPr>
          <w:rStyle w:val="46"/>
          <w:rFonts w:hint="eastAsia" w:ascii="宋体" w:hAnsi="宋体"/>
          <w:sz w:val="21"/>
          <w:szCs w:val="21"/>
        </w:rPr>
        <w:t>附件</w:t>
      </w:r>
      <w:r>
        <w:rPr>
          <w:rStyle w:val="46"/>
          <w:rFonts w:ascii="宋体" w:hAnsi="宋体"/>
          <w:sz w:val="21"/>
          <w:szCs w:val="21"/>
        </w:rPr>
        <w:t>5</w:t>
      </w:r>
      <w:r>
        <w:rPr>
          <w:rStyle w:val="46"/>
          <w:rFonts w:hint="eastAsia" w:ascii="宋体" w:hAnsi="宋体"/>
          <w:sz w:val="21"/>
          <w:szCs w:val="21"/>
        </w:rPr>
        <w:t>南宁轨道交通</w:t>
      </w:r>
      <w:r>
        <w:rPr>
          <w:rStyle w:val="46"/>
          <w:rFonts w:ascii="宋体" w:hAnsi="宋体"/>
          <w:sz w:val="21"/>
          <w:szCs w:val="21"/>
        </w:rPr>
        <w:t>1-5</w:t>
      </w:r>
      <w:r>
        <w:rPr>
          <w:rStyle w:val="46"/>
          <w:rFonts w:hint="eastAsia" w:ascii="宋体" w:hAnsi="宋体"/>
          <w:sz w:val="21"/>
          <w:szCs w:val="21"/>
        </w:rPr>
        <w:t>号线办公网交换机设备委外维保维修服务采购项目技术服务报价清单</w:t>
      </w:r>
    </w:p>
    <w:tbl>
      <w:tblPr>
        <w:tblStyle w:val="34"/>
        <w:tblW w:w="9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40"/>
        <w:gridCol w:w="2987"/>
        <w:gridCol w:w="750"/>
        <w:gridCol w:w="925"/>
        <w:gridCol w:w="3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序号</w:t>
            </w:r>
          </w:p>
        </w:tc>
        <w:tc>
          <w:tcPr>
            <w:tcW w:w="1240"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服务类型</w:t>
            </w:r>
          </w:p>
        </w:tc>
        <w:tc>
          <w:tcPr>
            <w:tcW w:w="2987"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服务内容</w:t>
            </w:r>
          </w:p>
        </w:tc>
        <w:tc>
          <w:tcPr>
            <w:tcW w:w="750" w:type="dxa"/>
            <w:vAlign w:val="center"/>
          </w:tcPr>
          <w:p>
            <w:pPr>
              <w:pStyle w:val="32"/>
              <w:keepNext w:val="0"/>
              <w:keepLines w:val="0"/>
              <w:widowControl/>
              <w:suppressLineNumbers w:val="0"/>
              <w:spacing w:beforeAutospacing="0"/>
              <w:ind w:left="0" w:leftChars="0" w:firstLine="0" w:firstLineChars="0"/>
              <w:jc w:val="center"/>
              <w:rPr>
                <w:rFonts w:hint="eastAsia"/>
              </w:rPr>
            </w:pPr>
            <w:r>
              <w:rPr>
                <w:rFonts w:hint="eastAsia"/>
              </w:rPr>
              <w:t xml:space="preserve">数量 </w:t>
            </w:r>
          </w:p>
        </w:tc>
        <w:tc>
          <w:tcPr>
            <w:tcW w:w="925" w:type="dxa"/>
            <w:vAlign w:val="center"/>
          </w:tcPr>
          <w:p>
            <w:pPr>
              <w:pStyle w:val="32"/>
              <w:keepNext w:val="0"/>
              <w:keepLines w:val="0"/>
              <w:widowControl/>
              <w:suppressLineNumbers w:val="0"/>
              <w:spacing w:beforeAutospacing="0"/>
              <w:ind w:left="0" w:leftChars="0" w:firstLine="0" w:firstLineChars="0"/>
              <w:jc w:val="center"/>
              <w:rPr>
                <w:rFonts w:hint="eastAsia" w:eastAsia="宋体"/>
                <w:lang w:val="en-US" w:eastAsia="zh-CN"/>
              </w:rPr>
            </w:pPr>
            <w:r>
              <w:rPr>
                <w:rFonts w:hint="eastAsia"/>
                <w:lang w:val="en-US" w:eastAsia="zh-CN"/>
              </w:rPr>
              <w:t>单位</w:t>
            </w:r>
          </w:p>
        </w:tc>
        <w:tc>
          <w:tcPr>
            <w:tcW w:w="3225" w:type="dxa"/>
            <w:vAlign w:val="center"/>
          </w:tcPr>
          <w:p>
            <w:pPr>
              <w:pStyle w:val="32"/>
              <w:keepNext w:val="0"/>
              <w:keepLines w:val="0"/>
              <w:widowControl/>
              <w:suppressLineNumbers w:val="0"/>
              <w:spacing w:beforeAutospacing="0"/>
              <w:ind w:left="0" w:leftChars="0"/>
              <w:jc w:val="center"/>
              <w:rPr>
                <w:rFonts w:hint="default"/>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2"/>
              <w:keepNext w:val="0"/>
              <w:keepLines w:val="0"/>
              <w:widowControl/>
              <w:suppressLineNumbers w:val="0"/>
              <w:tabs>
                <w:tab w:val="right" w:pos="486"/>
                <w:tab w:val="center" w:pos="663"/>
              </w:tabs>
              <w:spacing w:beforeAutospacing="0"/>
              <w:ind w:left="0" w:leftChars="0" w:firstLine="0" w:firstLineChars="0"/>
              <w:jc w:val="center"/>
              <w:rPr>
                <w:rFonts w:hint="default"/>
              </w:rPr>
            </w:pPr>
            <w:r>
              <w:rPr>
                <w:rFonts w:hint="eastAsia"/>
              </w:rPr>
              <w:t>1</w:t>
            </w:r>
          </w:p>
        </w:tc>
        <w:tc>
          <w:tcPr>
            <w:tcW w:w="1240" w:type="dxa"/>
            <w:vAlign w:val="center"/>
          </w:tcPr>
          <w:p>
            <w:pPr>
              <w:pStyle w:val="32"/>
              <w:keepNext w:val="0"/>
              <w:keepLines w:val="0"/>
              <w:widowControl/>
              <w:suppressLineNumbers w:val="0"/>
              <w:spacing w:beforeAutospacing="0"/>
              <w:ind w:left="0" w:leftChars="0" w:firstLine="0" w:firstLineChars="0"/>
              <w:jc w:val="left"/>
              <w:rPr>
                <w:rFonts w:hint="default"/>
              </w:rPr>
            </w:pPr>
            <w:r>
              <w:rPr>
                <w:rFonts w:hint="eastAsia" w:hAnsi="宋体"/>
              </w:rPr>
              <w:t>核心交换机</w:t>
            </w:r>
            <w:r>
              <w:rPr>
                <w:rFonts w:hint="default" w:hAnsi="宋体"/>
              </w:rPr>
              <w:t>现场技术支持服务</w:t>
            </w:r>
          </w:p>
        </w:tc>
        <w:tc>
          <w:tcPr>
            <w:tcW w:w="2987" w:type="dxa"/>
            <w:vAlign w:val="center"/>
          </w:tcPr>
          <w:p>
            <w:pPr>
              <w:pStyle w:val="32"/>
              <w:keepNext w:val="0"/>
              <w:keepLines w:val="0"/>
              <w:widowControl/>
              <w:suppressLineNumbers w:val="0"/>
              <w:spacing w:beforeAutospacing="0"/>
              <w:ind w:left="0" w:leftChars="0" w:firstLine="0" w:firstLineChars="0"/>
              <w:jc w:val="left"/>
              <w:rPr>
                <w:rFonts w:hint="default"/>
              </w:rPr>
            </w:pPr>
            <w:r>
              <w:rPr>
                <w:rFonts w:hint="default" w:hAnsi="宋体"/>
              </w:rPr>
              <w:t>现场故障诊断、故障处理、现场</w:t>
            </w:r>
            <w:r>
              <w:rPr>
                <w:rFonts w:hint="eastAsia" w:hAnsi="宋体"/>
              </w:rPr>
              <w:t>故障件</w:t>
            </w:r>
            <w:r>
              <w:rPr>
                <w:rFonts w:hint="default" w:hAnsi="宋体"/>
              </w:rPr>
              <w:t>更换等。</w:t>
            </w:r>
          </w:p>
        </w:tc>
        <w:tc>
          <w:tcPr>
            <w:tcW w:w="750" w:type="dxa"/>
            <w:vAlign w:val="center"/>
          </w:tcPr>
          <w:p>
            <w:pPr>
              <w:pStyle w:val="32"/>
              <w:keepNext w:val="0"/>
              <w:keepLines w:val="0"/>
              <w:widowControl/>
              <w:suppressLineNumbers w:val="0"/>
              <w:spacing w:beforeAutospacing="0"/>
              <w:ind w:left="0" w:leftChars="0" w:firstLine="210" w:firstLineChars="100"/>
              <w:jc w:val="left"/>
              <w:rPr>
                <w:rFonts w:hint="default"/>
                <w:lang w:val="en-US" w:eastAsia="zh-CN"/>
              </w:rPr>
            </w:pPr>
            <w:r>
              <w:rPr>
                <w:rFonts w:hint="eastAsia"/>
                <w:lang w:val="en-US" w:eastAsia="zh-CN"/>
              </w:rPr>
              <w:t>6</w:t>
            </w:r>
          </w:p>
        </w:tc>
        <w:tc>
          <w:tcPr>
            <w:tcW w:w="925" w:type="dxa"/>
            <w:vAlign w:val="center"/>
          </w:tcPr>
          <w:p>
            <w:pPr>
              <w:pStyle w:val="32"/>
              <w:keepNext w:val="0"/>
              <w:keepLines w:val="0"/>
              <w:widowControl/>
              <w:suppressLineNumbers w:val="0"/>
              <w:spacing w:beforeAutospacing="0"/>
              <w:ind w:left="0" w:leftChars="0" w:firstLine="210" w:firstLineChars="100"/>
              <w:jc w:val="left"/>
              <w:rPr>
                <w:rFonts w:hint="default" w:eastAsia="宋体"/>
                <w:lang w:val="en-US" w:eastAsia="zh-CN"/>
              </w:rPr>
            </w:pPr>
            <w:r>
              <w:rPr>
                <w:rFonts w:hint="eastAsia"/>
                <w:lang w:val="en-US" w:eastAsia="zh-CN"/>
              </w:rPr>
              <w:t>次</w:t>
            </w:r>
          </w:p>
        </w:tc>
        <w:tc>
          <w:tcPr>
            <w:tcW w:w="3225" w:type="dxa"/>
            <w:vAlign w:val="center"/>
          </w:tcPr>
          <w:p>
            <w:pPr>
              <w:pStyle w:val="32"/>
              <w:keepNext w:val="0"/>
              <w:keepLines w:val="0"/>
              <w:widowControl/>
              <w:suppressLineNumbers w:val="0"/>
              <w:spacing w:beforeAutospacing="0"/>
              <w:ind w:left="0" w:leftChars="0" w:firstLine="0" w:firstLineChars="0"/>
              <w:jc w:val="left"/>
              <w:rPr>
                <w:rFonts w:hint="default" w:asciiTheme="minorEastAsia" w:hAnsiTheme="minorEastAsia" w:eastAsiaTheme="minorEastAsia" w:cstheme="minorEastAsia"/>
              </w:rPr>
            </w:pPr>
            <w:r>
              <w:rPr>
                <w:rFonts w:hint="eastAsia" w:asciiTheme="minorEastAsia" w:hAnsiTheme="minorEastAsia" w:eastAsiaTheme="minorEastAsia" w:cstheme="minorEastAsia"/>
              </w:rPr>
              <w:t>确定单次现场技术支持服务价格，按照服务期内实际发生的现场技术支持服务次数计量结算。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2</w:t>
            </w:r>
          </w:p>
        </w:tc>
        <w:tc>
          <w:tcPr>
            <w:tcW w:w="1240" w:type="dxa"/>
            <w:vAlign w:val="center"/>
          </w:tcPr>
          <w:p>
            <w:pPr>
              <w:pStyle w:val="32"/>
              <w:keepNext w:val="0"/>
              <w:keepLines w:val="0"/>
              <w:widowControl/>
              <w:suppressLineNumbers w:val="0"/>
              <w:spacing w:beforeAutospacing="0"/>
              <w:ind w:left="0" w:leftChars="0" w:firstLine="0" w:firstLineChars="0"/>
              <w:jc w:val="left"/>
              <w:rPr>
                <w:rFonts w:hint="default" w:hAnsi="宋体"/>
              </w:rPr>
            </w:pPr>
            <w:r>
              <w:rPr>
                <w:rFonts w:hint="eastAsia" w:hAnsi="宋体"/>
              </w:rPr>
              <w:t>核心交换机</w:t>
            </w:r>
            <w:r>
              <w:rPr>
                <w:rFonts w:hint="default" w:hAnsi="宋体"/>
              </w:rPr>
              <w:t>版本软件服务</w:t>
            </w:r>
          </w:p>
        </w:tc>
        <w:tc>
          <w:tcPr>
            <w:tcW w:w="2987" w:type="dxa"/>
            <w:vAlign w:val="center"/>
          </w:tcPr>
          <w:p>
            <w:pPr>
              <w:pStyle w:val="32"/>
              <w:keepNext w:val="0"/>
              <w:keepLines w:val="0"/>
              <w:widowControl/>
              <w:suppressLineNumbers w:val="0"/>
              <w:spacing w:beforeAutospacing="0"/>
              <w:ind w:left="0" w:leftChars="0" w:firstLine="0" w:firstLineChars="0"/>
              <w:jc w:val="left"/>
              <w:rPr>
                <w:rFonts w:hint="default" w:hAnsi="宋体"/>
              </w:rPr>
            </w:pPr>
            <w:r>
              <w:rPr>
                <w:rFonts w:hint="default" w:hAnsi="宋体"/>
              </w:rPr>
              <w:t>每季度</w:t>
            </w:r>
            <w:r>
              <w:rPr>
                <w:rFonts w:hint="eastAsia" w:hAnsi="宋体"/>
              </w:rPr>
              <w:t>至少</w:t>
            </w:r>
            <w:r>
              <w:rPr>
                <w:rFonts w:hint="default" w:hAnsi="宋体"/>
              </w:rPr>
              <w:t>评估一次在</w:t>
            </w:r>
            <w:r>
              <w:rPr>
                <w:rFonts w:hint="eastAsia" w:hAnsi="宋体"/>
              </w:rPr>
              <w:t>网核心设备的版本运行情况，检查整体网络版本一致性，包括但不限于版本软件启动项一致性和版本软件大小一致性，针对隐患设备提供版本升级服务。</w:t>
            </w:r>
          </w:p>
        </w:tc>
        <w:tc>
          <w:tcPr>
            <w:tcW w:w="750" w:type="dxa"/>
            <w:vAlign w:val="center"/>
          </w:tcPr>
          <w:p>
            <w:pPr>
              <w:pStyle w:val="32"/>
              <w:keepNext w:val="0"/>
              <w:keepLines w:val="0"/>
              <w:widowControl/>
              <w:suppressLineNumbers w:val="0"/>
              <w:spacing w:beforeAutospacing="0"/>
              <w:ind w:left="0" w:leftChars="0" w:firstLine="210" w:firstLineChars="100"/>
              <w:jc w:val="left"/>
              <w:rPr>
                <w:rFonts w:hint="eastAsia" w:eastAsia="宋体"/>
                <w:lang w:val="en-US" w:eastAsia="zh-CN"/>
              </w:rPr>
            </w:pPr>
            <w:r>
              <w:rPr>
                <w:rFonts w:hint="eastAsia"/>
                <w:lang w:val="en-US" w:eastAsia="zh-CN"/>
              </w:rPr>
              <w:t>4</w:t>
            </w:r>
          </w:p>
        </w:tc>
        <w:tc>
          <w:tcPr>
            <w:tcW w:w="925" w:type="dxa"/>
            <w:vAlign w:val="center"/>
          </w:tcPr>
          <w:p>
            <w:pPr>
              <w:pStyle w:val="32"/>
              <w:keepNext w:val="0"/>
              <w:keepLines w:val="0"/>
              <w:widowControl/>
              <w:suppressLineNumbers w:val="0"/>
              <w:spacing w:beforeAutospacing="0"/>
              <w:ind w:left="0" w:leftChars="0" w:firstLine="210" w:firstLineChars="100"/>
              <w:jc w:val="left"/>
              <w:rPr>
                <w:rFonts w:hint="default"/>
              </w:rPr>
            </w:pPr>
            <w:r>
              <w:rPr>
                <w:rFonts w:hint="eastAsia"/>
              </w:rPr>
              <w:t>次</w:t>
            </w:r>
          </w:p>
        </w:tc>
        <w:tc>
          <w:tcPr>
            <w:tcW w:w="3225" w:type="dxa"/>
            <w:vAlign w:val="center"/>
          </w:tcPr>
          <w:p>
            <w:pPr>
              <w:pStyle w:val="32"/>
              <w:keepNext w:val="0"/>
              <w:keepLines w:val="0"/>
              <w:widowControl/>
              <w:suppressLineNumbers w:val="0"/>
              <w:spacing w:beforeAutospacing="0"/>
              <w:ind w:left="0" w:leftChars="0" w:firstLine="0" w:firstLineChars="0"/>
              <w:jc w:val="left"/>
              <w:rPr>
                <w:rFonts w:hint="default" w:asciiTheme="minorEastAsia" w:hAnsiTheme="minorEastAsia" w:eastAsiaTheme="minorEastAsia" w:cstheme="minorEastAsia"/>
              </w:rPr>
            </w:pPr>
            <w:r>
              <w:rPr>
                <w:rFonts w:hint="eastAsia" w:asciiTheme="minorEastAsia" w:hAnsiTheme="minorEastAsia" w:eastAsiaTheme="minorEastAsia" w:cstheme="minorEastAsia"/>
              </w:rPr>
              <w:t>每个季度核心交换机设备软件服务1次，一年总共4次，需确定每次核心交换机版本软件服务的价格，服务期内的核心交换机版本软件服务按照4次计量结算。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3</w:t>
            </w:r>
          </w:p>
        </w:tc>
        <w:tc>
          <w:tcPr>
            <w:tcW w:w="1240" w:type="dxa"/>
            <w:vAlign w:val="center"/>
          </w:tcPr>
          <w:p>
            <w:pPr>
              <w:pStyle w:val="32"/>
              <w:keepNext w:val="0"/>
              <w:keepLines w:val="0"/>
              <w:widowControl/>
              <w:suppressLineNumbers w:val="0"/>
              <w:spacing w:beforeAutospacing="0"/>
              <w:ind w:left="0" w:leftChars="0" w:firstLine="0" w:firstLineChars="0"/>
              <w:jc w:val="left"/>
              <w:rPr>
                <w:rFonts w:hint="default"/>
              </w:rPr>
            </w:pPr>
            <w:r>
              <w:rPr>
                <w:rFonts w:hint="default"/>
              </w:rPr>
              <w:t>网络安全加固服务</w:t>
            </w:r>
          </w:p>
        </w:tc>
        <w:tc>
          <w:tcPr>
            <w:tcW w:w="2987" w:type="dxa"/>
            <w:vAlign w:val="center"/>
          </w:tcPr>
          <w:p>
            <w:pPr>
              <w:pStyle w:val="32"/>
              <w:keepNext w:val="0"/>
              <w:keepLines w:val="0"/>
              <w:widowControl/>
              <w:suppressLineNumbers w:val="0"/>
              <w:spacing w:beforeAutospacing="0"/>
              <w:ind w:left="0" w:leftChars="0" w:firstLine="0" w:firstLineChars="0"/>
              <w:jc w:val="left"/>
              <w:rPr>
                <w:rFonts w:hint="default"/>
              </w:rPr>
            </w:pPr>
            <w:r>
              <w:rPr>
                <w:rFonts w:hint="eastAsia" w:hAnsi="宋体"/>
              </w:rPr>
              <w:t>设备系统版本补丁修复、设备未使用端口的封堵、安全策略调优等服务。</w:t>
            </w:r>
          </w:p>
        </w:tc>
        <w:tc>
          <w:tcPr>
            <w:tcW w:w="750" w:type="dxa"/>
            <w:vAlign w:val="center"/>
          </w:tcPr>
          <w:p>
            <w:pPr>
              <w:pStyle w:val="32"/>
              <w:keepNext w:val="0"/>
              <w:keepLines w:val="0"/>
              <w:widowControl/>
              <w:suppressLineNumbers w:val="0"/>
              <w:spacing w:beforeAutospacing="0"/>
              <w:ind w:left="0" w:leftChars="0" w:firstLine="210" w:firstLineChars="100"/>
              <w:jc w:val="left"/>
              <w:rPr>
                <w:rFonts w:hint="eastAsia" w:eastAsia="宋体"/>
                <w:lang w:val="en-US" w:eastAsia="zh-CN"/>
              </w:rPr>
            </w:pPr>
            <w:r>
              <w:rPr>
                <w:rFonts w:hint="eastAsia"/>
                <w:lang w:val="en-US" w:eastAsia="zh-CN"/>
              </w:rPr>
              <w:t>4</w:t>
            </w:r>
          </w:p>
        </w:tc>
        <w:tc>
          <w:tcPr>
            <w:tcW w:w="925" w:type="dxa"/>
            <w:vAlign w:val="center"/>
          </w:tcPr>
          <w:p>
            <w:pPr>
              <w:pStyle w:val="32"/>
              <w:keepNext w:val="0"/>
              <w:keepLines w:val="0"/>
              <w:widowControl/>
              <w:suppressLineNumbers w:val="0"/>
              <w:spacing w:beforeAutospacing="0"/>
              <w:ind w:left="0" w:leftChars="0" w:firstLine="210" w:firstLineChars="100"/>
              <w:jc w:val="left"/>
              <w:rPr>
                <w:rFonts w:hint="default"/>
              </w:rPr>
            </w:pPr>
            <w:r>
              <w:rPr>
                <w:rFonts w:hint="eastAsia"/>
              </w:rPr>
              <w:t>次</w:t>
            </w:r>
          </w:p>
        </w:tc>
        <w:tc>
          <w:tcPr>
            <w:tcW w:w="3225" w:type="dxa"/>
            <w:vAlign w:val="center"/>
          </w:tcPr>
          <w:p>
            <w:pPr>
              <w:pStyle w:val="32"/>
              <w:keepNext w:val="0"/>
              <w:keepLines w:val="0"/>
              <w:widowControl/>
              <w:suppressLineNumbers w:val="0"/>
              <w:spacing w:beforeAutospacing="0"/>
              <w:ind w:left="0" w:leftChars="0" w:firstLine="0" w:firstLineChars="0"/>
              <w:jc w:val="left"/>
              <w:rPr>
                <w:rFonts w:hint="default" w:asciiTheme="minorEastAsia" w:hAnsiTheme="minorEastAsia" w:eastAsiaTheme="minorEastAsia" w:cstheme="minorEastAsia"/>
                <w:b/>
              </w:rPr>
            </w:pPr>
            <w:r>
              <w:rPr>
                <w:rFonts w:hint="eastAsia" w:asciiTheme="minorEastAsia" w:hAnsiTheme="minorEastAsia" w:eastAsiaTheme="minorEastAsia" w:cstheme="minorEastAsia"/>
              </w:rPr>
              <w:t>每个季度核心交换机安全加固服务1次，一年总共4次，需确定每次核心交换机安全加固服务的价格，服务期内的核心交换机安全加固服务按照4次计量结算。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4</w:t>
            </w:r>
          </w:p>
        </w:tc>
        <w:tc>
          <w:tcPr>
            <w:tcW w:w="1240" w:type="dxa"/>
            <w:vAlign w:val="center"/>
          </w:tcPr>
          <w:p>
            <w:pPr>
              <w:pStyle w:val="32"/>
              <w:keepNext w:val="0"/>
              <w:keepLines w:val="0"/>
              <w:widowControl/>
              <w:suppressLineNumbers w:val="0"/>
              <w:spacing w:beforeAutospacing="0"/>
              <w:ind w:left="0" w:leftChars="0" w:firstLine="0" w:firstLineChars="0"/>
              <w:jc w:val="left"/>
              <w:rPr>
                <w:rFonts w:hint="default"/>
              </w:rPr>
            </w:pPr>
            <w:r>
              <w:rPr>
                <w:rFonts w:hint="eastAsia" w:hAnsi="宋体"/>
              </w:rPr>
              <w:t>核心交换机</w:t>
            </w:r>
            <w:r>
              <w:rPr>
                <w:rFonts w:hint="default" w:hAnsi="宋体"/>
              </w:rPr>
              <w:t>预防性巡检服务</w:t>
            </w:r>
          </w:p>
        </w:tc>
        <w:tc>
          <w:tcPr>
            <w:tcW w:w="2987" w:type="dxa"/>
            <w:vAlign w:val="center"/>
          </w:tcPr>
          <w:p>
            <w:pPr>
              <w:pStyle w:val="32"/>
              <w:keepNext w:val="0"/>
              <w:keepLines w:val="0"/>
              <w:widowControl/>
              <w:suppressLineNumbers w:val="0"/>
              <w:spacing w:beforeAutospacing="0"/>
              <w:ind w:left="0" w:leftChars="0" w:firstLine="0" w:firstLineChars="0"/>
              <w:jc w:val="left"/>
              <w:rPr>
                <w:rFonts w:hint="default"/>
              </w:rPr>
            </w:pPr>
            <w:r>
              <w:rPr>
                <w:rFonts w:hint="default" w:hAnsi="宋体"/>
              </w:rPr>
              <w:t>硬件状态检查</w:t>
            </w:r>
            <w:r>
              <w:rPr>
                <w:rFonts w:hint="eastAsia" w:hAnsi="宋体"/>
              </w:rPr>
              <w:t>、</w:t>
            </w:r>
            <w:r>
              <w:rPr>
                <w:rFonts w:hint="default" w:hAnsi="宋体"/>
              </w:rPr>
              <w:t>软件</w:t>
            </w:r>
            <w:r>
              <w:rPr>
                <w:rFonts w:hint="eastAsia" w:hAnsi="宋体"/>
              </w:rPr>
              <w:t>状态检查、协议状态检查、安全状态检查、诊断信息检查、</w:t>
            </w:r>
            <w:r>
              <w:rPr>
                <w:rFonts w:hint="default" w:hAnsi="宋体"/>
              </w:rPr>
              <w:t>技术公告扫描</w:t>
            </w:r>
            <w:r>
              <w:rPr>
                <w:rFonts w:hint="eastAsia" w:hAnsi="宋体"/>
              </w:rPr>
              <w:t>、</w:t>
            </w:r>
            <w:r>
              <w:rPr>
                <w:rFonts w:hint="default" w:hAnsi="宋体"/>
              </w:rPr>
              <w:t>配置规范检查</w:t>
            </w:r>
            <w:r>
              <w:rPr>
                <w:rFonts w:hint="eastAsia" w:hAnsi="宋体"/>
              </w:rPr>
              <w:t>、</w:t>
            </w:r>
            <w:r>
              <w:rPr>
                <w:rFonts w:hint="default" w:hAnsi="宋体"/>
              </w:rPr>
              <w:t>网络整体运行情况检查</w:t>
            </w:r>
            <w:r>
              <w:rPr>
                <w:rFonts w:hint="eastAsia" w:hAnsi="宋体"/>
              </w:rPr>
              <w:t>、</w:t>
            </w:r>
            <w:r>
              <w:rPr>
                <w:rFonts w:hint="default" w:hAnsi="宋体"/>
              </w:rPr>
              <w:t>系统环境及安全备份检查</w:t>
            </w:r>
            <w:r>
              <w:rPr>
                <w:rFonts w:hint="eastAsia" w:hAnsi="宋体"/>
              </w:rPr>
              <w:t>等。</w:t>
            </w:r>
          </w:p>
        </w:tc>
        <w:tc>
          <w:tcPr>
            <w:tcW w:w="750" w:type="dxa"/>
            <w:vAlign w:val="center"/>
          </w:tcPr>
          <w:p>
            <w:pPr>
              <w:pStyle w:val="32"/>
              <w:keepNext w:val="0"/>
              <w:keepLines w:val="0"/>
              <w:widowControl/>
              <w:suppressLineNumbers w:val="0"/>
              <w:spacing w:beforeAutospacing="0"/>
              <w:ind w:left="0" w:leftChars="0" w:firstLine="210" w:firstLineChars="100"/>
              <w:jc w:val="left"/>
              <w:rPr>
                <w:rFonts w:hint="default" w:eastAsia="宋体"/>
                <w:lang w:val="en-US" w:eastAsia="zh-CN"/>
              </w:rPr>
            </w:pPr>
            <w:r>
              <w:rPr>
                <w:rFonts w:hint="eastAsia"/>
                <w:lang w:val="en-US" w:eastAsia="zh-CN"/>
              </w:rPr>
              <w:t>12</w:t>
            </w:r>
          </w:p>
        </w:tc>
        <w:tc>
          <w:tcPr>
            <w:tcW w:w="925" w:type="dxa"/>
            <w:vAlign w:val="center"/>
          </w:tcPr>
          <w:p>
            <w:pPr>
              <w:pStyle w:val="32"/>
              <w:keepNext w:val="0"/>
              <w:keepLines w:val="0"/>
              <w:widowControl/>
              <w:suppressLineNumbers w:val="0"/>
              <w:spacing w:beforeAutospacing="0"/>
              <w:ind w:left="0" w:leftChars="0" w:firstLine="210" w:firstLineChars="100"/>
              <w:jc w:val="left"/>
              <w:rPr>
                <w:rFonts w:hint="default"/>
              </w:rPr>
            </w:pPr>
            <w:r>
              <w:rPr>
                <w:rFonts w:hint="eastAsia"/>
              </w:rPr>
              <w:t>人天</w:t>
            </w:r>
          </w:p>
        </w:tc>
        <w:tc>
          <w:tcPr>
            <w:tcW w:w="3225" w:type="dxa"/>
            <w:vAlign w:val="center"/>
          </w:tcPr>
          <w:p>
            <w:pPr>
              <w:pStyle w:val="32"/>
              <w:keepNext w:val="0"/>
              <w:keepLines w:val="0"/>
              <w:widowControl/>
              <w:suppressLineNumbers w:val="0"/>
              <w:spacing w:beforeAutospacing="0"/>
              <w:ind w:left="0" w:leftChars="0" w:firstLine="0" w:firstLineChars="0"/>
              <w:jc w:val="left"/>
              <w:rPr>
                <w:rFonts w:hint="default" w:asciiTheme="minorEastAsia" w:hAnsiTheme="minorEastAsia" w:eastAsiaTheme="minorEastAsia" w:cstheme="minorEastAsia"/>
              </w:rPr>
            </w:pPr>
            <w:r>
              <w:rPr>
                <w:rFonts w:hint="eastAsia" w:asciiTheme="minorEastAsia" w:hAnsiTheme="minorEastAsia" w:eastAsiaTheme="minorEastAsia" w:cstheme="minorEastAsia"/>
              </w:rPr>
              <w:t>每个月核心交换机预防性巡检服务预计1个人天，一年总共12个人天。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5</w:t>
            </w:r>
          </w:p>
        </w:tc>
        <w:tc>
          <w:tcPr>
            <w:tcW w:w="1240" w:type="dxa"/>
            <w:vAlign w:val="center"/>
          </w:tcPr>
          <w:p>
            <w:pPr>
              <w:pStyle w:val="32"/>
              <w:keepNext w:val="0"/>
              <w:keepLines w:val="0"/>
              <w:widowControl/>
              <w:suppressLineNumbers w:val="0"/>
              <w:spacing w:beforeAutospacing="0"/>
              <w:ind w:left="0" w:leftChars="0" w:firstLine="0" w:firstLineChars="0"/>
              <w:jc w:val="left"/>
              <w:rPr>
                <w:rFonts w:hint="default"/>
              </w:rPr>
            </w:pPr>
            <w:r>
              <w:rPr>
                <w:rFonts w:hint="default" w:hAnsi="宋体"/>
              </w:rPr>
              <w:t>重要节点工作保障服务</w:t>
            </w:r>
          </w:p>
        </w:tc>
        <w:tc>
          <w:tcPr>
            <w:tcW w:w="2987" w:type="dxa"/>
            <w:vAlign w:val="center"/>
          </w:tcPr>
          <w:p>
            <w:pPr>
              <w:pStyle w:val="32"/>
              <w:keepNext w:val="0"/>
              <w:keepLines w:val="0"/>
              <w:widowControl/>
              <w:suppressLineNumbers w:val="0"/>
              <w:spacing w:beforeAutospacing="0"/>
              <w:ind w:left="0" w:leftChars="0" w:firstLine="0" w:firstLineChars="0"/>
              <w:jc w:val="left"/>
              <w:rPr>
                <w:rFonts w:hint="default" w:hAnsi="宋体"/>
              </w:rPr>
            </w:pPr>
            <w:r>
              <w:rPr>
                <w:rFonts w:hint="default" w:hAnsi="宋体"/>
              </w:rPr>
              <w:t>广西区及南宁市每年度的网络安全攻防演习期间</w:t>
            </w:r>
            <w:r>
              <w:rPr>
                <w:rFonts w:hint="eastAsia" w:hAnsi="宋体"/>
              </w:rPr>
              <w:t>工作保障服务。</w:t>
            </w:r>
          </w:p>
        </w:tc>
        <w:tc>
          <w:tcPr>
            <w:tcW w:w="750" w:type="dxa"/>
            <w:vAlign w:val="center"/>
          </w:tcPr>
          <w:p>
            <w:pPr>
              <w:pStyle w:val="32"/>
              <w:keepNext w:val="0"/>
              <w:keepLines w:val="0"/>
              <w:widowControl/>
              <w:suppressLineNumbers w:val="0"/>
              <w:spacing w:beforeAutospacing="0"/>
              <w:ind w:left="0" w:leftChars="0" w:firstLine="210" w:firstLineChars="100"/>
              <w:jc w:val="left"/>
              <w:rPr>
                <w:rFonts w:hint="default" w:eastAsia="宋体"/>
                <w:lang w:val="en-US" w:eastAsia="zh-CN"/>
              </w:rPr>
            </w:pPr>
            <w:r>
              <w:rPr>
                <w:rFonts w:hint="eastAsia"/>
                <w:lang w:val="en-US" w:eastAsia="zh-CN"/>
              </w:rPr>
              <w:t>12</w:t>
            </w:r>
          </w:p>
        </w:tc>
        <w:tc>
          <w:tcPr>
            <w:tcW w:w="925" w:type="dxa"/>
            <w:vAlign w:val="center"/>
          </w:tcPr>
          <w:p>
            <w:pPr>
              <w:pStyle w:val="32"/>
              <w:keepNext w:val="0"/>
              <w:keepLines w:val="0"/>
              <w:widowControl/>
              <w:suppressLineNumbers w:val="0"/>
              <w:spacing w:beforeAutospacing="0"/>
              <w:ind w:left="0" w:leftChars="0" w:firstLine="210" w:firstLineChars="100"/>
              <w:jc w:val="left"/>
              <w:rPr>
                <w:rFonts w:hint="default"/>
              </w:rPr>
            </w:pPr>
            <w:r>
              <w:rPr>
                <w:rFonts w:hint="eastAsia"/>
              </w:rPr>
              <w:t>人天</w:t>
            </w:r>
          </w:p>
        </w:tc>
        <w:tc>
          <w:tcPr>
            <w:tcW w:w="3225" w:type="dxa"/>
            <w:vAlign w:val="center"/>
          </w:tcPr>
          <w:p>
            <w:pPr>
              <w:pStyle w:val="32"/>
              <w:keepNext w:val="0"/>
              <w:keepLines w:val="0"/>
              <w:widowControl/>
              <w:suppressLineNumbers w:val="0"/>
              <w:spacing w:beforeAutospacing="0"/>
              <w:ind w:left="0" w:leftChars="0" w:firstLine="0" w:firstLineChars="0"/>
              <w:jc w:val="left"/>
              <w:rPr>
                <w:rFonts w:hint="default" w:asciiTheme="minorEastAsia" w:hAnsiTheme="minorEastAsia" w:eastAsiaTheme="minorEastAsia" w:cstheme="minorEastAsia"/>
              </w:rPr>
            </w:pPr>
            <w:r>
              <w:rPr>
                <w:rFonts w:hint="eastAsia" w:asciiTheme="minorEastAsia" w:hAnsiTheme="minorEastAsia" w:eastAsiaTheme="minorEastAsia" w:cstheme="minorEastAsia"/>
              </w:rPr>
              <w:t>重要节点工作保障服务，广西区及南宁市每年度的网络安全攻防演习为12天。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2"/>
              <w:keepNext w:val="0"/>
              <w:keepLines w:val="0"/>
              <w:widowControl/>
              <w:suppressLineNumbers w:val="0"/>
              <w:spacing w:beforeAutospacing="0"/>
              <w:ind w:left="0" w:leftChars="0" w:firstLine="0" w:firstLineChars="0"/>
              <w:jc w:val="center"/>
              <w:rPr>
                <w:rFonts w:hint="default"/>
              </w:rPr>
            </w:pPr>
            <w:r>
              <w:rPr>
                <w:rFonts w:hint="eastAsia"/>
              </w:rPr>
              <w:t>6</w:t>
            </w:r>
          </w:p>
        </w:tc>
        <w:tc>
          <w:tcPr>
            <w:tcW w:w="1240" w:type="dxa"/>
            <w:vAlign w:val="center"/>
          </w:tcPr>
          <w:p>
            <w:pPr>
              <w:pStyle w:val="32"/>
              <w:keepNext w:val="0"/>
              <w:keepLines w:val="0"/>
              <w:widowControl/>
              <w:suppressLineNumbers w:val="0"/>
              <w:spacing w:beforeAutospacing="0"/>
              <w:ind w:left="0" w:leftChars="0" w:firstLine="0" w:firstLineChars="0"/>
              <w:jc w:val="left"/>
              <w:rPr>
                <w:rFonts w:hint="default"/>
              </w:rPr>
            </w:pPr>
            <w:r>
              <w:rPr>
                <w:rFonts w:hint="eastAsia" w:hAnsi="宋体"/>
              </w:rPr>
              <w:t>技能培训服务</w:t>
            </w:r>
          </w:p>
        </w:tc>
        <w:tc>
          <w:tcPr>
            <w:tcW w:w="2987" w:type="dxa"/>
            <w:vAlign w:val="center"/>
          </w:tcPr>
          <w:p>
            <w:pPr>
              <w:pStyle w:val="32"/>
              <w:keepNext w:val="0"/>
              <w:keepLines w:val="0"/>
              <w:widowControl/>
              <w:suppressLineNumbers w:val="0"/>
              <w:spacing w:beforeAutospacing="0"/>
              <w:ind w:left="0" w:leftChars="0" w:firstLine="0" w:firstLineChars="0"/>
              <w:jc w:val="left"/>
              <w:rPr>
                <w:rFonts w:hint="default"/>
              </w:rPr>
            </w:pPr>
            <w:r>
              <w:rPr>
                <w:rFonts w:hint="default" w:ascii="宋体" w:hAnsi="宋体" w:cs="宋体"/>
              </w:rPr>
              <w:t>路由交换相关协议、日常维护知识及技能；</w:t>
            </w:r>
            <w:r>
              <w:rPr>
                <w:rFonts w:hint="eastAsia" w:ascii="宋体" w:hAnsi="宋体" w:cs="宋体"/>
              </w:rPr>
              <w:t>1-5号线办公网</w:t>
            </w:r>
            <w:r>
              <w:rPr>
                <w:rFonts w:hint="default" w:ascii="宋体" w:hAnsi="宋体" w:cs="宋体"/>
              </w:rPr>
              <w:t>核心交换机</w:t>
            </w:r>
            <w:r>
              <w:rPr>
                <w:rFonts w:hint="eastAsia" w:ascii="宋体" w:hAnsi="宋体" w:cs="宋体"/>
              </w:rPr>
              <w:t>典型故障培训，理论及实操相结合。</w:t>
            </w:r>
          </w:p>
        </w:tc>
        <w:tc>
          <w:tcPr>
            <w:tcW w:w="750" w:type="dxa"/>
            <w:vAlign w:val="center"/>
          </w:tcPr>
          <w:p>
            <w:pPr>
              <w:pStyle w:val="32"/>
              <w:keepNext w:val="0"/>
              <w:keepLines w:val="0"/>
              <w:widowControl/>
              <w:suppressLineNumbers w:val="0"/>
              <w:spacing w:beforeAutospacing="0"/>
              <w:ind w:left="0" w:leftChars="0" w:firstLine="210" w:firstLineChars="100"/>
              <w:jc w:val="left"/>
              <w:rPr>
                <w:rFonts w:hint="eastAsia" w:eastAsia="宋体"/>
                <w:lang w:val="en-US" w:eastAsia="zh-CN"/>
              </w:rPr>
            </w:pPr>
            <w:r>
              <w:rPr>
                <w:rFonts w:hint="eastAsia"/>
                <w:lang w:val="en-US" w:eastAsia="zh-CN"/>
              </w:rPr>
              <w:t>4</w:t>
            </w:r>
          </w:p>
        </w:tc>
        <w:tc>
          <w:tcPr>
            <w:tcW w:w="925" w:type="dxa"/>
            <w:vAlign w:val="center"/>
          </w:tcPr>
          <w:p>
            <w:pPr>
              <w:pStyle w:val="32"/>
              <w:keepNext w:val="0"/>
              <w:keepLines w:val="0"/>
              <w:widowControl/>
              <w:suppressLineNumbers w:val="0"/>
              <w:spacing w:beforeAutospacing="0"/>
              <w:ind w:left="0" w:leftChars="0" w:firstLine="210" w:firstLineChars="100"/>
              <w:jc w:val="left"/>
              <w:rPr>
                <w:rFonts w:hint="default"/>
              </w:rPr>
            </w:pPr>
            <w:r>
              <w:rPr>
                <w:rFonts w:hint="default"/>
              </w:rPr>
              <w:t>次</w:t>
            </w:r>
          </w:p>
        </w:tc>
        <w:tc>
          <w:tcPr>
            <w:tcW w:w="3225" w:type="dxa"/>
            <w:vAlign w:val="center"/>
          </w:tcPr>
          <w:p>
            <w:pPr>
              <w:pStyle w:val="32"/>
              <w:keepNext w:val="0"/>
              <w:keepLines w:val="0"/>
              <w:widowControl/>
              <w:suppressLineNumbers w:val="0"/>
              <w:spacing w:beforeAutospacing="0"/>
              <w:ind w:left="0" w:leftChars="0" w:firstLine="0" w:firstLineChars="0"/>
              <w:jc w:val="left"/>
              <w:rPr>
                <w:rFonts w:hint="default" w:asciiTheme="minorEastAsia" w:hAnsiTheme="minorEastAsia" w:eastAsiaTheme="minorEastAsia" w:cstheme="minorEastAsia"/>
                <w:bCs/>
              </w:rPr>
            </w:pPr>
            <w:r>
              <w:rPr>
                <w:rFonts w:hint="eastAsia" w:asciiTheme="minorEastAsia" w:hAnsiTheme="minorEastAsia" w:eastAsiaTheme="minorEastAsia" w:cstheme="minorEastAsia"/>
                <w:bCs/>
              </w:rPr>
              <w:t>一个季度技能培训一次，一次培训1天。</w:t>
            </w:r>
          </w:p>
        </w:tc>
      </w:tr>
    </w:tbl>
    <w:p>
      <w:pPr>
        <w:pStyle w:val="32"/>
        <w:ind w:left="0" w:leftChars="0" w:firstLine="0" w:firstLineChars="0"/>
        <w:jc w:val="left"/>
      </w:pPr>
    </w:p>
    <w:p>
      <w:pPr>
        <w:pStyle w:val="32"/>
        <w:ind w:left="0" w:leftChars="0" w:firstLine="0" w:firstLineChars="0"/>
        <w:jc w:val="left"/>
      </w:pPr>
    </w:p>
    <w:p>
      <w:pPr>
        <w:pStyle w:val="32"/>
        <w:ind w:left="0" w:leftChars="0" w:firstLine="0" w:firstLineChars="0"/>
        <w:jc w:val="left"/>
      </w:pPr>
    </w:p>
    <w:p>
      <w:pPr>
        <w:pStyle w:val="32"/>
        <w:spacing w:before="0" w:after="0" w:afterAutospacing="0"/>
        <w:ind w:left="0" w:leftChars="0" w:right="0" w:firstLine="422" w:firstLineChars="200"/>
        <w:rPr>
          <w:rStyle w:val="46"/>
          <w:rFonts w:ascii="宋体" w:hAnsi="宋体"/>
          <w:color w:val="auto"/>
          <w:sz w:val="21"/>
          <w:szCs w:val="21"/>
        </w:rPr>
      </w:pPr>
      <w:bookmarkStart w:id="2290" w:name="附件6"/>
      <w:bookmarkEnd w:id="2290"/>
      <w:r>
        <w:rPr>
          <w:rStyle w:val="46"/>
          <w:rFonts w:hint="eastAsia" w:ascii="宋体" w:hAnsi="宋体"/>
          <w:color w:val="auto"/>
          <w:sz w:val="21"/>
          <w:szCs w:val="21"/>
        </w:rPr>
        <w:t>附件6  运营公司故障分析报告模板</w:t>
      </w:r>
    </w:p>
    <w:p>
      <w:pPr>
        <w:pStyle w:val="32"/>
        <w:spacing w:before="0" w:after="0" w:afterAutospacing="0"/>
        <w:ind w:left="0" w:leftChars="0" w:right="0" w:firstLine="422" w:firstLineChars="0"/>
        <w:rPr>
          <w:rStyle w:val="46"/>
          <w:rFonts w:ascii="宋体" w:hAnsi="宋体"/>
          <w:color w:val="auto"/>
          <w:sz w:val="21"/>
          <w:szCs w:val="21"/>
        </w:rPr>
      </w:pPr>
    </w:p>
    <w:p>
      <w:pPr>
        <w:jc w:val="center"/>
        <w:rPr>
          <w:rFonts w:ascii="仿宋" w:hAnsi="仿宋" w:eastAsia="仿宋"/>
          <w:color w:val="auto"/>
          <w:sz w:val="30"/>
          <w:szCs w:val="30"/>
        </w:rPr>
      </w:pPr>
      <w:r>
        <w:rPr>
          <w:rFonts w:hint="eastAsia" w:ascii="仿宋" w:hAnsi="仿宋" w:eastAsia="仿宋"/>
          <w:b/>
          <w:color w:val="auto"/>
          <w:sz w:val="44"/>
          <w:szCs w:val="44"/>
        </w:rPr>
        <w:t>关于</w:t>
      </w:r>
      <w:r>
        <w:rPr>
          <w:rFonts w:ascii="仿宋" w:hAnsi="仿宋" w:eastAsia="仿宋"/>
          <w:b/>
          <w:color w:val="auto"/>
          <w:sz w:val="44"/>
          <w:szCs w:val="44"/>
        </w:rPr>
        <w:t>20XX年X</w:t>
      </w:r>
      <w:r>
        <w:rPr>
          <w:rFonts w:hint="eastAsia" w:ascii="仿宋" w:hAnsi="仿宋" w:eastAsia="仿宋"/>
          <w:bCs/>
          <w:color w:val="auto"/>
          <w:sz w:val="44"/>
          <w:szCs w:val="44"/>
        </w:rPr>
        <w:t>月</w:t>
      </w:r>
      <w:r>
        <w:rPr>
          <w:rFonts w:ascii="仿宋" w:hAnsi="仿宋" w:eastAsia="仿宋"/>
          <w:b/>
          <w:color w:val="auto"/>
          <w:sz w:val="44"/>
          <w:szCs w:val="44"/>
        </w:rPr>
        <w:t>X日XXXX故障分析报告</w:t>
      </w:r>
    </w:p>
    <w:p>
      <w:pPr>
        <w:jc w:val="center"/>
        <w:rPr>
          <w:rFonts w:ascii="仿宋" w:hAnsi="仿宋" w:eastAsia="仿宋"/>
          <w:b/>
          <w:color w:val="auto"/>
          <w:sz w:val="44"/>
          <w:szCs w:val="44"/>
        </w:rPr>
      </w:pPr>
      <w:r>
        <w:rPr>
          <w:rFonts w:hint="eastAsia" w:ascii="仿宋" w:hAnsi="仿宋" w:eastAsia="仿宋"/>
          <w:b/>
          <w:color w:val="auto"/>
          <w:sz w:val="44"/>
          <w:szCs w:val="44"/>
        </w:rPr>
        <w:t>题目（正文、仿宋、二号、加粗）</w:t>
      </w:r>
    </w:p>
    <w:p>
      <w:pPr>
        <w:jc w:val="center"/>
        <w:rPr>
          <w:rFonts w:ascii="仿宋" w:hAnsi="仿宋" w:eastAsia="仿宋"/>
          <w:b/>
          <w:color w:val="auto"/>
          <w:sz w:val="44"/>
          <w:szCs w:val="44"/>
        </w:rPr>
      </w:pPr>
    </w:p>
    <w:p>
      <w:pPr>
        <w:ind w:left="0" w:firstLine="0"/>
        <w:jc w:val="both"/>
        <w:rPr>
          <w:rFonts w:ascii="仿宋" w:hAnsi="仿宋" w:eastAsia="仿宋"/>
          <w:b/>
          <w:color w:val="auto"/>
          <w:sz w:val="44"/>
          <w:szCs w:val="44"/>
        </w:rPr>
      </w:pPr>
    </w:p>
    <w:p>
      <w:pPr>
        <w:jc w:val="center"/>
        <w:rPr>
          <w:rFonts w:ascii="仿宋" w:hAnsi="仿宋" w:eastAsia="仿宋"/>
          <w:b/>
          <w:color w:val="auto"/>
          <w:sz w:val="44"/>
          <w:szCs w:val="44"/>
        </w:rPr>
      </w:pPr>
    </w:p>
    <w:p>
      <w:pPr>
        <w:spacing w:before="240" w:beforeLines="100" w:after="240" w:afterLines="100"/>
        <w:ind w:firstLine="2221" w:firstLineChars="790"/>
        <w:jc w:val="left"/>
        <w:rPr>
          <w:rFonts w:ascii="仿宋" w:hAnsi="仿宋" w:eastAsia="仿宋"/>
          <w:b/>
          <w:color w:val="auto"/>
          <w:sz w:val="28"/>
          <w:szCs w:val="28"/>
        </w:rPr>
      </w:pPr>
      <w:r>
        <w:rPr>
          <w:rFonts w:hint="eastAsia" w:ascii="仿宋" w:hAnsi="仿宋" w:eastAsia="仿宋"/>
          <w:b/>
          <w:color w:val="auto"/>
          <w:sz w:val="28"/>
          <w:szCs w:val="28"/>
        </w:rPr>
        <w:t>单</w:t>
      </w:r>
      <w:r>
        <w:rPr>
          <w:rFonts w:ascii="仿宋" w:hAnsi="仿宋" w:eastAsia="仿宋"/>
          <w:b/>
          <w:color w:val="auto"/>
          <w:sz w:val="28"/>
          <w:szCs w:val="28"/>
        </w:rPr>
        <w:t xml:space="preserve">  </w:t>
      </w:r>
      <w:r>
        <w:rPr>
          <w:rFonts w:hint="eastAsia" w:ascii="仿宋" w:hAnsi="仿宋" w:eastAsia="仿宋"/>
          <w:b/>
          <w:color w:val="auto"/>
          <w:sz w:val="28"/>
          <w:szCs w:val="28"/>
        </w:rPr>
        <w:t>位：</w:t>
      </w:r>
      <w:r>
        <w:rPr>
          <w:rFonts w:ascii="仿宋" w:hAnsi="仿宋" w:eastAsia="仿宋"/>
          <w:b/>
          <w:color w:val="auto"/>
          <w:sz w:val="28"/>
          <w:szCs w:val="28"/>
        </w:rPr>
        <w:t>XX</w:t>
      </w:r>
    </w:p>
    <w:p>
      <w:pPr>
        <w:spacing w:before="240" w:beforeLines="100" w:after="240" w:afterLines="100"/>
        <w:ind w:firstLine="2235" w:firstLineChars="795"/>
        <w:jc w:val="left"/>
        <w:rPr>
          <w:rFonts w:ascii="仿宋" w:hAnsi="仿宋" w:eastAsia="仿宋"/>
          <w:b/>
          <w:color w:val="auto"/>
          <w:sz w:val="28"/>
          <w:szCs w:val="28"/>
          <w:u w:val="single"/>
        </w:rPr>
      </w:pPr>
      <w:r>
        <w:rPr>
          <w:rFonts w:hint="eastAsia" w:ascii="仿宋" w:hAnsi="仿宋" w:eastAsia="仿宋"/>
          <w:b/>
          <w:color w:val="auto"/>
          <w:sz w:val="28"/>
          <w:szCs w:val="28"/>
        </w:rPr>
        <w:t>编制：</w:t>
      </w:r>
      <w:r>
        <w:rPr>
          <w:rFonts w:ascii="仿宋" w:hAnsi="仿宋" w:eastAsia="仿宋"/>
          <w:b/>
          <w:color w:val="auto"/>
          <w:sz w:val="28"/>
          <w:szCs w:val="28"/>
        </w:rPr>
        <w:t xml:space="preserve">  专业工程师（签字） </w:t>
      </w:r>
    </w:p>
    <w:p>
      <w:pPr>
        <w:spacing w:before="240" w:beforeLines="100" w:after="240" w:afterLines="100"/>
        <w:ind w:firstLine="2235" w:firstLineChars="795"/>
        <w:jc w:val="left"/>
        <w:rPr>
          <w:rFonts w:ascii="仿宋" w:hAnsi="仿宋" w:eastAsia="仿宋"/>
          <w:b/>
          <w:color w:val="auto"/>
          <w:sz w:val="28"/>
          <w:szCs w:val="28"/>
          <w:u w:val="single"/>
        </w:rPr>
      </w:pPr>
      <w:r>
        <w:rPr>
          <w:rFonts w:hint="eastAsia" w:ascii="仿宋" w:hAnsi="仿宋" w:eastAsia="仿宋"/>
          <w:b/>
          <w:color w:val="auto"/>
          <w:sz w:val="28"/>
          <w:szCs w:val="28"/>
        </w:rPr>
        <w:t>批准：项目经理（签字）</w:t>
      </w:r>
    </w:p>
    <w:p>
      <w:pPr>
        <w:spacing w:before="240" w:beforeLines="100" w:after="240" w:afterLines="100"/>
        <w:ind w:firstLine="2221" w:firstLineChars="790"/>
        <w:jc w:val="left"/>
        <w:rPr>
          <w:rFonts w:ascii="仿宋" w:hAnsi="仿宋" w:eastAsia="仿宋"/>
          <w:b/>
          <w:color w:val="auto"/>
          <w:sz w:val="28"/>
          <w:szCs w:val="28"/>
        </w:rPr>
      </w:pPr>
      <w:r>
        <w:rPr>
          <w:rFonts w:hint="eastAsia" w:ascii="仿宋" w:hAnsi="仿宋" w:eastAsia="仿宋"/>
          <w:b/>
          <w:color w:val="auto"/>
          <w:sz w:val="28"/>
          <w:szCs w:val="28"/>
        </w:rPr>
        <w:t>日</w:t>
      </w:r>
      <w:r>
        <w:rPr>
          <w:rFonts w:ascii="仿宋" w:hAnsi="仿宋" w:eastAsia="仿宋"/>
          <w:b/>
          <w:color w:val="auto"/>
          <w:sz w:val="28"/>
          <w:szCs w:val="28"/>
        </w:rPr>
        <w:t xml:space="preserve">   </w:t>
      </w:r>
      <w:r>
        <w:rPr>
          <w:rFonts w:hint="eastAsia" w:ascii="仿宋" w:hAnsi="仿宋" w:eastAsia="仿宋"/>
          <w:b/>
          <w:color w:val="auto"/>
          <w:sz w:val="28"/>
          <w:szCs w:val="28"/>
        </w:rPr>
        <w:t>期：年月日</w:t>
      </w:r>
    </w:p>
    <w:p>
      <w:pPr>
        <w:jc w:val="center"/>
        <w:rPr>
          <w:rFonts w:ascii="仿宋" w:hAnsi="仿宋" w:eastAsia="仿宋"/>
          <w:b/>
          <w:color w:val="auto"/>
          <w:sz w:val="28"/>
          <w:szCs w:val="28"/>
        </w:rPr>
      </w:pPr>
      <w:r>
        <w:rPr>
          <w:rFonts w:hint="eastAsia" w:ascii="仿宋" w:hAnsi="仿宋" w:eastAsia="仿宋"/>
          <w:b/>
          <w:color w:val="auto"/>
          <w:sz w:val="28"/>
          <w:szCs w:val="28"/>
        </w:rPr>
        <w:t>（正文、仿宋、二号、加粗）</w:t>
      </w:r>
      <w:r>
        <w:rPr>
          <w:rFonts w:ascii="仿宋" w:hAnsi="仿宋" w:eastAsia="仿宋"/>
          <w:b/>
          <w:color w:val="auto"/>
          <w:sz w:val="28"/>
          <w:szCs w:val="28"/>
        </w:rPr>
        <w:br w:type="page"/>
      </w:r>
      <w:r>
        <w:rPr>
          <w:rFonts w:hint="eastAsia" w:ascii="仿宋" w:hAnsi="仿宋" w:eastAsia="仿宋"/>
          <w:b/>
          <w:color w:val="auto"/>
          <w:sz w:val="44"/>
          <w:szCs w:val="44"/>
        </w:rPr>
        <w:t>关于</w:t>
      </w:r>
      <w:r>
        <w:rPr>
          <w:rFonts w:ascii="仿宋" w:hAnsi="仿宋" w:eastAsia="仿宋"/>
          <w:b/>
          <w:color w:val="auto"/>
          <w:sz w:val="44"/>
          <w:szCs w:val="44"/>
        </w:rPr>
        <w:t>20XX年X月X日XXXX故障分析报告</w:t>
      </w:r>
    </w:p>
    <w:p>
      <w:pPr>
        <w:ind w:firstLine="0"/>
        <w:rPr>
          <w:rFonts w:ascii="仿宋" w:hAnsi="仿宋" w:eastAsia="仿宋"/>
          <w:b/>
          <w:color w:val="auto"/>
          <w:sz w:val="44"/>
          <w:szCs w:val="44"/>
        </w:rPr>
      </w:pPr>
      <w:r>
        <w:rPr>
          <w:rFonts w:hint="eastAsia" w:ascii="仿宋" w:hAnsi="仿宋" w:eastAsia="仿宋"/>
          <w:b/>
          <w:color w:val="auto"/>
          <w:sz w:val="44"/>
          <w:szCs w:val="44"/>
        </w:rPr>
        <w:t>标题（正文、仿宋、二号、加粗、居中）</w:t>
      </w:r>
    </w:p>
    <w:p>
      <w:pPr>
        <w:rPr>
          <w:rFonts w:ascii="仿宋" w:hAnsi="仿宋" w:eastAsia="仿宋" w:cs="宋体"/>
          <w:b/>
          <w:bCs/>
          <w:color w:val="auto"/>
          <w:sz w:val="28"/>
          <w:szCs w:val="28"/>
        </w:rPr>
      </w:pPr>
      <w:r>
        <w:rPr>
          <w:rFonts w:hint="eastAsia" w:ascii="仿宋" w:hAnsi="仿宋" w:eastAsia="仿宋" w:cs="宋体"/>
          <w:b/>
          <w:bCs/>
          <w:color w:val="auto"/>
          <w:sz w:val="28"/>
          <w:szCs w:val="28"/>
        </w:rPr>
        <w:t>一、故障</w:t>
      </w:r>
      <w:bookmarkStart w:id="2291" w:name="OLE_LINK1"/>
      <w:r>
        <w:rPr>
          <w:rFonts w:hint="eastAsia" w:ascii="仿宋" w:hAnsi="仿宋" w:eastAsia="仿宋" w:cs="宋体"/>
          <w:b/>
          <w:bCs/>
          <w:color w:val="auto"/>
          <w:sz w:val="28"/>
          <w:szCs w:val="28"/>
        </w:rPr>
        <w:t>概况（标题、仿宋、四号、加粗）</w:t>
      </w:r>
    </w:p>
    <w:bookmarkEnd w:id="2291"/>
    <w:p>
      <w:pPr>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内容（正文、仿宋、四号、行距</w:t>
      </w:r>
      <w:r>
        <w:rPr>
          <w:rFonts w:ascii="仿宋" w:hAnsi="仿宋" w:eastAsia="仿宋" w:cs="宋体"/>
          <w:color w:val="auto"/>
          <w:sz w:val="28"/>
          <w:szCs w:val="28"/>
        </w:rPr>
        <w:t>1.5）</w:t>
      </w:r>
    </w:p>
    <w:p>
      <w:pPr>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有故障现象的图片需增加图片，图片按“图</w:t>
      </w:r>
      <w:r>
        <w:rPr>
          <w:rFonts w:ascii="仿宋" w:hAnsi="仿宋" w:eastAsia="仿宋" w:cs="宋体"/>
          <w:color w:val="auto"/>
          <w:sz w:val="28"/>
          <w:szCs w:val="28"/>
        </w:rPr>
        <w:t>1-1  XXX”、“图1-2  XXX”……格式在图片下方进行命名。</w:t>
      </w:r>
    </w:p>
    <w:p>
      <w:pPr>
        <w:rPr>
          <w:rFonts w:ascii="仿宋" w:hAnsi="仿宋" w:eastAsia="仿宋" w:cs="宋体"/>
          <w:b/>
          <w:bCs/>
          <w:color w:val="auto"/>
          <w:sz w:val="28"/>
          <w:szCs w:val="28"/>
        </w:rPr>
      </w:pPr>
      <w:r>
        <w:rPr>
          <w:rFonts w:hint="eastAsia" w:ascii="仿宋" w:hAnsi="仿宋" w:eastAsia="仿宋" w:cs="宋体"/>
          <w:b/>
          <w:bCs/>
          <w:color w:val="auto"/>
          <w:sz w:val="28"/>
          <w:szCs w:val="28"/>
        </w:rPr>
        <w:t>二、造成影响</w:t>
      </w:r>
    </w:p>
    <w:p>
      <w:pPr>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内容：（正文、仿宋、四号、行距</w:t>
      </w:r>
      <w:r>
        <w:rPr>
          <w:rFonts w:ascii="仿宋" w:hAnsi="仿宋" w:eastAsia="仿宋" w:cs="宋体"/>
          <w:color w:val="auto"/>
          <w:sz w:val="28"/>
          <w:szCs w:val="28"/>
        </w:rPr>
        <w:t>1.5）</w:t>
      </w:r>
    </w:p>
    <w:p>
      <w:pPr>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造成影响：对行车、客服造成的影响，对运营指标造成的影响（单个指标、系统指标）等。</w:t>
      </w:r>
    </w:p>
    <w:p>
      <w:pPr>
        <w:rPr>
          <w:rFonts w:ascii="仿宋" w:hAnsi="仿宋" w:eastAsia="仿宋" w:cs="宋体"/>
          <w:b/>
          <w:bCs/>
          <w:color w:val="auto"/>
          <w:sz w:val="28"/>
          <w:szCs w:val="28"/>
        </w:rPr>
      </w:pPr>
      <w:r>
        <w:rPr>
          <w:rFonts w:hint="eastAsia" w:ascii="仿宋" w:hAnsi="仿宋" w:eastAsia="仿宋" w:cs="宋体"/>
          <w:b/>
          <w:bCs/>
          <w:color w:val="auto"/>
          <w:sz w:val="28"/>
          <w:szCs w:val="28"/>
        </w:rPr>
        <w:t>三、处理经过</w:t>
      </w:r>
    </w:p>
    <w:p>
      <w:pPr>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内容：（正文、仿宋、四号、行距</w:t>
      </w:r>
      <w:r>
        <w:rPr>
          <w:rFonts w:ascii="仿宋" w:hAnsi="仿宋" w:eastAsia="仿宋" w:cs="宋体"/>
          <w:color w:val="auto"/>
          <w:sz w:val="28"/>
          <w:szCs w:val="28"/>
        </w:rPr>
        <w:t>1.5）</w:t>
      </w:r>
    </w:p>
    <w:p>
      <w:pPr>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时间：按</w:t>
      </w:r>
      <w:r>
        <w:rPr>
          <w:rFonts w:ascii="仿宋" w:hAnsi="仿宋" w:eastAsia="仿宋" w:cs="宋体"/>
          <w:color w:val="auto"/>
          <w:sz w:val="28"/>
          <w:szCs w:val="28"/>
        </w:rPr>
        <w:t>24小时制格式“XX：XX：XX”分时叙述主要处理经过。</w:t>
      </w:r>
    </w:p>
    <w:p>
      <w:pPr>
        <w:rPr>
          <w:rFonts w:ascii="仿宋" w:hAnsi="仿宋" w:eastAsia="仿宋" w:cs="宋体"/>
          <w:b/>
          <w:bCs/>
          <w:color w:val="auto"/>
          <w:sz w:val="28"/>
          <w:szCs w:val="28"/>
        </w:rPr>
      </w:pPr>
      <w:r>
        <w:rPr>
          <w:rFonts w:hint="eastAsia" w:ascii="仿宋" w:hAnsi="仿宋" w:eastAsia="仿宋" w:cs="宋体"/>
          <w:b/>
          <w:bCs/>
          <w:color w:val="auto"/>
          <w:sz w:val="28"/>
          <w:szCs w:val="28"/>
        </w:rPr>
        <w:t>四、故障调查</w:t>
      </w:r>
    </w:p>
    <w:p>
      <w:pPr>
        <w:ind w:firstLine="560" w:firstLineChars="200"/>
        <w:rPr>
          <w:color w:val="auto"/>
          <w:sz w:val="32"/>
        </w:rPr>
      </w:pPr>
      <w:r>
        <w:rPr>
          <w:rFonts w:hint="eastAsia" w:ascii="仿宋" w:hAnsi="仿宋" w:eastAsia="仿宋" w:cs="宋体"/>
          <w:color w:val="auto"/>
          <w:sz w:val="28"/>
          <w:szCs w:val="28"/>
        </w:rPr>
        <w:t>内容：（正文、仿宋、四号、行距</w:t>
      </w:r>
      <w:r>
        <w:rPr>
          <w:rFonts w:ascii="仿宋" w:hAnsi="仿宋" w:eastAsia="仿宋" w:cs="宋体"/>
          <w:color w:val="auto"/>
          <w:sz w:val="28"/>
          <w:szCs w:val="28"/>
        </w:rPr>
        <w:t>1.5）</w:t>
      </w:r>
    </w:p>
    <w:p>
      <w:pPr>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表格：居中，按“表</w:t>
      </w:r>
      <w:r>
        <w:rPr>
          <w:rFonts w:ascii="仿宋" w:hAnsi="仿宋" w:eastAsia="仿宋" w:cs="宋体"/>
          <w:color w:val="auto"/>
          <w:sz w:val="28"/>
          <w:szCs w:val="28"/>
        </w:rPr>
        <w:t>4-1  XXXX”……格式在表格上方进行命名。</w:t>
      </w:r>
    </w:p>
    <w:p>
      <w:pPr>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图片：居中，按“图</w:t>
      </w:r>
      <w:r>
        <w:rPr>
          <w:rFonts w:ascii="仿宋" w:hAnsi="仿宋" w:eastAsia="仿宋" w:cs="宋体"/>
          <w:color w:val="auto"/>
          <w:sz w:val="28"/>
          <w:szCs w:val="28"/>
        </w:rPr>
        <w:t>4-1  XXXX”……格式在图片下方进行命名。</w:t>
      </w:r>
    </w:p>
    <w:p>
      <w:pPr>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故障调查：主要从人员培训、检修记录、检修周期、人员资质等方面进行分析。</w:t>
      </w:r>
    </w:p>
    <w:p>
      <w:pPr>
        <w:ind w:left="1129" w:leftChars="200"/>
        <w:jc w:val="center"/>
        <w:rPr>
          <w:rFonts w:ascii="仿宋" w:hAnsi="仿宋" w:eastAsia="仿宋" w:cs="宋体"/>
          <w:color w:val="auto"/>
          <w:sz w:val="28"/>
          <w:szCs w:val="28"/>
        </w:rPr>
      </w:pPr>
    </w:p>
    <w:p>
      <w:pPr>
        <w:ind w:left="1129" w:leftChars="200"/>
        <w:jc w:val="center"/>
        <w:rPr>
          <w:rFonts w:ascii="仿宋" w:hAnsi="仿宋" w:eastAsia="仿宋" w:cs="宋体"/>
          <w:color w:val="auto"/>
          <w:sz w:val="28"/>
          <w:szCs w:val="28"/>
        </w:rPr>
      </w:pPr>
      <w:r>
        <w:rPr>
          <w:rFonts w:hint="eastAsia" w:ascii="仿宋" w:hAnsi="仿宋" w:eastAsia="仿宋" w:cs="宋体"/>
          <w:color w:val="auto"/>
          <w:sz w:val="28"/>
          <w:szCs w:val="28"/>
        </w:rPr>
        <w:t>表</w:t>
      </w:r>
      <w:r>
        <w:rPr>
          <w:rFonts w:ascii="仿宋" w:hAnsi="仿宋" w:eastAsia="仿宋" w:cs="宋体"/>
          <w:color w:val="auto"/>
          <w:sz w:val="28"/>
          <w:szCs w:val="28"/>
        </w:rPr>
        <w:t>4-1  XXXX</w:t>
      </w:r>
    </w:p>
    <w:tbl>
      <w:tblPr>
        <w:tblStyle w:val="34"/>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1622"/>
        <w:gridCol w:w="1622"/>
        <w:gridCol w:w="1622"/>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tcPr>
          <w:p>
            <w:pPr>
              <w:keepNext w:val="0"/>
              <w:keepLines w:val="0"/>
              <w:widowControl/>
              <w:suppressLineNumbers w:val="0"/>
              <w:spacing w:beforeAutospacing="0"/>
              <w:rPr>
                <w:rFonts w:hint="default" w:ascii="仿宋" w:hAnsi="仿宋" w:eastAsia="仿宋" w:cs="宋体"/>
                <w:color w:val="auto"/>
                <w:sz w:val="28"/>
                <w:szCs w:val="28"/>
              </w:rPr>
            </w:pPr>
          </w:p>
        </w:tc>
        <w:tc>
          <w:tcPr>
            <w:tcW w:w="1622" w:type="dxa"/>
          </w:tcPr>
          <w:p>
            <w:pPr>
              <w:keepNext w:val="0"/>
              <w:keepLines w:val="0"/>
              <w:widowControl/>
              <w:suppressLineNumbers w:val="0"/>
              <w:spacing w:beforeAutospacing="0"/>
              <w:rPr>
                <w:rFonts w:hint="default" w:ascii="仿宋" w:hAnsi="仿宋" w:eastAsia="仿宋" w:cs="宋体"/>
                <w:color w:val="auto"/>
                <w:sz w:val="28"/>
                <w:szCs w:val="28"/>
              </w:rPr>
            </w:pPr>
          </w:p>
        </w:tc>
        <w:tc>
          <w:tcPr>
            <w:tcW w:w="1622" w:type="dxa"/>
          </w:tcPr>
          <w:p>
            <w:pPr>
              <w:keepNext w:val="0"/>
              <w:keepLines w:val="0"/>
              <w:widowControl/>
              <w:suppressLineNumbers w:val="0"/>
              <w:spacing w:beforeAutospacing="0"/>
              <w:rPr>
                <w:rFonts w:hint="default" w:ascii="仿宋" w:hAnsi="仿宋" w:eastAsia="仿宋" w:cs="宋体"/>
                <w:color w:val="auto"/>
                <w:sz w:val="28"/>
                <w:szCs w:val="28"/>
              </w:rPr>
            </w:pPr>
          </w:p>
        </w:tc>
        <w:tc>
          <w:tcPr>
            <w:tcW w:w="1622" w:type="dxa"/>
          </w:tcPr>
          <w:p>
            <w:pPr>
              <w:keepNext w:val="0"/>
              <w:keepLines w:val="0"/>
              <w:widowControl/>
              <w:suppressLineNumbers w:val="0"/>
              <w:spacing w:beforeAutospacing="0"/>
              <w:rPr>
                <w:rFonts w:hint="default" w:ascii="仿宋" w:hAnsi="仿宋" w:eastAsia="仿宋" w:cs="宋体"/>
                <w:color w:val="auto"/>
                <w:sz w:val="28"/>
                <w:szCs w:val="28"/>
              </w:rPr>
            </w:pPr>
          </w:p>
        </w:tc>
        <w:tc>
          <w:tcPr>
            <w:tcW w:w="1622" w:type="dxa"/>
          </w:tcPr>
          <w:p>
            <w:pPr>
              <w:keepNext w:val="0"/>
              <w:keepLines w:val="0"/>
              <w:widowControl/>
              <w:suppressLineNumbers w:val="0"/>
              <w:spacing w:beforeAutospacing="0"/>
              <w:rPr>
                <w:rFonts w:hint="default" w:ascii="仿宋" w:hAnsi="仿宋" w:eastAsia="仿宋"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tcPr>
          <w:p>
            <w:pPr>
              <w:keepNext w:val="0"/>
              <w:keepLines w:val="0"/>
              <w:widowControl/>
              <w:suppressLineNumbers w:val="0"/>
              <w:spacing w:beforeAutospacing="0"/>
              <w:rPr>
                <w:rFonts w:hint="default" w:ascii="仿宋" w:hAnsi="仿宋" w:eastAsia="仿宋" w:cs="宋体"/>
                <w:color w:val="auto"/>
                <w:sz w:val="28"/>
                <w:szCs w:val="28"/>
              </w:rPr>
            </w:pPr>
          </w:p>
        </w:tc>
        <w:tc>
          <w:tcPr>
            <w:tcW w:w="1622" w:type="dxa"/>
          </w:tcPr>
          <w:p>
            <w:pPr>
              <w:keepNext w:val="0"/>
              <w:keepLines w:val="0"/>
              <w:widowControl/>
              <w:suppressLineNumbers w:val="0"/>
              <w:spacing w:beforeAutospacing="0"/>
              <w:rPr>
                <w:rFonts w:hint="default" w:ascii="仿宋" w:hAnsi="仿宋" w:eastAsia="仿宋" w:cs="宋体"/>
                <w:color w:val="auto"/>
                <w:sz w:val="28"/>
                <w:szCs w:val="28"/>
              </w:rPr>
            </w:pPr>
          </w:p>
        </w:tc>
        <w:tc>
          <w:tcPr>
            <w:tcW w:w="1622" w:type="dxa"/>
          </w:tcPr>
          <w:p>
            <w:pPr>
              <w:keepNext w:val="0"/>
              <w:keepLines w:val="0"/>
              <w:widowControl/>
              <w:suppressLineNumbers w:val="0"/>
              <w:spacing w:beforeAutospacing="0"/>
              <w:rPr>
                <w:rFonts w:hint="default" w:ascii="仿宋" w:hAnsi="仿宋" w:eastAsia="仿宋" w:cs="宋体"/>
                <w:color w:val="auto"/>
                <w:sz w:val="28"/>
                <w:szCs w:val="28"/>
              </w:rPr>
            </w:pPr>
          </w:p>
        </w:tc>
        <w:tc>
          <w:tcPr>
            <w:tcW w:w="1622" w:type="dxa"/>
          </w:tcPr>
          <w:p>
            <w:pPr>
              <w:keepNext w:val="0"/>
              <w:keepLines w:val="0"/>
              <w:widowControl/>
              <w:suppressLineNumbers w:val="0"/>
              <w:spacing w:beforeAutospacing="0"/>
              <w:rPr>
                <w:rFonts w:hint="default" w:ascii="仿宋" w:hAnsi="仿宋" w:eastAsia="仿宋" w:cs="宋体"/>
                <w:color w:val="auto"/>
                <w:sz w:val="28"/>
                <w:szCs w:val="28"/>
              </w:rPr>
            </w:pPr>
          </w:p>
        </w:tc>
        <w:tc>
          <w:tcPr>
            <w:tcW w:w="1622" w:type="dxa"/>
          </w:tcPr>
          <w:p>
            <w:pPr>
              <w:keepNext w:val="0"/>
              <w:keepLines w:val="0"/>
              <w:widowControl/>
              <w:suppressLineNumbers w:val="0"/>
              <w:spacing w:beforeAutospacing="0"/>
              <w:rPr>
                <w:rFonts w:hint="default" w:ascii="仿宋" w:hAnsi="仿宋" w:eastAsia="仿宋" w:cs="宋体"/>
                <w:color w:val="auto"/>
                <w:sz w:val="28"/>
                <w:szCs w:val="28"/>
              </w:rPr>
            </w:pPr>
          </w:p>
        </w:tc>
      </w:tr>
    </w:tbl>
    <w:p>
      <w:pPr>
        <w:ind w:left="1129" w:leftChars="200"/>
        <w:jc w:val="center"/>
        <w:rPr>
          <w:rFonts w:ascii="仿宋" w:hAnsi="仿宋" w:eastAsia="仿宋" w:cs="宋体"/>
          <w:color w:val="auto"/>
          <w:sz w:val="28"/>
          <w:szCs w:val="28"/>
        </w:rPr>
      </w:pPr>
      <w:r>
        <w:rPr>
          <w:color w:val="auto"/>
        </w:rPr>
        <w:drawing>
          <wp:inline distT="0" distB="0" distL="0" distR="0">
            <wp:extent cx="3181350" cy="2181225"/>
            <wp:effectExtent l="9525" t="9525" r="9525" b="190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a:off x="0" y="0"/>
                      <a:ext cx="3181350" cy="2181225"/>
                    </a:xfrm>
                    <a:prstGeom prst="rect">
                      <a:avLst/>
                    </a:prstGeom>
                    <a:ln>
                      <a:solidFill>
                        <a:schemeClr val="bg1">
                          <a:lumMod val="85000"/>
                        </a:schemeClr>
                      </a:solidFill>
                    </a:ln>
                  </pic:spPr>
                </pic:pic>
              </a:graphicData>
            </a:graphic>
          </wp:inline>
        </w:drawing>
      </w:r>
    </w:p>
    <w:p>
      <w:pPr>
        <w:ind w:left="1129" w:leftChars="200"/>
        <w:jc w:val="center"/>
        <w:rPr>
          <w:rFonts w:ascii="仿宋" w:hAnsi="仿宋" w:eastAsia="仿宋" w:cs="宋体"/>
          <w:color w:val="auto"/>
          <w:sz w:val="28"/>
          <w:szCs w:val="28"/>
        </w:rPr>
      </w:pPr>
      <w:r>
        <w:rPr>
          <w:rFonts w:hint="eastAsia" w:ascii="仿宋" w:hAnsi="仿宋" w:eastAsia="仿宋" w:cs="宋体"/>
          <w:color w:val="auto"/>
          <w:sz w:val="28"/>
          <w:szCs w:val="28"/>
        </w:rPr>
        <w:t>图</w:t>
      </w:r>
      <w:r>
        <w:rPr>
          <w:rFonts w:ascii="仿宋" w:hAnsi="仿宋" w:eastAsia="仿宋" w:cs="宋体"/>
          <w:color w:val="auto"/>
          <w:sz w:val="28"/>
          <w:szCs w:val="28"/>
        </w:rPr>
        <w:t>4-1  XXXX</w:t>
      </w:r>
    </w:p>
    <w:p>
      <w:pPr>
        <w:rPr>
          <w:rFonts w:ascii="仿宋" w:hAnsi="仿宋" w:eastAsia="仿宋" w:cs="宋体"/>
          <w:b/>
          <w:bCs/>
          <w:color w:val="auto"/>
          <w:sz w:val="28"/>
          <w:szCs w:val="28"/>
        </w:rPr>
      </w:pPr>
      <w:r>
        <w:rPr>
          <w:rFonts w:hint="eastAsia" w:ascii="仿宋" w:hAnsi="仿宋" w:eastAsia="仿宋" w:cs="宋体"/>
          <w:b/>
          <w:bCs/>
          <w:color w:val="auto"/>
          <w:sz w:val="28"/>
          <w:szCs w:val="28"/>
        </w:rPr>
        <w:t>五、原因分析</w:t>
      </w:r>
    </w:p>
    <w:p>
      <w:pPr>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内容：（正文、仿宋、四号、行距</w:t>
      </w:r>
      <w:r>
        <w:rPr>
          <w:rFonts w:ascii="仿宋" w:hAnsi="仿宋" w:eastAsia="仿宋" w:cs="宋体"/>
          <w:color w:val="auto"/>
          <w:sz w:val="28"/>
          <w:szCs w:val="28"/>
        </w:rPr>
        <w:t>1.5）</w:t>
      </w:r>
    </w:p>
    <w:p>
      <w:pPr>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主要从设备方面、管理方面、人员方面等进行分析，主要原因、次要原因、根本原因等。</w:t>
      </w:r>
    </w:p>
    <w:p>
      <w:pPr>
        <w:rPr>
          <w:rFonts w:ascii="仿宋" w:hAnsi="仿宋" w:eastAsia="仿宋" w:cs="宋体"/>
          <w:b/>
          <w:bCs/>
          <w:color w:val="auto"/>
          <w:sz w:val="28"/>
          <w:szCs w:val="28"/>
        </w:rPr>
      </w:pPr>
      <w:r>
        <w:rPr>
          <w:rFonts w:hint="eastAsia" w:ascii="仿宋" w:hAnsi="仿宋" w:eastAsia="仿宋" w:cs="宋体"/>
          <w:b/>
          <w:bCs/>
          <w:color w:val="auto"/>
          <w:sz w:val="28"/>
          <w:szCs w:val="28"/>
        </w:rPr>
        <w:t>六、结论</w:t>
      </w:r>
    </w:p>
    <w:p>
      <w:pPr>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内容：（正文、仿宋、四号、行距</w:t>
      </w:r>
      <w:r>
        <w:rPr>
          <w:rFonts w:ascii="仿宋" w:hAnsi="仿宋" w:eastAsia="仿宋" w:cs="宋体"/>
          <w:color w:val="auto"/>
          <w:sz w:val="28"/>
          <w:szCs w:val="28"/>
        </w:rPr>
        <w:t>1.5）</w:t>
      </w:r>
    </w:p>
    <w:p>
      <w:pPr>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本次故障原因，属偶发故障</w:t>
      </w:r>
      <w:r>
        <w:rPr>
          <w:rFonts w:ascii="仿宋" w:hAnsi="仿宋" w:eastAsia="仿宋" w:cs="宋体"/>
          <w:color w:val="auto"/>
          <w:sz w:val="28"/>
          <w:szCs w:val="28"/>
        </w:rPr>
        <w:t>/惯性故障/批量故障,修复后是否对设施设备运行状况和服役能力造成影响等。</w:t>
      </w:r>
    </w:p>
    <w:p>
      <w:pPr>
        <w:rPr>
          <w:rFonts w:ascii="仿宋" w:hAnsi="仿宋" w:eastAsia="仿宋" w:cs="宋体"/>
          <w:b/>
          <w:bCs/>
          <w:color w:val="auto"/>
          <w:sz w:val="28"/>
          <w:szCs w:val="28"/>
        </w:rPr>
      </w:pPr>
      <w:r>
        <w:rPr>
          <w:rFonts w:hint="eastAsia" w:ascii="仿宋" w:hAnsi="仿宋" w:eastAsia="仿宋" w:cs="宋体"/>
          <w:b/>
          <w:bCs/>
          <w:color w:val="auto"/>
          <w:sz w:val="28"/>
          <w:szCs w:val="28"/>
        </w:rPr>
        <w:t>七、存在问题</w:t>
      </w:r>
    </w:p>
    <w:p>
      <w:pPr>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内容：（正文、仿宋、四号、行距</w:t>
      </w:r>
      <w:r>
        <w:rPr>
          <w:rFonts w:ascii="仿宋" w:hAnsi="仿宋" w:eastAsia="仿宋" w:cs="宋体"/>
          <w:color w:val="auto"/>
          <w:sz w:val="28"/>
          <w:szCs w:val="28"/>
        </w:rPr>
        <w:t>1.5）</w:t>
      </w:r>
    </w:p>
    <w:p>
      <w:pPr>
        <w:rPr>
          <w:rFonts w:ascii="仿宋" w:hAnsi="仿宋" w:eastAsia="仿宋" w:cs="宋体"/>
          <w:b/>
          <w:bCs/>
          <w:color w:val="auto"/>
          <w:sz w:val="28"/>
          <w:szCs w:val="28"/>
        </w:rPr>
      </w:pPr>
      <w:r>
        <w:rPr>
          <w:rFonts w:hint="eastAsia" w:ascii="仿宋" w:hAnsi="仿宋" w:eastAsia="仿宋" w:cs="宋体"/>
          <w:b/>
          <w:bCs/>
          <w:color w:val="auto"/>
          <w:sz w:val="28"/>
          <w:szCs w:val="28"/>
        </w:rPr>
        <w:t>八、整改措施</w:t>
      </w:r>
    </w:p>
    <w:p>
      <w:pPr>
        <w:ind w:firstLine="560" w:firstLineChars="200"/>
        <w:rPr>
          <w:rFonts w:ascii="仿宋" w:hAnsi="仿宋" w:eastAsia="仿宋" w:cs="宋体"/>
          <w:color w:val="auto"/>
          <w:sz w:val="28"/>
          <w:szCs w:val="28"/>
        </w:rPr>
      </w:pPr>
      <w:bookmarkStart w:id="2292" w:name="OLE_LINK3"/>
      <w:r>
        <w:rPr>
          <w:rFonts w:hint="eastAsia" w:ascii="仿宋" w:hAnsi="仿宋" w:eastAsia="仿宋" w:cs="宋体"/>
          <w:color w:val="auto"/>
          <w:sz w:val="28"/>
          <w:szCs w:val="28"/>
        </w:rPr>
        <w:t>内容：（正文、仿宋、四号、行距</w:t>
      </w:r>
      <w:r>
        <w:rPr>
          <w:rFonts w:ascii="仿宋" w:hAnsi="仿宋" w:eastAsia="仿宋" w:cs="宋体"/>
          <w:color w:val="auto"/>
          <w:sz w:val="28"/>
          <w:szCs w:val="28"/>
        </w:rPr>
        <w:t>1.5）</w:t>
      </w:r>
    </w:p>
    <w:p>
      <w:pPr>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每项整改措施都要制定相应的完成时间节点。</w:t>
      </w:r>
    </w:p>
    <w:p>
      <w:pPr>
        <w:ind w:firstLine="560" w:firstLineChars="200"/>
        <w:rPr>
          <w:rFonts w:ascii="仿宋" w:hAnsi="仿宋" w:eastAsia="仿宋" w:cs="宋体"/>
          <w:color w:val="auto"/>
          <w:sz w:val="28"/>
          <w:szCs w:val="28"/>
        </w:rPr>
      </w:pPr>
    </w:p>
    <w:p>
      <w:pPr>
        <w:ind w:firstLine="560" w:firstLineChars="200"/>
        <w:rPr>
          <w:rFonts w:ascii="仿宋" w:hAnsi="仿宋" w:eastAsia="仿宋" w:cs="宋体"/>
          <w:color w:val="auto"/>
          <w:sz w:val="28"/>
          <w:szCs w:val="28"/>
        </w:rPr>
      </w:pPr>
    </w:p>
    <w:p>
      <w:pPr>
        <w:wordWrap w:val="0"/>
        <w:ind w:right="1120" w:firstLine="560" w:firstLineChars="200"/>
        <w:jc w:val="center"/>
        <w:rPr>
          <w:rFonts w:ascii="仿宋" w:hAnsi="仿宋" w:eastAsia="仿宋" w:cs="宋体"/>
          <w:color w:val="auto"/>
          <w:sz w:val="28"/>
          <w:szCs w:val="28"/>
        </w:rPr>
      </w:pPr>
      <w:r>
        <w:rPr>
          <w:rFonts w:ascii="仿宋" w:hAnsi="仿宋" w:eastAsia="仿宋" w:cs="宋体"/>
          <w:color w:val="auto"/>
          <w:sz w:val="28"/>
          <w:szCs w:val="28"/>
        </w:rPr>
        <w:t xml:space="preserve">                                       XX</w:t>
      </w:r>
    </w:p>
    <w:p>
      <w:pPr>
        <w:spacing w:line="500" w:lineRule="exact"/>
        <w:ind w:right="560" w:firstLine="4620" w:firstLineChars="1650"/>
        <w:jc w:val="right"/>
        <w:rPr>
          <w:rFonts w:ascii="仿宋" w:hAnsi="仿宋" w:eastAsia="仿宋"/>
          <w:color w:val="auto"/>
          <w:sz w:val="28"/>
          <w:szCs w:val="28"/>
        </w:rPr>
      </w:pPr>
      <w:r>
        <w:rPr>
          <w:rFonts w:ascii="仿宋" w:hAnsi="仿宋" w:eastAsia="仿宋"/>
          <w:color w:val="auto"/>
          <w:sz w:val="28"/>
          <w:szCs w:val="28"/>
        </w:rPr>
        <w:t>20XX年XX月XX日</w:t>
      </w:r>
      <w:bookmarkEnd w:id="2292"/>
    </w:p>
    <w:p>
      <w:pPr>
        <w:ind w:left="710" w:leftChars="338" w:right="560" w:firstLine="3360" w:firstLineChars="1200"/>
        <w:rPr>
          <w:rFonts w:eastAsia="仿宋"/>
          <w:color w:val="auto"/>
          <w:sz w:val="32"/>
        </w:rPr>
      </w:pPr>
      <w:r>
        <w:rPr>
          <w:rFonts w:hint="eastAsia" w:ascii="仿宋" w:hAnsi="仿宋" w:eastAsia="仿宋" w:cs="宋体"/>
          <w:color w:val="auto"/>
          <w:sz w:val="28"/>
          <w:szCs w:val="28"/>
        </w:rPr>
        <w:t>落款单位与封面一致，加盖公章</w:t>
      </w:r>
    </w:p>
    <w:p>
      <w:pPr>
        <w:spacing w:line="500" w:lineRule="exact"/>
        <w:ind w:right="560" w:firstLine="4620" w:firstLineChars="1650"/>
        <w:jc w:val="right"/>
        <w:rPr>
          <w:rFonts w:ascii="仿宋" w:hAnsi="仿宋" w:eastAsia="仿宋" w:cs="宋体"/>
          <w:color w:val="auto"/>
          <w:sz w:val="28"/>
          <w:szCs w:val="28"/>
        </w:rPr>
      </w:pPr>
      <w:r>
        <w:rPr>
          <w:rFonts w:hint="eastAsia" w:ascii="仿宋" w:hAnsi="仿宋" w:eastAsia="仿宋" w:cs="宋体"/>
          <w:color w:val="auto"/>
          <w:sz w:val="28"/>
          <w:szCs w:val="28"/>
        </w:rPr>
        <w:t>（正文、仿宋、四号）</w:t>
      </w:r>
    </w:p>
    <w:bookmarkEnd w:id="2153"/>
    <w:bookmarkEnd w:id="2154"/>
    <w:bookmarkEnd w:id="2155"/>
    <w:bookmarkEnd w:id="2156"/>
    <w:bookmarkEnd w:id="2157"/>
    <w:bookmarkEnd w:id="2158"/>
    <w:bookmarkEnd w:id="2159"/>
    <w:bookmarkEnd w:id="2160"/>
    <w:bookmarkEnd w:id="2161"/>
    <w:bookmarkEnd w:id="2162"/>
    <w:bookmarkEnd w:id="2163"/>
    <w:p>
      <w:pPr>
        <w:ind w:left="0" w:leftChars="0" w:firstLine="0" w:firstLineChars="0"/>
        <w:rPr>
          <w:color w:val="auto"/>
          <w:highlight w:val="none"/>
        </w:rPr>
      </w:pPr>
      <w:bookmarkStart w:id="2293" w:name="_Hlk86247679"/>
      <w:r>
        <w:rPr>
          <w:color w:val="auto"/>
          <w:highlight w:val="none"/>
        </w:rPr>
        <w:br w:type="page"/>
      </w:r>
    </w:p>
    <w:bookmarkEnd w:id="2293"/>
    <w:p>
      <w:pPr>
        <w:pStyle w:val="10"/>
        <w:spacing w:line="360" w:lineRule="auto"/>
        <w:rPr>
          <w:rStyle w:val="46"/>
          <w:rFonts w:ascii="宋体" w:hAnsi="宋体"/>
          <w:color w:val="auto"/>
          <w:sz w:val="21"/>
          <w:szCs w:val="21"/>
          <w:highlight w:val="none"/>
        </w:rPr>
      </w:pPr>
      <w:bookmarkStart w:id="2294" w:name="_Toc11296"/>
      <w:bookmarkStart w:id="2295" w:name="_Ref24782"/>
      <w:bookmarkStart w:id="2296" w:name="_Toc135660563"/>
      <w:r>
        <w:rPr>
          <w:rStyle w:val="46"/>
          <w:rFonts w:hint="eastAsia" w:ascii="宋体" w:hAnsi="宋体"/>
          <w:color w:val="auto"/>
          <w:sz w:val="21"/>
          <w:szCs w:val="21"/>
          <w:highlight w:val="none"/>
        </w:rPr>
        <w:t>附件</w:t>
      </w:r>
      <w:r>
        <w:rPr>
          <w:rStyle w:val="46"/>
          <w:rFonts w:hint="eastAsia" w:ascii="宋体" w:hAnsi="宋体"/>
          <w:color w:val="auto"/>
          <w:sz w:val="21"/>
          <w:szCs w:val="21"/>
          <w:highlight w:val="none"/>
          <w:lang w:val="en-US" w:eastAsia="zh-CN"/>
        </w:rPr>
        <w:t>7</w:t>
      </w:r>
      <w:r>
        <w:rPr>
          <w:rStyle w:val="46"/>
          <w:rFonts w:hint="eastAsia" w:ascii="宋体" w:hAnsi="宋体"/>
          <w:color w:val="auto"/>
          <w:sz w:val="21"/>
          <w:szCs w:val="21"/>
          <w:highlight w:val="none"/>
        </w:rPr>
        <w:t>：违约及考核处理</w:t>
      </w:r>
      <w:bookmarkEnd w:id="2294"/>
      <w:bookmarkEnd w:id="2295"/>
      <w:bookmarkEnd w:id="2296"/>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160"/>
        <w:gridCol w:w="1057"/>
        <w:gridCol w:w="4360"/>
        <w:gridCol w:w="769"/>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r>
              <w:rPr>
                <w:rFonts w:hint="eastAsia" w:ascii="宋体" w:hAnsi="宋体" w:cs="宋体"/>
                <w:color w:val="auto"/>
                <w:highlight w:val="none"/>
              </w:rPr>
              <w:t>序号</w:t>
            </w: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r>
              <w:rPr>
                <w:rFonts w:hint="eastAsia" w:ascii="宋体" w:hAnsi="宋体" w:cs="宋体"/>
                <w:color w:val="auto"/>
                <w:highlight w:val="none"/>
              </w:rPr>
              <w:t>模块</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r>
              <w:rPr>
                <w:rFonts w:hint="eastAsia" w:ascii="宋体" w:hAnsi="宋体" w:cs="宋体"/>
                <w:color w:val="auto"/>
                <w:highlight w:val="none"/>
              </w:rPr>
              <w:t>类别</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r>
              <w:rPr>
                <w:rFonts w:hint="eastAsia" w:ascii="宋体" w:hAnsi="宋体" w:cs="宋体"/>
                <w:color w:val="auto"/>
                <w:highlight w:val="none"/>
              </w:rPr>
              <w:t>检查和评价内容</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分值（分）</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最终得分（分）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1</w:t>
            </w:r>
          </w:p>
        </w:tc>
        <w:tc>
          <w:tcPr>
            <w:tcW w:w="11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日常管理（</w:t>
            </w:r>
            <w:r>
              <w:rPr>
                <w:rFonts w:hint="default" w:ascii="宋体" w:hAnsi="宋体" w:cs="宋体"/>
                <w:bCs/>
                <w:color w:val="auto"/>
                <w:highlight w:val="none"/>
              </w:rPr>
              <w:t>21分）</w:t>
            </w: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人员管理</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项目人员资质满足合同要求。</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2</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项目人员替换率每月小于</w:t>
            </w:r>
            <w:r>
              <w:rPr>
                <w:rFonts w:hint="default" w:ascii="宋体" w:hAnsi="宋体" w:cs="宋体"/>
                <w:bCs/>
                <w:color w:val="auto"/>
                <w:highlight w:val="none"/>
              </w:rPr>
              <w:t>10%。</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3</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项目人员按照比选人要求在比选人进行备案参加本项目作业。</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4</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项目人员未出现未经比选人同意擅自带领其他与工作无关人员进入地铁作业区域的行为。</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5</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项目人员未出现对比选人方面造谣生事、惹是生非的行为；未出现未经授权擅自发布地铁生产信息的行为。</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6</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项目人员在服务时间内未出现与他人发生冲突，给比选人管理部门造成负面影响。</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7</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比选申请人按国家、省、市相关政策为所聘用参与本项目工作人员签订正式劳动（劳务）合同。</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8</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项目服务团队管理</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比选申请人按招投标文件及合同的约定配置人员进行维护维修工作。</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9</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比选申请人按招投标文件及合同提供各类资料、记录、预结算、文本材料等。</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10</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eastAsia="宋体" w:cs="宋体"/>
                <w:bCs/>
                <w:color w:val="auto"/>
                <w:sz w:val="21"/>
                <w:szCs w:val="21"/>
                <w:lang w:val="en-US" w:eastAsia="zh-CN" w:bidi="ar"/>
              </w:rPr>
              <w:t>比选申请人按时或按比选人要求提交故障检修记录、故障检修报告、应急周转备件台账（若有）等情况。</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11</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比选申请人对比选人安排的临时任务或限期整改事项的完成情况。</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12</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比选申请人对比选人下达的整改通知单的处理情况。</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13</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比选申请人更换项目经理或技术负责人须经比选人书面同意。</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14</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比选申请人项目经理或者技术负责人按要求参加比选人要求其参加的会议。</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15</w:t>
            </w:r>
          </w:p>
        </w:tc>
        <w:tc>
          <w:tcPr>
            <w:tcW w:w="116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应急管理（</w:t>
            </w:r>
            <w:r>
              <w:rPr>
                <w:rFonts w:hint="default" w:ascii="宋体" w:hAnsi="宋体" w:cs="宋体"/>
                <w:bCs/>
                <w:color w:val="auto"/>
                <w:highlight w:val="none"/>
              </w:rPr>
              <w:t>9分）</w:t>
            </w:r>
          </w:p>
        </w:tc>
        <w:tc>
          <w:tcPr>
            <w:tcW w:w="1057"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应急响应</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比选申请人按比选人要求参加故障处理、抢修、抢险或其它紧急情况处理。</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3</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16</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比选申请人故障响应时间满足从接报故障起</w:t>
            </w:r>
            <w:r>
              <w:rPr>
                <w:rFonts w:hint="default" w:ascii="宋体" w:hAnsi="宋体" w:cs="宋体"/>
                <w:bCs/>
                <w:color w:val="auto"/>
                <w:highlight w:val="none"/>
              </w:rPr>
              <w:t>120分钟内到达故障地点的</w:t>
            </w:r>
            <w:r>
              <w:rPr>
                <w:rFonts w:hint="eastAsia" w:ascii="宋体" w:hAnsi="宋体" w:cs="宋体"/>
                <w:bCs/>
                <w:color w:val="auto"/>
                <w:highlight w:val="none"/>
              </w:rPr>
              <w:t>要求。</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3</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lang w:bidi="ar"/>
              </w:rPr>
            </w:pPr>
            <w:r>
              <w:rPr>
                <w:rFonts w:hint="default" w:ascii="宋体" w:hAnsi="宋体" w:cs="宋体"/>
                <w:color w:val="auto"/>
                <w:highlight w:val="none"/>
                <w:lang w:bidi="ar"/>
              </w:rPr>
              <w:t>17</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比选申请人故障修复时间满足</w:t>
            </w:r>
            <w:r>
              <w:rPr>
                <w:rFonts w:hint="default" w:ascii="宋体" w:hAnsi="宋体" w:cs="宋体"/>
                <w:bCs/>
                <w:color w:val="auto"/>
                <w:highlight w:val="none"/>
              </w:rPr>
              <w:t>180分钟完成临时处理、48</w:t>
            </w:r>
            <w:r>
              <w:rPr>
                <w:rFonts w:hint="eastAsia" w:ascii="宋体" w:hAnsi="宋体" w:cs="宋体"/>
                <w:bCs/>
                <w:color w:val="auto"/>
                <w:highlight w:val="none"/>
              </w:rPr>
              <w:t>小时完全修复故障的要求。</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3</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18</w:t>
            </w:r>
          </w:p>
        </w:tc>
        <w:tc>
          <w:tcPr>
            <w:tcW w:w="11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安全管理（</w:t>
            </w:r>
            <w:r>
              <w:rPr>
                <w:rFonts w:hint="default" w:ascii="宋体" w:hAnsi="宋体" w:cs="宋体"/>
                <w:bCs/>
                <w:color w:val="auto"/>
                <w:highlight w:val="none"/>
              </w:rPr>
              <w:t>18分）</w:t>
            </w: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现场安全管理</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项目人员未出现在地铁、车站、隧道内抽烟，未经许可使用明火及在轨道交通管辖范围内携带危化品的行为。</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19</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因项目人员未出现违反国家法律法规，对比选人经济收益、运营安全造成影响或造成其他社会负面影响等。</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4</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20</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比选申请人按比选人要求穿戴作业防护用品，完善安全防护措施。</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21</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比选申请人未发生设备漏电及伤人事故，未造成人员伤亡。</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4</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22</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职业健康安全管理</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比选申请人强化现场安全管理，有效辨识危险源，对安全隐患进行分析和监控，对人员的不安全行为及设施不安全状态实施系统预防。</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default" w:ascii="宋体" w:hAnsi="宋体" w:cs="宋体"/>
                <w:color w:val="auto"/>
                <w:highlight w:val="none"/>
                <w:lang w:bidi="ar"/>
              </w:rPr>
              <w:t>23</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针对本项目的特性，比选申请人须积极做好各类防护措施，做好职业病的防治工作，保护作业人员身心健康。</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24</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安全教育培训</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比选申请人须定期组织学习比选人各级规章及案例，了解设备特性，避免出现由于对设备不熟悉导致作业失误引起设备故障。</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25</w:t>
            </w:r>
          </w:p>
        </w:tc>
        <w:tc>
          <w:tcPr>
            <w:tcW w:w="116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生产管理（</w:t>
            </w:r>
            <w:r>
              <w:rPr>
                <w:rFonts w:hint="default" w:ascii="宋体" w:hAnsi="宋体" w:cs="宋体"/>
                <w:bCs/>
                <w:color w:val="auto"/>
                <w:highlight w:val="none"/>
              </w:rPr>
              <w:t>52分）</w:t>
            </w: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人员培训</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default" w:ascii="宋体" w:hAnsi="宋体" w:cs="宋体"/>
                <w:bCs/>
                <w:color w:val="auto"/>
                <w:highlight w:val="none"/>
              </w:rPr>
              <w:t>比选申请人须开展针对比选人运维人员关于路由交换相关协议、日常维护知识及技能</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lang w:bidi="ar"/>
              </w:rPr>
            </w:pPr>
            <w:r>
              <w:rPr>
                <w:rFonts w:hint="eastAsia" w:ascii="宋体" w:hAnsi="宋体" w:cs="宋体"/>
                <w:color w:val="auto"/>
                <w:highlight w:val="none"/>
                <w:lang w:bidi="ar"/>
              </w:rPr>
              <w:t>26</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default" w:ascii="宋体" w:hAnsi="宋体" w:cs="宋体"/>
                <w:bCs/>
                <w:color w:val="auto"/>
                <w:highlight w:val="none"/>
              </w:rPr>
              <w:t>比选申请人须开展针对比选人运维人员关于</w:t>
            </w:r>
            <w:r>
              <w:rPr>
                <w:rFonts w:hint="eastAsia" w:ascii="宋体" w:hAnsi="宋体" w:eastAsia="宋体" w:cs="宋体"/>
                <w:bCs/>
                <w:color w:val="auto"/>
                <w:sz w:val="21"/>
                <w:szCs w:val="21"/>
                <w:lang w:val="en-US" w:eastAsia="zh-CN" w:bidi="ar"/>
              </w:rPr>
              <w:t>1-5号线</w:t>
            </w:r>
            <w:r>
              <w:rPr>
                <w:rFonts w:hint="default" w:ascii="宋体" w:hAnsi="宋体" w:cs="宋体"/>
                <w:bCs/>
                <w:color w:val="auto"/>
                <w:highlight w:val="none"/>
              </w:rPr>
              <w:t>核心交换机典型故障培训，理论及实操相结合。</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27</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工器具及应急周转备件管理</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比选申请人在维修保养时，应保证所用的辅料及向比选人提供的应急周转备件</w:t>
            </w:r>
            <w:r>
              <w:rPr>
                <w:rFonts w:hint="eastAsia" w:ascii="宋体" w:hAnsi="宋体" w:eastAsia="宋体" w:cs="宋体"/>
                <w:bCs/>
                <w:color w:val="auto"/>
                <w:sz w:val="21"/>
                <w:szCs w:val="21"/>
                <w:lang w:val="en-US" w:eastAsia="zh-CN" w:bidi="ar"/>
              </w:rPr>
              <w:t>（若有）</w:t>
            </w:r>
            <w:r>
              <w:rPr>
                <w:rFonts w:hint="eastAsia" w:ascii="宋体" w:hAnsi="宋体" w:cs="宋体"/>
                <w:bCs/>
                <w:color w:val="auto"/>
                <w:highlight w:val="none"/>
              </w:rPr>
              <w:t>均满足技术要求。</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28</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eastAsia="宋体" w:cs="宋体"/>
                <w:bCs/>
                <w:color w:val="auto"/>
                <w:sz w:val="21"/>
                <w:szCs w:val="21"/>
                <w:lang w:val="en-US" w:eastAsia="zh-CN" w:bidi="ar"/>
              </w:rPr>
              <w:t>比选申请人按照比选人要求配置应急周转备件（若有）应同时提供台账信息。</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eastAsia="Times New Roman"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29</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比选申请人按照招投标文件及合同要求配置工器具及耗材。</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30</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故障管理</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项目人员须保持联系畅通。</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lang w:bidi="ar"/>
              </w:rPr>
            </w:pPr>
            <w:r>
              <w:rPr>
                <w:rFonts w:hint="eastAsia" w:ascii="宋体" w:hAnsi="宋体" w:cs="宋体"/>
                <w:color w:val="auto"/>
                <w:highlight w:val="none"/>
                <w:lang w:bidi="ar"/>
              </w:rPr>
              <w:t>31</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比选申请人未出现因自身原因造成设备故障。</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32</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项目人员及时反馈故障维修处理信息。</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33</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项目人员未出现虚报、瞒报故障维修处理信息。</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3</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34</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比选申请人按比选人要求及时处理故障。</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3</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35</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比选申请人处理故障记录齐全（包括时间点、处理经过、原因分析、整改措施等）。</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36</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事件管理</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比选申请人未造成比选人设备、设施破坏或第三方财产损失等现象。</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3</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37</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未出现因比选申请人责任造成人员人身伤亡等现象。</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3</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38</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未出现因比选申请人原因造成事件苗头及以上事件</w:t>
            </w:r>
            <w:r>
              <w:rPr>
                <w:rFonts w:hint="default" w:ascii="宋体" w:hAnsi="宋体" w:cs="宋体"/>
                <w:bCs/>
                <w:color w:val="auto"/>
                <w:highlight w:val="none"/>
              </w:rPr>
              <w:t>(按照</w:t>
            </w:r>
            <w:r>
              <w:rPr>
                <w:rFonts w:hint="eastAsia" w:ascii="宋体" w:hAnsi="宋体" w:cs="宋体"/>
                <w:bCs/>
                <w:color w:val="auto"/>
                <w:highlight w:val="none"/>
              </w:rPr>
              <w:t>比选人既有的规定定性</w:t>
            </w:r>
            <w:r>
              <w:rPr>
                <w:rFonts w:hint="default" w:ascii="宋体" w:hAnsi="宋体" w:cs="宋体"/>
                <w:bCs/>
                <w:color w:val="auto"/>
                <w:highlight w:val="none"/>
              </w:rPr>
              <w:t>)。</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3</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39</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检修、施工管理</w:t>
            </w: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比选申请人按比选人审核的设备检修规程及设备作业指导书实施。</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40</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比选申请人按要求时间、质量完成比选人临时安排的专项检修、预防性维护工作。</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41</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施工作业期间比选申请人施工人员全面服从比选人施工负责人安排，不违章或野蛮施工。</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42</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比选申请人按比选人要求开展作业，未出现擅自施工、擅自超范围作业的情况。</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43</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施工结束后做好“三清”工作。</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44</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施工作业计划兑现率达到</w:t>
            </w:r>
            <w:r>
              <w:rPr>
                <w:rFonts w:hint="default" w:ascii="宋体" w:hAnsi="宋体" w:cs="宋体"/>
                <w:bCs/>
                <w:color w:val="auto"/>
                <w:highlight w:val="none"/>
              </w:rPr>
              <w:t>100%。</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45</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施工时间利用率大于</w:t>
            </w:r>
            <w:r>
              <w:rPr>
                <w:rFonts w:hint="default" w:ascii="宋体" w:hAnsi="宋体" w:cs="宋体"/>
                <w:bCs/>
                <w:color w:val="auto"/>
                <w:highlight w:val="none"/>
              </w:rPr>
              <w:t>80%。</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16"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rPr>
            </w:pPr>
            <w:r>
              <w:rPr>
                <w:rFonts w:hint="eastAsia" w:ascii="宋体" w:hAnsi="宋体" w:cs="宋体"/>
                <w:color w:val="auto"/>
                <w:highlight w:val="none"/>
                <w:lang w:bidi="ar"/>
              </w:rPr>
              <w:t>46</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设备质量管理</w:t>
            </w:r>
          </w:p>
        </w:tc>
        <w:tc>
          <w:tcPr>
            <w:tcW w:w="4360"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因委外维修质量问题造成影响运营服务的较大故障或隐患。</w:t>
            </w:r>
          </w:p>
        </w:tc>
        <w:tc>
          <w:tcPr>
            <w:tcW w:w="769"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16"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lang w:bidi="ar"/>
              </w:rPr>
            </w:pPr>
            <w:r>
              <w:rPr>
                <w:rFonts w:hint="eastAsia" w:ascii="宋体" w:hAnsi="宋体" w:cs="宋体"/>
                <w:color w:val="auto"/>
                <w:highlight w:val="none"/>
                <w:lang w:bidi="ar"/>
              </w:rPr>
              <w:t>47</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c>
          <w:tcPr>
            <w:tcW w:w="4360"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比选申请人未按要求开展设备状态普查及定期巡检工作</w:t>
            </w:r>
          </w:p>
        </w:tc>
        <w:tc>
          <w:tcPr>
            <w:tcW w:w="769"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6"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lang w:bidi="ar"/>
              </w:rPr>
            </w:pPr>
            <w:r>
              <w:rPr>
                <w:rFonts w:hint="eastAsia" w:ascii="宋体" w:hAnsi="宋体" w:cs="宋体"/>
                <w:color w:val="auto"/>
                <w:highlight w:val="none"/>
                <w:lang w:bidi="ar"/>
              </w:rPr>
              <w:t>48</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restart"/>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r>
              <w:rPr>
                <w:rFonts w:hint="eastAsia" w:ascii="宋体" w:hAnsi="宋体" w:cs="宋体"/>
                <w:bCs/>
                <w:color w:val="auto"/>
                <w:highlight w:val="none"/>
              </w:rPr>
              <w:t>故障件维修</w:t>
            </w:r>
          </w:p>
        </w:tc>
        <w:tc>
          <w:tcPr>
            <w:tcW w:w="4360"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比选申请人及时接收及修复比选人故障件。</w:t>
            </w:r>
          </w:p>
        </w:tc>
        <w:tc>
          <w:tcPr>
            <w:tcW w:w="769"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6"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lang w:bidi="ar"/>
              </w:rPr>
            </w:pPr>
            <w:r>
              <w:rPr>
                <w:rFonts w:hint="eastAsia" w:ascii="宋体" w:hAnsi="宋体" w:cs="宋体"/>
                <w:color w:val="auto"/>
                <w:highlight w:val="none"/>
                <w:lang w:bidi="ar"/>
              </w:rPr>
              <w:t>49</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4360"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修后设备在质保期内未重复出现故障。</w:t>
            </w:r>
          </w:p>
        </w:tc>
        <w:tc>
          <w:tcPr>
            <w:tcW w:w="769"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1</w:t>
            </w:r>
          </w:p>
        </w:tc>
        <w:tc>
          <w:tcPr>
            <w:tcW w:w="918"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6"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textAlignment w:val="center"/>
              <w:rPr>
                <w:rFonts w:hint="default" w:ascii="宋体" w:hAnsi="宋体" w:cs="宋体"/>
                <w:color w:val="auto"/>
                <w:highlight w:val="none"/>
                <w:lang w:bidi="ar"/>
              </w:rPr>
            </w:pPr>
            <w:r>
              <w:rPr>
                <w:rFonts w:hint="eastAsia" w:ascii="宋体" w:hAnsi="宋体" w:cs="宋体"/>
                <w:color w:val="auto"/>
                <w:highlight w:val="none"/>
                <w:lang w:bidi="ar"/>
              </w:rPr>
              <w:t>50</w:t>
            </w:r>
          </w:p>
        </w:tc>
        <w:tc>
          <w:tcPr>
            <w:tcW w:w="11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10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c>
          <w:tcPr>
            <w:tcW w:w="4360"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left"/>
              <w:rPr>
                <w:rFonts w:hint="default" w:ascii="宋体" w:hAnsi="宋体" w:cs="宋体"/>
                <w:bCs/>
                <w:color w:val="auto"/>
                <w:highlight w:val="none"/>
              </w:rPr>
            </w:pPr>
            <w:r>
              <w:rPr>
                <w:rFonts w:hint="eastAsia" w:ascii="宋体" w:hAnsi="宋体" w:cs="宋体"/>
                <w:bCs/>
                <w:color w:val="auto"/>
                <w:highlight w:val="none"/>
              </w:rPr>
              <w:t>故障件维修成功率不低于考核周期（每半年）内送修故障件数量的</w:t>
            </w:r>
            <w:r>
              <w:rPr>
                <w:rFonts w:hint="eastAsia" w:ascii="宋体" w:hAnsi="宋体" w:cs="宋体"/>
                <w:bCs/>
                <w:color w:val="auto"/>
                <w:highlight w:val="none"/>
                <w:lang w:val="en-US" w:eastAsia="zh-CN"/>
              </w:rPr>
              <w:t>90</w:t>
            </w:r>
            <w:r>
              <w:rPr>
                <w:rFonts w:hint="default" w:ascii="宋体" w:hAnsi="宋体" w:cs="宋体"/>
                <w:bCs/>
                <w:color w:val="auto"/>
                <w:highlight w:val="none"/>
              </w:rPr>
              <w:t>%。</w:t>
            </w:r>
          </w:p>
        </w:tc>
        <w:tc>
          <w:tcPr>
            <w:tcW w:w="769"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textAlignment w:val="center"/>
              <w:rPr>
                <w:rFonts w:hint="default" w:ascii="宋体" w:hAnsi="宋体" w:cs="宋体"/>
                <w:bCs/>
                <w:color w:val="auto"/>
                <w:highlight w:val="none"/>
              </w:rPr>
            </w:pPr>
            <w:r>
              <w:rPr>
                <w:rFonts w:hint="default" w:ascii="宋体" w:hAnsi="宋体" w:cs="宋体"/>
                <w:bCs/>
                <w:color w:val="auto"/>
                <w:highlight w:val="none"/>
              </w:rPr>
              <w:t>2</w:t>
            </w:r>
          </w:p>
        </w:tc>
        <w:tc>
          <w:tcPr>
            <w:tcW w:w="918"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firstLine="0"/>
              <w:jc w:val="center"/>
              <w:rPr>
                <w:rFonts w:hint="default" w:ascii="宋体" w:hAnsi="宋体" w:cs="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left"/>
              <w:rPr>
                <w:rFonts w:hint="default" w:ascii="宋体" w:hAnsi="宋体" w:cs="宋体"/>
                <w:color w:val="auto"/>
                <w:highlight w:val="none"/>
              </w:rPr>
            </w:pPr>
            <w:r>
              <w:rPr>
                <w:rFonts w:hint="eastAsia" w:ascii="宋体" w:hAnsi="宋体" w:cs="宋体"/>
                <w:color w:val="auto"/>
                <w:highlight w:val="none"/>
              </w:rPr>
              <w:t>最终总得分</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jc w:val="left"/>
              <w:rPr>
                <w:rFonts w:hint="default" w:ascii="宋体" w:hAnsi="宋体"/>
                <w:color w:val="auto"/>
                <w:highlight w:val="none"/>
              </w:rPr>
            </w:pPr>
            <w:r>
              <w:rPr>
                <w:rFonts w:hint="eastAsia" w:ascii="宋体" w:hAnsi="宋体"/>
                <w:color w:val="auto"/>
                <w:highlight w:val="none"/>
              </w:rPr>
              <w:t>注：</w:t>
            </w:r>
            <w:r>
              <w:rPr>
                <w:rFonts w:hint="default" w:ascii="宋体" w:hAnsi="宋体"/>
                <w:color w:val="auto"/>
                <w:highlight w:val="none"/>
              </w:rPr>
              <w:t>1</w:t>
            </w:r>
            <w:r>
              <w:rPr>
                <w:rFonts w:hint="eastAsia" w:ascii="宋体" w:hAnsi="宋体"/>
                <w:color w:val="auto"/>
                <w:highlight w:val="none"/>
              </w:rPr>
              <w:t>、单项评分为该项对应分值，根据检查情况由比选人对比选申请人进行评分。</w:t>
            </w:r>
          </w:p>
          <w:p>
            <w:pPr>
              <w:keepNext w:val="0"/>
              <w:keepLines w:val="0"/>
              <w:widowControl/>
              <w:suppressLineNumbers w:val="0"/>
              <w:spacing w:before="0" w:beforeAutospacing="0" w:after="0" w:afterAutospacing="0" w:line="240" w:lineRule="auto"/>
              <w:jc w:val="left"/>
              <w:rPr>
                <w:rFonts w:hint="default" w:ascii="宋体" w:hAnsi="宋体"/>
                <w:color w:val="auto"/>
                <w:highlight w:val="none"/>
              </w:rPr>
            </w:pPr>
            <w:r>
              <w:rPr>
                <w:rFonts w:hint="eastAsia" w:ascii="宋体" w:hAnsi="宋体"/>
                <w:color w:val="auto"/>
                <w:highlight w:val="none"/>
              </w:rPr>
              <w:t>单项最终得分=比选人单项评分。</w:t>
            </w:r>
          </w:p>
          <w:p>
            <w:pPr>
              <w:keepNext w:val="0"/>
              <w:keepLines w:val="0"/>
              <w:widowControl/>
              <w:suppressLineNumbers w:val="0"/>
              <w:spacing w:before="0" w:beforeAutospacing="0" w:after="0" w:afterAutospacing="0" w:line="240" w:lineRule="auto"/>
              <w:jc w:val="left"/>
              <w:rPr>
                <w:rFonts w:hint="default" w:ascii="宋体" w:hAnsi="宋体"/>
                <w:color w:val="auto"/>
                <w:highlight w:val="none"/>
              </w:rPr>
            </w:pPr>
            <w:r>
              <w:rPr>
                <w:rFonts w:hint="eastAsia" w:ascii="宋体" w:hAnsi="宋体"/>
                <w:color w:val="auto"/>
                <w:highlight w:val="none"/>
              </w:rPr>
              <w:t>最终总得分=各单项最终得分总和。</w:t>
            </w:r>
          </w:p>
        </w:tc>
      </w:tr>
    </w:tbl>
    <w:p>
      <w:pPr>
        <w:widowControl w:val="0"/>
        <w:spacing w:beforeLines="50"/>
        <w:ind w:firstLine="420"/>
        <w:rPr>
          <w:rFonts w:ascii="宋体" w:hAnsi="宋体"/>
          <w:color w:val="auto"/>
          <w:highlight w:val="none"/>
        </w:rPr>
        <w:sectPr>
          <w:pgSz w:w="11906" w:h="16838"/>
          <w:pgMar w:top="1440" w:right="1797" w:bottom="1440" w:left="1440" w:header="567" w:footer="567" w:gutter="0"/>
          <w:pgNumType w:fmt="decimal"/>
          <w:cols w:space="720" w:num="1"/>
          <w:docGrid w:linePitch="312" w:charSpace="0"/>
        </w:sectPr>
      </w:pPr>
      <w:r>
        <w:rPr>
          <w:rFonts w:hint="eastAsia" w:ascii="宋体" w:hAnsi="宋体"/>
          <w:color w:val="auto"/>
          <w:highlight w:val="none"/>
        </w:rPr>
        <w:t>注：上表名词相关定义由比选人负责解释。</w:t>
      </w:r>
    </w:p>
    <w:p>
      <w:pPr>
        <w:pStyle w:val="10"/>
        <w:rPr>
          <w:rStyle w:val="46"/>
          <w:rFonts w:asciiTheme="minorEastAsia" w:hAnsiTheme="minorEastAsia" w:eastAsiaTheme="minorEastAsia"/>
          <w:color w:val="auto"/>
          <w:sz w:val="21"/>
          <w:szCs w:val="21"/>
          <w:highlight w:val="none"/>
        </w:rPr>
      </w:pPr>
      <w:bookmarkStart w:id="2297" w:name="_Toc135660564"/>
      <w:bookmarkStart w:id="2298" w:name="_Toc568"/>
      <w:bookmarkStart w:id="2299" w:name="_Ref24795"/>
      <w:bookmarkStart w:id="2300" w:name="_Toc25647"/>
      <w:bookmarkStart w:id="2301" w:name="_Toc13459_WPSOffice_Level1"/>
      <w:bookmarkStart w:id="2302" w:name="_Toc29915"/>
      <w:bookmarkStart w:id="2303" w:name="_Toc20595_WPSOffice_Level1"/>
      <w:r>
        <w:rPr>
          <w:rStyle w:val="46"/>
          <w:rFonts w:hint="eastAsia" w:asciiTheme="minorEastAsia" w:hAnsiTheme="minorEastAsia" w:eastAsiaTheme="minorEastAsia"/>
          <w:color w:val="auto"/>
          <w:sz w:val="21"/>
          <w:szCs w:val="21"/>
          <w:highlight w:val="none"/>
        </w:rPr>
        <w:t>附件</w:t>
      </w:r>
      <w:r>
        <w:rPr>
          <w:rStyle w:val="46"/>
          <w:rFonts w:hint="eastAsia" w:asciiTheme="minorEastAsia" w:hAnsiTheme="minorEastAsia" w:eastAsiaTheme="minorEastAsia"/>
          <w:color w:val="auto"/>
          <w:sz w:val="21"/>
          <w:szCs w:val="21"/>
          <w:highlight w:val="none"/>
          <w:lang w:val="en-US" w:eastAsia="zh-CN"/>
        </w:rPr>
        <w:t>8</w:t>
      </w:r>
      <w:r>
        <w:rPr>
          <w:rStyle w:val="46"/>
          <w:rFonts w:hint="eastAsia" w:asciiTheme="minorEastAsia" w:hAnsiTheme="minorEastAsia" w:eastAsiaTheme="minorEastAsia"/>
          <w:color w:val="auto"/>
          <w:sz w:val="21"/>
          <w:szCs w:val="21"/>
          <w:highlight w:val="none"/>
        </w:rPr>
        <w:t>：合同违约处</w:t>
      </w:r>
      <w:r>
        <w:rPr>
          <w:rStyle w:val="46"/>
          <w:rFonts w:hint="eastAsia" w:asciiTheme="minorEastAsia" w:hAnsiTheme="minorEastAsia" w:eastAsiaTheme="minorEastAsia"/>
          <w:color w:val="auto"/>
          <w:sz w:val="21"/>
          <w:szCs w:val="21"/>
          <w:highlight w:val="none"/>
          <w:lang w:val="en-US" w:eastAsia="zh-CN"/>
        </w:rPr>
        <w:t>理</w:t>
      </w:r>
      <w:r>
        <w:rPr>
          <w:rStyle w:val="46"/>
          <w:rFonts w:hint="eastAsia" w:asciiTheme="minorEastAsia" w:hAnsiTheme="minorEastAsia" w:eastAsiaTheme="minorEastAsia"/>
          <w:color w:val="auto"/>
          <w:sz w:val="21"/>
          <w:szCs w:val="21"/>
          <w:highlight w:val="none"/>
        </w:rPr>
        <w:t>通知单</w:t>
      </w:r>
      <w:bookmarkEnd w:id="2297"/>
      <w:bookmarkEnd w:id="2298"/>
      <w:bookmarkEnd w:id="2299"/>
      <w:bookmarkEnd w:id="2300"/>
      <w:bookmarkEnd w:id="2301"/>
      <w:bookmarkEnd w:id="2302"/>
      <w:bookmarkEnd w:id="2303"/>
    </w:p>
    <w:p>
      <w:pPr>
        <w:spacing w:after="0" w:afterAutospacing="0" w:line="240" w:lineRule="auto"/>
        <w:ind w:left="0" w:right="-57"/>
        <w:jc w:val="center"/>
        <w:rPr>
          <w:rFonts w:ascii="宋体" w:hAnsi="宋体" w:cs="宋体"/>
          <w:b/>
          <w:color w:val="auto"/>
          <w:highlight w:val="none"/>
        </w:rPr>
      </w:pPr>
      <w:r>
        <w:rPr>
          <w:rFonts w:hint="eastAsia" w:ascii="宋体" w:hAnsi="宋体" w:cs="宋体"/>
          <w:b/>
          <w:color w:val="auto"/>
          <w:highlight w:val="none"/>
        </w:rPr>
        <w:t>合同违约处理通知单</w:t>
      </w:r>
    </w:p>
    <w:p>
      <w:pPr>
        <w:pStyle w:val="16"/>
        <w:spacing w:after="0" w:afterAutospacing="0" w:line="240" w:lineRule="auto"/>
        <w:ind w:left="0" w:right="-57" w:firstLine="643"/>
        <w:rPr>
          <w:bCs/>
          <w:color w:val="auto"/>
          <w:sz w:val="21"/>
          <w:szCs w:val="21"/>
          <w:highlight w:val="none"/>
        </w:rPr>
      </w:pPr>
      <w:r>
        <w:rPr>
          <w:rFonts w:hint="eastAsia" w:hAnsi="宋体"/>
          <w:b/>
          <w:color w:val="auto"/>
          <w:sz w:val="32"/>
          <w:szCs w:val="32"/>
          <w:highlight w:val="none"/>
        </w:rPr>
        <w:t xml:space="preserve">                         </w:t>
      </w:r>
      <w:r>
        <w:rPr>
          <w:rFonts w:hAnsi="宋体"/>
          <w:b/>
          <w:color w:val="auto"/>
          <w:sz w:val="21"/>
          <w:szCs w:val="21"/>
          <w:highlight w:val="none"/>
        </w:rPr>
        <w:t xml:space="preserve">  编号：</w:t>
      </w:r>
      <w:r>
        <w:rPr>
          <w:rFonts w:hint="eastAsia" w:hAnsi="宋体"/>
          <w:bCs/>
          <w:color w:val="auto"/>
          <w:sz w:val="21"/>
          <w:szCs w:val="21"/>
          <w:highlight w:val="none"/>
        </w:rPr>
        <w:t>合同编号</w:t>
      </w:r>
      <w:r>
        <w:rPr>
          <w:rFonts w:hAnsi="宋体"/>
          <w:bCs/>
          <w:color w:val="auto"/>
          <w:sz w:val="21"/>
          <w:szCs w:val="21"/>
          <w:highlight w:val="none"/>
        </w:rPr>
        <w:t>-年月-两位数流水号</w:t>
      </w:r>
    </w:p>
    <w:tbl>
      <w:tblPr>
        <w:tblStyle w:val="33"/>
        <w:tblpPr w:leftFromText="180" w:rightFromText="180" w:vertAnchor="text" w:horzAnchor="page" w:tblpX="906" w:tblpY="212"/>
        <w:tblW w:w="10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94"/>
        <w:gridCol w:w="1757"/>
        <w:gridCol w:w="1283"/>
        <w:gridCol w:w="392"/>
        <w:gridCol w:w="194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2" w:type="dxa"/>
            <w:gridSpan w:val="2"/>
            <w:tcBorders>
              <w:top w:val="thinThickSmallGap" w:color="auto" w:sz="18" w:space="0"/>
              <w:left w:val="thinThickSmallGap" w:color="auto" w:sz="18"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sz w:val="24"/>
                <w:highlight w:val="none"/>
              </w:rPr>
            </w:pPr>
            <w:r>
              <w:rPr>
                <w:rFonts w:hint="eastAsia" w:ascii="宋体" w:hAnsi="宋体"/>
                <w:b/>
                <w:color w:val="auto"/>
                <w:szCs w:val="21"/>
                <w:highlight w:val="none"/>
              </w:rPr>
              <w:t>项目名称</w:t>
            </w:r>
          </w:p>
        </w:tc>
        <w:tc>
          <w:tcPr>
            <w:tcW w:w="3432" w:type="dxa"/>
            <w:gridSpan w:val="3"/>
            <w:tcBorders>
              <w:top w:val="thinThickSmallGap" w:color="auto" w:sz="18"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p>
        </w:tc>
        <w:tc>
          <w:tcPr>
            <w:tcW w:w="1946" w:type="dxa"/>
            <w:tcBorders>
              <w:top w:val="thinThickSmallGap" w:color="auto" w:sz="18"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sz w:val="24"/>
                <w:highlight w:val="none"/>
              </w:rPr>
            </w:pPr>
            <w:r>
              <w:rPr>
                <w:rFonts w:hint="eastAsia" w:ascii="宋体" w:hAnsi="宋体"/>
                <w:b/>
                <w:color w:val="auto"/>
                <w:szCs w:val="21"/>
                <w:highlight w:val="none"/>
              </w:rPr>
              <w:t>合同编号</w:t>
            </w:r>
          </w:p>
        </w:tc>
        <w:tc>
          <w:tcPr>
            <w:tcW w:w="3035" w:type="dxa"/>
            <w:tcBorders>
              <w:top w:val="thinThickSmallGap" w:color="auto" w:sz="18" w:space="0"/>
              <w:left w:val="single" w:color="auto" w:sz="4" w:space="0"/>
              <w:bottom w:val="single" w:color="auto" w:sz="4" w:space="0"/>
              <w:right w:val="thinThickSmallGap" w:color="auto" w:sz="18" w:space="0"/>
            </w:tcBorders>
            <w:noWrap w:val="0"/>
            <w:vAlign w:val="center"/>
          </w:tcPr>
          <w:p>
            <w:pPr>
              <w:keepNext w:val="0"/>
              <w:keepLines w:val="0"/>
              <w:widowControl/>
              <w:suppressLineNumbers w:val="0"/>
              <w:spacing w:beforeAutospacing="0"/>
              <w:jc w:val="center"/>
              <w:rPr>
                <w:rFonts w:hint="default"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sz w:val="24"/>
                <w:highlight w:val="none"/>
              </w:rPr>
            </w:pPr>
            <w:r>
              <w:rPr>
                <w:rFonts w:hint="eastAsia" w:ascii="宋体" w:hAnsi="宋体"/>
                <w:b/>
                <w:color w:val="auto"/>
                <w:szCs w:val="21"/>
                <w:highlight w:val="none"/>
              </w:rPr>
              <w:t>承包商</w:t>
            </w:r>
          </w:p>
        </w:tc>
        <w:tc>
          <w:tcPr>
            <w:tcW w:w="34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line="240" w:lineRule="auto"/>
              <w:jc w:val="center"/>
              <w:rPr>
                <w:rFonts w:hint="default" w:ascii="宋体" w:hAnsi="宋体"/>
                <w:b/>
                <w:color w:val="auto"/>
                <w:szCs w:val="21"/>
                <w:highlight w:val="none"/>
                <w:lang w:eastAsia="zh-CN"/>
              </w:rPr>
            </w:pPr>
            <w:r>
              <w:rPr>
                <w:rFonts w:hint="eastAsia" w:ascii="宋体" w:hAnsi="宋体"/>
                <w:b/>
                <w:color w:val="auto"/>
                <w:szCs w:val="21"/>
                <w:highlight w:val="none"/>
                <w:lang w:eastAsia="zh-CN"/>
              </w:rPr>
              <w:t>运营公司</w:t>
            </w:r>
          </w:p>
          <w:p>
            <w:pPr>
              <w:keepNext w:val="0"/>
              <w:keepLines w:val="0"/>
              <w:widowControl/>
              <w:suppressLineNumbers w:val="0"/>
              <w:spacing w:beforeAutospacing="0" w:line="240" w:lineRule="auto"/>
              <w:jc w:val="center"/>
              <w:rPr>
                <w:rFonts w:hint="default" w:ascii="宋体" w:hAnsi="宋体"/>
                <w:b/>
                <w:color w:val="auto"/>
                <w:sz w:val="24"/>
                <w:highlight w:val="none"/>
              </w:rPr>
            </w:pPr>
            <w:r>
              <w:rPr>
                <w:rFonts w:hint="eastAsia" w:ascii="宋体" w:hAnsi="宋体"/>
                <w:b/>
                <w:color w:val="auto"/>
                <w:szCs w:val="21"/>
                <w:highlight w:val="none"/>
                <w:lang w:eastAsia="zh-CN"/>
              </w:rPr>
              <w:t>主办部门</w:t>
            </w:r>
          </w:p>
        </w:tc>
        <w:tc>
          <w:tcPr>
            <w:tcW w:w="3035" w:type="dxa"/>
            <w:tcBorders>
              <w:top w:val="single" w:color="auto" w:sz="4" w:space="0"/>
              <w:left w:val="single" w:color="auto" w:sz="4" w:space="0"/>
              <w:bottom w:val="single" w:color="auto" w:sz="4" w:space="0"/>
              <w:right w:val="thinThickSmallGap" w:color="auto" w:sz="18" w:space="0"/>
            </w:tcBorders>
            <w:noWrap w:val="0"/>
            <w:vAlign w:val="center"/>
          </w:tcPr>
          <w:p>
            <w:pPr>
              <w:keepNext w:val="0"/>
              <w:keepLines w:val="0"/>
              <w:widowControl/>
              <w:suppressLineNumbers w:val="0"/>
              <w:spacing w:beforeAutospacing="0"/>
              <w:jc w:val="center"/>
              <w:rPr>
                <w:rFonts w:hint="default"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5"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r>
              <w:rPr>
                <w:rFonts w:hint="eastAsia" w:ascii="宋体" w:hAnsi="宋体"/>
                <w:b/>
                <w:color w:val="auto"/>
                <w:highlight w:val="none"/>
              </w:rPr>
              <w:t>合同违约情况</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val="0"/>
              <w:keepLines w:val="0"/>
              <w:widowControl/>
              <w:suppressLineNumbers w:val="0"/>
              <w:snapToGrid w:val="0"/>
              <w:spacing w:beforeAutospacing="0"/>
              <w:rPr>
                <w:rFonts w:hint="default" w:ascii="宋体" w:hAnsi="宋体"/>
                <w:color w:val="auto"/>
                <w:sz w:val="18"/>
                <w:szCs w:val="18"/>
                <w:highlight w:val="none"/>
              </w:rPr>
            </w:pPr>
          </w:p>
          <w:p>
            <w:pPr>
              <w:keepNext w:val="0"/>
              <w:keepLines w:val="0"/>
              <w:widowControl/>
              <w:suppressLineNumbers w:val="0"/>
              <w:spacing w:beforeAutospacing="0" w:line="300" w:lineRule="exact"/>
              <w:rPr>
                <w:rFonts w:hint="default" w:ascii="宋体" w:hAnsi="宋体"/>
                <w:bCs/>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r>
              <w:rPr>
                <w:rFonts w:hint="eastAsia" w:ascii="宋体" w:hAnsi="宋体"/>
                <w:b/>
                <w:color w:val="auto"/>
                <w:highlight w:val="none"/>
              </w:rPr>
              <w:t>违约处理意向</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val="0"/>
              <w:keepLines w:val="0"/>
              <w:widowControl/>
              <w:suppressLineNumbers w:val="0"/>
              <w:snapToGrid w:val="0"/>
              <w:spacing w:beforeAutospacing="0"/>
              <w:rPr>
                <w:rFonts w:hint="default" w:ascii="宋体" w:hAnsi="宋体"/>
                <w:color w:val="auto"/>
                <w:sz w:val="18"/>
                <w:szCs w:val="18"/>
                <w:highlight w:val="none"/>
              </w:rPr>
            </w:pPr>
          </w:p>
          <w:p>
            <w:pPr>
              <w:keepNext w:val="0"/>
              <w:keepLines w:val="0"/>
              <w:widowControl/>
              <w:suppressLineNumbers w:val="0"/>
              <w:spacing w:beforeAutospacing="0" w:line="300" w:lineRule="exact"/>
              <w:rPr>
                <w:rFonts w:hint="default" w:ascii="宋体" w:hAnsi="宋体"/>
                <w:bCs/>
                <w:color w:val="auto"/>
                <w:szCs w:val="21"/>
                <w:highlight w:val="none"/>
              </w:rPr>
            </w:pPr>
            <w:r>
              <w:rPr>
                <w:rFonts w:hint="eastAsia" w:ascii="宋体" w:hAnsi="宋体"/>
                <w:bCs/>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528" w:type="dxa"/>
            <w:vMerge w:val="restart"/>
            <w:tcBorders>
              <w:top w:val="single" w:color="auto" w:sz="4" w:space="0"/>
              <w:left w:val="thinThickSmallGap" w:color="auto" w:sz="18" w:space="0"/>
              <w:bottom w:val="single" w:color="auto" w:sz="4" w:space="0"/>
              <w:right w:val="single" w:color="auto" w:sz="4" w:space="0"/>
            </w:tcBorders>
            <w:noWrap w:val="0"/>
            <w:textDirection w:val="tbLrV"/>
            <w:vAlign w:val="center"/>
          </w:tcPr>
          <w:p>
            <w:pPr>
              <w:keepNext w:val="0"/>
              <w:keepLines w:val="0"/>
              <w:widowControl/>
              <w:suppressLineNumbers w:val="0"/>
              <w:spacing w:beforeAutospacing="0"/>
              <w:jc w:val="center"/>
              <w:rPr>
                <w:rFonts w:hint="default" w:ascii="宋体" w:hAnsi="宋体"/>
                <w:b/>
                <w:color w:val="auto"/>
                <w:highlight w:val="none"/>
              </w:rPr>
            </w:pPr>
            <w:r>
              <w:rPr>
                <w:rFonts w:hint="eastAsia" w:ascii="宋体" w:hAnsi="宋体"/>
                <w:b/>
                <w:color w:val="auto"/>
                <w:highlight w:val="none"/>
                <w:lang w:eastAsia="zh-CN"/>
              </w:rPr>
              <w:t>运营公司</w:t>
            </w:r>
            <w:r>
              <w:rPr>
                <w:rFonts w:hint="eastAsia" w:ascii="宋体" w:hAnsi="宋体"/>
                <w:b/>
                <w:color w:val="auto"/>
                <w:highlight w:val="none"/>
              </w:rPr>
              <w:t>审批意见</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r>
              <w:rPr>
                <w:rFonts w:hint="eastAsia" w:ascii="宋体" w:hAnsi="宋体"/>
                <w:b/>
                <w:color w:val="auto"/>
                <w:highlight w:val="none"/>
              </w:rPr>
              <w:t>主办部门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val="0"/>
              <w:keepLines w:val="0"/>
              <w:widowControl/>
              <w:suppressLineNumbers w:val="0"/>
              <w:spacing w:beforeAutospacing="0"/>
              <w:ind w:right="113"/>
              <w:rPr>
                <w:rFonts w:hint="default" w:ascii="宋体" w:hAnsi="宋体"/>
                <w:color w:val="auto"/>
                <w:highlight w:val="none"/>
              </w:rPr>
            </w:pPr>
          </w:p>
          <w:p>
            <w:pPr>
              <w:keepNext w:val="0"/>
              <w:keepLines w:val="0"/>
              <w:widowControl/>
              <w:suppressLineNumbers w:val="0"/>
              <w:spacing w:beforeAutospacing="0"/>
              <w:ind w:right="113"/>
              <w:rPr>
                <w:rFonts w:hint="default"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8" w:type="dxa"/>
            <w:vMerge w:val="continue"/>
            <w:tcBorders>
              <w:left w:val="thinThickSmallGap" w:color="auto" w:sz="18"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eastAsia="宋体"/>
                <w:b/>
                <w:color w:val="auto"/>
                <w:highlight w:val="none"/>
                <w:lang w:eastAsia="zh-CN"/>
              </w:rPr>
            </w:pPr>
            <w:r>
              <w:rPr>
                <w:rFonts w:hint="eastAsia" w:ascii="宋体" w:hAnsi="宋体"/>
                <w:b/>
                <w:color w:val="auto"/>
                <w:highlight w:val="none"/>
                <w:lang w:eastAsia="zh-CN"/>
              </w:rPr>
              <w:t>线网管控中心</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val="0"/>
              <w:keepLines w:val="0"/>
              <w:widowControl/>
              <w:suppressLineNumbers w:val="0"/>
              <w:spacing w:beforeAutospacing="0"/>
              <w:ind w:right="113"/>
              <w:rPr>
                <w:rFonts w:hint="default"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eastAsia="宋体"/>
                <w:b/>
                <w:color w:val="auto"/>
                <w:highlight w:val="none"/>
                <w:lang w:val="en-US" w:eastAsia="zh-CN"/>
              </w:rPr>
            </w:pPr>
            <w:r>
              <w:rPr>
                <w:rFonts w:hint="eastAsia" w:ascii="宋体" w:hAnsi="宋体"/>
                <w:b/>
                <w:color w:val="auto"/>
                <w:highlight w:val="none"/>
                <w:lang w:val="en-US" w:eastAsia="zh-CN"/>
              </w:rPr>
              <w:t>合约法规部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val="0"/>
              <w:keepLines w:val="0"/>
              <w:widowControl/>
              <w:suppressLineNumbers w:val="0"/>
              <w:spacing w:beforeAutospacing="0"/>
              <w:ind w:left="113" w:right="113"/>
              <w:jc w:val="center"/>
              <w:rPr>
                <w:rFonts w:hint="default" w:ascii="宋体" w:hAnsi="宋体" w:cs="宋体"/>
                <w:color w:val="auto"/>
                <w:szCs w:val="21"/>
                <w:highlight w:val="none"/>
              </w:rPr>
            </w:pPr>
          </w:p>
          <w:p>
            <w:pPr>
              <w:keepNext w:val="0"/>
              <w:keepLines w:val="0"/>
              <w:widowControl/>
              <w:suppressLineNumbers w:val="0"/>
              <w:spacing w:beforeAutospacing="0"/>
              <w:ind w:right="113"/>
              <w:rPr>
                <w:rFonts w:hint="default"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lang w:eastAsia="zh-CN"/>
              </w:rPr>
            </w:pPr>
            <w:r>
              <w:rPr>
                <w:rFonts w:hint="eastAsia" w:ascii="宋体" w:hAnsi="宋体"/>
                <w:b/>
                <w:color w:val="auto"/>
                <w:highlight w:val="none"/>
                <w:lang w:eastAsia="zh-CN"/>
              </w:rPr>
              <w:t>主办部门</w:t>
            </w:r>
          </w:p>
          <w:p>
            <w:pPr>
              <w:keepNext w:val="0"/>
              <w:keepLines w:val="0"/>
              <w:widowControl/>
              <w:suppressLineNumbers w:val="0"/>
              <w:spacing w:beforeAutospacing="0"/>
              <w:jc w:val="center"/>
              <w:rPr>
                <w:rFonts w:hint="default" w:ascii="宋体" w:hAnsi="宋体"/>
                <w:b/>
                <w:color w:val="auto"/>
                <w:highlight w:val="none"/>
              </w:rPr>
            </w:pPr>
            <w:r>
              <w:rPr>
                <w:rFonts w:hint="eastAsia" w:ascii="宋体" w:hAnsi="宋体"/>
                <w:b/>
                <w:color w:val="auto"/>
                <w:highlight w:val="none"/>
              </w:rPr>
              <w:t>分管副总经理</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val="0"/>
              <w:keepLines w:val="0"/>
              <w:widowControl/>
              <w:suppressLineNumbers w:val="0"/>
              <w:spacing w:beforeAutospacing="0"/>
              <w:ind w:right="113" w:firstLine="840" w:firstLineChars="400"/>
              <w:rPr>
                <w:rFonts w:hint="default"/>
                <w:color w:val="auto"/>
                <w:highlight w:val="none"/>
              </w:rPr>
            </w:pPr>
            <w:r>
              <w:rPr>
                <w:rFonts w:hint="eastAsia"/>
                <w:color w:val="auto"/>
                <w:highlight w:val="none"/>
              </w:rPr>
              <w:t xml:space="preserve">                                              </w:t>
            </w:r>
          </w:p>
          <w:p>
            <w:pPr>
              <w:pStyle w:val="16"/>
              <w:keepNext w:val="0"/>
              <w:keepLines w:val="0"/>
              <w:widowControl/>
              <w:suppressLineNumbers w:val="0"/>
              <w:spacing w:beforeAutospacing="0"/>
              <w:rPr>
                <w:rFonts w:hint="default"/>
                <w:color w:val="auto"/>
                <w:highlight w:val="none"/>
              </w:rPr>
            </w:pPr>
            <w:r>
              <w:rPr>
                <w:rFonts w:hint="eastAsia"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r>
              <w:rPr>
                <w:rFonts w:hint="eastAsia" w:ascii="宋体" w:hAnsi="宋体"/>
                <w:b/>
                <w:color w:val="auto"/>
                <w:highlight w:val="none"/>
              </w:rPr>
              <w:t>总经理</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val="0"/>
              <w:keepLines w:val="0"/>
              <w:widowControl/>
              <w:suppressLineNumbers w:val="0"/>
              <w:spacing w:beforeAutospacing="0"/>
              <w:rPr>
                <w:rFonts w:hint="default" w:ascii="宋体" w:hAnsi="宋体" w:cs="宋体"/>
                <w:color w:val="auto"/>
                <w:szCs w:val="21"/>
                <w:highlight w:val="none"/>
              </w:rPr>
            </w:pPr>
          </w:p>
          <w:p>
            <w:pPr>
              <w:keepNext w:val="0"/>
              <w:keepLines w:val="0"/>
              <w:widowControl/>
              <w:suppressLineNumbers w:val="0"/>
              <w:spacing w:beforeAutospacing="0"/>
              <w:ind w:right="113"/>
              <w:rPr>
                <w:rFonts w:hint="default"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528" w:type="dxa"/>
            <w:vMerge w:val="continue"/>
            <w:tcBorders>
              <w:left w:val="thinThickSmallGap" w:color="auto" w:sz="18"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eastAsia="宋体"/>
                <w:b/>
                <w:color w:val="auto"/>
                <w:highlight w:val="none"/>
                <w:lang w:eastAsia="zh-CN"/>
              </w:rPr>
            </w:pPr>
            <w:r>
              <w:rPr>
                <w:rFonts w:hint="eastAsia" w:ascii="宋体" w:hAnsi="宋体"/>
                <w:b/>
                <w:color w:val="auto"/>
                <w:highlight w:val="none"/>
                <w:lang w:eastAsia="zh-CN"/>
              </w:rPr>
              <w:t>董事长</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keepNext w:val="0"/>
              <w:keepLines w:val="0"/>
              <w:widowControl/>
              <w:suppressLineNumbers w:val="0"/>
              <w:spacing w:beforeAutospacing="0"/>
              <w:ind w:right="113"/>
              <w:rPr>
                <w:rFonts w:hint="default"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122" w:type="dxa"/>
            <w:gridSpan w:val="2"/>
            <w:tcBorders>
              <w:top w:val="single" w:color="auto" w:sz="4" w:space="0"/>
              <w:left w:val="thinThickSmallGap" w:color="auto" w:sz="18" w:space="0"/>
              <w:bottom w:val="thinThickSmallGap" w:color="auto" w:sz="18"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
                <w:color w:val="auto"/>
                <w:highlight w:val="none"/>
              </w:rPr>
            </w:pPr>
            <w:r>
              <w:rPr>
                <w:rFonts w:hint="eastAsia" w:ascii="宋体" w:hAnsi="宋体"/>
                <w:b/>
                <w:color w:val="auto"/>
                <w:highlight w:val="none"/>
              </w:rPr>
              <w:t>送达日期</w:t>
            </w:r>
          </w:p>
        </w:tc>
        <w:tc>
          <w:tcPr>
            <w:tcW w:w="1757" w:type="dxa"/>
            <w:tcBorders>
              <w:top w:val="single" w:color="auto" w:sz="4" w:space="0"/>
              <w:left w:val="single" w:color="auto" w:sz="4" w:space="0"/>
              <w:bottom w:val="thinThickSmallGap" w:color="auto" w:sz="18" w:space="0"/>
              <w:right w:val="single" w:color="auto" w:sz="4" w:space="0"/>
            </w:tcBorders>
            <w:noWrap w:val="0"/>
            <w:vAlign w:val="top"/>
          </w:tcPr>
          <w:p>
            <w:pPr>
              <w:keepNext w:val="0"/>
              <w:keepLines w:val="0"/>
              <w:widowControl/>
              <w:suppressLineNumbers w:val="0"/>
              <w:spacing w:beforeAutospacing="0"/>
              <w:rPr>
                <w:rFonts w:hint="default" w:ascii="宋体" w:hAnsi="宋体"/>
                <w:b/>
                <w:color w:val="auto"/>
                <w:highlight w:val="none"/>
              </w:rPr>
            </w:pPr>
          </w:p>
        </w:tc>
        <w:tc>
          <w:tcPr>
            <w:tcW w:w="1283" w:type="dxa"/>
            <w:tcBorders>
              <w:top w:val="single" w:color="auto" w:sz="4" w:space="0"/>
              <w:left w:val="single" w:color="auto" w:sz="4" w:space="0"/>
              <w:bottom w:val="thinThickSmallGap" w:color="auto" w:sz="18" w:space="0"/>
              <w:right w:val="single" w:color="auto" w:sz="4" w:space="0"/>
            </w:tcBorders>
            <w:noWrap w:val="0"/>
            <w:vAlign w:val="center"/>
          </w:tcPr>
          <w:p>
            <w:pPr>
              <w:keepNext w:val="0"/>
              <w:keepLines w:val="0"/>
              <w:widowControl/>
              <w:suppressLineNumbers w:val="0"/>
              <w:spacing w:beforeAutospacing="0"/>
              <w:jc w:val="center"/>
              <w:rPr>
                <w:rFonts w:hint="default" w:ascii="宋体" w:hAnsi="宋体"/>
                <w:bCs/>
                <w:color w:val="auto"/>
                <w:szCs w:val="21"/>
                <w:highlight w:val="none"/>
              </w:rPr>
            </w:pPr>
            <w:r>
              <w:rPr>
                <w:rFonts w:hint="eastAsia" w:ascii="宋体" w:hAnsi="宋体"/>
                <w:b/>
                <w:color w:val="auto"/>
                <w:szCs w:val="21"/>
                <w:highlight w:val="none"/>
              </w:rPr>
              <w:t>送达方式</w:t>
            </w:r>
          </w:p>
        </w:tc>
        <w:tc>
          <w:tcPr>
            <w:tcW w:w="5373" w:type="dxa"/>
            <w:gridSpan w:val="3"/>
            <w:tcBorders>
              <w:top w:val="single" w:color="auto" w:sz="4" w:space="0"/>
              <w:left w:val="single" w:color="auto" w:sz="4" w:space="0"/>
              <w:bottom w:val="thinThickSmallGap" w:color="auto" w:sz="18" w:space="0"/>
              <w:right w:val="thinThickSmallGap" w:color="auto" w:sz="18" w:space="0"/>
            </w:tcBorders>
            <w:noWrap w:val="0"/>
            <w:vAlign w:val="top"/>
          </w:tcPr>
          <w:p>
            <w:pPr>
              <w:keepNext w:val="0"/>
              <w:keepLines w:val="0"/>
              <w:widowControl/>
              <w:suppressLineNumbers w:val="0"/>
              <w:spacing w:beforeAutospacing="0"/>
              <w:ind w:left="0" w:firstLine="210" w:firstLineChars="100"/>
              <w:rPr>
                <w:rFonts w:hint="default"/>
                <w:color w:val="auto"/>
                <w:highlight w:val="none"/>
              </w:rPr>
            </w:pPr>
            <w:r>
              <w:rPr>
                <w:rFonts w:hint="eastAsia"/>
                <w:color w:val="auto"/>
                <w:highlight w:val="none"/>
              </w:rPr>
              <w:t>直接送达</w:t>
            </w:r>
            <w:r>
              <w:rPr>
                <w:rFonts w:hint="eastAsia"/>
                <w:color w:val="auto"/>
                <w:highlight w:val="none"/>
              </w:rPr>
              <w:sym w:font="Wingdings 2" w:char="00A3"/>
            </w:r>
            <w:r>
              <w:rPr>
                <w:rFonts w:hint="eastAsia"/>
                <w:color w:val="auto"/>
                <w:highlight w:val="none"/>
              </w:rPr>
              <w:t xml:space="preserve">  签收人：</w:t>
            </w:r>
          </w:p>
          <w:p>
            <w:pPr>
              <w:pStyle w:val="16"/>
              <w:keepNext w:val="0"/>
              <w:keepLines w:val="0"/>
              <w:widowControl/>
              <w:suppressLineNumbers w:val="0"/>
              <w:spacing w:beforeAutospacing="0"/>
              <w:rPr>
                <w:rFonts w:hint="default"/>
                <w:color w:val="auto"/>
                <w:highlight w:val="none"/>
              </w:rPr>
            </w:pPr>
            <w:r>
              <w:rPr>
                <w:rFonts w:hint="eastAsia"/>
                <w:color w:val="auto"/>
                <w:highlight w:val="none"/>
              </w:rPr>
              <w:t xml:space="preserve">  留置送达</w:t>
            </w:r>
            <w:r>
              <w:rPr>
                <w:rFonts w:hint="eastAsia"/>
                <w:color w:val="auto"/>
                <w:highlight w:val="none"/>
              </w:rPr>
              <w:sym w:font="Wingdings 2" w:char="00A3"/>
            </w:r>
            <w:r>
              <w:rPr>
                <w:rFonts w:hint="eastAsia"/>
                <w:color w:val="auto"/>
                <w:highlight w:val="none"/>
              </w:rPr>
              <w:t xml:space="preserve">  送达地址：</w:t>
            </w:r>
          </w:p>
          <w:p>
            <w:pPr>
              <w:pStyle w:val="16"/>
              <w:keepNext w:val="0"/>
              <w:keepLines w:val="0"/>
              <w:widowControl/>
              <w:suppressLineNumbers w:val="0"/>
              <w:spacing w:beforeAutospacing="0"/>
              <w:rPr>
                <w:rFonts w:hint="default"/>
                <w:color w:val="auto"/>
                <w:highlight w:val="none"/>
              </w:rPr>
            </w:pPr>
            <w:r>
              <w:rPr>
                <w:rFonts w:hint="eastAsia"/>
                <w:color w:val="auto"/>
                <w:highlight w:val="none"/>
              </w:rPr>
              <w:t xml:space="preserve">  电子送达</w:t>
            </w:r>
            <w:r>
              <w:rPr>
                <w:rFonts w:hint="eastAsia"/>
                <w:color w:val="auto"/>
                <w:highlight w:val="none"/>
              </w:rPr>
              <w:sym w:font="Wingdings 2" w:char="00A3"/>
            </w:r>
            <w:r>
              <w:rPr>
                <w:rFonts w:hint="eastAsia"/>
                <w:color w:val="auto"/>
                <w:highlight w:val="none"/>
              </w:rPr>
              <w:t xml:space="preserve">  </w:t>
            </w:r>
            <w:r>
              <w:rPr>
                <w:rFonts w:hint="eastAsia"/>
                <w:color w:val="auto"/>
                <w:highlight w:val="none"/>
                <w:lang w:val="en-US" w:eastAsia="zh-CN"/>
              </w:rPr>
              <w:t>收件人邮箱地址：</w:t>
            </w:r>
          </w:p>
        </w:tc>
      </w:tr>
    </w:tbl>
    <w:p>
      <w:pPr>
        <w:keepNext w:val="0"/>
        <w:keepLines w:val="0"/>
        <w:pageBreakBefore w:val="0"/>
        <w:widowControl w:val="0"/>
        <w:kinsoku/>
        <w:wordWrap/>
        <w:overflowPunct/>
        <w:topLinePunct w:val="0"/>
        <w:autoSpaceDE/>
        <w:autoSpaceDN/>
        <w:bidi w:val="0"/>
        <w:adjustRightInd/>
        <w:snapToGrid/>
        <w:spacing w:line="240" w:lineRule="exact"/>
        <w:ind w:left="-619" w:leftChars="-295" w:right="0" w:rightChars="0" w:firstLine="0" w:firstLineChars="0"/>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说明：</w:t>
      </w:r>
      <w:r>
        <w:rPr>
          <w:rFonts w:ascii="宋体" w:hAnsi="宋体"/>
          <w:color w:val="auto"/>
          <w:sz w:val="18"/>
          <w:szCs w:val="18"/>
          <w:highlight w:val="none"/>
        </w:rPr>
        <w:t>1</w:t>
      </w:r>
      <w:r>
        <w:rPr>
          <w:rFonts w:hint="eastAsia" w:ascii="宋体" w:hAnsi="宋体"/>
          <w:color w:val="auto"/>
          <w:sz w:val="18"/>
          <w:szCs w:val="18"/>
          <w:highlight w:val="none"/>
        </w:rPr>
        <w:t>.本</w:t>
      </w:r>
      <w:r>
        <w:rPr>
          <w:rFonts w:hint="eastAsia" w:ascii="宋体" w:hAnsi="宋体"/>
          <w:color w:val="auto"/>
          <w:sz w:val="18"/>
          <w:szCs w:val="18"/>
          <w:highlight w:val="none"/>
          <w:lang w:eastAsia="zh-CN"/>
        </w:rPr>
        <w:t>表单</w:t>
      </w:r>
      <w:r>
        <w:rPr>
          <w:rFonts w:hint="eastAsia" w:ascii="宋体" w:hAnsi="宋体"/>
          <w:color w:val="auto"/>
          <w:sz w:val="18"/>
          <w:szCs w:val="18"/>
          <w:highlight w:val="none"/>
        </w:rPr>
        <w:t>一式三份，承包商执一份，</w:t>
      </w:r>
      <w:r>
        <w:rPr>
          <w:rFonts w:hint="eastAsia" w:ascii="宋体" w:hAnsi="宋体"/>
          <w:color w:val="auto"/>
          <w:sz w:val="18"/>
          <w:szCs w:val="18"/>
          <w:highlight w:val="none"/>
          <w:lang w:eastAsia="zh-CN"/>
        </w:rPr>
        <w:t>运营公司</w:t>
      </w:r>
      <w:r>
        <w:rPr>
          <w:rFonts w:hint="eastAsia" w:ascii="宋体" w:hAnsi="宋体"/>
          <w:color w:val="auto"/>
          <w:sz w:val="18"/>
          <w:szCs w:val="18"/>
          <w:highlight w:val="none"/>
        </w:rPr>
        <w:t>执两份，由</w:t>
      </w:r>
      <w:r>
        <w:rPr>
          <w:rFonts w:hint="eastAsia" w:ascii="宋体" w:hAnsi="宋体"/>
          <w:color w:val="auto"/>
          <w:sz w:val="18"/>
          <w:szCs w:val="18"/>
          <w:highlight w:val="none"/>
          <w:lang w:eastAsia="zh-CN"/>
        </w:rPr>
        <w:t>运营公司主办部门</w:t>
      </w:r>
      <w:r>
        <w:rPr>
          <w:rFonts w:hint="eastAsia" w:ascii="宋体" w:hAnsi="宋体"/>
          <w:color w:val="auto"/>
          <w:sz w:val="18"/>
          <w:szCs w:val="18"/>
          <w:highlight w:val="none"/>
        </w:rPr>
        <w:t>在合同执行过程中发现问题时填写；</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2.承包商若对本次违约处理有意见，须在</w:t>
      </w:r>
      <w:r>
        <w:rPr>
          <w:rFonts w:hint="eastAsia" w:ascii="宋体" w:hAnsi="宋体"/>
          <w:color w:val="auto"/>
          <w:sz w:val="18"/>
          <w:szCs w:val="18"/>
          <w:highlight w:val="none"/>
          <w:lang w:eastAsia="zh-CN"/>
        </w:rPr>
        <w:t>本表单</w:t>
      </w:r>
      <w:r>
        <w:rPr>
          <w:rFonts w:hint="eastAsia" w:ascii="宋体" w:hAnsi="宋体"/>
          <w:color w:val="auto"/>
          <w:sz w:val="18"/>
          <w:szCs w:val="18"/>
          <w:highlight w:val="none"/>
        </w:rPr>
        <w:t>送达后2个工作日内向</w:t>
      </w:r>
      <w:r>
        <w:rPr>
          <w:rFonts w:hint="eastAsia" w:ascii="宋体" w:hAnsi="宋体"/>
          <w:color w:val="auto"/>
          <w:sz w:val="18"/>
          <w:szCs w:val="18"/>
          <w:highlight w:val="none"/>
          <w:lang w:eastAsia="zh-CN"/>
        </w:rPr>
        <w:t>运营公司</w:t>
      </w:r>
      <w:r>
        <w:rPr>
          <w:rFonts w:hint="eastAsia" w:ascii="宋体" w:hAnsi="宋体"/>
          <w:color w:val="auto"/>
          <w:sz w:val="18"/>
          <w:szCs w:val="18"/>
          <w:highlight w:val="none"/>
        </w:rPr>
        <w:t>主办部门提交正式申诉材料提出申诉，否则视为接受违约处理意见，主办部门在收到申诉材料后须在5个工作日给予回复；</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3.本</w:t>
      </w:r>
      <w:r>
        <w:rPr>
          <w:rFonts w:hint="eastAsia" w:ascii="宋体" w:hAnsi="宋体"/>
          <w:color w:val="auto"/>
          <w:sz w:val="18"/>
          <w:szCs w:val="18"/>
          <w:highlight w:val="none"/>
          <w:lang w:eastAsia="zh-CN"/>
        </w:rPr>
        <w:t>表单</w:t>
      </w:r>
      <w:r>
        <w:rPr>
          <w:rFonts w:hint="eastAsia" w:ascii="宋体" w:hAnsi="宋体"/>
          <w:color w:val="auto"/>
          <w:sz w:val="18"/>
          <w:szCs w:val="18"/>
          <w:highlight w:val="none"/>
        </w:rPr>
        <w:t>按照违约处理决定的金额和授权方案逐级签批或用印，5000元</w:t>
      </w:r>
      <w:r>
        <w:rPr>
          <w:rFonts w:hint="eastAsia" w:ascii="宋体" w:hAnsi="宋体"/>
          <w:color w:val="auto"/>
          <w:sz w:val="18"/>
          <w:szCs w:val="18"/>
          <w:highlight w:val="none"/>
          <w:lang w:eastAsia="zh-CN"/>
        </w:rPr>
        <w:t>（含）以下</w:t>
      </w:r>
      <w:r>
        <w:rPr>
          <w:rFonts w:hint="eastAsia" w:ascii="宋体" w:hAnsi="宋体"/>
          <w:color w:val="auto"/>
          <w:sz w:val="18"/>
          <w:szCs w:val="18"/>
          <w:highlight w:val="none"/>
        </w:rPr>
        <w:t>由主办部门签批，5000</w:t>
      </w:r>
      <w:r>
        <w:rPr>
          <w:rFonts w:hint="eastAsia" w:ascii="宋体" w:hAnsi="宋体"/>
          <w:color w:val="auto"/>
          <w:sz w:val="18"/>
          <w:szCs w:val="18"/>
          <w:highlight w:val="none"/>
          <w:lang w:eastAsia="zh-CN"/>
        </w:rPr>
        <w:t>元</w:t>
      </w:r>
      <w:r>
        <w:rPr>
          <w:rFonts w:hint="eastAsia" w:ascii="宋体" w:hAnsi="宋体"/>
          <w:color w:val="auto"/>
          <w:sz w:val="18"/>
          <w:szCs w:val="18"/>
          <w:highlight w:val="none"/>
        </w:rPr>
        <w:t>（不含）-10000元</w:t>
      </w:r>
      <w:r>
        <w:rPr>
          <w:rFonts w:hint="eastAsia" w:ascii="宋体" w:hAnsi="宋体"/>
          <w:color w:val="auto"/>
          <w:sz w:val="18"/>
          <w:szCs w:val="18"/>
          <w:highlight w:val="none"/>
          <w:lang w:eastAsia="zh-CN"/>
        </w:rPr>
        <w:t>（含）签批至</w:t>
      </w:r>
      <w:r>
        <w:rPr>
          <w:rFonts w:hint="eastAsia" w:ascii="宋体" w:hAnsi="宋体"/>
          <w:color w:val="auto"/>
          <w:sz w:val="18"/>
          <w:szCs w:val="18"/>
          <w:highlight w:val="none"/>
        </w:rPr>
        <w:t>分管</w:t>
      </w:r>
      <w:r>
        <w:rPr>
          <w:rFonts w:hint="eastAsia" w:ascii="宋体" w:hAnsi="宋体"/>
          <w:color w:val="auto"/>
          <w:sz w:val="18"/>
          <w:szCs w:val="18"/>
          <w:highlight w:val="none"/>
          <w:lang w:eastAsia="zh-CN"/>
        </w:rPr>
        <w:t>主办部门的</w:t>
      </w:r>
      <w:r>
        <w:rPr>
          <w:rFonts w:hint="eastAsia" w:ascii="宋体" w:hAnsi="宋体"/>
          <w:color w:val="auto"/>
          <w:sz w:val="18"/>
          <w:szCs w:val="18"/>
          <w:highlight w:val="none"/>
        </w:rPr>
        <w:t>副总经理并用</w:t>
      </w:r>
      <w:r>
        <w:rPr>
          <w:rFonts w:hint="eastAsia" w:ascii="宋体" w:hAnsi="宋体"/>
          <w:color w:val="auto"/>
          <w:sz w:val="18"/>
          <w:szCs w:val="18"/>
          <w:highlight w:val="none"/>
          <w:lang w:eastAsia="zh-CN"/>
        </w:rPr>
        <w:t>运营公司</w:t>
      </w:r>
      <w:r>
        <w:rPr>
          <w:rFonts w:hint="eastAsia" w:ascii="宋体" w:hAnsi="宋体"/>
          <w:color w:val="auto"/>
          <w:sz w:val="18"/>
          <w:szCs w:val="18"/>
          <w:highlight w:val="none"/>
        </w:rPr>
        <w:t>印，10000元</w:t>
      </w:r>
      <w:r>
        <w:rPr>
          <w:rFonts w:hint="eastAsia" w:ascii="宋体" w:hAnsi="宋体"/>
          <w:color w:val="auto"/>
          <w:sz w:val="18"/>
          <w:szCs w:val="18"/>
          <w:highlight w:val="none"/>
          <w:lang w:eastAsia="zh-CN"/>
        </w:rPr>
        <w:t>（不含）</w:t>
      </w:r>
      <w:r>
        <w:rPr>
          <w:rFonts w:hint="eastAsia" w:ascii="宋体" w:hAnsi="宋体"/>
          <w:color w:val="auto"/>
          <w:sz w:val="18"/>
          <w:szCs w:val="18"/>
          <w:highlight w:val="none"/>
          <w:lang w:val="en-US" w:eastAsia="zh-CN"/>
        </w:rPr>
        <w:t>-20000元（含）</w:t>
      </w:r>
      <w:r>
        <w:rPr>
          <w:rFonts w:hint="eastAsia" w:ascii="宋体" w:hAnsi="宋体"/>
          <w:color w:val="auto"/>
          <w:sz w:val="18"/>
          <w:szCs w:val="18"/>
          <w:highlight w:val="none"/>
          <w:lang w:eastAsia="zh-CN"/>
        </w:rPr>
        <w:t>签批至</w:t>
      </w:r>
      <w:r>
        <w:rPr>
          <w:rFonts w:hint="eastAsia" w:ascii="宋体" w:hAnsi="宋体"/>
          <w:color w:val="auto"/>
          <w:sz w:val="18"/>
          <w:szCs w:val="18"/>
          <w:highlight w:val="none"/>
        </w:rPr>
        <w:t>总经理</w:t>
      </w:r>
      <w:r>
        <w:rPr>
          <w:rFonts w:hint="eastAsia" w:ascii="宋体" w:hAnsi="宋体"/>
          <w:color w:val="auto"/>
          <w:sz w:val="18"/>
          <w:szCs w:val="18"/>
          <w:highlight w:val="none"/>
          <w:lang w:eastAsia="zh-CN"/>
        </w:rPr>
        <w:t>同时报董事长知悉</w:t>
      </w:r>
      <w:r>
        <w:rPr>
          <w:rFonts w:hint="eastAsia" w:ascii="宋体" w:hAnsi="宋体"/>
          <w:color w:val="auto"/>
          <w:sz w:val="18"/>
          <w:szCs w:val="18"/>
          <w:highlight w:val="none"/>
        </w:rPr>
        <w:t>并用</w:t>
      </w:r>
      <w:r>
        <w:rPr>
          <w:rFonts w:hint="eastAsia" w:ascii="宋体" w:hAnsi="宋体"/>
          <w:color w:val="auto"/>
          <w:sz w:val="18"/>
          <w:szCs w:val="18"/>
          <w:highlight w:val="none"/>
          <w:lang w:eastAsia="zh-CN"/>
        </w:rPr>
        <w:t>运营公司</w:t>
      </w:r>
      <w:r>
        <w:rPr>
          <w:rFonts w:hint="eastAsia" w:ascii="宋体" w:hAnsi="宋体"/>
          <w:color w:val="auto"/>
          <w:sz w:val="18"/>
          <w:szCs w:val="18"/>
          <w:highlight w:val="none"/>
        </w:rPr>
        <w:t>印</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20000元（不含）以上签批至董事长并用运营公司印</w:t>
      </w:r>
      <w:r>
        <w:rPr>
          <w:rFonts w:hint="eastAsia" w:ascii="宋体" w:hAnsi="宋体"/>
          <w:color w:val="auto"/>
          <w:sz w:val="18"/>
          <w:szCs w:val="18"/>
          <w:highlight w:val="none"/>
        </w:rPr>
        <w:t>；</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ascii="宋体" w:hAnsi="宋体" w:eastAsia="宋体"/>
          <w:color w:val="auto"/>
          <w:sz w:val="21"/>
          <w:szCs w:val="21"/>
          <w:highlight w:val="none"/>
        </w:rPr>
      </w:pPr>
      <w:r>
        <w:rPr>
          <w:rFonts w:hint="eastAsia" w:ascii="宋体" w:hAnsi="宋体"/>
          <w:color w:val="auto"/>
          <w:sz w:val="18"/>
          <w:szCs w:val="18"/>
          <w:highlight w:val="none"/>
        </w:rPr>
        <w:t>4.本</w:t>
      </w:r>
      <w:r>
        <w:rPr>
          <w:rFonts w:hint="eastAsia" w:ascii="宋体" w:hAnsi="宋体"/>
          <w:color w:val="auto"/>
          <w:sz w:val="18"/>
          <w:szCs w:val="18"/>
          <w:highlight w:val="none"/>
          <w:lang w:eastAsia="zh-CN"/>
        </w:rPr>
        <w:t>表单</w:t>
      </w:r>
      <w:r>
        <w:rPr>
          <w:rFonts w:hint="eastAsia" w:ascii="宋体" w:hAnsi="宋体"/>
          <w:color w:val="auto"/>
          <w:sz w:val="18"/>
          <w:szCs w:val="18"/>
          <w:highlight w:val="none"/>
        </w:rPr>
        <w:t>自送达之日起生效。送达时间基准为</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1</w:t>
      </w:r>
      <w:r>
        <w:rPr>
          <w:rFonts w:hint="eastAsia" w:ascii="宋体" w:hAnsi="宋体"/>
          <w:color w:val="auto"/>
          <w:sz w:val="18"/>
          <w:szCs w:val="18"/>
          <w:highlight w:val="none"/>
          <w:lang w:eastAsia="zh-CN"/>
        </w:rPr>
        <w:t>）</w:t>
      </w:r>
      <w:r>
        <w:rPr>
          <w:rFonts w:hint="eastAsia" w:ascii="宋体" w:hAnsi="宋体"/>
          <w:color w:val="auto"/>
          <w:sz w:val="18"/>
          <w:szCs w:val="18"/>
          <w:highlight w:val="none"/>
        </w:rPr>
        <w:t>直接送达以签收人签收时间为准；（2）留置送达以</w:t>
      </w:r>
      <w:r>
        <w:rPr>
          <w:rFonts w:hint="eastAsia" w:ascii="宋体" w:hAnsi="宋体"/>
          <w:color w:val="auto"/>
          <w:sz w:val="18"/>
          <w:szCs w:val="18"/>
          <w:highlight w:val="none"/>
          <w:lang w:eastAsia="zh-CN"/>
        </w:rPr>
        <w:t>本表单</w:t>
      </w:r>
      <w:r>
        <w:rPr>
          <w:rFonts w:hint="eastAsia" w:ascii="宋体" w:hAnsi="宋体"/>
          <w:color w:val="auto"/>
          <w:sz w:val="18"/>
          <w:szCs w:val="18"/>
          <w:highlight w:val="none"/>
        </w:rPr>
        <w:t>送达指定地点时间为准</w:t>
      </w:r>
      <w:r>
        <w:rPr>
          <w:rFonts w:hint="eastAsia" w:ascii="宋体" w:hAnsi="宋体"/>
          <w:color w:val="auto"/>
          <w:sz w:val="18"/>
          <w:szCs w:val="18"/>
          <w:highlight w:val="none"/>
          <w:lang w:eastAsia="zh-CN"/>
        </w:rPr>
        <w:t>，</w:t>
      </w:r>
      <w:r>
        <w:rPr>
          <w:rFonts w:hint="eastAsia" w:ascii="宋体" w:hAnsi="宋体"/>
          <w:color w:val="auto"/>
          <w:sz w:val="18"/>
          <w:szCs w:val="18"/>
          <w:highlight w:val="none"/>
        </w:rPr>
        <w:t>如出现拒签</w:t>
      </w:r>
      <w:r>
        <w:rPr>
          <w:rFonts w:hint="eastAsia" w:ascii="宋体" w:hAnsi="宋体"/>
          <w:color w:val="auto"/>
          <w:sz w:val="18"/>
          <w:szCs w:val="18"/>
          <w:highlight w:val="none"/>
          <w:lang w:eastAsia="zh-CN"/>
        </w:rPr>
        <w:t>的</w:t>
      </w:r>
      <w:r>
        <w:rPr>
          <w:rFonts w:hint="eastAsia" w:ascii="宋体" w:hAnsi="宋体"/>
          <w:color w:val="auto"/>
          <w:sz w:val="18"/>
          <w:szCs w:val="18"/>
          <w:highlight w:val="none"/>
        </w:rPr>
        <w:t>情况以</w:t>
      </w:r>
      <w:r>
        <w:rPr>
          <w:rFonts w:hint="eastAsia" w:ascii="宋体" w:hAnsi="宋体"/>
          <w:color w:val="auto"/>
          <w:sz w:val="18"/>
          <w:szCs w:val="18"/>
          <w:highlight w:val="none"/>
          <w:lang w:eastAsia="zh-CN"/>
        </w:rPr>
        <w:t>本表单</w:t>
      </w:r>
      <w:r>
        <w:rPr>
          <w:rFonts w:hint="eastAsia" w:ascii="宋体" w:hAnsi="宋体"/>
          <w:color w:val="auto"/>
          <w:sz w:val="18"/>
          <w:szCs w:val="18"/>
          <w:highlight w:val="none"/>
        </w:rPr>
        <w:t>送达指定地点时派送人现场照片或物流信息显示送达时间为准；（3）电子送达以发送人发出</w:t>
      </w:r>
      <w:r>
        <w:rPr>
          <w:rFonts w:hint="eastAsia" w:ascii="宋体" w:hAnsi="宋体"/>
          <w:color w:val="auto"/>
          <w:sz w:val="18"/>
          <w:szCs w:val="18"/>
          <w:highlight w:val="none"/>
          <w:lang w:eastAsia="zh-CN"/>
        </w:rPr>
        <w:t>电子邮件</w:t>
      </w:r>
      <w:r>
        <w:rPr>
          <w:rFonts w:hint="eastAsia" w:ascii="宋体" w:hAnsi="宋体"/>
          <w:color w:val="auto"/>
          <w:sz w:val="18"/>
          <w:szCs w:val="18"/>
          <w:highlight w:val="none"/>
        </w:rPr>
        <w:t>时间为准。</w:t>
      </w:r>
    </w:p>
    <w:p>
      <w:pPr>
        <w:pStyle w:val="16"/>
        <w:pageBreakBefore/>
        <w:ind w:right="-57" w:firstLine="0"/>
        <w:jc w:val="center"/>
        <w:outlineLvl w:val="0"/>
        <w:rPr>
          <w:rStyle w:val="46"/>
          <w:rFonts w:ascii="宋体" w:hAnsi="宋体" w:eastAsia="宋体"/>
          <w:color w:val="auto"/>
          <w:highlight w:val="none"/>
        </w:rPr>
      </w:pPr>
      <w:bookmarkStart w:id="2304" w:name="_Toc22965"/>
      <w:bookmarkStart w:id="2305" w:name="_Toc3620"/>
      <w:bookmarkStart w:id="2306" w:name="_Toc8571"/>
      <w:bookmarkStart w:id="2307" w:name="_Toc27339"/>
      <w:bookmarkStart w:id="2308" w:name="_Toc5631"/>
      <w:r>
        <w:rPr>
          <w:rStyle w:val="46"/>
          <w:rFonts w:hint="eastAsia" w:ascii="宋体" w:hAnsi="宋体" w:eastAsia="宋体"/>
          <w:color w:val="auto"/>
          <w:highlight w:val="none"/>
        </w:rPr>
        <w:t>第六章</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rPr>
          <w:rStyle w:val="46"/>
          <w:rFonts w:hint="eastAsia" w:hAnsi="宋体"/>
          <w:color w:val="auto"/>
          <w:highlight w:val="none"/>
        </w:rPr>
        <w:t>评审办法</w:t>
      </w:r>
      <w:bookmarkEnd w:id="2304"/>
      <w:bookmarkEnd w:id="2305"/>
      <w:bookmarkEnd w:id="2306"/>
      <w:bookmarkEnd w:id="2307"/>
      <w:bookmarkEnd w:id="2308"/>
    </w:p>
    <w:p>
      <w:pPr>
        <w:spacing w:before="0" w:after="0" w:afterAutospacing="0"/>
        <w:ind w:left="0" w:right="0" w:firstLine="562" w:firstLineChars="200"/>
        <w:outlineLvl w:val="1"/>
        <w:rPr>
          <w:rFonts w:ascii="宋体" w:hAnsi="宋体" w:cs="Arial"/>
          <w:b/>
          <w:bCs/>
          <w:color w:val="auto"/>
          <w:sz w:val="28"/>
          <w:szCs w:val="28"/>
          <w:highlight w:val="none"/>
        </w:rPr>
      </w:pPr>
      <w:bookmarkStart w:id="2309" w:name="_Toc18939"/>
      <w:bookmarkStart w:id="2310" w:name="_Toc3362"/>
      <w:bookmarkStart w:id="2311" w:name="_Toc25929"/>
      <w:bookmarkStart w:id="2312" w:name="_Toc14891"/>
      <w:bookmarkStart w:id="2313" w:name="_Toc22213"/>
      <w:bookmarkStart w:id="2314" w:name="_Toc12437"/>
      <w:bookmarkStart w:id="2315" w:name="_Toc6413"/>
      <w:r>
        <w:rPr>
          <w:rFonts w:hint="eastAsia" w:ascii="宋体" w:hAnsi="宋体" w:cs="Arial"/>
          <w:b/>
          <w:bCs/>
          <w:color w:val="auto"/>
          <w:sz w:val="28"/>
          <w:szCs w:val="28"/>
          <w:highlight w:val="none"/>
        </w:rPr>
        <w:t>一、评审原则</w:t>
      </w:r>
      <w:bookmarkEnd w:id="2309"/>
      <w:bookmarkEnd w:id="2310"/>
      <w:bookmarkEnd w:id="2311"/>
      <w:bookmarkEnd w:id="2312"/>
      <w:bookmarkEnd w:id="2313"/>
      <w:bookmarkEnd w:id="2314"/>
      <w:bookmarkEnd w:id="2315"/>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评审委员会成员构成：本项目由南宁轨道交通运营有限公司5人及以上单数组成评审小组，对比选申请文件按评审标准进行评审；纪检监察部门进行监督。</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2316" w:name="_Toc29000"/>
      <w:bookmarkStart w:id="2317" w:name="_Toc478566177"/>
      <w:bookmarkStart w:id="2318" w:name="_Toc11240"/>
      <w:bookmarkStart w:id="2319" w:name="_Toc24448"/>
      <w:bookmarkStart w:id="2320" w:name="_Toc5136"/>
      <w:bookmarkStart w:id="2321" w:name="_Toc11036"/>
      <w:bookmarkStart w:id="2322" w:name="_Toc14472"/>
      <w:bookmarkStart w:id="2323" w:name="_Toc32415"/>
      <w:bookmarkStart w:id="2324" w:name="_Toc15880"/>
      <w:bookmarkStart w:id="2325" w:name="_Toc8972"/>
      <w:bookmarkStart w:id="2326" w:name="_Toc11860"/>
      <w:bookmarkStart w:id="2327" w:name="_Toc4750"/>
      <w:r>
        <w:rPr>
          <w:rFonts w:hint="eastAsia" w:ascii="宋体" w:hAnsi="宋体" w:cs="Arial"/>
          <w:b/>
          <w:bCs/>
          <w:color w:val="auto"/>
          <w:sz w:val="28"/>
          <w:szCs w:val="28"/>
          <w:highlight w:val="none"/>
        </w:rPr>
        <w:t>二、评定方法</w:t>
      </w:r>
      <w:bookmarkEnd w:id="2316"/>
      <w:bookmarkEnd w:id="2317"/>
      <w:bookmarkEnd w:id="2318"/>
      <w:bookmarkEnd w:id="2319"/>
      <w:bookmarkEnd w:id="2320"/>
      <w:bookmarkEnd w:id="2321"/>
      <w:bookmarkEnd w:id="2322"/>
      <w:bookmarkEnd w:id="2323"/>
      <w:bookmarkEnd w:id="2324"/>
      <w:bookmarkEnd w:id="2325"/>
      <w:bookmarkEnd w:id="2326"/>
      <w:bookmarkEnd w:id="2327"/>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2.2评审委员会将依照本比选文件相关规定对质量和服务均能满足实质性响应要求的比选申请人所提交的报价按照由低到高的顺序提出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2.3若比选申请人的报价相同，</w:t>
      </w:r>
      <w:r>
        <w:rPr>
          <w:rFonts w:hint="eastAsia" w:ascii="宋体" w:hAnsi="宋体"/>
          <w:color w:val="auto"/>
          <w:highlight w:val="none"/>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highlight w:val="none"/>
        </w:rPr>
      </w:pPr>
      <w:bookmarkStart w:id="2328" w:name="_Toc17932"/>
      <w:r>
        <w:rPr>
          <w:rFonts w:hint="eastAsia" w:ascii="宋体" w:hAnsi="宋体" w:cs="Arial"/>
          <w:b/>
          <w:bCs/>
          <w:color w:val="auto"/>
          <w:sz w:val="28"/>
          <w:szCs w:val="28"/>
          <w:highlight w:val="none"/>
        </w:rPr>
        <w:t>三、评审流程</w:t>
      </w:r>
      <w:bookmarkEnd w:id="2328"/>
    </w:p>
    <w:p>
      <w:pPr>
        <w:tabs>
          <w:tab w:val="left" w:pos="567"/>
        </w:tabs>
        <w:spacing w:before="0" w:after="0" w:afterAutospacing="0"/>
        <w:ind w:left="422" w:right="0" w:firstLine="0"/>
        <w:rPr>
          <w:rFonts w:hint="eastAsia" w:ascii="宋体" w:hAnsi="宋体" w:eastAsia="宋体" w:cs="宋体"/>
          <w:b/>
          <w:color w:val="auto"/>
          <w:highlight w:val="none"/>
        </w:rPr>
      </w:pPr>
      <w:r>
        <w:rPr>
          <w:rFonts w:hint="eastAsia" w:ascii="宋体" w:hAnsi="宋体" w:eastAsia="宋体" w:cs="宋体"/>
          <w:b/>
          <w:color w:val="auto"/>
          <w:highlight w:val="none"/>
        </w:rPr>
        <w:t>3.1资格审查</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hint="eastAsia" w:ascii="宋体" w:hAnsi="宋体" w:eastAsia="宋体" w:cs="宋体"/>
          <w:b/>
          <w:color w:val="auto"/>
          <w:highlight w:val="none"/>
        </w:rPr>
      </w:pPr>
      <w:r>
        <w:rPr>
          <w:rFonts w:hint="eastAsia" w:ascii="宋体" w:hAnsi="宋体" w:eastAsia="宋体" w:cs="宋体"/>
          <w:b/>
          <w:color w:val="auto"/>
          <w:highlight w:val="none"/>
        </w:rPr>
        <w:t>3.2初步评审</w:t>
      </w:r>
    </w:p>
    <w:p>
      <w:pPr>
        <w:tabs>
          <w:tab w:val="left" w:pos="851"/>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（3）评审委员会根据比选文件的要求对比选申请人进行符合性评审，未通过符合性评审的比选申请人不得进入下一阶段的评审。评审标准见附表二《符合性评审表》。</w:t>
      </w:r>
    </w:p>
    <w:p>
      <w:pPr>
        <w:tabs>
          <w:tab w:val="left" w:pos="851"/>
          <w:tab w:val="left" w:pos="1134"/>
        </w:tabs>
        <w:spacing w:before="0" w:after="0" w:afterAutospacing="0"/>
        <w:ind w:left="422" w:right="0" w:firstLine="0"/>
        <w:rPr>
          <w:rFonts w:hint="eastAsia" w:ascii="宋体" w:hAnsi="宋体" w:eastAsia="宋体" w:cs="宋体"/>
          <w:b/>
          <w:color w:val="auto"/>
          <w:highlight w:val="none"/>
        </w:rPr>
      </w:pPr>
      <w:r>
        <w:rPr>
          <w:rFonts w:hint="eastAsia" w:ascii="宋体" w:hAnsi="宋体" w:eastAsia="宋体" w:cs="宋体"/>
          <w:b/>
          <w:color w:val="auto"/>
          <w:highlight w:val="none"/>
        </w:rPr>
        <w:t>3.3价格评审</w:t>
      </w:r>
    </w:p>
    <w:p>
      <w:pPr>
        <w:tabs>
          <w:tab w:val="left" w:pos="851"/>
        </w:tabs>
        <w:spacing w:before="0" w:after="0" w:afterAutospacing="0"/>
        <w:ind w:left="0" w:right="0"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3.3.1评审委员会将对比选申请文件的实质性内容进行初步评审，判定其内容是否真实、完整，是否满足比选文件要求并在实质性内容上予以响应。评审委员会评审比选申请人的各项报价和清单是否清楚、完整，对报价和清单有重大偏差或缺漏项或不清晰而又不能做出合理解释的，其比选申请作否决比选申请处理。评审标准见附表三《经济初步评审表》</w:t>
      </w:r>
    </w:p>
    <w:p>
      <w:pPr>
        <w:tabs>
          <w:tab w:val="left" w:pos="851"/>
        </w:tabs>
        <w:spacing w:before="0" w:after="0" w:afterAutospacing="0"/>
        <w:ind w:left="105" w:leftChars="5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3.3.2评审委员会对资格审查合格且通过初步评审的比选申请人比选申请报价进行算术修正，计算出评审总价。算术修正的原则如下：</w:t>
      </w:r>
    </w:p>
    <w:p>
      <w:pPr>
        <w:tabs>
          <w:tab w:val="left" w:pos="851"/>
        </w:tabs>
        <w:spacing w:before="0" w:after="0" w:afterAutospacing="0"/>
        <w:ind w:left="1060" w:leftChars="218" w:right="0" w:hanging="602" w:hangingChars="287"/>
        <w:rPr>
          <w:rFonts w:hint="eastAsia" w:ascii="宋体" w:hAnsi="宋体" w:eastAsia="宋体" w:cs="宋体"/>
          <w:color w:val="auto"/>
          <w:highlight w:val="none"/>
        </w:rPr>
      </w:pPr>
      <w:r>
        <w:rPr>
          <w:rFonts w:hint="eastAsia" w:ascii="宋体" w:hAnsi="宋体" w:eastAsia="宋体" w:cs="宋体"/>
          <w:color w:val="auto"/>
          <w:highlight w:val="none"/>
        </w:rPr>
        <w:t>（1）评审价以不含税总报价为基准；</w:t>
      </w:r>
    </w:p>
    <w:p>
      <w:pPr>
        <w:tabs>
          <w:tab w:val="left" w:pos="420"/>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（2）比选申请报价大写金额与小写金额不一致的，以大写金额为准；总价金额与单价乘以数量的合计计算出的结果不一致的，以单价为准修正总价，但单价金额小数点有明显错误的除外。</w:t>
      </w:r>
    </w:p>
    <w:p>
      <w:pPr>
        <w:pStyle w:val="41"/>
        <w:tabs>
          <w:tab w:val="left" w:pos="851"/>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（3）同一规格、型号的设备、材料在各分项报价中单价不一致的，以最低的单价调整；</w:t>
      </w:r>
    </w:p>
    <w:p>
      <w:pPr>
        <w:pStyle w:val="41"/>
        <w:tabs>
          <w:tab w:val="left" w:pos="567"/>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（4）按上述修正错误的规则对比选申请报价进行修正。评标价格及中标价均以修正后的报价为准。如比选申请人不接受按以上规则确定的评标价格和中标价，则其比选申请将被拒绝</w:t>
      </w:r>
      <w:r>
        <w:rPr>
          <w:rFonts w:hint="eastAsia" w:ascii="宋体" w:hAnsi="宋体" w:eastAsia="宋体" w:cs="宋体"/>
          <w:color w:val="auto"/>
          <w:highlight w:val="none"/>
          <w:lang w:eastAsia="zh-CN"/>
        </w:rPr>
        <w:t>。</w:t>
      </w:r>
    </w:p>
    <w:p>
      <w:pPr>
        <w:tabs>
          <w:tab w:val="left" w:pos="567"/>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3.3.3出现下列情况的将不通过价格评审：</w:t>
      </w:r>
    </w:p>
    <w:p>
      <w:pPr>
        <w:pStyle w:val="41"/>
        <w:tabs>
          <w:tab w:val="left" w:pos="567"/>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hint="eastAsia" w:ascii="宋体" w:hAnsi="宋体" w:eastAsia="宋体" w:cs="宋体"/>
          <w:b/>
          <w:color w:val="auto"/>
          <w:highlight w:val="none"/>
        </w:rPr>
      </w:pPr>
      <w:r>
        <w:rPr>
          <w:rFonts w:hint="eastAsia" w:ascii="宋体" w:hAnsi="宋体" w:eastAsia="宋体" w:cs="宋体"/>
          <w:b/>
          <w:color w:val="auto"/>
          <w:highlight w:val="none"/>
        </w:rPr>
        <w:t>3.3.4价格评审结果</w:t>
      </w:r>
    </w:p>
    <w:p>
      <w:pPr>
        <w:tabs>
          <w:tab w:val="left" w:pos="851"/>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通过价格评审计算出比选申请人的实际评审总价，填写《比选申请价格评审表》（见附表</w:t>
      </w:r>
      <w:r>
        <w:rPr>
          <w:rFonts w:hint="eastAsia" w:ascii="宋体" w:hAnsi="宋体" w:eastAsia="宋体" w:cs="宋体"/>
          <w:color w:val="auto"/>
          <w:highlight w:val="none"/>
          <w:lang w:val="en-US" w:eastAsia="zh-CN"/>
        </w:rPr>
        <w:t>四</w:t>
      </w:r>
      <w:r>
        <w:rPr>
          <w:rFonts w:hint="eastAsia" w:ascii="宋体" w:hAnsi="宋体" w:eastAsia="宋体" w:cs="宋体"/>
          <w:color w:val="auto"/>
          <w:highlight w:val="none"/>
        </w:rPr>
        <w:t>），由评审委员根据通过资格审查及符合性评审的比选申请人报价按照由低到高的顺序提出1-3名中选候选人，并编写评审报告。</w:t>
      </w:r>
    </w:p>
    <w:p>
      <w:pPr>
        <w:tabs>
          <w:tab w:val="left" w:pos="567"/>
        </w:tabs>
        <w:spacing w:before="0" w:after="0" w:afterAutospacing="0"/>
        <w:ind w:left="422" w:right="0" w:firstLine="0"/>
        <w:rPr>
          <w:rFonts w:hint="eastAsia" w:ascii="宋体" w:hAnsi="宋体" w:eastAsia="宋体" w:cs="宋体"/>
          <w:b/>
          <w:color w:val="auto"/>
          <w:highlight w:val="none"/>
        </w:rPr>
      </w:pPr>
      <w:r>
        <w:rPr>
          <w:rFonts w:hint="eastAsia" w:ascii="宋体" w:hAnsi="宋体" w:eastAsia="宋体" w:cs="宋体"/>
          <w:b/>
          <w:color w:val="auto"/>
          <w:highlight w:val="none"/>
        </w:rPr>
        <w:t>3.4澄清或补正</w:t>
      </w:r>
    </w:p>
    <w:p>
      <w:pPr>
        <w:tabs>
          <w:tab w:val="left" w:pos="851"/>
          <w:tab w:val="left" w:pos="113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rPr>
        <w:t>3.4.2比选申请人须以书面形式提供澄清或补正文件，经评审委员会确认方可作为比选申请文件的组成部分。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rPr>
        <w:t>3.4.3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rPr>
        <w:t>3.4.4如果评审委员会对比选申请人提交的澄清、说明或补正依然存有疑问，可以对比选申请人进一步质疑。比选申请人应当相应地进一步澄清、说明或补正，直至评审委员会认为全部质疑得到解答。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hint="eastAsia" w:ascii="宋体" w:hAnsi="宋体" w:eastAsia="宋体" w:cs="宋体"/>
          <w:color w:val="auto"/>
          <w:highlight w:val="none"/>
        </w:rPr>
      </w:pPr>
      <w:r>
        <w:rPr>
          <w:rFonts w:hint="eastAsia" w:ascii="宋体" w:hAnsi="宋体" w:eastAsia="宋体" w:cs="宋体"/>
          <w:color w:val="auto"/>
          <w:highlight w:val="none"/>
        </w:rPr>
        <w:t>3.4.5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3.5评审报告</w:t>
      </w:r>
    </w:p>
    <w:p>
      <w:pPr>
        <w:tabs>
          <w:tab w:val="left" w:pos="993"/>
          <w:tab w:val="left" w:pos="1134"/>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p>
    <w:p>
      <w:pPr>
        <w:tabs>
          <w:tab w:val="left" w:pos="851"/>
          <w:tab w:val="left" w:pos="993"/>
        </w:tabs>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评审委员会根据报价按由低到高的顺序进行排序。并在评审报告中推荐报价最低的比选申请人为第一中选候选人，推荐第二低者为第二中选候选人，第三低者为第三中选候选人。如果有2个或2个以上的比选申请人报价相同的，以评审委员会记名投票的方式按少数服从多数的原则决定其排名顺序。</w:t>
      </w:r>
    </w:p>
    <w:p>
      <w:pPr>
        <w:spacing w:before="0" w:after="0" w:afterAutospacing="0"/>
        <w:ind w:left="0" w:right="0"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3.6否决比选申请条件</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hint="eastAsia" w:ascii="宋体" w:hAnsi="宋体" w:eastAsia="宋体" w:cs="宋体"/>
          <w:b/>
          <w:color w:val="auto"/>
          <w:highlight w:val="none"/>
        </w:rPr>
      </w:pPr>
      <w:bookmarkStart w:id="2329" w:name="_Toc28404"/>
      <w:bookmarkStart w:id="2330" w:name="_Toc22464"/>
      <w:bookmarkStart w:id="2331" w:name="_Toc29323"/>
      <w:bookmarkStart w:id="2332" w:name="_Toc18096"/>
      <w:bookmarkStart w:id="2333" w:name="_Toc23314"/>
      <w:bookmarkStart w:id="2334" w:name="_Toc10968"/>
      <w:bookmarkStart w:id="2335" w:name="_Toc9189"/>
      <w:bookmarkStart w:id="2336" w:name="_Toc492478849"/>
      <w:bookmarkStart w:id="2337" w:name="_Toc29245"/>
      <w:bookmarkStart w:id="2338" w:name="_Toc15402"/>
      <w:bookmarkStart w:id="2339" w:name="_Toc16364"/>
      <w:bookmarkStart w:id="2340" w:name="_Toc434"/>
      <w:bookmarkStart w:id="2341" w:name="_Toc19557"/>
      <w:bookmarkStart w:id="2342" w:name="_Toc25750694"/>
      <w:bookmarkStart w:id="2343" w:name="_Toc15224"/>
      <w:bookmarkStart w:id="2344" w:name="_Toc5399"/>
      <w:bookmarkStart w:id="2345" w:name="_Toc9588"/>
      <w:bookmarkStart w:id="2346" w:name="_Toc31611"/>
      <w:bookmarkStart w:id="2347" w:name="_Toc15073"/>
      <w:bookmarkStart w:id="2348" w:name="_Toc29923"/>
      <w:bookmarkStart w:id="2349" w:name="_Toc27271"/>
      <w:bookmarkStart w:id="2350" w:name="_Toc9730"/>
      <w:bookmarkStart w:id="2351" w:name="_Toc414290583"/>
      <w:bookmarkStart w:id="2352" w:name="_Toc27"/>
      <w:r>
        <w:rPr>
          <w:rFonts w:hint="eastAsia" w:ascii="宋体" w:hAnsi="宋体" w:eastAsia="宋体" w:cs="宋体"/>
          <w:b/>
          <w:color w:val="auto"/>
          <w:highlight w:val="none"/>
        </w:rPr>
        <w:t>（1）不符合附表一《资格审查表》规定的；</w:t>
      </w:r>
    </w:p>
    <w:p>
      <w:pPr>
        <w:tabs>
          <w:tab w:val="left" w:pos="1276"/>
        </w:tabs>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（2）不符合附表二《技术符合性评审表》规定的；</w:t>
      </w:r>
    </w:p>
    <w:p>
      <w:pPr>
        <w:tabs>
          <w:tab w:val="left" w:pos="1276"/>
        </w:tabs>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（3）不符合附表三《经济初步评审表》规定的；</w:t>
      </w:r>
    </w:p>
    <w:p>
      <w:pPr>
        <w:tabs>
          <w:tab w:val="left" w:pos="1276"/>
        </w:tabs>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（4）法定代表人未按规定出具授权委托书的(采用委托代理人形式的)；</w:t>
      </w:r>
    </w:p>
    <w:p>
      <w:pPr>
        <w:tabs>
          <w:tab w:val="left" w:pos="1276"/>
        </w:tabs>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（5）在比选申请文件中有虚假文件和/或资料的；</w:t>
      </w:r>
    </w:p>
    <w:p>
      <w:pPr>
        <w:tabs>
          <w:tab w:val="left" w:pos="1276"/>
        </w:tabs>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（6）比选申请文件中附有比选人不能接受的条件；</w:t>
      </w:r>
    </w:p>
    <w:p>
      <w:pPr>
        <w:tabs>
          <w:tab w:val="left" w:pos="1276"/>
        </w:tabs>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（7）比选申请文件实质上不响应比选文件的要求的；</w:t>
      </w:r>
    </w:p>
    <w:p>
      <w:pPr>
        <w:tabs>
          <w:tab w:val="left" w:pos="1276"/>
        </w:tabs>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（9）比选申请人扰乱会场秩序，经劝阻仍然无理取闹的；</w:t>
      </w:r>
    </w:p>
    <w:p>
      <w:pPr>
        <w:tabs>
          <w:tab w:val="left" w:pos="1276"/>
        </w:tabs>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hint="eastAsia" w:ascii="宋体" w:hAnsi="宋体" w:eastAsia="宋体" w:cs="宋体"/>
          <w:b/>
          <w:color w:val="auto"/>
          <w:highlight w:val="none"/>
        </w:rPr>
      </w:pPr>
      <w:r>
        <w:rPr>
          <w:rFonts w:hint="eastAsia" w:ascii="宋体" w:hAnsi="宋体" w:eastAsia="宋体" w:cs="宋体"/>
          <w:b/>
          <w:color w:val="auto"/>
          <w:highlight w:val="none"/>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hint="eastAsia" w:ascii="宋体" w:hAnsi="宋体" w:eastAsia="宋体" w:cs="宋体"/>
          <w:b/>
          <w:color w:val="auto"/>
          <w:highlight w:val="none"/>
        </w:rPr>
        <w:sectPr>
          <w:pgSz w:w="11905" w:h="16838"/>
          <w:pgMar w:top="1417" w:right="1417" w:bottom="1304" w:left="1417" w:header="454" w:footer="567" w:gutter="0"/>
          <w:pgNumType w:fmt="decimal"/>
          <w:cols w:space="0" w:num="1"/>
          <w:rtlGutter w:val="0"/>
          <w:docGrid w:linePitch="312" w:charSpace="0"/>
        </w:sectPr>
      </w:pPr>
    </w:p>
    <w:p>
      <w:pPr>
        <w:pStyle w:val="4"/>
        <w:spacing w:after="0" w:line="360" w:lineRule="auto"/>
        <w:ind w:right="-57" w:firstLine="0"/>
        <w:rPr>
          <w:color w:val="auto"/>
          <w:sz w:val="21"/>
          <w:szCs w:val="21"/>
          <w:highlight w:val="none"/>
        </w:rPr>
      </w:pPr>
      <w:bookmarkStart w:id="2353" w:name="_Toc21548"/>
      <w:bookmarkStart w:id="2354" w:name="_Toc3448"/>
      <w:bookmarkStart w:id="2355" w:name="_Toc29952"/>
      <w:bookmarkStart w:id="2356" w:name="_Toc18395"/>
      <w:bookmarkStart w:id="2357" w:name="_Toc29820"/>
      <w:r>
        <w:rPr>
          <w:rFonts w:hint="eastAsia"/>
          <w:color w:val="auto"/>
          <w:sz w:val="21"/>
          <w:szCs w:val="21"/>
          <w:highlight w:val="none"/>
        </w:rPr>
        <w:t>附表一 资格审查表</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snapToGrid w:val="0"/>
        <w:spacing w:before="0" w:line="360" w:lineRule="exact"/>
        <w:ind w:left="420" w:right="240" w:firstLine="0"/>
        <w:jc w:val="center"/>
        <w:rPr>
          <w:rFonts w:ascii="宋体" w:hAnsi="宋体"/>
          <w:b/>
          <w:color w:val="auto"/>
          <w:sz w:val="24"/>
          <w:szCs w:val="24"/>
          <w:highlight w:val="none"/>
        </w:rPr>
      </w:pPr>
      <w:bookmarkStart w:id="2358" w:name="_Toc8551"/>
      <w:r>
        <w:rPr>
          <w:rFonts w:hint="eastAsia" w:ascii="宋体" w:hAnsi="宋体"/>
          <w:b/>
          <w:color w:val="auto"/>
          <w:sz w:val="24"/>
          <w:szCs w:val="24"/>
          <w:highlight w:val="none"/>
        </w:rPr>
        <w:t>资格审查表</w:t>
      </w:r>
      <w:bookmarkEnd w:id="2358"/>
    </w:p>
    <w:tbl>
      <w:tblPr>
        <w:tblStyle w:val="33"/>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076" w:type="dxa"/>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项目内容</w:t>
            </w:r>
          </w:p>
        </w:tc>
        <w:tc>
          <w:tcPr>
            <w:tcW w:w="2873" w:type="dxa"/>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合格条件标准</w:t>
            </w:r>
          </w:p>
        </w:tc>
        <w:tc>
          <w:tcPr>
            <w:tcW w:w="1379" w:type="dxa"/>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评审依据</w:t>
            </w:r>
          </w:p>
        </w:tc>
        <w:tc>
          <w:tcPr>
            <w:tcW w:w="1094" w:type="dxa"/>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评审结果（合格/不合格）</w:t>
            </w:r>
          </w:p>
        </w:tc>
        <w:tc>
          <w:tcPr>
            <w:tcW w:w="2401" w:type="dxa"/>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076"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身份证明材料</w:t>
            </w:r>
          </w:p>
        </w:tc>
        <w:tc>
          <w:tcPr>
            <w:tcW w:w="2873"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法定代表人授权书，法定代表人资格证明书和身份证复印件</w:t>
            </w:r>
          </w:p>
        </w:tc>
        <w:tc>
          <w:tcPr>
            <w:tcW w:w="1094"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p>
        </w:tc>
        <w:tc>
          <w:tcPr>
            <w:tcW w:w="2401"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076"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比选申请人资格</w:t>
            </w:r>
          </w:p>
        </w:tc>
        <w:tc>
          <w:tcPr>
            <w:tcW w:w="2873" w:type="dxa"/>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比选申请人为中华人民共和国境内依法设立的法人或其他组织（若以分公司名义参与比选申请，必须出具总公司授权参与的证明。），经营范围至少包括下列范围之一：①计算机技术开发、咨询、转让，②电子信息技术，③计算机网络设备，④信息技术开发、咨询、转让、推广服务，⑤计算机软硬件，⑥系统集成的技术咨询、技术服务、技术开发。⑦信息系统集成等类似经营范围。</w:t>
            </w:r>
          </w:p>
          <w:p>
            <w:pPr>
              <w:pStyle w:val="32"/>
              <w:keepNext w:val="0"/>
              <w:keepLines w:val="0"/>
              <w:widowControl/>
              <w:suppressLineNumbers w:val="0"/>
              <w:spacing w:beforeAutospacing="0"/>
              <w:ind w:left="0" w:leftChars="0" w:firstLine="0" w:firstLineChars="0"/>
              <w:rPr>
                <w:rFonts w:hint="default" w:ascii="宋体" w:hAnsi="宋体" w:eastAsia="宋体" w:cs="宋体"/>
                <w:color w:val="auto"/>
                <w:highlight w:val="none"/>
              </w:rPr>
            </w:pP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）比选申请人</w:t>
            </w:r>
            <w:r>
              <w:rPr>
                <w:rFonts w:hint="eastAsia" w:ascii="宋体" w:hAnsi="宋体" w:eastAsia="宋体" w:cs="宋体"/>
                <w:color w:val="auto"/>
                <w:highlight w:val="none"/>
              </w:rPr>
              <w:t>未列入不良信用名单的</w:t>
            </w:r>
          </w:p>
          <w:p>
            <w:pPr>
              <w:keepNext w:val="0"/>
              <w:keepLines w:val="0"/>
              <w:widowControl/>
              <w:suppressLineNumbers w:val="0"/>
              <w:spacing w:before="0" w:beforeAutospacing="0" w:after="0" w:afterAutospacing="0" w:line="240" w:lineRule="auto"/>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tc>
        <w:tc>
          <w:tcPr>
            <w:tcW w:w="1379" w:type="dxa"/>
            <w:vAlign w:val="center"/>
          </w:tcPr>
          <w:p>
            <w:pPr>
              <w:keepNext w:val="0"/>
              <w:keepLines w:val="0"/>
              <w:widowControl/>
              <w:suppressLineNumbers w:val="0"/>
              <w:spacing w:before="0" w:beforeAutospacing="0" w:after="0" w:afterAutospacing="0" w:line="240" w:lineRule="auto"/>
              <w:ind w:left="0" w:right="0" w:firstLine="0"/>
              <w:rPr>
                <w:rFonts w:hint="default" w:ascii="宋体" w:hAnsi="宋体" w:eastAsia="宋体" w:cs="宋体"/>
                <w:color w:val="auto"/>
                <w:highlight w:val="none"/>
              </w:rPr>
            </w:pPr>
            <w:r>
              <w:rPr>
                <w:rFonts w:hint="eastAsia" w:ascii="宋体" w:hAnsi="宋体" w:eastAsia="宋体" w:cs="宋体"/>
                <w:color w:val="auto"/>
                <w:highlight w:val="none"/>
              </w:rPr>
              <w:t>（1）营业执照副本或事业单位法人证书等证明文件。</w:t>
            </w:r>
          </w:p>
          <w:p>
            <w:pPr>
              <w:pStyle w:val="32"/>
              <w:keepNext w:val="0"/>
              <w:keepLines w:val="0"/>
              <w:widowControl/>
              <w:suppressLineNumbers w:val="0"/>
              <w:spacing w:beforeAutospacing="0"/>
              <w:ind w:left="0" w:leftChars="0" w:firstLine="0" w:firstLineChars="0"/>
              <w:rPr>
                <w:rFonts w:hint="default" w:ascii="宋体" w:hAnsi="宋体" w:eastAsia="宋体" w:cs="宋体"/>
                <w:color w:val="auto"/>
                <w:highlight w:val="none"/>
              </w:rPr>
            </w:pP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）比选</w:t>
            </w:r>
            <w:r>
              <w:rPr>
                <w:rFonts w:hint="eastAsia" w:ascii="宋体" w:hAnsi="宋体" w:eastAsia="宋体" w:cs="宋体"/>
                <w:color w:val="auto"/>
                <w:highlight w:val="none"/>
              </w:rPr>
              <w:t>人提供的不良信用名单</w:t>
            </w:r>
          </w:p>
        </w:tc>
        <w:tc>
          <w:tcPr>
            <w:tcW w:w="1094"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p>
        </w:tc>
        <w:tc>
          <w:tcPr>
            <w:tcW w:w="2401" w:type="dxa"/>
            <w:vAlign w:val="center"/>
          </w:tcPr>
          <w:p>
            <w:pPr>
              <w:keepNext w:val="0"/>
              <w:keepLines w:val="0"/>
              <w:widowControl/>
              <w:suppressLineNumbers w:val="0"/>
              <w:spacing w:before="0" w:beforeAutospacing="0" w:after="0" w:afterAutospacing="0" w:line="240" w:lineRule="auto"/>
              <w:ind w:left="0" w:right="0" w:firstLine="0"/>
              <w:rPr>
                <w:rFonts w:hint="default" w:ascii="宋体" w:hAnsi="宋体" w:eastAsia="宋体" w:cs="宋体"/>
                <w:color w:val="auto"/>
                <w:highlight w:val="none"/>
              </w:rPr>
            </w:pPr>
            <w:r>
              <w:rPr>
                <w:rFonts w:hint="eastAsia" w:ascii="宋体" w:hAnsi="宋体" w:eastAsia="宋体" w:cs="宋体"/>
                <w:color w:val="auto"/>
                <w:highlight w:val="none"/>
              </w:rPr>
              <w:t>（1）比选申请人有效的营业执照或事业单位法人证书复印件等证明文件，并加盖公章。</w:t>
            </w:r>
          </w:p>
          <w:p>
            <w:pPr>
              <w:pStyle w:val="32"/>
              <w:keepNext w:val="0"/>
              <w:keepLines w:val="0"/>
              <w:widowControl/>
              <w:suppressLineNumbers w:val="0"/>
              <w:spacing w:beforeAutospacing="0"/>
              <w:rPr>
                <w:rFonts w:hint="default"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3</w:t>
            </w:r>
          </w:p>
        </w:tc>
        <w:tc>
          <w:tcPr>
            <w:tcW w:w="1076"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default" w:ascii="Times New Roman" w:hAnsi="Times New Roman" w:cs="Times New Roman"/>
                <w:color w:val="auto"/>
                <w:szCs w:val="21"/>
                <w:highlight w:val="none"/>
              </w:rPr>
              <w:t>企业业绩</w:t>
            </w:r>
          </w:p>
        </w:tc>
        <w:tc>
          <w:tcPr>
            <w:tcW w:w="2873" w:type="dxa"/>
            <w:vAlign w:val="center"/>
          </w:tcPr>
          <w:p>
            <w:pPr>
              <w:keepNext w:val="0"/>
              <w:keepLines w:val="0"/>
              <w:widowControl/>
              <w:suppressLineNumbers w:val="0"/>
              <w:spacing w:before="0" w:beforeAutospacing="0" w:after="0" w:afterAutospacing="0" w:line="240" w:lineRule="auto"/>
              <w:ind w:left="0" w:right="0" w:firstLine="420" w:firstLineChars="200"/>
              <w:rPr>
                <w:rFonts w:hint="eastAsia" w:ascii="宋体" w:hAnsi="宋体" w:eastAsia="宋体" w:cs="宋体"/>
                <w:color w:val="auto"/>
                <w:highlight w:val="none"/>
              </w:rPr>
            </w:pPr>
            <w:r>
              <w:rPr>
                <w:rFonts w:hint="eastAsia" w:hAnsi="宋体"/>
                <w:color w:val="auto"/>
                <w:sz w:val="21"/>
                <w:szCs w:val="21"/>
                <w:lang w:val="en-US" w:eastAsia="zh-CN"/>
              </w:rPr>
              <w:t>比选申请人自2021年1月1日至截标时间前至少有1项合同金额为50万元及以上的类似业绩，类似业绩是指网络核心交换机维保维修服务项目业绩。</w:t>
            </w:r>
          </w:p>
        </w:tc>
        <w:tc>
          <w:tcPr>
            <w:tcW w:w="1379" w:type="dxa"/>
            <w:vAlign w:val="center"/>
          </w:tcPr>
          <w:p>
            <w:pPr>
              <w:pStyle w:val="32"/>
              <w:keepNext w:val="0"/>
              <w:keepLines w:val="0"/>
              <w:widowControl/>
              <w:suppressLineNumbers w:val="0"/>
              <w:spacing w:beforeAutospacing="0"/>
              <w:ind w:left="0" w:leftChars="0" w:firstLine="0" w:firstLineChars="0"/>
              <w:rPr>
                <w:rFonts w:hint="default" w:ascii="宋体" w:hAnsi="宋体" w:eastAsia="宋体" w:cs="宋体"/>
                <w:color w:val="auto"/>
                <w:highlight w:val="none"/>
                <w:lang w:val="en-US" w:eastAsia="zh-CN"/>
              </w:rPr>
            </w:pPr>
            <w:r>
              <w:rPr>
                <w:rFonts w:hint="eastAsia" w:hAnsi="宋体"/>
                <w:color w:val="auto"/>
                <w:sz w:val="21"/>
                <w:szCs w:val="21"/>
                <w:lang w:val="en-US" w:eastAsia="zh-CN"/>
              </w:rPr>
              <w:t>比选申请人</w:t>
            </w:r>
            <w:r>
              <w:rPr>
                <w:rFonts w:hint="default" w:ascii="Times New Roman" w:hAnsi="Times New Roman" w:cs="Times New Roman"/>
                <w:color w:val="auto"/>
                <w:highlight w:val="none"/>
              </w:rPr>
              <w:t>类似项目业绩表，同时投标人须提供业绩证明文件：合同复印件，证明文件中须体现出合同双方、合同签订时间、合同金额（或数量）、反映业绩特征的内容等，否则视为无效证明文件</w:t>
            </w:r>
            <w:r>
              <w:rPr>
                <w:rFonts w:hint="default" w:ascii="Times New Roman" w:hAnsi="Times New Roman" w:cs="Times New Roman"/>
                <w:color w:val="auto"/>
                <w:szCs w:val="21"/>
                <w:highlight w:val="none"/>
              </w:rPr>
              <w:t>。</w:t>
            </w:r>
          </w:p>
        </w:tc>
        <w:tc>
          <w:tcPr>
            <w:tcW w:w="1094"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p>
        </w:tc>
        <w:tc>
          <w:tcPr>
            <w:tcW w:w="2401" w:type="dxa"/>
            <w:vAlign w:val="center"/>
          </w:tcPr>
          <w:p>
            <w:pPr>
              <w:pStyle w:val="32"/>
              <w:keepNext w:val="0"/>
              <w:keepLines w:val="0"/>
              <w:widowControl/>
              <w:suppressLineNumbers w:val="0"/>
              <w:spacing w:beforeAutospacing="0"/>
              <w:rPr>
                <w:rFonts w:hint="default"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keepNext w:val="0"/>
              <w:keepLines w:val="0"/>
              <w:widowControl/>
              <w:suppressLineNumbers w:val="0"/>
              <w:spacing w:before="0" w:beforeAutospacing="0" w:after="0" w:afterAutospacing="0"/>
              <w:ind w:left="0" w:right="0" w:firstLine="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4</w:t>
            </w:r>
          </w:p>
        </w:tc>
        <w:tc>
          <w:tcPr>
            <w:tcW w:w="1076"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承诺书</w:t>
            </w:r>
          </w:p>
        </w:tc>
        <w:tc>
          <w:tcPr>
            <w:tcW w:w="2873"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sz w:val="21"/>
                <w:szCs w:val="21"/>
                <w:highlight w:val="none"/>
              </w:rPr>
              <w:t>比选申请人没有处于被责令停业，或投标资格被住建部、国家安监总局、广西区或南宁市建设行政主管部门取消，或财产被接管、破产状态；在投标截止前3年内没有骗取中标、严重违约或重大安全质量事故</w:t>
            </w:r>
            <w:r>
              <w:rPr>
                <w:rFonts w:hint="eastAsia" w:ascii="宋体" w:hAnsi="宋体" w:eastAsia="宋体" w:cs="宋体"/>
                <w:color w:val="auto"/>
                <w:highlight w:val="none"/>
              </w:rPr>
              <w:t>。</w:t>
            </w:r>
          </w:p>
        </w:tc>
        <w:tc>
          <w:tcPr>
            <w:tcW w:w="1379"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承诺书原件</w:t>
            </w:r>
          </w:p>
        </w:tc>
        <w:tc>
          <w:tcPr>
            <w:tcW w:w="1094"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p>
        </w:tc>
        <w:tc>
          <w:tcPr>
            <w:tcW w:w="2401"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按规定格式提供承诺书</w:t>
            </w:r>
          </w:p>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keepNext w:val="0"/>
              <w:keepLines w:val="0"/>
              <w:widowControl/>
              <w:suppressLineNumbers w:val="0"/>
              <w:spacing w:before="0" w:beforeAutospacing="0" w:after="0" w:afterAutospacing="0" w:line="276" w:lineRule="auto"/>
              <w:ind w:left="0" w:leftChars="0" w:right="0" w:rightChars="0" w:firstLine="0" w:firstLineChars="0"/>
              <w:rPr>
                <w:rFonts w:hint="default" w:ascii="宋体" w:hAnsi="宋体" w:eastAsia="宋体" w:cs="宋体"/>
                <w:color w:val="auto"/>
                <w:sz w:val="21"/>
                <w:szCs w:val="21"/>
                <w:highlight w:val="none"/>
                <w:lang w:val="en-US" w:eastAsia="zh-CN" w:bidi="ar-SA"/>
              </w:rPr>
            </w:pPr>
            <w:r>
              <w:rPr>
                <w:rFonts w:hint="eastAsia" w:ascii="宋体" w:hAnsi="宋体" w:cs="宋体"/>
                <w:color w:val="auto"/>
                <w:highlight w:val="none"/>
                <w:lang w:val="en-US" w:eastAsia="zh-CN"/>
              </w:rPr>
              <w:t>5</w:t>
            </w:r>
          </w:p>
        </w:tc>
        <w:tc>
          <w:tcPr>
            <w:tcW w:w="1076" w:type="dxa"/>
            <w:vAlign w:val="center"/>
          </w:tcPr>
          <w:p>
            <w:pPr>
              <w:keepNext w:val="0"/>
              <w:keepLines w:val="0"/>
              <w:widowControl/>
              <w:suppressLineNumbers w:val="0"/>
              <w:spacing w:before="0" w:beforeAutospacing="0" w:after="0" w:afterAutospacing="0" w:line="276" w:lineRule="auto"/>
              <w:ind w:left="0" w:leftChars="0" w:right="0" w:rightChars="0" w:firstLine="0" w:firstLineChars="0"/>
              <w:rPr>
                <w:rFonts w:hint="default" w:ascii="宋体" w:hAnsi="宋体" w:eastAsia="宋体" w:cs="宋体"/>
                <w:color w:val="auto"/>
                <w:sz w:val="21"/>
                <w:szCs w:val="21"/>
                <w:highlight w:val="none"/>
                <w:lang w:val="en-US" w:eastAsia="zh-CN" w:bidi="ar-SA"/>
              </w:rPr>
            </w:pPr>
            <w:r>
              <w:rPr>
                <w:rFonts w:hint="eastAsia" w:ascii="宋体" w:hAnsi="宋体" w:eastAsia="宋体" w:cs="宋体"/>
                <w:color w:val="auto"/>
                <w:highlight w:val="none"/>
              </w:rPr>
              <w:t>联合体</w:t>
            </w:r>
          </w:p>
        </w:tc>
        <w:tc>
          <w:tcPr>
            <w:tcW w:w="2873" w:type="dxa"/>
            <w:vAlign w:val="center"/>
          </w:tcPr>
          <w:p>
            <w:pPr>
              <w:keepNext w:val="0"/>
              <w:keepLines w:val="0"/>
              <w:widowControl/>
              <w:suppressLineNumbers w:val="0"/>
              <w:spacing w:before="0" w:beforeAutospacing="0" w:after="0" w:afterAutospacing="0" w:line="276" w:lineRule="auto"/>
              <w:ind w:left="0" w:leftChars="0" w:right="0" w:rightChars="0" w:firstLine="0" w:firstLineChars="0"/>
              <w:rPr>
                <w:rFonts w:hint="default" w:ascii="宋体" w:hAnsi="宋体" w:eastAsia="宋体" w:cs="宋体"/>
                <w:color w:val="auto"/>
                <w:sz w:val="21"/>
                <w:szCs w:val="21"/>
                <w:highlight w:val="none"/>
                <w:lang w:val="en-US" w:eastAsia="zh-CN" w:bidi="ar-SA"/>
              </w:rPr>
            </w:pPr>
            <w:r>
              <w:rPr>
                <w:rFonts w:hint="eastAsia" w:ascii="宋体" w:hAnsi="宋体" w:eastAsia="宋体" w:cs="宋体"/>
                <w:color w:val="auto"/>
                <w:highlight w:val="none"/>
                <w:lang w:val="en-US" w:eastAsia="zh-CN"/>
              </w:rPr>
              <w:t>比选申请人</w:t>
            </w:r>
            <w:r>
              <w:rPr>
                <w:rFonts w:hint="eastAsia" w:ascii="宋体" w:hAnsi="宋体" w:eastAsia="宋体" w:cs="宋体"/>
                <w:color w:val="auto"/>
                <w:highlight w:val="none"/>
              </w:rPr>
              <w:t>非联合体</w:t>
            </w:r>
            <w:r>
              <w:rPr>
                <w:rFonts w:hint="eastAsia" w:ascii="宋体" w:hAnsi="宋体" w:eastAsia="宋体" w:cs="宋体"/>
                <w:color w:val="auto"/>
                <w:highlight w:val="none"/>
                <w:lang w:val="en-US" w:eastAsia="zh-CN"/>
              </w:rPr>
              <w:t>比选申请</w:t>
            </w:r>
          </w:p>
        </w:tc>
        <w:tc>
          <w:tcPr>
            <w:tcW w:w="1379" w:type="dxa"/>
            <w:vAlign w:val="center"/>
          </w:tcPr>
          <w:p>
            <w:pPr>
              <w:keepNext w:val="0"/>
              <w:keepLines w:val="0"/>
              <w:widowControl/>
              <w:suppressLineNumbers w:val="0"/>
              <w:spacing w:before="0" w:beforeAutospacing="0" w:after="0" w:afterAutospacing="0" w:line="276" w:lineRule="auto"/>
              <w:ind w:left="0" w:leftChars="0" w:right="0" w:rightChars="0" w:firstLine="0" w:firstLineChars="0"/>
              <w:rPr>
                <w:rFonts w:hint="default"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本项目不接受联合体比选申请</w:t>
            </w:r>
          </w:p>
        </w:tc>
        <w:tc>
          <w:tcPr>
            <w:tcW w:w="1094"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p>
        </w:tc>
        <w:tc>
          <w:tcPr>
            <w:tcW w:w="2401" w:type="dxa"/>
            <w:vAlign w:val="center"/>
          </w:tcPr>
          <w:p>
            <w:pPr>
              <w:keepNext w:val="0"/>
              <w:keepLines w:val="0"/>
              <w:widowControl/>
              <w:suppressLineNumbers w:val="0"/>
              <w:spacing w:before="0" w:beforeAutospacing="0" w:after="0" w:afterAutospacing="0" w:line="240" w:lineRule="auto"/>
              <w:ind w:left="0" w:right="0" w:firstLine="0"/>
              <w:rPr>
                <w:rFonts w:hint="eastAsia" w:ascii="宋体" w:hAnsi="宋体" w:eastAsia="宋体" w:cs="宋体"/>
                <w:color w:val="auto"/>
                <w:highlight w:val="none"/>
              </w:rPr>
            </w:pPr>
          </w:p>
        </w:tc>
      </w:tr>
    </w:tbl>
    <w:p>
      <w:pPr>
        <w:snapToGrid w:val="0"/>
        <w:spacing w:before="0" w:after="0" w:afterAutospacing="0" w:line="240" w:lineRule="auto"/>
        <w:ind w:left="0" w:right="0" w:firstLine="0"/>
        <w:rPr>
          <w:rFonts w:hint="eastAsia" w:ascii="宋体" w:hAnsi="宋体" w:eastAsia="宋体" w:cs="宋体"/>
          <w:b/>
          <w:color w:val="auto"/>
          <w:highlight w:val="none"/>
        </w:rPr>
      </w:pPr>
    </w:p>
    <w:p>
      <w:pPr>
        <w:snapToGrid w:val="0"/>
        <w:spacing w:before="0" w:after="0" w:afterAutospacing="0" w:line="240" w:lineRule="auto"/>
        <w:ind w:left="0" w:right="0" w:firstLine="0"/>
        <w:rPr>
          <w:rFonts w:hint="eastAsia" w:ascii="宋体" w:hAnsi="宋体" w:eastAsia="宋体" w:cs="宋体"/>
          <w:b/>
          <w:color w:val="auto"/>
          <w:highlight w:val="none"/>
        </w:rPr>
      </w:pPr>
      <w:r>
        <w:rPr>
          <w:rFonts w:hint="eastAsia" w:ascii="宋体" w:hAnsi="宋体" w:eastAsia="宋体" w:cs="宋体"/>
          <w:b/>
          <w:color w:val="auto"/>
          <w:highlight w:val="none"/>
        </w:rPr>
        <w:t>注：</w:t>
      </w:r>
    </w:p>
    <w:p>
      <w:pPr>
        <w:snapToGrid w:val="0"/>
        <w:spacing w:before="0" w:after="0" w:afterAutospacing="0" w:line="240" w:lineRule="auto"/>
        <w:ind w:left="0" w:right="0" w:firstLine="0"/>
        <w:rPr>
          <w:rFonts w:hint="eastAsia" w:ascii="宋体" w:hAnsi="宋体" w:eastAsia="宋体" w:cs="宋体"/>
          <w:b/>
          <w:color w:val="auto"/>
          <w:highlight w:val="none"/>
        </w:rPr>
      </w:pPr>
      <w:r>
        <w:rPr>
          <w:rFonts w:hint="eastAsia" w:ascii="宋体" w:hAnsi="宋体" w:eastAsia="宋体" w:cs="宋体"/>
          <w:b/>
          <w:color w:val="auto"/>
          <w:highlight w:val="none"/>
        </w:rPr>
        <w:t>1.以上所有证明资料原件备查。</w:t>
      </w:r>
    </w:p>
    <w:p>
      <w:pPr>
        <w:snapToGrid w:val="0"/>
        <w:spacing w:before="0" w:after="0" w:afterAutospacing="0" w:line="240" w:lineRule="auto"/>
        <w:ind w:left="0" w:right="0" w:firstLine="0"/>
        <w:rPr>
          <w:rFonts w:hint="eastAsia" w:ascii="宋体" w:hAnsi="宋体" w:eastAsia="宋体" w:cs="宋体"/>
          <w:b/>
          <w:color w:val="auto"/>
          <w:highlight w:val="none"/>
        </w:rPr>
      </w:pPr>
      <w:r>
        <w:rPr>
          <w:rFonts w:hint="eastAsia" w:ascii="宋体" w:hAnsi="宋体" w:eastAsia="宋体" w:cs="宋体"/>
          <w:b/>
          <w:color w:val="auto"/>
          <w:highlight w:val="none"/>
        </w:rPr>
        <w:t>2.比选申请人如未通过上述资格审查，则作比选申请被否决处理并不得进入下一阶段评审。</w:t>
      </w:r>
    </w:p>
    <w:p>
      <w:pPr>
        <w:pStyle w:val="4"/>
        <w:spacing w:after="0" w:line="360" w:lineRule="auto"/>
        <w:ind w:right="-57" w:firstLine="0"/>
        <w:rPr>
          <w:color w:val="auto"/>
          <w:sz w:val="24"/>
          <w:szCs w:val="24"/>
          <w:highlight w:val="none"/>
        </w:rPr>
      </w:pPr>
      <w:r>
        <w:rPr>
          <w:rFonts w:hint="eastAsia" w:ascii="宋体" w:hAnsi="宋体" w:eastAsia="宋体" w:cs="宋体"/>
          <w:color w:val="auto"/>
          <w:sz w:val="21"/>
          <w:szCs w:val="21"/>
          <w:highlight w:val="none"/>
        </w:rPr>
        <w:br w:type="page"/>
      </w:r>
      <w:bookmarkStart w:id="2359" w:name="_Toc23981"/>
      <w:bookmarkStart w:id="2360" w:name="_Toc28576"/>
      <w:bookmarkStart w:id="2361" w:name="_Toc28493"/>
      <w:bookmarkStart w:id="2362" w:name="_Toc25750695"/>
      <w:bookmarkStart w:id="2363" w:name="_Toc19649"/>
      <w:bookmarkStart w:id="2364" w:name="_Toc7578"/>
      <w:bookmarkStart w:id="2365" w:name="_Toc23342"/>
      <w:bookmarkStart w:id="2366" w:name="_Toc9652"/>
      <w:bookmarkStart w:id="2367" w:name="_Toc439"/>
      <w:bookmarkStart w:id="2368" w:name="_Toc18421"/>
      <w:bookmarkStart w:id="2369" w:name="_Toc3409"/>
      <w:bookmarkStart w:id="2370" w:name="_Toc5737"/>
      <w:bookmarkStart w:id="2371" w:name="_Toc25123"/>
      <w:bookmarkStart w:id="2372" w:name="_Toc9343"/>
      <w:bookmarkStart w:id="2373" w:name="_Toc5811"/>
      <w:bookmarkStart w:id="2374" w:name="_Toc492478850"/>
      <w:bookmarkStart w:id="2375" w:name="_Toc191"/>
      <w:bookmarkStart w:id="2376" w:name="_Toc12984826"/>
      <w:bookmarkStart w:id="2377" w:name="_Toc15103"/>
      <w:bookmarkStart w:id="2378" w:name="_Toc29670"/>
      <w:bookmarkStart w:id="2379" w:name="_Toc1459"/>
      <w:bookmarkStart w:id="2380" w:name="_Toc8945"/>
      <w:bookmarkStart w:id="2381" w:name="_Toc20215"/>
      <w:bookmarkStart w:id="2382" w:name="_Toc12983557"/>
      <w:bookmarkStart w:id="2383" w:name="_Toc22635"/>
      <w:bookmarkStart w:id="2384" w:name="_Toc6102"/>
      <w:bookmarkStart w:id="2385" w:name="_Toc19299"/>
      <w:bookmarkStart w:id="2386" w:name="_Toc6612"/>
      <w:bookmarkStart w:id="2387" w:name="_Toc7852"/>
      <w:bookmarkStart w:id="2388" w:name="_Toc31487"/>
      <w:r>
        <w:rPr>
          <w:rFonts w:hint="eastAsia" w:eastAsia="宋体"/>
          <w:color w:val="auto"/>
          <w:sz w:val="21"/>
          <w:szCs w:val="21"/>
          <w:highlight w:val="none"/>
        </w:rPr>
        <w:t xml:space="preserve">附表二 </w:t>
      </w:r>
      <w:r>
        <w:rPr>
          <w:rFonts w:hint="eastAsia" w:eastAsia="宋体"/>
          <w:color w:val="auto"/>
          <w:sz w:val="21"/>
          <w:szCs w:val="21"/>
          <w:highlight w:val="none"/>
          <w:lang w:val="en-US" w:eastAsia="zh-CN"/>
        </w:rPr>
        <w:t>技术</w:t>
      </w:r>
      <w:r>
        <w:rPr>
          <w:rFonts w:hint="eastAsia" w:eastAsia="宋体"/>
          <w:color w:val="auto"/>
          <w:sz w:val="21"/>
          <w:szCs w:val="21"/>
          <w:highlight w:val="none"/>
        </w:rPr>
        <w:t>符合性评审表</w:t>
      </w:r>
      <w:bookmarkEnd w:id="2359"/>
      <w:bookmarkEnd w:id="2360"/>
      <w:bookmarkEnd w:id="2361"/>
      <w:bookmarkEnd w:id="2362"/>
      <w:bookmarkEnd w:id="2363"/>
      <w:bookmarkEnd w:id="2364"/>
      <w:bookmarkEnd w:id="2365"/>
      <w:bookmarkEnd w:id="2366"/>
      <w:bookmarkEnd w:id="2367"/>
      <w:bookmarkEnd w:id="2368"/>
    </w:p>
    <w:p>
      <w:pPr>
        <w:spacing w:before="0"/>
        <w:ind w:right="0" w:firstLine="0"/>
        <w:jc w:val="center"/>
        <w:rPr>
          <w:b/>
          <w:color w:val="auto"/>
          <w:sz w:val="24"/>
          <w:szCs w:val="24"/>
          <w:highlight w:val="none"/>
        </w:rPr>
      </w:pPr>
      <w:bookmarkStart w:id="2389" w:name="_Toc15437"/>
      <w:r>
        <w:rPr>
          <w:rFonts w:hint="eastAsia" w:hAnsi="宋体"/>
          <w:b/>
          <w:color w:val="auto"/>
          <w:sz w:val="24"/>
          <w:szCs w:val="24"/>
          <w:highlight w:val="none"/>
          <w:lang w:val="en-US" w:eastAsia="zh-CN"/>
        </w:rPr>
        <w:t>技术</w:t>
      </w:r>
      <w:r>
        <w:rPr>
          <w:rFonts w:hint="eastAsia" w:hAnsi="宋体"/>
          <w:b/>
          <w:color w:val="auto"/>
          <w:sz w:val="24"/>
          <w:szCs w:val="24"/>
          <w:highlight w:val="none"/>
        </w:rPr>
        <w:t>符合性</w:t>
      </w:r>
      <w:r>
        <w:rPr>
          <w:rFonts w:hAnsi="宋体"/>
          <w:b/>
          <w:color w:val="auto"/>
          <w:sz w:val="24"/>
          <w:szCs w:val="24"/>
          <w:highlight w:val="none"/>
        </w:rPr>
        <w:t>评审表</w:t>
      </w:r>
      <w:bookmarkEnd w:id="2389"/>
    </w:p>
    <w:tbl>
      <w:tblPr>
        <w:tblStyle w:val="33"/>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407"/>
        <w:gridCol w:w="1100"/>
        <w:gridCol w:w="82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keepNext w:val="0"/>
              <w:keepLines w:val="0"/>
              <w:widowControl/>
              <w:suppressLineNumbers w:val="0"/>
              <w:spacing w:beforeAutospacing="0"/>
              <w:ind w:left="0" w:leftChars="0" w:right="-27" w:righ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6407" w:type="dxa"/>
            <w:tcBorders>
              <w:top w:val="single" w:color="auto" w:sz="12" w:space="0"/>
            </w:tcBorders>
            <w:vAlign w:val="center"/>
          </w:tcPr>
          <w:p>
            <w:pPr>
              <w:keepNext w:val="0"/>
              <w:keepLines w:val="0"/>
              <w:widowControl/>
              <w:suppressLineNumbers w:val="0"/>
              <w:spacing w:beforeAutospacing="0"/>
              <w:ind w:left="0" w:leftChars="0" w:right="-27" w:righ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评审项目</w:t>
            </w:r>
          </w:p>
        </w:tc>
        <w:tc>
          <w:tcPr>
            <w:tcW w:w="1100" w:type="dxa"/>
            <w:tcBorders>
              <w:top w:val="single" w:color="auto" w:sz="12" w:space="0"/>
            </w:tcBorders>
            <w:vAlign w:val="top"/>
          </w:tcPr>
          <w:p>
            <w:pPr>
              <w:keepNext w:val="0"/>
              <w:keepLines w:val="0"/>
              <w:widowControl/>
              <w:suppressLineNumbers w:val="0"/>
              <w:spacing w:beforeAutospacing="0"/>
              <w:ind w:left="0" w:leftChars="0" w:right="-27" w:righ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评审结果</w:t>
            </w:r>
          </w:p>
        </w:tc>
        <w:tc>
          <w:tcPr>
            <w:tcW w:w="821" w:type="dxa"/>
            <w:tcBorders>
              <w:top w:val="single" w:color="auto" w:sz="12" w:space="0"/>
            </w:tcBorders>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keepNext w:val="0"/>
              <w:keepLines w:val="0"/>
              <w:widowControl/>
              <w:suppressLineNumbers w:val="0"/>
              <w:spacing w:beforeAutospacing="0"/>
              <w:ind w:left="0" w:leftChars="0" w:right="-27" w:righ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6407" w:type="dxa"/>
            <w:vAlign w:val="center"/>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比选申请文件按要求签字（或盖章）并加盖比选申请人单位公章的</w:t>
            </w:r>
          </w:p>
        </w:tc>
        <w:tc>
          <w:tcPr>
            <w:tcW w:w="1100" w:type="dxa"/>
            <w:vAlign w:val="top"/>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rPr>
            </w:pPr>
          </w:p>
        </w:tc>
        <w:tc>
          <w:tcPr>
            <w:tcW w:w="821" w:type="dxa"/>
            <w:vMerge w:val="restart"/>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keepNext w:val="0"/>
              <w:keepLines w:val="0"/>
              <w:widowControl/>
              <w:suppressLineNumbers w:val="0"/>
              <w:spacing w:beforeAutospacing="0"/>
              <w:ind w:left="0" w:leftChars="0" w:right="-27" w:righ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6407" w:type="dxa"/>
            <w:vAlign w:val="center"/>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比选申请人</w:t>
            </w:r>
            <w:r>
              <w:rPr>
                <w:rFonts w:hint="eastAsia" w:ascii="宋体" w:hAnsi="宋体" w:eastAsia="宋体" w:cs="宋体"/>
                <w:color w:val="auto"/>
                <w:highlight w:val="none"/>
              </w:rPr>
              <w:t>在资格审查文件或技术文件中未透露报价的信息。</w:t>
            </w:r>
          </w:p>
        </w:tc>
        <w:tc>
          <w:tcPr>
            <w:tcW w:w="1100" w:type="dxa"/>
            <w:vAlign w:val="top"/>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rPr>
            </w:pPr>
          </w:p>
        </w:tc>
        <w:tc>
          <w:tcPr>
            <w:tcW w:w="821" w:type="dxa"/>
            <w:vMerge w:val="continue"/>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keepNext w:val="0"/>
              <w:keepLines w:val="0"/>
              <w:widowControl/>
              <w:suppressLineNumbers w:val="0"/>
              <w:spacing w:beforeAutospacing="0"/>
              <w:ind w:left="0" w:leftChars="0" w:right="-27" w:righ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6407" w:type="dxa"/>
            <w:vAlign w:val="center"/>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在比选申请文件中无虚假文件或资料的</w:t>
            </w:r>
          </w:p>
        </w:tc>
        <w:tc>
          <w:tcPr>
            <w:tcW w:w="1100" w:type="dxa"/>
            <w:vAlign w:val="top"/>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rPr>
            </w:pPr>
          </w:p>
        </w:tc>
        <w:tc>
          <w:tcPr>
            <w:tcW w:w="821" w:type="dxa"/>
            <w:vMerge w:val="continue"/>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keepNext w:val="0"/>
              <w:keepLines w:val="0"/>
              <w:widowControl/>
              <w:suppressLineNumbers w:val="0"/>
              <w:spacing w:beforeAutospacing="0"/>
              <w:ind w:left="0" w:leftChars="0" w:right="-27" w:righ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6407" w:type="dxa"/>
            <w:vAlign w:val="center"/>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技术部分响应、偏离情况说明表无任意一项负偏离的</w:t>
            </w:r>
          </w:p>
        </w:tc>
        <w:tc>
          <w:tcPr>
            <w:tcW w:w="1100" w:type="dxa"/>
            <w:vAlign w:val="top"/>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rPr>
            </w:pPr>
          </w:p>
        </w:tc>
        <w:tc>
          <w:tcPr>
            <w:tcW w:w="821" w:type="dxa"/>
            <w:vMerge w:val="continue"/>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keepNext w:val="0"/>
              <w:keepLines w:val="0"/>
              <w:widowControl/>
              <w:suppressLineNumbers w:val="0"/>
              <w:spacing w:beforeAutospacing="0"/>
              <w:ind w:left="0" w:leftChars="0" w:right="-27" w:rightChars="0" w:firstLine="0" w:firstLineChars="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5</w:t>
            </w:r>
          </w:p>
        </w:tc>
        <w:tc>
          <w:tcPr>
            <w:tcW w:w="6407" w:type="dxa"/>
            <w:vAlign w:val="center"/>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商务响应表</w:t>
            </w:r>
            <w:r>
              <w:rPr>
                <w:rFonts w:hint="eastAsia" w:ascii="宋体" w:hAnsi="宋体" w:eastAsia="宋体" w:cs="宋体"/>
                <w:color w:val="auto"/>
                <w:highlight w:val="none"/>
                <w:lang w:val="en-US" w:eastAsia="zh-CN"/>
              </w:rPr>
              <w:t>无负偏离的</w:t>
            </w:r>
          </w:p>
        </w:tc>
        <w:tc>
          <w:tcPr>
            <w:tcW w:w="1100" w:type="dxa"/>
            <w:tcBorders>
              <w:bottom w:val="single" w:color="auto" w:sz="4" w:space="0"/>
            </w:tcBorders>
            <w:vAlign w:val="top"/>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rPr>
            </w:pPr>
          </w:p>
        </w:tc>
        <w:tc>
          <w:tcPr>
            <w:tcW w:w="821" w:type="dxa"/>
            <w:vMerge w:val="continue"/>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keepNext w:val="0"/>
              <w:keepLines w:val="0"/>
              <w:widowControl/>
              <w:suppressLineNumbers w:val="0"/>
              <w:spacing w:beforeAutospacing="0"/>
              <w:ind w:left="0" w:leftChars="0" w:right="-27" w:rightChars="0" w:firstLine="0" w:firstLineChars="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6</w:t>
            </w:r>
          </w:p>
        </w:tc>
        <w:tc>
          <w:tcPr>
            <w:tcW w:w="6407" w:type="dxa"/>
            <w:vAlign w:val="center"/>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比选申请文件按比选文件要求提供按期</w:t>
            </w:r>
            <w:r>
              <w:rPr>
                <w:rFonts w:hint="eastAsia" w:ascii="宋体" w:hAnsi="宋体" w:eastAsia="宋体" w:cs="宋体"/>
                <w:color w:val="auto"/>
                <w:highlight w:val="none"/>
                <w:lang w:val="en-US" w:eastAsia="zh-CN"/>
              </w:rPr>
              <w:t>完成</w:t>
            </w:r>
            <w:r>
              <w:rPr>
                <w:rFonts w:hint="eastAsia" w:ascii="宋体" w:hAnsi="宋体" w:eastAsia="宋体" w:cs="宋体"/>
                <w:color w:val="auto"/>
                <w:highlight w:val="none"/>
              </w:rPr>
              <w:t>承诺书的</w:t>
            </w:r>
          </w:p>
        </w:tc>
        <w:tc>
          <w:tcPr>
            <w:tcW w:w="1100" w:type="dxa"/>
            <w:tcBorders>
              <w:top w:val="single" w:color="auto" w:sz="4" w:space="0"/>
            </w:tcBorders>
            <w:vAlign w:val="top"/>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rPr>
            </w:pPr>
          </w:p>
        </w:tc>
        <w:tc>
          <w:tcPr>
            <w:tcW w:w="821" w:type="dxa"/>
            <w:vMerge w:val="continue"/>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keepNext w:val="0"/>
              <w:keepLines w:val="0"/>
              <w:widowControl/>
              <w:suppressLineNumbers w:val="0"/>
              <w:spacing w:beforeAutospacing="0"/>
              <w:ind w:left="0" w:leftChars="0" w:right="-27" w:righ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7</w:t>
            </w:r>
          </w:p>
        </w:tc>
        <w:tc>
          <w:tcPr>
            <w:tcW w:w="6407" w:type="dxa"/>
            <w:vAlign w:val="center"/>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比选申请文件按比选文件要求提供售后服务承诺书的</w:t>
            </w:r>
          </w:p>
        </w:tc>
        <w:tc>
          <w:tcPr>
            <w:tcW w:w="1100" w:type="dxa"/>
            <w:vAlign w:val="top"/>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rPr>
            </w:pPr>
          </w:p>
        </w:tc>
        <w:tc>
          <w:tcPr>
            <w:tcW w:w="821" w:type="dxa"/>
            <w:vMerge w:val="continue"/>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keepNext w:val="0"/>
              <w:keepLines w:val="0"/>
              <w:widowControl/>
              <w:suppressLineNumbers w:val="0"/>
              <w:spacing w:beforeAutospacing="0"/>
              <w:ind w:left="0" w:leftChars="0" w:right="-27" w:righ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8</w:t>
            </w:r>
          </w:p>
        </w:tc>
        <w:tc>
          <w:tcPr>
            <w:tcW w:w="6407" w:type="dxa"/>
            <w:vAlign w:val="center"/>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比选申请文件按比选文件</w:t>
            </w:r>
            <w:r>
              <w:rPr>
                <w:rFonts w:hint="eastAsia" w:ascii="宋体" w:hAnsi="宋体" w:eastAsia="宋体" w:cs="宋体"/>
                <w:color w:val="auto"/>
                <w:highlight w:val="none"/>
                <w:lang w:val="en-US" w:eastAsia="zh-CN"/>
              </w:rPr>
              <w:t>要求提供并满足</w:t>
            </w:r>
            <w:r>
              <w:rPr>
                <w:rFonts w:hint="eastAsia" w:ascii="宋体" w:hAnsi="宋体" w:eastAsia="宋体" w:cs="宋体"/>
                <w:color w:val="auto"/>
                <w:highlight w:val="none"/>
              </w:rPr>
              <w:t>维保服务人员配置</w:t>
            </w:r>
            <w:r>
              <w:rPr>
                <w:rFonts w:hint="eastAsia" w:ascii="宋体" w:hAnsi="宋体" w:eastAsia="宋体" w:cs="宋体"/>
                <w:color w:val="auto"/>
                <w:highlight w:val="none"/>
                <w:lang w:val="en-US" w:eastAsia="zh-CN"/>
              </w:rPr>
              <w:t>要求</w:t>
            </w:r>
            <w:r>
              <w:rPr>
                <w:rFonts w:hint="eastAsia" w:ascii="宋体" w:hAnsi="宋体" w:eastAsia="宋体" w:cs="宋体"/>
                <w:color w:val="auto"/>
                <w:highlight w:val="none"/>
                <w:lang w:eastAsia="zh-CN"/>
              </w:rPr>
              <w:t>的</w:t>
            </w:r>
          </w:p>
        </w:tc>
        <w:tc>
          <w:tcPr>
            <w:tcW w:w="1100" w:type="dxa"/>
            <w:vAlign w:val="top"/>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rPr>
            </w:pPr>
          </w:p>
        </w:tc>
        <w:tc>
          <w:tcPr>
            <w:tcW w:w="821" w:type="dxa"/>
            <w:vMerge w:val="continue"/>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keepNext w:val="0"/>
              <w:keepLines w:val="0"/>
              <w:widowControl/>
              <w:suppressLineNumbers w:val="0"/>
              <w:spacing w:beforeAutospacing="0"/>
              <w:ind w:left="0" w:leftChars="0" w:right="-27" w:righ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9</w:t>
            </w:r>
          </w:p>
        </w:tc>
        <w:tc>
          <w:tcPr>
            <w:tcW w:w="6407" w:type="dxa"/>
            <w:vAlign w:val="center"/>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无比选文件、法律、法规规定的其他否决比选申请条件</w:t>
            </w:r>
          </w:p>
        </w:tc>
        <w:tc>
          <w:tcPr>
            <w:tcW w:w="1100" w:type="dxa"/>
            <w:vAlign w:val="top"/>
          </w:tcPr>
          <w:p>
            <w:pPr>
              <w:keepNext w:val="0"/>
              <w:keepLines w:val="0"/>
              <w:widowControl/>
              <w:suppressLineNumbers w:val="0"/>
              <w:spacing w:beforeAutospacing="0"/>
              <w:ind w:left="0" w:leftChars="0" w:right="-27" w:rightChars="0" w:firstLine="0" w:firstLineChars="0"/>
              <w:rPr>
                <w:rFonts w:hint="eastAsia" w:ascii="宋体" w:hAnsi="宋体" w:eastAsia="宋体" w:cs="宋体"/>
                <w:color w:val="auto"/>
                <w:highlight w:val="none"/>
              </w:rPr>
            </w:pPr>
          </w:p>
        </w:tc>
        <w:tc>
          <w:tcPr>
            <w:tcW w:w="821" w:type="dxa"/>
            <w:vMerge w:val="continue"/>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bl>
    <w:p>
      <w:pPr>
        <w:spacing w:before="0" w:after="0" w:afterAutospacing="0"/>
        <w:ind w:left="0"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highlight w:val="none"/>
        </w:rPr>
        <w:t>注：1.评审结果填写合格打√，不合格打×，凡评审结果有一项不合格者，结论为不通过。</w:t>
      </w:r>
    </w:p>
    <w:p>
      <w:pPr>
        <w:spacing w:before="0"/>
        <w:ind w:right="0" w:firstLine="0"/>
        <w:jc w:val="center"/>
        <w:rPr>
          <w:rFonts w:hint="eastAsia" w:ascii="宋体" w:hAnsi="宋体" w:eastAsia="宋体" w:cs="宋体"/>
          <w:b/>
          <w:color w:val="auto"/>
          <w:sz w:val="21"/>
          <w:szCs w:val="21"/>
          <w:highlight w:val="none"/>
        </w:rPr>
      </w:pPr>
    </w:p>
    <w:p>
      <w:pPr>
        <w:spacing w:before="0"/>
        <w:ind w:right="0" w:firstLine="0"/>
        <w:jc w:val="left"/>
        <w:rPr>
          <w:rFonts w:hAnsi="宋体"/>
          <w:b/>
          <w:color w:val="auto"/>
          <w:sz w:val="24"/>
          <w:szCs w:val="24"/>
          <w:highlight w:val="none"/>
        </w:rPr>
      </w:pPr>
    </w:p>
    <w:p>
      <w:pPr>
        <w:pStyle w:val="16"/>
        <w:rPr>
          <w:rFonts w:hAnsi="宋体"/>
          <w:b/>
          <w:color w:val="auto"/>
          <w:sz w:val="24"/>
          <w:szCs w:val="24"/>
          <w:highlight w:val="none"/>
        </w:rPr>
      </w:pPr>
    </w:p>
    <w:p>
      <w:pPr>
        <w:rPr>
          <w:color w:val="auto"/>
          <w:highlight w:val="none"/>
        </w:rPr>
      </w:pPr>
    </w:p>
    <w:p>
      <w:pPr>
        <w:rPr>
          <w:rFonts w:hAnsi="宋体"/>
          <w:b/>
          <w:color w:val="auto"/>
          <w:sz w:val="24"/>
          <w:szCs w:val="24"/>
          <w:highlight w:val="none"/>
        </w:rPr>
      </w:pPr>
    </w:p>
    <w:p>
      <w:pPr>
        <w:pStyle w:val="16"/>
        <w:rPr>
          <w:rFonts w:hAnsi="宋体"/>
          <w:b/>
          <w:color w:val="auto"/>
          <w:sz w:val="24"/>
          <w:szCs w:val="24"/>
          <w:highlight w:val="none"/>
        </w:rPr>
      </w:pPr>
    </w:p>
    <w:p>
      <w:pPr>
        <w:rPr>
          <w:color w:val="auto"/>
          <w:highlight w:val="none"/>
        </w:rPr>
      </w:pPr>
    </w:p>
    <w:p>
      <w:pPr>
        <w:rPr>
          <w:rFonts w:hAnsi="宋体"/>
          <w:b/>
          <w:color w:val="auto"/>
          <w:sz w:val="24"/>
          <w:szCs w:val="24"/>
          <w:highlight w:val="none"/>
        </w:rPr>
      </w:pPr>
    </w:p>
    <w:p>
      <w:pPr>
        <w:rPr>
          <w:color w:val="auto"/>
          <w:highlight w:val="none"/>
        </w:rPr>
      </w:pPr>
      <w:r>
        <w:rPr>
          <w:color w:val="auto"/>
          <w:highlight w:val="none"/>
        </w:rPr>
        <w:br w:type="page"/>
      </w:r>
    </w:p>
    <w:p>
      <w:pPr>
        <w:spacing w:before="0"/>
        <w:ind w:right="0" w:firstLine="0"/>
        <w:jc w:val="left"/>
        <w:rPr>
          <w:b/>
          <w:color w:val="auto"/>
          <w:highlight w:val="none"/>
        </w:rPr>
      </w:pPr>
      <w:r>
        <w:rPr>
          <w:rFonts w:hint="default"/>
          <w:b/>
          <w:bCs w:val="0"/>
          <w:color w:val="auto"/>
          <w:highlight w:val="none"/>
        </w:rPr>
        <w:t>附表三</w:t>
      </w:r>
      <w:r>
        <w:rPr>
          <w:rFonts w:hint="default"/>
          <w:b/>
          <w:color w:val="auto"/>
          <w:highlight w:val="none"/>
        </w:rPr>
        <w:t>经济初步评审表</w:t>
      </w:r>
    </w:p>
    <w:p>
      <w:pPr>
        <w:spacing w:before="0"/>
        <w:ind w:right="0" w:firstLine="0"/>
        <w:jc w:val="center"/>
        <w:rPr>
          <w:b/>
          <w:color w:val="auto"/>
          <w:sz w:val="24"/>
          <w:szCs w:val="24"/>
          <w:highlight w:val="none"/>
        </w:rPr>
      </w:pPr>
      <w:r>
        <w:rPr>
          <w:rFonts w:hint="eastAsia" w:hAnsi="宋体"/>
          <w:b/>
          <w:color w:val="auto"/>
          <w:sz w:val="24"/>
          <w:szCs w:val="24"/>
          <w:highlight w:val="none"/>
        </w:rPr>
        <w:t>经济初步</w:t>
      </w:r>
      <w:r>
        <w:rPr>
          <w:rFonts w:hAnsi="宋体"/>
          <w:b/>
          <w:color w:val="auto"/>
          <w:sz w:val="24"/>
          <w:szCs w:val="24"/>
          <w:highlight w:val="none"/>
        </w:rPr>
        <w:t>评审表</w:t>
      </w:r>
    </w:p>
    <w:tbl>
      <w:tblPr>
        <w:tblStyle w:val="33"/>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6096" w:type="dxa"/>
            <w:tcBorders>
              <w:top w:val="single" w:color="auto" w:sz="12" w:space="0"/>
            </w:tcBorders>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评审项目</w:t>
            </w:r>
          </w:p>
        </w:tc>
        <w:tc>
          <w:tcPr>
            <w:tcW w:w="1134" w:type="dxa"/>
            <w:tcBorders>
              <w:top w:val="single" w:color="auto" w:sz="12" w:space="0"/>
            </w:tcBorders>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评审结果</w:t>
            </w:r>
          </w:p>
        </w:tc>
        <w:tc>
          <w:tcPr>
            <w:tcW w:w="1098" w:type="dxa"/>
            <w:tcBorders>
              <w:top w:val="single" w:color="auto" w:sz="12" w:space="0"/>
            </w:tcBorders>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6096" w:type="dxa"/>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r>
              <w:rPr>
                <w:rFonts w:hint="eastAsia" w:ascii="宋体" w:hAnsi="宋体" w:eastAsia="宋体" w:cs="宋体"/>
                <w:snapToGrid w:val="0"/>
                <w:color w:val="auto"/>
                <w:highlight w:val="none"/>
              </w:rPr>
              <w:t>比选申请文件按规定签署和盖章。</w:t>
            </w:r>
          </w:p>
        </w:tc>
        <w:tc>
          <w:tcPr>
            <w:tcW w:w="1134" w:type="dxa"/>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1098" w:type="dxa"/>
            <w:vMerge w:val="restart"/>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6096" w:type="dxa"/>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r>
              <w:rPr>
                <w:rFonts w:hint="eastAsia" w:ascii="宋体" w:hAnsi="宋体" w:eastAsia="宋体" w:cs="宋体"/>
                <w:snapToGrid w:val="0"/>
                <w:color w:val="auto"/>
                <w:highlight w:val="none"/>
              </w:rPr>
              <w:t>比选申请文件按规定的格式填写，内容齐全；</w:t>
            </w:r>
            <w:r>
              <w:rPr>
                <w:rFonts w:hint="eastAsia" w:ascii="宋体" w:hAnsi="宋体" w:eastAsia="宋体" w:cs="宋体"/>
                <w:color w:val="auto"/>
                <w:highlight w:val="none"/>
              </w:rPr>
              <w:t>比选申请函</w:t>
            </w:r>
            <w:r>
              <w:rPr>
                <w:rFonts w:hint="eastAsia" w:ascii="宋体" w:hAnsi="宋体" w:eastAsia="宋体" w:cs="宋体"/>
                <w:snapToGrid w:val="0"/>
                <w:color w:val="auto"/>
                <w:highlight w:val="none"/>
              </w:rPr>
              <w:t>中没有关键字迹模糊、无法辨认或含义不明确的（应按照比选文件规定第四章比选文件格式填写）。</w:t>
            </w:r>
          </w:p>
        </w:tc>
        <w:tc>
          <w:tcPr>
            <w:tcW w:w="1134" w:type="dxa"/>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1098" w:type="dxa"/>
            <w:vMerge w:val="continue"/>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6096" w:type="dxa"/>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r>
              <w:rPr>
                <w:rFonts w:hint="eastAsia" w:ascii="宋体" w:hAnsi="宋体" w:eastAsia="宋体" w:cs="宋体"/>
                <w:snapToGrid w:val="0"/>
                <w:color w:val="auto"/>
                <w:highlight w:val="none"/>
              </w:rPr>
              <w:t>比选申请有效期满足比选文件要求。</w:t>
            </w:r>
          </w:p>
        </w:tc>
        <w:tc>
          <w:tcPr>
            <w:tcW w:w="1134" w:type="dxa"/>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1098" w:type="dxa"/>
            <w:vMerge w:val="continue"/>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6096" w:type="dxa"/>
            <w:vAlign w:val="center"/>
          </w:tcPr>
          <w:p>
            <w:pPr>
              <w:keepNext w:val="0"/>
              <w:keepLines w:val="0"/>
              <w:widowControl/>
              <w:suppressLineNumbers w:val="0"/>
              <w:spacing w:beforeAutospacing="0"/>
              <w:ind w:left="0" w:firstLine="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比选报价未超过上限控制价或分项上限控制价的。</w:t>
            </w:r>
          </w:p>
        </w:tc>
        <w:tc>
          <w:tcPr>
            <w:tcW w:w="1134" w:type="dxa"/>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1098" w:type="dxa"/>
            <w:vMerge w:val="continue"/>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6096" w:type="dxa"/>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r>
              <w:rPr>
                <w:rFonts w:hint="eastAsia" w:ascii="宋体" w:hAnsi="宋体" w:eastAsia="宋体" w:cs="宋体"/>
                <w:snapToGrid w:val="0"/>
                <w:color w:val="auto"/>
                <w:highlight w:val="none"/>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1098" w:type="dxa"/>
            <w:vMerge w:val="continue"/>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6096" w:type="dxa"/>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r>
              <w:rPr>
                <w:rFonts w:hint="eastAsia" w:ascii="宋体" w:hAnsi="宋体" w:eastAsia="宋体" w:cs="宋体"/>
                <w:snapToGrid w:val="0"/>
                <w:color w:val="auto"/>
                <w:highlight w:val="none"/>
              </w:rPr>
              <w:t>比选报价固定，或同一方案无选择性报价。</w:t>
            </w:r>
          </w:p>
        </w:tc>
        <w:tc>
          <w:tcPr>
            <w:tcW w:w="1134" w:type="dxa"/>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1098" w:type="dxa"/>
            <w:vMerge w:val="continue"/>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6096" w:type="dxa"/>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r>
              <w:rPr>
                <w:rFonts w:hint="eastAsia" w:ascii="宋体" w:hAnsi="宋体" w:eastAsia="宋体" w:cs="宋体"/>
                <w:snapToGrid w:val="0"/>
                <w:color w:val="auto"/>
                <w:highlight w:val="none"/>
              </w:rPr>
              <w:t>工期或交货期满足比选文件要求。</w:t>
            </w:r>
          </w:p>
        </w:tc>
        <w:tc>
          <w:tcPr>
            <w:tcW w:w="1134" w:type="dxa"/>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1098" w:type="dxa"/>
            <w:vMerge w:val="continue"/>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6096" w:type="dxa"/>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r>
              <w:rPr>
                <w:rFonts w:hint="eastAsia" w:ascii="宋体" w:hAnsi="宋体" w:eastAsia="宋体" w:cs="宋体"/>
                <w:color w:val="auto"/>
                <w:highlight w:val="none"/>
              </w:rPr>
              <w:t>比选报价清单无缺、漏项。</w:t>
            </w:r>
          </w:p>
        </w:tc>
        <w:tc>
          <w:tcPr>
            <w:tcW w:w="1134" w:type="dxa"/>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1098" w:type="dxa"/>
            <w:vMerge w:val="continue"/>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9</w:t>
            </w:r>
          </w:p>
        </w:tc>
        <w:tc>
          <w:tcPr>
            <w:tcW w:w="6096" w:type="dxa"/>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r>
              <w:rPr>
                <w:rFonts w:hint="eastAsia" w:ascii="宋体" w:hAnsi="宋体" w:eastAsia="宋体" w:cs="宋体"/>
                <w:color w:val="auto"/>
                <w:highlight w:val="none"/>
              </w:rPr>
              <w:t>无比选文件、法律、法规规定的其他否决投标情况。</w:t>
            </w:r>
          </w:p>
        </w:tc>
        <w:tc>
          <w:tcPr>
            <w:tcW w:w="1134" w:type="dxa"/>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1098" w:type="dxa"/>
            <w:vMerge w:val="continue"/>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bl>
    <w:p>
      <w:pPr>
        <w:spacing w:before="0" w:after="0" w:afterAutospacing="0" w:line="276" w:lineRule="auto"/>
        <w:ind w:right="0" w:firstLine="0"/>
        <w:rPr>
          <w:rFonts w:hint="eastAsia" w:ascii="宋体" w:hAnsi="宋体" w:eastAsia="宋体" w:cs="宋体"/>
          <w:color w:val="auto"/>
          <w:highlight w:val="none"/>
        </w:rPr>
      </w:pPr>
      <w:r>
        <w:rPr>
          <w:rFonts w:hint="eastAsia" w:ascii="宋体" w:hAnsi="宋体" w:eastAsia="宋体" w:cs="宋体"/>
          <w:color w:val="auto"/>
          <w:highlight w:val="none"/>
        </w:rPr>
        <w:t>注：1.评审结果填写合格打√，不合格打×，凡评审结果有一项不合格者，结论为不通过。</w:t>
      </w:r>
    </w:p>
    <w:p>
      <w:pPr>
        <w:spacing w:before="0" w:after="0" w:afterAutospacing="0" w:line="276" w:lineRule="auto"/>
        <w:ind w:right="0" w:firstLine="200"/>
        <w:jc w:val="left"/>
        <w:rPr>
          <w:rFonts w:ascii="宋体" w:hAnsi="宋体"/>
          <w:b/>
          <w:color w:val="auto"/>
          <w:highlight w:val="none"/>
        </w:rPr>
        <w:sectPr>
          <w:pgSz w:w="11905" w:h="16838"/>
          <w:pgMar w:top="1417" w:right="1417" w:bottom="1304" w:left="1417" w:header="454" w:footer="567" w:gutter="0"/>
          <w:pgNumType w:fmt="decimal"/>
          <w:cols w:space="0" w:num="1"/>
          <w:rtlGutter w:val="0"/>
          <w:docGrid w:linePitch="319" w:charSpace="0"/>
        </w:sectPr>
      </w:pPr>
      <w:r>
        <w:rPr>
          <w:rFonts w:hint="eastAsia" w:ascii="宋体" w:hAnsi="宋体" w:eastAsia="宋体" w:cs="宋体"/>
          <w:color w:val="auto"/>
          <w:highlight w:val="none"/>
        </w:rPr>
        <w:t>2.“缺、漏项”是指比选申请人未按照招标人提供的清单项进行报价，比选申请人的报价清单中缺少某项清单或报价。</w:t>
      </w:r>
    </w:p>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Pr>
        <w:pStyle w:val="4"/>
        <w:spacing w:after="0" w:line="360" w:lineRule="auto"/>
        <w:ind w:right="-57" w:firstLine="0"/>
        <w:rPr>
          <w:b w:val="0"/>
          <w:color w:val="auto"/>
          <w:highlight w:val="none"/>
        </w:rPr>
      </w:pPr>
      <w:bookmarkStart w:id="2390" w:name="_Toc24908"/>
      <w:bookmarkStart w:id="2391" w:name="_Toc21541"/>
      <w:bookmarkStart w:id="2392" w:name="_Toc1480"/>
      <w:bookmarkStart w:id="2393" w:name="_Toc21349"/>
      <w:bookmarkStart w:id="2394" w:name="_Toc8801"/>
      <w:bookmarkStart w:id="2395" w:name="_Toc24793"/>
      <w:bookmarkStart w:id="2396" w:name="_Toc22896"/>
      <w:bookmarkStart w:id="2397" w:name="_Toc21822"/>
      <w:bookmarkStart w:id="2398" w:name="_Toc1314"/>
      <w:bookmarkStart w:id="2399" w:name="_Toc28656"/>
      <w:bookmarkStart w:id="2400" w:name="_Toc492478858"/>
      <w:bookmarkStart w:id="2401" w:name="_Toc10414"/>
      <w:bookmarkStart w:id="2402" w:name="_Toc5069"/>
      <w:bookmarkStart w:id="2403" w:name="_Toc11048"/>
      <w:bookmarkStart w:id="2404" w:name="_Toc8803"/>
      <w:bookmarkStart w:id="2405" w:name="_Toc9220"/>
      <w:bookmarkStart w:id="2406" w:name="_Toc1145"/>
      <w:bookmarkStart w:id="2407" w:name="_Toc23703"/>
      <w:bookmarkStart w:id="2408" w:name="_Toc414290588"/>
      <w:bookmarkStart w:id="2409" w:name="_Toc1673"/>
      <w:bookmarkStart w:id="2410" w:name="_Toc20211"/>
      <w:bookmarkStart w:id="2411" w:name="_Toc6960"/>
      <w:bookmarkStart w:id="2412" w:name="_Toc10654"/>
      <w:bookmarkStart w:id="2413" w:name="_Toc4223"/>
      <w:bookmarkStart w:id="2414" w:name="_Toc32725"/>
      <w:bookmarkStart w:id="2415" w:name="_Toc22594"/>
      <w:bookmarkStart w:id="2416" w:name="_Toc27431"/>
      <w:bookmarkStart w:id="2417" w:name="_Toc6932"/>
      <w:r>
        <w:rPr>
          <w:rFonts w:hint="eastAsia"/>
          <w:color w:val="auto"/>
          <w:sz w:val="21"/>
          <w:szCs w:val="21"/>
          <w:highlight w:val="none"/>
        </w:rPr>
        <w:t>附表</w:t>
      </w:r>
      <w:r>
        <w:rPr>
          <w:rFonts w:hint="eastAsia"/>
          <w:color w:val="auto"/>
          <w:sz w:val="21"/>
          <w:szCs w:val="21"/>
          <w:highlight w:val="none"/>
          <w:lang w:val="en-US" w:eastAsia="zh-CN"/>
        </w:rPr>
        <w:t>四</w:t>
      </w:r>
      <w:r>
        <w:rPr>
          <w:color w:val="auto"/>
          <w:sz w:val="21"/>
          <w:szCs w:val="21"/>
          <w:highlight w:val="none"/>
        </w:rPr>
        <w:t xml:space="preserve"> </w:t>
      </w:r>
      <w:r>
        <w:rPr>
          <w:rFonts w:hint="eastAsia"/>
          <w:color w:val="auto"/>
          <w:sz w:val="21"/>
          <w:szCs w:val="21"/>
          <w:highlight w:val="none"/>
        </w:rPr>
        <w:t>比选申请价格评审表</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spacing w:before="159"/>
        <w:ind w:right="-57" w:firstLine="0"/>
        <w:jc w:val="center"/>
        <w:rPr>
          <w:rFonts w:ascii="宋体" w:hAnsi="宋体"/>
          <w:b/>
          <w:color w:val="auto"/>
          <w:sz w:val="28"/>
          <w:szCs w:val="28"/>
          <w:highlight w:val="none"/>
        </w:rPr>
      </w:pPr>
      <w:bookmarkStart w:id="2418" w:name="_Toc27969"/>
      <w:r>
        <w:rPr>
          <w:rFonts w:hint="eastAsia" w:ascii="宋体" w:hAnsi="宋体"/>
          <w:b/>
          <w:color w:val="auto"/>
          <w:sz w:val="28"/>
          <w:szCs w:val="28"/>
          <w:highlight w:val="none"/>
        </w:rPr>
        <w:t>比选申请价格评审表</w:t>
      </w:r>
      <w:bookmarkEnd w:id="2418"/>
    </w:p>
    <w:tbl>
      <w:tblPr>
        <w:tblStyle w:val="33"/>
        <w:tblW w:w="138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370"/>
        <w:gridCol w:w="2552"/>
        <w:gridCol w:w="2410"/>
        <w:gridCol w:w="2551"/>
        <w:gridCol w:w="3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959"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237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比选申请人名称</w:t>
            </w:r>
          </w:p>
        </w:tc>
        <w:tc>
          <w:tcPr>
            <w:tcW w:w="2552"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修正前比选申请报价</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是否有修正</w:t>
            </w: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评审价（元）</w:t>
            </w:r>
          </w:p>
        </w:tc>
        <w:tc>
          <w:tcPr>
            <w:tcW w:w="30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370" w:type="dxa"/>
            <w:tcBorders>
              <w:left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552" w:type="dxa"/>
            <w:tcBorders>
              <w:left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959"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37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552"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370" w:type="dxa"/>
            <w:tcBorders>
              <w:left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552" w:type="dxa"/>
            <w:tcBorders>
              <w:left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370" w:type="dxa"/>
            <w:tcBorders>
              <w:left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552" w:type="dxa"/>
            <w:tcBorders>
              <w:left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370" w:type="dxa"/>
            <w:tcBorders>
              <w:left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552" w:type="dxa"/>
            <w:tcBorders>
              <w:left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Autospacing="0"/>
              <w:ind w:left="0" w:firstLine="0"/>
              <w:rPr>
                <w:rFonts w:hint="eastAsia" w:ascii="宋体" w:hAnsi="宋体" w:eastAsia="宋体" w:cs="宋体"/>
                <w:color w:val="auto"/>
                <w:highlight w:val="none"/>
              </w:rPr>
            </w:pPr>
          </w:p>
        </w:tc>
      </w:tr>
    </w:tbl>
    <w:p>
      <w:pPr>
        <w:spacing w:before="0" w:after="0" w:afterAutospacing="0"/>
        <w:ind w:left="0" w:right="0" w:firstLine="0"/>
        <w:jc w:val="left"/>
        <w:rPr>
          <w:rFonts w:hint="eastAsia" w:ascii="宋体" w:hAnsi="宋体" w:eastAsia="宋体" w:cs="宋体"/>
          <w:color w:val="auto"/>
          <w:highlight w:val="none"/>
        </w:rPr>
      </w:pPr>
      <w:r>
        <w:rPr>
          <w:rFonts w:hint="eastAsia" w:ascii="宋体" w:hAnsi="宋体" w:eastAsia="宋体" w:cs="宋体"/>
          <w:color w:val="auto"/>
          <w:highlight w:val="none"/>
        </w:rPr>
        <w:t>注：1.如有修正，评审委员会需填写附表《比选申请报价修正表》并由比选申请人代表签字确认；.如无修正，评审价=比选申请报价。</w:t>
      </w:r>
    </w:p>
    <w:p>
      <w:pPr>
        <w:spacing w:before="0" w:after="0" w:afterAutospacing="0"/>
        <w:ind w:left="0" w:right="0" w:firstLine="420" w:firstLineChars="200"/>
        <w:jc w:val="left"/>
        <w:rPr>
          <w:rFonts w:hint="eastAsia" w:hAnsi="宋体"/>
          <w:color w:val="auto"/>
          <w:highlight w:val="none"/>
        </w:rPr>
      </w:pPr>
      <w:r>
        <w:rPr>
          <w:rFonts w:hint="eastAsia" w:ascii="宋体" w:hAnsi="宋体" w:eastAsia="宋体" w:cs="宋体"/>
          <w:color w:val="auto"/>
          <w:highlight w:val="none"/>
        </w:rPr>
        <w:t>2.按评审办法第3.3款修正错误的规则对比选申请报价进行修正。评标价格及中标价均以修正后的报价为准。如比选申请人不接受按以上规则确定的评标价格和中标价，则其比选申请将被拒绝。</w:t>
      </w:r>
    </w:p>
    <w:p>
      <w:pPr>
        <w:spacing w:before="0" w:after="0"/>
        <w:ind w:left="420" w:right="0" w:firstLine="0"/>
        <w:jc w:val="left"/>
        <w:rPr>
          <w:rFonts w:ascii="宋体" w:hAnsi="宋体"/>
          <w:color w:val="auto"/>
          <w:highlight w:val="none"/>
        </w:rPr>
      </w:pPr>
    </w:p>
    <w:p>
      <w:pPr>
        <w:spacing w:before="0" w:after="0" w:afterAutospacing="0"/>
        <w:ind w:left="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0" w:right="0" w:firstLine="0"/>
        <w:jc w:val="left"/>
        <w:rPr>
          <w:rFonts w:ascii="宋体" w:hAnsi="宋体"/>
          <w:color w:val="auto"/>
          <w:highlight w:val="none"/>
        </w:rPr>
      </w:pPr>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附表：比选申请报价修正表</w:t>
      </w:r>
    </w:p>
    <w:tbl>
      <w:tblPr>
        <w:tblStyle w:val="33"/>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line="240" w:lineRule="auto"/>
              <w:ind w:left="0" w:right="0" w:firstLine="0"/>
              <w:jc w:val="center"/>
              <w:rPr>
                <w:rFonts w:hint="default" w:ascii="宋体" w:hAnsi="宋体"/>
                <w:b/>
                <w:color w:val="auto"/>
                <w:sz w:val="21"/>
                <w:szCs w:val="21"/>
                <w:highlight w:val="none"/>
              </w:rPr>
            </w:pPr>
            <w:r>
              <w:rPr>
                <w:rFonts w:hint="eastAsia" w:ascii="宋体" w:hAnsi="宋体"/>
                <w:b/>
                <w:color w:val="auto"/>
                <w:sz w:val="21"/>
                <w:szCs w:val="21"/>
                <w:highlight w:val="none"/>
              </w:rPr>
              <w:t>编号</w:t>
            </w:r>
          </w:p>
        </w:tc>
        <w:tc>
          <w:tcPr>
            <w:tcW w:w="3474"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line="240" w:lineRule="auto"/>
              <w:ind w:left="0" w:right="0" w:firstLine="0"/>
              <w:jc w:val="center"/>
              <w:rPr>
                <w:rFonts w:hint="default" w:ascii="宋体" w:hAnsi="宋体"/>
                <w:b/>
                <w:color w:val="auto"/>
                <w:sz w:val="21"/>
                <w:szCs w:val="21"/>
                <w:highlight w:val="none"/>
              </w:rPr>
            </w:pPr>
            <w:r>
              <w:rPr>
                <w:rFonts w:hint="eastAsia" w:ascii="宋体" w:hAnsi="宋体"/>
                <w:b/>
                <w:color w:val="auto"/>
                <w:sz w:val="21"/>
                <w:szCs w:val="21"/>
                <w:highlight w:val="none"/>
              </w:rPr>
              <w:t>修正项目</w:t>
            </w:r>
          </w:p>
        </w:tc>
        <w:tc>
          <w:tcPr>
            <w:tcW w:w="3872"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line="240" w:lineRule="auto"/>
              <w:ind w:left="0" w:right="0" w:firstLine="0"/>
              <w:jc w:val="center"/>
              <w:rPr>
                <w:rFonts w:hint="default" w:ascii="宋体" w:hAnsi="宋体"/>
                <w:b/>
                <w:color w:val="auto"/>
                <w:sz w:val="21"/>
                <w:szCs w:val="21"/>
                <w:highlight w:val="none"/>
              </w:rPr>
            </w:pPr>
            <w:r>
              <w:rPr>
                <w:rFonts w:hint="eastAsia" w:ascii="宋体" w:hAnsi="宋体"/>
                <w:b/>
                <w:color w:val="auto"/>
                <w:sz w:val="21"/>
                <w:szCs w:val="21"/>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line="240" w:lineRule="auto"/>
              <w:ind w:left="0" w:right="0" w:firstLine="0"/>
              <w:jc w:val="center"/>
              <w:rPr>
                <w:rFonts w:hint="default" w:ascii="宋体" w:hAnsi="宋体"/>
                <w:b/>
                <w:color w:val="auto"/>
                <w:sz w:val="21"/>
                <w:szCs w:val="21"/>
                <w:highlight w:val="none"/>
              </w:rPr>
            </w:pPr>
            <w:r>
              <w:rPr>
                <w:rFonts w:hint="eastAsia" w:ascii="宋体" w:hAnsi="宋体"/>
                <w:b/>
                <w:color w:val="auto"/>
                <w:sz w:val="21"/>
                <w:szCs w:val="21"/>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jc w:val="center"/>
              <w:rPr>
                <w:rFonts w:hint="default" w:ascii="宋体" w:hAnsi="宋体"/>
                <w:color w:val="auto"/>
                <w:highlight w:val="none"/>
              </w:rPr>
            </w:pPr>
          </w:p>
        </w:tc>
        <w:tc>
          <w:tcPr>
            <w:tcW w:w="3474"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jc w:val="left"/>
              <w:rPr>
                <w:rFonts w:hint="default" w:ascii="宋体" w:hAnsi="宋体"/>
                <w:color w:val="auto"/>
                <w:highlight w:val="none"/>
              </w:rPr>
            </w:pPr>
          </w:p>
        </w:tc>
        <w:tc>
          <w:tcPr>
            <w:tcW w:w="3872"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rPr>
                <w:rFonts w:hint="default"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line="240" w:lineRule="auto"/>
              <w:ind w:right="0" w:firstLine="0"/>
              <w:rPr>
                <w:rFonts w:hint="default"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jc w:val="center"/>
              <w:rPr>
                <w:rFonts w:hint="default" w:ascii="宋体" w:hAnsi="宋体"/>
                <w:color w:val="auto"/>
                <w:highlight w:val="none"/>
              </w:rPr>
            </w:pPr>
          </w:p>
        </w:tc>
        <w:tc>
          <w:tcPr>
            <w:tcW w:w="3474"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jc w:val="left"/>
              <w:rPr>
                <w:rFonts w:hint="default" w:ascii="宋体" w:hAnsi="宋体" w:cs="宋体"/>
                <w:color w:val="auto"/>
                <w:highlight w:val="none"/>
              </w:rPr>
            </w:pPr>
          </w:p>
        </w:tc>
        <w:tc>
          <w:tcPr>
            <w:tcW w:w="3872"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jc w:val="center"/>
              <w:rPr>
                <w:rFonts w:hint="default"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rPr>
                <w:rFonts w:hint="default"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jc w:val="center"/>
              <w:rPr>
                <w:rFonts w:hint="default" w:ascii="宋体" w:hAnsi="宋体"/>
                <w:color w:val="auto"/>
                <w:highlight w:val="none"/>
              </w:rPr>
            </w:pPr>
          </w:p>
        </w:tc>
        <w:tc>
          <w:tcPr>
            <w:tcW w:w="3474"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jc w:val="left"/>
              <w:rPr>
                <w:rFonts w:hint="default" w:ascii="宋体" w:hAnsi="宋体" w:cs="宋体"/>
                <w:color w:val="auto"/>
                <w:highlight w:val="none"/>
              </w:rPr>
            </w:pPr>
          </w:p>
        </w:tc>
        <w:tc>
          <w:tcPr>
            <w:tcW w:w="3872"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jc w:val="center"/>
              <w:rPr>
                <w:rFonts w:hint="default"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rPr>
                <w:rFonts w:hint="default"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jc w:val="center"/>
              <w:rPr>
                <w:rFonts w:hint="default" w:ascii="宋体" w:hAnsi="宋体"/>
                <w:color w:val="auto"/>
                <w:highlight w:val="none"/>
              </w:rPr>
            </w:pPr>
          </w:p>
        </w:tc>
        <w:tc>
          <w:tcPr>
            <w:tcW w:w="3474"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jc w:val="left"/>
              <w:rPr>
                <w:rFonts w:hint="default" w:ascii="宋体" w:hAnsi="宋体" w:cs="宋体"/>
                <w:color w:val="auto"/>
                <w:highlight w:val="none"/>
              </w:rPr>
            </w:pPr>
          </w:p>
        </w:tc>
        <w:tc>
          <w:tcPr>
            <w:tcW w:w="3872"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jc w:val="center"/>
              <w:rPr>
                <w:rFonts w:hint="default"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rPr>
                <w:rFonts w:hint="default"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jc w:val="center"/>
              <w:rPr>
                <w:rFonts w:hint="default" w:ascii="宋体" w:hAnsi="宋体"/>
                <w:color w:val="auto"/>
                <w:highlight w:val="none"/>
              </w:rPr>
            </w:pPr>
          </w:p>
        </w:tc>
        <w:tc>
          <w:tcPr>
            <w:tcW w:w="3474"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jc w:val="center"/>
              <w:rPr>
                <w:rFonts w:hint="default" w:ascii="宋体" w:hAnsi="宋体"/>
                <w:color w:val="auto"/>
                <w:highlight w:val="none"/>
              </w:rPr>
            </w:pPr>
          </w:p>
        </w:tc>
        <w:tc>
          <w:tcPr>
            <w:tcW w:w="3872"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jc w:val="left"/>
              <w:rPr>
                <w:rFonts w:hint="default" w:ascii="宋体" w:hAnsi="宋体"/>
                <w:b/>
                <w:color w:val="auto"/>
                <w:sz w:val="21"/>
                <w:szCs w:val="21"/>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jc w:val="left"/>
              <w:rPr>
                <w:rFonts w:hint="default" w:ascii="宋体" w:hAnsi="宋体" w:cs="宋体"/>
                <w:b/>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left="0" w:right="0" w:firstLine="0"/>
              <w:jc w:val="center"/>
              <w:rPr>
                <w:rFonts w:hint="default" w:ascii="宋体" w:hAnsi="宋体"/>
                <w:b/>
                <w:color w:val="auto"/>
                <w:sz w:val="21"/>
                <w:szCs w:val="21"/>
                <w:highlight w:val="none"/>
              </w:rPr>
            </w:pPr>
            <w:r>
              <w:rPr>
                <w:rFonts w:hint="eastAsia" w:ascii="宋体" w:hAnsi="宋体"/>
                <w:b/>
                <w:color w:val="auto"/>
                <w:sz w:val="21"/>
                <w:szCs w:val="21"/>
                <w:highlight w:val="none"/>
              </w:rPr>
              <w:t>比选申请人名称</w:t>
            </w:r>
          </w:p>
        </w:tc>
        <w:tc>
          <w:tcPr>
            <w:tcW w:w="11735" w:type="dxa"/>
            <w:gridSpan w:val="3"/>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rPr>
                <w:rFonts w:hint="default" w:ascii="宋体" w:hAnsi="宋体" w:cs="宋体"/>
                <w:b/>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left="0" w:right="0" w:firstLine="0"/>
              <w:jc w:val="center"/>
              <w:rPr>
                <w:rFonts w:hint="default" w:ascii="宋体" w:hAnsi="宋体"/>
                <w:b/>
                <w:color w:val="auto"/>
                <w:sz w:val="21"/>
                <w:szCs w:val="21"/>
                <w:highlight w:val="none"/>
              </w:rPr>
            </w:pPr>
            <w:r>
              <w:rPr>
                <w:rFonts w:hint="eastAsia" w:ascii="宋体" w:hAnsi="宋体"/>
                <w:b/>
                <w:color w:val="auto"/>
                <w:sz w:val="21"/>
                <w:szCs w:val="21"/>
                <w:highlight w:val="none"/>
              </w:rPr>
              <w:t>比选申请人声明</w:t>
            </w:r>
          </w:p>
        </w:tc>
        <w:tc>
          <w:tcPr>
            <w:tcW w:w="11735" w:type="dxa"/>
            <w:gridSpan w:val="3"/>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rPr>
                <w:rFonts w:hint="default" w:ascii="宋体" w:hAnsi="宋体"/>
                <w:b/>
                <w:color w:val="auto"/>
                <w:sz w:val="21"/>
                <w:szCs w:val="21"/>
                <w:highlight w:val="none"/>
              </w:rPr>
            </w:pPr>
            <w:r>
              <w:rPr>
                <w:rFonts w:hint="eastAsia" w:ascii="宋体" w:hAnsi="宋体" w:cs="宋体"/>
                <w:b/>
                <w:color w:val="auto"/>
                <w:sz w:val="21"/>
                <w:szCs w:val="21"/>
                <w:highlight w:val="none"/>
              </w:rPr>
              <w:t>我单位（</w:t>
            </w:r>
            <w:r>
              <w:rPr>
                <w:rFonts w:hint="default" w:ascii="宋体" w:hAnsi="宋体"/>
                <w:b/>
                <w:color w:val="auto"/>
                <w:sz w:val="21"/>
                <w:szCs w:val="21"/>
                <w:highlight w:val="none"/>
              </w:rPr>
              <w:t>□</w:t>
            </w:r>
            <w:r>
              <w:rPr>
                <w:rFonts w:hint="eastAsia" w:ascii="宋体" w:hAnsi="宋体" w:cs="宋体"/>
                <w:b/>
                <w:color w:val="auto"/>
                <w:sz w:val="21"/>
                <w:szCs w:val="21"/>
                <w:highlight w:val="none"/>
              </w:rPr>
              <w:t>接受</w:t>
            </w:r>
            <w:r>
              <w:rPr>
                <w:rFonts w:hint="default" w:ascii="宋体" w:hAnsi="宋体"/>
                <w:b/>
                <w:color w:val="auto"/>
                <w:sz w:val="21"/>
                <w:szCs w:val="21"/>
                <w:highlight w:val="none"/>
              </w:rPr>
              <w:t>□不接受</w:t>
            </w:r>
            <w:r>
              <w:rPr>
                <w:rFonts w:hint="eastAsia" w:ascii="宋体" w:hAnsi="宋体"/>
                <w:b/>
                <w:color w:val="auto"/>
                <w:sz w:val="21"/>
                <w:szCs w:val="21"/>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left="0" w:right="0" w:firstLine="0"/>
              <w:jc w:val="center"/>
              <w:rPr>
                <w:rFonts w:hint="default" w:ascii="宋体" w:hAnsi="宋体"/>
                <w:b/>
                <w:color w:val="auto"/>
                <w:sz w:val="21"/>
                <w:szCs w:val="21"/>
                <w:highlight w:val="none"/>
              </w:rPr>
            </w:pPr>
            <w:r>
              <w:rPr>
                <w:rFonts w:hint="eastAsia" w:ascii="宋体" w:hAnsi="宋体"/>
                <w:b/>
                <w:color w:val="auto"/>
                <w:sz w:val="21"/>
                <w:szCs w:val="21"/>
                <w:highlight w:val="none"/>
              </w:rPr>
              <w:t>比选申请人</w:t>
            </w:r>
          </w:p>
          <w:p>
            <w:pPr>
              <w:keepNext w:val="0"/>
              <w:keepLines w:val="0"/>
              <w:widowControl/>
              <w:suppressLineNumbers w:val="0"/>
              <w:spacing w:before="0" w:beforeAutospacing="0" w:line="240" w:lineRule="auto"/>
              <w:ind w:left="0" w:right="0" w:firstLine="0"/>
              <w:jc w:val="center"/>
              <w:rPr>
                <w:rFonts w:hint="default" w:ascii="宋体" w:hAnsi="宋体"/>
                <w:b/>
                <w:color w:val="auto"/>
                <w:sz w:val="21"/>
                <w:szCs w:val="21"/>
                <w:highlight w:val="none"/>
              </w:rPr>
            </w:pPr>
            <w:r>
              <w:rPr>
                <w:rFonts w:hint="eastAsia" w:ascii="宋体" w:hAnsi="宋体"/>
                <w:b/>
                <w:color w:val="auto"/>
                <w:sz w:val="21"/>
                <w:szCs w:val="21"/>
                <w:highlight w:val="none"/>
              </w:rPr>
              <w:t>代表签字</w:t>
            </w:r>
          </w:p>
        </w:tc>
        <w:tc>
          <w:tcPr>
            <w:tcW w:w="11735" w:type="dxa"/>
            <w:gridSpan w:val="3"/>
            <w:tcBorders>
              <w:left w:val="single" w:color="auto" w:sz="4" w:space="0"/>
              <w:right w:val="single" w:color="auto" w:sz="4" w:space="0"/>
            </w:tcBorders>
            <w:vAlign w:val="center"/>
          </w:tcPr>
          <w:p>
            <w:pPr>
              <w:keepNext w:val="0"/>
              <w:keepLines w:val="0"/>
              <w:widowControl/>
              <w:suppressLineNumbers w:val="0"/>
              <w:spacing w:before="0" w:beforeAutospacing="0" w:line="240" w:lineRule="auto"/>
              <w:ind w:right="0" w:firstLine="0"/>
              <w:rPr>
                <w:rFonts w:hint="default" w:ascii="宋体" w:hAnsi="宋体" w:cs="宋体"/>
                <w:b/>
                <w:color w:val="auto"/>
                <w:sz w:val="21"/>
                <w:szCs w:val="21"/>
                <w:highlight w:val="none"/>
              </w:rPr>
            </w:pPr>
          </w:p>
          <w:p>
            <w:pPr>
              <w:keepNext w:val="0"/>
              <w:keepLines w:val="0"/>
              <w:widowControl/>
              <w:suppressLineNumbers w:val="0"/>
              <w:spacing w:before="0" w:beforeAutospacing="0" w:line="240" w:lineRule="auto"/>
              <w:ind w:right="0" w:firstLine="0"/>
              <w:rPr>
                <w:rFonts w:hint="default" w:ascii="宋体" w:hAnsi="宋体" w:cs="宋体"/>
                <w:b/>
                <w:color w:val="auto"/>
                <w:sz w:val="21"/>
                <w:szCs w:val="21"/>
                <w:highlight w:val="none"/>
              </w:rPr>
            </w:pPr>
            <w:r>
              <w:rPr>
                <w:rFonts w:hint="eastAsia" w:ascii="宋体" w:hAnsi="宋体" w:cs="宋体"/>
                <w:b/>
                <w:color w:val="auto"/>
                <w:sz w:val="21"/>
                <w:szCs w:val="21"/>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rFonts w:ascii="宋体" w:hAnsi="宋体"/>
          <w:color w:val="auto"/>
          <w:highlight w:val="none"/>
        </w:rPr>
      </w:pPr>
    </w:p>
    <w:p>
      <w:pPr>
        <w:rPr>
          <w:color w:val="auto"/>
        </w:rPr>
      </w:pPr>
    </w:p>
    <w:p>
      <w:pPr>
        <w:rPr>
          <w:color w:val="auto"/>
        </w:rPr>
      </w:pPr>
    </w:p>
    <w:p>
      <w:pPr>
        <w:rPr>
          <w:color w:val="auto"/>
        </w:rPr>
      </w:pPr>
    </w:p>
    <w:p>
      <w:pPr>
        <w:rPr>
          <w:color w:val="auto"/>
        </w:rPr>
      </w:pPr>
    </w:p>
    <w:p>
      <w:pPr>
        <w:rPr>
          <w:color w:val="auto"/>
        </w:rPr>
      </w:pPr>
    </w:p>
    <w:p>
      <w:pPr>
        <w:rPr>
          <w:color w:val="auto"/>
        </w:rPr>
      </w:pPr>
    </w:p>
    <w:sectPr>
      <w:headerReference r:id="rId15" w:type="default"/>
      <w:footerReference r:id="rId16" w:type="default"/>
      <w:pgSz w:w="16838" w:h="11905" w:orient="landscape"/>
      <w:pgMar w:top="1417" w:right="1417" w:bottom="1417" w:left="1417" w:header="454" w:footer="567" w:gutter="0"/>
      <w:pgNumType w:fmt="decimal"/>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v:textbox>
            </v:shape>
          </w:pict>
        </mc:Fallback>
      </mc:AlternateContent>
    </w:r>
  </w:p>
  <w:p>
    <w:pPr>
      <w:pStyle w:val="21"/>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7XTPQAAAAAwEAAA8AAAAAAAAAAQAgAAAAIgAAAGRycy9kb3du&#10;cmV2LnhtbFBLAQIUABQAAAAIAIdO4kAbyUmRzgEAAJcDAAAOAAAAAAAAAAEAIAAAAB8BAABkcnMv&#10;ZTJvRG9jLnhtbFBLBQYAAAAABgAGAFkBAABf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v:textbox>
            </v:shape>
          </w:pict>
        </mc:Fallback>
      </mc:AlternateContent>
    </w:r>
  </w:p>
  <w:p>
    <w:pPr>
      <w:pStyle w:val="21"/>
      <w:pBdr>
        <w:bottom w:val="none" w:color="auto" w:sz="0" w:space="0"/>
      </w:pBdr>
      <w:tabs>
        <w:tab w:val="right" w:pos="8728"/>
        <w:tab w:val="clear" w:pos="4153"/>
        <w:tab w:val="clear" w:pos="8306"/>
      </w:tabs>
      <w:ind w:left="0" w:right="343" w:firstLine="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7XTPQAAAAAwEAAA8AAAAAAAAAAQAgAAAAIgAAAGRycy9kb3du&#10;cmV2LnhtbFBLAQIUABQAAAAIAIdO4kD22taQzgEAAJcDAAAOAAAAAAAAAAEAIAAAAB8BAABkcnMv&#10;ZTJvRG9jLnhtbFBLBQYAAAAABgAGAFkBAABf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48387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33985" cy="48387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
                            <w:t xml:space="preserve">第 </w:t>
                          </w:r>
                          <w:r>
                            <w:fldChar w:fldCharType="begin"/>
                          </w:r>
                          <w:r>
                            <w:instrText xml:space="preserve"> PAGE  \* MERGEFORMAT </w:instrText>
                          </w:r>
                          <w:r>
                            <w:fldChar w:fldCharType="separate"/>
                          </w:r>
                          <w:r>
                            <w:t>97</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38.1pt;width:10.55pt;mso-position-horizontal:center;mso-position-horizontal-relative:margin;mso-wrap-style:none;z-index:251659264;mso-width-relative:page;mso-height-relative:page;" filled="f" stroked="f" coordsize="21600,21600" o:gfxdata="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2Nfnr0gAAAAMBAAAPAAAAAAAAAAEAIAAAACIAAABkcnMvZG93bnJldi54&#10;bWxQSwECFAAUAAAACACHTuJA/BW59jkCAABgBAAADgAAAAAAAAABACAAAAAhAQAAZHJzL2Uyb0Rv&#10;Yy54bWxQSwUGAAAAAAYABgBZAQAAzAUAAAAA&#10;">
              <v:fill on="f" focussize="0,0"/>
              <v:stroke on="f" weight="0.5pt"/>
              <v:imagedata o:title=""/>
              <o:lock v:ext="edit" aspectratio="f"/>
              <v:textbox inset="0mm,0mm,0mm,0mm" style="mso-fit-shape-to-text:t;">
                <w:txbxContent>
                  <w:p>
                    <w:r>
                      <w:t xml:space="preserve">第 </w:t>
                    </w:r>
                    <w:r>
                      <w:fldChar w:fldCharType="begin"/>
                    </w:r>
                    <w:r>
                      <w:instrText xml:space="preserve"> PAGE  \* MERGEFORMAT </w:instrText>
                    </w:r>
                    <w:r>
                      <w:fldChar w:fldCharType="separate"/>
                    </w:r>
                    <w:r>
                      <w:t>97</w:t>
                    </w:r>
                    <w:r>
                      <w:fldChar w:fldCharType="end"/>
                    </w:r>
                    <w:r>
                      <w:t xml:space="preserve"> 页 共 </w:t>
                    </w:r>
                    <w:r>
                      <w:fldChar w:fldCharType="begin"/>
                    </w:r>
                    <w:r>
                      <w:instrText xml:space="preserve"> NUMPAGES  \* MERGEFORMAT </w:instrText>
                    </w:r>
                    <w:r>
                      <w:fldChar w:fldCharType="separate"/>
                    </w:r>
                    <w:r>
                      <w:t>98</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tabs>
        <w:tab w:val="left" w:pos="2847"/>
        <w:tab w:val="left" w:pos="3510"/>
        <w:tab w:val="left" w:pos="4002"/>
        <w:tab w:val="clear" w:pos="4153"/>
        <w:tab w:val="clear"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spacing w:before="0"/>
      <w:ind w:right="-57" w:firstLine="0"/>
      <w:jc w:val="both"/>
      <w:rPr>
        <w:rFonts w:ascii="宋体" w:hAnsi="宋体"/>
        <w:color w:val="000000"/>
        <w:sz w:val="15"/>
        <w:szCs w:val="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before="0"/>
      <w:ind w:right="-57" w:firstLine="0"/>
      <w:jc w:val="both"/>
      <w:rPr>
        <w:rFonts w:ascii="宋体" w:hAnsi="宋体"/>
        <w:color w:val="000000"/>
        <w:sz w:val="15"/>
        <w:szCs w:val="1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1C50E"/>
    <w:multiLevelType w:val="singleLevel"/>
    <w:tmpl w:val="81D1C50E"/>
    <w:lvl w:ilvl="0" w:tentative="0">
      <w:start w:val="1"/>
      <w:numFmt w:val="decimal"/>
      <w:suff w:val="nothing"/>
      <w:lvlText w:val="（%1）"/>
      <w:lvlJc w:val="left"/>
      <w:pPr>
        <w:ind w:left="0" w:firstLine="397"/>
      </w:pPr>
      <w:rPr>
        <w:rFonts w:hint="default"/>
      </w:rPr>
    </w:lvl>
  </w:abstractNum>
  <w:abstractNum w:abstractNumId="1">
    <w:nsid w:val="A80A1407"/>
    <w:multiLevelType w:val="singleLevel"/>
    <w:tmpl w:val="A80A1407"/>
    <w:lvl w:ilvl="0" w:tentative="0">
      <w:start w:val="7"/>
      <w:numFmt w:val="decimal"/>
      <w:lvlText w:val="%1."/>
      <w:lvlJc w:val="left"/>
      <w:pPr>
        <w:tabs>
          <w:tab w:val="left" w:pos="312"/>
        </w:tabs>
      </w:pPr>
    </w:lvl>
  </w:abstractNum>
  <w:abstractNum w:abstractNumId="2">
    <w:nsid w:val="AB9D6E4F"/>
    <w:multiLevelType w:val="singleLevel"/>
    <w:tmpl w:val="AB9D6E4F"/>
    <w:lvl w:ilvl="0" w:tentative="0">
      <w:start w:val="1"/>
      <w:numFmt w:val="decimal"/>
      <w:suff w:val="nothing"/>
      <w:lvlText w:val="%1、"/>
      <w:lvlJc w:val="left"/>
    </w:lvl>
  </w:abstractNum>
  <w:abstractNum w:abstractNumId="3">
    <w:nsid w:val="B5FC3923"/>
    <w:multiLevelType w:val="singleLevel"/>
    <w:tmpl w:val="B5FC3923"/>
    <w:lvl w:ilvl="0" w:tentative="0">
      <w:start w:val="1"/>
      <w:numFmt w:val="decimalEnclosedCircleChinese"/>
      <w:suff w:val="nothing"/>
      <w:lvlText w:val="%1　"/>
      <w:lvlJc w:val="left"/>
      <w:pPr>
        <w:ind w:left="0" w:firstLine="400"/>
      </w:pPr>
      <w:rPr>
        <w:rFonts w:hint="eastAsia"/>
      </w:rPr>
    </w:lvl>
  </w:abstractNum>
  <w:abstractNum w:abstractNumId="4">
    <w:nsid w:val="EA86B785"/>
    <w:multiLevelType w:val="singleLevel"/>
    <w:tmpl w:val="EA86B785"/>
    <w:lvl w:ilvl="0" w:tentative="0">
      <w:start w:val="1"/>
      <w:numFmt w:val="decimal"/>
      <w:suff w:val="nothing"/>
      <w:lvlText w:val="（%1）"/>
      <w:lvlJc w:val="left"/>
    </w:lvl>
  </w:abstractNum>
  <w:abstractNum w:abstractNumId="5">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6">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7">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8">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5">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6">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17">
    <w:nsid w:val="4ACE49F1"/>
    <w:multiLevelType w:val="singleLevel"/>
    <w:tmpl w:val="4ACE49F1"/>
    <w:lvl w:ilvl="0" w:tentative="0">
      <w:start w:val="1"/>
      <w:numFmt w:val="decimal"/>
      <w:lvlText w:val="%1."/>
      <w:lvlJc w:val="left"/>
      <w:pPr>
        <w:tabs>
          <w:tab w:val="left" w:pos="312"/>
        </w:tabs>
      </w:pPr>
    </w:lvl>
  </w:abstractNum>
  <w:abstractNum w:abstractNumId="18">
    <w:nsid w:val="517847BA"/>
    <w:multiLevelType w:val="singleLevel"/>
    <w:tmpl w:val="517847BA"/>
    <w:lvl w:ilvl="0" w:tentative="0">
      <w:start w:val="1"/>
      <w:numFmt w:val="decimal"/>
      <w:suff w:val="nothing"/>
      <w:lvlText w:val="（%1）"/>
      <w:lvlJc w:val="left"/>
      <w:pPr>
        <w:ind w:left="0" w:firstLine="397"/>
      </w:pPr>
      <w:rPr>
        <w:rFonts w:hint="default"/>
      </w:rPr>
    </w:lvl>
  </w:abstractNum>
  <w:abstractNum w:abstractNumId="19">
    <w:nsid w:val="585F20B9"/>
    <w:multiLevelType w:val="singleLevel"/>
    <w:tmpl w:val="585F20B9"/>
    <w:lvl w:ilvl="0" w:tentative="0">
      <w:start w:val="1"/>
      <w:numFmt w:val="decimal"/>
      <w:suff w:val="nothing"/>
      <w:lvlText w:val="（%1）"/>
      <w:lvlJc w:val="left"/>
      <w:pPr>
        <w:ind w:left="0" w:firstLine="397"/>
      </w:pPr>
      <w:rPr>
        <w:rFonts w:hint="default"/>
      </w:rPr>
    </w:lvl>
  </w:abstractNum>
  <w:abstractNum w:abstractNumId="20">
    <w:nsid w:val="5FE5AD2D"/>
    <w:multiLevelType w:val="singleLevel"/>
    <w:tmpl w:val="5FE5AD2D"/>
    <w:lvl w:ilvl="0" w:tentative="0">
      <w:start w:val="1"/>
      <w:numFmt w:val="decimal"/>
      <w:lvlText w:val="%1."/>
      <w:lvlJc w:val="left"/>
      <w:pPr>
        <w:tabs>
          <w:tab w:val="left" w:pos="312"/>
        </w:tabs>
      </w:pPr>
    </w:lvl>
  </w:abstractNum>
  <w:abstractNum w:abstractNumId="21">
    <w:nsid w:val="609875CA"/>
    <w:multiLevelType w:val="multilevel"/>
    <w:tmpl w:val="609875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D7826A5"/>
    <w:multiLevelType w:val="multilevel"/>
    <w:tmpl w:val="7D7826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16"/>
  </w:num>
  <w:num w:numId="3">
    <w:abstractNumId w:val="7"/>
  </w:num>
  <w:num w:numId="4">
    <w:abstractNumId w:val="6"/>
  </w:num>
  <w:num w:numId="5">
    <w:abstractNumId w:val="15"/>
  </w:num>
  <w:num w:numId="6">
    <w:abstractNumId w:val="14"/>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3"/>
  </w:num>
  <w:num w:numId="12">
    <w:abstractNumId w:val="1"/>
  </w:num>
  <w:num w:numId="13">
    <w:abstractNumId w:val="22"/>
  </w:num>
  <w:num w:numId="14">
    <w:abstractNumId w:val="11"/>
  </w:num>
  <w:num w:numId="15">
    <w:abstractNumId w:val="20"/>
  </w:num>
  <w:num w:numId="16">
    <w:abstractNumId w:val="17"/>
  </w:num>
  <w:num w:numId="17">
    <w:abstractNumId w:val="5"/>
  </w:num>
  <w:num w:numId="18">
    <w:abstractNumId w:val="18"/>
  </w:num>
  <w:num w:numId="19">
    <w:abstractNumId w:val="19"/>
  </w:num>
  <w:num w:numId="20">
    <w:abstractNumId w:val="4"/>
  </w:num>
  <w:num w:numId="21">
    <w:abstractNumId w:val="0"/>
  </w:num>
  <w:num w:numId="22">
    <w:abstractNumId w:val="3"/>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mODc4ZTQxZWIzYWJkNWU0Nzc3NTc1MjQ3Mjk3YWEifQ=="/>
  </w:docVars>
  <w:rsids>
    <w:rsidRoot w:val="00172A27"/>
    <w:rsid w:val="000000F2"/>
    <w:rsid w:val="00000139"/>
    <w:rsid w:val="000045EA"/>
    <w:rsid w:val="00007C3F"/>
    <w:rsid w:val="00007D0F"/>
    <w:rsid w:val="00012671"/>
    <w:rsid w:val="00012D71"/>
    <w:rsid w:val="000143B4"/>
    <w:rsid w:val="000153C5"/>
    <w:rsid w:val="00015B06"/>
    <w:rsid w:val="00022F88"/>
    <w:rsid w:val="000246E5"/>
    <w:rsid w:val="00030F30"/>
    <w:rsid w:val="00041435"/>
    <w:rsid w:val="000437E6"/>
    <w:rsid w:val="00043E88"/>
    <w:rsid w:val="00050898"/>
    <w:rsid w:val="0005200D"/>
    <w:rsid w:val="00053430"/>
    <w:rsid w:val="0006119F"/>
    <w:rsid w:val="000645DE"/>
    <w:rsid w:val="000649D9"/>
    <w:rsid w:val="00064F62"/>
    <w:rsid w:val="00067BAA"/>
    <w:rsid w:val="00070470"/>
    <w:rsid w:val="00074337"/>
    <w:rsid w:val="00081F9C"/>
    <w:rsid w:val="0008222E"/>
    <w:rsid w:val="00092270"/>
    <w:rsid w:val="00092B1B"/>
    <w:rsid w:val="0009493E"/>
    <w:rsid w:val="0009578B"/>
    <w:rsid w:val="00095B78"/>
    <w:rsid w:val="000A0870"/>
    <w:rsid w:val="000A15C0"/>
    <w:rsid w:val="000A1767"/>
    <w:rsid w:val="000A49C9"/>
    <w:rsid w:val="000B34C7"/>
    <w:rsid w:val="000B47F0"/>
    <w:rsid w:val="000B580F"/>
    <w:rsid w:val="000B5BA2"/>
    <w:rsid w:val="000B7740"/>
    <w:rsid w:val="000C1668"/>
    <w:rsid w:val="000C1D2F"/>
    <w:rsid w:val="000C20C1"/>
    <w:rsid w:val="000C2569"/>
    <w:rsid w:val="000C32A2"/>
    <w:rsid w:val="000C53FF"/>
    <w:rsid w:val="000C56A1"/>
    <w:rsid w:val="000C68D6"/>
    <w:rsid w:val="000D2B9F"/>
    <w:rsid w:val="000D3045"/>
    <w:rsid w:val="000E072A"/>
    <w:rsid w:val="000E7DA5"/>
    <w:rsid w:val="000F56F5"/>
    <w:rsid w:val="000F5E28"/>
    <w:rsid w:val="000F6EB3"/>
    <w:rsid w:val="00100517"/>
    <w:rsid w:val="00102558"/>
    <w:rsid w:val="0011106B"/>
    <w:rsid w:val="0011296C"/>
    <w:rsid w:val="001207B4"/>
    <w:rsid w:val="00126DC2"/>
    <w:rsid w:val="00126FBA"/>
    <w:rsid w:val="001315CE"/>
    <w:rsid w:val="001315D9"/>
    <w:rsid w:val="00133115"/>
    <w:rsid w:val="00133A8C"/>
    <w:rsid w:val="00135B62"/>
    <w:rsid w:val="00135C49"/>
    <w:rsid w:val="00135CAC"/>
    <w:rsid w:val="00136FF6"/>
    <w:rsid w:val="001411F2"/>
    <w:rsid w:val="00141670"/>
    <w:rsid w:val="001445DC"/>
    <w:rsid w:val="001520D4"/>
    <w:rsid w:val="0015296D"/>
    <w:rsid w:val="00155FD4"/>
    <w:rsid w:val="00157033"/>
    <w:rsid w:val="001573CC"/>
    <w:rsid w:val="0017175E"/>
    <w:rsid w:val="0017442C"/>
    <w:rsid w:val="00180594"/>
    <w:rsid w:val="00183519"/>
    <w:rsid w:val="001847D7"/>
    <w:rsid w:val="00184CF1"/>
    <w:rsid w:val="00186A28"/>
    <w:rsid w:val="00190130"/>
    <w:rsid w:val="00190B14"/>
    <w:rsid w:val="001A37D3"/>
    <w:rsid w:val="001A3FCA"/>
    <w:rsid w:val="001A4DE3"/>
    <w:rsid w:val="001B0893"/>
    <w:rsid w:val="001B36E7"/>
    <w:rsid w:val="001B51C0"/>
    <w:rsid w:val="001C0C50"/>
    <w:rsid w:val="001C4286"/>
    <w:rsid w:val="001E0D82"/>
    <w:rsid w:val="001E0D93"/>
    <w:rsid w:val="001E5985"/>
    <w:rsid w:val="001E5F4A"/>
    <w:rsid w:val="001E6308"/>
    <w:rsid w:val="001F01A1"/>
    <w:rsid w:val="001F0F70"/>
    <w:rsid w:val="00201DC0"/>
    <w:rsid w:val="002041A6"/>
    <w:rsid w:val="00205033"/>
    <w:rsid w:val="00206D2E"/>
    <w:rsid w:val="00210D44"/>
    <w:rsid w:val="00212AF9"/>
    <w:rsid w:val="0021505D"/>
    <w:rsid w:val="00226768"/>
    <w:rsid w:val="00226771"/>
    <w:rsid w:val="00226B2E"/>
    <w:rsid w:val="00226D0E"/>
    <w:rsid w:val="00233B35"/>
    <w:rsid w:val="00235FAD"/>
    <w:rsid w:val="00237A98"/>
    <w:rsid w:val="00237B66"/>
    <w:rsid w:val="002402C4"/>
    <w:rsid w:val="0024287B"/>
    <w:rsid w:val="002441F7"/>
    <w:rsid w:val="0024741B"/>
    <w:rsid w:val="00261C13"/>
    <w:rsid w:val="00261C93"/>
    <w:rsid w:val="00265564"/>
    <w:rsid w:val="00266870"/>
    <w:rsid w:val="00272F80"/>
    <w:rsid w:val="0027764C"/>
    <w:rsid w:val="0028366D"/>
    <w:rsid w:val="00285273"/>
    <w:rsid w:val="00285531"/>
    <w:rsid w:val="002A056A"/>
    <w:rsid w:val="002A20A0"/>
    <w:rsid w:val="002B1394"/>
    <w:rsid w:val="002C556E"/>
    <w:rsid w:val="002C5B0F"/>
    <w:rsid w:val="002D23D9"/>
    <w:rsid w:val="002D2720"/>
    <w:rsid w:val="002D2931"/>
    <w:rsid w:val="002D6D0E"/>
    <w:rsid w:val="002E190D"/>
    <w:rsid w:val="002E6BE3"/>
    <w:rsid w:val="002E73CC"/>
    <w:rsid w:val="00311468"/>
    <w:rsid w:val="00313976"/>
    <w:rsid w:val="003166B6"/>
    <w:rsid w:val="00316E03"/>
    <w:rsid w:val="003207F4"/>
    <w:rsid w:val="00320BB7"/>
    <w:rsid w:val="00327148"/>
    <w:rsid w:val="00330D78"/>
    <w:rsid w:val="003354EE"/>
    <w:rsid w:val="00336F6C"/>
    <w:rsid w:val="00337C6A"/>
    <w:rsid w:val="00345B87"/>
    <w:rsid w:val="003464E7"/>
    <w:rsid w:val="00353318"/>
    <w:rsid w:val="00354E36"/>
    <w:rsid w:val="003568E4"/>
    <w:rsid w:val="00361313"/>
    <w:rsid w:val="00366002"/>
    <w:rsid w:val="0036732D"/>
    <w:rsid w:val="003706A5"/>
    <w:rsid w:val="003712A4"/>
    <w:rsid w:val="00383573"/>
    <w:rsid w:val="00393EBC"/>
    <w:rsid w:val="00395A23"/>
    <w:rsid w:val="003976C2"/>
    <w:rsid w:val="003976F0"/>
    <w:rsid w:val="003A0C71"/>
    <w:rsid w:val="003A170B"/>
    <w:rsid w:val="003A286A"/>
    <w:rsid w:val="003A7F1A"/>
    <w:rsid w:val="003B097F"/>
    <w:rsid w:val="003B2656"/>
    <w:rsid w:val="003B3099"/>
    <w:rsid w:val="003B3C51"/>
    <w:rsid w:val="003B43D3"/>
    <w:rsid w:val="003B4610"/>
    <w:rsid w:val="003B5109"/>
    <w:rsid w:val="003B6BE9"/>
    <w:rsid w:val="003C312A"/>
    <w:rsid w:val="003C4653"/>
    <w:rsid w:val="003D0506"/>
    <w:rsid w:val="003D17D8"/>
    <w:rsid w:val="003D3A75"/>
    <w:rsid w:val="003D3B2E"/>
    <w:rsid w:val="003D6118"/>
    <w:rsid w:val="003E454F"/>
    <w:rsid w:val="003E6DFB"/>
    <w:rsid w:val="003F1C69"/>
    <w:rsid w:val="003F2270"/>
    <w:rsid w:val="003F746F"/>
    <w:rsid w:val="004043A2"/>
    <w:rsid w:val="004117BD"/>
    <w:rsid w:val="00412A48"/>
    <w:rsid w:val="00414B71"/>
    <w:rsid w:val="00417574"/>
    <w:rsid w:val="004215F1"/>
    <w:rsid w:val="0042215D"/>
    <w:rsid w:val="00425513"/>
    <w:rsid w:val="0043285C"/>
    <w:rsid w:val="00436E82"/>
    <w:rsid w:val="00437188"/>
    <w:rsid w:val="00440F9A"/>
    <w:rsid w:val="00441161"/>
    <w:rsid w:val="00443ADE"/>
    <w:rsid w:val="0044418D"/>
    <w:rsid w:val="004444B9"/>
    <w:rsid w:val="004518D2"/>
    <w:rsid w:val="0045479E"/>
    <w:rsid w:val="004632AA"/>
    <w:rsid w:val="00464EF1"/>
    <w:rsid w:val="00466E82"/>
    <w:rsid w:val="00473B02"/>
    <w:rsid w:val="00476FBE"/>
    <w:rsid w:val="00483264"/>
    <w:rsid w:val="00483FD0"/>
    <w:rsid w:val="004918F3"/>
    <w:rsid w:val="00496DFD"/>
    <w:rsid w:val="004A0C16"/>
    <w:rsid w:val="004A0D30"/>
    <w:rsid w:val="004A5543"/>
    <w:rsid w:val="004A585E"/>
    <w:rsid w:val="004A6BD6"/>
    <w:rsid w:val="004B1E96"/>
    <w:rsid w:val="004B508D"/>
    <w:rsid w:val="004B62C0"/>
    <w:rsid w:val="004B6350"/>
    <w:rsid w:val="004C09AF"/>
    <w:rsid w:val="004C28A9"/>
    <w:rsid w:val="004C3243"/>
    <w:rsid w:val="004C7017"/>
    <w:rsid w:val="004D03B0"/>
    <w:rsid w:val="004D1018"/>
    <w:rsid w:val="004D449E"/>
    <w:rsid w:val="004D4C3A"/>
    <w:rsid w:val="004E0AD3"/>
    <w:rsid w:val="004E12DE"/>
    <w:rsid w:val="004E3041"/>
    <w:rsid w:val="004F6E95"/>
    <w:rsid w:val="00500C4A"/>
    <w:rsid w:val="00505261"/>
    <w:rsid w:val="00507578"/>
    <w:rsid w:val="00510E4D"/>
    <w:rsid w:val="00512701"/>
    <w:rsid w:val="00512A45"/>
    <w:rsid w:val="00517012"/>
    <w:rsid w:val="005179CA"/>
    <w:rsid w:val="00525916"/>
    <w:rsid w:val="0052634A"/>
    <w:rsid w:val="00532363"/>
    <w:rsid w:val="00541401"/>
    <w:rsid w:val="005418DB"/>
    <w:rsid w:val="0054269C"/>
    <w:rsid w:val="005448AD"/>
    <w:rsid w:val="00545844"/>
    <w:rsid w:val="00545C28"/>
    <w:rsid w:val="005470DC"/>
    <w:rsid w:val="00562190"/>
    <w:rsid w:val="005639E1"/>
    <w:rsid w:val="00564C20"/>
    <w:rsid w:val="00571D43"/>
    <w:rsid w:val="00574C3B"/>
    <w:rsid w:val="00575AB8"/>
    <w:rsid w:val="0057690D"/>
    <w:rsid w:val="00584B6B"/>
    <w:rsid w:val="00586EEC"/>
    <w:rsid w:val="00587B70"/>
    <w:rsid w:val="00590D98"/>
    <w:rsid w:val="005A1A6A"/>
    <w:rsid w:val="005A2E67"/>
    <w:rsid w:val="005A5B47"/>
    <w:rsid w:val="005B01E0"/>
    <w:rsid w:val="005B13C6"/>
    <w:rsid w:val="005B2E43"/>
    <w:rsid w:val="005B439E"/>
    <w:rsid w:val="005C0AA6"/>
    <w:rsid w:val="005C5759"/>
    <w:rsid w:val="005C5B0E"/>
    <w:rsid w:val="005C6881"/>
    <w:rsid w:val="005D0204"/>
    <w:rsid w:val="005D0BB2"/>
    <w:rsid w:val="005D1CA7"/>
    <w:rsid w:val="005D2E70"/>
    <w:rsid w:val="005D30DE"/>
    <w:rsid w:val="005D3FBE"/>
    <w:rsid w:val="005E5912"/>
    <w:rsid w:val="005F2A05"/>
    <w:rsid w:val="005F2C46"/>
    <w:rsid w:val="005F5B89"/>
    <w:rsid w:val="00606397"/>
    <w:rsid w:val="006173A4"/>
    <w:rsid w:val="00622520"/>
    <w:rsid w:val="00624673"/>
    <w:rsid w:val="00627505"/>
    <w:rsid w:val="006279E7"/>
    <w:rsid w:val="00634596"/>
    <w:rsid w:val="006425FA"/>
    <w:rsid w:val="00642B95"/>
    <w:rsid w:val="00644532"/>
    <w:rsid w:val="006457FD"/>
    <w:rsid w:val="00647559"/>
    <w:rsid w:val="00651F7F"/>
    <w:rsid w:val="006523EB"/>
    <w:rsid w:val="00653C14"/>
    <w:rsid w:val="0065460D"/>
    <w:rsid w:val="0066001D"/>
    <w:rsid w:val="0066187E"/>
    <w:rsid w:val="006679DC"/>
    <w:rsid w:val="00670400"/>
    <w:rsid w:val="006724B7"/>
    <w:rsid w:val="00672F69"/>
    <w:rsid w:val="00677925"/>
    <w:rsid w:val="00677A8A"/>
    <w:rsid w:val="00683396"/>
    <w:rsid w:val="00690FA6"/>
    <w:rsid w:val="006922EC"/>
    <w:rsid w:val="00693DF4"/>
    <w:rsid w:val="00695EDE"/>
    <w:rsid w:val="006A23E9"/>
    <w:rsid w:val="006A2F07"/>
    <w:rsid w:val="006A4D72"/>
    <w:rsid w:val="006A543A"/>
    <w:rsid w:val="006A74C5"/>
    <w:rsid w:val="006B6F3C"/>
    <w:rsid w:val="006B7962"/>
    <w:rsid w:val="006C2D0C"/>
    <w:rsid w:val="006C4DC3"/>
    <w:rsid w:val="006C77CD"/>
    <w:rsid w:val="006D4826"/>
    <w:rsid w:val="006E1C8A"/>
    <w:rsid w:val="006F48AD"/>
    <w:rsid w:val="006F51E1"/>
    <w:rsid w:val="006F56A7"/>
    <w:rsid w:val="006F629E"/>
    <w:rsid w:val="007032FC"/>
    <w:rsid w:val="00703D29"/>
    <w:rsid w:val="00703F0B"/>
    <w:rsid w:val="007076B1"/>
    <w:rsid w:val="00712A8D"/>
    <w:rsid w:val="0071330B"/>
    <w:rsid w:val="00722F66"/>
    <w:rsid w:val="00722FCE"/>
    <w:rsid w:val="007258A2"/>
    <w:rsid w:val="007325A0"/>
    <w:rsid w:val="00733600"/>
    <w:rsid w:val="007339A9"/>
    <w:rsid w:val="007345D7"/>
    <w:rsid w:val="00735BD4"/>
    <w:rsid w:val="00737A61"/>
    <w:rsid w:val="00741B8D"/>
    <w:rsid w:val="00746901"/>
    <w:rsid w:val="00750C92"/>
    <w:rsid w:val="00751CDD"/>
    <w:rsid w:val="00753178"/>
    <w:rsid w:val="00754FB0"/>
    <w:rsid w:val="00756CAA"/>
    <w:rsid w:val="007619A3"/>
    <w:rsid w:val="00762CB8"/>
    <w:rsid w:val="0077088A"/>
    <w:rsid w:val="00773380"/>
    <w:rsid w:val="007808DF"/>
    <w:rsid w:val="00781088"/>
    <w:rsid w:val="00785F88"/>
    <w:rsid w:val="00786B37"/>
    <w:rsid w:val="00792362"/>
    <w:rsid w:val="00792DB5"/>
    <w:rsid w:val="007A04DC"/>
    <w:rsid w:val="007A287A"/>
    <w:rsid w:val="007A2EB0"/>
    <w:rsid w:val="007A2F44"/>
    <w:rsid w:val="007B04FF"/>
    <w:rsid w:val="007B38CA"/>
    <w:rsid w:val="007B6DA0"/>
    <w:rsid w:val="007C15ED"/>
    <w:rsid w:val="007C19AE"/>
    <w:rsid w:val="007C2CCC"/>
    <w:rsid w:val="007C337F"/>
    <w:rsid w:val="007C5E92"/>
    <w:rsid w:val="007D0888"/>
    <w:rsid w:val="007D15E0"/>
    <w:rsid w:val="007D1BCF"/>
    <w:rsid w:val="007D2A21"/>
    <w:rsid w:val="007D2FAE"/>
    <w:rsid w:val="007D399D"/>
    <w:rsid w:val="007D47B8"/>
    <w:rsid w:val="007D59AF"/>
    <w:rsid w:val="007D7DEB"/>
    <w:rsid w:val="007F0619"/>
    <w:rsid w:val="007F28DB"/>
    <w:rsid w:val="007F4345"/>
    <w:rsid w:val="0080289D"/>
    <w:rsid w:val="00803C1E"/>
    <w:rsid w:val="00804954"/>
    <w:rsid w:val="008057F1"/>
    <w:rsid w:val="00810B98"/>
    <w:rsid w:val="0081164E"/>
    <w:rsid w:val="00813A89"/>
    <w:rsid w:val="0081520A"/>
    <w:rsid w:val="00816129"/>
    <w:rsid w:val="008177BD"/>
    <w:rsid w:val="00824189"/>
    <w:rsid w:val="008252F0"/>
    <w:rsid w:val="00825CDA"/>
    <w:rsid w:val="00826A20"/>
    <w:rsid w:val="00826EBD"/>
    <w:rsid w:val="0083668C"/>
    <w:rsid w:val="00840E0D"/>
    <w:rsid w:val="008461E9"/>
    <w:rsid w:val="008475AA"/>
    <w:rsid w:val="00852234"/>
    <w:rsid w:val="00854482"/>
    <w:rsid w:val="00856873"/>
    <w:rsid w:val="00860F02"/>
    <w:rsid w:val="00861912"/>
    <w:rsid w:val="008657A4"/>
    <w:rsid w:val="0086730C"/>
    <w:rsid w:val="00871B1E"/>
    <w:rsid w:val="00871EE6"/>
    <w:rsid w:val="00877F0C"/>
    <w:rsid w:val="0088026D"/>
    <w:rsid w:val="00881EB7"/>
    <w:rsid w:val="00884884"/>
    <w:rsid w:val="0088570D"/>
    <w:rsid w:val="00887902"/>
    <w:rsid w:val="00887983"/>
    <w:rsid w:val="00891420"/>
    <w:rsid w:val="008925F2"/>
    <w:rsid w:val="00892829"/>
    <w:rsid w:val="00895FBB"/>
    <w:rsid w:val="008A0C18"/>
    <w:rsid w:val="008A1E1B"/>
    <w:rsid w:val="008B0302"/>
    <w:rsid w:val="008B0655"/>
    <w:rsid w:val="008B0696"/>
    <w:rsid w:val="008B224C"/>
    <w:rsid w:val="008B6854"/>
    <w:rsid w:val="008B6EFB"/>
    <w:rsid w:val="008C0265"/>
    <w:rsid w:val="008C0CEF"/>
    <w:rsid w:val="008C1BE4"/>
    <w:rsid w:val="008C2226"/>
    <w:rsid w:val="008C77F8"/>
    <w:rsid w:val="008D2976"/>
    <w:rsid w:val="008D727A"/>
    <w:rsid w:val="008E500C"/>
    <w:rsid w:val="008F2A48"/>
    <w:rsid w:val="008F720F"/>
    <w:rsid w:val="009010FB"/>
    <w:rsid w:val="009021F6"/>
    <w:rsid w:val="00902910"/>
    <w:rsid w:val="00904592"/>
    <w:rsid w:val="00906D34"/>
    <w:rsid w:val="009103FB"/>
    <w:rsid w:val="009112F1"/>
    <w:rsid w:val="009120C7"/>
    <w:rsid w:val="009123C5"/>
    <w:rsid w:val="009149F0"/>
    <w:rsid w:val="00916179"/>
    <w:rsid w:val="00917615"/>
    <w:rsid w:val="00921A28"/>
    <w:rsid w:val="00925337"/>
    <w:rsid w:val="00931174"/>
    <w:rsid w:val="009352E0"/>
    <w:rsid w:val="00937B1F"/>
    <w:rsid w:val="0094110B"/>
    <w:rsid w:val="00943AAF"/>
    <w:rsid w:val="00944B82"/>
    <w:rsid w:val="00945006"/>
    <w:rsid w:val="009451A1"/>
    <w:rsid w:val="00952E2E"/>
    <w:rsid w:val="00956B31"/>
    <w:rsid w:val="00956FA8"/>
    <w:rsid w:val="00957AA0"/>
    <w:rsid w:val="009604CB"/>
    <w:rsid w:val="00961F4A"/>
    <w:rsid w:val="009620BE"/>
    <w:rsid w:val="00965538"/>
    <w:rsid w:val="0097464F"/>
    <w:rsid w:val="00984BFB"/>
    <w:rsid w:val="009912C9"/>
    <w:rsid w:val="00991B49"/>
    <w:rsid w:val="009932AA"/>
    <w:rsid w:val="00995A55"/>
    <w:rsid w:val="009A7B76"/>
    <w:rsid w:val="009B0988"/>
    <w:rsid w:val="009B66CC"/>
    <w:rsid w:val="009C5DF4"/>
    <w:rsid w:val="009C7AF9"/>
    <w:rsid w:val="009D12B7"/>
    <w:rsid w:val="009D3453"/>
    <w:rsid w:val="009D74A2"/>
    <w:rsid w:val="009E1329"/>
    <w:rsid w:val="009E28E5"/>
    <w:rsid w:val="009E4CE3"/>
    <w:rsid w:val="009E530D"/>
    <w:rsid w:val="009F1549"/>
    <w:rsid w:val="009F214A"/>
    <w:rsid w:val="009F374F"/>
    <w:rsid w:val="009F3F98"/>
    <w:rsid w:val="009F588C"/>
    <w:rsid w:val="00A02C14"/>
    <w:rsid w:val="00A03373"/>
    <w:rsid w:val="00A05ECF"/>
    <w:rsid w:val="00A07012"/>
    <w:rsid w:val="00A11C51"/>
    <w:rsid w:val="00A1337E"/>
    <w:rsid w:val="00A2023E"/>
    <w:rsid w:val="00A249A4"/>
    <w:rsid w:val="00A2528E"/>
    <w:rsid w:val="00A34C49"/>
    <w:rsid w:val="00A450AA"/>
    <w:rsid w:val="00A461C1"/>
    <w:rsid w:val="00A52C1B"/>
    <w:rsid w:val="00A53C2C"/>
    <w:rsid w:val="00A54B67"/>
    <w:rsid w:val="00A54F86"/>
    <w:rsid w:val="00A615BB"/>
    <w:rsid w:val="00A63392"/>
    <w:rsid w:val="00A722C5"/>
    <w:rsid w:val="00A8049B"/>
    <w:rsid w:val="00A83B99"/>
    <w:rsid w:val="00A859DC"/>
    <w:rsid w:val="00A872DA"/>
    <w:rsid w:val="00A9122E"/>
    <w:rsid w:val="00A91F36"/>
    <w:rsid w:val="00A93777"/>
    <w:rsid w:val="00A93A7F"/>
    <w:rsid w:val="00A94CC2"/>
    <w:rsid w:val="00AA0FB3"/>
    <w:rsid w:val="00AA140A"/>
    <w:rsid w:val="00AA64EA"/>
    <w:rsid w:val="00AB6B27"/>
    <w:rsid w:val="00AC056E"/>
    <w:rsid w:val="00AD6B25"/>
    <w:rsid w:val="00AD6ED0"/>
    <w:rsid w:val="00AD73A3"/>
    <w:rsid w:val="00AE043C"/>
    <w:rsid w:val="00AE2C17"/>
    <w:rsid w:val="00AE5333"/>
    <w:rsid w:val="00AE6F3C"/>
    <w:rsid w:val="00AF196A"/>
    <w:rsid w:val="00AF3CC8"/>
    <w:rsid w:val="00AF54E1"/>
    <w:rsid w:val="00B04E81"/>
    <w:rsid w:val="00B1360D"/>
    <w:rsid w:val="00B14E6B"/>
    <w:rsid w:val="00B16089"/>
    <w:rsid w:val="00B1754B"/>
    <w:rsid w:val="00B266B6"/>
    <w:rsid w:val="00B31CA2"/>
    <w:rsid w:val="00B327E3"/>
    <w:rsid w:val="00B448CF"/>
    <w:rsid w:val="00B457D5"/>
    <w:rsid w:val="00B47764"/>
    <w:rsid w:val="00B4784E"/>
    <w:rsid w:val="00B5294B"/>
    <w:rsid w:val="00B52D63"/>
    <w:rsid w:val="00B61E59"/>
    <w:rsid w:val="00B62476"/>
    <w:rsid w:val="00B67011"/>
    <w:rsid w:val="00B71D9B"/>
    <w:rsid w:val="00B73134"/>
    <w:rsid w:val="00B80D2F"/>
    <w:rsid w:val="00B82E58"/>
    <w:rsid w:val="00B84F33"/>
    <w:rsid w:val="00B863CD"/>
    <w:rsid w:val="00B90EB4"/>
    <w:rsid w:val="00B96A2A"/>
    <w:rsid w:val="00B97802"/>
    <w:rsid w:val="00BA0E5D"/>
    <w:rsid w:val="00BA3124"/>
    <w:rsid w:val="00BA37AA"/>
    <w:rsid w:val="00BA430E"/>
    <w:rsid w:val="00BA47FF"/>
    <w:rsid w:val="00BA55B3"/>
    <w:rsid w:val="00BB2B84"/>
    <w:rsid w:val="00BC27C8"/>
    <w:rsid w:val="00BC6146"/>
    <w:rsid w:val="00BC7F03"/>
    <w:rsid w:val="00BD228F"/>
    <w:rsid w:val="00BD389A"/>
    <w:rsid w:val="00BD67D8"/>
    <w:rsid w:val="00BE0E72"/>
    <w:rsid w:val="00BE2F9C"/>
    <w:rsid w:val="00BE3C13"/>
    <w:rsid w:val="00BE51E0"/>
    <w:rsid w:val="00BE6FF1"/>
    <w:rsid w:val="00BF3812"/>
    <w:rsid w:val="00BF4099"/>
    <w:rsid w:val="00BF5EC4"/>
    <w:rsid w:val="00C06754"/>
    <w:rsid w:val="00C07A4F"/>
    <w:rsid w:val="00C13489"/>
    <w:rsid w:val="00C244BA"/>
    <w:rsid w:val="00C254EC"/>
    <w:rsid w:val="00C25AD7"/>
    <w:rsid w:val="00C31620"/>
    <w:rsid w:val="00C35A6C"/>
    <w:rsid w:val="00C3605A"/>
    <w:rsid w:val="00C40424"/>
    <w:rsid w:val="00C4070E"/>
    <w:rsid w:val="00C446BE"/>
    <w:rsid w:val="00C46538"/>
    <w:rsid w:val="00C46568"/>
    <w:rsid w:val="00C519A3"/>
    <w:rsid w:val="00C524FA"/>
    <w:rsid w:val="00C5356C"/>
    <w:rsid w:val="00C557E5"/>
    <w:rsid w:val="00C61DF1"/>
    <w:rsid w:val="00C636A8"/>
    <w:rsid w:val="00C6379C"/>
    <w:rsid w:val="00C645B2"/>
    <w:rsid w:val="00C649A3"/>
    <w:rsid w:val="00C64C38"/>
    <w:rsid w:val="00C64D53"/>
    <w:rsid w:val="00C67B6C"/>
    <w:rsid w:val="00C716E6"/>
    <w:rsid w:val="00C738D8"/>
    <w:rsid w:val="00C7432E"/>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1E6"/>
    <w:rsid w:val="00CC6D92"/>
    <w:rsid w:val="00CD04A5"/>
    <w:rsid w:val="00CD0CA9"/>
    <w:rsid w:val="00CD3C2F"/>
    <w:rsid w:val="00CD7D67"/>
    <w:rsid w:val="00CE01EF"/>
    <w:rsid w:val="00CE69E8"/>
    <w:rsid w:val="00CF001A"/>
    <w:rsid w:val="00CF355D"/>
    <w:rsid w:val="00CF4EE2"/>
    <w:rsid w:val="00D0134F"/>
    <w:rsid w:val="00D0202D"/>
    <w:rsid w:val="00D037DA"/>
    <w:rsid w:val="00D06A07"/>
    <w:rsid w:val="00D14665"/>
    <w:rsid w:val="00D14E99"/>
    <w:rsid w:val="00D1571D"/>
    <w:rsid w:val="00D21E36"/>
    <w:rsid w:val="00D22F96"/>
    <w:rsid w:val="00D2321E"/>
    <w:rsid w:val="00D23492"/>
    <w:rsid w:val="00D26520"/>
    <w:rsid w:val="00D277F8"/>
    <w:rsid w:val="00D300DD"/>
    <w:rsid w:val="00D44F13"/>
    <w:rsid w:val="00D479CD"/>
    <w:rsid w:val="00D6035F"/>
    <w:rsid w:val="00D74E9C"/>
    <w:rsid w:val="00D829D0"/>
    <w:rsid w:val="00D83BA3"/>
    <w:rsid w:val="00D83FEB"/>
    <w:rsid w:val="00D841A1"/>
    <w:rsid w:val="00D84F11"/>
    <w:rsid w:val="00D92C17"/>
    <w:rsid w:val="00D930BB"/>
    <w:rsid w:val="00D932AD"/>
    <w:rsid w:val="00D93779"/>
    <w:rsid w:val="00D95A48"/>
    <w:rsid w:val="00D95A4C"/>
    <w:rsid w:val="00D964EF"/>
    <w:rsid w:val="00D967A2"/>
    <w:rsid w:val="00D96D37"/>
    <w:rsid w:val="00DB181C"/>
    <w:rsid w:val="00DD0759"/>
    <w:rsid w:val="00DD645E"/>
    <w:rsid w:val="00DE249D"/>
    <w:rsid w:val="00DE4CB0"/>
    <w:rsid w:val="00DE5EAC"/>
    <w:rsid w:val="00DE77B9"/>
    <w:rsid w:val="00DF13EC"/>
    <w:rsid w:val="00E02431"/>
    <w:rsid w:val="00E03C51"/>
    <w:rsid w:val="00E11081"/>
    <w:rsid w:val="00E11C3A"/>
    <w:rsid w:val="00E22781"/>
    <w:rsid w:val="00E255AC"/>
    <w:rsid w:val="00E26053"/>
    <w:rsid w:val="00E305F9"/>
    <w:rsid w:val="00E312D2"/>
    <w:rsid w:val="00E33009"/>
    <w:rsid w:val="00E3415B"/>
    <w:rsid w:val="00E42EAA"/>
    <w:rsid w:val="00E43660"/>
    <w:rsid w:val="00E449D8"/>
    <w:rsid w:val="00E45D74"/>
    <w:rsid w:val="00E51F99"/>
    <w:rsid w:val="00E52414"/>
    <w:rsid w:val="00E55177"/>
    <w:rsid w:val="00E57591"/>
    <w:rsid w:val="00E653F5"/>
    <w:rsid w:val="00E72F1F"/>
    <w:rsid w:val="00E763ED"/>
    <w:rsid w:val="00E86025"/>
    <w:rsid w:val="00E867D6"/>
    <w:rsid w:val="00E8709E"/>
    <w:rsid w:val="00E93BCC"/>
    <w:rsid w:val="00E9439E"/>
    <w:rsid w:val="00E96E54"/>
    <w:rsid w:val="00EA11E5"/>
    <w:rsid w:val="00EA1ED7"/>
    <w:rsid w:val="00EA45BE"/>
    <w:rsid w:val="00EA5C66"/>
    <w:rsid w:val="00EA7D2D"/>
    <w:rsid w:val="00EB0C24"/>
    <w:rsid w:val="00EB7510"/>
    <w:rsid w:val="00EC2D7B"/>
    <w:rsid w:val="00EC4905"/>
    <w:rsid w:val="00EC5B8E"/>
    <w:rsid w:val="00EC7653"/>
    <w:rsid w:val="00ED5241"/>
    <w:rsid w:val="00ED64CD"/>
    <w:rsid w:val="00ED7DBB"/>
    <w:rsid w:val="00EE5896"/>
    <w:rsid w:val="00EE6E83"/>
    <w:rsid w:val="00EF20F4"/>
    <w:rsid w:val="00EF2D43"/>
    <w:rsid w:val="00EF2D68"/>
    <w:rsid w:val="00EF5BD9"/>
    <w:rsid w:val="00EF6456"/>
    <w:rsid w:val="00F03403"/>
    <w:rsid w:val="00F06631"/>
    <w:rsid w:val="00F115E5"/>
    <w:rsid w:val="00F121C0"/>
    <w:rsid w:val="00F1492D"/>
    <w:rsid w:val="00F2140E"/>
    <w:rsid w:val="00F21E0F"/>
    <w:rsid w:val="00F275D0"/>
    <w:rsid w:val="00F33035"/>
    <w:rsid w:val="00F331FE"/>
    <w:rsid w:val="00F344D6"/>
    <w:rsid w:val="00F35244"/>
    <w:rsid w:val="00F35F13"/>
    <w:rsid w:val="00F37250"/>
    <w:rsid w:val="00F3752A"/>
    <w:rsid w:val="00F40FBF"/>
    <w:rsid w:val="00F41ABA"/>
    <w:rsid w:val="00F43D41"/>
    <w:rsid w:val="00F502E0"/>
    <w:rsid w:val="00F52F5A"/>
    <w:rsid w:val="00F550F5"/>
    <w:rsid w:val="00F56501"/>
    <w:rsid w:val="00F603CC"/>
    <w:rsid w:val="00F70419"/>
    <w:rsid w:val="00F74EBD"/>
    <w:rsid w:val="00F80561"/>
    <w:rsid w:val="00F80DDA"/>
    <w:rsid w:val="00F82ADB"/>
    <w:rsid w:val="00F831B3"/>
    <w:rsid w:val="00F86B8B"/>
    <w:rsid w:val="00F8733F"/>
    <w:rsid w:val="00F94057"/>
    <w:rsid w:val="00FA73E0"/>
    <w:rsid w:val="00FB3AAB"/>
    <w:rsid w:val="00FC02B4"/>
    <w:rsid w:val="00FD1370"/>
    <w:rsid w:val="00FD2D14"/>
    <w:rsid w:val="00FD5F55"/>
    <w:rsid w:val="00FE3364"/>
    <w:rsid w:val="00FE4AEE"/>
    <w:rsid w:val="00FE6711"/>
    <w:rsid w:val="00FF2D5E"/>
    <w:rsid w:val="00FF3FB5"/>
    <w:rsid w:val="00FF5A2F"/>
    <w:rsid w:val="01931D25"/>
    <w:rsid w:val="01D73702"/>
    <w:rsid w:val="022C71BD"/>
    <w:rsid w:val="02741B48"/>
    <w:rsid w:val="02982B8B"/>
    <w:rsid w:val="02B0261F"/>
    <w:rsid w:val="02E826FD"/>
    <w:rsid w:val="03532FA6"/>
    <w:rsid w:val="03A27FDE"/>
    <w:rsid w:val="03BD3D36"/>
    <w:rsid w:val="03DC17E3"/>
    <w:rsid w:val="041472D6"/>
    <w:rsid w:val="043467F3"/>
    <w:rsid w:val="04A258FF"/>
    <w:rsid w:val="04AB5538"/>
    <w:rsid w:val="04B56FFC"/>
    <w:rsid w:val="0521025C"/>
    <w:rsid w:val="0590322C"/>
    <w:rsid w:val="05AA653C"/>
    <w:rsid w:val="06377F9B"/>
    <w:rsid w:val="065A06FB"/>
    <w:rsid w:val="06E774C5"/>
    <w:rsid w:val="06F24C32"/>
    <w:rsid w:val="07002189"/>
    <w:rsid w:val="07057008"/>
    <w:rsid w:val="07131EBF"/>
    <w:rsid w:val="074B5DC3"/>
    <w:rsid w:val="07A15B45"/>
    <w:rsid w:val="07CA2FAC"/>
    <w:rsid w:val="07D83FA0"/>
    <w:rsid w:val="081751D4"/>
    <w:rsid w:val="081859DF"/>
    <w:rsid w:val="08597DA5"/>
    <w:rsid w:val="08971C5B"/>
    <w:rsid w:val="09062A4A"/>
    <w:rsid w:val="09077ABD"/>
    <w:rsid w:val="091B6C1C"/>
    <w:rsid w:val="09417BAA"/>
    <w:rsid w:val="098A1205"/>
    <w:rsid w:val="09DA06B8"/>
    <w:rsid w:val="09E37F70"/>
    <w:rsid w:val="0A34391E"/>
    <w:rsid w:val="0A526203"/>
    <w:rsid w:val="0AA65EBF"/>
    <w:rsid w:val="0ADF5149"/>
    <w:rsid w:val="0B1A2EE8"/>
    <w:rsid w:val="0B330FE2"/>
    <w:rsid w:val="0B380146"/>
    <w:rsid w:val="0BA2166C"/>
    <w:rsid w:val="0BDA548E"/>
    <w:rsid w:val="0BFC38B9"/>
    <w:rsid w:val="0C211877"/>
    <w:rsid w:val="0C2B27AC"/>
    <w:rsid w:val="0C341B7B"/>
    <w:rsid w:val="0C656D19"/>
    <w:rsid w:val="0C735F2D"/>
    <w:rsid w:val="0C9E0E40"/>
    <w:rsid w:val="0CA1065F"/>
    <w:rsid w:val="0CDC0361"/>
    <w:rsid w:val="0CFE5E3A"/>
    <w:rsid w:val="0D0429D6"/>
    <w:rsid w:val="0D460BF6"/>
    <w:rsid w:val="0D850E58"/>
    <w:rsid w:val="0D9A41BC"/>
    <w:rsid w:val="0D9B7E75"/>
    <w:rsid w:val="0DA16E77"/>
    <w:rsid w:val="0DE16BD7"/>
    <w:rsid w:val="0E250E55"/>
    <w:rsid w:val="0ECC12D1"/>
    <w:rsid w:val="0ED61827"/>
    <w:rsid w:val="0FA17473"/>
    <w:rsid w:val="0FBA1BF8"/>
    <w:rsid w:val="0FCB1378"/>
    <w:rsid w:val="0FD77389"/>
    <w:rsid w:val="0FDA6697"/>
    <w:rsid w:val="108A31F2"/>
    <w:rsid w:val="109F647B"/>
    <w:rsid w:val="10A357D8"/>
    <w:rsid w:val="10CB76D4"/>
    <w:rsid w:val="11524D90"/>
    <w:rsid w:val="115D3744"/>
    <w:rsid w:val="11B80EC8"/>
    <w:rsid w:val="11BF6026"/>
    <w:rsid w:val="11CC6F30"/>
    <w:rsid w:val="12B56815"/>
    <w:rsid w:val="136D4045"/>
    <w:rsid w:val="138B101F"/>
    <w:rsid w:val="13E36028"/>
    <w:rsid w:val="13FE76FB"/>
    <w:rsid w:val="142C45C0"/>
    <w:rsid w:val="142F43C4"/>
    <w:rsid w:val="14391EBC"/>
    <w:rsid w:val="14A61F77"/>
    <w:rsid w:val="14A83E1E"/>
    <w:rsid w:val="14C34F24"/>
    <w:rsid w:val="14D7514B"/>
    <w:rsid w:val="15143415"/>
    <w:rsid w:val="153D191B"/>
    <w:rsid w:val="15537438"/>
    <w:rsid w:val="15BC62C4"/>
    <w:rsid w:val="162304A9"/>
    <w:rsid w:val="16450C97"/>
    <w:rsid w:val="165840B5"/>
    <w:rsid w:val="16C62AF7"/>
    <w:rsid w:val="16C73B21"/>
    <w:rsid w:val="16C872BC"/>
    <w:rsid w:val="16EA6AE9"/>
    <w:rsid w:val="170822A7"/>
    <w:rsid w:val="17595E53"/>
    <w:rsid w:val="178526DD"/>
    <w:rsid w:val="17E7723B"/>
    <w:rsid w:val="17FD7140"/>
    <w:rsid w:val="182072A4"/>
    <w:rsid w:val="185E0ADF"/>
    <w:rsid w:val="186837A2"/>
    <w:rsid w:val="18A73166"/>
    <w:rsid w:val="18B2778A"/>
    <w:rsid w:val="18CE0525"/>
    <w:rsid w:val="193E5369"/>
    <w:rsid w:val="195C3428"/>
    <w:rsid w:val="19D968D8"/>
    <w:rsid w:val="1A325A0A"/>
    <w:rsid w:val="1AEB78E6"/>
    <w:rsid w:val="1BC07C10"/>
    <w:rsid w:val="1BF8705E"/>
    <w:rsid w:val="1C416732"/>
    <w:rsid w:val="1CF157CF"/>
    <w:rsid w:val="1D1175F9"/>
    <w:rsid w:val="1D20640B"/>
    <w:rsid w:val="1D2652DF"/>
    <w:rsid w:val="1DA309DB"/>
    <w:rsid w:val="1DF443A0"/>
    <w:rsid w:val="1E2506ED"/>
    <w:rsid w:val="1E310D67"/>
    <w:rsid w:val="1E4E4164"/>
    <w:rsid w:val="1E533D00"/>
    <w:rsid w:val="1E92683A"/>
    <w:rsid w:val="1E992EA6"/>
    <w:rsid w:val="1EAB0141"/>
    <w:rsid w:val="1F2F512A"/>
    <w:rsid w:val="1F585CFC"/>
    <w:rsid w:val="1F662DBD"/>
    <w:rsid w:val="1F725BF5"/>
    <w:rsid w:val="1F7E19C3"/>
    <w:rsid w:val="202D72FE"/>
    <w:rsid w:val="20353462"/>
    <w:rsid w:val="20580C17"/>
    <w:rsid w:val="20A7394C"/>
    <w:rsid w:val="20E656E0"/>
    <w:rsid w:val="21A60CA8"/>
    <w:rsid w:val="21A977C5"/>
    <w:rsid w:val="21DC7C19"/>
    <w:rsid w:val="21E84F63"/>
    <w:rsid w:val="221451BC"/>
    <w:rsid w:val="224C1304"/>
    <w:rsid w:val="231F28AF"/>
    <w:rsid w:val="233F7861"/>
    <w:rsid w:val="2384756A"/>
    <w:rsid w:val="23A06601"/>
    <w:rsid w:val="23AA6C7F"/>
    <w:rsid w:val="23C61050"/>
    <w:rsid w:val="23C864C0"/>
    <w:rsid w:val="23FE2E8A"/>
    <w:rsid w:val="24192F4D"/>
    <w:rsid w:val="24365E92"/>
    <w:rsid w:val="249E6E14"/>
    <w:rsid w:val="24C83E91"/>
    <w:rsid w:val="24E97644"/>
    <w:rsid w:val="24F12BA4"/>
    <w:rsid w:val="24F77760"/>
    <w:rsid w:val="257505F6"/>
    <w:rsid w:val="25B00242"/>
    <w:rsid w:val="25D074A1"/>
    <w:rsid w:val="26103708"/>
    <w:rsid w:val="263E0061"/>
    <w:rsid w:val="26433F0F"/>
    <w:rsid w:val="26A044CD"/>
    <w:rsid w:val="26E261D6"/>
    <w:rsid w:val="27455C6D"/>
    <w:rsid w:val="27FA6A57"/>
    <w:rsid w:val="281669B5"/>
    <w:rsid w:val="2831562D"/>
    <w:rsid w:val="28583F36"/>
    <w:rsid w:val="285B510C"/>
    <w:rsid w:val="28814A9F"/>
    <w:rsid w:val="298F31CF"/>
    <w:rsid w:val="29CC61D1"/>
    <w:rsid w:val="29FF65A7"/>
    <w:rsid w:val="2A2F03E4"/>
    <w:rsid w:val="2A766F12"/>
    <w:rsid w:val="2A834AE2"/>
    <w:rsid w:val="2A8555CF"/>
    <w:rsid w:val="2AAE5141"/>
    <w:rsid w:val="2AC63E3A"/>
    <w:rsid w:val="2AD908DC"/>
    <w:rsid w:val="2BE041B6"/>
    <w:rsid w:val="2C2F3C4E"/>
    <w:rsid w:val="2C5006AD"/>
    <w:rsid w:val="2C950AFD"/>
    <w:rsid w:val="2C9B22E6"/>
    <w:rsid w:val="2CAE7E10"/>
    <w:rsid w:val="2CD177EE"/>
    <w:rsid w:val="2D68207B"/>
    <w:rsid w:val="2D9A265E"/>
    <w:rsid w:val="2DBC34F0"/>
    <w:rsid w:val="2DCA302C"/>
    <w:rsid w:val="2E4D6100"/>
    <w:rsid w:val="2E8D1C8D"/>
    <w:rsid w:val="2E9712D9"/>
    <w:rsid w:val="2F1E028E"/>
    <w:rsid w:val="2F59325D"/>
    <w:rsid w:val="2F6D7B0F"/>
    <w:rsid w:val="2FCA0696"/>
    <w:rsid w:val="2FDE6635"/>
    <w:rsid w:val="2FF3196F"/>
    <w:rsid w:val="30154371"/>
    <w:rsid w:val="301819E1"/>
    <w:rsid w:val="302E3EBE"/>
    <w:rsid w:val="30647C7C"/>
    <w:rsid w:val="30761B12"/>
    <w:rsid w:val="30823509"/>
    <w:rsid w:val="30B71106"/>
    <w:rsid w:val="31091261"/>
    <w:rsid w:val="310D1313"/>
    <w:rsid w:val="312A6D66"/>
    <w:rsid w:val="31D077C5"/>
    <w:rsid w:val="320C6026"/>
    <w:rsid w:val="32A97B6A"/>
    <w:rsid w:val="32CF2642"/>
    <w:rsid w:val="32DF0D23"/>
    <w:rsid w:val="32F211F7"/>
    <w:rsid w:val="33133BB4"/>
    <w:rsid w:val="33280313"/>
    <w:rsid w:val="332B6461"/>
    <w:rsid w:val="33694A91"/>
    <w:rsid w:val="339B6AD5"/>
    <w:rsid w:val="34EB675E"/>
    <w:rsid w:val="350A3DC1"/>
    <w:rsid w:val="35C1166C"/>
    <w:rsid w:val="35DB1DA8"/>
    <w:rsid w:val="35DC7431"/>
    <w:rsid w:val="35F750FF"/>
    <w:rsid w:val="35FA576C"/>
    <w:rsid w:val="363B2FD9"/>
    <w:rsid w:val="363F7B73"/>
    <w:rsid w:val="366011AB"/>
    <w:rsid w:val="3689216E"/>
    <w:rsid w:val="368E4BD0"/>
    <w:rsid w:val="377C50FB"/>
    <w:rsid w:val="37A12A4B"/>
    <w:rsid w:val="37DD2E4D"/>
    <w:rsid w:val="38103901"/>
    <w:rsid w:val="387D5183"/>
    <w:rsid w:val="38C3368A"/>
    <w:rsid w:val="39081182"/>
    <w:rsid w:val="39291086"/>
    <w:rsid w:val="396909A8"/>
    <w:rsid w:val="397D41B6"/>
    <w:rsid w:val="39A43E9E"/>
    <w:rsid w:val="39B90C45"/>
    <w:rsid w:val="3A667F7C"/>
    <w:rsid w:val="3A72247D"/>
    <w:rsid w:val="3A9625D3"/>
    <w:rsid w:val="3AC0143A"/>
    <w:rsid w:val="3AEC50AC"/>
    <w:rsid w:val="3AEE5BCA"/>
    <w:rsid w:val="3AFC150B"/>
    <w:rsid w:val="3B0B3DB7"/>
    <w:rsid w:val="3B27634E"/>
    <w:rsid w:val="3B4F27BE"/>
    <w:rsid w:val="3B507960"/>
    <w:rsid w:val="3B9C1EA7"/>
    <w:rsid w:val="3C502C92"/>
    <w:rsid w:val="3C536315"/>
    <w:rsid w:val="3CC11BBD"/>
    <w:rsid w:val="3CDD7E68"/>
    <w:rsid w:val="3CEF7A5F"/>
    <w:rsid w:val="3D11278F"/>
    <w:rsid w:val="3DBD6E6B"/>
    <w:rsid w:val="3DDB2309"/>
    <w:rsid w:val="3E1C7648"/>
    <w:rsid w:val="3E7513A8"/>
    <w:rsid w:val="3E806858"/>
    <w:rsid w:val="3EF86FED"/>
    <w:rsid w:val="3F7034A4"/>
    <w:rsid w:val="3F92383F"/>
    <w:rsid w:val="3FA81303"/>
    <w:rsid w:val="3FDF4541"/>
    <w:rsid w:val="402B1DAB"/>
    <w:rsid w:val="403C5B80"/>
    <w:rsid w:val="40880BF2"/>
    <w:rsid w:val="409148B3"/>
    <w:rsid w:val="40D57DED"/>
    <w:rsid w:val="40D83EF0"/>
    <w:rsid w:val="40E24800"/>
    <w:rsid w:val="41682F77"/>
    <w:rsid w:val="4183336E"/>
    <w:rsid w:val="41836991"/>
    <w:rsid w:val="4191768D"/>
    <w:rsid w:val="41C9151C"/>
    <w:rsid w:val="41F805B2"/>
    <w:rsid w:val="42022D64"/>
    <w:rsid w:val="42022F38"/>
    <w:rsid w:val="423F6B2A"/>
    <w:rsid w:val="42946B5F"/>
    <w:rsid w:val="42EC40B4"/>
    <w:rsid w:val="4344009D"/>
    <w:rsid w:val="43D93C12"/>
    <w:rsid w:val="43F765D2"/>
    <w:rsid w:val="441A760A"/>
    <w:rsid w:val="44666AA8"/>
    <w:rsid w:val="448307E0"/>
    <w:rsid w:val="44EC0CD9"/>
    <w:rsid w:val="4537386B"/>
    <w:rsid w:val="45600E31"/>
    <w:rsid w:val="45675A2E"/>
    <w:rsid w:val="45A463AA"/>
    <w:rsid w:val="46137C9E"/>
    <w:rsid w:val="465D4F3E"/>
    <w:rsid w:val="46633F07"/>
    <w:rsid w:val="46781715"/>
    <w:rsid w:val="467F6306"/>
    <w:rsid w:val="471053F0"/>
    <w:rsid w:val="47424AC0"/>
    <w:rsid w:val="48030847"/>
    <w:rsid w:val="480F6272"/>
    <w:rsid w:val="4869672F"/>
    <w:rsid w:val="48FD2238"/>
    <w:rsid w:val="496E6505"/>
    <w:rsid w:val="49E264F9"/>
    <w:rsid w:val="49FD1B21"/>
    <w:rsid w:val="4A024867"/>
    <w:rsid w:val="4A545997"/>
    <w:rsid w:val="4B3B68BB"/>
    <w:rsid w:val="4B762703"/>
    <w:rsid w:val="4B871DCE"/>
    <w:rsid w:val="4B984E9C"/>
    <w:rsid w:val="4B99014B"/>
    <w:rsid w:val="4BF62A76"/>
    <w:rsid w:val="4C5D5564"/>
    <w:rsid w:val="4C6D595B"/>
    <w:rsid w:val="4CA007E2"/>
    <w:rsid w:val="4CBE78F6"/>
    <w:rsid w:val="4CC73309"/>
    <w:rsid w:val="4D672896"/>
    <w:rsid w:val="4DC9648B"/>
    <w:rsid w:val="4E175B2C"/>
    <w:rsid w:val="4E862AB3"/>
    <w:rsid w:val="4EA1323F"/>
    <w:rsid w:val="4EB3234F"/>
    <w:rsid w:val="4EDE622F"/>
    <w:rsid w:val="4EE37540"/>
    <w:rsid w:val="4F6643D7"/>
    <w:rsid w:val="505066D1"/>
    <w:rsid w:val="50672889"/>
    <w:rsid w:val="50AB7689"/>
    <w:rsid w:val="50F43583"/>
    <w:rsid w:val="515355B8"/>
    <w:rsid w:val="51B5514C"/>
    <w:rsid w:val="51FD38AD"/>
    <w:rsid w:val="521E7444"/>
    <w:rsid w:val="52287B99"/>
    <w:rsid w:val="5270414C"/>
    <w:rsid w:val="52B23907"/>
    <w:rsid w:val="52B5357A"/>
    <w:rsid w:val="52F34D26"/>
    <w:rsid w:val="52FC3135"/>
    <w:rsid w:val="536B5669"/>
    <w:rsid w:val="539F0A6F"/>
    <w:rsid w:val="53A022C0"/>
    <w:rsid w:val="53BE4119"/>
    <w:rsid w:val="53F412E0"/>
    <w:rsid w:val="544D71BC"/>
    <w:rsid w:val="545E662E"/>
    <w:rsid w:val="5495703C"/>
    <w:rsid w:val="56006334"/>
    <w:rsid w:val="562C0C5E"/>
    <w:rsid w:val="568E410B"/>
    <w:rsid w:val="56E232D9"/>
    <w:rsid w:val="57B85627"/>
    <w:rsid w:val="582237F6"/>
    <w:rsid w:val="58297586"/>
    <w:rsid w:val="582F5037"/>
    <w:rsid w:val="5860738B"/>
    <w:rsid w:val="588D7181"/>
    <w:rsid w:val="592B54FE"/>
    <w:rsid w:val="597B4EE7"/>
    <w:rsid w:val="599C5DFA"/>
    <w:rsid w:val="5A045938"/>
    <w:rsid w:val="5A316BA3"/>
    <w:rsid w:val="5AAE12C4"/>
    <w:rsid w:val="5AD531C5"/>
    <w:rsid w:val="5ADD4DB8"/>
    <w:rsid w:val="5AE162A2"/>
    <w:rsid w:val="5B096777"/>
    <w:rsid w:val="5B7F02A9"/>
    <w:rsid w:val="5BAE68A6"/>
    <w:rsid w:val="5C142F3C"/>
    <w:rsid w:val="5C403D31"/>
    <w:rsid w:val="5C507600"/>
    <w:rsid w:val="5CB51BDF"/>
    <w:rsid w:val="5D431D2B"/>
    <w:rsid w:val="5D7619AD"/>
    <w:rsid w:val="5DC25271"/>
    <w:rsid w:val="5E340A9B"/>
    <w:rsid w:val="5E7A51B2"/>
    <w:rsid w:val="5E7F4D68"/>
    <w:rsid w:val="5EAE3669"/>
    <w:rsid w:val="5F13173B"/>
    <w:rsid w:val="5F464EA8"/>
    <w:rsid w:val="5F8C5835"/>
    <w:rsid w:val="5F9F3AD1"/>
    <w:rsid w:val="5FC11BAF"/>
    <w:rsid w:val="5FD1179A"/>
    <w:rsid w:val="5FDE482D"/>
    <w:rsid w:val="60181A41"/>
    <w:rsid w:val="60181EC6"/>
    <w:rsid w:val="607248C2"/>
    <w:rsid w:val="608C047E"/>
    <w:rsid w:val="61424C9B"/>
    <w:rsid w:val="61F62C17"/>
    <w:rsid w:val="61FB0739"/>
    <w:rsid w:val="6220083B"/>
    <w:rsid w:val="62690312"/>
    <w:rsid w:val="627863C5"/>
    <w:rsid w:val="62CC50DB"/>
    <w:rsid w:val="632232BF"/>
    <w:rsid w:val="635B2B24"/>
    <w:rsid w:val="63676F20"/>
    <w:rsid w:val="63AD6147"/>
    <w:rsid w:val="63BC179E"/>
    <w:rsid w:val="63F71F10"/>
    <w:rsid w:val="63FD0716"/>
    <w:rsid w:val="64253FBF"/>
    <w:rsid w:val="64447BD7"/>
    <w:rsid w:val="645049E5"/>
    <w:rsid w:val="64595C3F"/>
    <w:rsid w:val="64993BBB"/>
    <w:rsid w:val="649A66AD"/>
    <w:rsid w:val="656A45E9"/>
    <w:rsid w:val="65A609CB"/>
    <w:rsid w:val="661074B1"/>
    <w:rsid w:val="66C21069"/>
    <w:rsid w:val="66EA76BB"/>
    <w:rsid w:val="67047C2C"/>
    <w:rsid w:val="673F303D"/>
    <w:rsid w:val="67454F0A"/>
    <w:rsid w:val="676E209B"/>
    <w:rsid w:val="67B071BA"/>
    <w:rsid w:val="67CF5FF8"/>
    <w:rsid w:val="67D81B6B"/>
    <w:rsid w:val="67F7385F"/>
    <w:rsid w:val="682664D1"/>
    <w:rsid w:val="6834686B"/>
    <w:rsid w:val="684D2A5C"/>
    <w:rsid w:val="68601845"/>
    <w:rsid w:val="68836956"/>
    <w:rsid w:val="68BC6E36"/>
    <w:rsid w:val="68E60C5C"/>
    <w:rsid w:val="692B3AE2"/>
    <w:rsid w:val="69846640"/>
    <w:rsid w:val="699F1D94"/>
    <w:rsid w:val="69D602C2"/>
    <w:rsid w:val="69DB3BEA"/>
    <w:rsid w:val="6A1922B7"/>
    <w:rsid w:val="6A2C0B97"/>
    <w:rsid w:val="6B1A2749"/>
    <w:rsid w:val="6B4230C1"/>
    <w:rsid w:val="6BDC610F"/>
    <w:rsid w:val="6BF643D8"/>
    <w:rsid w:val="6C103AA2"/>
    <w:rsid w:val="6C1F6BB5"/>
    <w:rsid w:val="6C5A19CF"/>
    <w:rsid w:val="6CAC0ED7"/>
    <w:rsid w:val="6D00026D"/>
    <w:rsid w:val="6D01750D"/>
    <w:rsid w:val="6D3E35BC"/>
    <w:rsid w:val="6D714558"/>
    <w:rsid w:val="6D814FED"/>
    <w:rsid w:val="6D8639B6"/>
    <w:rsid w:val="6DC45BE1"/>
    <w:rsid w:val="6E4E3042"/>
    <w:rsid w:val="6EA513FD"/>
    <w:rsid w:val="6EDF6C80"/>
    <w:rsid w:val="6EFB49A1"/>
    <w:rsid w:val="6F066154"/>
    <w:rsid w:val="6F142B2E"/>
    <w:rsid w:val="6F323893"/>
    <w:rsid w:val="6F491901"/>
    <w:rsid w:val="6F7264A0"/>
    <w:rsid w:val="6FFA7221"/>
    <w:rsid w:val="70120F7C"/>
    <w:rsid w:val="706A7574"/>
    <w:rsid w:val="708F6791"/>
    <w:rsid w:val="709E5656"/>
    <w:rsid w:val="70E75D5E"/>
    <w:rsid w:val="71350702"/>
    <w:rsid w:val="715F6CA0"/>
    <w:rsid w:val="717A2FBC"/>
    <w:rsid w:val="72412E3C"/>
    <w:rsid w:val="72524E6E"/>
    <w:rsid w:val="726745A1"/>
    <w:rsid w:val="72A12D35"/>
    <w:rsid w:val="72FE29AB"/>
    <w:rsid w:val="73386562"/>
    <w:rsid w:val="73AB078A"/>
    <w:rsid w:val="745274EE"/>
    <w:rsid w:val="749B604C"/>
    <w:rsid w:val="74A61487"/>
    <w:rsid w:val="74A6344E"/>
    <w:rsid w:val="74F30E1E"/>
    <w:rsid w:val="75022074"/>
    <w:rsid w:val="75216EF7"/>
    <w:rsid w:val="752A6BC5"/>
    <w:rsid w:val="75332ACD"/>
    <w:rsid w:val="75485900"/>
    <w:rsid w:val="7560440F"/>
    <w:rsid w:val="75775E00"/>
    <w:rsid w:val="757B5044"/>
    <w:rsid w:val="75AA357B"/>
    <w:rsid w:val="76936E11"/>
    <w:rsid w:val="76946CFC"/>
    <w:rsid w:val="76C9703A"/>
    <w:rsid w:val="776552C6"/>
    <w:rsid w:val="77697BD3"/>
    <w:rsid w:val="777A2C11"/>
    <w:rsid w:val="77873860"/>
    <w:rsid w:val="77AF4C57"/>
    <w:rsid w:val="77F90E77"/>
    <w:rsid w:val="780A3E07"/>
    <w:rsid w:val="78672F03"/>
    <w:rsid w:val="795A0147"/>
    <w:rsid w:val="79703A50"/>
    <w:rsid w:val="79715D42"/>
    <w:rsid w:val="79E03380"/>
    <w:rsid w:val="79F57369"/>
    <w:rsid w:val="7A001B66"/>
    <w:rsid w:val="7A040DA0"/>
    <w:rsid w:val="7A761A22"/>
    <w:rsid w:val="7B2568B4"/>
    <w:rsid w:val="7B2710E0"/>
    <w:rsid w:val="7B314A56"/>
    <w:rsid w:val="7B58479C"/>
    <w:rsid w:val="7B712803"/>
    <w:rsid w:val="7B7E5653"/>
    <w:rsid w:val="7B8B3945"/>
    <w:rsid w:val="7BA66BE6"/>
    <w:rsid w:val="7BEA3C3C"/>
    <w:rsid w:val="7BEB3862"/>
    <w:rsid w:val="7D5250D2"/>
    <w:rsid w:val="7DA97531"/>
    <w:rsid w:val="7E2A07AF"/>
    <w:rsid w:val="7E4B7033"/>
    <w:rsid w:val="7E553215"/>
    <w:rsid w:val="7E553AE7"/>
    <w:rsid w:val="7E5A4CCF"/>
    <w:rsid w:val="7F8A1ED6"/>
    <w:rsid w:val="7FAA563D"/>
    <w:rsid w:val="7FC6747F"/>
    <w:rsid w:val="7FE674D9"/>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7">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unhideWhenUsed/>
    <w:qFormat/>
    <w:uiPriority w:val="99"/>
    <w:pPr>
      <w:spacing w:beforeLines="0" w:afterLines="0" w:line="360" w:lineRule="auto"/>
    </w:pPr>
    <w:rPr>
      <w:rFonts w:hint="default"/>
      <w:b/>
      <w:sz w:val="28"/>
      <w:szCs w:val="22"/>
    </w:rPr>
  </w:style>
  <w:style w:type="paragraph" w:styleId="3">
    <w:name w:val="Body Text"/>
    <w:basedOn w:val="1"/>
    <w:link w:val="56"/>
    <w:unhideWhenUsed/>
    <w:qFormat/>
    <w:uiPriority w:val="99"/>
    <w:pPr>
      <w:spacing w:after="120"/>
    </w:pPr>
  </w:style>
  <w:style w:type="paragraph" w:styleId="8">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9">
    <w:name w:val="Normal Indent"/>
    <w:basedOn w:val="1"/>
    <w:qFormat/>
    <w:uiPriority w:val="99"/>
    <w:pPr>
      <w:widowControl w:val="0"/>
      <w:spacing w:before="0" w:after="0" w:afterAutospacing="0"/>
      <w:ind w:left="0" w:right="0" w:firstLine="420"/>
    </w:pPr>
    <w:rPr>
      <w:kern w:val="2"/>
      <w:sz w:val="24"/>
      <w:szCs w:val="20"/>
    </w:rPr>
  </w:style>
  <w:style w:type="paragraph" w:styleId="10">
    <w:name w:val="caption"/>
    <w:basedOn w:val="1"/>
    <w:next w:val="1"/>
    <w:qFormat/>
    <w:uiPriority w:val="0"/>
    <w:pPr>
      <w:widowControl w:val="0"/>
      <w:spacing w:before="0" w:after="0" w:afterAutospacing="0" w:line="240" w:lineRule="auto"/>
      <w:ind w:left="0" w:right="0" w:firstLine="0"/>
    </w:pPr>
    <w:rPr>
      <w:rFonts w:ascii="Cambria" w:hAnsi="Cambria" w:eastAsia="黑体"/>
      <w:sz w:val="20"/>
      <w:szCs w:val="20"/>
    </w:rPr>
  </w:style>
  <w:style w:type="paragraph" w:styleId="11">
    <w:name w:val="Document Map"/>
    <w:basedOn w:val="1"/>
    <w:semiHidden/>
    <w:unhideWhenUsed/>
    <w:qFormat/>
    <w:uiPriority w:val="0"/>
    <w:rPr>
      <w:rFonts w:ascii="宋体"/>
      <w:sz w:val="18"/>
      <w:szCs w:val="18"/>
    </w:rPr>
  </w:style>
  <w:style w:type="paragraph" w:styleId="12">
    <w:name w:val="annotation text"/>
    <w:basedOn w:val="1"/>
    <w:semiHidden/>
    <w:unhideWhenUsed/>
    <w:qFormat/>
    <w:uiPriority w:val="0"/>
    <w:pPr>
      <w:jc w:val="left"/>
    </w:pPr>
  </w:style>
  <w:style w:type="paragraph" w:styleId="13">
    <w:name w:val="Body Text Indent"/>
    <w:basedOn w:val="1"/>
    <w:link w:val="70"/>
    <w:semiHidden/>
    <w:unhideWhenUsed/>
    <w:qFormat/>
    <w:uiPriority w:val="99"/>
    <w:pPr>
      <w:spacing w:after="120"/>
      <w:ind w:left="420" w:leftChars="200"/>
    </w:pPr>
  </w:style>
  <w:style w:type="paragraph" w:styleId="14">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5">
    <w:name w:val="toc 3"/>
    <w:basedOn w:val="1"/>
    <w:next w:val="1"/>
    <w:unhideWhenUsed/>
    <w:qFormat/>
    <w:uiPriority w:val="39"/>
    <w:pPr>
      <w:ind w:left="840" w:firstLine="0"/>
    </w:pPr>
  </w:style>
  <w:style w:type="paragraph" w:styleId="16">
    <w:name w:val="Plain Text"/>
    <w:basedOn w:val="1"/>
    <w:link w:val="54"/>
    <w:unhideWhenUsed/>
    <w:qFormat/>
    <w:uiPriority w:val="0"/>
    <w:rPr>
      <w:rFonts w:ascii="宋体" w:hAnsi="Courier New" w:cs="宋体"/>
      <w:sz w:val="20"/>
      <w:szCs w:val="20"/>
    </w:rPr>
  </w:style>
  <w:style w:type="paragraph" w:styleId="17">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8">
    <w:name w:val="Date"/>
    <w:basedOn w:val="1"/>
    <w:next w:val="1"/>
    <w:link w:val="58"/>
    <w:semiHidden/>
    <w:unhideWhenUsed/>
    <w:qFormat/>
    <w:uiPriority w:val="99"/>
    <w:pPr>
      <w:ind w:left="100" w:leftChars="2500"/>
    </w:pPr>
  </w:style>
  <w:style w:type="paragraph" w:styleId="19">
    <w:name w:val="Balloon Text"/>
    <w:basedOn w:val="1"/>
    <w:semiHidden/>
    <w:unhideWhenUsed/>
    <w:qFormat/>
    <w:uiPriority w:val="0"/>
    <w:pPr>
      <w:spacing w:after="0" w:line="240" w:lineRule="auto"/>
    </w:pPr>
    <w:rPr>
      <w:sz w:val="18"/>
      <w:szCs w:val="18"/>
    </w:rPr>
  </w:style>
  <w:style w:type="paragraph" w:styleId="20">
    <w:name w:val="footer"/>
    <w:basedOn w:val="1"/>
    <w:qFormat/>
    <w:uiPriority w:val="99"/>
    <w:pPr>
      <w:tabs>
        <w:tab w:val="center" w:pos="4153"/>
        <w:tab w:val="right" w:pos="8306"/>
      </w:tabs>
      <w:snapToGrid w:val="0"/>
      <w:jc w:val="left"/>
    </w:pPr>
    <w:rPr>
      <w:sz w:val="18"/>
      <w:szCs w:val="18"/>
    </w:rPr>
  </w:style>
  <w:style w:type="paragraph" w:styleId="21">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style>
  <w:style w:type="paragraph" w:styleId="23">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4">
    <w:name w:val="footnote text"/>
    <w:basedOn w:val="1"/>
    <w:semiHidden/>
    <w:unhideWhenUsed/>
    <w:qFormat/>
    <w:uiPriority w:val="0"/>
    <w:pPr>
      <w:snapToGrid w:val="0"/>
      <w:jc w:val="left"/>
    </w:pPr>
    <w:rPr>
      <w:sz w:val="18"/>
      <w:szCs w:val="18"/>
    </w:rPr>
  </w:style>
  <w:style w:type="paragraph" w:styleId="25">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6">
    <w:name w:val="Body Text Indent 3"/>
    <w:basedOn w:val="1"/>
    <w:qFormat/>
    <w:uiPriority w:val="0"/>
    <w:pPr>
      <w:spacing w:after="120"/>
      <w:ind w:left="420" w:firstLine="0"/>
    </w:pPr>
    <w:rPr>
      <w:sz w:val="16"/>
      <w:szCs w:val="16"/>
    </w:rPr>
  </w:style>
  <w:style w:type="paragraph" w:styleId="27">
    <w:name w:val="toc 2"/>
    <w:basedOn w:val="1"/>
    <w:next w:val="1"/>
    <w:unhideWhenUsed/>
    <w:qFormat/>
    <w:uiPriority w:val="39"/>
    <w:pPr>
      <w:ind w:left="420" w:firstLine="0"/>
    </w:pPr>
  </w:style>
  <w:style w:type="paragraph" w:styleId="28">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9">
    <w:name w:val="Body Text 2"/>
    <w:basedOn w:val="1"/>
    <w:link w:val="65"/>
    <w:unhideWhenUsed/>
    <w:qFormat/>
    <w:uiPriority w:val="0"/>
    <w:pPr>
      <w:widowControl w:val="0"/>
      <w:spacing w:before="100" w:beforeAutospacing="1" w:after="0" w:afterAutospacing="0" w:line="240" w:lineRule="auto"/>
      <w:ind w:left="0" w:right="0" w:firstLine="0"/>
    </w:pPr>
    <w:rPr>
      <w:sz w:val="20"/>
    </w:rPr>
  </w:style>
  <w:style w:type="paragraph" w:styleId="30">
    <w:name w:val="Normal (Web)"/>
    <w:basedOn w:val="1"/>
    <w:unhideWhenUsed/>
    <w:qFormat/>
    <w:uiPriority w:val="99"/>
    <w:pPr>
      <w:spacing w:before="100" w:beforeAutospacing="1" w:line="240" w:lineRule="auto"/>
      <w:ind w:left="0" w:right="0" w:firstLine="0"/>
      <w:jc w:val="left"/>
    </w:pPr>
    <w:rPr>
      <w:rFonts w:ascii="宋体" w:hAnsi="宋体" w:cs="宋体"/>
      <w:sz w:val="24"/>
      <w:szCs w:val="24"/>
    </w:rPr>
  </w:style>
  <w:style w:type="paragraph" w:styleId="31">
    <w:name w:val="annotation subject"/>
    <w:basedOn w:val="12"/>
    <w:next w:val="12"/>
    <w:semiHidden/>
    <w:unhideWhenUsed/>
    <w:qFormat/>
    <w:uiPriority w:val="0"/>
    <w:rPr>
      <w:b/>
    </w:rPr>
  </w:style>
  <w:style w:type="paragraph" w:styleId="32">
    <w:name w:val="Body Text First Indent 2"/>
    <w:basedOn w:val="13"/>
    <w:link w:val="69"/>
    <w:semiHidden/>
    <w:unhideWhenUsed/>
    <w:qFormat/>
    <w:uiPriority w:val="99"/>
    <w:pPr>
      <w:ind w:firstLine="420" w:firstLineChars="200"/>
    </w:pPr>
  </w:style>
  <w:style w:type="table" w:styleId="34">
    <w:name w:val="Table Grid"/>
    <w:basedOn w:val="3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20"/>
    <w:rPr>
      <w:rFonts w:cs="Times New Roman"/>
      <w:b/>
    </w:rPr>
  </w:style>
  <w:style w:type="character" w:styleId="37">
    <w:name w:val="page number"/>
    <w:basedOn w:val="35"/>
    <w:qFormat/>
    <w:uiPriority w:val="0"/>
  </w:style>
  <w:style w:type="character" w:styleId="38">
    <w:name w:val="Hyperlink"/>
    <w:basedOn w:val="35"/>
    <w:unhideWhenUsed/>
    <w:qFormat/>
    <w:uiPriority w:val="99"/>
    <w:rPr>
      <w:color w:val="0000FF"/>
      <w:u w:val="single"/>
    </w:rPr>
  </w:style>
  <w:style w:type="character" w:styleId="39">
    <w:name w:val="annotation reference"/>
    <w:basedOn w:val="35"/>
    <w:semiHidden/>
    <w:unhideWhenUsed/>
    <w:qFormat/>
    <w:uiPriority w:val="0"/>
    <w:rPr>
      <w:sz w:val="21"/>
      <w:szCs w:val="21"/>
    </w:rPr>
  </w:style>
  <w:style w:type="character" w:styleId="40">
    <w:name w:val="footnote reference"/>
    <w:basedOn w:val="35"/>
    <w:semiHidden/>
    <w:unhideWhenUsed/>
    <w:qFormat/>
    <w:uiPriority w:val="0"/>
    <w:rPr>
      <w:vertAlign w:val="superscript"/>
    </w:rPr>
  </w:style>
  <w:style w:type="paragraph" w:styleId="41">
    <w:name w:val="List Paragraph"/>
    <w:basedOn w:val="1"/>
    <w:qFormat/>
    <w:uiPriority w:val="34"/>
    <w:pPr>
      <w:ind w:firstLine="200"/>
    </w:pPr>
    <w:rPr>
      <w:rFonts w:ascii="Calibri" w:hAnsi="Calibri"/>
    </w:rPr>
  </w:style>
  <w:style w:type="character" w:customStyle="1" w:styleId="42">
    <w:name w:val="正文文本 2 Char"/>
    <w:basedOn w:val="35"/>
    <w:qFormat/>
    <w:uiPriority w:val="0"/>
    <w:rPr>
      <w:rFonts w:ascii="Times New Roman" w:hAnsi="Times New Roman" w:eastAsia="宋体" w:cs="Times New Roman"/>
    </w:rPr>
  </w:style>
  <w:style w:type="character" w:customStyle="1" w:styleId="43">
    <w:name w:val="16"/>
    <w:basedOn w:val="35"/>
    <w:qFormat/>
    <w:uiPriority w:val="0"/>
    <w:rPr>
      <w:rFonts w:hint="default" w:ascii="Times New Roman" w:hAnsi="Times New Roman" w:cs="Times New Roman"/>
      <w:color w:val="0000FF"/>
      <w:u w:val="single"/>
    </w:rPr>
  </w:style>
  <w:style w:type="character" w:customStyle="1" w:styleId="44">
    <w:name w:val="15"/>
    <w:basedOn w:val="35"/>
    <w:qFormat/>
    <w:uiPriority w:val="0"/>
    <w:rPr>
      <w:rFonts w:hint="default" w:ascii="Times New Roman" w:hAnsi="Times New Roman" w:cs="Times New Roman"/>
      <w:color w:val="0000FF"/>
      <w:u w:val="single"/>
    </w:rPr>
  </w:style>
  <w:style w:type="character" w:customStyle="1" w:styleId="45">
    <w:name w:val="标题 3 Char"/>
    <w:qFormat/>
    <w:uiPriority w:val="0"/>
    <w:rPr>
      <w:b/>
      <w:sz w:val="24"/>
      <w:szCs w:val="24"/>
    </w:rPr>
  </w:style>
  <w:style w:type="character" w:customStyle="1" w:styleId="46">
    <w:name w:val="标题 2 Char"/>
    <w:qFormat/>
    <w:uiPriority w:val="0"/>
    <w:rPr>
      <w:rFonts w:ascii="Arial" w:hAnsi="Arial" w:eastAsia="黑体"/>
      <w:b/>
      <w:sz w:val="32"/>
      <w:szCs w:val="32"/>
    </w:rPr>
  </w:style>
  <w:style w:type="character" w:customStyle="1" w:styleId="47">
    <w:name w:val="批注框文本 Char"/>
    <w:basedOn w:val="35"/>
    <w:semiHidden/>
    <w:qFormat/>
    <w:uiPriority w:val="0"/>
    <w:rPr>
      <w:sz w:val="18"/>
      <w:szCs w:val="18"/>
    </w:rPr>
  </w:style>
  <w:style w:type="character" w:customStyle="1" w:styleId="48">
    <w:name w:val="批注文字 Char"/>
    <w:basedOn w:val="35"/>
    <w:semiHidden/>
    <w:qFormat/>
    <w:uiPriority w:val="0"/>
    <w:rPr>
      <w:sz w:val="21"/>
      <w:szCs w:val="21"/>
    </w:rPr>
  </w:style>
  <w:style w:type="character" w:customStyle="1" w:styleId="49">
    <w:name w:val="批注主题 Char"/>
    <w:basedOn w:val="48"/>
    <w:semiHidden/>
    <w:qFormat/>
    <w:uiPriority w:val="0"/>
    <w:rPr>
      <w:b/>
      <w:sz w:val="21"/>
      <w:szCs w:val="21"/>
    </w:rPr>
  </w:style>
  <w:style w:type="character" w:customStyle="1" w:styleId="50">
    <w:name w:val="文档结构图 Char"/>
    <w:basedOn w:val="35"/>
    <w:semiHidden/>
    <w:qFormat/>
    <w:uiPriority w:val="0"/>
    <w:rPr>
      <w:rFonts w:ascii="宋体"/>
      <w:sz w:val="18"/>
      <w:szCs w:val="18"/>
    </w:rPr>
  </w:style>
  <w:style w:type="character" w:customStyle="1" w:styleId="51">
    <w:name w:val="页脚 Char"/>
    <w:qFormat/>
    <w:uiPriority w:val="99"/>
    <w:rPr>
      <w:sz w:val="18"/>
      <w:szCs w:val="18"/>
    </w:rPr>
  </w:style>
  <w:style w:type="character" w:customStyle="1" w:styleId="52">
    <w:name w:val="脚注文本 Char"/>
    <w:basedOn w:val="35"/>
    <w:semiHidden/>
    <w:qFormat/>
    <w:uiPriority w:val="0"/>
    <w:rPr>
      <w:sz w:val="18"/>
      <w:szCs w:val="18"/>
    </w:rPr>
  </w:style>
  <w:style w:type="paragraph" w:customStyle="1" w:styleId="53">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4">
    <w:name w:val="纯文本 Char"/>
    <w:link w:val="16"/>
    <w:qFormat/>
    <w:locked/>
    <w:uiPriority w:val="0"/>
    <w:rPr>
      <w:rFonts w:ascii="宋体" w:hAnsi="Courier New" w:cs="宋体"/>
    </w:rPr>
  </w:style>
  <w:style w:type="paragraph" w:customStyle="1" w:styleId="55">
    <w:name w:val="修订1"/>
    <w:hidden/>
    <w:semiHidden/>
    <w:qFormat/>
    <w:uiPriority w:val="99"/>
    <w:rPr>
      <w:rFonts w:ascii="Times New Roman" w:hAnsi="Times New Roman" w:eastAsia="宋体" w:cs="Times New Roman"/>
      <w:sz w:val="21"/>
      <w:szCs w:val="21"/>
      <w:lang w:val="en-US" w:eastAsia="zh-CN" w:bidi="ar-SA"/>
    </w:rPr>
  </w:style>
  <w:style w:type="character" w:customStyle="1" w:styleId="56">
    <w:name w:val="正文文本 Char"/>
    <w:basedOn w:val="35"/>
    <w:link w:val="3"/>
    <w:semiHidden/>
    <w:qFormat/>
    <w:uiPriority w:val="99"/>
    <w:rPr>
      <w:sz w:val="21"/>
      <w:szCs w:val="21"/>
    </w:rPr>
  </w:style>
  <w:style w:type="paragraph" w:customStyle="1" w:styleId="57">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8">
    <w:name w:val="日期 Char"/>
    <w:basedOn w:val="35"/>
    <w:link w:val="18"/>
    <w:semiHidden/>
    <w:qFormat/>
    <w:uiPriority w:val="99"/>
    <w:rPr>
      <w:sz w:val="21"/>
      <w:szCs w:val="21"/>
    </w:rPr>
  </w:style>
  <w:style w:type="character" w:customStyle="1" w:styleId="59">
    <w:name w:val="font11"/>
    <w:basedOn w:val="35"/>
    <w:qFormat/>
    <w:uiPriority w:val="0"/>
    <w:rPr>
      <w:rFonts w:hint="eastAsia" w:ascii="宋体" w:hAnsi="宋体" w:eastAsia="宋体" w:cs="宋体"/>
      <w:color w:val="000000"/>
      <w:sz w:val="20"/>
      <w:szCs w:val="20"/>
      <w:u w:val="none"/>
    </w:rPr>
  </w:style>
  <w:style w:type="character" w:customStyle="1" w:styleId="60">
    <w:name w:val="font31"/>
    <w:basedOn w:val="35"/>
    <w:qFormat/>
    <w:uiPriority w:val="0"/>
    <w:rPr>
      <w:rFonts w:hint="default" w:ascii="Calibri" w:hAnsi="Calibri" w:cs="Calibri"/>
      <w:color w:val="000000"/>
      <w:sz w:val="20"/>
      <w:szCs w:val="20"/>
      <w:u w:val="none"/>
    </w:rPr>
  </w:style>
  <w:style w:type="character" w:customStyle="1" w:styleId="61">
    <w:name w:val="font41"/>
    <w:basedOn w:val="35"/>
    <w:qFormat/>
    <w:uiPriority w:val="0"/>
    <w:rPr>
      <w:rFonts w:hint="eastAsia" w:ascii="宋体" w:hAnsi="宋体" w:eastAsia="宋体" w:cs="宋体"/>
      <w:color w:val="000000"/>
      <w:sz w:val="22"/>
      <w:szCs w:val="22"/>
      <w:u w:val="none"/>
    </w:rPr>
  </w:style>
  <w:style w:type="paragraph" w:customStyle="1" w:styleId="62">
    <w:name w:val="WPSOffice手动目录 1"/>
    <w:qFormat/>
    <w:uiPriority w:val="0"/>
    <w:rPr>
      <w:rFonts w:ascii="Times New Roman" w:hAnsi="Times New Roman" w:eastAsia="宋体" w:cs="Times New Roman"/>
      <w:lang w:val="en-US" w:eastAsia="zh-CN" w:bidi="ar-SA"/>
    </w:rPr>
  </w:style>
  <w:style w:type="paragraph" w:customStyle="1" w:styleId="6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64">
    <w:name w:val="font01"/>
    <w:basedOn w:val="35"/>
    <w:qFormat/>
    <w:uiPriority w:val="0"/>
    <w:rPr>
      <w:rFonts w:hint="eastAsia" w:ascii="宋体" w:hAnsi="宋体" w:eastAsia="宋体" w:cs="宋体"/>
      <w:b/>
      <w:color w:val="FF0000"/>
      <w:sz w:val="22"/>
      <w:szCs w:val="22"/>
      <w:u w:val="none"/>
    </w:rPr>
  </w:style>
  <w:style w:type="character" w:customStyle="1" w:styleId="65">
    <w:name w:val="正文文本 2 Char1"/>
    <w:basedOn w:val="35"/>
    <w:link w:val="29"/>
    <w:qFormat/>
    <w:uiPriority w:val="0"/>
    <w:rPr>
      <w:szCs w:val="21"/>
    </w:rPr>
  </w:style>
  <w:style w:type="paragraph" w:customStyle="1" w:styleId="66">
    <w:name w:val="正文1"/>
    <w:basedOn w:val="9"/>
    <w:qFormat/>
    <w:uiPriority w:val="0"/>
    <w:pPr>
      <w:widowControl/>
      <w:adjustRightInd w:val="0"/>
      <w:snapToGrid w:val="0"/>
      <w:ind w:firstLine="480" w:firstLineChars="200"/>
      <w:jc w:val="left"/>
    </w:pPr>
    <w:rPr>
      <w:rFonts w:ascii="宋体" w:hAnsi="宋体"/>
      <w:sz w:val="20"/>
      <w:szCs w:val="24"/>
    </w:rPr>
  </w:style>
  <w:style w:type="paragraph" w:customStyle="1" w:styleId="67">
    <w:name w:val="列出段落2"/>
    <w:basedOn w:val="1"/>
    <w:qFormat/>
    <w:uiPriority w:val="34"/>
    <w:pPr>
      <w:widowControl w:val="0"/>
      <w:spacing w:before="0" w:after="0" w:afterAutospacing="0" w:line="240" w:lineRule="auto"/>
      <w:ind w:left="0" w:right="0" w:firstLine="0"/>
    </w:pPr>
    <w:rPr>
      <w:rFonts w:ascii="Calibri" w:hAnsi="Calibri" w:eastAsia="Times New Roman"/>
      <w:sz w:val="24"/>
      <w:szCs w:val="24"/>
    </w:rPr>
  </w:style>
  <w:style w:type="character" w:customStyle="1" w:styleId="68">
    <w:name w:val="font21"/>
    <w:basedOn w:val="35"/>
    <w:qFormat/>
    <w:uiPriority w:val="0"/>
    <w:rPr>
      <w:rFonts w:hint="eastAsia" w:ascii="宋体" w:hAnsi="宋体" w:eastAsia="宋体" w:cs="宋体"/>
      <w:b/>
      <w:bCs/>
      <w:color w:val="000000"/>
      <w:sz w:val="21"/>
      <w:szCs w:val="21"/>
      <w:u w:val="none"/>
    </w:rPr>
  </w:style>
  <w:style w:type="character" w:customStyle="1" w:styleId="69">
    <w:name w:val="正文首行缩进 2 Char"/>
    <w:basedOn w:val="70"/>
    <w:link w:val="32"/>
    <w:qFormat/>
    <w:uiPriority w:val="0"/>
    <w:rPr>
      <w:sz w:val="21"/>
      <w:szCs w:val="21"/>
    </w:rPr>
  </w:style>
  <w:style w:type="character" w:customStyle="1" w:styleId="70">
    <w:name w:val="正文文本缩进 Char"/>
    <w:basedOn w:val="35"/>
    <w:link w:val="13"/>
    <w:qFormat/>
    <w:uiPriority w:val="0"/>
    <w:rPr>
      <w:sz w:val="21"/>
      <w:szCs w:val="21"/>
    </w:rPr>
  </w:style>
  <w:style w:type="character" w:customStyle="1" w:styleId="71">
    <w:name w:val="font51"/>
    <w:basedOn w:val="35"/>
    <w:qFormat/>
    <w:uiPriority w:val="0"/>
    <w:rPr>
      <w:rFonts w:hint="default" w:ascii="Tahoma" w:hAnsi="Tahoma" w:eastAsia="Tahoma" w:cs="Tahoma"/>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62142D-73DF-4D3C-B094-B36260EFC67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118</Pages>
  <Words>62567</Words>
  <Characters>67291</Characters>
  <Lines>1</Lines>
  <Paragraphs>1</Paragraphs>
  <TotalTime>2</TotalTime>
  <ScaleCrop>false</ScaleCrop>
  <LinksUpToDate>false</LinksUpToDate>
  <CharactersWithSpaces>70430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2021-10-09T02:40:00Z</dcterms:created>
  <dc:creator>NTKO</dc:creator>
  <cp:lastModifiedBy>星影联风</cp:lastModifiedBy>
  <cp:lastPrinted>2023-03-20T01:31:00Z</cp:lastPrinted>
  <dcterms:modified xsi:type="dcterms:W3CDTF">2023-12-27T03:20:31Z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7D21222E535242CBBA642F3910710176</vt:lpwstr>
  </property>
</Properties>
</file>