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sz w:val="44"/>
          <w:szCs w:val="44"/>
        </w:rPr>
      </w:pPr>
      <w:bookmarkStart w:id="0" w:name="_Toc114052336"/>
      <w:bookmarkStart w:id="1" w:name="_Toc286386830"/>
      <w:bookmarkStart w:id="2" w:name="_Toc114052410"/>
    </w:p>
    <w:p>
      <w:pPr>
        <w:spacing w:after="120"/>
        <w:jc w:val="center"/>
        <w:rPr>
          <w:rFonts w:ascii="黑体" w:eastAsia="黑体"/>
          <w:sz w:val="44"/>
          <w:szCs w:val="44"/>
        </w:rPr>
      </w:pPr>
      <w:r>
        <w:rPr>
          <w:rFonts w:hint="eastAsia" w:ascii="黑体" w:eastAsia="黑体"/>
          <w:sz w:val="44"/>
          <w:szCs w:val="44"/>
        </w:rPr>
        <w:t>南宁轨道交通运营有限公司</w:t>
      </w:r>
    </w:p>
    <w:p>
      <w:pPr>
        <w:spacing w:after="120"/>
        <w:jc w:val="center"/>
        <w:rPr>
          <w:rFonts w:ascii="黑体" w:eastAsia="黑体"/>
          <w:sz w:val="44"/>
          <w:szCs w:val="44"/>
        </w:rPr>
      </w:pPr>
      <w:r>
        <w:rPr>
          <w:rFonts w:hint="eastAsia" w:ascii="黑体" w:eastAsia="黑体"/>
          <w:sz w:val="44"/>
          <w:szCs w:val="44"/>
        </w:rPr>
        <w:t>2</w:t>
      </w:r>
      <w:r>
        <w:rPr>
          <w:rFonts w:ascii="黑体" w:eastAsia="黑体"/>
          <w:sz w:val="44"/>
          <w:szCs w:val="44"/>
        </w:rPr>
        <w:t>024年广西电力市场化交易</w:t>
      </w:r>
      <w:r>
        <w:rPr>
          <w:rFonts w:hint="eastAsia" w:ascii="黑体" w:eastAsia="黑体"/>
          <w:sz w:val="44"/>
          <w:szCs w:val="44"/>
        </w:rPr>
        <w:t>项目（重）</w:t>
      </w:r>
    </w:p>
    <w:p>
      <w:pPr>
        <w:spacing w:after="120"/>
        <w:jc w:val="center"/>
        <w:rPr>
          <w:rFonts w:ascii="黑体" w:eastAsia="黑体"/>
          <w:sz w:val="44"/>
          <w:szCs w:val="44"/>
        </w:rPr>
      </w:pPr>
    </w:p>
    <w:p>
      <w:pPr>
        <w:spacing w:after="120"/>
        <w:jc w:val="center"/>
        <w:rPr>
          <w:rFonts w:ascii="黑体" w:eastAsia="黑体"/>
          <w:sz w:val="44"/>
          <w:szCs w:val="44"/>
        </w:rPr>
      </w:pPr>
    </w:p>
    <w:p>
      <w:pPr>
        <w:spacing w:after="120"/>
        <w:jc w:val="center"/>
        <w:rPr>
          <w:rFonts w:ascii="黑体" w:eastAsia="黑体"/>
          <w:sz w:val="36"/>
          <w:szCs w:val="44"/>
        </w:rPr>
      </w:pPr>
    </w:p>
    <w:p>
      <w:pPr>
        <w:spacing w:after="120"/>
        <w:jc w:val="center"/>
        <w:rPr>
          <w:rFonts w:ascii="宋体" w:hAnsi="宋体"/>
          <w:b/>
          <w:sz w:val="72"/>
          <w:szCs w:val="72"/>
        </w:rPr>
      </w:pPr>
      <w:r>
        <w:rPr>
          <w:rFonts w:hint="eastAsia" w:ascii="宋体" w:hAnsi="宋体"/>
          <w:b/>
          <w:sz w:val="72"/>
          <w:szCs w:val="72"/>
        </w:rPr>
        <w:t>比选</w:t>
      </w:r>
      <w:r>
        <w:rPr>
          <w:rFonts w:ascii="宋体" w:hAnsi="宋体"/>
          <w:b/>
          <w:sz w:val="72"/>
          <w:szCs w:val="72"/>
        </w:rPr>
        <w:t>文件</w:t>
      </w:r>
    </w:p>
    <w:p>
      <w:pPr>
        <w:spacing w:after="120"/>
        <w:jc w:val="center"/>
        <w:rPr>
          <w:rFonts w:ascii="宋体" w:hAnsi="宋体"/>
          <w:b/>
          <w:sz w:val="72"/>
          <w:szCs w:val="72"/>
        </w:rPr>
      </w:pPr>
    </w:p>
    <w:p>
      <w:pPr>
        <w:spacing w:after="120"/>
        <w:jc w:val="center"/>
        <w:rPr>
          <w:rFonts w:ascii="宋体" w:hAnsi="宋体"/>
          <w:b/>
          <w:sz w:val="72"/>
          <w:szCs w:val="72"/>
        </w:rPr>
      </w:pPr>
    </w:p>
    <w:p>
      <w:pPr>
        <w:spacing w:after="120"/>
        <w:jc w:val="center"/>
        <w:rPr>
          <w:rFonts w:ascii="宋体" w:hAnsi="宋体"/>
          <w:b/>
          <w:sz w:val="72"/>
          <w:szCs w:val="72"/>
        </w:rPr>
      </w:pPr>
    </w:p>
    <w:p>
      <w:pPr>
        <w:spacing w:after="120"/>
        <w:jc w:val="center"/>
        <w:rPr>
          <w:rFonts w:ascii="宋体" w:hAnsi="宋体"/>
          <w:b/>
          <w:sz w:val="72"/>
          <w:szCs w:val="72"/>
        </w:rPr>
      </w:pPr>
    </w:p>
    <w:p>
      <w:pPr>
        <w:spacing w:after="120"/>
        <w:jc w:val="center"/>
        <w:rPr>
          <w:rFonts w:ascii="宋体" w:hAnsi="宋体"/>
          <w:b/>
          <w:sz w:val="72"/>
          <w:szCs w:val="72"/>
        </w:rPr>
      </w:pPr>
    </w:p>
    <w:p>
      <w:pPr>
        <w:spacing w:line="360" w:lineRule="exact"/>
        <w:ind w:firstLine="1600" w:firstLineChars="500"/>
        <w:rPr>
          <w:rFonts w:ascii="宋体" w:hAnsi="宋体"/>
          <w:sz w:val="32"/>
          <w:szCs w:val="32"/>
        </w:rPr>
      </w:pPr>
      <w:r>
        <w:rPr>
          <w:rFonts w:ascii="宋体" w:hAnsi="宋体"/>
          <w:sz w:val="32"/>
          <w:szCs w:val="32"/>
        </w:rPr>
        <w:t>项目编号</w:t>
      </w:r>
      <w:r>
        <w:rPr>
          <w:rFonts w:hint="eastAsia" w:ascii="宋体" w:hAnsi="宋体"/>
          <w:sz w:val="32"/>
          <w:szCs w:val="32"/>
        </w:rPr>
        <w:t>：</w:t>
      </w:r>
      <w:r>
        <w:rPr>
          <w:rFonts w:ascii="宋体" w:hAnsi="宋体"/>
          <w:sz w:val="32"/>
          <w:szCs w:val="32"/>
        </w:rPr>
        <w:t>202310310002（重）</w:t>
      </w:r>
    </w:p>
    <w:p>
      <w:pPr>
        <w:spacing w:line="360" w:lineRule="exact"/>
        <w:ind w:firstLine="1600" w:firstLineChars="500"/>
        <w:rPr>
          <w:rFonts w:ascii="宋体" w:hAnsi="宋体"/>
          <w:sz w:val="32"/>
          <w:szCs w:val="32"/>
        </w:rPr>
      </w:pPr>
      <w:r>
        <w:rPr>
          <w:rFonts w:hint="eastAsia" w:ascii="宋体" w:hAnsi="宋体"/>
          <w:sz w:val="32"/>
          <w:szCs w:val="32"/>
        </w:rPr>
        <w:t>比 选 人：南宁轨道交通运营有限公司</w:t>
      </w:r>
    </w:p>
    <w:p>
      <w:pPr>
        <w:spacing w:line="360" w:lineRule="exact"/>
        <w:rPr>
          <w:rFonts w:ascii="宋体" w:hAnsi="宋体"/>
          <w:sz w:val="32"/>
          <w:szCs w:val="32"/>
        </w:rPr>
      </w:pPr>
    </w:p>
    <w:p>
      <w:pPr>
        <w:jc w:val="center"/>
        <w:rPr>
          <w:rFonts w:ascii="宋体" w:hAnsi="宋体"/>
          <w:sz w:val="32"/>
          <w:szCs w:val="32"/>
        </w:rPr>
      </w:pPr>
      <w:r>
        <w:rPr>
          <w:rFonts w:hint="eastAsia" w:ascii="宋体" w:hAnsi="宋体"/>
          <w:sz w:val="32"/>
          <w:szCs w:val="32"/>
        </w:rPr>
        <w:t>编制时间：</w:t>
      </w:r>
      <w:r>
        <w:rPr>
          <w:rFonts w:ascii="宋体" w:hAnsi="宋体"/>
          <w:sz w:val="32"/>
          <w:szCs w:val="32"/>
        </w:rPr>
        <w:t>2024</w:t>
      </w:r>
      <w:r>
        <w:rPr>
          <w:rFonts w:hint="eastAsia" w:ascii="宋体" w:hAnsi="宋体"/>
          <w:sz w:val="32"/>
          <w:szCs w:val="32"/>
        </w:rPr>
        <w:t>年</w:t>
      </w:r>
      <w:r>
        <w:rPr>
          <w:rFonts w:ascii="宋体" w:hAnsi="宋体"/>
          <w:sz w:val="32"/>
          <w:szCs w:val="32"/>
        </w:rPr>
        <w:t>1</w:t>
      </w:r>
      <w:r>
        <w:rPr>
          <w:rFonts w:hint="eastAsia" w:ascii="宋体" w:hAnsi="宋体"/>
          <w:sz w:val="32"/>
          <w:szCs w:val="32"/>
        </w:rPr>
        <w:t>月</w:t>
      </w:r>
    </w:p>
    <w:p>
      <w:pPr>
        <w:jc w:val="center"/>
        <w:rPr>
          <w:rFonts w:ascii="宋体" w:hAnsi="宋体"/>
          <w:b/>
          <w:sz w:val="18"/>
          <w:szCs w:val="18"/>
          <w:lang w:val="zh-CN"/>
        </w:rPr>
      </w:pPr>
      <w:r>
        <w:rPr>
          <w:rFonts w:ascii="宋体" w:hAnsi="宋体"/>
          <w:sz w:val="32"/>
          <w:szCs w:val="32"/>
        </w:rPr>
        <w:br w:type="page"/>
      </w:r>
      <w:r>
        <w:rPr>
          <w:rFonts w:ascii="宋体" w:hAnsi="宋体"/>
          <w:b/>
          <w:sz w:val="52"/>
          <w:szCs w:val="52"/>
          <w:lang w:val="zh-CN"/>
        </w:rPr>
        <w:t>目</w:t>
      </w:r>
      <w:r>
        <w:rPr>
          <w:rFonts w:hint="eastAsia" w:ascii="宋体" w:hAnsi="宋体"/>
          <w:b/>
          <w:sz w:val="52"/>
          <w:szCs w:val="52"/>
          <w:lang w:val="zh-CN"/>
        </w:rPr>
        <w:t xml:space="preserve">  </w:t>
      </w:r>
      <w:r>
        <w:rPr>
          <w:rFonts w:ascii="宋体" w:hAnsi="宋体"/>
          <w:b/>
          <w:sz w:val="52"/>
          <w:szCs w:val="52"/>
          <w:lang w:val="zh-CN"/>
        </w:rPr>
        <w:t>录</w:t>
      </w:r>
    </w:p>
    <w:p>
      <w:pPr>
        <w:rPr>
          <w:lang w:val="zh-CN"/>
        </w:rPr>
      </w:pPr>
    </w:p>
    <w:p>
      <w:pPr>
        <w:pStyle w:val="16"/>
        <w:tabs>
          <w:tab w:val="right" w:leader="dot" w:pos="9060"/>
        </w:tabs>
        <w:rPr>
          <w:rFonts w:cstheme="minorBidi"/>
          <w:caps w:val="0"/>
          <w:kern w:val="2"/>
          <w:sz w:val="21"/>
          <w:szCs w:val="22"/>
        </w:rPr>
      </w:pPr>
      <w:r>
        <w:fldChar w:fldCharType="begin"/>
      </w:r>
      <w:r>
        <w:rPr>
          <w:rStyle w:val="28"/>
          <w:color w:val="auto"/>
        </w:rPr>
        <w:instrText xml:space="preserve"> TOC \o "1-2" \h \z \u </w:instrText>
      </w:r>
      <w:r>
        <w:fldChar w:fldCharType="separate"/>
      </w:r>
      <w:r>
        <w:fldChar w:fldCharType="begin"/>
      </w:r>
      <w:r>
        <w:instrText xml:space="preserve"> HYPERLINK \l "_Toc121081995" </w:instrText>
      </w:r>
      <w:r>
        <w:fldChar w:fldCharType="separate"/>
      </w:r>
      <w:r>
        <w:rPr>
          <w:rStyle w:val="28"/>
          <w:rFonts w:hint="eastAsia"/>
        </w:rPr>
        <w:t>第一章</w:t>
      </w:r>
      <w:r>
        <w:rPr>
          <w:rStyle w:val="28"/>
        </w:rPr>
        <w:t xml:space="preserve"> </w:t>
      </w:r>
      <w:r>
        <w:rPr>
          <w:rStyle w:val="28"/>
          <w:rFonts w:hint="eastAsia"/>
        </w:rPr>
        <w:t>比选公告</w:t>
      </w:r>
      <w:r>
        <w:tab/>
      </w:r>
      <w:r>
        <w:fldChar w:fldCharType="begin"/>
      </w:r>
      <w:r>
        <w:instrText xml:space="preserve"> PAGEREF _Toc121081995 \h </w:instrText>
      </w:r>
      <w:r>
        <w:fldChar w:fldCharType="separate"/>
      </w:r>
      <w:r>
        <w:t>3</w:t>
      </w:r>
      <w:r>
        <w:fldChar w:fldCharType="end"/>
      </w:r>
      <w:r>
        <w:fldChar w:fldCharType="end"/>
      </w:r>
    </w:p>
    <w:p>
      <w:pPr>
        <w:pStyle w:val="16"/>
        <w:tabs>
          <w:tab w:val="right" w:leader="dot" w:pos="9060"/>
        </w:tabs>
        <w:rPr>
          <w:rFonts w:cstheme="minorBidi"/>
          <w:caps w:val="0"/>
          <w:kern w:val="2"/>
          <w:sz w:val="21"/>
          <w:szCs w:val="22"/>
        </w:rPr>
      </w:pPr>
      <w:r>
        <w:fldChar w:fldCharType="begin"/>
      </w:r>
      <w:r>
        <w:instrText xml:space="preserve"> HYPERLINK \l "_Toc121081996" </w:instrText>
      </w:r>
      <w:r>
        <w:fldChar w:fldCharType="separate"/>
      </w:r>
      <w:r>
        <w:rPr>
          <w:rStyle w:val="28"/>
          <w:rFonts w:hint="eastAsia"/>
        </w:rPr>
        <w:t>第二章</w:t>
      </w:r>
      <w:r>
        <w:rPr>
          <w:rStyle w:val="28"/>
        </w:rPr>
        <w:t xml:space="preserve"> </w:t>
      </w:r>
      <w:r>
        <w:rPr>
          <w:rStyle w:val="28"/>
          <w:rFonts w:hint="eastAsia"/>
        </w:rPr>
        <w:t>比选申请须知</w:t>
      </w:r>
      <w:r>
        <w:tab/>
      </w:r>
      <w:r>
        <w:fldChar w:fldCharType="begin"/>
      </w:r>
      <w:r>
        <w:instrText xml:space="preserve"> PAGEREF _Toc121081996 \h </w:instrText>
      </w:r>
      <w:r>
        <w:fldChar w:fldCharType="separate"/>
      </w:r>
      <w:r>
        <w:t>5</w:t>
      </w:r>
      <w:r>
        <w:fldChar w:fldCharType="end"/>
      </w:r>
      <w:r>
        <w:fldChar w:fldCharType="end"/>
      </w:r>
    </w:p>
    <w:p>
      <w:pPr>
        <w:pStyle w:val="18"/>
        <w:rPr>
          <w:rFonts w:ascii="宋体" w:hAnsi="宋体" w:eastAsia="宋体" w:cstheme="minorBidi"/>
          <w:smallCaps w:val="0"/>
          <w:kern w:val="2"/>
          <w:szCs w:val="22"/>
        </w:rPr>
      </w:pPr>
      <w:r>
        <w:fldChar w:fldCharType="begin"/>
      </w:r>
      <w:r>
        <w:instrText xml:space="preserve"> HYPERLINK \l "_Toc121081997" </w:instrText>
      </w:r>
      <w:r>
        <w:fldChar w:fldCharType="separate"/>
      </w:r>
      <w:r>
        <w:rPr>
          <w:rStyle w:val="28"/>
          <w:rFonts w:hint="eastAsia" w:ascii="宋体" w:hAnsi="宋体" w:eastAsia="宋体"/>
        </w:rPr>
        <w:t>一、总</w:t>
      </w:r>
      <w:r>
        <w:rPr>
          <w:rStyle w:val="28"/>
          <w:rFonts w:ascii="宋体" w:hAnsi="宋体" w:eastAsia="宋体"/>
        </w:rPr>
        <w:t xml:space="preserve">   </w:t>
      </w:r>
      <w:r>
        <w:rPr>
          <w:rStyle w:val="28"/>
          <w:rFonts w:hint="eastAsia" w:ascii="宋体" w:hAnsi="宋体" w:eastAsia="宋体"/>
        </w:rPr>
        <w:t>则</w:t>
      </w:r>
      <w:r>
        <w:rPr>
          <w:rFonts w:ascii="宋体" w:hAnsi="宋体" w:eastAsia="宋体"/>
        </w:rPr>
        <w:tab/>
      </w:r>
      <w:r>
        <w:rPr>
          <w:rFonts w:ascii="宋体" w:hAnsi="宋体" w:eastAsia="宋体"/>
        </w:rPr>
        <w:fldChar w:fldCharType="begin"/>
      </w:r>
      <w:r>
        <w:rPr>
          <w:rFonts w:ascii="宋体" w:hAnsi="宋体" w:eastAsia="宋体"/>
        </w:rPr>
        <w:instrText xml:space="preserve"> PAGEREF _Toc121081997 \h </w:instrText>
      </w:r>
      <w:r>
        <w:rPr>
          <w:rFonts w:ascii="宋体" w:hAnsi="宋体" w:eastAsia="宋体"/>
        </w:rPr>
        <w:fldChar w:fldCharType="separate"/>
      </w:r>
      <w:r>
        <w:rPr>
          <w:rFonts w:ascii="宋体" w:hAnsi="宋体" w:eastAsia="宋体"/>
        </w:rPr>
        <w:t>8</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"_Toc121081998" </w:instrText>
      </w:r>
      <w:r>
        <w:fldChar w:fldCharType="separate"/>
      </w:r>
      <w:r>
        <w:rPr>
          <w:rStyle w:val="28"/>
          <w:rFonts w:hint="eastAsia" w:ascii="宋体" w:hAnsi="宋体" w:eastAsia="宋体"/>
        </w:rPr>
        <w:t>二、比选文件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_Toc121081998 \h </w:instrText>
      </w:r>
      <w:r>
        <w:rPr>
          <w:rFonts w:ascii="宋体" w:hAnsi="宋体" w:eastAsia="宋体"/>
        </w:rPr>
        <w:fldChar w:fldCharType="separate"/>
      </w:r>
      <w:r>
        <w:rPr>
          <w:rFonts w:ascii="宋体" w:hAnsi="宋体" w:eastAsia="宋体"/>
        </w:rPr>
        <w:t>8</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"_Toc121081999" </w:instrText>
      </w:r>
      <w:r>
        <w:fldChar w:fldCharType="separate"/>
      </w:r>
      <w:r>
        <w:rPr>
          <w:rStyle w:val="28"/>
          <w:rFonts w:hint="eastAsia" w:ascii="宋体" w:hAnsi="宋体" w:eastAsia="宋体"/>
        </w:rPr>
        <w:t>三、申请比选报价说明</w:t>
      </w:r>
      <w:r>
        <w:rPr>
          <w:rFonts w:ascii="宋体" w:hAnsi="宋体" w:eastAsia="宋体"/>
        </w:rPr>
        <w:tab/>
      </w:r>
      <w:r>
        <w:rPr>
          <w:rFonts w:ascii="宋体" w:hAnsi="宋体" w:eastAsia="宋体"/>
        </w:rPr>
        <w:fldChar w:fldCharType="begin"/>
      </w:r>
      <w:r>
        <w:rPr>
          <w:rFonts w:ascii="宋体" w:hAnsi="宋体" w:eastAsia="宋体"/>
        </w:rPr>
        <w:instrText xml:space="preserve"> PAGEREF _Toc121081999 \h </w:instrText>
      </w:r>
      <w:r>
        <w:rPr>
          <w:rFonts w:ascii="宋体" w:hAnsi="宋体" w:eastAsia="宋体"/>
        </w:rPr>
        <w:fldChar w:fldCharType="separate"/>
      </w:r>
      <w:r>
        <w:rPr>
          <w:rFonts w:ascii="宋体" w:hAnsi="宋体" w:eastAsia="宋体"/>
        </w:rPr>
        <w:t>9</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"_Toc121082000" </w:instrText>
      </w:r>
      <w:r>
        <w:fldChar w:fldCharType="separate"/>
      </w:r>
      <w:r>
        <w:rPr>
          <w:rStyle w:val="28"/>
          <w:rFonts w:hint="eastAsia" w:ascii="宋体" w:hAnsi="宋体" w:eastAsia="宋体"/>
        </w:rPr>
        <w:t>四、比选申请文件的编制</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_Toc121082000 \h </w:instrText>
      </w:r>
      <w:r>
        <w:rPr>
          <w:rFonts w:ascii="宋体" w:hAnsi="宋体" w:eastAsia="宋体"/>
        </w:rPr>
        <w:fldChar w:fldCharType="separate"/>
      </w:r>
      <w:r>
        <w:rPr>
          <w:rFonts w:ascii="宋体" w:hAnsi="宋体" w:eastAsia="宋体"/>
        </w:rPr>
        <w:t>10</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"_Toc121082001" </w:instrText>
      </w:r>
      <w:r>
        <w:fldChar w:fldCharType="separate"/>
      </w:r>
      <w:r>
        <w:rPr>
          <w:rStyle w:val="28"/>
          <w:rFonts w:hint="eastAsia" w:ascii="宋体" w:hAnsi="宋体" w:eastAsia="宋体"/>
        </w:rPr>
        <w:t>五、比选申请文件的递交</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_Toc121082001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"_Toc121082002" </w:instrText>
      </w:r>
      <w:r>
        <w:fldChar w:fldCharType="separate"/>
      </w:r>
      <w:r>
        <w:rPr>
          <w:rStyle w:val="28"/>
          <w:rFonts w:hint="eastAsia" w:ascii="宋体" w:hAnsi="宋体" w:eastAsia="宋体"/>
        </w:rPr>
        <w:t>六、评</w:t>
      </w:r>
      <w:r>
        <w:rPr>
          <w:rStyle w:val="28"/>
          <w:rFonts w:ascii="宋体" w:hAnsi="宋体" w:eastAsia="宋体"/>
        </w:rPr>
        <w:t xml:space="preserve">   </w:t>
      </w:r>
      <w:r>
        <w:rPr>
          <w:rStyle w:val="28"/>
          <w:rFonts w:hint="eastAsia" w:ascii="宋体" w:hAnsi="宋体" w:eastAsia="宋体"/>
        </w:rPr>
        <w:t>审</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_Toc121082002 \h </w:instrText>
      </w:r>
      <w:r>
        <w:rPr>
          <w:rFonts w:ascii="宋体" w:hAnsi="宋体" w:eastAsia="宋体"/>
        </w:rPr>
        <w:fldChar w:fldCharType="separate"/>
      </w:r>
      <w:r>
        <w:rPr>
          <w:rFonts w:ascii="宋体" w:hAnsi="宋体" w:eastAsia="宋体"/>
        </w:rPr>
        <w:t>12</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"_Toc121082003" </w:instrText>
      </w:r>
      <w:r>
        <w:fldChar w:fldCharType="separate"/>
      </w:r>
      <w:r>
        <w:rPr>
          <w:rStyle w:val="28"/>
          <w:rFonts w:hint="eastAsia" w:ascii="宋体" w:hAnsi="宋体" w:eastAsia="宋体"/>
        </w:rPr>
        <w:t>七、授予合同</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_Toc121082003 \h </w:instrText>
      </w:r>
      <w:r>
        <w:rPr>
          <w:rFonts w:ascii="宋体" w:hAnsi="宋体" w:eastAsia="宋体"/>
        </w:rPr>
        <w:fldChar w:fldCharType="separate"/>
      </w:r>
      <w:r>
        <w:rPr>
          <w:rFonts w:ascii="宋体" w:hAnsi="宋体" w:eastAsia="宋体"/>
        </w:rPr>
        <w:t>14</w:t>
      </w:r>
      <w:r>
        <w:rPr>
          <w:rFonts w:ascii="宋体" w:hAnsi="宋体" w:eastAsia="宋体"/>
        </w:rPr>
        <w:fldChar w:fldCharType="end"/>
      </w:r>
      <w:r>
        <w:rPr>
          <w:rFonts w:ascii="宋体" w:hAnsi="宋体" w:eastAsia="宋体"/>
        </w:rPr>
        <w:fldChar w:fldCharType="end"/>
      </w:r>
    </w:p>
    <w:p>
      <w:pPr>
        <w:pStyle w:val="16"/>
        <w:tabs>
          <w:tab w:val="right" w:leader="dot" w:pos="9060"/>
        </w:tabs>
        <w:rPr>
          <w:rFonts w:cstheme="minorBidi"/>
          <w:caps w:val="0"/>
          <w:kern w:val="2"/>
          <w:sz w:val="21"/>
          <w:szCs w:val="22"/>
        </w:rPr>
      </w:pPr>
      <w:r>
        <w:fldChar w:fldCharType="begin"/>
      </w:r>
      <w:r>
        <w:instrText xml:space="preserve"> HYPERLINK \l "_Toc121082004" </w:instrText>
      </w:r>
      <w:r>
        <w:fldChar w:fldCharType="separate"/>
      </w:r>
      <w:r>
        <w:rPr>
          <w:rStyle w:val="28"/>
          <w:rFonts w:hint="eastAsia"/>
        </w:rPr>
        <w:t>第三章</w:t>
      </w:r>
      <w:r>
        <w:rPr>
          <w:rStyle w:val="28"/>
        </w:rPr>
        <w:t xml:space="preserve"> </w:t>
      </w:r>
      <w:r>
        <w:rPr>
          <w:rStyle w:val="28"/>
          <w:rFonts w:hint="eastAsia"/>
        </w:rPr>
        <w:t>合同条款及格式</w:t>
      </w:r>
      <w:r>
        <w:tab/>
      </w:r>
      <w:r>
        <w:fldChar w:fldCharType="begin"/>
      </w:r>
      <w:r>
        <w:instrText xml:space="preserve"> PAGEREF _Toc121082004 \h </w:instrText>
      </w:r>
      <w:r>
        <w:fldChar w:fldCharType="separate"/>
      </w:r>
      <w:r>
        <w:t>16</w:t>
      </w:r>
      <w:r>
        <w:fldChar w:fldCharType="end"/>
      </w:r>
      <w: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"_Toc121082005" </w:instrText>
      </w:r>
      <w:r>
        <w:fldChar w:fldCharType="separate"/>
      </w:r>
      <w:r>
        <w:rPr>
          <w:rStyle w:val="28"/>
          <w:rFonts w:hint="eastAsia" w:ascii="宋体" w:hAnsi="宋体" w:eastAsia="宋体"/>
        </w:rPr>
        <w:t>一、</w:t>
      </w:r>
      <w:r>
        <w:rPr>
          <w:rFonts w:ascii="宋体" w:hAnsi="宋体" w:eastAsia="宋体" w:cstheme="minorBidi"/>
          <w:smallCaps w:val="0"/>
          <w:kern w:val="2"/>
          <w:szCs w:val="22"/>
        </w:rPr>
        <w:tab/>
      </w:r>
      <w:r>
        <w:rPr>
          <w:rStyle w:val="28"/>
          <w:rFonts w:hint="eastAsia" w:ascii="宋体" w:hAnsi="宋体" w:eastAsia="宋体"/>
        </w:rPr>
        <w:t>定义和说明</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_Toc121082005 \h </w:instrText>
      </w:r>
      <w:r>
        <w:rPr>
          <w:rFonts w:ascii="宋体" w:hAnsi="宋体" w:eastAsia="宋体"/>
        </w:rPr>
        <w:fldChar w:fldCharType="separate"/>
      </w:r>
      <w:r>
        <w:rPr>
          <w:rFonts w:ascii="宋体" w:hAnsi="宋体" w:eastAsia="宋体"/>
        </w:rPr>
        <w:t>17</w:t>
      </w:r>
      <w:r>
        <w:rPr>
          <w:rFonts w:ascii="宋体" w:hAnsi="宋体" w:eastAsia="宋体"/>
        </w:rPr>
        <w:fldChar w:fldCharType="end"/>
      </w:r>
      <w:r>
        <w:rPr>
          <w:rFonts w:ascii="宋体" w:hAnsi="宋体" w:eastAsia="宋体"/>
        </w:rP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"_Toc121082006" </w:instrText>
      </w:r>
      <w:r>
        <w:fldChar w:fldCharType="separate"/>
      </w:r>
      <w:r>
        <w:rPr>
          <w:rStyle w:val="28"/>
          <w:rFonts w:hint="eastAsia" w:ascii="宋体" w:hAnsi="宋体" w:eastAsia="宋体"/>
        </w:rPr>
        <w:t>二、</w:t>
      </w:r>
      <w:r>
        <w:rPr>
          <w:rFonts w:ascii="宋体" w:hAnsi="宋体" w:eastAsia="宋体" w:cstheme="minorBidi"/>
          <w:smallCaps w:val="0"/>
          <w:kern w:val="2"/>
          <w:szCs w:val="22"/>
        </w:rPr>
        <w:tab/>
      </w:r>
      <w:r>
        <w:rPr>
          <w:rStyle w:val="28"/>
          <w:rFonts w:hint="eastAsia" w:ascii="宋体" w:hAnsi="宋体" w:eastAsia="宋体"/>
        </w:rPr>
        <w:t>双方承诺</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_Toc121082006 \h </w:instrText>
      </w:r>
      <w:r>
        <w:rPr>
          <w:rFonts w:ascii="宋体" w:hAnsi="宋体" w:eastAsia="宋体"/>
        </w:rPr>
        <w:fldChar w:fldCharType="separate"/>
      </w:r>
      <w:r>
        <w:rPr>
          <w:rFonts w:ascii="宋体" w:hAnsi="宋体" w:eastAsia="宋体"/>
        </w:rPr>
        <w:t>18</w:t>
      </w:r>
      <w:r>
        <w:rPr>
          <w:rFonts w:ascii="宋体" w:hAnsi="宋体" w:eastAsia="宋体"/>
        </w:rPr>
        <w:fldChar w:fldCharType="end"/>
      </w:r>
      <w:r>
        <w:rPr>
          <w:rFonts w:ascii="宋体" w:hAnsi="宋体" w:eastAsia="宋体"/>
        </w:rP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"_Toc121082007" </w:instrText>
      </w:r>
      <w:r>
        <w:fldChar w:fldCharType="separate"/>
      </w:r>
      <w:r>
        <w:rPr>
          <w:rStyle w:val="28"/>
          <w:rFonts w:hint="eastAsia" w:ascii="宋体" w:hAnsi="宋体" w:eastAsia="宋体"/>
        </w:rPr>
        <w:t>三、</w:t>
      </w:r>
      <w:r>
        <w:rPr>
          <w:rFonts w:ascii="宋体" w:hAnsi="宋体" w:eastAsia="宋体" w:cstheme="minorBidi"/>
          <w:smallCaps w:val="0"/>
          <w:kern w:val="2"/>
          <w:szCs w:val="22"/>
        </w:rPr>
        <w:tab/>
      </w:r>
      <w:r>
        <w:rPr>
          <w:rStyle w:val="28"/>
          <w:rFonts w:hint="eastAsia" w:ascii="宋体" w:hAnsi="宋体" w:eastAsia="宋体"/>
        </w:rPr>
        <w:t>双方的权利和义务</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_Toc121082007 \h </w:instrText>
      </w:r>
      <w:r>
        <w:rPr>
          <w:rFonts w:ascii="宋体" w:hAnsi="宋体" w:eastAsia="宋体"/>
        </w:rPr>
        <w:fldChar w:fldCharType="separate"/>
      </w:r>
      <w:r>
        <w:rPr>
          <w:rFonts w:ascii="宋体" w:hAnsi="宋体" w:eastAsia="宋体"/>
        </w:rPr>
        <w:t>19</w:t>
      </w:r>
      <w:r>
        <w:rPr>
          <w:rFonts w:ascii="宋体" w:hAnsi="宋体" w:eastAsia="宋体"/>
        </w:rPr>
        <w:fldChar w:fldCharType="end"/>
      </w:r>
      <w:r>
        <w:rPr>
          <w:rFonts w:ascii="宋体" w:hAnsi="宋体" w:eastAsia="宋体"/>
        </w:rP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"_Toc121082008" </w:instrText>
      </w:r>
      <w:r>
        <w:fldChar w:fldCharType="separate"/>
      </w:r>
      <w:r>
        <w:rPr>
          <w:rStyle w:val="28"/>
          <w:rFonts w:hint="eastAsia" w:ascii="宋体" w:hAnsi="宋体" w:eastAsia="宋体"/>
        </w:rPr>
        <w:t>四、</w:t>
      </w:r>
      <w:r>
        <w:rPr>
          <w:rFonts w:ascii="宋体" w:hAnsi="宋体" w:eastAsia="宋体" w:cstheme="minorBidi"/>
          <w:smallCaps w:val="0"/>
          <w:kern w:val="2"/>
          <w:szCs w:val="22"/>
        </w:rPr>
        <w:tab/>
      </w:r>
      <w:r>
        <w:rPr>
          <w:rStyle w:val="28"/>
          <w:rFonts w:hint="eastAsia" w:ascii="宋体" w:hAnsi="宋体" w:eastAsia="宋体"/>
        </w:rPr>
        <w:t>计量</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_Toc121082008 \h </w:instrText>
      </w:r>
      <w:r>
        <w:rPr>
          <w:rFonts w:ascii="宋体" w:hAnsi="宋体" w:eastAsia="宋体"/>
        </w:rPr>
        <w:fldChar w:fldCharType="separate"/>
      </w:r>
      <w:r>
        <w:rPr>
          <w:rFonts w:ascii="宋体" w:hAnsi="宋体" w:eastAsia="宋体"/>
        </w:rPr>
        <w:t>20</w:t>
      </w:r>
      <w:r>
        <w:rPr>
          <w:rFonts w:ascii="宋体" w:hAnsi="宋体" w:eastAsia="宋体"/>
        </w:rPr>
        <w:fldChar w:fldCharType="end"/>
      </w:r>
      <w:r>
        <w:rPr>
          <w:rFonts w:ascii="宋体" w:hAnsi="宋体" w:eastAsia="宋体"/>
        </w:rP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"_Toc121082009" </w:instrText>
      </w:r>
      <w:r>
        <w:fldChar w:fldCharType="separate"/>
      </w:r>
      <w:r>
        <w:rPr>
          <w:rStyle w:val="28"/>
          <w:rFonts w:hint="eastAsia" w:ascii="宋体" w:hAnsi="宋体" w:eastAsia="宋体"/>
        </w:rPr>
        <w:t>五、</w:t>
      </w:r>
      <w:r>
        <w:rPr>
          <w:rFonts w:ascii="宋体" w:hAnsi="宋体" w:eastAsia="宋体" w:cstheme="minorBidi"/>
          <w:smallCaps w:val="0"/>
          <w:kern w:val="2"/>
          <w:szCs w:val="22"/>
        </w:rPr>
        <w:tab/>
      </w:r>
      <w:r>
        <w:rPr>
          <w:rStyle w:val="28"/>
          <w:rFonts w:hint="eastAsia" w:ascii="宋体" w:hAnsi="宋体" w:eastAsia="宋体"/>
        </w:rPr>
        <w:t>结算</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_Toc121082009 \h </w:instrText>
      </w:r>
      <w:r>
        <w:rPr>
          <w:rFonts w:ascii="宋体" w:hAnsi="宋体" w:eastAsia="宋体"/>
        </w:rPr>
        <w:fldChar w:fldCharType="separate"/>
      </w:r>
      <w:r>
        <w:rPr>
          <w:rFonts w:ascii="宋体" w:hAnsi="宋体" w:eastAsia="宋体"/>
        </w:rPr>
        <w:t>20</w:t>
      </w:r>
      <w:r>
        <w:rPr>
          <w:rFonts w:ascii="宋体" w:hAnsi="宋体" w:eastAsia="宋体"/>
        </w:rPr>
        <w:fldChar w:fldCharType="end"/>
      </w:r>
      <w:r>
        <w:rPr>
          <w:rFonts w:ascii="宋体" w:hAnsi="宋体" w:eastAsia="宋体"/>
        </w:rP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"_Toc121082010" </w:instrText>
      </w:r>
      <w:r>
        <w:fldChar w:fldCharType="separate"/>
      </w:r>
      <w:r>
        <w:rPr>
          <w:rStyle w:val="28"/>
          <w:rFonts w:hint="eastAsia" w:ascii="宋体" w:hAnsi="宋体" w:eastAsia="宋体"/>
        </w:rPr>
        <w:t>六、</w:t>
      </w:r>
      <w:r>
        <w:rPr>
          <w:rFonts w:ascii="宋体" w:hAnsi="宋体" w:eastAsia="宋体" w:cstheme="minorBidi"/>
          <w:smallCaps w:val="0"/>
          <w:kern w:val="2"/>
          <w:szCs w:val="22"/>
        </w:rPr>
        <w:tab/>
      </w:r>
      <w:r>
        <w:rPr>
          <w:rStyle w:val="28"/>
          <w:rFonts w:hint="eastAsia" w:ascii="宋体" w:hAnsi="宋体" w:eastAsia="宋体"/>
        </w:rPr>
        <w:t>合同生效和期限</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_Toc121082010 \h </w:instrText>
      </w:r>
      <w:r>
        <w:rPr>
          <w:rFonts w:ascii="宋体" w:hAnsi="宋体" w:eastAsia="宋体"/>
        </w:rPr>
        <w:fldChar w:fldCharType="separate"/>
      </w:r>
      <w:r>
        <w:rPr>
          <w:rFonts w:ascii="宋体" w:hAnsi="宋体" w:eastAsia="宋体"/>
        </w:rPr>
        <w:t>21</w:t>
      </w:r>
      <w:r>
        <w:rPr>
          <w:rFonts w:ascii="宋体" w:hAnsi="宋体" w:eastAsia="宋体"/>
        </w:rPr>
        <w:fldChar w:fldCharType="end"/>
      </w:r>
      <w:r>
        <w:rPr>
          <w:rFonts w:ascii="宋体" w:hAnsi="宋体" w:eastAsia="宋体"/>
        </w:rP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"_Toc121082011" </w:instrText>
      </w:r>
      <w:r>
        <w:fldChar w:fldCharType="separate"/>
      </w:r>
      <w:r>
        <w:rPr>
          <w:rStyle w:val="28"/>
          <w:rFonts w:hint="eastAsia" w:ascii="宋体" w:hAnsi="宋体" w:eastAsia="宋体"/>
        </w:rPr>
        <w:t>七、</w:t>
      </w:r>
      <w:r>
        <w:rPr>
          <w:rFonts w:ascii="宋体" w:hAnsi="宋体" w:eastAsia="宋体" w:cstheme="minorBidi"/>
          <w:smallCaps w:val="0"/>
          <w:kern w:val="2"/>
          <w:szCs w:val="22"/>
        </w:rPr>
        <w:tab/>
      </w:r>
      <w:r>
        <w:rPr>
          <w:rStyle w:val="28"/>
          <w:rFonts w:hint="eastAsia" w:ascii="宋体" w:hAnsi="宋体" w:eastAsia="宋体"/>
        </w:rPr>
        <w:t>合同变更和解除</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_Toc121082011 \h </w:instrText>
      </w:r>
      <w:r>
        <w:rPr>
          <w:rFonts w:ascii="宋体" w:hAnsi="宋体" w:eastAsia="宋体"/>
        </w:rPr>
        <w:fldChar w:fldCharType="separate"/>
      </w:r>
      <w:r>
        <w:rPr>
          <w:rFonts w:ascii="宋体" w:hAnsi="宋体" w:eastAsia="宋体"/>
        </w:rPr>
        <w:t>22</w:t>
      </w:r>
      <w:r>
        <w:rPr>
          <w:rFonts w:ascii="宋体" w:hAnsi="宋体" w:eastAsia="宋体"/>
        </w:rPr>
        <w:fldChar w:fldCharType="end"/>
      </w:r>
      <w:r>
        <w:rPr>
          <w:rFonts w:ascii="宋体" w:hAnsi="宋体" w:eastAsia="宋体"/>
        </w:rP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"_Toc121082012" </w:instrText>
      </w:r>
      <w:r>
        <w:fldChar w:fldCharType="separate"/>
      </w:r>
      <w:r>
        <w:rPr>
          <w:rStyle w:val="28"/>
          <w:rFonts w:hint="eastAsia" w:ascii="宋体" w:hAnsi="宋体" w:eastAsia="宋体"/>
        </w:rPr>
        <w:t>八、</w:t>
      </w:r>
      <w:r>
        <w:rPr>
          <w:rFonts w:ascii="宋体" w:hAnsi="宋体" w:eastAsia="宋体" w:cstheme="minorBidi"/>
          <w:smallCaps w:val="0"/>
          <w:kern w:val="2"/>
          <w:szCs w:val="22"/>
        </w:rPr>
        <w:tab/>
      </w:r>
      <w:r>
        <w:rPr>
          <w:rStyle w:val="28"/>
          <w:rFonts w:hint="eastAsia" w:ascii="宋体" w:hAnsi="宋体" w:eastAsia="宋体"/>
        </w:rPr>
        <w:t>合同违约和赔偿</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_Toc121082012 \h </w:instrText>
      </w:r>
      <w:r>
        <w:rPr>
          <w:rFonts w:ascii="宋体" w:hAnsi="宋体" w:eastAsia="宋体"/>
        </w:rPr>
        <w:fldChar w:fldCharType="separate"/>
      </w:r>
      <w:r>
        <w:rPr>
          <w:rFonts w:ascii="宋体" w:hAnsi="宋体" w:eastAsia="宋体"/>
        </w:rPr>
        <w:t>22</w:t>
      </w:r>
      <w:r>
        <w:rPr>
          <w:rFonts w:ascii="宋体" w:hAnsi="宋体" w:eastAsia="宋体"/>
        </w:rPr>
        <w:fldChar w:fldCharType="end"/>
      </w:r>
      <w:r>
        <w:rPr>
          <w:rFonts w:ascii="宋体" w:hAnsi="宋体" w:eastAsia="宋体"/>
        </w:rP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"_Toc121082013" </w:instrText>
      </w:r>
      <w:r>
        <w:fldChar w:fldCharType="separate"/>
      </w:r>
      <w:r>
        <w:rPr>
          <w:rStyle w:val="28"/>
          <w:rFonts w:hint="eastAsia" w:ascii="宋体" w:hAnsi="宋体" w:eastAsia="宋体"/>
        </w:rPr>
        <w:t>九、</w:t>
      </w:r>
      <w:r>
        <w:rPr>
          <w:rFonts w:ascii="宋体" w:hAnsi="宋体" w:eastAsia="宋体" w:cstheme="minorBidi"/>
          <w:smallCaps w:val="0"/>
          <w:kern w:val="2"/>
          <w:szCs w:val="22"/>
        </w:rPr>
        <w:tab/>
      </w:r>
      <w:r>
        <w:rPr>
          <w:rStyle w:val="28"/>
          <w:rFonts w:hint="eastAsia" w:ascii="宋体" w:hAnsi="宋体" w:eastAsia="宋体"/>
        </w:rPr>
        <w:t>免责条款</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_Toc121082013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"_Toc121082014" </w:instrText>
      </w:r>
      <w:r>
        <w:fldChar w:fldCharType="separate"/>
      </w:r>
      <w:r>
        <w:rPr>
          <w:rStyle w:val="28"/>
          <w:rFonts w:hint="eastAsia" w:ascii="宋体" w:hAnsi="宋体" w:eastAsia="宋体"/>
        </w:rPr>
        <w:t>十、</w:t>
      </w:r>
      <w:r>
        <w:rPr>
          <w:rFonts w:ascii="宋体" w:hAnsi="宋体" w:eastAsia="宋体" w:cstheme="minorBidi"/>
          <w:smallCaps w:val="0"/>
          <w:kern w:val="2"/>
          <w:szCs w:val="22"/>
        </w:rPr>
        <w:tab/>
      </w:r>
      <w:r>
        <w:rPr>
          <w:rStyle w:val="28"/>
          <w:rFonts w:hint="eastAsia" w:ascii="宋体" w:hAnsi="宋体" w:eastAsia="宋体"/>
        </w:rPr>
        <w:t>争议解决</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_Toc121082014 \h </w:instrText>
      </w:r>
      <w:r>
        <w:rPr>
          <w:rFonts w:ascii="宋体" w:hAnsi="宋体" w:eastAsia="宋体"/>
        </w:rPr>
        <w:fldChar w:fldCharType="separate"/>
      </w:r>
      <w:r>
        <w:rPr>
          <w:rFonts w:ascii="宋体" w:hAnsi="宋体" w:eastAsia="宋体"/>
        </w:rPr>
        <w:t>24</w:t>
      </w:r>
      <w:r>
        <w:rPr>
          <w:rFonts w:ascii="宋体" w:hAnsi="宋体" w:eastAsia="宋体"/>
        </w:rPr>
        <w:fldChar w:fldCharType="end"/>
      </w:r>
      <w:r>
        <w:rPr>
          <w:rFonts w:ascii="宋体" w:hAnsi="宋体" w:eastAsia="宋体"/>
        </w:rPr>
        <w:fldChar w:fldCharType="end"/>
      </w:r>
    </w:p>
    <w:p>
      <w:pPr>
        <w:pStyle w:val="18"/>
        <w:tabs>
          <w:tab w:val="left" w:pos="1470"/>
        </w:tabs>
        <w:rPr>
          <w:rFonts w:ascii="宋体" w:hAnsi="宋体" w:eastAsia="宋体" w:cstheme="minorBidi"/>
          <w:smallCaps w:val="0"/>
          <w:kern w:val="2"/>
          <w:szCs w:val="22"/>
        </w:rPr>
      </w:pPr>
      <w:r>
        <w:fldChar w:fldCharType="begin"/>
      </w:r>
      <w:r>
        <w:instrText xml:space="preserve"> HYPERLINK \l "_Toc121082015" </w:instrText>
      </w:r>
      <w:r>
        <w:fldChar w:fldCharType="separate"/>
      </w:r>
      <w:r>
        <w:rPr>
          <w:rStyle w:val="28"/>
          <w:rFonts w:hint="eastAsia" w:ascii="宋体" w:hAnsi="宋体" w:eastAsia="宋体"/>
        </w:rPr>
        <w:t>十一、</w:t>
      </w:r>
      <w:r>
        <w:rPr>
          <w:rFonts w:ascii="宋体" w:hAnsi="宋体" w:eastAsia="宋体" w:cstheme="minorBidi"/>
          <w:smallCaps w:val="0"/>
          <w:kern w:val="2"/>
          <w:szCs w:val="22"/>
        </w:rPr>
        <w:tab/>
      </w:r>
      <w:r>
        <w:rPr>
          <w:rStyle w:val="28"/>
          <w:rFonts w:hint="eastAsia" w:ascii="宋体" w:hAnsi="宋体" w:eastAsia="宋体"/>
        </w:rPr>
        <w:t>其他</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_Toc121082015 \h </w:instrText>
      </w:r>
      <w:r>
        <w:rPr>
          <w:rFonts w:ascii="宋体" w:hAnsi="宋体" w:eastAsia="宋体"/>
        </w:rPr>
        <w:fldChar w:fldCharType="separate"/>
      </w:r>
      <w:r>
        <w:rPr>
          <w:rFonts w:ascii="宋体" w:hAnsi="宋体" w:eastAsia="宋体"/>
        </w:rPr>
        <w:t>24</w:t>
      </w:r>
      <w:r>
        <w:rPr>
          <w:rFonts w:ascii="宋体" w:hAnsi="宋体" w:eastAsia="宋体"/>
        </w:rPr>
        <w:fldChar w:fldCharType="end"/>
      </w:r>
      <w:r>
        <w:rPr>
          <w:rFonts w:ascii="宋体" w:hAnsi="宋体" w:eastAsia="宋体"/>
        </w:rPr>
        <w:fldChar w:fldCharType="end"/>
      </w:r>
    </w:p>
    <w:p>
      <w:pPr>
        <w:pStyle w:val="16"/>
        <w:tabs>
          <w:tab w:val="right" w:leader="dot" w:pos="9060"/>
        </w:tabs>
        <w:rPr>
          <w:rFonts w:cstheme="minorBidi"/>
          <w:caps w:val="0"/>
          <w:kern w:val="2"/>
          <w:sz w:val="21"/>
          <w:szCs w:val="22"/>
        </w:rPr>
      </w:pPr>
      <w:r>
        <w:fldChar w:fldCharType="begin"/>
      </w:r>
      <w:r>
        <w:instrText xml:space="preserve"> HYPERLINK \l "_Toc121082016" </w:instrText>
      </w:r>
      <w:r>
        <w:fldChar w:fldCharType="separate"/>
      </w:r>
      <w:r>
        <w:rPr>
          <w:rStyle w:val="28"/>
          <w:rFonts w:hint="eastAsia"/>
        </w:rPr>
        <w:t>第四章</w:t>
      </w:r>
      <w:r>
        <w:rPr>
          <w:rStyle w:val="28"/>
        </w:rPr>
        <w:t xml:space="preserve"> </w:t>
      </w:r>
      <w:r>
        <w:rPr>
          <w:rStyle w:val="28"/>
          <w:rFonts w:hint="eastAsia"/>
        </w:rPr>
        <w:t>用户需求书</w:t>
      </w:r>
      <w:r>
        <w:tab/>
      </w:r>
      <w:r>
        <w:fldChar w:fldCharType="begin"/>
      </w:r>
      <w:r>
        <w:instrText xml:space="preserve"> PAGEREF _Toc121082016 \h </w:instrText>
      </w:r>
      <w:r>
        <w:fldChar w:fldCharType="separate"/>
      </w:r>
      <w:r>
        <w:t>26</w:t>
      </w:r>
      <w:r>
        <w:fldChar w:fldCharType="end"/>
      </w:r>
      <w: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"_Toc121082017" </w:instrText>
      </w:r>
      <w:r>
        <w:fldChar w:fldCharType="separate"/>
      </w:r>
      <w:r>
        <w:rPr>
          <w:rStyle w:val="28"/>
          <w:rFonts w:hint="eastAsia" w:ascii="宋体" w:hAnsi="宋体" w:eastAsia="宋体"/>
        </w:rPr>
        <w:t>一、</w:t>
      </w:r>
      <w:r>
        <w:rPr>
          <w:rFonts w:ascii="宋体" w:hAnsi="宋体" w:eastAsia="宋体" w:cstheme="minorBidi"/>
          <w:smallCaps w:val="0"/>
          <w:kern w:val="2"/>
          <w:szCs w:val="22"/>
        </w:rPr>
        <w:tab/>
      </w:r>
      <w:r>
        <w:rPr>
          <w:rStyle w:val="28"/>
          <w:rFonts w:hint="eastAsia" w:ascii="宋体" w:hAnsi="宋体" w:eastAsia="宋体"/>
        </w:rPr>
        <w:t>商务要求</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_Toc121082017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18"/>
        <w:tabs>
          <w:tab w:val="left" w:pos="1260"/>
        </w:tabs>
        <w:rPr>
          <w:rFonts w:ascii="宋体" w:hAnsi="宋体" w:eastAsia="宋体" w:cstheme="minorBidi"/>
          <w:smallCaps w:val="0"/>
          <w:kern w:val="2"/>
          <w:szCs w:val="22"/>
        </w:rPr>
      </w:pPr>
      <w:r>
        <w:fldChar w:fldCharType="begin"/>
      </w:r>
      <w:r>
        <w:instrText xml:space="preserve"> HYPERLINK \l "_Toc121082018" </w:instrText>
      </w:r>
      <w:r>
        <w:fldChar w:fldCharType="separate"/>
      </w:r>
      <w:r>
        <w:rPr>
          <w:rStyle w:val="28"/>
          <w:rFonts w:hint="eastAsia" w:ascii="宋体" w:hAnsi="宋体" w:eastAsia="宋体"/>
        </w:rPr>
        <w:t>二、</w:t>
      </w:r>
      <w:r>
        <w:rPr>
          <w:rFonts w:ascii="宋体" w:hAnsi="宋体" w:eastAsia="宋体" w:cstheme="minorBidi"/>
          <w:smallCaps w:val="0"/>
          <w:kern w:val="2"/>
          <w:szCs w:val="22"/>
        </w:rPr>
        <w:tab/>
      </w:r>
      <w:r>
        <w:rPr>
          <w:rStyle w:val="28"/>
          <w:rFonts w:hint="eastAsia" w:ascii="宋体" w:hAnsi="宋体" w:eastAsia="宋体"/>
        </w:rPr>
        <w:t>技术需求及数量表</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_Toc121082018 \h </w:instrText>
      </w:r>
      <w:r>
        <w:rPr>
          <w:rFonts w:ascii="宋体" w:hAnsi="宋体" w:eastAsia="宋体"/>
        </w:rPr>
        <w:fldChar w:fldCharType="separate"/>
      </w:r>
      <w:r>
        <w:rPr>
          <w:rFonts w:ascii="宋体" w:hAnsi="宋体" w:eastAsia="宋体"/>
        </w:rPr>
        <w:t>26</w:t>
      </w:r>
      <w:r>
        <w:rPr>
          <w:rFonts w:ascii="宋体" w:hAnsi="宋体" w:eastAsia="宋体"/>
        </w:rPr>
        <w:fldChar w:fldCharType="end"/>
      </w:r>
      <w:r>
        <w:rPr>
          <w:rFonts w:ascii="宋体" w:hAnsi="宋体" w:eastAsia="宋体"/>
        </w:rPr>
        <w:fldChar w:fldCharType="end"/>
      </w:r>
    </w:p>
    <w:p>
      <w:pPr>
        <w:pStyle w:val="16"/>
        <w:tabs>
          <w:tab w:val="right" w:leader="dot" w:pos="9060"/>
        </w:tabs>
        <w:rPr>
          <w:rFonts w:cstheme="minorBidi"/>
          <w:caps w:val="0"/>
          <w:kern w:val="2"/>
          <w:sz w:val="21"/>
          <w:szCs w:val="22"/>
        </w:rPr>
      </w:pPr>
      <w:r>
        <w:fldChar w:fldCharType="begin"/>
      </w:r>
      <w:r>
        <w:instrText xml:space="preserve"> HYPERLINK \l "_Toc121082019" </w:instrText>
      </w:r>
      <w:r>
        <w:fldChar w:fldCharType="separate"/>
      </w:r>
      <w:r>
        <w:rPr>
          <w:rStyle w:val="28"/>
          <w:rFonts w:hint="eastAsia"/>
        </w:rPr>
        <w:t>第五章</w:t>
      </w:r>
      <w:r>
        <w:rPr>
          <w:rStyle w:val="28"/>
        </w:rPr>
        <w:t xml:space="preserve"> </w:t>
      </w:r>
      <w:r>
        <w:rPr>
          <w:rStyle w:val="28"/>
          <w:rFonts w:hint="eastAsia"/>
        </w:rPr>
        <w:t>比选申请文件（格式）</w:t>
      </w:r>
      <w:r>
        <w:tab/>
      </w:r>
      <w:r>
        <w:fldChar w:fldCharType="begin"/>
      </w:r>
      <w:r>
        <w:instrText xml:space="preserve"> PAGEREF _Toc121082019 \h </w:instrText>
      </w:r>
      <w:r>
        <w:fldChar w:fldCharType="separate"/>
      </w:r>
      <w:r>
        <w:t>28</w:t>
      </w:r>
      <w:r>
        <w:fldChar w:fldCharType="end"/>
      </w:r>
      <w:r>
        <w:fldChar w:fldCharType="end"/>
      </w:r>
    </w:p>
    <w:p>
      <w:pPr>
        <w:pStyle w:val="18"/>
        <w:rPr>
          <w:rFonts w:ascii="宋体" w:hAnsi="宋体" w:eastAsia="宋体" w:cstheme="minorBidi"/>
          <w:smallCaps w:val="0"/>
          <w:kern w:val="2"/>
          <w:szCs w:val="22"/>
        </w:rPr>
      </w:pPr>
      <w:r>
        <w:fldChar w:fldCharType="begin"/>
      </w:r>
      <w:r>
        <w:instrText xml:space="preserve"> HYPERLINK \l "_Toc121082020" </w:instrText>
      </w:r>
      <w:r>
        <w:fldChar w:fldCharType="separate"/>
      </w:r>
      <w:r>
        <w:rPr>
          <w:rStyle w:val="28"/>
          <w:rFonts w:hint="eastAsia" w:ascii="宋体" w:hAnsi="宋体" w:eastAsia="宋体"/>
        </w:rPr>
        <w:t>资格审查文件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_Toc121082020 \h </w:instrText>
      </w:r>
      <w:r>
        <w:rPr>
          <w:rFonts w:ascii="宋体" w:hAnsi="宋体" w:eastAsia="宋体"/>
        </w:rPr>
        <w:fldChar w:fldCharType="separate"/>
      </w:r>
      <w:r>
        <w:rPr>
          <w:rFonts w:ascii="宋体" w:hAnsi="宋体" w:eastAsia="宋体"/>
        </w:rPr>
        <w:t>28</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"_Toc121082021" </w:instrText>
      </w:r>
      <w:r>
        <w:fldChar w:fldCharType="separate"/>
      </w:r>
      <w:r>
        <w:rPr>
          <w:rStyle w:val="28"/>
          <w:rFonts w:hint="eastAsia" w:ascii="宋体" w:hAnsi="宋体" w:eastAsia="宋体"/>
        </w:rPr>
        <w:t>技术文件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_Toc121082021 \h </w:instrText>
      </w:r>
      <w:r>
        <w:rPr>
          <w:rFonts w:ascii="宋体" w:hAnsi="宋体" w:eastAsia="宋体"/>
        </w:rPr>
        <w:fldChar w:fldCharType="separate"/>
      </w:r>
      <w:r>
        <w:rPr>
          <w:rFonts w:ascii="宋体" w:hAnsi="宋体" w:eastAsia="宋体"/>
        </w:rPr>
        <w:t>37</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"_Toc121082022" </w:instrText>
      </w:r>
      <w:r>
        <w:fldChar w:fldCharType="separate"/>
      </w:r>
      <w:r>
        <w:rPr>
          <w:rStyle w:val="28"/>
          <w:rFonts w:hint="eastAsia" w:ascii="宋体" w:hAnsi="宋体" w:eastAsia="宋体"/>
        </w:rPr>
        <w:t>商务文件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_Toc121082022 \h </w:instrText>
      </w:r>
      <w:r>
        <w:rPr>
          <w:rFonts w:ascii="宋体" w:hAnsi="宋体" w:eastAsia="宋体"/>
        </w:rPr>
        <w:fldChar w:fldCharType="separate"/>
      </w:r>
      <w:r>
        <w:rPr>
          <w:rFonts w:ascii="宋体" w:hAnsi="宋体" w:eastAsia="宋体"/>
        </w:rPr>
        <w:t>41</w:t>
      </w:r>
      <w:r>
        <w:rPr>
          <w:rFonts w:ascii="宋体" w:hAnsi="宋体" w:eastAsia="宋体"/>
        </w:rPr>
        <w:fldChar w:fldCharType="end"/>
      </w:r>
      <w:r>
        <w:rPr>
          <w:rFonts w:ascii="宋体" w:hAnsi="宋体" w:eastAsia="宋体"/>
        </w:rPr>
        <w:fldChar w:fldCharType="end"/>
      </w:r>
    </w:p>
    <w:p>
      <w:pPr>
        <w:pStyle w:val="16"/>
        <w:tabs>
          <w:tab w:val="right" w:leader="dot" w:pos="9060"/>
        </w:tabs>
        <w:rPr>
          <w:rFonts w:cstheme="minorBidi"/>
          <w:caps w:val="0"/>
          <w:kern w:val="2"/>
          <w:sz w:val="21"/>
          <w:szCs w:val="22"/>
        </w:rPr>
      </w:pPr>
      <w:r>
        <w:fldChar w:fldCharType="begin"/>
      </w:r>
      <w:r>
        <w:instrText xml:space="preserve"> HYPERLINK \l "_Toc121082023" </w:instrText>
      </w:r>
      <w:r>
        <w:fldChar w:fldCharType="separate"/>
      </w:r>
      <w:r>
        <w:rPr>
          <w:rStyle w:val="28"/>
          <w:rFonts w:hint="eastAsia"/>
        </w:rPr>
        <w:t>第六章</w:t>
      </w:r>
      <w:r>
        <w:rPr>
          <w:rStyle w:val="28"/>
        </w:rPr>
        <w:t xml:space="preserve"> </w:t>
      </w:r>
      <w:r>
        <w:rPr>
          <w:rStyle w:val="28"/>
          <w:rFonts w:hint="eastAsia"/>
        </w:rPr>
        <w:t>评分办法</w:t>
      </w:r>
      <w:r>
        <w:tab/>
      </w:r>
      <w:r>
        <w:fldChar w:fldCharType="begin"/>
      </w:r>
      <w:r>
        <w:instrText xml:space="preserve"> PAGEREF _Toc121082023 \h </w:instrText>
      </w:r>
      <w:r>
        <w:fldChar w:fldCharType="separate"/>
      </w:r>
      <w:r>
        <w:t>45</w:t>
      </w:r>
      <w:r>
        <w:fldChar w:fldCharType="end"/>
      </w:r>
      <w:r>
        <w:fldChar w:fldCharType="end"/>
      </w:r>
    </w:p>
    <w:p>
      <w:pPr>
        <w:pStyle w:val="18"/>
        <w:rPr>
          <w:rFonts w:ascii="宋体" w:hAnsi="宋体" w:eastAsia="宋体" w:cstheme="minorBidi"/>
          <w:smallCaps w:val="0"/>
          <w:kern w:val="2"/>
          <w:szCs w:val="22"/>
        </w:rPr>
      </w:pPr>
      <w:r>
        <w:fldChar w:fldCharType="begin"/>
      </w:r>
      <w:r>
        <w:instrText xml:space="preserve"> HYPERLINK \l "_Toc121082024" </w:instrText>
      </w:r>
      <w:r>
        <w:fldChar w:fldCharType="separate"/>
      </w:r>
      <w:r>
        <w:rPr>
          <w:rStyle w:val="28"/>
          <w:rFonts w:hint="eastAsia" w:ascii="宋体" w:hAnsi="宋体" w:eastAsia="宋体"/>
        </w:rPr>
        <w:t>一、评审原则</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_Toc121082024 \h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"_Toc121082025" </w:instrText>
      </w:r>
      <w:r>
        <w:fldChar w:fldCharType="separate"/>
      </w:r>
      <w:r>
        <w:rPr>
          <w:rStyle w:val="28"/>
          <w:rFonts w:hint="eastAsia" w:ascii="宋体" w:hAnsi="宋体" w:eastAsia="宋体"/>
        </w:rPr>
        <w:t>二、评定方法</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_Toc121082025 \h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"_Toc121082026" </w:instrText>
      </w:r>
      <w:r>
        <w:fldChar w:fldCharType="separate"/>
      </w:r>
      <w:r>
        <w:rPr>
          <w:rStyle w:val="28"/>
          <w:rFonts w:hint="eastAsia" w:ascii="宋体" w:hAnsi="宋体" w:eastAsia="宋体"/>
        </w:rPr>
        <w:t>三、评审程序</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_Toc121082026 \h </w:instrText>
      </w:r>
      <w:r>
        <w:rPr>
          <w:rFonts w:ascii="宋体" w:hAnsi="宋体" w:eastAsia="宋体"/>
        </w:rPr>
        <w:fldChar w:fldCharType="separate"/>
      </w:r>
      <w:r>
        <w:rPr>
          <w:rFonts w:ascii="宋体" w:hAnsi="宋体" w:eastAsia="宋体"/>
        </w:rPr>
        <w:t>45</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"_Toc121082027" </w:instrText>
      </w:r>
      <w:r>
        <w:fldChar w:fldCharType="separate"/>
      </w:r>
      <w:r>
        <w:rPr>
          <w:rStyle w:val="28"/>
          <w:rFonts w:hint="eastAsia" w:ascii="宋体" w:hAnsi="宋体" w:eastAsia="宋体"/>
        </w:rPr>
        <w:t>附表一</w:t>
      </w:r>
      <w:r>
        <w:rPr>
          <w:rStyle w:val="28"/>
          <w:rFonts w:ascii="宋体" w:hAnsi="宋体" w:eastAsia="宋体"/>
        </w:rPr>
        <w:t xml:space="preserve"> </w:t>
      </w:r>
      <w:r>
        <w:rPr>
          <w:rStyle w:val="28"/>
          <w:rFonts w:hint="eastAsia" w:ascii="宋体" w:hAnsi="宋体" w:eastAsia="宋体"/>
        </w:rPr>
        <w:t>资格审查表</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_Toc121082027 \h </w:instrText>
      </w:r>
      <w:r>
        <w:rPr>
          <w:rFonts w:ascii="宋体" w:hAnsi="宋体" w:eastAsia="宋体"/>
        </w:rPr>
        <w:fldChar w:fldCharType="separate"/>
      </w:r>
      <w:r>
        <w:rPr>
          <w:rFonts w:ascii="宋体" w:hAnsi="宋体" w:eastAsia="宋体"/>
        </w:rPr>
        <w:t>49</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"_Toc121082028" </w:instrText>
      </w:r>
      <w:r>
        <w:fldChar w:fldCharType="separate"/>
      </w:r>
      <w:r>
        <w:rPr>
          <w:rStyle w:val="28"/>
          <w:rFonts w:hint="eastAsia" w:ascii="宋体" w:hAnsi="宋体" w:eastAsia="宋体"/>
        </w:rPr>
        <w:t>附表二</w:t>
      </w:r>
      <w:r>
        <w:rPr>
          <w:rStyle w:val="28"/>
          <w:rFonts w:ascii="宋体" w:hAnsi="宋体" w:eastAsia="宋体"/>
        </w:rPr>
        <w:t xml:space="preserve"> </w:t>
      </w:r>
      <w:r>
        <w:rPr>
          <w:rStyle w:val="28"/>
          <w:rFonts w:hint="eastAsia" w:ascii="宋体" w:hAnsi="宋体" w:eastAsia="宋体"/>
        </w:rPr>
        <w:t>技术符合性审查表</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_Toc121082028 \h </w:instrText>
      </w:r>
      <w:r>
        <w:rPr>
          <w:rFonts w:ascii="宋体" w:hAnsi="宋体" w:eastAsia="宋体"/>
        </w:rPr>
        <w:fldChar w:fldCharType="separate"/>
      </w:r>
      <w:r>
        <w:rPr>
          <w:rFonts w:ascii="宋体" w:hAnsi="宋体" w:eastAsia="宋体"/>
        </w:rPr>
        <w:t>50</w:t>
      </w:r>
      <w:r>
        <w:rPr>
          <w:rFonts w:ascii="宋体" w:hAnsi="宋体" w:eastAsia="宋体"/>
        </w:rPr>
        <w:fldChar w:fldCharType="end"/>
      </w:r>
      <w:r>
        <w:rPr>
          <w:rFonts w:ascii="宋体" w:hAnsi="宋体" w:eastAsia="宋体"/>
        </w:rPr>
        <w:fldChar w:fldCharType="end"/>
      </w:r>
    </w:p>
    <w:p>
      <w:pPr>
        <w:pStyle w:val="18"/>
        <w:rPr>
          <w:rFonts w:ascii="宋体" w:hAnsi="宋体" w:eastAsia="宋体" w:cstheme="minorBidi"/>
          <w:smallCaps w:val="0"/>
          <w:kern w:val="2"/>
          <w:szCs w:val="22"/>
        </w:rPr>
      </w:pPr>
      <w:r>
        <w:fldChar w:fldCharType="begin"/>
      </w:r>
      <w:r>
        <w:instrText xml:space="preserve"> HYPERLINK \l "_Toc121082029" </w:instrText>
      </w:r>
      <w:r>
        <w:fldChar w:fldCharType="separate"/>
      </w:r>
      <w:r>
        <w:rPr>
          <w:rStyle w:val="28"/>
          <w:rFonts w:hint="eastAsia" w:ascii="宋体" w:hAnsi="宋体" w:eastAsia="宋体"/>
        </w:rPr>
        <w:t>附表三</w:t>
      </w:r>
      <w:r>
        <w:rPr>
          <w:rStyle w:val="28"/>
          <w:rFonts w:ascii="宋体" w:hAnsi="宋体" w:eastAsia="宋体"/>
        </w:rPr>
        <w:t xml:space="preserve"> </w:t>
      </w:r>
      <w:r>
        <w:rPr>
          <w:rStyle w:val="28"/>
          <w:rFonts w:hint="eastAsia" w:ascii="宋体" w:hAnsi="宋体" w:eastAsia="宋体"/>
        </w:rPr>
        <w:t>比选申请价格评审表</w:t>
      </w:r>
      <w:r>
        <w:rPr>
          <w:rFonts w:ascii="宋体" w:hAnsi="宋体" w:eastAsia="宋体"/>
        </w:rPr>
        <w:tab/>
      </w:r>
      <w:r>
        <w:rPr>
          <w:rFonts w:ascii="宋体" w:hAnsi="宋体" w:eastAsia="宋体"/>
        </w:rPr>
        <w:fldChar w:fldCharType="begin"/>
      </w:r>
      <w:r>
        <w:rPr>
          <w:rFonts w:ascii="宋体" w:hAnsi="宋体" w:eastAsia="宋体"/>
        </w:rPr>
        <w:instrText xml:space="preserve"> PAGEREF _Toc121082029 \h </w:instrText>
      </w:r>
      <w:r>
        <w:rPr>
          <w:rFonts w:ascii="宋体" w:hAnsi="宋体" w:eastAsia="宋体"/>
        </w:rPr>
        <w:fldChar w:fldCharType="separate"/>
      </w:r>
      <w:r>
        <w:rPr>
          <w:rFonts w:ascii="宋体" w:hAnsi="宋体" w:eastAsia="宋体"/>
        </w:rPr>
        <w:t>51</w:t>
      </w:r>
      <w:r>
        <w:rPr>
          <w:rFonts w:ascii="宋体" w:hAnsi="宋体" w:eastAsia="宋体"/>
        </w:rPr>
        <w:fldChar w:fldCharType="end"/>
      </w:r>
      <w:r>
        <w:rPr>
          <w:rFonts w:ascii="宋体" w:hAnsi="宋体" w:eastAsia="宋体"/>
        </w:rPr>
        <w:fldChar w:fldCharType="end"/>
      </w:r>
    </w:p>
    <w:p>
      <w:pPr>
        <w:pStyle w:val="16"/>
        <w:tabs>
          <w:tab w:val="right" w:leader="dot" w:pos="9060"/>
        </w:tabs>
      </w:pPr>
      <w:r>
        <w:fldChar w:fldCharType="end"/>
      </w:r>
      <w:bookmarkEnd w:id="0"/>
      <w:bookmarkEnd w:id="1"/>
      <w:bookmarkEnd w:id="2"/>
      <w:bookmarkStart w:id="3" w:name="_Toc114052337"/>
      <w:bookmarkStart w:id="4" w:name="_Toc286386831"/>
      <w:bookmarkStart w:id="5" w:name="_Toc114052411"/>
      <w:bookmarkStart w:id="6" w:name="_Toc392862472"/>
      <w:bookmarkStart w:id="7" w:name="_Toc392862473"/>
    </w:p>
    <w:p>
      <w:pPr>
        <w:widowControl/>
        <w:jc w:val="left"/>
        <w:rPr>
          <w:rFonts w:ascii="宋体" w:hAnsi="宋体"/>
          <w:caps/>
          <w:kern w:val="0"/>
          <w:sz w:val="28"/>
          <w:szCs w:val="20"/>
        </w:rPr>
      </w:pPr>
      <w:r>
        <w:br w:type="page"/>
      </w:r>
    </w:p>
    <w:p>
      <w:pPr>
        <w:pStyle w:val="2"/>
        <w:spacing w:before="312" w:beforeLines="100" w:after="312" w:afterLines="100" w:line="360" w:lineRule="auto"/>
        <w:jc w:val="center"/>
        <w:rPr>
          <w:rFonts w:ascii="宋体" w:hAnsi="宋体"/>
          <w:sz w:val="32"/>
          <w:szCs w:val="28"/>
        </w:rPr>
      </w:pPr>
      <w:bookmarkStart w:id="8" w:name="_Toc121081995"/>
      <w:r>
        <w:rPr>
          <w:rFonts w:ascii="宋体" w:hAnsi="宋体"/>
          <w:sz w:val="32"/>
          <w:szCs w:val="28"/>
        </w:rPr>
        <w:t>第一章</w:t>
      </w:r>
      <w:r>
        <w:rPr>
          <w:rFonts w:hint="eastAsia" w:ascii="宋体" w:hAnsi="宋体"/>
          <w:sz w:val="32"/>
          <w:szCs w:val="28"/>
        </w:rPr>
        <w:t xml:space="preserve"> 比选公告</w:t>
      </w:r>
      <w:bookmarkEnd w:id="8"/>
    </w:p>
    <w:p>
      <w:pPr>
        <w:spacing w:line="360" w:lineRule="auto"/>
        <w:rPr>
          <w:rFonts w:ascii="宋体" w:hAnsi="宋体"/>
          <w:b/>
        </w:rPr>
      </w:pPr>
      <w:r>
        <w:rPr>
          <w:rFonts w:hint="eastAsia" w:ascii="宋体" w:hAnsi="宋体"/>
          <w:b/>
        </w:rPr>
        <w:t>1.</w:t>
      </w:r>
      <w:r>
        <w:rPr>
          <w:rFonts w:ascii="宋体" w:hAnsi="宋体"/>
          <w:b/>
        </w:rPr>
        <w:t>比选条件</w:t>
      </w:r>
    </w:p>
    <w:p>
      <w:pPr>
        <w:spacing w:line="360" w:lineRule="auto"/>
        <w:ind w:firstLine="420" w:firstLineChars="200"/>
        <w:rPr>
          <w:rFonts w:ascii="宋体" w:hAnsi="宋体"/>
        </w:rPr>
      </w:pPr>
      <w:r>
        <w:rPr>
          <w:rFonts w:hint="eastAsia" w:ascii="宋体" w:hAnsi="宋体"/>
        </w:rPr>
        <w:t>本比选项目</w:t>
      </w:r>
      <w:r>
        <w:rPr>
          <w:rFonts w:hint="eastAsia" w:ascii="宋体" w:hAnsi="宋体" w:cs="宋体"/>
          <w:kern w:val="0"/>
          <w:szCs w:val="21"/>
        </w:rPr>
        <w:t>南宁轨道交通运营有限公司2024年广西电力市场化交易项目（重）</w:t>
      </w:r>
      <w:r>
        <w:rPr>
          <w:rFonts w:hint="eastAsia" w:ascii="宋体" w:hAnsi="宋体"/>
        </w:rPr>
        <w:t>比选人为</w:t>
      </w:r>
      <w:r>
        <w:rPr>
          <w:rFonts w:ascii="宋体" w:hAnsi="宋体"/>
        </w:rPr>
        <w:t>南宁轨道交通运营有限公司</w:t>
      </w:r>
      <w:r>
        <w:rPr>
          <w:rFonts w:hint="eastAsia" w:ascii="宋体" w:hAnsi="宋体"/>
        </w:rPr>
        <w:t>，比选项目资金来源为企业自有资金。</w:t>
      </w:r>
    </w:p>
    <w:p>
      <w:pPr>
        <w:spacing w:line="360" w:lineRule="auto"/>
        <w:rPr>
          <w:rFonts w:ascii="宋体" w:hAnsi="宋体"/>
          <w:b/>
        </w:rPr>
      </w:pPr>
      <w:r>
        <w:rPr>
          <w:rFonts w:hint="eastAsia" w:ascii="宋体" w:hAnsi="宋体"/>
          <w:b/>
        </w:rPr>
        <w:t>2.项目概况与比选范围</w:t>
      </w:r>
    </w:p>
    <w:p>
      <w:pPr>
        <w:spacing w:line="360" w:lineRule="auto"/>
        <w:ind w:firstLine="420" w:firstLineChars="200"/>
        <w:rPr>
          <w:rFonts w:ascii="宋体" w:hAnsi="宋体"/>
          <w:b/>
        </w:rPr>
      </w:pPr>
      <w:r>
        <w:rPr>
          <w:rFonts w:hint="eastAsia" w:ascii="宋体" w:hAnsi="宋体"/>
        </w:rPr>
        <w:t>2</w:t>
      </w:r>
      <w:r>
        <w:rPr>
          <w:rFonts w:ascii="宋体" w:hAnsi="宋体"/>
        </w:rPr>
        <w:t>.1</w:t>
      </w:r>
      <w:r>
        <w:rPr>
          <w:rFonts w:hint="eastAsia" w:ascii="宋体" w:hAnsi="宋体"/>
        </w:rPr>
        <w:t>项目编号：</w:t>
      </w:r>
      <w:r>
        <w:rPr>
          <w:rFonts w:ascii="宋体" w:hAnsi="宋体"/>
        </w:rPr>
        <w:t>202310310002（重）</w:t>
      </w:r>
    </w:p>
    <w:p>
      <w:pPr>
        <w:spacing w:line="360" w:lineRule="auto"/>
        <w:ind w:firstLine="420" w:firstLineChars="200"/>
        <w:rPr>
          <w:rFonts w:ascii="宋体" w:hAnsi="宋体"/>
        </w:rPr>
      </w:pPr>
      <w:r>
        <w:rPr>
          <w:rFonts w:hint="eastAsia" w:ascii="宋体" w:hAnsi="宋体"/>
        </w:rPr>
        <w:t>2</w:t>
      </w:r>
      <w:r>
        <w:rPr>
          <w:rFonts w:ascii="宋体" w:hAnsi="宋体"/>
        </w:rPr>
        <w:t>.2</w:t>
      </w:r>
      <w:r>
        <w:rPr>
          <w:rFonts w:hint="eastAsia" w:ascii="宋体" w:hAnsi="宋体"/>
        </w:rPr>
        <w:t>项目名称：南宁轨道交通运营有限公司2024年广西电力市场化交易项目（重）</w:t>
      </w:r>
    </w:p>
    <w:p>
      <w:pPr>
        <w:spacing w:line="360" w:lineRule="auto"/>
        <w:ind w:firstLine="420" w:firstLineChars="200"/>
        <w:rPr>
          <w:rFonts w:ascii="宋体" w:hAnsi="宋体"/>
        </w:rPr>
      </w:pPr>
      <w:r>
        <w:rPr>
          <w:rFonts w:ascii="宋体" w:hAnsi="宋体"/>
        </w:rPr>
        <w:t>2.3</w:t>
      </w:r>
      <w:r>
        <w:rPr>
          <w:rFonts w:hint="eastAsia" w:ascii="宋体" w:hAnsi="宋体"/>
        </w:rPr>
        <w:t>比选范围：南宁轨道交通运营有限公司2024年广西电力市场化交易项目（重）年度常规电能量交易的</w:t>
      </w:r>
      <w:r>
        <w:rPr>
          <w:rFonts w:hint="eastAsia" w:ascii="宋体" w:hAnsi="宋体" w:cs="Arial"/>
          <w:szCs w:val="21"/>
        </w:rPr>
        <w:t>采购电量和采购价格</w:t>
      </w:r>
      <w:r>
        <w:rPr>
          <w:rFonts w:hint="eastAsia" w:ascii="宋体" w:hAnsi="宋体"/>
        </w:rPr>
        <w:t>，详见技术需求及数量表。</w:t>
      </w:r>
    </w:p>
    <w:p>
      <w:pPr>
        <w:spacing w:line="360" w:lineRule="auto"/>
        <w:ind w:firstLine="420" w:firstLineChars="200"/>
        <w:rPr>
          <w:rFonts w:ascii="宋体" w:hAnsi="宋体"/>
        </w:rPr>
      </w:pPr>
      <w:r>
        <w:rPr>
          <w:rFonts w:hint="eastAsia" w:ascii="宋体" w:hAnsi="宋体"/>
        </w:rPr>
        <w:t>2</w:t>
      </w:r>
      <w:r>
        <w:rPr>
          <w:rFonts w:ascii="宋体" w:hAnsi="宋体"/>
        </w:rPr>
        <w:t>.4控制价：</w:t>
      </w:r>
      <w:r>
        <w:rPr>
          <w:rFonts w:hint="eastAsia" w:ascii="宋体" w:hAnsi="宋体"/>
          <w:szCs w:val="21"/>
        </w:rPr>
        <w:t>常规电能量交易价格≤0.50484元/千瓦时。</w:t>
      </w:r>
    </w:p>
    <w:p>
      <w:pPr>
        <w:spacing w:line="360" w:lineRule="auto"/>
        <w:rPr>
          <w:rFonts w:ascii="宋体" w:hAnsi="宋体"/>
          <w:b/>
        </w:rPr>
      </w:pPr>
      <w:r>
        <w:rPr>
          <w:rFonts w:hint="eastAsia" w:ascii="宋体" w:hAnsi="宋体"/>
          <w:b/>
        </w:rPr>
        <w:t>3.比选申请人资格要求</w:t>
      </w:r>
    </w:p>
    <w:p>
      <w:pPr>
        <w:spacing w:line="360" w:lineRule="auto"/>
        <w:ind w:firstLine="420" w:firstLineChars="200"/>
        <w:rPr>
          <w:rFonts w:ascii="宋体" w:hAnsi="宋体"/>
        </w:rPr>
      </w:pPr>
      <w:r>
        <w:rPr>
          <w:rFonts w:ascii="宋体" w:hAnsi="宋体"/>
        </w:rPr>
        <w:t>3.1</w:t>
      </w:r>
      <w:r>
        <w:rPr>
          <w:rFonts w:hint="eastAsia" w:ascii="宋体" w:hAnsi="宋体"/>
        </w:rPr>
        <w:t>比选申请人</w:t>
      </w:r>
      <w:r>
        <w:rPr>
          <w:rFonts w:ascii="宋体" w:hAnsi="宋体"/>
        </w:rPr>
        <w:t>在广西电力交易中心有限责任公司注册成为“售电公司”的市场交易主体</w:t>
      </w:r>
      <w:r>
        <w:rPr>
          <w:rFonts w:hint="eastAsia" w:ascii="宋体" w:hAnsi="宋体"/>
        </w:rPr>
        <w:t>，需提供</w:t>
      </w:r>
      <w:r>
        <w:rPr>
          <w:rFonts w:ascii="宋体" w:hAnsi="宋体"/>
        </w:rPr>
        <w:t>广西电力市场交易系统市场管理市场主体公开信息查询截图</w:t>
      </w:r>
      <w:r>
        <w:rPr>
          <w:rFonts w:hint="eastAsia" w:ascii="宋体" w:hAnsi="宋体"/>
        </w:rPr>
        <w:t>（加盖单位公章）。</w:t>
      </w:r>
    </w:p>
    <w:p>
      <w:pPr>
        <w:spacing w:line="360" w:lineRule="auto"/>
        <w:ind w:firstLine="420" w:firstLineChars="200"/>
        <w:rPr>
          <w:rFonts w:ascii="宋体" w:hAnsi="宋体"/>
        </w:rPr>
      </w:pPr>
      <w:r>
        <w:rPr>
          <w:rFonts w:ascii="宋体" w:hAnsi="宋体"/>
        </w:rPr>
        <w:t>3.2比选申请人</w:t>
      </w:r>
      <w:r>
        <w:rPr>
          <w:rFonts w:hint="eastAsia" w:ascii="宋体" w:hAnsi="宋体"/>
        </w:rPr>
        <w:t>2023年常规电能量交易总交易量≥2</w:t>
      </w:r>
      <w:r>
        <w:rPr>
          <w:rFonts w:ascii="宋体" w:hAnsi="宋体"/>
        </w:rPr>
        <w:t>0亿千瓦时</w:t>
      </w:r>
      <w:r>
        <w:rPr>
          <w:rFonts w:hint="eastAsia" w:ascii="宋体" w:hAnsi="宋体"/>
          <w:szCs w:val="21"/>
        </w:rPr>
        <w:t>，绿色电力交易</w:t>
      </w:r>
      <w:r>
        <w:rPr>
          <w:rFonts w:hint="eastAsia" w:ascii="宋体" w:hAnsi="宋体"/>
        </w:rPr>
        <w:t>总交易量≥</w:t>
      </w:r>
      <w:r>
        <w:rPr>
          <w:rFonts w:ascii="宋体" w:hAnsi="宋体"/>
        </w:rPr>
        <w:t>1亿千瓦时</w:t>
      </w:r>
      <w:r>
        <w:rPr>
          <w:rFonts w:hint="eastAsia" w:ascii="宋体" w:hAnsi="宋体"/>
          <w:szCs w:val="21"/>
        </w:rPr>
        <w:t>，需提供交易中心发布的结算清单（加盖公章），并罗列整理成统计表单（详见格式A1）</w:t>
      </w:r>
      <w:r>
        <w:rPr>
          <w:rFonts w:hint="eastAsia" w:ascii="宋体" w:hAnsi="宋体"/>
        </w:rPr>
        <w:t>。</w:t>
      </w:r>
    </w:p>
    <w:p>
      <w:pPr>
        <w:spacing w:line="360" w:lineRule="auto"/>
        <w:ind w:firstLine="420" w:firstLineChars="200"/>
        <w:rPr>
          <w:rFonts w:ascii="宋体" w:hAnsi="宋体"/>
        </w:rPr>
      </w:pPr>
      <w:r>
        <w:rPr>
          <w:rFonts w:hint="eastAsia" w:ascii="宋体" w:hAnsi="宋体"/>
        </w:rPr>
        <w:t>3.</w:t>
      </w:r>
      <w:r>
        <w:rPr>
          <w:rFonts w:ascii="宋体" w:hAnsi="宋体"/>
        </w:rPr>
        <w:t>3</w:t>
      </w:r>
      <w:r>
        <w:rPr>
          <w:rFonts w:hint="eastAsia" w:ascii="宋体" w:hAnsi="宋体"/>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line="360" w:lineRule="auto"/>
        <w:ind w:firstLine="420" w:firstLineChars="200"/>
        <w:rPr>
          <w:rFonts w:ascii="宋体" w:hAnsi="宋体"/>
        </w:rPr>
      </w:pPr>
      <w:r>
        <w:rPr>
          <w:rFonts w:ascii="宋体" w:hAnsi="宋体"/>
        </w:rPr>
        <w:t>3.4</w:t>
      </w:r>
      <w:r>
        <w:rPr>
          <w:rFonts w:hint="eastAsia" w:ascii="宋体" w:hAnsi="宋体"/>
        </w:rPr>
        <w:t>本项目不接受联合体比选申请。</w:t>
      </w:r>
    </w:p>
    <w:p>
      <w:pPr>
        <w:spacing w:line="360" w:lineRule="auto"/>
        <w:rPr>
          <w:rFonts w:ascii="宋体" w:hAnsi="宋体"/>
          <w:b/>
        </w:rPr>
      </w:pPr>
      <w:r>
        <w:rPr>
          <w:rFonts w:hint="eastAsia" w:ascii="宋体" w:hAnsi="宋体"/>
          <w:b/>
        </w:rPr>
        <w:t>4.资格审查方式</w:t>
      </w:r>
    </w:p>
    <w:p>
      <w:pPr>
        <w:spacing w:line="360" w:lineRule="auto"/>
        <w:ind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line="360" w:lineRule="auto"/>
        <w:rPr>
          <w:rFonts w:ascii="宋体" w:hAnsi="宋体"/>
          <w:b/>
        </w:rPr>
      </w:pPr>
      <w:r>
        <w:rPr>
          <w:rFonts w:ascii="宋体" w:hAnsi="宋体"/>
          <w:b/>
        </w:rPr>
        <w:t>5.</w:t>
      </w:r>
      <w:r>
        <w:rPr>
          <w:rFonts w:hint="eastAsia" w:ascii="宋体" w:hAnsi="宋体"/>
          <w:b/>
        </w:rPr>
        <w:t>比选文件的获取</w:t>
      </w:r>
    </w:p>
    <w:p>
      <w:pPr>
        <w:spacing w:line="360" w:lineRule="auto"/>
        <w:ind w:firstLine="420" w:firstLineChars="200"/>
        <w:rPr>
          <w:rFonts w:ascii="宋体" w:hAnsi="宋体"/>
        </w:rPr>
      </w:pPr>
      <w:r>
        <w:rPr>
          <w:rFonts w:hint="eastAsia" w:ascii="宋体" w:hAnsi="宋体"/>
        </w:rPr>
        <w:t>本项目不发放纸质文件，比选申请人自行在南宁轨道交通集团有限责任公司官网（http://www.nngdjt.com/）招标招商中的招标公告处下载比选文件（见本公告附件）。</w:t>
      </w:r>
    </w:p>
    <w:p>
      <w:pPr>
        <w:spacing w:line="360" w:lineRule="auto"/>
        <w:ind w:firstLine="422" w:firstLineChars="200"/>
        <w:rPr>
          <w:rFonts w:ascii="宋体" w:hAnsi="宋体"/>
        </w:rPr>
      </w:pPr>
      <w:r>
        <w:rPr>
          <w:rFonts w:hint="eastAsia" w:ascii="宋体" w:hAnsi="宋体"/>
          <w:b/>
        </w:rPr>
        <w:t>注：比选申请人如未完整下载相关文件，或由于未及时关注比选文件补充通知（补遗）、答疑等相关项目信息而影响比选申请的，其责任由比选申请人自行承担。</w:t>
      </w:r>
    </w:p>
    <w:p>
      <w:pPr>
        <w:spacing w:line="360" w:lineRule="auto"/>
        <w:rPr>
          <w:rFonts w:ascii="宋体" w:hAnsi="宋体"/>
          <w:b/>
        </w:rPr>
      </w:pPr>
      <w:r>
        <w:rPr>
          <w:rFonts w:ascii="宋体" w:hAnsi="宋体"/>
          <w:b/>
        </w:rPr>
        <w:t>6</w:t>
      </w:r>
      <w:r>
        <w:rPr>
          <w:rFonts w:hint="eastAsia" w:ascii="宋体" w:hAnsi="宋体"/>
          <w:b/>
        </w:rPr>
        <w:t>.比选申请截止时间及地点</w:t>
      </w:r>
    </w:p>
    <w:p>
      <w:pPr>
        <w:spacing w:line="360" w:lineRule="auto"/>
        <w:ind w:firstLine="420" w:firstLineChars="200"/>
        <w:rPr>
          <w:rFonts w:ascii="宋体" w:hAnsi="宋体"/>
        </w:rPr>
      </w:pPr>
      <w:r>
        <w:rPr>
          <w:rFonts w:ascii="宋体" w:hAnsi="宋体"/>
        </w:rPr>
        <w:t>6.1</w:t>
      </w:r>
      <w:r>
        <w:rPr>
          <w:rFonts w:hint="eastAsia" w:ascii="宋体" w:hAnsi="宋体"/>
        </w:rPr>
        <w:t>比选申请文件须密封后于</w:t>
      </w:r>
      <w:r>
        <w:rPr>
          <w:rFonts w:hint="eastAsia" w:ascii="宋体" w:hAnsi="宋体"/>
          <w:lang w:val="en-US" w:eastAsia="zh-CN"/>
        </w:rPr>
        <w:t>2024年1月9日09:00-09:30</w:t>
      </w:r>
      <w:r>
        <w:rPr>
          <w:rFonts w:hint="eastAsia" w:ascii="宋体" w:hAnsi="宋体"/>
        </w:rPr>
        <w:t>（北京时间）递交，递交地点为广西壮族自治区南宁市青秀区云景路</w:t>
      </w:r>
      <w:r>
        <w:rPr>
          <w:rFonts w:ascii="宋体" w:hAnsi="宋体"/>
        </w:rPr>
        <w:t>83</w:t>
      </w:r>
      <w:r>
        <w:rPr>
          <w:rFonts w:hint="eastAsia" w:ascii="宋体" w:hAnsi="宋体"/>
        </w:rPr>
        <w:t>号屯里车辆段综合</w:t>
      </w:r>
      <w:r>
        <w:rPr>
          <w:rFonts w:ascii="宋体" w:hAnsi="宋体"/>
        </w:rPr>
        <w:t>楼</w:t>
      </w:r>
      <w:r>
        <w:rPr>
          <w:rFonts w:hint="eastAsia" w:ascii="宋体" w:hAnsi="宋体"/>
          <w:lang w:val="en-US" w:eastAsia="zh-CN"/>
        </w:rPr>
        <w:t>205</w:t>
      </w:r>
      <w:r>
        <w:rPr>
          <w:rFonts w:ascii="宋体" w:hAnsi="宋体"/>
        </w:rPr>
        <w:t>室</w:t>
      </w:r>
      <w:r>
        <w:rPr>
          <w:rFonts w:hint="eastAsia" w:ascii="宋体" w:hAnsi="宋体"/>
        </w:rPr>
        <w:t>。</w:t>
      </w:r>
    </w:p>
    <w:p>
      <w:pPr>
        <w:spacing w:line="360" w:lineRule="auto"/>
        <w:ind w:firstLine="420" w:firstLineChars="200"/>
        <w:rPr>
          <w:rFonts w:ascii="宋体" w:hAnsi="宋体"/>
        </w:rPr>
      </w:pPr>
      <w:r>
        <w:rPr>
          <w:rFonts w:ascii="宋体" w:hAnsi="宋体"/>
        </w:rPr>
        <w:t>6</w:t>
      </w:r>
      <w:r>
        <w:rPr>
          <w:rFonts w:hint="eastAsia" w:ascii="宋体" w:hAnsi="宋体"/>
        </w:rPr>
        <w:t>.2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line="360" w:lineRule="auto"/>
        <w:ind w:firstLine="420" w:firstLineChars="200"/>
        <w:rPr>
          <w:rFonts w:ascii="宋体" w:hAnsi="宋体"/>
        </w:rPr>
      </w:pPr>
      <w:r>
        <w:rPr>
          <w:rFonts w:ascii="宋体" w:hAnsi="宋体"/>
        </w:rPr>
        <w:t>6.3</w:t>
      </w:r>
      <w:r>
        <w:rPr>
          <w:rFonts w:hint="eastAsia" w:ascii="宋体" w:hAnsi="宋体"/>
        </w:rPr>
        <w:t>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法定代表人或其授权代表递交，法定代表人提供身份证原件核验，授权代表提供法人委托书核验，否则比选人不予受理。</w:t>
      </w:r>
    </w:p>
    <w:p>
      <w:pPr>
        <w:spacing w:line="360" w:lineRule="auto"/>
        <w:rPr>
          <w:rFonts w:ascii="宋体" w:hAnsi="宋体"/>
          <w:b/>
        </w:rPr>
      </w:pPr>
      <w:r>
        <w:rPr>
          <w:rFonts w:ascii="宋体" w:hAnsi="宋体"/>
          <w:b/>
        </w:rPr>
        <w:t>7.比选人联系方式</w:t>
      </w:r>
    </w:p>
    <w:p>
      <w:pPr>
        <w:spacing w:line="360" w:lineRule="auto"/>
        <w:ind w:firstLine="420" w:firstLineChars="200"/>
        <w:rPr>
          <w:rFonts w:ascii="宋体" w:hAnsi="宋体"/>
        </w:rPr>
      </w:pPr>
      <w:r>
        <w:rPr>
          <w:rFonts w:ascii="宋体" w:hAnsi="宋体"/>
        </w:rPr>
        <w:t>比</w:t>
      </w:r>
      <w:r>
        <w:rPr>
          <w:rFonts w:hint="eastAsia" w:ascii="宋体" w:hAnsi="宋体"/>
        </w:rPr>
        <w:t xml:space="preserve"> </w:t>
      </w:r>
      <w:r>
        <w:rPr>
          <w:rFonts w:ascii="宋体" w:hAnsi="宋体"/>
        </w:rPr>
        <w:t>选</w:t>
      </w:r>
      <w:r>
        <w:rPr>
          <w:rFonts w:hint="eastAsia" w:ascii="宋体" w:hAnsi="宋体"/>
        </w:rPr>
        <w:t xml:space="preserve"> </w:t>
      </w:r>
      <w:r>
        <w:rPr>
          <w:rFonts w:ascii="宋体" w:hAnsi="宋体"/>
        </w:rPr>
        <w:t>人</w:t>
      </w:r>
      <w:r>
        <w:rPr>
          <w:rFonts w:hint="eastAsia" w:ascii="宋体" w:hAnsi="宋体"/>
        </w:rPr>
        <w:t>：</w:t>
      </w:r>
      <w:r>
        <w:rPr>
          <w:rFonts w:ascii="宋体" w:hAnsi="宋体"/>
        </w:rPr>
        <w:t>南宁轨道交通运营有限公司</w:t>
      </w:r>
    </w:p>
    <w:p>
      <w:pPr>
        <w:spacing w:line="360" w:lineRule="auto"/>
        <w:ind w:firstLine="420" w:firstLineChars="200"/>
        <w:rPr>
          <w:rFonts w:ascii="宋体" w:hAnsi="宋体"/>
        </w:rPr>
      </w:pPr>
      <w:r>
        <w:rPr>
          <w:rFonts w:hint="eastAsia" w:ascii="宋体" w:hAnsi="宋体"/>
        </w:rPr>
        <w:t xml:space="preserve">地 </w:t>
      </w:r>
      <w:r>
        <w:rPr>
          <w:rFonts w:ascii="宋体" w:hAnsi="宋体"/>
        </w:rPr>
        <w:t xml:space="preserve">  </w:t>
      </w:r>
      <w:r>
        <w:rPr>
          <w:rFonts w:hint="eastAsia" w:ascii="宋体" w:hAnsi="宋体"/>
        </w:rPr>
        <w:t xml:space="preserve"> 址：广西壮族自治区南宁市青秀区云景路</w:t>
      </w:r>
      <w:r>
        <w:rPr>
          <w:rFonts w:ascii="宋体" w:hAnsi="宋体"/>
        </w:rPr>
        <w:t>83</w:t>
      </w:r>
      <w:r>
        <w:rPr>
          <w:rFonts w:hint="eastAsia" w:ascii="宋体" w:hAnsi="宋体"/>
        </w:rPr>
        <w:t>号屯里车辆段</w:t>
      </w:r>
    </w:p>
    <w:p>
      <w:pPr>
        <w:spacing w:line="360" w:lineRule="auto"/>
        <w:ind w:firstLine="420" w:firstLineChars="200"/>
        <w:rPr>
          <w:rFonts w:ascii="宋体" w:hAnsi="宋体"/>
        </w:rPr>
      </w:pPr>
      <w:r>
        <w:rPr>
          <w:rFonts w:hint="eastAsia" w:ascii="宋体" w:hAnsi="宋体"/>
        </w:rPr>
        <w:t>联 系 人：刘工，</w:t>
      </w:r>
      <w:r>
        <w:rPr>
          <w:rFonts w:ascii="宋体" w:hAnsi="宋体"/>
        </w:rPr>
        <w:t>陈工</w:t>
      </w:r>
    </w:p>
    <w:p>
      <w:pPr>
        <w:spacing w:line="360" w:lineRule="auto"/>
        <w:ind w:firstLine="420" w:firstLineChars="200"/>
        <w:rPr>
          <w:rFonts w:ascii="宋体" w:hAnsi="宋体"/>
        </w:rPr>
      </w:pPr>
      <w:r>
        <w:rPr>
          <w:rFonts w:hint="eastAsia" w:ascii="宋体" w:hAnsi="宋体"/>
        </w:rPr>
        <w:t xml:space="preserve">电 </w:t>
      </w:r>
      <w:r>
        <w:rPr>
          <w:rFonts w:ascii="宋体" w:hAnsi="宋体"/>
        </w:rPr>
        <w:t xml:space="preserve">  </w:t>
      </w:r>
      <w:r>
        <w:rPr>
          <w:rFonts w:hint="eastAsia" w:ascii="宋体" w:hAnsi="宋体"/>
        </w:rPr>
        <w:t xml:space="preserve"> 话：0771-2778238，0771-</w:t>
      </w:r>
      <w:r>
        <w:rPr>
          <w:rFonts w:ascii="宋体" w:hAnsi="宋体"/>
        </w:rPr>
        <w:t>2778973</w:t>
      </w:r>
    </w:p>
    <w:p>
      <w:pPr>
        <w:spacing w:line="360" w:lineRule="auto"/>
        <w:ind w:firstLine="420" w:firstLineChars="200"/>
        <w:rPr>
          <w:rFonts w:ascii="宋体" w:hAnsi="宋体"/>
        </w:rPr>
      </w:pPr>
      <w:r>
        <w:rPr>
          <w:rFonts w:hint="eastAsia" w:ascii="宋体" w:hAnsi="宋体"/>
        </w:rPr>
        <w:t xml:space="preserve">邮  </w:t>
      </w:r>
      <w:r>
        <w:rPr>
          <w:rFonts w:ascii="宋体" w:hAnsi="宋体"/>
        </w:rPr>
        <w:t xml:space="preserve">  </w:t>
      </w:r>
      <w:r>
        <w:rPr>
          <w:rFonts w:hint="eastAsia" w:ascii="宋体" w:hAnsi="宋体"/>
        </w:rPr>
        <w:t>编：530001</w:t>
      </w:r>
    </w:p>
    <w:p>
      <w:pPr>
        <w:spacing w:line="360" w:lineRule="auto"/>
        <w:ind w:firstLine="420" w:firstLineChars="200"/>
        <w:rPr>
          <w:rFonts w:ascii="宋体" w:hAnsi="宋体"/>
        </w:rPr>
      </w:pPr>
      <w:r>
        <w:rPr>
          <w:rFonts w:hint="eastAsia" w:ascii="宋体" w:hAnsi="宋体"/>
        </w:rPr>
        <w:t>电子邮件：</w:t>
      </w:r>
      <w:r>
        <w:fldChar w:fldCharType="begin"/>
      </w:r>
      <w:r>
        <w:instrText xml:space="preserve"> HYPERLINK "mailto:3113316925@qq.com" </w:instrText>
      </w:r>
      <w:r>
        <w:fldChar w:fldCharType="separate"/>
      </w:r>
      <w:r>
        <w:rPr>
          <w:rStyle w:val="28"/>
          <w:rFonts w:ascii="宋体" w:hAnsi="宋体"/>
        </w:rPr>
        <w:t>3113316925</w:t>
      </w:r>
      <w:r>
        <w:rPr>
          <w:rStyle w:val="28"/>
          <w:rFonts w:hint="eastAsia" w:ascii="宋体" w:hAnsi="宋体"/>
        </w:rPr>
        <w:t>@qq.com</w:t>
      </w:r>
      <w:r>
        <w:rPr>
          <w:rStyle w:val="28"/>
          <w:rFonts w:hint="eastAsia" w:ascii="宋体" w:hAnsi="宋体"/>
        </w:rPr>
        <w:fldChar w:fldCharType="end"/>
      </w:r>
    </w:p>
    <w:p>
      <w:pPr>
        <w:spacing w:line="360" w:lineRule="auto"/>
        <w:rPr>
          <w:rFonts w:ascii="宋体" w:hAnsi="宋体"/>
          <w:b/>
        </w:rPr>
      </w:pPr>
      <w:r>
        <w:rPr>
          <w:rFonts w:hint="eastAsia" w:ascii="宋体" w:hAnsi="宋体"/>
          <w:b/>
        </w:rPr>
        <w:t>8</w:t>
      </w:r>
      <w:r>
        <w:rPr>
          <w:rFonts w:ascii="宋体" w:hAnsi="宋体"/>
          <w:b/>
        </w:rPr>
        <w:t>.纪律监督部门及电话</w:t>
      </w:r>
    </w:p>
    <w:p>
      <w:pPr>
        <w:spacing w:line="360" w:lineRule="auto"/>
        <w:ind w:firstLine="420" w:firstLineChars="200"/>
        <w:rPr>
          <w:rFonts w:ascii="宋体" w:hAnsi="宋体"/>
        </w:rPr>
      </w:pPr>
      <w:r>
        <w:rPr>
          <w:rFonts w:ascii="宋体" w:hAnsi="宋体"/>
        </w:rPr>
        <w:t>南宁轨道交通运营有限公司纪检监察室0771-2778084</w:t>
      </w:r>
    </w:p>
    <w:p>
      <w:pPr>
        <w:widowControl/>
        <w:jc w:val="left"/>
      </w:pPr>
      <w:r>
        <w:br w:type="page"/>
      </w:r>
    </w:p>
    <w:p>
      <w:pPr>
        <w:pStyle w:val="2"/>
        <w:spacing w:before="312" w:beforeLines="100" w:after="312" w:afterLines="100" w:line="360" w:lineRule="auto"/>
        <w:jc w:val="center"/>
        <w:rPr>
          <w:b w:val="0"/>
          <w:sz w:val="32"/>
          <w:szCs w:val="28"/>
        </w:rPr>
      </w:pPr>
      <w:bookmarkStart w:id="9" w:name="_Toc121081996"/>
      <w:r>
        <w:rPr>
          <w:rFonts w:hint="eastAsia"/>
          <w:sz w:val="32"/>
          <w:szCs w:val="28"/>
        </w:rPr>
        <w:t>第二章 比选申请须知</w:t>
      </w:r>
      <w:bookmarkEnd w:id="3"/>
      <w:bookmarkEnd w:id="4"/>
      <w:bookmarkEnd w:id="5"/>
      <w:bookmarkEnd w:id="6"/>
      <w:bookmarkEnd w:id="9"/>
    </w:p>
    <w:bookmarkEnd w:id="7"/>
    <w:p>
      <w:pPr>
        <w:ind w:left="-424" w:leftChars="-202" w:firstLine="602" w:firstLineChars="200"/>
        <w:jc w:val="center"/>
        <w:rPr>
          <w:b/>
          <w:sz w:val="30"/>
          <w:szCs w:val="30"/>
        </w:rPr>
      </w:pPr>
      <w:r>
        <w:rPr>
          <w:rFonts w:hint="eastAsia"/>
          <w:b/>
          <w:sz w:val="30"/>
          <w:szCs w:val="30"/>
        </w:rPr>
        <w:t>比选申请须知前附表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796"/>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bookmarkStart w:id="10" w:name="_Toc114052413"/>
            <w:bookmarkStart w:id="11" w:name="_Toc286386833"/>
            <w:bookmarkStart w:id="12" w:name="_Toc114052339"/>
            <w:r>
              <w:rPr>
                <w:rFonts w:hint="eastAsia" w:ascii="宋体" w:hAnsi="宋体"/>
                <w:szCs w:val="21"/>
              </w:rPr>
              <w:t>项号</w:t>
            </w:r>
          </w:p>
        </w:tc>
        <w:tc>
          <w:tcPr>
            <w:tcW w:w="967" w:type="pct"/>
            <w:vAlign w:val="center"/>
          </w:tcPr>
          <w:p>
            <w:pPr>
              <w:spacing w:line="240" w:lineRule="exact"/>
              <w:jc w:val="center"/>
              <w:rPr>
                <w:rFonts w:ascii="宋体" w:hAnsi="宋体"/>
                <w:szCs w:val="21"/>
              </w:rPr>
            </w:pPr>
            <w:r>
              <w:rPr>
                <w:rFonts w:ascii="宋体" w:hAnsi="宋体"/>
                <w:szCs w:val="21"/>
              </w:rPr>
              <w:t>条款名称</w:t>
            </w:r>
          </w:p>
        </w:tc>
        <w:tc>
          <w:tcPr>
            <w:tcW w:w="3670" w:type="pct"/>
            <w:vAlign w:val="center"/>
          </w:tcPr>
          <w:p>
            <w:pPr>
              <w:spacing w:line="240" w:lineRule="exact"/>
              <w:jc w:val="center"/>
              <w:rPr>
                <w:rFonts w:ascii="宋体" w:hAnsi="宋体"/>
                <w:szCs w:val="21"/>
              </w:rPr>
            </w:pPr>
            <w:r>
              <w:rPr>
                <w:rFonts w:hint="eastAsia" w:ascii="宋体" w:hAnsi="宋体"/>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1</w:t>
            </w:r>
          </w:p>
        </w:tc>
        <w:tc>
          <w:tcPr>
            <w:tcW w:w="967" w:type="pct"/>
            <w:vAlign w:val="center"/>
          </w:tcPr>
          <w:p>
            <w:pPr>
              <w:spacing w:line="240" w:lineRule="exact"/>
              <w:jc w:val="center"/>
              <w:rPr>
                <w:rFonts w:ascii="宋体" w:hAnsi="宋体"/>
                <w:szCs w:val="21"/>
              </w:rPr>
            </w:pPr>
            <w:r>
              <w:rPr>
                <w:rFonts w:hint="eastAsia" w:ascii="宋体" w:hAnsi="宋体"/>
                <w:szCs w:val="21"/>
              </w:rPr>
              <w:t>比选人</w:t>
            </w:r>
          </w:p>
        </w:tc>
        <w:tc>
          <w:tcPr>
            <w:tcW w:w="3670" w:type="pct"/>
            <w:vAlign w:val="center"/>
          </w:tcPr>
          <w:p>
            <w:pPr>
              <w:rPr>
                <w:rFonts w:ascii="宋体" w:hAnsi="宋体"/>
                <w:szCs w:val="21"/>
              </w:rPr>
            </w:pPr>
            <w:r>
              <w:rPr>
                <w:rFonts w:hint="eastAsia" w:ascii="宋体" w:hAnsi="宋体"/>
                <w:szCs w:val="21"/>
              </w:rPr>
              <w:t>名    称：南宁轨道交通运营有限公司</w:t>
            </w:r>
          </w:p>
          <w:p>
            <w:pPr>
              <w:rPr>
                <w:rFonts w:ascii="宋体" w:hAnsi="宋体"/>
                <w:szCs w:val="21"/>
              </w:rPr>
            </w:pPr>
            <w:r>
              <w:rPr>
                <w:rFonts w:ascii="宋体" w:hAnsi="宋体"/>
                <w:szCs w:val="21"/>
              </w:rPr>
              <w:t>地</w:t>
            </w:r>
            <w:r>
              <w:rPr>
                <w:rFonts w:hint="eastAsia" w:ascii="宋体" w:hAnsi="宋体"/>
                <w:szCs w:val="21"/>
              </w:rPr>
              <w:t xml:space="preserve">    </w:t>
            </w:r>
            <w:r>
              <w:rPr>
                <w:rFonts w:ascii="宋体" w:hAnsi="宋体"/>
                <w:szCs w:val="21"/>
              </w:rPr>
              <w:t>址</w:t>
            </w:r>
            <w:r>
              <w:rPr>
                <w:rFonts w:hint="eastAsia" w:ascii="宋体" w:hAnsi="宋体"/>
                <w:szCs w:val="21"/>
              </w:rPr>
              <w:t>：广西壮族自治区南宁市青秀区云景路</w:t>
            </w:r>
            <w:r>
              <w:rPr>
                <w:rFonts w:ascii="宋体" w:hAnsi="宋体"/>
                <w:szCs w:val="21"/>
              </w:rPr>
              <w:t>83</w:t>
            </w:r>
            <w:r>
              <w:rPr>
                <w:rFonts w:hint="eastAsia" w:ascii="宋体" w:hAnsi="宋体"/>
                <w:szCs w:val="21"/>
              </w:rPr>
              <w:t>号屯里车辆段</w:t>
            </w:r>
          </w:p>
          <w:p>
            <w:pPr>
              <w:rPr>
                <w:rFonts w:ascii="宋体" w:hAnsi="宋体"/>
                <w:szCs w:val="21"/>
              </w:rPr>
            </w:pPr>
            <w:r>
              <w:rPr>
                <w:rFonts w:ascii="宋体" w:hAnsi="宋体"/>
                <w:szCs w:val="21"/>
              </w:rPr>
              <w:t>联</w:t>
            </w:r>
            <w:r>
              <w:rPr>
                <w:rFonts w:hint="eastAsia" w:ascii="宋体" w:hAnsi="宋体"/>
                <w:szCs w:val="21"/>
              </w:rPr>
              <w:t xml:space="preserve"> </w:t>
            </w:r>
            <w:r>
              <w:rPr>
                <w:rFonts w:ascii="宋体" w:hAnsi="宋体"/>
                <w:szCs w:val="21"/>
              </w:rPr>
              <w:t>系</w:t>
            </w:r>
            <w:r>
              <w:rPr>
                <w:rFonts w:hint="eastAsia" w:ascii="宋体" w:hAnsi="宋体"/>
                <w:szCs w:val="21"/>
              </w:rPr>
              <w:t xml:space="preserve"> </w:t>
            </w:r>
            <w:r>
              <w:rPr>
                <w:rFonts w:ascii="宋体" w:hAnsi="宋体"/>
                <w:szCs w:val="21"/>
              </w:rPr>
              <w:t>人</w:t>
            </w:r>
            <w:r>
              <w:rPr>
                <w:rFonts w:hint="eastAsia" w:ascii="宋体" w:hAnsi="宋体"/>
                <w:szCs w:val="21"/>
              </w:rPr>
              <w:t>：</w:t>
            </w:r>
            <w:r>
              <w:rPr>
                <w:rFonts w:hint="eastAsia" w:ascii="宋体" w:hAnsi="宋体"/>
              </w:rPr>
              <w:t>刘工，</w:t>
            </w:r>
            <w:r>
              <w:rPr>
                <w:rFonts w:ascii="宋体" w:hAnsi="宋体"/>
              </w:rPr>
              <w:t>陈工</w:t>
            </w:r>
          </w:p>
          <w:p>
            <w:pPr>
              <w:rPr>
                <w:rFonts w:ascii="宋体" w:hAnsi="宋体"/>
                <w:szCs w:val="21"/>
              </w:rPr>
            </w:pPr>
            <w:r>
              <w:rPr>
                <w:rFonts w:ascii="宋体" w:hAnsi="宋体"/>
                <w:szCs w:val="21"/>
              </w:rPr>
              <w:t>联系电话</w:t>
            </w:r>
            <w:r>
              <w:rPr>
                <w:rFonts w:hint="eastAsia" w:ascii="宋体" w:hAnsi="宋体"/>
                <w:szCs w:val="21"/>
              </w:rPr>
              <w:t>：</w:t>
            </w:r>
            <w:r>
              <w:rPr>
                <w:rFonts w:hint="eastAsia" w:ascii="宋体" w:hAnsi="宋体"/>
              </w:rPr>
              <w:t>0771-2778238，0771-</w:t>
            </w:r>
            <w:r>
              <w:rPr>
                <w:rFonts w:ascii="宋体" w:hAnsi="宋体"/>
              </w:rPr>
              <w:t>2778973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2</w:t>
            </w:r>
          </w:p>
        </w:tc>
        <w:tc>
          <w:tcPr>
            <w:tcW w:w="967" w:type="pct"/>
            <w:vAlign w:val="center"/>
          </w:tcPr>
          <w:p>
            <w:pPr>
              <w:spacing w:line="240" w:lineRule="exact"/>
              <w:jc w:val="center"/>
              <w:rPr>
                <w:rFonts w:ascii="宋体" w:hAnsi="宋体"/>
                <w:szCs w:val="21"/>
              </w:rPr>
            </w:pPr>
            <w:r>
              <w:rPr>
                <w:rFonts w:hint="eastAsia" w:ascii="宋体" w:hAnsi="宋体"/>
                <w:szCs w:val="21"/>
              </w:rPr>
              <w:t>项目名称</w:t>
            </w:r>
          </w:p>
        </w:tc>
        <w:tc>
          <w:tcPr>
            <w:tcW w:w="3670" w:type="pct"/>
            <w:vAlign w:val="center"/>
          </w:tcPr>
          <w:p>
            <w:pPr>
              <w:rPr>
                <w:rFonts w:ascii="宋体" w:hAnsi="宋体"/>
                <w:szCs w:val="21"/>
              </w:rPr>
            </w:pPr>
            <w:r>
              <w:rPr>
                <w:rFonts w:hint="eastAsia" w:ascii="宋体" w:hAnsi="宋体" w:cs="宋体"/>
                <w:kern w:val="0"/>
                <w:szCs w:val="21"/>
              </w:rPr>
              <w:t>南宁轨道交通运营有限公司2024年广西电力市场化交易项目（重）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3</w:t>
            </w:r>
          </w:p>
        </w:tc>
        <w:tc>
          <w:tcPr>
            <w:tcW w:w="967" w:type="pct"/>
            <w:vAlign w:val="center"/>
          </w:tcPr>
          <w:p>
            <w:pPr>
              <w:spacing w:line="240" w:lineRule="exact"/>
              <w:jc w:val="center"/>
              <w:rPr>
                <w:rFonts w:ascii="宋体" w:hAnsi="宋体"/>
                <w:szCs w:val="21"/>
              </w:rPr>
            </w:pPr>
            <w:r>
              <w:rPr>
                <w:rFonts w:hint="eastAsia" w:ascii="宋体" w:hAnsi="宋体"/>
                <w:szCs w:val="21"/>
              </w:rPr>
              <w:t>项目编号</w:t>
            </w:r>
          </w:p>
        </w:tc>
        <w:tc>
          <w:tcPr>
            <w:tcW w:w="3670" w:type="pct"/>
            <w:vAlign w:val="center"/>
          </w:tcPr>
          <w:p>
            <w:pPr>
              <w:pStyle w:val="8"/>
              <w:spacing w:line="240" w:lineRule="auto"/>
              <w:ind w:firstLine="0" w:firstLineChars="0"/>
              <w:rPr>
                <w:rFonts w:ascii="宋体" w:hAnsi="宋体" w:eastAsia="宋体" w:cs="宋体"/>
                <w:color w:val="auto"/>
                <w:kern w:val="0"/>
                <w:sz w:val="21"/>
                <w:szCs w:val="21"/>
              </w:rPr>
            </w:pPr>
            <w:r>
              <w:rPr>
                <w:rFonts w:ascii="宋体" w:hAnsi="宋体" w:eastAsia="宋体" w:cs="宋体"/>
                <w:color w:val="auto"/>
                <w:kern w:val="0"/>
                <w:sz w:val="21"/>
                <w:szCs w:val="21"/>
              </w:rPr>
              <w:t>202310310002（重）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4</w:t>
            </w:r>
          </w:p>
        </w:tc>
        <w:tc>
          <w:tcPr>
            <w:tcW w:w="967" w:type="pct"/>
            <w:vAlign w:val="center"/>
          </w:tcPr>
          <w:p>
            <w:pPr>
              <w:spacing w:line="240" w:lineRule="exact"/>
              <w:jc w:val="center"/>
              <w:rPr>
                <w:rFonts w:ascii="宋体" w:hAnsi="宋体"/>
                <w:szCs w:val="21"/>
              </w:rPr>
            </w:pPr>
            <w:r>
              <w:rPr>
                <w:rFonts w:hint="eastAsia" w:ascii="宋体" w:hAnsi="宋体"/>
                <w:szCs w:val="21"/>
              </w:rPr>
              <w:t>比选范围</w:t>
            </w:r>
          </w:p>
        </w:tc>
        <w:tc>
          <w:tcPr>
            <w:tcW w:w="3670" w:type="pct"/>
            <w:vAlign w:val="center"/>
          </w:tcPr>
          <w:p>
            <w:pPr>
              <w:ind w:firstLine="420" w:firstLineChars="200"/>
              <w:rPr>
                <w:rFonts w:ascii="宋体" w:hAnsi="宋体" w:cs="宋体"/>
                <w:kern w:val="0"/>
                <w:szCs w:val="21"/>
              </w:rPr>
            </w:pPr>
            <w:r>
              <w:rPr>
                <w:rFonts w:hint="eastAsia" w:ascii="宋体" w:hAnsi="宋体" w:cs="Arial"/>
                <w:szCs w:val="21"/>
              </w:rPr>
              <w:t>南宁轨道交通运营有限公司2024年广西电力市场化交易项目（重）</w:t>
            </w:r>
            <w:r>
              <w:rPr>
                <w:rFonts w:hint="eastAsia" w:ascii="宋体" w:hAnsi="宋体"/>
              </w:rPr>
              <w:t>年度常规电能量交易的</w:t>
            </w:r>
            <w:r>
              <w:rPr>
                <w:rFonts w:hint="eastAsia" w:ascii="宋体" w:hAnsi="宋体" w:cs="Arial"/>
                <w:szCs w:val="21"/>
              </w:rPr>
              <w:t>采购电量和采购价格</w:t>
            </w:r>
            <w:r>
              <w:rPr>
                <w:rFonts w:hint="eastAsia" w:ascii="宋体" w:hAnsi="宋体"/>
              </w:rPr>
              <w:t>，详见技术需求及数量表。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5</w:t>
            </w:r>
          </w:p>
        </w:tc>
        <w:tc>
          <w:tcPr>
            <w:tcW w:w="967" w:type="pct"/>
            <w:vAlign w:val="center"/>
          </w:tcPr>
          <w:p>
            <w:pPr>
              <w:spacing w:line="240" w:lineRule="exact"/>
              <w:jc w:val="center"/>
              <w:rPr>
                <w:rFonts w:ascii="宋体" w:hAnsi="宋体"/>
                <w:szCs w:val="21"/>
              </w:rPr>
            </w:pPr>
            <w:r>
              <w:rPr>
                <w:rFonts w:hint="eastAsia" w:ascii="宋体" w:hAnsi="宋体"/>
                <w:szCs w:val="21"/>
              </w:rPr>
              <w:t>交货期限</w:t>
            </w:r>
          </w:p>
        </w:tc>
        <w:tc>
          <w:tcPr>
            <w:tcW w:w="3670" w:type="pct"/>
            <w:vAlign w:val="center"/>
          </w:tcPr>
          <w:p>
            <w:pPr>
              <w:ind w:firstLine="420" w:firstLineChars="200"/>
              <w:rPr>
                <w:rFonts w:ascii="宋体" w:hAnsi="宋体"/>
                <w:szCs w:val="21"/>
              </w:rPr>
            </w:pPr>
            <w:r>
              <w:rPr>
                <w:rFonts w:hint="eastAsia" w:ascii="宋体" w:hAnsi="宋体"/>
                <w:szCs w:val="21"/>
              </w:rPr>
              <w:t>中选通知书发出后，</w:t>
            </w:r>
            <w:r>
              <w:rPr>
                <w:rFonts w:ascii="宋体" w:hAnsi="宋体"/>
                <w:szCs w:val="21"/>
              </w:rPr>
              <w:t>于</w:t>
            </w:r>
            <w:r>
              <w:rPr>
                <w:rFonts w:hint="eastAsia" w:ascii="宋体" w:hAnsi="宋体"/>
                <w:szCs w:val="21"/>
              </w:rPr>
              <w:t>广西电力交易中心有限责任公司公告各交易品种</w:t>
            </w:r>
            <w:r>
              <w:rPr>
                <w:rFonts w:ascii="宋体" w:hAnsi="宋体"/>
                <w:szCs w:val="21"/>
              </w:rPr>
              <w:t>开放交易</w:t>
            </w:r>
            <w:r>
              <w:rPr>
                <w:rFonts w:hint="eastAsia" w:ascii="宋体" w:hAnsi="宋体"/>
                <w:szCs w:val="21"/>
              </w:rPr>
              <w:t>组织</w:t>
            </w:r>
            <w:r>
              <w:rPr>
                <w:rFonts w:ascii="宋体" w:hAnsi="宋体"/>
                <w:szCs w:val="21"/>
              </w:rPr>
              <w:t>期间</w:t>
            </w:r>
            <w:r>
              <w:rPr>
                <w:rFonts w:hint="eastAsia" w:ascii="宋体" w:hAnsi="宋体"/>
                <w:szCs w:val="21"/>
              </w:rPr>
              <w:t>向比选人提供比选文件内的产品。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6</w:t>
            </w:r>
          </w:p>
        </w:tc>
        <w:tc>
          <w:tcPr>
            <w:tcW w:w="967" w:type="pct"/>
            <w:vAlign w:val="center"/>
          </w:tcPr>
          <w:p>
            <w:pPr>
              <w:spacing w:line="240" w:lineRule="exact"/>
              <w:jc w:val="center"/>
              <w:rPr>
                <w:rFonts w:ascii="宋体" w:hAnsi="宋体"/>
                <w:szCs w:val="21"/>
              </w:rPr>
            </w:pPr>
            <w:r>
              <w:rPr>
                <w:rFonts w:hint="eastAsia" w:ascii="宋体" w:hAnsi="宋体"/>
                <w:szCs w:val="21"/>
              </w:rPr>
              <w:t>资金来源</w:t>
            </w:r>
          </w:p>
        </w:tc>
        <w:tc>
          <w:tcPr>
            <w:tcW w:w="3670" w:type="pct"/>
            <w:vAlign w:val="center"/>
          </w:tcPr>
          <w:p>
            <w:pPr>
              <w:ind w:firstLine="420" w:firstLineChars="200"/>
              <w:rPr>
                <w:rFonts w:ascii="宋体" w:hAnsi="宋体"/>
                <w:szCs w:val="21"/>
              </w:rPr>
            </w:pPr>
            <w:r>
              <w:rPr>
                <w:rFonts w:hint="eastAsia" w:ascii="宋体" w:hAnsi="宋体"/>
                <w:szCs w:val="21"/>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7</w:t>
            </w:r>
          </w:p>
        </w:tc>
        <w:tc>
          <w:tcPr>
            <w:tcW w:w="967" w:type="pct"/>
            <w:vAlign w:val="center"/>
          </w:tcPr>
          <w:p>
            <w:pPr>
              <w:spacing w:line="240" w:lineRule="exact"/>
              <w:jc w:val="center"/>
              <w:rPr>
                <w:rFonts w:ascii="宋体" w:hAnsi="宋体"/>
                <w:szCs w:val="21"/>
              </w:rPr>
            </w:pPr>
            <w:r>
              <w:rPr>
                <w:rFonts w:ascii="宋体" w:hAnsi="宋体"/>
                <w:szCs w:val="21"/>
              </w:rPr>
              <w:t>控制价</w:t>
            </w:r>
          </w:p>
        </w:tc>
        <w:tc>
          <w:tcPr>
            <w:tcW w:w="3670" w:type="pct"/>
            <w:vAlign w:val="center"/>
          </w:tcPr>
          <w:p>
            <w:pPr>
              <w:ind w:firstLine="420" w:firstLineChars="200"/>
              <w:rPr>
                <w:rFonts w:ascii="宋体" w:hAnsi="宋体"/>
                <w:szCs w:val="21"/>
              </w:rPr>
            </w:pPr>
            <w:r>
              <w:rPr>
                <w:rFonts w:hint="eastAsia" w:ascii="宋体" w:hAnsi="宋体"/>
                <w:szCs w:val="21"/>
              </w:rPr>
              <w:t>常规电能量交易价格≤0.50484元/千瓦时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3" w:type="pct"/>
            <w:vAlign w:val="center"/>
          </w:tcPr>
          <w:p>
            <w:pPr>
              <w:spacing w:line="240" w:lineRule="exact"/>
              <w:jc w:val="center"/>
              <w:rPr>
                <w:rFonts w:ascii="宋体" w:hAnsi="宋体"/>
                <w:szCs w:val="21"/>
              </w:rPr>
            </w:pPr>
            <w:r>
              <w:rPr>
                <w:rFonts w:hint="eastAsia" w:ascii="宋体" w:hAnsi="宋体"/>
                <w:szCs w:val="21"/>
              </w:rPr>
              <w:t>8</w:t>
            </w:r>
          </w:p>
        </w:tc>
        <w:tc>
          <w:tcPr>
            <w:tcW w:w="967" w:type="pct"/>
            <w:vAlign w:val="center"/>
          </w:tcPr>
          <w:p>
            <w:pPr>
              <w:spacing w:line="240" w:lineRule="exact"/>
              <w:jc w:val="center"/>
              <w:rPr>
                <w:rFonts w:ascii="宋体" w:hAnsi="宋体"/>
                <w:szCs w:val="21"/>
              </w:rPr>
            </w:pPr>
            <w:r>
              <w:rPr>
                <w:rFonts w:hint="eastAsia" w:ascii="宋体" w:hAnsi="宋体"/>
                <w:szCs w:val="21"/>
              </w:rPr>
              <w:t>比选申请人资质和合格条件要求</w:t>
            </w:r>
          </w:p>
        </w:tc>
        <w:tc>
          <w:tcPr>
            <w:tcW w:w="3670" w:type="pct"/>
            <w:vAlign w:val="center"/>
          </w:tcPr>
          <w:p>
            <w:pPr>
              <w:pStyle w:val="51"/>
              <w:numPr>
                <w:ilvl w:val="0"/>
                <w:numId w:val="1"/>
              </w:numPr>
              <w:ind w:firstLineChars="0"/>
              <w:rPr>
                <w:rFonts w:ascii="宋体" w:hAnsi="宋体"/>
                <w:szCs w:val="21"/>
              </w:rPr>
            </w:pPr>
            <w:r>
              <w:rPr>
                <w:rFonts w:ascii="宋体" w:hAnsi="宋体"/>
                <w:szCs w:val="21"/>
              </w:rPr>
              <w:t>比选申请人在广西电力交易中心有限责任公司注册成为“售电公司”的市场交易主体，</w:t>
            </w:r>
            <w:r>
              <w:rPr>
                <w:rFonts w:hint="eastAsia" w:ascii="宋体" w:hAnsi="宋体"/>
                <w:szCs w:val="21"/>
              </w:rPr>
              <w:t>需提供</w:t>
            </w:r>
            <w:r>
              <w:rPr>
                <w:rFonts w:ascii="宋体" w:hAnsi="宋体"/>
                <w:szCs w:val="21"/>
              </w:rPr>
              <w:t>广西电力市场交易系统市场管理市场主体公开信息查询截图</w:t>
            </w:r>
            <w:r>
              <w:rPr>
                <w:rFonts w:hint="eastAsia" w:ascii="宋体" w:hAnsi="宋体"/>
                <w:szCs w:val="21"/>
              </w:rPr>
              <w:t>（加盖单位公章）。</w:t>
            </w:r>
          </w:p>
          <w:p>
            <w:pPr>
              <w:pStyle w:val="51"/>
              <w:numPr>
                <w:ilvl w:val="0"/>
                <w:numId w:val="1"/>
              </w:numPr>
              <w:ind w:firstLineChars="0"/>
              <w:rPr>
                <w:rFonts w:ascii="宋体" w:hAnsi="宋体"/>
                <w:szCs w:val="21"/>
              </w:rPr>
            </w:pPr>
            <w:r>
              <w:rPr>
                <w:rFonts w:ascii="宋体" w:hAnsi="宋体"/>
                <w:szCs w:val="21"/>
              </w:rPr>
              <w:t>比选申请人</w:t>
            </w:r>
            <w:r>
              <w:rPr>
                <w:rFonts w:hint="eastAsia" w:ascii="宋体" w:hAnsi="宋体"/>
                <w:szCs w:val="21"/>
              </w:rPr>
              <w:t>2023年常规电能量交易总交易量≥</w:t>
            </w:r>
            <w:r>
              <w:rPr>
                <w:rFonts w:ascii="宋体" w:hAnsi="宋体"/>
                <w:szCs w:val="21"/>
              </w:rPr>
              <w:t>20亿千瓦时</w:t>
            </w:r>
            <w:r>
              <w:rPr>
                <w:rFonts w:hint="eastAsia" w:ascii="宋体" w:hAnsi="宋体"/>
                <w:szCs w:val="21"/>
              </w:rPr>
              <w:t>，绿色电力交易总交易量≥</w:t>
            </w:r>
            <w:r>
              <w:rPr>
                <w:rFonts w:ascii="宋体" w:hAnsi="宋体"/>
                <w:szCs w:val="21"/>
              </w:rPr>
              <w:t>1亿千瓦时</w:t>
            </w:r>
            <w:r>
              <w:rPr>
                <w:rFonts w:hint="eastAsia" w:ascii="宋体" w:hAnsi="宋体"/>
                <w:szCs w:val="21"/>
              </w:rPr>
              <w:t>，需提供交易中心发布的结算清单（加盖公章），并罗列整理成统计表单（加盖公章）。</w:t>
            </w:r>
          </w:p>
          <w:p>
            <w:pPr>
              <w:pStyle w:val="51"/>
              <w:numPr>
                <w:ilvl w:val="0"/>
                <w:numId w:val="1"/>
              </w:numPr>
              <w:ind w:firstLineChars="0"/>
              <w:rPr>
                <w:rFonts w:ascii="宋体" w:hAnsi="宋体"/>
                <w:szCs w:val="21"/>
              </w:rPr>
            </w:pPr>
            <w:r>
              <w:rPr>
                <w:rFonts w:hint="eastAsia" w:ascii="宋体" w:hAnsi="宋体"/>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pStyle w:val="51"/>
              <w:numPr>
                <w:ilvl w:val="0"/>
                <w:numId w:val="1"/>
              </w:numPr>
              <w:ind w:firstLineChars="0"/>
              <w:rPr>
                <w:rFonts w:ascii="宋体" w:hAnsi="宋体"/>
                <w:szCs w:val="21"/>
              </w:rPr>
            </w:pPr>
            <w:r>
              <w:rPr>
                <w:rFonts w:hint="eastAsia" w:ascii="宋体" w:hAnsi="宋体"/>
                <w:szCs w:val="21"/>
              </w:rPr>
              <w:t>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9</w:t>
            </w:r>
          </w:p>
        </w:tc>
        <w:tc>
          <w:tcPr>
            <w:tcW w:w="967" w:type="pct"/>
            <w:vAlign w:val="center"/>
          </w:tcPr>
          <w:p>
            <w:pPr>
              <w:spacing w:line="240" w:lineRule="exact"/>
              <w:jc w:val="center"/>
              <w:rPr>
                <w:rFonts w:ascii="宋体" w:hAnsi="宋体"/>
                <w:szCs w:val="21"/>
              </w:rPr>
            </w:pPr>
            <w:r>
              <w:rPr>
                <w:rFonts w:hint="eastAsia" w:ascii="宋体" w:hAnsi="宋体"/>
                <w:szCs w:val="21"/>
              </w:rPr>
              <w:t>比选文件澄清</w:t>
            </w:r>
          </w:p>
        </w:tc>
        <w:tc>
          <w:tcPr>
            <w:tcW w:w="3670" w:type="pct"/>
            <w:vAlign w:val="center"/>
          </w:tcPr>
          <w:p>
            <w:pPr>
              <w:pStyle w:val="51"/>
              <w:numPr>
                <w:ilvl w:val="0"/>
                <w:numId w:val="2"/>
              </w:numPr>
              <w:ind w:firstLineChars="0"/>
              <w:jc w:val="left"/>
              <w:rPr>
                <w:rFonts w:ascii="宋体" w:hAnsi="宋体"/>
                <w:szCs w:val="21"/>
              </w:rPr>
            </w:pPr>
            <w:r>
              <w:rPr>
                <w:rFonts w:ascii="宋体" w:hAnsi="宋体"/>
                <w:szCs w:val="21"/>
              </w:rPr>
              <w:t>提出问题的截止时间：</w:t>
            </w:r>
            <w:r>
              <w:rPr>
                <w:rFonts w:hint="eastAsia" w:ascii="宋体" w:hAnsi="宋体"/>
                <w:szCs w:val="21"/>
                <w:lang w:val="en-US" w:eastAsia="zh-CN"/>
              </w:rPr>
              <w:t>2024年1月7日下午18:00</w:t>
            </w:r>
            <w:r>
              <w:rPr>
                <w:rFonts w:ascii="宋体" w:hAnsi="宋体"/>
                <w:szCs w:val="21"/>
              </w:rPr>
              <w:t>前</w:t>
            </w:r>
            <w:r>
              <w:rPr>
                <w:rFonts w:hint="eastAsia" w:ascii="宋体" w:hAnsi="宋体"/>
                <w:szCs w:val="21"/>
              </w:rPr>
              <w:t>；</w:t>
            </w:r>
          </w:p>
          <w:p>
            <w:pPr>
              <w:pStyle w:val="51"/>
              <w:numPr>
                <w:ilvl w:val="0"/>
                <w:numId w:val="2"/>
              </w:numPr>
              <w:ind w:firstLineChars="0"/>
              <w:jc w:val="left"/>
              <w:rPr>
                <w:rFonts w:ascii="宋体" w:hAnsi="宋体"/>
                <w:szCs w:val="21"/>
              </w:rPr>
            </w:pPr>
            <w:r>
              <w:rPr>
                <w:rFonts w:ascii="宋体" w:hAnsi="宋体"/>
                <w:szCs w:val="21"/>
              </w:rPr>
              <w:t>提出问题的方式：书面</w:t>
            </w:r>
            <w:r>
              <w:rPr>
                <w:rFonts w:hint="eastAsia" w:ascii="宋体" w:hAnsi="宋体"/>
                <w:szCs w:val="21"/>
              </w:rPr>
              <w:t>（加盖法人单位公章）为准；</w:t>
            </w:r>
          </w:p>
          <w:p>
            <w:pPr>
              <w:pStyle w:val="51"/>
              <w:numPr>
                <w:ilvl w:val="0"/>
                <w:numId w:val="2"/>
              </w:numPr>
              <w:ind w:firstLineChars="0"/>
              <w:jc w:val="left"/>
              <w:rPr>
                <w:rFonts w:ascii="宋体" w:hAnsi="宋体"/>
                <w:szCs w:val="21"/>
              </w:rPr>
            </w:pPr>
            <w:r>
              <w:rPr>
                <w:rFonts w:ascii="宋体" w:hAnsi="宋体"/>
                <w:szCs w:val="21"/>
              </w:rPr>
              <w:t>书面澄清的时间：</w:t>
            </w:r>
            <w:r>
              <w:rPr>
                <w:rFonts w:hint="eastAsia" w:ascii="宋体" w:hAnsi="宋体"/>
                <w:szCs w:val="21"/>
                <w:lang w:val="en-US" w:eastAsia="zh-CN"/>
              </w:rPr>
              <w:t>2024年1月8日下午18:00</w:t>
            </w:r>
            <w:r>
              <w:rPr>
                <w:rFonts w:ascii="宋体" w:hAnsi="宋体"/>
                <w:szCs w:val="21"/>
              </w:rPr>
              <w:t>前</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10</w:t>
            </w:r>
          </w:p>
        </w:tc>
        <w:tc>
          <w:tcPr>
            <w:tcW w:w="967" w:type="pct"/>
            <w:vAlign w:val="center"/>
          </w:tcPr>
          <w:p>
            <w:pPr>
              <w:spacing w:line="240" w:lineRule="exact"/>
              <w:jc w:val="center"/>
              <w:rPr>
                <w:rFonts w:ascii="宋体" w:hAnsi="宋体"/>
                <w:szCs w:val="21"/>
              </w:rPr>
            </w:pPr>
            <w:r>
              <w:rPr>
                <w:rFonts w:hint="eastAsia" w:ascii="宋体" w:hAnsi="宋体"/>
                <w:szCs w:val="21"/>
              </w:rPr>
              <w:t>比选文件澄清发布方式</w:t>
            </w:r>
          </w:p>
        </w:tc>
        <w:tc>
          <w:tcPr>
            <w:tcW w:w="3670" w:type="pct"/>
            <w:vAlign w:val="center"/>
          </w:tcPr>
          <w:p>
            <w:pPr>
              <w:ind w:firstLine="420" w:firstLineChars="200"/>
              <w:jc w:val="left"/>
              <w:rPr>
                <w:rFonts w:ascii="宋体" w:hAnsi="宋体"/>
                <w:szCs w:val="21"/>
              </w:rPr>
            </w:pPr>
            <w:r>
              <w:rPr>
                <w:rFonts w:hint="eastAsia" w:ascii="宋体" w:hAnsi="宋体"/>
              </w:rPr>
              <w:t>南宁轨道交通集团有限责任公司官网（http://www.nngdjt.com/）发布。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11</w:t>
            </w:r>
          </w:p>
        </w:tc>
        <w:tc>
          <w:tcPr>
            <w:tcW w:w="967" w:type="pct"/>
            <w:vAlign w:val="center"/>
          </w:tcPr>
          <w:p>
            <w:pPr>
              <w:jc w:val="center"/>
              <w:rPr>
                <w:rFonts w:ascii="宋体" w:hAnsi="宋体"/>
              </w:rPr>
            </w:pPr>
            <w:r>
              <w:rPr>
                <w:rFonts w:hint="eastAsia" w:ascii="宋体" w:hAnsi="宋体"/>
              </w:rPr>
              <w:t>比选申请人确认收到澄清的方式</w:t>
            </w:r>
          </w:p>
        </w:tc>
        <w:tc>
          <w:tcPr>
            <w:tcW w:w="3670" w:type="pct"/>
            <w:vAlign w:val="center"/>
          </w:tcPr>
          <w:p>
            <w:pPr>
              <w:ind w:firstLine="420" w:firstLineChars="20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12</w:t>
            </w:r>
          </w:p>
        </w:tc>
        <w:tc>
          <w:tcPr>
            <w:tcW w:w="967" w:type="pct"/>
            <w:vAlign w:val="center"/>
          </w:tcPr>
          <w:p>
            <w:pPr>
              <w:jc w:val="center"/>
              <w:rPr>
                <w:rFonts w:ascii="宋体" w:hAnsi="宋体"/>
              </w:rPr>
            </w:pPr>
            <w:r>
              <w:rPr>
                <w:rFonts w:hint="eastAsia" w:ascii="宋体" w:hAnsi="宋体"/>
              </w:rPr>
              <w:t>比选申请文件的组成</w:t>
            </w:r>
          </w:p>
        </w:tc>
        <w:tc>
          <w:tcPr>
            <w:tcW w:w="3670" w:type="pct"/>
            <w:vAlign w:val="center"/>
          </w:tcPr>
          <w:p>
            <w:pPr>
              <w:rPr>
                <w:rFonts w:ascii="宋体" w:hAnsi="宋体"/>
              </w:rPr>
            </w:pPr>
            <w:r>
              <w:rPr>
                <w:rFonts w:hint="eastAsia" w:ascii="宋体" w:hAnsi="宋体"/>
              </w:rPr>
              <w:t>比选申请文件组成：资格审查文件、技术文件、商务文件</w:t>
            </w:r>
          </w:p>
          <w:p>
            <w:pPr>
              <w:rPr>
                <w:rFonts w:ascii="宋体" w:hAnsi="宋体"/>
                <w:b/>
              </w:rPr>
            </w:pPr>
            <w:r>
              <w:rPr>
                <w:rFonts w:hint="eastAsia" w:ascii="宋体" w:hAnsi="宋体"/>
                <w:b/>
              </w:rPr>
              <w:t>资格审查文件</w:t>
            </w:r>
          </w:p>
          <w:p>
            <w:pPr>
              <w:pStyle w:val="51"/>
              <w:numPr>
                <w:ilvl w:val="0"/>
                <w:numId w:val="3"/>
              </w:numPr>
              <w:ind w:firstLineChars="0"/>
              <w:rPr>
                <w:rFonts w:ascii="宋体" w:hAnsi="宋体"/>
              </w:rPr>
            </w:pPr>
            <w:r>
              <w:rPr>
                <w:rFonts w:hint="eastAsia" w:ascii="宋体" w:hAnsi="宋体"/>
              </w:rPr>
              <w:t>诚信声明；</w:t>
            </w:r>
          </w:p>
          <w:p>
            <w:pPr>
              <w:pStyle w:val="51"/>
              <w:numPr>
                <w:ilvl w:val="0"/>
                <w:numId w:val="3"/>
              </w:numPr>
              <w:ind w:firstLineChars="0"/>
              <w:rPr>
                <w:rFonts w:ascii="宋体" w:hAnsi="宋体"/>
              </w:rPr>
            </w:pPr>
            <w:r>
              <w:rPr>
                <w:rFonts w:hint="eastAsia" w:ascii="宋体" w:hAnsi="宋体"/>
              </w:rPr>
              <w:t>法定代表人资格证明书；</w:t>
            </w:r>
          </w:p>
          <w:p>
            <w:pPr>
              <w:pStyle w:val="51"/>
              <w:numPr>
                <w:ilvl w:val="0"/>
                <w:numId w:val="3"/>
              </w:numPr>
              <w:ind w:firstLineChars="0"/>
              <w:rPr>
                <w:rFonts w:ascii="宋体" w:hAnsi="宋体"/>
              </w:rPr>
            </w:pPr>
            <w:r>
              <w:rPr>
                <w:rFonts w:hint="eastAsia" w:ascii="宋体" w:hAnsi="宋体"/>
              </w:rPr>
              <w:t>授权委托书；</w:t>
            </w:r>
          </w:p>
          <w:p>
            <w:pPr>
              <w:pStyle w:val="51"/>
              <w:numPr>
                <w:ilvl w:val="0"/>
                <w:numId w:val="3"/>
              </w:numPr>
              <w:ind w:firstLineChars="0"/>
              <w:rPr>
                <w:rFonts w:ascii="宋体" w:hAnsi="宋体"/>
              </w:rPr>
            </w:pPr>
            <w:r>
              <w:rPr>
                <w:rFonts w:hint="eastAsia" w:ascii="宋体" w:hAnsi="宋体"/>
              </w:rPr>
              <w:t>保密承诺书；</w:t>
            </w:r>
          </w:p>
          <w:p>
            <w:pPr>
              <w:pStyle w:val="51"/>
              <w:numPr>
                <w:ilvl w:val="0"/>
                <w:numId w:val="3"/>
              </w:numPr>
              <w:ind w:firstLineChars="0"/>
              <w:rPr>
                <w:rFonts w:ascii="宋体" w:hAnsi="宋体"/>
              </w:rPr>
            </w:pPr>
            <w:r>
              <w:rPr>
                <w:rFonts w:ascii="宋体" w:hAnsi="宋体"/>
              </w:rPr>
              <w:t>广西电力市场交易系统市场管理市场主体公开信息查询截图</w:t>
            </w:r>
            <w:r>
              <w:rPr>
                <w:rFonts w:hint="eastAsia" w:ascii="宋体" w:hAnsi="宋体"/>
              </w:rPr>
              <w:t>（加盖单位公章）；</w:t>
            </w:r>
          </w:p>
          <w:p>
            <w:pPr>
              <w:pStyle w:val="51"/>
              <w:numPr>
                <w:ilvl w:val="0"/>
                <w:numId w:val="3"/>
              </w:numPr>
              <w:ind w:firstLineChars="0"/>
              <w:rPr>
                <w:rFonts w:ascii="宋体" w:hAnsi="宋体"/>
              </w:rPr>
            </w:pPr>
            <w:r>
              <w:rPr>
                <w:rFonts w:hint="eastAsia" w:ascii="宋体" w:hAnsi="宋体"/>
              </w:rPr>
              <w:t>项目业绩证明材料（2023年常规电能量交易总交易量</w:t>
            </w:r>
            <w:r>
              <w:rPr>
                <w:rFonts w:hint="eastAsia" w:ascii="宋体" w:hAnsi="宋体"/>
                <w:szCs w:val="21"/>
              </w:rPr>
              <w:t>≥</w:t>
            </w:r>
            <w:r>
              <w:rPr>
                <w:rFonts w:ascii="宋体" w:hAnsi="宋体"/>
                <w:szCs w:val="21"/>
              </w:rPr>
              <w:t>20亿千瓦时</w:t>
            </w:r>
            <w:r>
              <w:rPr>
                <w:rFonts w:hint="eastAsia" w:ascii="宋体" w:hAnsi="宋体"/>
                <w:szCs w:val="21"/>
              </w:rPr>
              <w:t>，绿色电力交易</w:t>
            </w:r>
            <w:r>
              <w:rPr>
                <w:rFonts w:hint="eastAsia" w:ascii="宋体" w:hAnsi="宋体"/>
              </w:rPr>
              <w:t>总交易量≥</w:t>
            </w:r>
            <w:r>
              <w:rPr>
                <w:rFonts w:ascii="宋体" w:hAnsi="宋体"/>
              </w:rPr>
              <w:t>1亿千瓦时</w:t>
            </w:r>
            <w:r>
              <w:rPr>
                <w:rFonts w:hint="eastAsia" w:ascii="宋体" w:hAnsi="宋体"/>
                <w:szCs w:val="21"/>
              </w:rPr>
              <w:t>，需提供交易中心发布的结算清单（加盖公章），并罗列整理成统计表单（详见格式A1）</w:t>
            </w:r>
            <w:r>
              <w:rPr>
                <w:rFonts w:hint="eastAsia" w:ascii="宋体" w:hAnsi="宋体"/>
              </w:rPr>
              <w:t>。</w:t>
            </w:r>
          </w:p>
          <w:p>
            <w:pPr>
              <w:rPr>
                <w:rFonts w:ascii="宋体" w:hAnsi="宋体"/>
                <w:b/>
              </w:rPr>
            </w:pPr>
            <w:r>
              <w:rPr>
                <w:rFonts w:hint="eastAsia" w:ascii="宋体" w:hAnsi="宋体"/>
                <w:b/>
              </w:rPr>
              <w:t>技术文件</w:t>
            </w:r>
          </w:p>
          <w:p>
            <w:pPr>
              <w:pStyle w:val="51"/>
              <w:numPr>
                <w:ilvl w:val="0"/>
                <w:numId w:val="4"/>
              </w:numPr>
              <w:ind w:firstLineChars="0"/>
              <w:rPr>
                <w:rFonts w:ascii="宋体" w:hAnsi="宋体"/>
              </w:rPr>
            </w:pPr>
            <w:r>
              <w:rPr>
                <w:rFonts w:ascii="宋体" w:hAnsi="宋体"/>
              </w:rPr>
              <w:t>商务响应表</w:t>
            </w:r>
            <w:r>
              <w:rPr>
                <w:rFonts w:hint="eastAsia" w:ascii="宋体" w:hAnsi="宋体"/>
              </w:rPr>
              <w:t>。</w:t>
            </w:r>
          </w:p>
          <w:p>
            <w:pPr>
              <w:pStyle w:val="51"/>
              <w:numPr>
                <w:ilvl w:val="0"/>
                <w:numId w:val="4"/>
              </w:numPr>
              <w:ind w:firstLineChars="0"/>
              <w:rPr>
                <w:rFonts w:ascii="宋体" w:hAnsi="宋体"/>
              </w:rPr>
            </w:pPr>
            <w:r>
              <w:rPr>
                <w:rFonts w:hint="eastAsia" w:ascii="宋体" w:hAnsi="宋体"/>
              </w:rPr>
              <w:t>比选申请人认为有必要提供的其他有关材料或优惠条件（如有）；</w:t>
            </w:r>
          </w:p>
          <w:p>
            <w:pPr>
              <w:rPr>
                <w:rFonts w:ascii="宋体" w:hAnsi="宋体"/>
                <w:b/>
              </w:rPr>
            </w:pPr>
            <w:r>
              <w:rPr>
                <w:rFonts w:ascii="宋体" w:hAnsi="宋体"/>
                <w:b/>
              </w:rPr>
              <w:t>商务</w:t>
            </w:r>
            <w:r>
              <w:rPr>
                <w:rFonts w:hint="eastAsia" w:ascii="宋体" w:hAnsi="宋体"/>
                <w:b/>
              </w:rPr>
              <w:t>文件</w:t>
            </w:r>
          </w:p>
          <w:p>
            <w:pPr>
              <w:pStyle w:val="51"/>
              <w:numPr>
                <w:ilvl w:val="0"/>
                <w:numId w:val="5"/>
              </w:numPr>
              <w:ind w:firstLineChars="0"/>
              <w:rPr>
                <w:rFonts w:ascii="宋体" w:hAnsi="宋体"/>
              </w:rPr>
            </w:pPr>
            <w:r>
              <w:rPr>
                <w:rFonts w:hint="eastAsia" w:ascii="宋体" w:hAnsi="宋体"/>
              </w:rPr>
              <w:t>比选申请函；</w:t>
            </w:r>
          </w:p>
          <w:p>
            <w:pPr>
              <w:pStyle w:val="51"/>
              <w:numPr>
                <w:ilvl w:val="0"/>
                <w:numId w:val="5"/>
              </w:numPr>
              <w:ind w:firstLineChars="0"/>
              <w:rPr>
                <w:rFonts w:ascii="宋体" w:hAnsi="宋体"/>
              </w:rPr>
            </w:pPr>
            <w:r>
              <w:rPr>
                <w:rFonts w:hint="eastAsia" w:ascii="宋体" w:hAnsi="宋体"/>
              </w:rPr>
              <w:t>分项报价表（含税）。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13</w:t>
            </w:r>
          </w:p>
        </w:tc>
        <w:tc>
          <w:tcPr>
            <w:tcW w:w="967" w:type="pct"/>
            <w:vAlign w:val="center"/>
          </w:tcPr>
          <w:p>
            <w:pPr>
              <w:spacing w:line="240" w:lineRule="exact"/>
              <w:jc w:val="center"/>
              <w:rPr>
                <w:rFonts w:ascii="宋体" w:hAnsi="宋体"/>
                <w:szCs w:val="21"/>
              </w:rPr>
            </w:pPr>
            <w:r>
              <w:rPr>
                <w:rFonts w:hint="eastAsia" w:ascii="宋体" w:hAnsi="宋体"/>
                <w:szCs w:val="21"/>
              </w:rPr>
              <w:t>比选申请报价</w:t>
            </w:r>
          </w:p>
        </w:tc>
        <w:tc>
          <w:tcPr>
            <w:tcW w:w="3670" w:type="pct"/>
            <w:vAlign w:val="center"/>
          </w:tcPr>
          <w:p>
            <w:pPr>
              <w:pStyle w:val="51"/>
              <w:numPr>
                <w:ilvl w:val="0"/>
                <w:numId w:val="6"/>
              </w:numPr>
              <w:ind w:firstLineChars="0"/>
              <w:rPr>
                <w:rFonts w:ascii="宋体" w:hAnsi="宋体"/>
                <w:szCs w:val="21"/>
              </w:rPr>
            </w:pPr>
            <w:r>
              <w:rPr>
                <w:rFonts w:hint="eastAsia" w:ascii="宋体" w:hAnsi="宋体"/>
                <w:szCs w:val="21"/>
              </w:rPr>
              <w:t>比选申请人必须对比选项目中的所有内容作完整唯一的报价；</w:t>
            </w:r>
          </w:p>
          <w:p>
            <w:pPr>
              <w:pStyle w:val="51"/>
              <w:numPr>
                <w:ilvl w:val="0"/>
                <w:numId w:val="6"/>
              </w:numPr>
              <w:tabs>
                <w:tab w:val="right" w:pos="6730"/>
              </w:tabs>
              <w:ind w:firstLineChars="0"/>
              <w:jc w:val="left"/>
              <w:rPr>
                <w:rFonts w:ascii="宋体" w:hAnsi="宋体" w:cs="Arial"/>
                <w:szCs w:val="21"/>
              </w:rPr>
            </w:pPr>
            <w:r>
              <w:rPr>
                <w:rFonts w:hint="eastAsia" w:ascii="宋体" w:hAnsi="宋体" w:cs="Arial"/>
                <w:szCs w:val="21"/>
              </w:rPr>
              <w:t>本项目</w:t>
            </w:r>
            <w:r>
              <w:rPr>
                <w:rFonts w:ascii="宋体" w:hAnsi="宋体" w:cs="Arial"/>
                <w:szCs w:val="21"/>
              </w:rPr>
              <w:t>采用含税报价</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3" w:type="pct"/>
            <w:vAlign w:val="center"/>
          </w:tcPr>
          <w:p>
            <w:pPr>
              <w:spacing w:line="240" w:lineRule="exact"/>
              <w:jc w:val="center"/>
              <w:rPr>
                <w:rFonts w:ascii="宋体" w:hAnsi="宋体"/>
                <w:szCs w:val="21"/>
              </w:rPr>
            </w:pPr>
            <w:r>
              <w:rPr>
                <w:rFonts w:hint="eastAsia" w:ascii="宋体" w:hAnsi="宋体"/>
                <w:szCs w:val="21"/>
              </w:rPr>
              <w:t>14</w:t>
            </w:r>
          </w:p>
        </w:tc>
        <w:tc>
          <w:tcPr>
            <w:tcW w:w="967" w:type="pct"/>
            <w:vAlign w:val="center"/>
          </w:tcPr>
          <w:p>
            <w:pPr>
              <w:spacing w:line="240" w:lineRule="exact"/>
              <w:jc w:val="center"/>
              <w:rPr>
                <w:rFonts w:ascii="宋体" w:hAnsi="宋体"/>
                <w:szCs w:val="21"/>
              </w:rPr>
            </w:pPr>
            <w:r>
              <w:rPr>
                <w:rFonts w:hint="eastAsia" w:ascii="宋体" w:hAnsi="宋体"/>
                <w:szCs w:val="21"/>
              </w:rPr>
              <w:t>比选申请有效期</w:t>
            </w:r>
          </w:p>
        </w:tc>
        <w:tc>
          <w:tcPr>
            <w:tcW w:w="3670" w:type="pct"/>
            <w:vAlign w:val="center"/>
          </w:tcPr>
          <w:p>
            <w:pPr>
              <w:rPr>
                <w:rFonts w:ascii="宋体" w:hAnsi="宋体"/>
                <w:szCs w:val="21"/>
              </w:rPr>
            </w:pPr>
            <w:r>
              <w:rPr>
                <w:rFonts w:ascii="宋体" w:hAnsi="宋体"/>
                <w:szCs w:val="21"/>
              </w:rPr>
              <w:t>9</w:t>
            </w:r>
            <w:r>
              <w:rPr>
                <w:rFonts w:hint="eastAsia" w:ascii="宋体" w:hAnsi="宋体"/>
                <w:szCs w:val="21"/>
              </w:rPr>
              <w:t>0天（从比选截止日期之日算起）。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63" w:type="pct"/>
            <w:vAlign w:val="center"/>
          </w:tcPr>
          <w:p>
            <w:pPr>
              <w:spacing w:line="240" w:lineRule="exact"/>
              <w:jc w:val="center"/>
              <w:rPr>
                <w:rFonts w:ascii="宋体" w:hAnsi="宋体"/>
                <w:szCs w:val="21"/>
              </w:rPr>
            </w:pPr>
            <w:r>
              <w:rPr>
                <w:rFonts w:hint="eastAsia" w:ascii="宋体" w:hAnsi="宋体"/>
                <w:szCs w:val="21"/>
              </w:rPr>
              <w:t>15</w:t>
            </w:r>
          </w:p>
        </w:tc>
        <w:tc>
          <w:tcPr>
            <w:tcW w:w="967" w:type="pct"/>
            <w:vAlign w:val="center"/>
          </w:tcPr>
          <w:p>
            <w:pPr>
              <w:spacing w:line="240" w:lineRule="exact"/>
              <w:jc w:val="center"/>
              <w:rPr>
                <w:rFonts w:ascii="宋体" w:hAnsi="宋体"/>
                <w:szCs w:val="21"/>
              </w:rPr>
            </w:pPr>
            <w:r>
              <w:rPr>
                <w:rFonts w:hint="eastAsia" w:ascii="宋体" w:hAnsi="宋体"/>
                <w:szCs w:val="21"/>
              </w:rPr>
              <w:t>比选申请文件份数</w:t>
            </w:r>
          </w:p>
        </w:tc>
        <w:tc>
          <w:tcPr>
            <w:tcW w:w="3670" w:type="pct"/>
            <w:vAlign w:val="center"/>
          </w:tcPr>
          <w:p>
            <w:pPr>
              <w:rPr>
                <w:rFonts w:ascii="宋体" w:hAnsi="宋体"/>
                <w:szCs w:val="21"/>
              </w:rPr>
            </w:pPr>
            <w:r>
              <w:rPr>
                <w:rFonts w:hint="eastAsia" w:ascii="宋体" w:hAnsi="宋体"/>
                <w:szCs w:val="21"/>
              </w:rPr>
              <w:t>正本1份，副本4份；电子版文件1份。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363" w:type="pct"/>
            <w:vAlign w:val="center"/>
          </w:tcPr>
          <w:p>
            <w:pPr>
              <w:spacing w:line="240" w:lineRule="exact"/>
              <w:jc w:val="center"/>
              <w:rPr>
                <w:rFonts w:ascii="宋体" w:hAnsi="宋体"/>
                <w:szCs w:val="21"/>
              </w:rPr>
            </w:pPr>
            <w:r>
              <w:rPr>
                <w:rFonts w:hint="eastAsia" w:ascii="宋体" w:hAnsi="宋体"/>
                <w:szCs w:val="21"/>
              </w:rPr>
              <w:t>16</w:t>
            </w:r>
          </w:p>
        </w:tc>
        <w:tc>
          <w:tcPr>
            <w:tcW w:w="967" w:type="pct"/>
            <w:vAlign w:val="center"/>
          </w:tcPr>
          <w:p>
            <w:pPr>
              <w:spacing w:line="240" w:lineRule="exact"/>
              <w:jc w:val="center"/>
              <w:rPr>
                <w:rFonts w:ascii="宋体" w:hAnsi="宋体"/>
                <w:szCs w:val="21"/>
              </w:rPr>
            </w:pPr>
            <w:r>
              <w:rPr>
                <w:rFonts w:hint="eastAsia" w:ascii="宋体" w:hAnsi="宋体"/>
                <w:szCs w:val="21"/>
              </w:rPr>
              <w:t>比选申请文件递交截止时间及地点</w:t>
            </w:r>
          </w:p>
        </w:tc>
        <w:tc>
          <w:tcPr>
            <w:tcW w:w="3670" w:type="pct"/>
            <w:vAlign w:val="center"/>
          </w:tcPr>
          <w:p>
            <w:pPr>
              <w:pStyle w:val="51"/>
              <w:numPr>
                <w:ilvl w:val="0"/>
                <w:numId w:val="7"/>
              </w:numPr>
              <w:ind w:firstLineChars="0"/>
              <w:rPr>
                <w:rFonts w:ascii="宋体" w:hAnsi="宋体" w:cs="宋体"/>
                <w:kern w:val="0"/>
                <w:szCs w:val="21"/>
              </w:rPr>
            </w:pPr>
            <w:r>
              <w:rPr>
                <w:rFonts w:hint="eastAsia" w:ascii="宋体" w:hAnsi="宋体" w:cs="宋体"/>
                <w:kern w:val="0"/>
                <w:szCs w:val="21"/>
              </w:rPr>
              <w:t>截止时间：</w:t>
            </w:r>
            <w:r>
              <w:rPr>
                <w:rFonts w:hint="eastAsia" w:ascii="宋体" w:hAnsi="宋体"/>
                <w:lang w:val="en-US" w:eastAsia="zh-CN"/>
              </w:rPr>
              <w:t>2024年1月9日上午09:00-09:30</w:t>
            </w:r>
            <w:r>
              <w:rPr>
                <w:rFonts w:hint="eastAsia" w:ascii="宋体" w:hAnsi="宋体" w:cs="宋体"/>
                <w:kern w:val="0"/>
                <w:szCs w:val="21"/>
              </w:rPr>
              <w:t>（北京时间）</w:t>
            </w:r>
          </w:p>
          <w:p>
            <w:pPr>
              <w:pStyle w:val="51"/>
              <w:numPr>
                <w:ilvl w:val="0"/>
                <w:numId w:val="7"/>
              </w:numPr>
              <w:ind w:firstLineChars="0"/>
              <w:rPr>
                <w:rFonts w:ascii="宋体" w:hAnsi="宋体" w:cs="宋体"/>
                <w:kern w:val="0"/>
                <w:szCs w:val="21"/>
              </w:rPr>
            </w:pPr>
            <w:r>
              <w:rPr>
                <w:rFonts w:hint="eastAsia" w:ascii="宋体" w:hAnsi="宋体" w:cs="宋体"/>
                <w:kern w:val="0"/>
                <w:szCs w:val="21"/>
              </w:rPr>
              <w:t>递交地点：广西壮族自治区南宁市青秀区云景路</w:t>
            </w:r>
            <w:r>
              <w:rPr>
                <w:rFonts w:ascii="宋体" w:hAnsi="宋体" w:cs="宋体"/>
                <w:kern w:val="0"/>
                <w:szCs w:val="21"/>
              </w:rPr>
              <w:t>83</w:t>
            </w:r>
            <w:r>
              <w:rPr>
                <w:rFonts w:hint="eastAsia" w:ascii="宋体" w:hAnsi="宋体" w:cs="宋体"/>
                <w:kern w:val="0"/>
                <w:szCs w:val="21"/>
              </w:rPr>
              <w:t>号屯里车辆段综合</w:t>
            </w:r>
            <w:r>
              <w:rPr>
                <w:rFonts w:hint="eastAsia" w:ascii="宋体" w:hAnsi="宋体" w:cs="宋体"/>
                <w:kern w:val="0"/>
                <w:szCs w:val="21"/>
                <w:lang w:eastAsia="zh-CN"/>
              </w:rPr>
              <w:t>楼</w:t>
            </w:r>
            <w:r>
              <w:rPr>
                <w:rFonts w:hint="eastAsia" w:ascii="宋体" w:hAnsi="宋体" w:cs="宋体"/>
                <w:kern w:val="0"/>
                <w:szCs w:val="21"/>
                <w:lang w:val="en-US" w:eastAsia="zh-CN"/>
              </w:rPr>
              <w:t>205</w:t>
            </w:r>
            <w:r>
              <w:rPr>
                <w:rFonts w:ascii="宋体" w:hAnsi="宋体" w:cs="宋体"/>
                <w:kern w:val="0"/>
                <w:szCs w:val="21"/>
              </w:rPr>
              <w:t>室</w:t>
            </w:r>
            <w:r>
              <w:rPr>
                <w:rFonts w:hint="eastAsia" w:ascii="宋体" w:hAnsi="宋体" w:cs="宋体"/>
                <w:kern w:val="0"/>
                <w:szCs w:val="21"/>
              </w:rPr>
              <w:t>。</w:t>
            </w:r>
          </w:p>
          <w:p>
            <w:pPr>
              <w:pStyle w:val="51"/>
              <w:numPr>
                <w:ilvl w:val="0"/>
                <w:numId w:val="7"/>
              </w:numPr>
              <w:ind w:firstLineChars="0"/>
              <w:rPr>
                <w:rFonts w:ascii="宋体" w:hAnsi="宋体" w:cs="宋体"/>
                <w:kern w:val="0"/>
                <w:szCs w:val="21"/>
              </w:rPr>
            </w:pPr>
            <w:r>
              <w:rPr>
                <w:rFonts w:hint="eastAsia" w:ascii="宋体" w:hAnsi="宋体" w:cs="宋体"/>
                <w:kern w:val="0"/>
                <w:szCs w:val="21"/>
              </w:rPr>
              <w:t>联系人：刘工  联系电话：0771-</w:t>
            </w:r>
            <w:r>
              <w:rPr>
                <w:rFonts w:ascii="宋体" w:hAnsi="宋体" w:cs="宋体"/>
                <w:kern w:val="0"/>
                <w:szCs w:val="21"/>
              </w:rPr>
              <w:t>2778238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363" w:type="pct"/>
            <w:vAlign w:val="center"/>
          </w:tcPr>
          <w:p>
            <w:pPr>
              <w:spacing w:line="240" w:lineRule="exact"/>
              <w:jc w:val="center"/>
              <w:rPr>
                <w:rFonts w:ascii="宋体" w:hAnsi="宋体"/>
                <w:szCs w:val="21"/>
              </w:rPr>
            </w:pPr>
            <w:r>
              <w:rPr>
                <w:rFonts w:hint="eastAsia" w:ascii="宋体" w:hAnsi="宋体"/>
                <w:szCs w:val="21"/>
              </w:rPr>
              <w:t>17</w:t>
            </w:r>
          </w:p>
        </w:tc>
        <w:tc>
          <w:tcPr>
            <w:tcW w:w="967" w:type="pct"/>
            <w:vAlign w:val="center"/>
          </w:tcPr>
          <w:p>
            <w:pPr>
              <w:spacing w:line="240" w:lineRule="exact"/>
              <w:jc w:val="center"/>
              <w:rPr>
                <w:rFonts w:ascii="宋体" w:hAnsi="宋体"/>
                <w:szCs w:val="21"/>
              </w:rPr>
            </w:pPr>
            <w:r>
              <w:rPr>
                <w:rFonts w:hint="eastAsia" w:ascii="宋体" w:hAnsi="宋体"/>
                <w:szCs w:val="21"/>
              </w:rPr>
              <w:t>比选时间及地点</w:t>
            </w:r>
          </w:p>
        </w:tc>
        <w:tc>
          <w:tcPr>
            <w:tcW w:w="3670" w:type="pct"/>
            <w:vAlign w:val="center"/>
          </w:tcPr>
          <w:p>
            <w:pPr>
              <w:pStyle w:val="51"/>
              <w:numPr>
                <w:ilvl w:val="0"/>
                <w:numId w:val="8"/>
              </w:numPr>
              <w:ind w:firstLineChars="0"/>
              <w:rPr>
                <w:rFonts w:ascii="宋体" w:hAnsi="宋体"/>
                <w:szCs w:val="21"/>
              </w:rPr>
            </w:pPr>
            <w:r>
              <w:rPr>
                <w:rFonts w:hint="eastAsia" w:ascii="宋体" w:hAnsi="宋体"/>
                <w:szCs w:val="21"/>
              </w:rPr>
              <w:t>时间：</w:t>
            </w:r>
            <w:r>
              <w:rPr>
                <w:rFonts w:hint="eastAsia" w:ascii="宋体" w:hAnsi="宋体"/>
                <w:lang w:val="en-US" w:eastAsia="zh-CN"/>
              </w:rPr>
              <w:t>2024年1月9日上午09:30</w:t>
            </w:r>
            <w:r>
              <w:rPr>
                <w:rFonts w:hint="eastAsia" w:ascii="宋体" w:hAnsi="宋体" w:cs="宋体"/>
                <w:kern w:val="0"/>
                <w:szCs w:val="21"/>
              </w:rPr>
              <w:t>（北京时间）</w:t>
            </w:r>
          </w:p>
          <w:p>
            <w:pPr>
              <w:pStyle w:val="51"/>
              <w:numPr>
                <w:ilvl w:val="0"/>
                <w:numId w:val="8"/>
              </w:numPr>
              <w:ind w:firstLineChars="0"/>
              <w:rPr>
                <w:rFonts w:ascii="宋体" w:hAnsi="宋体"/>
                <w:szCs w:val="21"/>
              </w:rPr>
            </w:pPr>
            <w:r>
              <w:rPr>
                <w:rFonts w:hint="eastAsia" w:ascii="宋体" w:hAnsi="宋体"/>
                <w:szCs w:val="21"/>
              </w:rPr>
              <w:t>地点：广西壮族自治区南宁市青秀区云景路</w:t>
            </w:r>
            <w:r>
              <w:rPr>
                <w:rFonts w:ascii="宋体" w:hAnsi="宋体"/>
                <w:szCs w:val="21"/>
              </w:rPr>
              <w:t>83</w:t>
            </w:r>
            <w:r>
              <w:rPr>
                <w:rFonts w:hint="eastAsia" w:ascii="宋体" w:hAnsi="宋体"/>
                <w:szCs w:val="21"/>
              </w:rPr>
              <w:t>号屯里车辆段综合</w:t>
            </w:r>
            <w:bookmarkStart w:id="249" w:name="_GoBack"/>
            <w:bookmarkEnd w:id="249"/>
            <w:r>
              <w:rPr>
                <w:rFonts w:hint="eastAsia" w:ascii="宋体" w:hAnsi="宋体" w:cs="宋体"/>
                <w:kern w:val="0"/>
                <w:szCs w:val="21"/>
                <w:lang w:eastAsia="zh-CN"/>
              </w:rPr>
              <w:t>楼</w:t>
            </w:r>
            <w:r>
              <w:rPr>
                <w:rFonts w:hint="eastAsia" w:ascii="宋体" w:hAnsi="宋体" w:cs="宋体"/>
                <w:kern w:val="0"/>
                <w:szCs w:val="21"/>
                <w:lang w:val="en-US" w:eastAsia="zh-CN"/>
              </w:rPr>
              <w:t>205</w:t>
            </w:r>
            <w:r>
              <w:rPr>
                <w:rFonts w:hint="eastAsia" w:ascii="宋体" w:hAnsi="宋体"/>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63" w:type="pct"/>
            <w:vAlign w:val="center"/>
          </w:tcPr>
          <w:p>
            <w:pPr>
              <w:spacing w:line="240" w:lineRule="exact"/>
              <w:jc w:val="center"/>
              <w:rPr>
                <w:rFonts w:ascii="宋体" w:hAnsi="宋体"/>
                <w:szCs w:val="21"/>
              </w:rPr>
            </w:pPr>
            <w:r>
              <w:rPr>
                <w:rFonts w:hint="eastAsia" w:ascii="宋体" w:hAnsi="宋体"/>
                <w:szCs w:val="21"/>
              </w:rPr>
              <w:t>18</w:t>
            </w:r>
          </w:p>
        </w:tc>
        <w:tc>
          <w:tcPr>
            <w:tcW w:w="967" w:type="pct"/>
            <w:vAlign w:val="center"/>
          </w:tcPr>
          <w:p>
            <w:pPr>
              <w:spacing w:line="240" w:lineRule="exact"/>
              <w:jc w:val="center"/>
              <w:rPr>
                <w:rFonts w:ascii="宋体" w:hAnsi="宋体"/>
                <w:szCs w:val="21"/>
              </w:rPr>
            </w:pPr>
            <w:r>
              <w:rPr>
                <w:rFonts w:hint="eastAsia" w:ascii="宋体" w:hAnsi="宋体"/>
                <w:szCs w:val="21"/>
              </w:rPr>
              <w:t>评审方法</w:t>
            </w:r>
          </w:p>
        </w:tc>
        <w:tc>
          <w:tcPr>
            <w:tcW w:w="3670" w:type="pct"/>
            <w:vAlign w:val="center"/>
          </w:tcPr>
          <w:p>
            <w:pPr>
              <w:pStyle w:val="51"/>
              <w:numPr>
                <w:ilvl w:val="0"/>
                <w:numId w:val="9"/>
              </w:numPr>
              <w:ind w:firstLineChars="0"/>
              <w:jc w:val="left"/>
              <w:rPr>
                <w:rFonts w:ascii="宋体" w:hAnsi="宋体"/>
                <w:szCs w:val="21"/>
              </w:rPr>
            </w:pPr>
            <w:r>
              <w:rPr>
                <w:rFonts w:hint="eastAsia" w:ascii="宋体" w:hAnsi="宋体"/>
                <w:szCs w:val="21"/>
              </w:rPr>
              <w:t>对资格性和技术符合性检查合格的比选申请文件，采用最低价法进行评审。</w:t>
            </w:r>
          </w:p>
          <w:p>
            <w:pPr>
              <w:pStyle w:val="51"/>
              <w:numPr>
                <w:ilvl w:val="0"/>
                <w:numId w:val="9"/>
              </w:numPr>
              <w:ind w:firstLineChars="0"/>
              <w:jc w:val="left"/>
              <w:rPr>
                <w:rFonts w:ascii="宋体" w:hAnsi="宋体"/>
                <w:szCs w:val="21"/>
              </w:rPr>
            </w:pPr>
            <w:r>
              <w:rPr>
                <w:rFonts w:hint="eastAsia" w:ascii="宋体" w:hAnsi="宋体"/>
                <w:szCs w:val="21"/>
              </w:rPr>
              <w:t>评审委员会将依照本比选文件相关规定对预估需求数量和服务均能满足实质性响应要求的比选申请人所提交的报价进行评审，报价得分（四舍五入至小数点后4位）按由高到低的顺序排列。</w:t>
            </w:r>
          </w:p>
          <w:p>
            <w:pPr>
              <w:pStyle w:val="51"/>
              <w:numPr>
                <w:ilvl w:val="0"/>
                <w:numId w:val="9"/>
              </w:numPr>
              <w:ind w:firstLineChars="0"/>
              <w:jc w:val="left"/>
              <w:rPr>
                <w:rFonts w:ascii="宋体" w:hAnsi="宋体"/>
                <w:szCs w:val="21"/>
              </w:rPr>
            </w:pPr>
            <w:r>
              <w:rPr>
                <w:rFonts w:hint="eastAsia" w:ascii="宋体" w:hAnsi="宋体"/>
                <w:szCs w:val="21"/>
              </w:rPr>
              <w:t>如报价得分排名前3且得分相同的比选申请人将进行附加评审，并根据附加评审得分按由高到低的顺序确定排名。附加评审按顺序进行，如第一项附加评审仍有得分相同，则进行第二项附加评审。如通过附加评审仍不能确定比选申请人排名顺序的，由评审委员会不记名投票的方式按少数服从多数的原则决定其排名顺序。</w:t>
            </w:r>
          </w:p>
          <w:p>
            <w:pPr>
              <w:pStyle w:val="51"/>
              <w:numPr>
                <w:ilvl w:val="0"/>
                <w:numId w:val="9"/>
              </w:numPr>
              <w:ind w:firstLineChars="0"/>
              <w:jc w:val="left"/>
              <w:rPr>
                <w:rFonts w:ascii="宋体" w:hAnsi="宋体"/>
                <w:szCs w:val="21"/>
              </w:rPr>
            </w:pPr>
            <w:r>
              <w:rPr>
                <w:rFonts w:ascii="宋体" w:hAnsi="宋体"/>
                <w:szCs w:val="21"/>
              </w:rPr>
              <w:t>评审委员会通过报价评审排名，</w:t>
            </w:r>
            <w:r>
              <w:rPr>
                <w:rFonts w:hint="eastAsia" w:ascii="宋体" w:hAnsi="宋体"/>
                <w:szCs w:val="21"/>
              </w:rPr>
              <w:t>以及</w:t>
            </w:r>
            <w:r>
              <w:rPr>
                <w:rFonts w:ascii="宋体" w:hAnsi="宋体"/>
                <w:szCs w:val="21"/>
              </w:rPr>
              <w:t>附加评审计算出比选申请人附加评审得分，确定比选申请人排名，</w:t>
            </w:r>
            <w:r>
              <w:rPr>
                <w:rFonts w:hint="eastAsia" w:ascii="宋体" w:hAnsi="宋体"/>
                <w:szCs w:val="21"/>
              </w:rPr>
              <w:t>填写《比选申请价格评审表》（见附表三）</w:t>
            </w:r>
            <w:r>
              <w:rPr>
                <w:rFonts w:ascii="宋体" w:hAnsi="宋体"/>
                <w:szCs w:val="21"/>
              </w:rPr>
              <w:t>。评审委员会</w:t>
            </w:r>
            <w:r>
              <w:rPr>
                <w:rFonts w:hint="eastAsia" w:ascii="宋体" w:hAnsi="宋体"/>
                <w:szCs w:val="21"/>
              </w:rPr>
              <w:t>根据资格审查合格且通过技术符合性评审的比选申请人排名顺序提出</w:t>
            </w:r>
            <w:r>
              <w:rPr>
                <w:rFonts w:ascii="宋体" w:hAnsi="宋体"/>
                <w:szCs w:val="21"/>
              </w:rPr>
              <w:t>3</w:t>
            </w:r>
            <w:r>
              <w:rPr>
                <w:rFonts w:hint="eastAsia" w:ascii="宋体" w:hAnsi="宋体"/>
                <w:szCs w:val="21"/>
              </w:rPr>
              <w:t>名中选候选人，推荐排名第一的比选申请人为第一中选候选人，推荐排名第二者为第二中选候选人，以此类推，并编写评审报告。</w:t>
            </w:r>
          </w:p>
          <w:p>
            <w:pPr>
              <w:pStyle w:val="51"/>
              <w:numPr>
                <w:ilvl w:val="0"/>
                <w:numId w:val="9"/>
              </w:numPr>
              <w:ind w:firstLineChars="0"/>
              <w:jc w:val="left"/>
              <w:rPr>
                <w:rFonts w:ascii="宋体" w:hAnsi="宋体"/>
                <w:szCs w:val="21"/>
              </w:rPr>
            </w:pPr>
            <w:r>
              <w:rPr>
                <w:rFonts w:hint="eastAsia" w:ascii="宋体" w:hAnsi="宋体"/>
                <w:szCs w:val="21"/>
              </w:rPr>
              <w:t>若排名第一的中标候选供应商自愿放弃资格，或由于不可抗力的原因不能按合同规定履约的，或不能按本比选文件要求提供相关材料的，则排名第二的中标候选供应商可以被确认为中标人，以此类推。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363" w:type="pct"/>
            <w:vAlign w:val="center"/>
          </w:tcPr>
          <w:p>
            <w:pPr>
              <w:spacing w:line="240" w:lineRule="exact"/>
              <w:jc w:val="center"/>
              <w:rPr>
                <w:rFonts w:ascii="宋体" w:hAnsi="宋体"/>
                <w:szCs w:val="21"/>
              </w:rPr>
            </w:pPr>
            <w:r>
              <w:rPr>
                <w:rFonts w:hint="eastAsia" w:ascii="宋体" w:hAnsi="宋体"/>
                <w:szCs w:val="21"/>
              </w:rPr>
              <w:t>19</w:t>
            </w:r>
          </w:p>
        </w:tc>
        <w:tc>
          <w:tcPr>
            <w:tcW w:w="967" w:type="pct"/>
            <w:vAlign w:val="center"/>
          </w:tcPr>
          <w:p>
            <w:pPr>
              <w:spacing w:line="240" w:lineRule="exact"/>
              <w:jc w:val="center"/>
              <w:rPr>
                <w:rFonts w:ascii="宋体" w:hAnsi="宋体"/>
                <w:szCs w:val="21"/>
              </w:rPr>
            </w:pPr>
            <w:r>
              <w:rPr>
                <w:rFonts w:hint="eastAsia" w:ascii="宋体" w:hAnsi="宋体"/>
                <w:szCs w:val="21"/>
              </w:rPr>
              <w:t>放弃中选人资格</w:t>
            </w:r>
          </w:p>
        </w:tc>
        <w:tc>
          <w:tcPr>
            <w:tcW w:w="3670" w:type="pct"/>
            <w:vAlign w:val="center"/>
          </w:tcPr>
          <w:p>
            <w:pPr>
              <w:ind w:firstLine="422" w:firstLineChars="200"/>
              <w:jc w:val="left"/>
              <w:rPr>
                <w:rFonts w:ascii="宋体" w:hAnsi="宋体"/>
                <w:szCs w:val="21"/>
              </w:rPr>
            </w:pPr>
            <w:r>
              <w:rPr>
                <w:rFonts w:hint="eastAsia" w:ascii="宋体" w:hAnsi="宋体"/>
                <w:b/>
                <w:szCs w:val="21"/>
              </w:rPr>
              <w:t>中选人如放弃中选资格，或由于其他原因（非不可抗力）不能履约的，比选人有权将其列入不良行为记录名单，</w:t>
            </w:r>
            <w:r>
              <w:rPr>
                <w:rFonts w:ascii="宋体" w:hAnsi="宋体"/>
                <w:b/>
                <w:szCs w:val="21"/>
              </w:rPr>
              <w:t>2027年前</w:t>
            </w:r>
            <w:r>
              <w:rPr>
                <w:rFonts w:hint="eastAsia" w:ascii="宋体" w:hAnsi="宋体"/>
                <w:b/>
                <w:szCs w:val="21"/>
              </w:rPr>
              <w:t>禁止其参加比选人的任何采购活动和广西电力市场化交易项目采购活动，同时上报广西电力交易中心有限责任公司按交易规则处理。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363" w:type="pct"/>
            <w:vAlign w:val="center"/>
          </w:tcPr>
          <w:p>
            <w:pPr>
              <w:spacing w:line="240" w:lineRule="exact"/>
              <w:jc w:val="center"/>
              <w:rPr>
                <w:rFonts w:ascii="宋体" w:hAnsi="宋体"/>
                <w:szCs w:val="21"/>
              </w:rPr>
            </w:pPr>
            <w:r>
              <w:rPr>
                <w:rFonts w:hint="eastAsia" w:ascii="宋体" w:hAnsi="宋体"/>
                <w:szCs w:val="21"/>
              </w:rPr>
              <w:t>20</w:t>
            </w:r>
          </w:p>
        </w:tc>
        <w:tc>
          <w:tcPr>
            <w:tcW w:w="967" w:type="pct"/>
            <w:vAlign w:val="center"/>
          </w:tcPr>
          <w:p>
            <w:pPr>
              <w:spacing w:line="240" w:lineRule="exact"/>
              <w:jc w:val="center"/>
              <w:rPr>
                <w:rFonts w:ascii="宋体" w:hAnsi="宋体"/>
                <w:szCs w:val="21"/>
              </w:rPr>
            </w:pPr>
            <w:r>
              <w:rPr>
                <w:rFonts w:hint="eastAsia" w:ascii="宋体" w:hAnsi="宋体"/>
                <w:szCs w:val="21"/>
              </w:rPr>
              <w:t>其他事项</w:t>
            </w:r>
          </w:p>
        </w:tc>
        <w:tc>
          <w:tcPr>
            <w:tcW w:w="3670" w:type="pct"/>
            <w:vAlign w:val="center"/>
          </w:tcPr>
          <w:p>
            <w:pPr>
              <w:pStyle w:val="51"/>
              <w:numPr>
                <w:ilvl w:val="0"/>
                <w:numId w:val="10"/>
              </w:numPr>
              <w:ind w:hangingChars="200"/>
              <w:rPr>
                <w:rFonts w:ascii="宋体" w:hAnsi="宋体"/>
                <w:szCs w:val="21"/>
              </w:rPr>
            </w:pPr>
            <w:r>
              <w:rPr>
                <w:rFonts w:hint="eastAsia" w:ascii="宋体" w:hAnsi="宋体"/>
                <w:kern w:val="58"/>
                <w:szCs w:val="21"/>
              </w:rPr>
              <w:t>本比选文件所列需求数量均为</w:t>
            </w:r>
            <w:r>
              <w:rPr>
                <w:rFonts w:hint="eastAsia" w:ascii="宋体" w:hAnsi="宋体"/>
                <w:b/>
                <w:kern w:val="58"/>
                <w:szCs w:val="21"/>
              </w:rPr>
              <w:t>预估需求数量</w:t>
            </w:r>
            <w:r>
              <w:rPr>
                <w:rFonts w:hint="eastAsia" w:ascii="宋体" w:hAnsi="宋体"/>
                <w:kern w:val="58"/>
                <w:szCs w:val="21"/>
              </w:rPr>
              <w:t>，非实际采购数量。实际采购数量以广西电网有限责任公司南宁供电局、广西电力交易中心有限责任公司核定后比选人无异议的数量为准。</w:t>
            </w:r>
          </w:p>
          <w:p>
            <w:pPr>
              <w:pStyle w:val="51"/>
              <w:numPr>
                <w:ilvl w:val="0"/>
                <w:numId w:val="10"/>
              </w:numPr>
              <w:ind w:hangingChars="200"/>
              <w:rPr>
                <w:rFonts w:ascii="宋体" w:hAnsi="宋体"/>
                <w:szCs w:val="21"/>
              </w:rPr>
            </w:pPr>
            <w:r>
              <w:rPr>
                <w:rFonts w:hint="eastAsia" w:ascii="宋体" w:hAnsi="宋体"/>
                <w:kern w:val="58"/>
                <w:szCs w:val="21"/>
              </w:rPr>
              <w:t>本次比选将确定年度常规电能量交易单价和预估交易电量，以及比选人有绿电需求时，比选申请人需配合完成部分或全部常规电能量转换为绿电结算，并与中选人签订合同。</w:t>
            </w:r>
          </w:p>
          <w:p>
            <w:pPr>
              <w:pStyle w:val="51"/>
              <w:numPr>
                <w:ilvl w:val="0"/>
                <w:numId w:val="10"/>
              </w:numPr>
              <w:ind w:left="422" w:hanging="422" w:hangingChars="200"/>
              <w:rPr>
                <w:rFonts w:ascii="宋体" w:hAnsi="宋体"/>
                <w:szCs w:val="21"/>
              </w:rPr>
            </w:pPr>
            <w:r>
              <w:rPr>
                <w:rFonts w:hint="eastAsia" w:ascii="宋体" w:hAnsi="宋体"/>
                <w:b/>
              </w:rPr>
              <w:t>比选申请人应在预测到绿色电力交易实际到户价格低于年度常规电能量交易实际到户价格时，将比选人月度需求计划电量转换为绿色电力交易；或在比选人提出部分或全部月度需求计划电量转换为绿色电力交易时，比选申请人应配合比选人开展绿色电力交易，并在月度结算中完成常规电能量结算转换为绿电结算</w:t>
            </w:r>
            <w:r>
              <w:rPr>
                <w:rFonts w:hint="eastAsia" w:ascii="宋体" w:hAnsi="宋体" w:cs="Arial"/>
                <w:b/>
                <w:szCs w:val="21"/>
              </w:rPr>
              <w:t>。</w:t>
            </w:r>
          </w:p>
        </w:tc>
      </w:tr>
    </w:tbl>
    <w:p>
      <w:pPr>
        <w:pStyle w:val="3"/>
        <w:jc w:val="center"/>
        <w:rPr>
          <w:rFonts w:ascii="宋体" w:hAnsi="宋体" w:eastAsia="宋体"/>
          <w:sz w:val="28"/>
          <w:szCs w:val="28"/>
        </w:rPr>
      </w:pPr>
      <w:bookmarkStart w:id="13" w:name="_Toc392862474"/>
      <w:r>
        <w:rPr>
          <w:sz w:val="24"/>
          <w:szCs w:val="24"/>
        </w:rPr>
        <w:br w:type="page"/>
      </w:r>
      <w:bookmarkStart w:id="14" w:name="_Toc121081997"/>
      <w:r>
        <w:rPr>
          <w:rFonts w:hint="eastAsia" w:ascii="宋体" w:hAnsi="宋体" w:eastAsia="宋体"/>
          <w:sz w:val="28"/>
          <w:szCs w:val="28"/>
        </w:rPr>
        <w:t>一、总   则</w:t>
      </w:r>
      <w:bookmarkEnd w:id="10"/>
      <w:bookmarkEnd w:id="11"/>
      <w:bookmarkEnd w:id="12"/>
      <w:bookmarkEnd w:id="13"/>
      <w:bookmarkEnd w:id="14"/>
    </w:p>
    <w:p>
      <w:pPr>
        <w:pStyle w:val="4"/>
        <w:spacing w:before="156" w:beforeLines="50" w:after="0" w:line="240" w:lineRule="auto"/>
        <w:rPr>
          <w:rFonts w:ascii="宋体" w:hAnsi="宋体"/>
          <w:sz w:val="24"/>
        </w:rPr>
      </w:pPr>
      <w:bookmarkStart w:id="15" w:name="_Toc114052414"/>
      <w:bookmarkStart w:id="16" w:name="_Toc114052340"/>
      <w:bookmarkStart w:id="17" w:name="_Toc392862475"/>
      <w:bookmarkStart w:id="18" w:name="_Toc286386834"/>
      <w:r>
        <w:rPr>
          <w:rFonts w:hint="eastAsia" w:ascii="宋体" w:hAnsi="宋体"/>
          <w:sz w:val="24"/>
        </w:rPr>
        <w:t>1</w:t>
      </w:r>
      <w:bookmarkEnd w:id="15"/>
      <w:bookmarkEnd w:id="16"/>
      <w:bookmarkEnd w:id="17"/>
      <w:bookmarkEnd w:id="18"/>
      <w:bookmarkStart w:id="19" w:name="_Toc286386836"/>
      <w:bookmarkStart w:id="20" w:name="_Toc114052342"/>
      <w:bookmarkStart w:id="21" w:name="_Toc114052416"/>
      <w:bookmarkStart w:id="22" w:name="_Toc392862477"/>
      <w:r>
        <w:rPr>
          <w:rFonts w:hint="eastAsia" w:ascii="宋体" w:hAnsi="宋体"/>
          <w:sz w:val="24"/>
        </w:rPr>
        <w:t>. 项目说明</w:t>
      </w:r>
    </w:p>
    <w:p>
      <w:pPr>
        <w:spacing w:line="360" w:lineRule="auto"/>
        <w:ind w:firstLine="360" w:firstLineChars="150"/>
        <w:rPr>
          <w:rFonts w:ascii="宋体" w:hAnsi="宋体"/>
          <w:kern w:val="0"/>
          <w:sz w:val="24"/>
          <w:szCs w:val="24"/>
        </w:rPr>
      </w:pPr>
      <w:r>
        <w:rPr>
          <w:rFonts w:ascii="宋体" w:hAnsi="宋体"/>
          <w:kern w:val="0"/>
          <w:sz w:val="24"/>
          <w:szCs w:val="24"/>
        </w:rPr>
        <w:t xml:space="preserve">1.1 </w:t>
      </w:r>
      <w:r>
        <w:rPr>
          <w:rFonts w:hint="eastAsia" w:ascii="宋体" w:hAnsi="宋体"/>
          <w:kern w:val="0"/>
          <w:sz w:val="24"/>
          <w:szCs w:val="24"/>
        </w:rPr>
        <w:t>项目的说明见比选申请须知前附表（以下称“前附表”）所述。</w:t>
      </w:r>
    </w:p>
    <w:p>
      <w:pPr>
        <w:spacing w:line="360" w:lineRule="auto"/>
        <w:ind w:firstLine="360" w:firstLineChars="150"/>
        <w:rPr>
          <w:rFonts w:ascii="宋体" w:hAnsi="宋体"/>
          <w:kern w:val="0"/>
          <w:sz w:val="24"/>
          <w:szCs w:val="24"/>
        </w:rPr>
      </w:pPr>
      <w:r>
        <w:rPr>
          <w:rFonts w:ascii="宋体" w:hAnsi="宋体"/>
          <w:kern w:val="0"/>
          <w:sz w:val="24"/>
          <w:szCs w:val="24"/>
        </w:rPr>
        <w:t>1.2</w:t>
      </w:r>
      <w:r>
        <w:rPr>
          <w:rFonts w:hint="eastAsia" w:ascii="宋体" w:hAnsi="宋体"/>
          <w:kern w:val="0"/>
          <w:sz w:val="24"/>
          <w:szCs w:val="24"/>
        </w:rPr>
        <w:t xml:space="preserve"> 上述项目按照国家有关的法律、法规，现通过比选择优选定供货单位。</w:t>
      </w:r>
    </w:p>
    <w:p>
      <w:pPr>
        <w:spacing w:line="360" w:lineRule="auto"/>
        <w:ind w:firstLine="360" w:firstLineChars="150"/>
        <w:rPr>
          <w:rFonts w:ascii="宋体" w:hAnsi="宋体"/>
          <w:kern w:val="0"/>
          <w:sz w:val="24"/>
          <w:szCs w:val="24"/>
        </w:rPr>
      </w:pPr>
      <w:r>
        <w:rPr>
          <w:rFonts w:hint="eastAsia" w:ascii="宋体" w:hAnsi="宋体"/>
          <w:kern w:val="0"/>
          <w:sz w:val="24"/>
          <w:szCs w:val="24"/>
        </w:rPr>
        <w:t>1.3 货物名称：详见第四章“</w:t>
      </w:r>
      <w:r>
        <w:rPr>
          <w:rFonts w:hint="eastAsia" w:ascii="宋体" w:hAnsi="宋体"/>
          <w:kern w:val="58"/>
          <w:sz w:val="24"/>
          <w:szCs w:val="20"/>
        </w:rPr>
        <w:t>技术需求及数量表</w:t>
      </w:r>
      <w:r>
        <w:rPr>
          <w:rFonts w:hint="eastAsia" w:ascii="宋体" w:hAnsi="宋体"/>
          <w:kern w:val="0"/>
          <w:sz w:val="24"/>
          <w:szCs w:val="24"/>
        </w:rPr>
        <w:t>”。</w:t>
      </w:r>
    </w:p>
    <w:p>
      <w:pPr>
        <w:pStyle w:val="4"/>
        <w:spacing w:before="156" w:beforeLines="50" w:after="0" w:line="240" w:lineRule="auto"/>
        <w:rPr>
          <w:rFonts w:ascii="宋体" w:hAnsi="宋体"/>
          <w:sz w:val="24"/>
        </w:rPr>
      </w:pPr>
      <w:bookmarkStart w:id="23" w:name="_Toc465934610"/>
      <w:bookmarkStart w:id="24" w:name="_Toc436771466"/>
      <w:r>
        <w:rPr>
          <w:rFonts w:hint="eastAsia" w:ascii="宋体" w:hAnsi="宋体"/>
          <w:sz w:val="24"/>
        </w:rPr>
        <w:t>2. 资格与合格条件的要求</w:t>
      </w:r>
      <w:bookmarkEnd w:id="19"/>
      <w:bookmarkEnd w:id="20"/>
      <w:bookmarkEnd w:id="21"/>
      <w:bookmarkEnd w:id="22"/>
      <w:bookmarkEnd w:id="23"/>
      <w:bookmarkEnd w:id="24"/>
    </w:p>
    <w:p>
      <w:pPr>
        <w:autoSpaceDE w:val="0"/>
        <w:autoSpaceDN w:val="0"/>
        <w:adjustRightInd w:val="0"/>
        <w:spacing w:line="360" w:lineRule="auto"/>
        <w:ind w:firstLine="480" w:firstLineChars="200"/>
        <w:rPr>
          <w:rFonts w:ascii="宋体" w:hAnsi="宋体"/>
          <w:kern w:val="0"/>
          <w:sz w:val="24"/>
          <w:szCs w:val="24"/>
        </w:rPr>
      </w:pPr>
      <w:r>
        <w:rPr>
          <w:rFonts w:hint="eastAsia" w:ascii="宋体" w:hAnsi="宋体"/>
          <w:kern w:val="0"/>
          <w:sz w:val="24"/>
          <w:szCs w:val="24"/>
        </w:rPr>
        <w:t>比选申请人必须满足前附表第</w:t>
      </w:r>
      <w:r>
        <w:rPr>
          <w:rFonts w:ascii="宋体" w:hAnsi="宋体"/>
          <w:kern w:val="0"/>
          <w:sz w:val="24"/>
          <w:szCs w:val="24"/>
        </w:rPr>
        <w:t>8</w:t>
      </w:r>
      <w:r>
        <w:rPr>
          <w:rFonts w:hint="eastAsia" w:ascii="宋体" w:hAnsi="宋体"/>
          <w:kern w:val="0"/>
          <w:sz w:val="24"/>
          <w:szCs w:val="24"/>
        </w:rPr>
        <w:t>项相应的资质等级及要求。</w:t>
      </w:r>
      <w:bookmarkStart w:id="25" w:name="_Toc114052417"/>
      <w:bookmarkStart w:id="26" w:name="_Toc286386837"/>
      <w:bookmarkStart w:id="27" w:name="_Toc114052343"/>
      <w:bookmarkStart w:id="28" w:name="_Toc392862478"/>
    </w:p>
    <w:p>
      <w:pPr>
        <w:pStyle w:val="4"/>
        <w:spacing w:before="156" w:beforeLines="50" w:after="0" w:line="240" w:lineRule="auto"/>
        <w:rPr>
          <w:rFonts w:ascii="宋体" w:hAnsi="宋体"/>
          <w:sz w:val="24"/>
        </w:rPr>
      </w:pPr>
      <w:r>
        <w:rPr>
          <w:rFonts w:hint="eastAsia" w:ascii="宋体" w:hAnsi="宋体"/>
          <w:sz w:val="24"/>
        </w:rPr>
        <w:t>3. 申请比选费用</w:t>
      </w:r>
    </w:p>
    <w:p>
      <w:pPr>
        <w:autoSpaceDE w:val="0"/>
        <w:autoSpaceDN w:val="0"/>
        <w:adjustRightInd w:val="0"/>
        <w:spacing w:line="360" w:lineRule="auto"/>
        <w:ind w:firstLine="480" w:firstLineChars="200"/>
        <w:rPr>
          <w:rFonts w:ascii="宋体" w:hAnsi="宋体"/>
          <w:kern w:val="58"/>
          <w:sz w:val="24"/>
          <w:szCs w:val="24"/>
        </w:rPr>
      </w:pPr>
      <w:r>
        <w:rPr>
          <w:rFonts w:hint="eastAsia" w:ascii="宋体" w:hAnsi="宋体"/>
          <w:kern w:val="58"/>
          <w:sz w:val="24"/>
          <w:szCs w:val="24"/>
        </w:rPr>
        <w:t>比选申请人应承担其编制文件与递交文件所涉及的一切费用。无论评审结果如何，比选人对上述费用不承担任何责任。</w:t>
      </w:r>
    </w:p>
    <w:bookmarkEnd w:id="25"/>
    <w:bookmarkEnd w:id="26"/>
    <w:bookmarkEnd w:id="27"/>
    <w:bookmarkEnd w:id="28"/>
    <w:p>
      <w:pPr>
        <w:pStyle w:val="3"/>
        <w:jc w:val="center"/>
        <w:rPr>
          <w:rFonts w:ascii="宋体" w:hAnsi="宋体" w:eastAsia="宋体"/>
          <w:sz w:val="28"/>
          <w:szCs w:val="28"/>
        </w:rPr>
      </w:pPr>
      <w:bookmarkStart w:id="29" w:name="_Toc392862479"/>
      <w:bookmarkStart w:id="30" w:name="_Toc114052344"/>
      <w:bookmarkStart w:id="31" w:name="_Toc286386838"/>
      <w:bookmarkStart w:id="32" w:name="_Toc121081998"/>
      <w:bookmarkStart w:id="33" w:name="_Toc114052418"/>
      <w:r>
        <w:rPr>
          <w:rFonts w:hint="eastAsia" w:ascii="宋体" w:hAnsi="宋体" w:eastAsia="宋体"/>
          <w:sz w:val="28"/>
          <w:szCs w:val="28"/>
        </w:rPr>
        <w:t>二、比选文件</w:t>
      </w:r>
      <w:bookmarkEnd w:id="29"/>
      <w:bookmarkEnd w:id="30"/>
      <w:bookmarkEnd w:id="31"/>
      <w:bookmarkEnd w:id="32"/>
      <w:bookmarkEnd w:id="33"/>
      <w:bookmarkStart w:id="34" w:name="_Toc114052345"/>
      <w:bookmarkStart w:id="35" w:name="_Toc286386839"/>
      <w:bookmarkStart w:id="36" w:name="_Toc114052419"/>
      <w:bookmarkStart w:id="37" w:name="_Toc392862480"/>
    </w:p>
    <w:p>
      <w:pPr>
        <w:pStyle w:val="4"/>
        <w:spacing w:before="156" w:beforeLines="50" w:after="0" w:line="240" w:lineRule="auto"/>
        <w:rPr>
          <w:rFonts w:ascii="宋体" w:hAnsi="宋体"/>
          <w:sz w:val="24"/>
        </w:rPr>
      </w:pPr>
      <w:bookmarkStart w:id="38" w:name="_Toc436771468"/>
      <w:bookmarkStart w:id="39" w:name="_Toc465934612"/>
      <w:r>
        <w:rPr>
          <w:rFonts w:hint="eastAsia" w:ascii="宋体" w:hAnsi="宋体"/>
          <w:sz w:val="24"/>
        </w:rPr>
        <w:t>4. 比选文件的组成</w:t>
      </w:r>
      <w:bookmarkEnd w:id="34"/>
      <w:bookmarkEnd w:id="35"/>
      <w:bookmarkEnd w:id="36"/>
      <w:bookmarkEnd w:id="37"/>
      <w:bookmarkEnd w:id="38"/>
      <w:bookmarkEnd w:id="39"/>
    </w:p>
    <w:p>
      <w:pPr>
        <w:spacing w:line="360" w:lineRule="auto"/>
        <w:ind w:firstLine="480" w:firstLineChars="200"/>
        <w:rPr>
          <w:rFonts w:ascii="宋体" w:hAnsi="宋体"/>
          <w:kern w:val="58"/>
          <w:sz w:val="24"/>
          <w:szCs w:val="24"/>
        </w:rPr>
      </w:pPr>
      <w:r>
        <w:rPr>
          <w:rFonts w:hint="eastAsia" w:ascii="宋体" w:hAnsi="宋体"/>
          <w:kern w:val="58"/>
          <w:sz w:val="24"/>
          <w:szCs w:val="24"/>
        </w:rPr>
        <w:t>4.1比选文件包括下列内容：</w:t>
      </w:r>
    </w:p>
    <w:p>
      <w:pPr>
        <w:spacing w:line="360" w:lineRule="auto"/>
        <w:ind w:firstLine="480" w:firstLineChars="200"/>
        <w:rPr>
          <w:rFonts w:ascii="宋体" w:hAnsi="宋体"/>
          <w:kern w:val="58"/>
          <w:sz w:val="24"/>
          <w:szCs w:val="24"/>
        </w:rPr>
      </w:pPr>
      <w:r>
        <w:rPr>
          <w:rFonts w:hint="eastAsia" w:ascii="宋体" w:hAnsi="宋体"/>
          <w:kern w:val="58"/>
          <w:sz w:val="24"/>
          <w:szCs w:val="24"/>
        </w:rPr>
        <w:t>第一章 比选公告</w:t>
      </w:r>
    </w:p>
    <w:p>
      <w:pPr>
        <w:spacing w:line="360" w:lineRule="auto"/>
        <w:ind w:firstLine="480" w:firstLineChars="200"/>
        <w:rPr>
          <w:rFonts w:ascii="宋体" w:hAnsi="宋体"/>
          <w:kern w:val="58"/>
          <w:sz w:val="24"/>
          <w:szCs w:val="24"/>
        </w:rPr>
      </w:pPr>
      <w:r>
        <w:rPr>
          <w:rFonts w:ascii="宋体" w:hAnsi="宋体"/>
          <w:kern w:val="58"/>
          <w:sz w:val="24"/>
          <w:szCs w:val="24"/>
        </w:rPr>
        <w:t>第二章</w:t>
      </w:r>
      <w:r>
        <w:rPr>
          <w:rFonts w:hint="eastAsia" w:ascii="宋体" w:hAnsi="宋体"/>
          <w:kern w:val="58"/>
          <w:sz w:val="24"/>
          <w:szCs w:val="24"/>
        </w:rPr>
        <w:t xml:space="preserve"> </w:t>
      </w:r>
      <w:r>
        <w:rPr>
          <w:rFonts w:ascii="宋体" w:hAnsi="宋体"/>
          <w:kern w:val="58"/>
          <w:sz w:val="24"/>
          <w:szCs w:val="24"/>
        </w:rPr>
        <w:t>比选申请须知</w:t>
      </w:r>
    </w:p>
    <w:p>
      <w:pPr>
        <w:spacing w:line="360" w:lineRule="auto"/>
        <w:ind w:firstLine="480" w:firstLineChars="200"/>
        <w:rPr>
          <w:rFonts w:ascii="宋体" w:hAnsi="宋体"/>
          <w:kern w:val="58"/>
          <w:sz w:val="24"/>
          <w:szCs w:val="24"/>
        </w:rPr>
      </w:pPr>
      <w:r>
        <w:rPr>
          <w:rFonts w:ascii="宋体" w:hAnsi="宋体"/>
          <w:kern w:val="58"/>
          <w:sz w:val="24"/>
          <w:szCs w:val="24"/>
        </w:rPr>
        <w:t>第三章</w:t>
      </w:r>
      <w:r>
        <w:rPr>
          <w:rFonts w:hint="eastAsia" w:ascii="宋体" w:hAnsi="宋体"/>
          <w:kern w:val="58"/>
          <w:sz w:val="24"/>
          <w:szCs w:val="24"/>
        </w:rPr>
        <w:t xml:space="preserve"> </w:t>
      </w:r>
      <w:r>
        <w:rPr>
          <w:rFonts w:ascii="宋体" w:hAnsi="宋体"/>
          <w:kern w:val="58"/>
          <w:sz w:val="24"/>
          <w:szCs w:val="24"/>
        </w:rPr>
        <w:t>合同条款</w:t>
      </w:r>
      <w:r>
        <w:rPr>
          <w:rFonts w:hint="eastAsia" w:ascii="宋体" w:hAnsi="宋体"/>
          <w:kern w:val="58"/>
          <w:sz w:val="24"/>
          <w:szCs w:val="24"/>
        </w:rPr>
        <w:t>及格式</w:t>
      </w:r>
    </w:p>
    <w:p>
      <w:pPr>
        <w:spacing w:line="360" w:lineRule="auto"/>
        <w:ind w:firstLine="480" w:firstLineChars="200"/>
        <w:rPr>
          <w:rFonts w:ascii="宋体" w:hAnsi="宋体"/>
          <w:kern w:val="58"/>
          <w:sz w:val="24"/>
          <w:szCs w:val="24"/>
        </w:rPr>
      </w:pPr>
      <w:r>
        <w:rPr>
          <w:rFonts w:hint="eastAsia" w:ascii="宋体" w:hAnsi="宋体"/>
          <w:kern w:val="58"/>
          <w:sz w:val="24"/>
          <w:szCs w:val="24"/>
        </w:rPr>
        <w:t>第四章 用户需求书</w:t>
      </w:r>
    </w:p>
    <w:p>
      <w:pPr>
        <w:spacing w:line="360" w:lineRule="auto"/>
        <w:ind w:firstLine="480" w:firstLineChars="200"/>
        <w:rPr>
          <w:rFonts w:ascii="宋体" w:hAnsi="宋体"/>
          <w:kern w:val="58"/>
          <w:sz w:val="24"/>
          <w:szCs w:val="24"/>
        </w:rPr>
      </w:pPr>
      <w:r>
        <w:rPr>
          <w:rFonts w:ascii="宋体" w:hAnsi="宋体"/>
          <w:kern w:val="58"/>
          <w:sz w:val="24"/>
          <w:szCs w:val="24"/>
        </w:rPr>
        <w:t>第五章</w:t>
      </w:r>
      <w:r>
        <w:rPr>
          <w:rFonts w:hint="eastAsia" w:ascii="宋体" w:hAnsi="宋体"/>
          <w:kern w:val="58"/>
          <w:sz w:val="24"/>
          <w:szCs w:val="24"/>
        </w:rPr>
        <w:t xml:space="preserve"> 比选</w:t>
      </w:r>
      <w:r>
        <w:rPr>
          <w:rFonts w:ascii="宋体" w:hAnsi="宋体"/>
          <w:kern w:val="58"/>
          <w:sz w:val="24"/>
          <w:szCs w:val="24"/>
        </w:rPr>
        <w:t>申请文件</w:t>
      </w:r>
      <w:r>
        <w:rPr>
          <w:rFonts w:hint="eastAsia" w:ascii="宋体" w:hAnsi="宋体"/>
          <w:kern w:val="58"/>
          <w:sz w:val="24"/>
          <w:szCs w:val="24"/>
        </w:rPr>
        <w:t>（格式）</w:t>
      </w:r>
    </w:p>
    <w:p>
      <w:pPr>
        <w:spacing w:line="360" w:lineRule="auto"/>
        <w:ind w:firstLine="480" w:firstLineChars="200"/>
        <w:rPr>
          <w:rFonts w:ascii="宋体" w:hAnsi="宋体"/>
          <w:kern w:val="58"/>
          <w:sz w:val="24"/>
          <w:szCs w:val="24"/>
        </w:rPr>
      </w:pPr>
      <w:r>
        <w:rPr>
          <w:rFonts w:hint="eastAsia" w:ascii="宋体" w:hAnsi="宋体"/>
          <w:kern w:val="58"/>
          <w:sz w:val="24"/>
          <w:szCs w:val="24"/>
        </w:rPr>
        <w:t>第六章 评分办法</w:t>
      </w:r>
    </w:p>
    <w:p>
      <w:pPr>
        <w:spacing w:line="360" w:lineRule="auto"/>
        <w:ind w:firstLine="480" w:firstLineChars="200"/>
        <w:rPr>
          <w:rFonts w:ascii="宋体" w:hAnsi="宋体"/>
          <w:kern w:val="58"/>
          <w:sz w:val="24"/>
          <w:szCs w:val="24"/>
        </w:rPr>
      </w:pPr>
      <w:r>
        <w:rPr>
          <w:rFonts w:hint="eastAsia" w:ascii="宋体" w:hAnsi="宋体"/>
          <w:kern w:val="58"/>
          <w:sz w:val="24"/>
          <w:szCs w:val="24"/>
        </w:rPr>
        <w:t>4.2</w:t>
      </w:r>
      <w:r>
        <w:rPr>
          <w:rFonts w:ascii="宋体" w:hAnsi="宋体"/>
          <w:kern w:val="58"/>
          <w:sz w:val="24"/>
          <w:szCs w:val="24"/>
        </w:rPr>
        <w:t>比选申请人应认真检阅比选文件中所有的章节、条款、格式、图纸、附表和附件等。如果在收到比选文件后发现有缺页、印刷不清楚或对其中内容不理解而未向</w:t>
      </w:r>
      <w:r>
        <w:rPr>
          <w:rFonts w:hint="eastAsia" w:ascii="宋体" w:hAnsi="宋体"/>
          <w:kern w:val="58"/>
          <w:sz w:val="24"/>
          <w:szCs w:val="24"/>
        </w:rPr>
        <w:t>比选人</w:t>
      </w:r>
      <w:r>
        <w:rPr>
          <w:rFonts w:ascii="宋体" w:hAnsi="宋体"/>
          <w:kern w:val="58"/>
          <w:sz w:val="24"/>
          <w:szCs w:val="24"/>
        </w:rPr>
        <w:t>提出，由此导致的比选申请失误，其责任由比选申请人自负。</w:t>
      </w:r>
    </w:p>
    <w:p>
      <w:pPr>
        <w:spacing w:line="360" w:lineRule="auto"/>
        <w:ind w:firstLine="480" w:firstLineChars="200"/>
        <w:rPr>
          <w:rFonts w:ascii="宋体" w:hAnsi="宋体"/>
          <w:kern w:val="58"/>
          <w:sz w:val="24"/>
          <w:szCs w:val="24"/>
        </w:rPr>
      </w:pPr>
      <w:r>
        <w:rPr>
          <w:rFonts w:ascii="宋体" w:hAnsi="宋体"/>
          <w:kern w:val="58"/>
          <w:sz w:val="24"/>
          <w:szCs w:val="24"/>
        </w:rPr>
        <w:t>4.3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156" w:beforeLines="50" w:after="0" w:line="240" w:lineRule="auto"/>
        <w:rPr>
          <w:rFonts w:ascii="宋体" w:hAnsi="宋体"/>
          <w:sz w:val="24"/>
        </w:rPr>
      </w:pPr>
      <w:bookmarkStart w:id="40" w:name="_Toc436771469"/>
      <w:bookmarkStart w:id="41" w:name="_Toc392862481"/>
      <w:bookmarkStart w:id="42" w:name="_Toc114052346"/>
      <w:bookmarkStart w:id="43" w:name="_Toc114052420"/>
      <w:bookmarkStart w:id="44" w:name="_Toc286386840"/>
      <w:bookmarkStart w:id="45" w:name="_Toc465934613"/>
      <w:r>
        <w:rPr>
          <w:rFonts w:hint="eastAsia" w:ascii="宋体" w:hAnsi="宋体"/>
          <w:sz w:val="24"/>
        </w:rPr>
        <w:t>5. 比选文件的</w:t>
      </w:r>
      <w:bookmarkEnd w:id="40"/>
      <w:bookmarkEnd w:id="41"/>
      <w:bookmarkEnd w:id="42"/>
      <w:bookmarkEnd w:id="43"/>
      <w:bookmarkEnd w:id="44"/>
      <w:bookmarkEnd w:id="45"/>
      <w:r>
        <w:rPr>
          <w:rFonts w:hint="eastAsia" w:ascii="宋体" w:hAnsi="宋体"/>
          <w:sz w:val="24"/>
        </w:rPr>
        <w:t>澄清</w:t>
      </w:r>
    </w:p>
    <w:p>
      <w:pPr>
        <w:spacing w:line="360" w:lineRule="auto"/>
        <w:ind w:firstLine="480" w:firstLineChars="200"/>
        <w:rPr>
          <w:rFonts w:ascii="宋体" w:hAnsi="宋体"/>
          <w:kern w:val="58"/>
          <w:sz w:val="24"/>
          <w:szCs w:val="24"/>
        </w:rPr>
      </w:pPr>
      <w:r>
        <w:rPr>
          <w:rFonts w:hint="eastAsia" w:ascii="宋体" w:hAnsi="宋体"/>
          <w:kern w:val="58"/>
          <w:sz w:val="24"/>
          <w:szCs w:val="24"/>
        </w:rPr>
        <w:t>5.1</w:t>
      </w:r>
      <w:r>
        <w:rPr>
          <w:rFonts w:ascii="宋体" w:hAnsi="宋体"/>
          <w:kern w:val="58"/>
          <w:sz w:val="24"/>
          <w:szCs w:val="24"/>
        </w:rPr>
        <w:t>任何要求对比选文件进行澄清的比选申请人，应在比选申请须知前附表所规定的时间</w:t>
      </w:r>
      <w:r>
        <w:rPr>
          <w:rFonts w:hint="eastAsia" w:ascii="宋体" w:hAnsi="宋体"/>
          <w:kern w:val="58"/>
          <w:sz w:val="24"/>
          <w:szCs w:val="24"/>
        </w:rPr>
        <w:t>及形式向比选人提出。</w:t>
      </w:r>
    </w:p>
    <w:p>
      <w:pPr>
        <w:spacing w:line="360" w:lineRule="auto"/>
        <w:ind w:firstLine="480" w:firstLineChars="200"/>
        <w:rPr>
          <w:rFonts w:ascii="宋体" w:hAnsi="宋体"/>
          <w:kern w:val="58"/>
          <w:sz w:val="24"/>
          <w:szCs w:val="24"/>
        </w:rPr>
      </w:pPr>
      <w:r>
        <w:rPr>
          <w:rFonts w:ascii="宋体" w:hAnsi="宋体"/>
          <w:kern w:val="58"/>
          <w:sz w:val="24"/>
          <w:szCs w:val="24"/>
        </w:rPr>
        <w:t>5.2</w:t>
      </w:r>
      <w:r>
        <w:rPr>
          <w:rFonts w:hint="eastAsia" w:ascii="宋体" w:hAnsi="宋体"/>
          <w:kern w:val="58"/>
          <w:sz w:val="24"/>
          <w:szCs w:val="24"/>
        </w:rPr>
        <w:t>比选人</w:t>
      </w:r>
      <w:r>
        <w:rPr>
          <w:rFonts w:ascii="宋体" w:hAnsi="宋体"/>
          <w:kern w:val="58"/>
          <w:sz w:val="24"/>
          <w:szCs w:val="24"/>
        </w:rPr>
        <w:t>将根据比选申请人的</w:t>
      </w:r>
      <w:r>
        <w:rPr>
          <w:rFonts w:hint="eastAsia" w:ascii="宋体" w:hAnsi="宋体"/>
          <w:kern w:val="58"/>
          <w:sz w:val="24"/>
          <w:szCs w:val="24"/>
        </w:rPr>
        <w:t>书面</w:t>
      </w:r>
      <w:r>
        <w:rPr>
          <w:rFonts w:ascii="宋体" w:hAnsi="宋体"/>
          <w:kern w:val="58"/>
          <w:sz w:val="24"/>
          <w:szCs w:val="24"/>
        </w:rPr>
        <w:t>澄清要求</w:t>
      </w:r>
      <w:r>
        <w:rPr>
          <w:rFonts w:hint="eastAsia" w:ascii="宋体" w:hAnsi="宋体"/>
          <w:kern w:val="58"/>
          <w:sz w:val="24"/>
          <w:szCs w:val="24"/>
        </w:rPr>
        <w:t>进行澄清答复，答复的方式及比选申请人确认的方式详见比选申请须知前附表，比选人</w:t>
      </w:r>
      <w:r>
        <w:rPr>
          <w:rFonts w:ascii="宋体" w:hAnsi="宋体"/>
          <w:kern w:val="58"/>
          <w:sz w:val="24"/>
          <w:szCs w:val="24"/>
        </w:rPr>
        <w:t>只答复与比选文件内容有关的问题，并有权对任何与比选文件无关的问题不作回答。</w:t>
      </w:r>
    </w:p>
    <w:p>
      <w:pPr>
        <w:pStyle w:val="4"/>
        <w:spacing w:before="156" w:beforeLines="50" w:after="0" w:line="240" w:lineRule="auto"/>
        <w:rPr>
          <w:rFonts w:ascii="宋体" w:hAnsi="宋体"/>
          <w:sz w:val="24"/>
        </w:rPr>
      </w:pPr>
      <w:bookmarkStart w:id="46" w:name="_Toc114052347"/>
      <w:bookmarkStart w:id="47" w:name="_Toc286386841"/>
      <w:bookmarkStart w:id="48" w:name="_Toc392862482"/>
      <w:bookmarkStart w:id="49" w:name="_Toc114052421"/>
      <w:bookmarkStart w:id="50" w:name="_Toc436771470"/>
      <w:bookmarkStart w:id="51" w:name="_Toc465934614"/>
      <w:r>
        <w:rPr>
          <w:rFonts w:hint="eastAsia" w:ascii="宋体" w:hAnsi="宋体"/>
          <w:sz w:val="24"/>
        </w:rPr>
        <w:t xml:space="preserve">6. </w:t>
      </w:r>
      <w:bookmarkEnd w:id="46"/>
      <w:bookmarkEnd w:id="47"/>
      <w:bookmarkEnd w:id="48"/>
      <w:bookmarkEnd w:id="49"/>
      <w:bookmarkEnd w:id="50"/>
      <w:bookmarkStart w:id="52" w:name="_Toc114052348"/>
      <w:bookmarkStart w:id="53" w:name="_Toc114052422"/>
      <w:bookmarkStart w:id="54" w:name="_Toc286386842"/>
      <w:bookmarkStart w:id="55" w:name="_Toc392862483"/>
      <w:r>
        <w:rPr>
          <w:rFonts w:hint="eastAsia" w:ascii="宋体" w:hAnsi="宋体"/>
          <w:sz w:val="24"/>
        </w:rPr>
        <w:t>比选文件的</w:t>
      </w:r>
      <w:bookmarkEnd w:id="51"/>
      <w:r>
        <w:rPr>
          <w:rFonts w:ascii="宋体" w:hAnsi="宋体"/>
          <w:sz w:val="24"/>
        </w:rPr>
        <w:t>补遗或修改</w:t>
      </w:r>
    </w:p>
    <w:p>
      <w:pPr>
        <w:pStyle w:val="51"/>
        <w:spacing w:line="360" w:lineRule="auto"/>
        <w:ind w:firstLine="480"/>
        <w:rPr>
          <w:rFonts w:ascii="宋体" w:hAnsi="宋体"/>
          <w:sz w:val="24"/>
        </w:rPr>
      </w:pPr>
      <w:r>
        <w:rPr>
          <w:rFonts w:ascii="宋体" w:hAnsi="宋体"/>
          <w:sz w:val="24"/>
        </w:rPr>
        <w:t>6</w:t>
      </w:r>
      <w:r>
        <w:rPr>
          <w:rFonts w:hint="eastAsia" w:ascii="宋体" w:hAnsi="宋体"/>
          <w:sz w:val="24"/>
        </w:rPr>
        <w:t xml:space="preserve">.1 </w:t>
      </w:r>
      <w:r>
        <w:rPr>
          <w:rFonts w:ascii="宋体" w:hAnsi="宋体"/>
          <w:sz w:val="24"/>
        </w:rPr>
        <w:t>在比选申请截止期前，无论出于何种原因，</w:t>
      </w:r>
      <w:r>
        <w:rPr>
          <w:rFonts w:hint="eastAsia" w:ascii="宋体" w:hAnsi="宋体"/>
          <w:sz w:val="24"/>
        </w:rPr>
        <w:t>比选人</w:t>
      </w:r>
      <w:r>
        <w:rPr>
          <w:rFonts w:ascii="宋体" w:hAnsi="宋体"/>
          <w:sz w:val="24"/>
        </w:rPr>
        <w:t>可以主动或应比选申请人澄清要求对比选文件进行必要的补遗或修改。</w:t>
      </w:r>
    </w:p>
    <w:p>
      <w:pPr>
        <w:pStyle w:val="51"/>
        <w:spacing w:line="360" w:lineRule="auto"/>
        <w:ind w:firstLine="480"/>
        <w:rPr>
          <w:rFonts w:ascii="宋体" w:hAnsi="宋体"/>
          <w:sz w:val="24"/>
        </w:rPr>
      </w:pPr>
      <w:r>
        <w:rPr>
          <w:rFonts w:ascii="宋体" w:hAnsi="宋体"/>
          <w:sz w:val="24"/>
        </w:rPr>
        <w:t>6</w:t>
      </w:r>
      <w:r>
        <w:rPr>
          <w:rFonts w:hint="eastAsia" w:ascii="宋体" w:hAnsi="宋体"/>
          <w:sz w:val="24"/>
        </w:rPr>
        <w:t xml:space="preserve">.2 </w:t>
      </w:r>
      <w:r>
        <w:rPr>
          <w:rFonts w:ascii="宋体" w:hAnsi="宋体"/>
          <w:sz w:val="24"/>
        </w:rPr>
        <w:t>比选文件的补遗或修改通知是比选文件的组成部分，补充比选文件在</w:t>
      </w:r>
      <w:r>
        <w:rPr>
          <w:rFonts w:hint="eastAsia" w:ascii="宋体" w:hAnsi="宋体"/>
          <w:sz w:val="24"/>
        </w:rPr>
        <w:t>南宁轨道交通集团有限责任公司官网</w:t>
      </w:r>
      <w:r>
        <w:rPr>
          <w:rFonts w:ascii="宋体" w:hAnsi="宋体"/>
          <w:sz w:val="24"/>
        </w:rPr>
        <w:t>上发布之日起，视为比选申请人已收到该补充比选文件。比选申请人未及时关注</w:t>
      </w:r>
      <w:r>
        <w:rPr>
          <w:rFonts w:hint="eastAsia" w:ascii="宋体" w:hAnsi="宋体"/>
          <w:sz w:val="24"/>
        </w:rPr>
        <w:t>南宁轨道交通集团有限责任公司官网</w:t>
      </w:r>
      <w:r>
        <w:rPr>
          <w:rFonts w:ascii="宋体" w:hAnsi="宋体"/>
          <w:sz w:val="24"/>
        </w:rPr>
        <w:t>上发布的补充比选文件造成的损失，由比选申请人自行负责。</w:t>
      </w:r>
    </w:p>
    <w:p>
      <w:pPr>
        <w:pStyle w:val="51"/>
        <w:spacing w:line="360" w:lineRule="auto"/>
        <w:ind w:firstLine="480"/>
        <w:rPr>
          <w:rFonts w:ascii="宋体" w:hAnsi="宋体"/>
          <w:sz w:val="24"/>
        </w:rPr>
      </w:pPr>
      <w:r>
        <w:rPr>
          <w:rFonts w:ascii="宋体" w:hAnsi="宋体"/>
          <w:sz w:val="24"/>
        </w:rPr>
        <w:t>6</w:t>
      </w:r>
      <w:r>
        <w:rPr>
          <w:rFonts w:hint="eastAsia" w:ascii="宋体" w:hAnsi="宋体"/>
          <w:sz w:val="24"/>
        </w:rPr>
        <w:t xml:space="preserve">.3 </w:t>
      </w:r>
      <w:r>
        <w:rPr>
          <w:rFonts w:ascii="宋体" w:hAnsi="宋体"/>
          <w:sz w:val="24"/>
        </w:rPr>
        <w:t>当后发的补遗或修改通知与原比选文件或此前发出的补遗或修改通知之间存有不一致时，应以后发的补遗或修改通知为准。</w:t>
      </w:r>
    </w:p>
    <w:p>
      <w:pPr>
        <w:pStyle w:val="51"/>
        <w:spacing w:line="360" w:lineRule="auto"/>
        <w:ind w:firstLine="480"/>
        <w:rPr>
          <w:rFonts w:ascii="宋体" w:hAnsi="宋体"/>
          <w:sz w:val="24"/>
        </w:rPr>
      </w:pPr>
      <w:r>
        <w:rPr>
          <w:rFonts w:ascii="宋体" w:hAnsi="宋体"/>
          <w:sz w:val="24"/>
        </w:rPr>
        <w:t>6</w:t>
      </w:r>
      <w:r>
        <w:rPr>
          <w:rFonts w:hint="eastAsia" w:ascii="宋体" w:hAnsi="宋体"/>
          <w:sz w:val="24"/>
        </w:rPr>
        <w:t xml:space="preserve">.4 </w:t>
      </w:r>
      <w:r>
        <w:rPr>
          <w:rFonts w:ascii="宋体" w:hAnsi="宋体"/>
          <w:sz w:val="24"/>
        </w:rPr>
        <w:t>为使比选申请人准备比选申请时有充分时间对比选文件的补遗或修改部分进行研究，</w:t>
      </w:r>
      <w:r>
        <w:rPr>
          <w:rFonts w:hint="eastAsia" w:ascii="宋体" w:hAnsi="宋体"/>
          <w:sz w:val="24"/>
        </w:rPr>
        <w:t>比选人</w:t>
      </w:r>
      <w:r>
        <w:rPr>
          <w:rFonts w:ascii="宋体" w:hAnsi="宋体"/>
          <w:sz w:val="24"/>
        </w:rPr>
        <w:t>可适当推迟比选申请截止</w:t>
      </w:r>
      <w:r>
        <w:rPr>
          <w:rFonts w:hint="eastAsia" w:ascii="宋体" w:hAnsi="宋体"/>
          <w:sz w:val="24"/>
        </w:rPr>
        <w:t>时间</w:t>
      </w:r>
      <w:r>
        <w:rPr>
          <w:rFonts w:ascii="宋体" w:hAnsi="宋体"/>
          <w:sz w:val="24"/>
        </w:rPr>
        <w:t>。</w:t>
      </w:r>
    </w:p>
    <w:p>
      <w:pPr>
        <w:pStyle w:val="3"/>
        <w:jc w:val="center"/>
        <w:rPr>
          <w:rFonts w:ascii="宋体" w:hAnsi="宋体" w:eastAsia="宋体"/>
          <w:sz w:val="28"/>
          <w:szCs w:val="28"/>
        </w:rPr>
      </w:pPr>
      <w:bookmarkStart w:id="56" w:name="_Toc121081999"/>
      <w:r>
        <w:rPr>
          <w:rFonts w:hint="eastAsia" w:ascii="宋体" w:hAnsi="宋体" w:eastAsia="宋体"/>
          <w:sz w:val="28"/>
          <w:szCs w:val="28"/>
        </w:rPr>
        <w:t>三、申请比选报价说明</w:t>
      </w:r>
      <w:bookmarkEnd w:id="52"/>
      <w:bookmarkEnd w:id="53"/>
      <w:bookmarkEnd w:id="54"/>
      <w:bookmarkEnd w:id="55"/>
      <w:bookmarkEnd w:id="56"/>
      <w:bookmarkStart w:id="57" w:name="_Toc114052423"/>
      <w:bookmarkStart w:id="58" w:name="_Toc114052349"/>
      <w:bookmarkStart w:id="59" w:name="_Toc286386843"/>
      <w:bookmarkStart w:id="60" w:name="_Toc392862484"/>
    </w:p>
    <w:p>
      <w:pPr>
        <w:pStyle w:val="4"/>
        <w:spacing w:before="156" w:beforeLines="50" w:after="0" w:line="240" w:lineRule="auto"/>
        <w:rPr>
          <w:rFonts w:ascii="宋体" w:hAnsi="宋体"/>
          <w:sz w:val="24"/>
        </w:rPr>
      </w:pPr>
      <w:bookmarkStart w:id="61" w:name="_Toc436771472"/>
      <w:bookmarkStart w:id="62" w:name="_Toc465934617"/>
      <w:r>
        <w:rPr>
          <w:rFonts w:hint="eastAsia" w:ascii="宋体" w:hAnsi="宋体"/>
          <w:sz w:val="24"/>
        </w:rPr>
        <w:t>7. 申请比选</w:t>
      </w:r>
      <w:bookmarkEnd w:id="57"/>
      <w:bookmarkEnd w:id="58"/>
      <w:bookmarkEnd w:id="59"/>
      <w:r>
        <w:rPr>
          <w:rFonts w:hint="eastAsia" w:ascii="宋体" w:hAnsi="宋体"/>
          <w:sz w:val="24"/>
        </w:rPr>
        <w:t>报价</w:t>
      </w:r>
      <w:bookmarkEnd w:id="60"/>
      <w:bookmarkEnd w:id="61"/>
      <w:bookmarkEnd w:id="62"/>
    </w:p>
    <w:p>
      <w:pPr>
        <w:spacing w:line="360" w:lineRule="auto"/>
        <w:ind w:firstLine="360" w:firstLineChars="150"/>
        <w:rPr>
          <w:rFonts w:ascii="宋体" w:hAnsi="宋体"/>
          <w:kern w:val="58"/>
          <w:sz w:val="24"/>
          <w:szCs w:val="24"/>
        </w:rPr>
      </w:pPr>
      <w:r>
        <w:rPr>
          <w:rFonts w:hint="eastAsia" w:ascii="宋体" w:hAnsi="宋体"/>
          <w:kern w:val="58"/>
          <w:sz w:val="24"/>
          <w:szCs w:val="24"/>
        </w:rPr>
        <w:t>7.1 比选申请人报价应包括但不限于：物品报价的人工费、材料费、税费及与此项目有关的费用。</w:t>
      </w:r>
    </w:p>
    <w:p>
      <w:pPr>
        <w:spacing w:line="360" w:lineRule="auto"/>
        <w:ind w:firstLine="360" w:firstLineChars="150"/>
        <w:rPr>
          <w:rFonts w:ascii="宋体" w:hAnsi="宋体"/>
          <w:kern w:val="58"/>
          <w:sz w:val="24"/>
          <w:szCs w:val="24"/>
        </w:rPr>
      </w:pPr>
      <w:r>
        <w:rPr>
          <w:rFonts w:hint="eastAsia" w:ascii="宋体" w:hAnsi="宋体"/>
          <w:kern w:val="58"/>
          <w:sz w:val="24"/>
          <w:szCs w:val="24"/>
        </w:rPr>
        <w:t>7.2 本项目报价应为确定性报价，不接受选择性报价，任何有选择性的报价将不予接受。在比选申请文件递交截止时间后，针对比选申请文件作出的任何修改将不予接受。</w:t>
      </w:r>
    </w:p>
    <w:p>
      <w:pPr>
        <w:spacing w:line="360" w:lineRule="auto"/>
        <w:ind w:firstLine="360" w:firstLineChars="150"/>
        <w:rPr>
          <w:rFonts w:ascii="宋体" w:hAnsi="宋体"/>
          <w:kern w:val="58"/>
          <w:sz w:val="24"/>
          <w:szCs w:val="24"/>
        </w:rPr>
      </w:pPr>
      <w:r>
        <w:rPr>
          <w:rFonts w:hint="eastAsia" w:ascii="宋体" w:hAnsi="宋体"/>
          <w:kern w:val="58"/>
          <w:sz w:val="24"/>
          <w:szCs w:val="24"/>
        </w:rPr>
        <w:t>7.3 比选申请人须以第四章</w:t>
      </w:r>
      <w:r>
        <w:rPr>
          <w:rFonts w:ascii="宋体" w:hAnsi="宋体"/>
          <w:kern w:val="58"/>
          <w:sz w:val="24"/>
          <w:szCs w:val="24"/>
        </w:rPr>
        <w:t xml:space="preserve"> </w:t>
      </w:r>
      <w:r>
        <w:rPr>
          <w:rFonts w:hint="eastAsia" w:ascii="宋体" w:hAnsi="宋体"/>
          <w:kern w:val="58"/>
          <w:sz w:val="24"/>
          <w:szCs w:val="24"/>
        </w:rPr>
        <w:t>“</w:t>
      </w:r>
      <w:r>
        <w:rPr>
          <w:rFonts w:hint="eastAsia" w:ascii="宋体" w:hAnsi="宋体"/>
          <w:kern w:val="58"/>
          <w:sz w:val="24"/>
          <w:szCs w:val="20"/>
        </w:rPr>
        <w:t>用户需求书</w:t>
      </w:r>
      <w:r>
        <w:rPr>
          <w:rFonts w:hint="eastAsia" w:ascii="宋体" w:hAnsi="宋体"/>
          <w:kern w:val="58"/>
          <w:sz w:val="24"/>
          <w:szCs w:val="24"/>
        </w:rPr>
        <w:t>” 的要求进行报价，报价单的序号应与货物清单序号一致，如报价项与需求项有实质性偏离的，则按缺漏项处理。报价应包括第7.1所载明的一切费用。</w:t>
      </w:r>
    </w:p>
    <w:p>
      <w:pPr>
        <w:spacing w:line="360" w:lineRule="auto"/>
        <w:ind w:firstLine="360" w:firstLineChars="150"/>
        <w:rPr>
          <w:rFonts w:ascii="宋体" w:hAnsi="宋体"/>
          <w:kern w:val="58"/>
          <w:sz w:val="24"/>
          <w:szCs w:val="24"/>
        </w:rPr>
      </w:pPr>
      <w:r>
        <w:rPr>
          <w:rFonts w:hint="eastAsia" w:ascii="宋体" w:hAnsi="宋体"/>
          <w:kern w:val="58"/>
          <w:sz w:val="24"/>
          <w:szCs w:val="24"/>
        </w:rPr>
        <w:t>7.4 比选申请人所报货物须符合第四章《用户需求书》的要求，如不满足技术参数需求的报价视为无效报价。</w:t>
      </w:r>
    </w:p>
    <w:p>
      <w:pPr>
        <w:spacing w:line="360" w:lineRule="auto"/>
        <w:ind w:firstLine="360" w:firstLineChars="150"/>
        <w:rPr>
          <w:rFonts w:ascii="宋体" w:hAnsi="宋体"/>
          <w:kern w:val="58"/>
          <w:sz w:val="24"/>
          <w:szCs w:val="24"/>
        </w:rPr>
      </w:pPr>
      <w:r>
        <w:rPr>
          <w:rFonts w:hint="eastAsia" w:ascii="宋体" w:hAnsi="宋体"/>
          <w:kern w:val="58"/>
          <w:sz w:val="24"/>
          <w:szCs w:val="24"/>
        </w:rPr>
        <w:t>7.5 若第四章的“</w:t>
      </w:r>
      <w:r>
        <w:rPr>
          <w:rFonts w:hint="eastAsia" w:ascii="宋体" w:hAnsi="宋体"/>
          <w:kern w:val="58"/>
          <w:sz w:val="24"/>
          <w:szCs w:val="20"/>
        </w:rPr>
        <w:t>技术需求及数量表</w:t>
      </w:r>
      <w:r>
        <w:rPr>
          <w:rFonts w:hint="eastAsia" w:ascii="宋体" w:hAnsi="宋体"/>
          <w:kern w:val="58"/>
          <w:sz w:val="24"/>
          <w:szCs w:val="24"/>
        </w:rPr>
        <w:t>”中所列的货物已不符合最新政策要求的请比选申请人提出书面修改意见。</w:t>
      </w:r>
    </w:p>
    <w:p>
      <w:pPr>
        <w:spacing w:line="360" w:lineRule="auto"/>
        <w:ind w:firstLine="360" w:firstLineChars="150"/>
        <w:rPr>
          <w:rFonts w:ascii="宋体" w:hAnsi="宋体"/>
          <w:kern w:val="58"/>
          <w:sz w:val="24"/>
          <w:szCs w:val="24"/>
        </w:rPr>
      </w:pPr>
      <w:r>
        <w:rPr>
          <w:rFonts w:hint="eastAsia" w:ascii="宋体" w:hAnsi="宋体"/>
          <w:kern w:val="58"/>
          <w:sz w:val="24"/>
          <w:szCs w:val="24"/>
        </w:rPr>
        <w:t>7.</w:t>
      </w:r>
      <w:r>
        <w:rPr>
          <w:rFonts w:ascii="宋体" w:hAnsi="宋体"/>
          <w:kern w:val="58"/>
          <w:sz w:val="24"/>
          <w:szCs w:val="24"/>
        </w:rPr>
        <w:t>6</w:t>
      </w:r>
      <w:r>
        <w:rPr>
          <w:rFonts w:hint="eastAsia" w:ascii="宋体" w:hAnsi="宋体"/>
          <w:kern w:val="58"/>
          <w:sz w:val="24"/>
          <w:szCs w:val="24"/>
        </w:rPr>
        <w:t xml:space="preserve"> 报价编制的依据：本比选文件。</w:t>
      </w:r>
    </w:p>
    <w:p>
      <w:pPr>
        <w:spacing w:line="360" w:lineRule="auto"/>
        <w:ind w:firstLine="360" w:firstLineChars="150"/>
        <w:rPr>
          <w:rFonts w:ascii="宋体" w:hAnsi="宋体"/>
          <w:kern w:val="58"/>
          <w:sz w:val="24"/>
          <w:szCs w:val="24"/>
        </w:rPr>
      </w:pPr>
      <w:r>
        <w:rPr>
          <w:rFonts w:hint="eastAsia" w:ascii="宋体" w:hAnsi="宋体"/>
          <w:kern w:val="58"/>
          <w:sz w:val="24"/>
          <w:szCs w:val="24"/>
        </w:rPr>
        <w:t>7.</w:t>
      </w:r>
      <w:r>
        <w:rPr>
          <w:rFonts w:ascii="宋体" w:hAnsi="宋体"/>
          <w:kern w:val="58"/>
          <w:sz w:val="24"/>
          <w:szCs w:val="24"/>
        </w:rPr>
        <w:t>7</w:t>
      </w:r>
      <w:r>
        <w:rPr>
          <w:rFonts w:hint="eastAsia" w:ascii="宋体" w:hAnsi="宋体"/>
          <w:kern w:val="58"/>
          <w:sz w:val="24"/>
          <w:szCs w:val="24"/>
        </w:rPr>
        <w:t xml:space="preserve"> 比选人对本项目的澄清说明，比选申请人应以澄清后的要求进行报价。</w:t>
      </w:r>
    </w:p>
    <w:p>
      <w:pPr>
        <w:spacing w:line="360" w:lineRule="auto"/>
        <w:ind w:firstLine="360" w:firstLineChars="150"/>
        <w:rPr>
          <w:rFonts w:ascii="宋体" w:hAnsi="宋体"/>
          <w:kern w:val="58"/>
          <w:sz w:val="24"/>
          <w:szCs w:val="24"/>
        </w:rPr>
      </w:pPr>
      <w:r>
        <w:rPr>
          <w:rFonts w:hint="eastAsia" w:ascii="宋体" w:hAnsi="宋体"/>
          <w:kern w:val="58"/>
          <w:sz w:val="24"/>
          <w:szCs w:val="24"/>
        </w:rPr>
        <w:t>7.</w:t>
      </w:r>
      <w:r>
        <w:rPr>
          <w:rFonts w:ascii="宋体" w:hAnsi="宋体"/>
          <w:kern w:val="58"/>
          <w:sz w:val="24"/>
          <w:szCs w:val="24"/>
        </w:rPr>
        <w:t>8</w:t>
      </w:r>
      <w:r>
        <w:rPr>
          <w:rFonts w:hint="eastAsia" w:ascii="宋体" w:hAnsi="宋体"/>
          <w:kern w:val="58"/>
          <w:sz w:val="24"/>
          <w:szCs w:val="24"/>
        </w:rPr>
        <w:t xml:space="preserve"> 比选申请人的报价须包含比选申请函和分项报价表；缺少比选申请函或分项报价表的，将视为实质性不响应。</w:t>
      </w:r>
    </w:p>
    <w:p>
      <w:pPr>
        <w:pStyle w:val="3"/>
        <w:jc w:val="center"/>
        <w:rPr>
          <w:rFonts w:ascii="宋体" w:hAnsi="宋体" w:eastAsia="宋体"/>
          <w:sz w:val="28"/>
          <w:szCs w:val="28"/>
        </w:rPr>
      </w:pPr>
      <w:bookmarkStart w:id="63" w:name="_Toc114052350"/>
      <w:bookmarkStart w:id="64" w:name="_Toc392862485"/>
      <w:bookmarkStart w:id="65" w:name="_Toc114052424"/>
      <w:bookmarkStart w:id="66" w:name="_Toc286386844"/>
      <w:bookmarkStart w:id="67" w:name="_Toc121082000"/>
      <w:r>
        <w:rPr>
          <w:rFonts w:hint="eastAsia" w:ascii="宋体" w:hAnsi="宋体" w:eastAsia="宋体"/>
          <w:sz w:val="28"/>
          <w:szCs w:val="28"/>
        </w:rPr>
        <w:t>四、比选申请文件的编制</w:t>
      </w:r>
      <w:bookmarkEnd w:id="63"/>
      <w:bookmarkEnd w:id="64"/>
      <w:bookmarkEnd w:id="65"/>
      <w:bookmarkEnd w:id="66"/>
      <w:bookmarkEnd w:id="67"/>
    </w:p>
    <w:p>
      <w:pPr>
        <w:pStyle w:val="4"/>
        <w:spacing w:before="156" w:beforeLines="50" w:after="0" w:line="240" w:lineRule="auto"/>
        <w:rPr>
          <w:rFonts w:ascii="宋体" w:hAnsi="宋体"/>
          <w:sz w:val="24"/>
        </w:rPr>
      </w:pPr>
      <w:bookmarkStart w:id="68" w:name="_Toc286386845"/>
      <w:bookmarkStart w:id="69" w:name="_Toc465934619"/>
      <w:bookmarkStart w:id="70" w:name="_Toc392862486"/>
      <w:bookmarkStart w:id="71" w:name="_Toc436771474"/>
      <w:r>
        <w:rPr>
          <w:rFonts w:hint="eastAsia" w:ascii="宋体" w:hAnsi="宋体"/>
          <w:sz w:val="24"/>
        </w:rPr>
        <w:t>8. 注意事项</w:t>
      </w:r>
      <w:bookmarkEnd w:id="68"/>
      <w:bookmarkEnd w:id="69"/>
      <w:bookmarkEnd w:id="70"/>
      <w:bookmarkEnd w:id="71"/>
    </w:p>
    <w:p>
      <w:pPr>
        <w:pStyle w:val="10"/>
        <w:spacing w:line="360" w:lineRule="auto"/>
        <w:ind w:firstLine="360" w:firstLineChars="150"/>
        <w:rPr>
          <w:rFonts w:hAnsi="宋体"/>
          <w:sz w:val="24"/>
          <w:szCs w:val="24"/>
        </w:rPr>
      </w:pPr>
      <w:r>
        <w:rPr>
          <w:rFonts w:hint="eastAsia" w:hAnsi="宋体"/>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pPr>
        <w:pStyle w:val="10"/>
        <w:spacing w:line="360" w:lineRule="auto"/>
        <w:ind w:firstLine="360" w:firstLineChars="150"/>
        <w:rPr>
          <w:rFonts w:hAnsi="宋体"/>
          <w:sz w:val="24"/>
          <w:szCs w:val="24"/>
        </w:rPr>
      </w:pPr>
      <w:r>
        <w:rPr>
          <w:rFonts w:hint="eastAsia" w:hAnsi="宋体"/>
          <w:sz w:val="24"/>
          <w:szCs w:val="24"/>
        </w:rPr>
        <w:t>8.2 比选文件提出的实质性要求和条件是指本比选项目所涉及的价格、服务及其它要求、合同条款等内容。</w:t>
      </w:r>
    </w:p>
    <w:p>
      <w:pPr>
        <w:pStyle w:val="10"/>
        <w:spacing w:line="360" w:lineRule="auto"/>
        <w:ind w:firstLine="360" w:firstLineChars="150"/>
        <w:rPr>
          <w:rFonts w:hAnsi="宋体"/>
          <w:sz w:val="24"/>
          <w:szCs w:val="24"/>
        </w:rPr>
      </w:pPr>
      <w:r>
        <w:rPr>
          <w:rFonts w:hint="eastAsia" w:hAnsi="宋体"/>
          <w:sz w:val="24"/>
          <w:szCs w:val="24"/>
        </w:rPr>
        <w:t>8.3 比选申请人的比选申请文件以及所有来往函电统一使用中文(特别规定除外)。</w:t>
      </w:r>
    </w:p>
    <w:p>
      <w:pPr>
        <w:pStyle w:val="10"/>
        <w:spacing w:line="360" w:lineRule="auto"/>
        <w:ind w:firstLine="360" w:firstLineChars="150"/>
        <w:rPr>
          <w:rFonts w:hAnsi="宋体"/>
          <w:sz w:val="24"/>
          <w:szCs w:val="24"/>
        </w:rPr>
      </w:pPr>
      <w:r>
        <w:rPr>
          <w:rFonts w:hint="eastAsia" w:hAnsi="宋体"/>
          <w:sz w:val="24"/>
          <w:szCs w:val="24"/>
        </w:rPr>
        <w:t>8.4 比选申请文件中使用的计量单位除比选文件中有特殊规定外，一律使用法定计量单位。</w:t>
      </w:r>
    </w:p>
    <w:p>
      <w:pPr>
        <w:pStyle w:val="10"/>
        <w:spacing w:line="360" w:lineRule="auto"/>
        <w:ind w:firstLine="360" w:firstLineChars="150"/>
        <w:rPr>
          <w:rFonts w:hAnsi="宋体"/>
          <w:sz w:val="24"/>
          <w:szCs w:val="24"/>
        </w:rPr>
      </w:pPr>
      <w:r>
        <w:rPr>
          <w:rFonts w:hint="eastAsia" w:hAnsi="宋体"/>
          <w:sz w:val="24"/>
          <w:szCs w:val="24"/>
        </w:rPr>
        <w:t>8.5 比选申请文件必须装订成册，不允许以活页夹等形式封装。</w:t>
      </w:r>
    </w:p>
    <w:p>
      <w:pPr>
        <w:pStyle w:val="10"/>
        <w:spacing w:line="360" w:lineRule="auto"/>
        <w:ind w:firstLine="360" w:firstLineChars="150"/>
        <w:rPr>
          <w:rFonts w:hAnsi="宋体"/>
          <w:sz w:val="24"/>
          <w:szCs w:val="24"/>
        </w:rPr>
      </w:pPr>
      <w:r>
        <w:rPr>
          <w:rFonts w:hint="eastAsia" w:hAnsi="宋体"/>
          <w:sz w:val="24"/>
          <w:szCs w:val="24"/>
        </w:rPr>
        <w:t>8.6 比选申请文件的所有组成部分均须加盖法人单位公章或骑缝章。</w:t>
      </w:r>
    </w:p>
    <w:p>
      <w:pPr>
        <w:pStyle w:val="4"/>
        <w:spacing w:before="156" w:beforeLines="50" w:after="0" w:line="240" w:lineRule="auto"/>
        <w:rPr>
          <w:rFonts w:ascii="宋体" w:hAnsi="宋体"/>
          <w:sz w:val="24"/>
        </w:rPr>
      </w:pPr>
      <w:bookmarkStart w:id="72" w:name="_Toc436771475"/>
      <w:bookmarkStart w:id="73" w:name="_Toc465934620"/>
      <w:bookmarkStart w:id="74" w:name="_Toc286386846"/>
      <w:bookmarkStart w:id="75" w:name="_Toc392862487"/>
      <w:bookmarkStart w:id="76" w:name="_Toc114052426"/>
      <w:bookmarkStart w:id="77" w:name="_Toc114052352"/>
      <w:r>
        <w:rPr>
          <w:rFonts w:hint="eastAsia" w:ascii="宋体" w:hAnsi="宋体"/>
          <w:sz w:val="24"/>
        </w:rPr>
        <w:t>9. 比选申请文件的组成</w:t>
      </w:r>
      <w:bookmarkEnd w:id="72"/>
      <w:bookmarkEnd w:id="73"/>
      <w:bookmarkEnd w:id="74"/>
      <w:bookmarkEnd w:id="75"/>
      <w:bookmarkEnd w:id="76"/>
      <w:bookmarkEnd w:id="77"/>
    </w:p>
    <w:p>
      <w:pPr>
        <w:autoSpaceDE w:val="0"/>
        <w:autoSpaceDN w:val="0"/>
        <w:adjustRightInd w:val="0"/>
        <w:spacing w:line="360" w:lineRule="auto"/>
        <w:ind w:firstLine="360" w:firstLineChars="150"/>
        <w:rPr>
          <w:rFonts w:ascii="宋体" w:hAnsi="宋体"/>
          <w:kern w:val="0"/>
          <w:sz w:val="24"/>
          <w:szCs w:val="24"/>
        </w:rPr>
      </w:pPr>
      <w:bookmarkStart w:id="78" w:name="_Toc114052354"/>
      <w:r>
        <w:rPr>
          <w:rFonts w:hint="eastAsia" w:ascii="宋体" w:hAnsi="宋体"/>
          <w:kern w:val="0"/>
          <w:sz w:val="24"/>
          <w:szCs w:val="24"/>
        </w:rPr>
        <w:t>9</w:t>
      </w:r>
      <w:r>
        <w:rPr>
          <w:rFonts w:ascii="宋体" w:hAnsi="宋体"/>
          <w:kern w:val="0"/>
          <w:sz w:val="24"/>
          <w:szCs w:val="24"/>
        </w:rPr>
        <w:t>.1比选申请文件应提供足够、准确和真实的信息，以供评审委员会判断比选申请人是否具备承担本项目的能力。比选申请人递交的比选申请文件</w:t>
      </w:r>
      <w:r>
        <w:rPr>
          <w:rFonts w:hint="eastAsia" w:ascii="宋体" w:hAnsi="宋体"/>
          <w:kern w:val="0"/>
          <w:sz w:val="24"/>
          <w:szCs w:val="24"/>
        </w:rPr>
        <w:t>组成详见比选申请须知前附表</w:t>
      </w:r>
      <w:r>
        <w:rPr>
          <w:rFonts w:ascii="宋体" w:hAnsi="宋体"/>
          <w:kern w:val="0"/>
          <w:sz w:val="24"/>
          <w:szCs w:val="24"/>
        </w:rPr>
        <w:t>。</w:t>
      </w:r>
    </w:p>
    <w:bookmarkEnd w:id="78"/>
    <w:p>
      <w:pPr>
        <w:pStyle w:val="51"/>
        <w:spacing w:line="360" w:lineRule="auto"/>
        <w:ind w:firstLine="360" w:firstLineChars="150"/>
        <w:rPr>
          <w:rFonts w:ascii="宋体" w:hAnsi="宋体"/>
          <w:sz w:val="24"/>
        </w:rPr>
      </w:pPr>
      <w:r>
        <w:rPr>
          <w:rFonts w:hint="eastAsia" w:ascii="宋体" w:hAnsi="宋体"/>
          <w:kern w:val="0"/>
          <w:sz w:val="24"/>
          <w:szCs w:val="24"/>
        </w:rPr>
        <w:t>9</w:t>
      </w:r>
      <w:r>
        <w:rPr>
          <w:rFonts w:ascii="宋体" w:hAnsi="宋体"/>
          <w:kern w:val="0"/>
          <w:sz w:val="24"/>
          <w:szCs w:val="24"/>
        </w:rPr>
        <w:t>.2</w:t>
      </w:r>
      <w:r>
        <w:rPr>
          <w:rFonts w:hint="eastAsia" w:ascii="宋体" w:hAnsi="宋体"/>
          <w:sz w:val="24"/>
        </w:rPr>
        <w:t>比选申请人按要求的格式和顺序另行编制比选申请文件，表格可以按同样格式扩展。</w:t>
      </w:r>
    </w:p>
    <w:p>
      <w:pPr>
        <w:pStyle w:val="4"/>
        <w:spacing w:before="156" w:beforeLines="50" w:after="0" w:line="240" w:lineRule="auto"/>
        <w:rPr>
          <w:rFonts w:ascii="宋体" w:hAnsi="宋体"/>
          <w:sz w:val="24"/>
        </w:rPr>
      </w:pPr>
      <w:bookmarkStart w:id="79" w:name="_Toc286386847"/>
      <w:bookmarkStart w:id="80" w:name="_Toc114052427"/>
      <w:bookmarkStart w:id="81" w:name="_Toc114052363"/>
      <w:bookmarkStart w:id="82" w:name="_Toc392862488"/>
      <w:bookmarkStart w:id="83" w:name="_Toc436771476"/>
      <w:bookmarkStart w:id="84" w:name="_Toc465934621"/>
      <w:r>
        <w:rPr>
          <w:rFonts w:hint="eastAsia" w:ascii="宋体" w:hAnsi="宋体"/>
          <w:sz w:val="24"/>
        </w:rPr>
        <w:t>10. 比选申请有效期</w:t>
      </w:r>
      <w:bookmarkEnd w:id="79"/>
      <w:bookmarkEnd w:id="80"/>
      <w:bookmarkEnd w:id="81"/>
      <w:bookmarkEnd w:id="82"/>
      <w:bookmarkEnd w:id="83"/>
      <w:bookmarkEnd w:id="84"/>
    </w:p>
    <w:p>
      <w:pPr>
        <w:autoSpaceDE w:val="0"/>
        <w:autoSpaceDN w:val="0"/>
        <w:adjustRightInd w:val="0"/>
        <w:spacing w:line="360" w:lineRule="auto"/>
        <w:ind w:firstLine="360" w:firstLineChars="150"/>
        <w:rPr>
          <w:rFonts w:ascii="宋体" w:hAnsi="宋体"/>
          <w:kern w:val="0"/>
          <w:sz w:val="24"/>
          <w:szCs w:val="24"/>
        </w:rPr>
      </w:pPr>
      <w:r>
        <w:rPr>
          <w:rFonts w:hint="eastAsia" w:ascii="宋体" w:hAnsi="宋体"/>
          <w:kern w:val="0"/>
          <w:sz w:val="24"/>
          <w:szCs w:val="24"/>
        </w:rPr>
        <w:t>10.</w:t>
      </w:r>
      <w:r>
        <w:rPr>
          <w:rFonts w:ascii="宋体" w:hAnsi="宋体"/>
          <w:kern w:val="0"/>
          <w:sz w:val="24"/>
          <w:szCs w:val="24"/>
        </w:rPr>
        <w:t>1</w:t>
      </w:r>
      <w:r>
        <w:rPr>
          <w:rFonts w:hint="eastAsia" w:ascii="宋体" w:hAnsi="宋体"/>
          <w:kern w:val="0"/>
          <w:sz w:val="24"/>
          <w:szCs w:val="24"/>
        </w:rPr>
        <w:t>根据本须知前附表规定，比选申请应在比选申请须知前附表中规定的时间内保持有效。比选申请有效期不满足要求的比选申请将被视为非实质性响应比选申请而予以否决。</w:t>
      </w:r>
    </w:p>
    <w:p>
      <w:pPr>
        <w:autoSpaceDE w:val="0"/>
        <w:autoSpaceDN w:val="0"/>
        <w:adjustRightInd w:val="0"/>
        <w:spacing w:line="360" w:lineRule="auto"/>
        <w:ind w:firstLine="360" w:firstLineChars="150"/>
        <w:rPr>
          <w:rFonts w:ascii="宋体" w:hAnsi="宋体"/>
          <w:sz w:val="24"/>
          <w:szCs w:val="24"/>
        </w:rPr>
      </w:pPr>
      <w:r>
        <w:rPr>
          <w:rFonts w:ascii="宋体" w:hAnsi="宋体"/>
          <w:kern w:val="0"/>
          <w:sz w:val="24"/>
          <w:szCs w:val="24"/>
        </w:rPr>
        <w:t>1</w:t>
      </w:r>
      <w:r>
        <w:rPr>
          <w:rFonts w:hint="eastAsia" w:ascii="宋体" w:hAnsi="宋体"/>
          <w:kern w:val="0"/>
          <w:sz w:val="24"/>
          <w:szCs w:val="24"/>
        </w:rPr>
        <w:t>0.</w:t>
      </w:r>
      <w:r>
        <w:rPr>
          <w:rFonts w:ascii="宋体" w:hAnsi="宋体"/>
          <w:kern w:val="0"/>
          <w:sz w:val="24"/>
          <w:szCs w:val="24"/>
        </w:rPr>
        <w:t xml:space="preserve">2 </w:t>
      </w:r>
      <w:r>
        <w:rPr>
          <w:rFonts w:hint="eastAsia" w:ascii="宋体" w:hAnsi="宋体"/>
          <w:kern w:val="0"/>
          <w:sz w:val="24"/>
          <w:szCs w:val="24"/>
        </w:rPr>
        <w:t>在原定递交文件有效期满之前，如果出现特殊情况，</w:t>
      </w:r>
      <w:r>
        <w:rPr>
          <w:rFonts w:hint="eastAsia" w:ascii="宋体" w:hAnsi="宋体"/>
          <w:sz w:val="24"/>
          <w:szCs w:val="24"/>
        </w:rPr>
        <w:t>比选人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p>
    <w:p>
      <w:pPr>
        <w:pStyle w:val="4"/>
        <w:spacing w:before="156" w:beforeLines="50" w:after="0" w:line="240" w:lineRule="auto"/>
        <w:rPr>
          <w:rFonts w:ascii="宋体" w:hAnsi="宋体"/>
          <w:sz w:val="24"/>
        </w:rPr>
      </w:pPr>
      <w:bookmarkStart w:id="85" w:name="_Toc286386850"/>
      <w:bookmarkStart w:id="86" w:name="_Toc392862491"/>
      <w:bookmarkStart w:id="87" w:name="_Toc436771479"/>
      <w:bookmarkStart w:id="88" w:name="_Toc114052430"/>
      <w:bookmarkStart w:id="89" w:name="_Toc114052366"/>
      <w:bookmarkStart w:id="90" w:name="_Toc465934623"/>
      <w:r>
        <w:rPr>
          <w:rFonts w:hint="eastAsia" w:ascii="宋体" w:hAnsi="宋体"/>
          <w:sz w:val="24"/>
        </w:rPr>
        <w:t>11. 比选申请文件的制作和签署</w:t>
      </w:r>
      <w:bookmarkEnd w:id="85"/>
      <w:bookmarkEnd w:id="86"/>
      <w:bookmarkEnd w:id="87"/>
      <w:bookmarkEnd w:id="88"/>
      <w:bookmarkEnd w:id="89"/>
      <w:bookmarkEnd w:id="90"/>
    </w:p>
    <w:p>
      <w:pPr>
        <w:pStyle w:val="51"/>
        <w:spacing w:line="360" w:lineRule="auto"/>
        <w:ind w:firstLine="480"/>
        <w:rPr>
          <w:rFonts w:ascii="宋体" w:hAnsi="宋体"/>
          <w:sz w:val="24"/>
        </w:rPr>
      </w:pPr>
      <w:bookmarkStart w:id="91" w:name="_Toc286386851"/>
      <w:bookmarkStart w:id="92" w:name="_Toc114052367"/>
      <w:bookmarkStart w:id="93" w:name="_Toc114052431"/>
      <w:r>
        <w:rPr>
          <w:rFonts w:hint="eastAsia" w:ascii="宋体" w:hAnsi="宋体"/>
          <w:sz w:val="24"/>
        </w:rPr>
        <w:t>11.1比选申请人按比选文件的规定编制比选申请文件。每套比选申请文件封面上应清楚地注明比选项目名称、项目编号及比选申请人名称，同时加盖公章并由法定代表人或其授权代表签字或盖章，且须清楚地标明“正本”、“副本”或“电子文件”。正本与副本均应使用不能擦去的黑色墨水打印或书写，分别装订成册。</w:t>
      </w:r>
    </w:p>
    <w:p>
      <w:pPr>
        <w:pStyle w:val="51"/>
        <w:spacing w:line="360" w:lineRule="auto"/>
        <w:ind w:firstLine="480"/>
        <w:rPr>
          <w:rFonts w:ascii="宋体" w:hAnsi="宋体"/>
          <w:sz w:val="24"/>
        </w:rPr>
      </w:pPr>
      <w:r>
        <w:rPr>
          <w:rFonts w:hint="eastAsia" w:ascii="宋体" w:hAnsi="宋体"/>
          <w:sz w:val="24"/>
        </w:rPr>
        <w:t>11.2全套比选申请文件应无涂改和行间插字，除非这些删改是根据比选人指示进行的；或者是比选申请人造成的必须修改的错误，但修改处应由比选申请人法定代表人或授权委托代理人签字并加盖公章予以证明，否则修改无效。</w:t>
      </w:r>
    </w:p>
    <w:p>
      <w:pPr>
        <w:pStyle w:val="51"/>
        <w:spacing w:line="360" w:lineRule="auto"/>
        <w:ind w:firstLine="480"/>
        <w:rPr>
          <w:rFonts w:ascii="宋体" w:hAnsi="宋体"/>
          <w:sz w:val="24"/>
        </w:rPr>
      </w:pPr>
      <w:r>
        <w:rPr>
          <w:rFonts w:hint="eastAsia" w:ascii="宋体" w:hAnsi="宋体"/>
          <w:sz w:val="24"/>
        </w:rPr>
        <w:t>11.3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pPr>
        <w:pStyle w:val="51"/>
        <w:spacing w:line="360" w:lineRule="auto"/>
        <w:ind w:firstLine="480"/>
        <w:rPr>
          <w:rFonts w:ascii="宋体" w:hAnsi="宋体"/>
          <w:sz w:val="24"/>
        </w:rPr>
      </w:pPr>
      <w:r>
        <w:rPr>
          <w:rFonts w:hint="eastAsia" w:ascii="宋体" w:hAnsi="宋体"/>
          <w:sz w:val="24"/>
        </w:rPr>
        <w:t>11.4比选申请文件电子版与纸质版内容不一致时，以纸质版为准；纸质版比选申请文件正本和副本如有不一致之处，以正本为准。</w:t>
      </w:r>
    </w:p>
    <w:p>
      <w:pPr>
        <w:pStyle w:val="51"/>
        <w:spacing w:line="360" w:lineRule="auto"/>
        <w:ind w:firstLine="480"/>
        <w:rPr>
          <w:rFonts w:ascii="宋体" w:hAnsi="宋体"/>
          <w:sz w:val="24"/>
        </w:rPr>
      </w:pPr>
      <w:r>
        <w:rPr>
          <w:rFonts w:hint="eastAsia" w:ascii="宋体" w:hAnsi="宋体"/>
          <w:sz w:val="24"/>
        </w:rPr>
        <w:t>11.5比选人拒绝接受以邮寄、电报、电话、传真、电子邮件形式的比选申请。</w:t>
      </w:r>
    </w:p>
    <w:p>
      <w:pPr>
        <w:pStyle w:val="3"/>
        <w:jc w:val="center"/>
        <w:rPr>
          <w:rFonts w:ascii="宋体" w:hAnsi="宋体" w:eastAsia="宋体"/>
          <w:sz w:val="28"/>
          <w:szCs w:val="28"/>
        </w:rPr>
      </w:pPr>
      <w:bookmarkStart w:id="94" w:name="_Toc121082001"/>
      <w:bookmarkStart w:id="95" w:name="_Toc392862492"/>
      <w:r>
        <w:rPr>
          <w:rFonts w:hint="eastAsia" w:ascii="宋体" w:hAnsi="宋体" w:eastAsia="宋体"/>
          <w:sz w:val="28"/>
          <w:szCs w:val="28"/>
        </w:rPr>
        <w:t>五、比选申请文件的递交</w:t>
      </w:r>
      <w:bookmarkEnd w:id="91"/>
      <w:bookmarkEnd w:id="92"/>
      <w:bookmarkEnd w:id="93"/>
      <w:bookmarkEnd w:id="94"/>
      <w:bookmarkEnd w:id="95"/>
    </w:p>
    <w:p>
      <w:pPr>
        <w:pStyle w:val="4"/>
        <w:spacing w:before="156" w:beforeLines="50" w:after="0" w:line="240" w:lineRule="auto"/>
        <w:rPr>
          <w:rFonts w:ascii="宋体" w:hAnsi="宋体"/>
          <w:sz w:val="24"/>
        </w:rPr>
      </w:pPr>
      <w:bookmarkStart w:id="96" w:name="_Toc286386852"/>
      <w:bookmarkStart w:id="97" w:name="_Toc392862493"/>
      <w:bookmarkStart w:id="98" w:name="_Ref464481866"/>
      <w:bookmarkStart w:id="99" w:name="_Toc114052432"/>
      <w:bookmarkStart w:id="100" w:name="_Toc114052368"/>
      <w:bookmarkStart w:id="101" w:name="_Toc465934625"/>
      <w:r>
        <w:rPr>
          <w:rFonts w:hint="eastAsia" w:ascii="宋体" w:hAnsi="宋体"/>
          <w:sz w:val="24"/>
        </w:rPr>
        <w:t>12 比选申请文件的密封</w:t>
      </w:r>
      <w:bookmarkEnd w:id="96"/>
      <w:bookmarkEnd w:id="97"/>
      <w:bookmarkEnd w:id="98"/>
      <w:bookmarkEnd w:id="99"/>
      <w:bookmarkEnd w:id="100"/>
      <w:bookmarkEnd w:id="101"/>
    </w:p>
    <w:p>
      <w:pPr>
        <w:pStyle w:val="51"/>
        <w:spacing w:line="360" w:lineRule="auto"/>
        <w:ind w:firstLine="480"/>
        <w:rPr>
          <w:rFonts w:ascii="宋体" w:hAnsi="宋体"/>
          <w:sz w:val="24"/>
        </w:rPr>
      </w:pPr>
      <w:r>
        <w:rPr>
          <w:rFonts w:hint="eastAsia" w:ascii="宋体" w:hAnsi="宋体"/>
          <w:sz w:val="24"/>
        </w:rPr>
        <w:t>12.1</w:t>
      </w:r>
      <w:r>
        <w:rPr>
          <w:rFonts w:ascii="宋体" w:hAnsi="宋体"/>
          <w:sz w:val="24"/>
        </w:rPr>
        <w:t>装订要求：</w:t>
      </w:r>
      <w:r>
        <w:rPr>
          <w:rFonts w:hint="eastAsia" w:ascii="宋体" w:hAnsi="宋体"/>
          <w:sz w:val="24"/>
        </w:rPr>
        <w:t>比选申请文件</w:t>
      </w:r>
      <w:r>
        <w:rPr>
          <w:rFonts w:ascii="宋体" w:hAnsi="宋体"/>
          <w:sz w:val="24"/>
        </w:rPr>
        <w:t>中</w:t>
      </w:r>
      <w:r>
        <w:rPr>
          <w:rFonts w:hint="eastAsia" w:ascii="宋体" w:hAnsi="宋体"/>
          <w:sz w:val="24"/>
        </w:rPr>
        <w:t>资格审查文件</w:t>
      </w:r>
      <w:r>
        <w:rPr>
          <w:rFonts w:ascii="宋体" w:hAnsi="宋体"/>
          <w:sz w:val="24"/>
        </w:rPr>
        <w:t>、</w:t>
      </w:r>
      <w:r>
        <w:rPr>
          <w:rFonts w:hint="eastAsia" w:ascii="宋体" w:hAnsi="宋体"/>
          <w:sz w:val="24"/>
        </w:rPr>
        <w:t>技术文件、</w:t>
      </w:r>
      <w:r>
        <w:rPr>
          <w:rFonts w:ascii="宋体" w:hAnsi="宋体"/>
          <w:sz w:val="24"/>
        </w:rPr>
        <w:t>商务</w:t>
      </w:r>
      <w:r>
        <w:rPr>
          <w:rFonts w:hint="eastAsia" w:ascii="宋体" w:hAnsi="宋体"/>
          <w:sz w:val="24"/>
        </w:rPr>
        <w:t>文件</w:t>
      </w:r>
      <w:r>
        <w:rPr>
          <w:rFonts w:ascii="宋体" w:hAnsi="宋体"/>
          <w:sz w:val="24"/>
        </w:rPr>
        <w:t>分开装订</w:t>
      </w:r>
      <w:r>
        <w:rPr>
          <w:rFonts w:hint="eastAsia" w:ascii="宋体" w:hAnsi="宋体"/>
          <w:sz w:val="24"/>
        </w:rPr>
        <w:t>，各部分一正四副分开装订</w:t>
      </w:r>
      <w:r>
        <w:rPr>
          <w:rFonts w:ascii="宋体" w:hAnsi="宋体"/>
          <w:sz w:val="24"/>
        </w:rPr>
        <w:t>。</w:t>
      </w:r>
    </w:p>
    <w:p>
      <w:pPr>
        <w:pStyle w:val="51"/>
        <w:spacing w:line="360" w:lineRule="auto"/>
        <w:ind w:firstLine="480"/>
        <w:rPr>
          <w:rFonts w:ascii="宋体" w:hAnsi="宋体"/>
          <w:sz w:val="24"/>
        </w:rPr>
      </w:pPr>
      <w:r>
        <w:rPr>
          <w:rFonts w:hint="eastAsia" w:ascii="宋体" w:hAnsi="宋体"/>
          <w:sz w:val="24"/>
        </w:rPr>
        <w:t>12.2包封要求：资格审查部分纸质版和技术部分纸质版密封在同一个内层密封袋中，商务部分纸质版单独包封在另一个内层密封袋中；两个内层密封袋连同电子版U盘再密封在同一个外层密封袋中。每个内层和外层密封袋须在封面上标注项目名称、项目编号、所装文件名称、比选申请人名称；U盘上粘贴标签，标明公司简称和项目简称。</w:t>
      </w:r>
    </w:p>
    <w:p>
      <w:pPr>
        <w:pStyle w:val="51"/>
        <w:spacing w:line="360" w:lineRule="auto"/>
        <w:ind w:firstLine="480"/>
        <w:rPr>
          <w:rFonts w:ascii="宋体" w:hAnsi="宋体"/>
          <w:sz w:val="24"/>
        </w:rPr>
      </w:pPr>
      <w:r>
        <w:rPr>
          <w:rFonts w:hint="eastAsia" w:ascii="宋体" w:hAnsi="宋体"/>
          <w:sz w:val="24"/>
        </w:rPr>
        <w:t>12.3内、外层包封都应加盖单位公章，若外层包封未加盖公章或破损严重，比选人将拒收。</w:t>
      </w:r>
    </w:p>
    <w:p>
      <w:pPr>
        <w:pStyle w:val="4"/>
        <w:spacing w:before="156" w:beforeLines="50" w:after="0" w:line="240" w:lineRule="auto"/>
        <w:rPr>
          <w:rFonts w:ascii="宋体" w:hAnsi="宋体"/>
          <w:sz w:val="24"/>
        </w:rPr>
      </w:pPr>
      <w:bookmarkStart w:id="102" w:name="_Toc114052369"/>
      <w:bookmarkStart w:id="103" w:name="_Toc392862494"/>
      <w:bookmarkStart w:id="104" w:name="_Toc114052433"/>
      <w:bookmarkStart w:id="105" w:name="_Toc286386853"/>
      <w:bookmarkStart w:id="106" w:name="_Toc465934626"/>
      <w:r>
        <w:rPr>
          <w:rFonts w:hint="eastAsia" w:ascii="宋体" w:hAnsi="宋体"/>
          <w:sz w:val="24"/>
        </w:rPr>
        <w:t>13. 比选申请文件递交</w:t>
      </w:r>
      <w:bookmarkEnd w:id="102"/>
      <w:bookmarkEnd w:id="103"/>
      <w:bookmarkEnd w:id="104"/>
      <w:bookmarkEnd w:id="105"/>
      <w:r>
        <w:rPr>
          <w:rFonts w:hint="eastAsia" w:ascii="宋体" w:hAnsi="宋体"/>
          <w:sz w:val="24"/>
        </w:rPr>
        <w:t>的时间和地点</w:t>
      </w:r>
      <w:bookmarkEnd w:id="106"/>
    </w:p>
    <w:p>
      <w:pPr>
        <w:pStyle w:val="51"/>
        <w:spacing w:line="360" w:lineRule="auto"/>
        <w:ind w:firstLine="480"/>
        <w:rPr>
          <w:rFonts w:ascii="宋体" w:hAnsi="宋体"/>
          <w:sz w:val="24"/>
        </w:rPr>
      </w:pPr>
      <w:r>
        <w:rPr>
          <w:rFonts w:hint="eastAsia" w:ascii="宋体" w:hAnsi="宋体"/>
          <w:sz w:val="24"/>
        </w:rPr>
        <w:t>13.1比选申请人应按前附表规定的时间和地址递交比选申请文件，比选申请人签到并递交完文件后即可离去。</w:t>
      </w:r>
    </w:p>
    <w:p>
      <w:pPr>
        <w:pStyle w:val="51"/>
        <w:spacing w:line="360" w:lineRule="auto"/>
        <w:ind w:firstLine="480"/>
        <w:rPr>
          <w:rFonts w:ascii="宋体" w:hAnsi="宋体"/>
          <w:sz w:val="24"/>
        </w:rPr>
      </w:pPr>
      <w:r>
        <w:rPr>
          <w:rFonts w:hint="eastAsia" w:ascii="宋体" w:hAnsi="宋体"/>
          <w:sz w:val="24"/>
        </w:rPr>
        <w:t>13.2</w:t>
      </w:r>
      <w:r>
        <w:rPr>
          <w:rFonts w:ascii="宋体" w:hAnsi="宋体"/>
          <w:b/>
          <w:sz w:val="24"/>
        </w:rPr>
        <w:t>比选申请人在递交比选申请文件时必须签到，否则比选申请无效。递交比选申请文件的时间晚于比选申请截止时间时，比选申请文件将不被接受。</w:t>
      </w:r>
    </w:p>
    <w:p>
      <w:pPr>
        <w:pStyle w:val="51"/>
        <w:spacing w:line="360" w:lineRule="auto"/>
        <w:ind w:firstLine="480"/>
        <w:rPr>
          <w:rFonts w:ascii="宋体" w:hAnsi="宋体"/>
          <w:sz w:val="24"/>
        </w:rPr>
      </w:pPr>
      <w:r>
        <w:rPr>
          <w:rFonts w:ascii="宋体" w:hAnsi="宋体"/>
          <w:sz w:val="24"/>
        </w:rPr>
        <w:t>13.3</w:t>
      </w:r>
      <w:r>
        <w:rPr>
          <w:rFonts w:hint="eastAsia" w:ascii="宋体" w:hAnsi="宋体"/>
          <w:sz w:val="24"/>
        </w:rPr>
        <w:t>比选人可以以补充通知方式，酌情延长递交比选申请文件的截止日期。在上述情况下，比选人与比选申请人在比选截止期以前拥有的全部权力、责任和义务，将适用于延长后新的递交文件截止日期。</w:t>
      </w:r>
    </w:p>
    <w:p>
      <w:pPr>
        <w:pStyle w:val="51"/>
        <w:spacing w:line="360" w:lineRule="auto"/>
        <w:ind w:firstLine="480"/>
        <w:rPr>
          <w:rFonts w:ascii="宋体" w:hAnsi="宋体"/>
          <w:sz w:val="24"/>
        </w:rPr>
      </w:pPr>
      <w:r>
        <w:rPr>
          <w:rFonts w:hint="eastAsia" w:ascii="宋体" w:hAnsi="宋体"/>
          <w:sz w:val="24"/>
        </w:rPr>
        <w:t>13.</w:t>
      </w:r>
      <w:r>
        <w:rPr>
          <w:rFonts w:ascii="宋体" w:hAnsi="宋体"/>
          <w:sz w:val="24"/>
        </w:rPr>
        <w:t>4</w:t>
      </w:r>
      <w:r>
        <w:rPr>
          <w:rFonts w:hint="eastAsia" w:ascii="宋体" w:hAnsi="宋体"/>
          <w:sz w:val="24"/>
        </w:rPr>
        <w:t>凡未以补充方式获得酌情延长递交文件截止日期的比选申请人，比选人将拒收在递交截止期以后送到的比选申请文件。</w:t>
      </w:r>
    </w:p>
    <w:p>
      <w:pPr>
        <w:pStyle w:val="3"/>
        <w:jc w:val="center"/>
        <w:rPr>
          <w:rFonts w:ascii="宋体" w:hAnsi="宋体" w:eastAsia="宋体"/>
          <w:sz w:val="28"/>
          <w:szCs w:val="28"/>
        </w:rPr>
      </w:pPr>
      <w:bookmarkStart w:id="107" w:name="_Toc286386855"/>
      <w:bookmarkStart w:id="108" w:name="_Toc114052435"/>
      <w:bookmarkStart w:id="109" w:name="_Toc114052371"/>
      <w:bookmarkStart w:id="110" w:name="_Toc121082002"/>
      <w:bookmarkStart w:id="111" w:name="_Toc392862496"/>
      <w:r>
        <w:rPr>
          <w:rFonts w:hint="eastAsia" w:ascii="宋体" w:hAnsi="宋体" w:eastAsia="宋体"/>
          <w:sz w:val="28"/>
          <w:szCs w:val="28"/>
        </w:rPr>
        <w:t>六、</w:t>
      </w:r>
      <w:bookmarkEnd w:id="107"/>
      <w:bookmarkEnd w:id="108"/>
      <w:bookmarkEnd w:id="109"/>
      <w:r>
        <w:rPr>
          <w:rFonts w:hint="eastAsia" w:ascii="宋体" w:hAnsi="宋体" w:eastAsia="宋体"/>
          <w:sz w:val="28"/>
          <w:szCs w:val="28"/>
        </w:rPr>
        <w:t>评   审</w:t>
      </w:r>
      <w:bookmarkEnd w:id="110"/>
      <w:bookmarkEnd w:id="111"/>
    </w:p>
    <w:p>
      <w:pPr>
        <w:pStyle w:val="4"/>
        <w:spacing w:before="156" w:beforeLines="50" w:after="0" w:line="240" w:lineRule="auto"/>
        <w:rPr>
          <w:rFonts w:ascii="宋体" w:hAnsi="宋体"/>
          <w:sz w:val="24"/>
        </w:rPr>
      </w:pPr>
      <w:bookmarkStart w:id="112" w:name="_Toc436771484"/>
      <w:bookmarkStart w:id="113" w:name="_Toc465934628"/>
      <w:r>
        <w:rPr>
          <w:rFonts w:hint="eastAsia" w:ascii="宋体" w:hAnsi="宋体"/>
          <w:sz w:val="24"/>
        </w:rPr>
        <w:t>14. 评审</w:t>
      </w:r>
      <w:bookmarkEnd w:id="112"/>
      <w:r>
        <w:rPr>
          <w:rFonts w:hint="eastAsia" w:ascii="宋体" w:hAnsi="宋体"/>
          <w:sz w:val="24"/>
        </w:rPr>
        <w:t>程序</w:t>
      </w:r>
      <w:bookmarkEnd w:id="113"/>
    </w:p>
    <w:p>
      <w:pPr>
        <w:pStyle w:val="51"/>
        <w:spacing w:line="360" w:lineRule="auto"/>
        <w:ind w:firstLine="480"/>
        <w:rPr>
          <w:rFonts w:ascii="宋体" w:hAnsi="宋体"/>
          <w:sz w:val="24"/>
        </w:rPr>
      </w:pPr>
      <w:bookmarkStart w:id="114" w:name="_Toc436771486"/>
      <w:bookmarkStart w:id="115" w:name="_Toc392862499"/>
      <w:r>
        <w:rPr>
          <w:rFonts w:ascii="宋体" w:hAnsi="宋体"/>
          <w:sz w:val="24"/>
        </w:rPr>
        <w:t>详见第六章</w:t>
      </w:r>
      <w:r>
        <w:rPr>
          <w:rFonts w:hint="eastAsia" w:ascii="宋体" w:hAnsi="宋体"/>
          <w:sz w:val="24"/>
        </w:rPr>
        <w:t>《</w:t>
      </w:r>
      <w:r>
        <w:rPr>
          <w:rFonts w:ascii="宋体" w:hAnsi="宋体"/>
          <w:sz w:val="24"/>
        </w:rPr>
        <w:t>评分办法</w:t>
      </w:r>
      <w:r>
        <w:rPr>
          <w:rFonts w:hint="eastAsia" w:ascii="宋体" w:hAnsi="宋体"/>
          <w:sz w:val="24"/>
        </w:rPr>
        <w:t>》。</w:t>
      </w:r>
    </w:p>
    <w:p>
      <w:pPr>
        <w:pStyle w:val="4"/>
        <w:spacing w:before="156" w:beforeLines="50" w:after="0" w:line="240" w:lineRule="auto"/>
        <w:rPr>
          <w:rFonts w:ascii="宋体" w:hAnsi="宋体"/>
          <w:sz w:val="24"/>
        </w:rPr>
      </w:pPr>
      <w:bookmarkStart w:id="116" w:name="_Toc465934629"/>
      <w:r>
        <w:rPr>
          <w:rFonts w:hint="eastAsia" w:ascii="宋体" w:hAnsi="宋体"/>
          <w:sz w:val="24"/>
        </w:rPr>
        <w:t xml:space="preserve">15. </w:t>
      </w:r>
      <w:bookmarkStart w:id="117" w:name="_Toc833"/>
      <w:bookmarkStart w:id="118" w:name="_Toc1456"/>
      <w:bookmarkStart w:id="119" w:name="_Toc16072"/>
      <w:bookmarkStart w:id="120" w:name="_Toc383891196"/>
      <w:bookmarkStart w:id="121" w:name="_Toc385427821"/>
      <w:bookmarkStart w:id="122" w:name="_Toc11716"/>
      <w:bookmarkStart w:id="123" w:name="_Toc29929"/>
      <w:bookmarkStart w:id="124" w:name="_Toc5386"/>
      <w:bookmarkStart w:id="125" w:name="_Toc14719"/>
      <w:bookmarkStart w:id="126" w:name="_Toc25047"/>
      <w:bookmarkStart w:id="127" w:name="_Toc18063"/>
      <w:bookmarkStart w:id="128" w:name="_Toc26137"/>
      <w:bookmarkStart w:id="129" w:name="_Toc15"/>
      <w:bookmarkStart w:id="130" w:name="_Toc375039093"/>
      <w:bookmarkStart w:id="131" w:name="_Toc24755"/>
      <w:bookmarkStart w:id="132" w:name="_Toc390098447"/>
      <w:bookmarkStart w:id="133" w:name="_Toc13421"/>
      <w:bookmarkStart w:id="134" w:name="_Toc12983531"/>
      <w:bookmarkStart w:id="135" w:name="_Toc492478746"/>
      <w:bookmarkStart w:id="136" w:name="_Toc18803"/>
      <w:bookmarkStart w:id="137" w:name="_Toc17980"/>
      <w:bookmarkStart w:id="138" w:name="_Toc27570"/>
      <w:bookmarkStart w:id="139" w:name="_Toc8295"/>
      <w:bookmarkStart w:id="140" w:name="_Toc25750616"/>
      <w:r>
        <w:rPr>
          <w:rFonts w:ascii="宋体" w:hAnsi="宋体"/>
          <w:sz w:val="24"/>
        </w:rPr>
        <w:t>与比选人和评审委员会的接触</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firstLine="480" w:firstLineChars="200"/>
        <w:rPr>
          <w:sz w:val="24"/>
        </w:rPr>
      </w:pPr>
      <w:r>
        <w:rPr>
          <w:sz w:val="24"/>
        </w:rPr>
        <w:t>15</w:t>
      </w:r>
      <w:r>
        <w:rPr>
          <w:rFonts w:hint="eastAsia"/>
          <w:sz w:val="24"/>
        </w:rPr>
        <w:t>.1</w:t>
      </w:r>
      <w:r>
        <w:rPr>
          <w:sz w:val="24"/>
        </w:rPr>
        <w:t>从比选申请截止日起至授予合同期间，未经书面要求，比选申请人不得就与其比选申请文件有关的事项与评审委员会、比选人接触（包括直接接触</w:t>
      </w:r>
      <w:r>
        <w:rPr>
          <w:rFonts w:hint="eastAsia"/>
          <w:sz w:val="24"/>
        </w:rPr>
        <w:t>或</w:t>
      </w:r>
      <w:r>
        <w:rPr>
          <w:sz w:val="24"/>
        </w:rPr>
        <w:t>间接接触）。</w:t>
      </w:r>
    </w:p>
    <w:p>
      <w:pPr>
        <w:spacing w:line="360" w:lineRule="auto"/>
        <w:ind w:firstLine="480" w:firstLineChars="200"/>
        <w:rPr>
          <w:sz w:val="24"/>
        </w:rPr>
      </w:pPr>
      <w:r>
        <w:rPr>
          <w:sz w:val="24"/>
        </w:rPr>
        <w:t>15</w:t>
      </w:r>
      <w:r>
        <w:rPr>
          <w:rFonts w:hint="eastAsia"/>
          <w:sz w:val="24"/>
        </w:rPr>
        <w:t>.2</w:t>
      </w:r>
      <w:r>
        <w:rPr>
          <w:sz w:val="24"/>
        </w:rPr>
        <w:t>比选申请人试图对评审委员会的评审、比较或授予合同的决定进行影响，都可能导致其比选申请文件被否决。</w:t>
      </w:r>
    </w:p>
    <w:p>
      <w:pPr>
        <w:spacing w:line="360" w:lineRule="auto"/>
        <w:ind w:firstLine="480" w:firstLineChars="200"/>
        <w:rPr>
          <w:sz w:val="24"/>
        </w:rPr>
      </w:pPr>
      <w:r>
        <w:rPr>
          <w:sz w:val="24"/>
        </w:rPr>
        <w:t>15</w:t>
      </w:r>
      <w:r>
        <w:rPr>
          <w:rFonts w:hint="eastAsia"/>
          <w:sz w:val="24"/>
        </w:rPr>
        <w:t>.3</w:t>
      </w:r>
      <w:r>
        <w:rPr>
          <w:sz w:val="24"/>
        </w:rPr>
        <w:t>比选申请人不得以任何方式干扰比选人的</w:t>
      </w:r>
      <w:r>
        <w:rPr>
          <w:rFonts w:hint="eastAsia"/>
          <w:sz w:val="24"/>
        </w:rPr>
        <w:t>比选</w:t>
      </w:r>
      <w:r>
        <w:rPr>
          <w:sz w:val="24"/>
        </w:rPr>
        <w:t>和评审活动，否则其比选申请无效并追究其法律责任。</w:t>
      </w:r>
    </w:p>
    <w:p>
      <w:pPr>
        <w:spacing w:line="360" w:lineRule="auto"/>
        <w:ind w:firstLine="480" w:firstLineChars="200"/>
        <w:rPr>
          <w:sz w:val="24"/>
        </w:rPr>
      </w:pPr>
      <w:r>
        <w:rPr>
          <w:sz w:val="24"/>
        </w:rPr>
        <w:t>15</w:t>
      </w:r>
      <w:r>
        <w:rPr>
          <w:rFonts w:hint="eastAsia"/>
          <w:sz w:val="24"/>
        </w:rPr>
        <w:t>.4</w:t>
      </w:r>
      <w:r>
        <w:rPr>
          <w:sz w:val="24"/>
        </w:rPr>
        <w:t>有关比选申请文件的审查、澄清、评估和比较以及有关授予合同的意向的一切情况都不得透露给任一比选申请人。</w:t>
      </w:r>
    </w:p>
    <w:p>
      <w:pPr>
        <w:pStyle w:val="4"/>
        <w:spacing w:before="156" w:beforeLines="50" w:after="0" w:line="240" w:lineRule="auto"/>
        <w:rPr>
          <w:rFonts w:ascii="宋体" w:hAnsi="宋体"/>
          <w:sz w:val="24"/>
        </w:rPr>
      </w:pPr>
      <w:bookmarkStart w:id="141" w:name="_Toc20523"/>
      <w:bookmarkStart w:id="142" w:name="_Toc12960"/>
      <w:bookmarkStart w:id="143" w:name="_Toc12909"/>
      <w:bookmarkStart w:id="144" w:name="_Toc25734"/>
      <w:bookmarkStart w:id="145" w:name="_Toc15988"/>
      <w:bookmarkStart w:id="146" w:name="_Toc16963"/>
      <w:bookmarkStart w:id="147" w:name="_Toc390098448"/>
      <w:bookmarkStart w:id="148" w:name="_Toc654"/>
      <w:bookmarkStart w:id="149" w:name="_Toc30207"/>
      <w:bookmarkStart w:id="150" w:name="_Toc7858"/>
      <w:bookmarkStart w:id="151" w:name="_Toc9602"/>
      <w:bookmarkStart w:id="152" w:name="_Toc385427822"/>
      <w:bookmarkStart w:id="153" w:name="_Toc21167"/>
      <w:bookmarkStart w:id="154" w:name="_Toc25750617"/>
      <w:bookmarkStart w:id="155" w:name="_Toc9941"/>
      <w:bookmarkStart w:id="156" w:name="_Toc12671"/>
      <w:bookmarkStart w:id="157" w:name="_Toc12983532"/>
      <w:bookmarkStart w:id="158" w:name="_Toc29504"/>
      <w:bookmarkStart w:id="159" w:name="_Toc383891197"/>
      <w:bookmarkStart w:id="160" w:name="_Toc12555"/>
      <w:bookmarkStart w:id="161" w:name="_Toc19810"/>
      <w:bookmarkStart w:id="162" w:name="_Toc18515"/>
      <w:bookmarkStart w:id="163" w:name="_Toc492478747"/>
      <w:r>
        <w:rPr>
          <w:rFonts w:hint="eastAsia" w:ascii="宋体" w:hAnsi="宋体"/>
          <w:sz w:val="24"/>
        </w:rPr>
        <w:t>16</w:t>
      </w:r>
      <w:r>
        <w:rPr>
          <w:rFonts w:ascii="宋体" w:hAnsi="宋体"/>
          <w:sz w:val="24"/>
        </w:rPr>
        <w:t xml:space="preserve">. </w:t>
      </w:r>
      <w:r>
        <w:rPr>
          <w:rFonts w:hint="eastAsia" w:ascii="宋体" w:hAnsi="宋体"/>
          <w:sz w:val="24"/>
        </w:rPr>
        <w:t>评审过程保密</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360" w:lineRule="auto"/>
        <w:ind w:firstLine="480" w:firstLineChars="200"/>
        <w:rPr>
          <w:sz w:val="24"/>
        </w:rPr>
      </w:pPr>
      <w:r>
        <w:rPr>
          <w:sz w:val="24"/>
        </w:rPr>
        <w:t>16</w:t>
      </w:r>
      <w:r>
        <w:rPr>
          <w:rFonts w:hint="eastAsia"/>
          <w:sz w:val="24"/>
        </w:rPr>
        <w:t>.1递交比选文件后，直到宣布授予中选人且签订合同为止，凡属于审查、澄清、评价和比较比选申请的有关资料且与授予合同有关的信息，都不应向比选申请人或与该过程无关的其他人泄露。</w:t>
      </w:r>
    </w:p>
    <w:p>
      <w:pPr>
        <w:spacing w:line="360" w:lineRule="auto"/>
        <w:ind w:firstLine="480" w:firstLineChars="200"/>
        <w:rPr>
          <w:sz w:val="24"/>
        </w:rPr>
      </w:pPr>
      <w:r>
        <w:rPr>
          <w:sz w:val="24"/>
        </w:rPr>
        <w:t>16</w:t>
      </w:r>
      <w:r>
        <w:rPr>
          <w:rFonts w:hint="eastAsia"/>
          <w:sz w:val="24"/>
        </w:rPr>
        <w:t>.2比选申请人在比选申请文件的审查、澄清、评价和比较以及授予合同的过程中，对比选人和评审专家施加影响的任何行为，都将导致取消比选申请资格。</w:t>
      </w:r>
    </w:p>
    <w:p>
      <w:pPr>
        <w:pStyle w:val="4"/>
        <w:spacing w:before="156" w:beforeLines="50" w:after="0" w:line="240" w:lineRule="auto"/>
        <w:rPr>
          <w:rFonts w:ascii="宋体" w:hAnsi="宋体"/>
          <w:sz w:val="24"/>
        </w:rPr>
      </w:pPr>
      <w:r>
        <w:rPr>
          <w:rFonts w:hint="eastAsia" w:ascii="宋体" w:hAnsi="宋体"/>
          <w:sz w:val="24"/>
        </w:rPr>
        <w:t>17.</w:t>
      </w:r>
      <w:r>
        <w:rPr>
          <w:rFonts w:ascii="宋体" w:hAnsi="宋体"/>
          <w:sz w:val="24"/>
        </w:rPr>
        <w:t xml:space="preserve"> </w:t>
      </w:r>
      <w:r>
        <w:rPr>
          <w:rFonts w:hint="eastAsia" w:ascii="宋体" w:hAnsi="宋体"/>
          <w:sz w:val="24"/>
        </w:rPr>
        <w:t>比选申请文件的澄清或说明</w:t>
      </w:r>
      <w:bookmarkEnd w:id="116"/>
    </w:p>
    <w:p>
      <w:pPr>
        <w:pStyle w:val="51"/>
        <w:spacing w:line="360" w:lineRule="auto"/>
        <w:ind w:firstLine="480"/>
        <w:rPr>
          <w:rFonts w:ascii="宋体" w:hAnsi="宋体"/>
          <w:sz w:val="24"/>
        </w:rPr>
      </w:pPr>
      <w:r>
        <w:rPr>
          <w:rFonts w:hint="eastAsia" w:ascii="宋体" w:hAnsi="宋体"/>
          <w:sz w:val="24"/>
        </w:rPr>
        <w:t>1</w:t>
      </w:r>
      <w:r>
        <w:rPr>
          <w:rFonts w:ascii="宋体" w:hAnsi="宋体"/>
          <w:sz w:val="24"/>
        </w:rPr>
        <w:t>7</w:t>
      </w:r>
      <w:r>
        <w:rPr>
          <w:rFonts w:hint="eastAsia" w:ascii="宋体" w:hAnsi="宋体"/>
          <w:sz w:val="24"/>
        </w:rPr>
        <w:t>.1评审委员会将以书面形式要求比选申请人就其比选申请文件中含义不明确、同类问题表述不一致或有明显文字错误等的内容予以澄清或说明。</w:t>
      </w:r>
    </w:p>
    <w:p>
      <w:pPr>
        <w:pStyle w:val="51"/>
        <w:spacing w:line="360" w:lineRule="auto"/>
        <w:ind w:firstLine="480"/>
        <w:rPr>
          <w:rFonts w:ascii="宋体" w:hAnsi="宋体"/>
          <w:sz w:val="24"/>
        </w:rPr>
      </w:pPr>
      <w:r>
        <w:rPr>
          <w:rFonts w:hint="eastAsia" w:ascii="宋体" w:hAnsi="宋体"/>
          <w:sz w:val="24"/>
        </w:rPr>
        <w:t>1</w:t>
      </w:r>
      <w:r>
        <w:rPr>
          <w:rFonts w:ascii="宋体" w:hAnsi="宋体"/>
          <w:sz w:val="24"/>
        </w:rPr>
        <w:t>7</w:t>
      </w:r>
      <w:r>
        <w:rPr>
          <w:rFonts w:hint="eastAsia" w:ascii="宋体" w:hAnsi="宋体"/>
          <w:sz w:val="24"/>
        </w:rPr>
        <w:t>.2比选申请人对要求澄清或说明的内容应在评审委员会规定的时间内采取微信或者钉钉等线上视频方式进行澄清（具体方式由评比小组与比选申请人授权代表协商确定），澄清后比选申请人须将纸质澄清文件通过邮寄的方式邮寄予比选人，该澄清或说明函应有法定代表人或其授权委托代理人的签名或盖公章。</w:t>
      </w:r>
    </w:p>
    <w:p>
      <w:pPr>
        <w:pStyle w:val="51"/>
        <w:spacing w:line="360" w:lineRule="auto"/>
        <w:ind w:firstLine="480"/>
        <w:rPr>
          <w:rFonts w:ascii="宋体" w:hAnsi="宋体"/>
          <w:sz w:val="24"/>
        </w:rPr>
      </w:pPr>
      <w:r>
        <w:rPr>
          <w:rFonts w:hint="eastAsia" w:ascii="宋体" w:hAnsi="宋体"/>
          <w:sz w:val="24"/>
        </w:rPr>
        <w:t>1</w:t>
      </w:r>
      <w:r>
        <w:rPr>
          <w:rFonts w:ascii="宋体" w:hAnsi="宋体"/>
          <w:sz w:val="24"/>
        </w:rPr>
        <w:t>7</w:t>
      </w:r>
      <w:r>
        <w:rPr>
          <w:rFonts w:hint="eastAsia" w:ascii="宋体" w:hAnsi="宋体"/>
          <w:sz w:val="24"/>
        </w:rPr>
        <w:t>.3比选申请人的澄清或说明函作为比选申请文件的组成部分。</w:t>
      </w:r>
    </w:p>
    <w:p>
      <w:pPr>
        <w:pStyle w:val="51"/>
        <w:spacing w:line="360" w:lineRule="auto"/>
        <w:ind w:firstLine="480"/>
        <w:rPr>
          <w:rFonts w:ascii="宋体" w:hAnsi="宋体"/>
          <w:sz w:val="24"/>
        </w:rPr>
      </w:pPr>
      <w:r>
        <w:rPr>
          <w:rFonts w:hint="eastAsia" w:ascii="宋体" w:hAnsi="宋体"/>
          <w:sz w:val="24"/>
        </w:rPr>
        <w:t>1</w:t>
      </w:r>
      <w:r>
        <w:rPr>
          <w:rFonts w:ascii="宋体" w:hAnsi="宋体"/>
          <w:sz w:val="24"/>
        </w:rPr>
        <w:t>7</w:t>
      </w:r>
      <w:r>
        <w:rPr>
          <w:rFonts w:hint="eastAsia" w:ascii="宋体" w:hAnsi="宋体"/>
          <w:sz w:val="24"/>
        </w:rPr>
        <w:t>.4对比选申请文件的澄清或说明不得超出比选申请文件的范围或改变比选的实质内容。</w:t>
      </w:r>
    </w:p>
    <w:p>
      <w:pPr>
        <w:pStyle w:val="4"/>
        <w:spacing w:before="156" w:beforeLines="50" w:after="0" w:line="240" w:lineRule="auto"/>
        <w:rPr>
          <w:rFonts w:ascii="宋体" w:hAnsi="宋体"/>
          <w:sz w:val="24"/>
        </w:rPr>
      </w:pPr>
      <w:bookmarkStart w:id="164" w:name="_Toc465934630"/>
      <w:r>
        <w:rPr>
          <w:rFonts w:hint="eastAsia" w:ascii="宋体" w:hAnsi="宋体"/>
          <w:sz w:val="24"/>
        </w:rPr>
        <w:t>1</w:t>
      </w:r>
      <w:r>
        <w:rPr>
          <w:rFonts w:ascii="宋体" w:hAnsi="宋体"/>
          <w:sz w:val="24"/>
        </w:rPr>
        <w:t>8</w:t>
      </w:r>
      <w:r>
        <w:rPr>
          <w:rFonts w:hint="eastAsia" w:ascii="宋体" w:hAnsi="宋体"/>
          <w:sz w:val="24"/>
        </w:rPr>
        <w:t xml:space="preserve">. </w:t>
      </w:r>
      <w:bookmarkStart w:id="165" w:name="_Toc22681"/>
      <w:bookmarkStart w:id="166" w:name="_Toc385427824"/>
      <w:bookmarkStart w:id="167" w:name="_Toc25750619"/>
      <w:bookmarkStart w:id="168" w:name="_Toc28992"/>
      <w:bookmarkStart w:id="169" w:name="_Toc4397"/>
      <w:bookmarkStart w:id="170" w:name="_Toc5926"/>
      <w:bookmarkStart w:id="171" w:name="_Toc383891199"/>
      <w:bookmarkStart w:id="172" w:name="_Toc16884"/>
      <w:bookmarkStart w:id="173" w:name="_Toc30017"/>
      <w:bookmarkStart w:id="174" w:name="_Toc18093"/>
      <w:bookmarkStart w:id="175" w:name="_Toc390098450"/>
      <w:bookmarkStart w:id="176" w:name="_Toc29146"/>
      <w:bookmarkStart w:id="177" w:name="_Toc1915"/>
      <w:bookmarkStart w:id="178" w:name="_Toc492478749"/>
      <w:bookmarkStart w:id="179" w:name="_Toc20519"/>
      <w:bookmarkStart w:id="180" w:name="_Toc12795"/>
      <w:bookmarkStart w:id="181" w:name="_Toc26070"/>
      <w:bookmarkStart w:id="182" w:name="_Toc9040"/>
      <w:bookmarkStart w:id="183" w:name="_Toc5437"/>
      <w:bookmarkStart w:id="184" w:name="_Toc5607"/>
      <w:bookmarkStart w:id="185" w:name="_Toc6908"/>
      <w:bookmarkStart w:id="186" w:name="_Toc12983534"/>
      <w:bookmarkStart w:id="187" w:name="_Toc26318"/>
      <w:r>
        <w:rPr>
          <w:rFonts w:hint="eastAsia" w:ascii="宋体" w:hAnsi="宋体"/>
          <w:sz w:val="24"/>
        </w:rPr>
        <w:t>比选申请文件响应性的确定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spacing w:line="360" w:lineRule="auto"/>
        <w:ind w:firstLine="480" w:firstLineChars="200"/>
        <w:rPr>
          <w:sz w:val="24"/>
        </w:rPr>
      </w:pPr>
      <w:r>
        <w:rPr>
          <w:sz w:val="24"/>
        </w:rPr>
        <w:t>18</w:t>
      </w:r>
      <w:r>
        <w:rPr>
          <w:rFonts w:hint="eastAsia"/>
          <w:sz w:val="24"/>
        </w:rPr>
        <w:t>.1 在详细评审之前，评审委员会将首先审定每份比选申请文件是否在实质上响应了比选文件的要求和规定。</w:t>
      </w:r>
    </w:p>
    <w:p>
      <w:pPr>
        <w:spacing w:line="360" w:lineRule="auto"/>
        <w:ind w:firstLine="480" w:firstLineChars="200"/>
        <w:rPr>
          <w:sz w:val="24"/>
        </w:rPr>
      </w:pPr>
      <w:r>
        <w:rPr>
          <w:sz w:val="24"/>
        </w:rPr>
        <w:t>18</w:t>
      </w:r>
      <w:r>
        <w:rPr>
          <w:rFonts w:hint="eastAsia"/>
          <w:sz w:val="24"/>
        </w:rPr>
        <w:t>.2 实质上响应要求的比选申请文件，应该是与比选文件要求的全部条款，合同条件和规范相符，无重大差异和保留选申请人的责任造成实质性限制；而且纠正这种差异或保留，将会对其他实质上响。所谓重大差异或保留是指对服务的范围、质量及要求产生实质性影响；或者对合同中规定的比选人的权利及比应要求的比选申请人的竞争地位产生不公正的影响。决定比选申请文件的响应性只根据比选申请文件本身的内容，而不寻求外部的证据。</w:t>
      </w:r>
    </w:p>
    <w:p>
      <w:pPr>
        <w:spacing w:line="360" w:lineRule="auto"/>
        <w:ind w:firstLine="480" w:firstLineChars="200"/>
        <w:rPr>
          <w:sz w:val="24"/>
        </w:rPr>
      </w:pPr>
      <w:r>
        <w:rPr>
          <w:sz w:val="24"/>
        </w:rPr>
        <w:t>18</w:t>
      </w:r>
      <w:r>
        <w:rPr>
          <w:rFonts w:hint="eastAsia"/>
          <w:sz w:val="24"/>
        </w:rPr>
        <w:t>.3 如果比选申请文件实质上不响应比选文件的要求，比选人将予以拒绝，并且不允许比选申请人通过修正或撤销其不符要求的差异或保留使之成为具有响应性的比选申请。</w:t>
      </w:r>
    </w:p>
    <w:p>
      <w:pPr>
        <w:pStyle w:val="4"/>
        <w:spacing w:before="156" w:beforeLines="50" w:after="0" w:line="240" w:lineRule="auto"/>
        <w:rPr>
          <w:rFonts w:ascii="宋体" w:hAnsi="宋体"/>
          <w:sz w:val="24"/>
        </w:rPr>
      </w:pPr>
      <w:r>
        <w:rPr>
          <w:rFonts w:hint="eastAsia" w:ascii="宋体" w:hAnsi="宋体"/>
          <w:sz w:val="24"/>
        </w:rPr>
        <w:t>19. 定标</w:t>
      </w:r>
    </w:p>
    <w:p>
      <w:pPr>
        <w:spacing w:line="360" w:lineRule="auto"/>
        <w:ind w:firstLine="480" w:firstLineChars="200"/>
        <w:rPr>
          <w:rFonts w:ascii="宋体" w:hAnsi="宋体" w:cs="Arial"/>
          <w:sz w:val="24"/>
          <w:szCs w:val="24"/>
        </w:rPr>
      </w:pPr>
      <w:r>
        <w:rPr>
          <w:rFonts w:ascii="宋体" w:hAnsi="宋体"/>
          <w:sz w:val="24"/>
        </w:rPr>
        <w:t>19.1</w:t>
      </w:r>
      <w:r>
        <w:rPr>
          <w:rFonts w:hint="eastAsia" w:ascii="宋体" w:hAnsi="宋体"/>
          <w:sz w:val="24"/>
        </w:rPr>
        <w:t xml:space="preserve"> 经评审后，评审委员会根据比选申请人的报价进行报价评审，报价得分（四舍五入至小数点后4位）按由高到低的顺序排列，并推荐报价最高的比选申请人为第一中选候选人，推荐第二低者为第二中选候选人，以此类推。如报价得分排名前3且得分相同的比选申请人将进行附加评审，并根据附加评审得分按由高到低的顺序确定排名。附加评审按顺序进行，如第一项附加评审得分相同，则进行第二项附加评审。如通过附加评审仍不能确定比选申请人排名顺序的，由评审委员会不记名投票的方式按少数服从多数的原则决定其排名顺序。</w:t>
      </w:r>
    </w:p>
    <w:p>
      <w:pPr>
        <w:spacing w:line="360" w:lineRule="auto"/>
        <w:ind w:firstLine="480" w:firstLineChars="200"/>
        <w:rPr>
          <w:rFonts w:ascii="宋体" w:hAnsi="宋体"/>
          <w:sz w:val="24"/>
        </w:rPr>
      </w:pPr>
      <w:r>
        <w:rPr>
          <w:rFonts w:ascii="宋体" w:hAnsi="宋体"/>
          <w:sz w:val="24"/>
        </w:rPr>
        <w:t>19.2</w:t>
      </w:r>
      <w:r>
        <w:rPr>
          <w:rFonts w:hint="eastAsia" w:ascii="宋体" w:hAnsi="宋体"/>
          <w:sz w:val="24"/>
        </w:rPr>
        <w:t xml:space="preserve"> 比选人应当确</w:t>
      </w:r>
      <w:r>
        <w:rPr>
          <w:rFonts w:hint="eastAsia" w:ascii="宋体" w:hAnsi="宋体"/>
          <w:sz w:val="24"/>
          <w:szCs w:val="24"/>
        </w:rPr>
        <w:t>定排名第一的中选候选人为中选人。</w:t>
      </w:r>
      <w:r>
        <w:rPr>
          <w:rFonts w:hint="eastAsia" w:ascii="宋体" w:hAnsi="宋体" w:cs="Arial"/>
          <w:sz w:val="24"/>
          <w:szCs w:val="24"/>
        </w:rPr>
        <w:t>若</w:t>
      </w:r>
      <w:r>
        <w:rPr>
          <w:rFonts w:hint="eastAsia" w:ascii="宋体" w:hAnsi="宋体"/>
          <w:sz w:val="24"/>
          <w:szCs w:val="24"/>
        </w:rPr>
        <w:t>排名第一的中选候选人放弃中选、因不可抗力不能履行合同，或不能按本比选文件要求提供相关材料的，或被</w:t>
      </w:r>
      <w:r>
        <w:rPr>
          <w:rFonts w:hint="eastAsia" w:ascii="宋体" w:hAnsi="宋体"/>
          <w:sz w:val="24"/>
        </w:rPr>
        <w:t>查实存在影响中选结果的违法行为等情形，不符合中选条件的，比选人可以按照评审委员会提出的中选候选人名单排序依次确定其他中选候选人为中选人，也可以重新比选。同时，比选人有权禁止其在2027年前参加比选人的任何采购活动和广西电力市场化交易项目采购活动，并上报广西电力交易中心有限责任公司按交易规则处理。</w:t>
      </w:r>
    </w:p>
    <w:p>
      <w:pPr>
        <w:spacing w:line="360" w:lineRule="auto"/>
        <w:ind w:firstLine="480" w:firstLineChars="200"/>
        <w:rPr>
          <w:rFonts w:ascii="宋体" w:hAnsi="宋体"/>
          <w:sz w:val="24"/>
        </w:rPr>
      </w:pPr>
      <w:r>
        <w:rPr>
          <w:rFonts w:ascii="宋体" w:hAnsi="宋体"/>
          <w:sz w:val="24"/>
        </w:rPr>
        <w:t>19.3</w:t>
      </w:r>
      <w:r>
        <w:rPr>
          <w:rFonts w:hint="eastAsia" w:ascii="宋体" w:hAnsi="宋体"/>
          <w:sz w:val="24"/>
        </w:rPr>
        <w:t xml:space="preserve"> 比选申请人应确保提供的资料真实无误，如有弄虚作假的情况，一经查实，取消比选申请资格，已经中选的取消中选资格。</w:t>
      </w:r>
    </w:p>
    <w:p>
      <w:pPr>
        <w:spacing w:line="360" w:lineRule="auto"/>
        <w:ind w:firstLine="480" w:firstLineChars="200"/>
        <w:rPr>
          <w:rFonts w:ascii="宋体" w:hAnsi="宋体"/>
          <w:sz w:val="24"/>
        </w:rPr>
      </w:pPr>
      <w:r>
        <w:rPr>
          <w:rFonts w:ascii="宋体" w:hAnsi="宋体"/>
          <w:sz w:val="24"/>
        </w:rPr>
        <w:t>19.4</w:t>
      </w:r>
      <w:r>
        <w:rPr>
          <w:rFonts w:hint="eastAsia" w:ascii="宋体" w:hAnsi="宋体"/>
          <w:sz w:val="24"/>
        </w:rPr>
        <w:t xml:space="preserve"> 比选人确定的中选人必须按有关规定进行公示。</w:t>
      </w:r>
    </w:p>
    <w:p>
      <w:pPr>
        <w:spacing w:line="360" w:lineRule="auto"/>
        <w:ind w:firstLine="480" w:firstLineChars="200"/>
        <w:rPr>
          <w:sz w:val="24"/>
        </w:rPr>
      </w:pPr>
      <w:r>
        <w:rPr>
          <w:rFonts w:ascii="宋体" w:hAnsi="宋体"/>
          <w:sz w:val="24"/>
        </w:rPr>
        <w:t>19.5</w:t>
      </w:r>
      <w:r>
        <w:rPr>
          <w:rFonts w:hint="eastAsia" w:ascii="宋体" w:hAnsi="宋体"/>
          <w:sz w:val="24"/>
        </w:rPr>
        <w:t xml:space="preserve"> 评审委员会评审结束后，比选人经审查发现评审过程中有明显错误，可以组织原评审委员会进行复评。</w:t>
      </w:r>
    </w:p>
    <w:p>
      <w:pPr>
        <w:pStyle w:val="4"/>
        <w:spacing w:before="156" w:beforeLines="50" w:after="0" w:line="240" w:lineRule="auto"/>
        <w:rPr>
          <w:rFonts w:ascii="宋体" w:hAnsi="宋体"/>
          <w:sz w:val="24"/>
        </w:rPr>
      </w:pPr>
      <w:r>
        <w:rPr>
          <w:rFonts w:hint="eastAsia" w:ascii="宋体" w:hAnsi="宋体"/>
          <w:sz w:val="24"/>
        </w:rPr>
        <w:t>20. 重新比选</w:t>
      </w:r>
      <w:bookmarkEnd w:id="164"/>
    </w:p>
    <w:p>
      <w:pPr>
        <w:pStyle w:val="51"/>
        <w:spacing w:line="360" w:lineRule="auto"/>
        <w:ind w:firstLine="480"/>
        <w:rPr>
          <w:rFonts w:ascii="宋体" w:hAnsi="宋体"/>
          <w:sz w:val="24"/>
        </w:rPr>
      </w:pPr>
      <w:r>
        <w:rPr>
          <w:rFonts w:ascii="宋体" w:hAnsi="宋体"/>
          <w:sz w:val="24"/>
        </w:rPr>
        <w:t>出现下列特殊情况之一时，可重新</w:t>
      </w:r>
      <w:r>
        <w:rPr>
          <w:rFonts w:hint="eastAsia" w:ascii="宋体" w:hAnsi="宋体"/>
          <w:sz w:val="24"/>
        </w:rPr>
        <w:t>比选</w:t>
      </w:r>
      <w:r>
        <w:rPr>
          <w:rFonts w:ascii="宋体" w:hAnsi="宋体"/>
          <w:sz w:val="24"/>
        </w:rPr>
        <w:t>：</w:t>
      </w:r>
    </w:p>
    <w:p>
      <w:pPr>
        <w:pStyle w:val="51"/>
        <w:spacing w:line="360" w:lineRule="auto"/>
        <w:ind w:firstLine="480"/>
        <w:rPr>
          <w:rFonts w:ascii="宋体" w:hAnsi="宋体"/>
          <w:sz w:val="24"/>
        </w:rPr>
      </w:pPr>
      <w:r>
        <w:rPr>
          <w:rFonts w:ascii="宋体" w:hAnsi="宋体"/>
          <w:sz w:val="24"/>
        </w:rPr>
        <w:t>20</w:t>
      </w:r>
      <w:r>
        <w:rPr>
          <w:rFonts w:hint="eastAsia" w:ascii="宋体" w:hAnsi="宋体"/>
          <w:sz w:val="24"/>
        </w:rPr>
        <w:t>.1在比选申请文件递交截止时间递交的供应商不满3家的；</w:t>
      </w:r>
    </w:p>
    <w:p>
      <w:pPr>
        <w:pStyle w:val="51"/>
        <w:spacing w:line="360" w:lineRule="auto"/>
        <w:ind w:firstLine="480"/>
        <w:rPr>
          <w:rFonts w:ascii="宋体" w:hAnsi="宋体"/>
          <w:sz w:val="24"/>
        </w:rPr>
      </w:pPr>
      <w:r>
        <w:rPr>
          <w:rFonts w:ascii="宋体" w:hAnsi="宋体"/>
          <w:sz w:val="24"/>
        </w:rPr>
        <w:t>20</w:t>
      </w:r>
      <w:r>
        <w:rPr>
          <w:rFonts w:hint="eastAsia" w:ascii="宋体" w:hAnsi="宋体"/>
          <w:sz w:val="24"/>
        </w:rPr>
        <w:t>.2有效比选申请文件不满3家，且评审委员会认为没有竞争力的（当有效比选申请不足三家时，评审委员会认为剩余的比选申请文件仍具有竞争性的，应继续评审）；</w:t>
      </w:r>
    </w:p>
    <w:p>
      <w:pPr>
        <w:pStyle w:val="51"/>
        <w:spacing w:line="360" w:lineRule="auto"/>
        <w:ind w:firstLine="480"/>
        <w:rPr>
          <w:rFonts w:ascii="宋体" w:hAnsi="宋体"/>
          <w:sz w:val="24"/>
        </w:rPr>
      </w:pPr>
      <w:r>
        <w:rPr>
          <w:rFonts w:ascii="宋体" w:hAnsi="宋体"/>
          <w:sz w:val="24"/>
        </w:rPr>
        <w:t>20</w:t>
      </w:r>
      <w:r>
        <w:rPr>
          <w:rFonts w:hint="eastAsia" w:ascii="宋体" w:hAnsi="宋体"/>
          <w:sz w:val="24"/>
        </w:rPr>
        <w:t>.3评审委员会决定否决全部比选申请的；</w:t>
      </w:r>
    </w:p>
    <w:p>
      <w:pPr>
        <w:pStyle w:val="51"/>
        <w:spacing w:line="360" w:lineRule="auto"/>
        <w:ind w:firstLine="480"/>
        <w:rPr>
          <w:rFonts w:ascii="宋体" w:hAnsi="宋体"/>
          <w:sz w:val="24"/>
        </w:rPr>
      </w:pPr>
      <w:r>
        <w:rPr>
          <w:rFonts w:hint="eastAsia" w:ascii="宋体" w:hAnsi="宋体"/>
          <w:sz w:val="24"/>
        </w:rPr>
        <w:t>20.4中选候选人均放弃中选资格的；</w:t>
      </w:r>
    </w:p>
    <w:p>
      <w:pPr>
        <w:pStyle w:val="51"/>
        <w:spacing w:line="360" w:lineRule="auto"/>
        <w:ind w:firstLine="480"/>
        <w:rPr>
          <w:rFonts w:ascii="宋体" w:hAnsi="宋体"/>
          <w:sz w:val="24"/>
        </w:rPr>
      </w:pPr>
      <w:r>
        <w:rPr>
          <w:rFonts w:hint="eastAsia" w:ascii="宋体" w:hAnsi="宋体"/>
          <w:sz w:val="24"/>
        </w:rPr>
        <w:t>20.5根据本须知1</w:t>
      </w:r>
      <w:r>
        <w:rPr>
          <w:rFonts w:ascii="宋体" w:hAnsi="宋体"/>
          <w:sz w:val="24"/>
        </w:rPr>
        <w:t>0.2</w:t>
      </w:r>
      <w:r>
        <w:rPr>
          <w:rFonts w:hint="eastAsia" w:ascii="宋体" w:hAnsi="宋体"/>
          <w:sz w:val="24"/>
        </w:rPr>
        <w:t>条规定，所有中选候选人均不同意在比选申请有效期内延长比选申请有效期的；</w:t>
      </w:r>
    </w:p>
    <w:p>
      <w:pPr>
        <w:pStyle w:val="51"/>
        <w:spacing w:line="360" w:lineRule="auto"/>
        <w:ind w:firstLine="480"/>
        <w:rPr>
          <w:rFonts w:ascii="宋体" w:hAnsi="宋体"/>
          <w:sz w:val="24"/>
        </w:rPr>
      </w:pPr>
      <w:r>
        <w:rPr>
          <w:rFonts w:hint="eastAsia" w:ascii="宋体" w:hAnsi="宋体"/>
          <w:sz w:val="24"/>
        </w:rPr>
        <w:t>20.6比选文件中规定的其他情况。</w:t>
      </w:r>
    </w:p>
    <w:p>
      <w:pPr>
        <w:pStyle w:val="4"/>
        <w:spacing w:before="156" w:beforeLines="50" w:after="0" w:line="240" w:lineRule="auto"/>
        <w:rPr>
          <w:rFonts w:ascii="宋体" w:hAnsi="宋体"/>
          <w:sz w:val="24"/>
        </w:rPr>
      </w:pPr>
      <w:bookmarkStart w:id="188" w:name="_Toc286386861"/>
      <w:bookmarkStart w:id="189" w:name="_Toc114052377"/>
      <w:bookmarkStart w:id="190" w:name="_Toc392862502"/>
      <w:bookmarkStart w:id="191" w:name="_Toc465934633"/>
      <w:bookmarkStart w:id="192" w:name="_Toc114052441"/>
      <w:r>
        <w:rPr>
          <w:rFonts w:ascii="宋体" w:hAnsi="宋体"/>
          <w:sz w:val="24"/>
        </w:rPr>
        <w:t>21</w:t>
      </w:r>
      <w:r>
        <w:rPr>
          <w:rFonts w:hint="eastAsia" w:ascii="宋体" w:hAnsi="宋体"/>
          <w:sz w:val="24"/>
        </w:rPr>
        <w:t>. 评审结果公示</w:t>
      </w:r>
      <w:bookmarkEnd w:id="188"/>
      <w:bookmarkEnd w:id="189"/>
      <w:bookmarkEnd w:id="190"/>
      <w:bookmarkEnd w:id="191"/>
      <w:bookmarkEnd w:id="192"/>
    </w:p>
    <w:p>
      <w:pPr>
        <w:pStyle w:val="51"/>
        <w:spacing w:line="360" w:lineRule="auto"/>
        <w:ind w:firstLine="480"/>
        <w:rPr>
          <w:rFonts w:ascii="宋体" w:hAnsi="宋体"/>
          <w:sz w:val="24"/>
        </w:rPr>
      </w:pPr>
      <w:r>
        <w:rPr>
          <w:rFonts w:ascii="宋体" w:hAnsi="宋体"/>
          <w:sz w:val="24"/>
        </w:rPr>
        <w:t>21</w:t>
      </w:r>
      <w:r>
        <w:rPr>
          <w:rFonts w:hint="eastAsia" w:ascii="宋体" w:hAnsi="宋体"/>
          <w:sz w:val="24"/>
        </w:rPr>
        <w:t>.1在评审结束经比选人确认后，将在南宁轨道交通集团有限责任公司官方网站（www.nngdjt.com）以结果公示的形式通知各比选申请人评审结果。</w:t>
      </w:r>
    </w:p>
    <w:p>
      <w:pPr>
        <w:pStyle w:val="51"/>
        <w:spacing w:line="360" w:lineRule="auto"/>
        <w:ind w:firstLine="480"/>
        <w:rPr>
          <w:sz w:val="24"/>
          <w:szCs w:val="24"/>
        </w:rPr>
      </w:pPr>
      <w:r>
        <w:rPr>
          <w:rFonts w:ascii="宋体" w:hAnsi="宋体"/>
          <w:sz w:val="24"/>
        </w:rPr>
        <w:t>21</w:t>
      </w:r>
      <w:r>
        <w:rPr>
          <w:rFonts w:hint="eastAsia" w:ascii="宋体" w:hAnsi="宋体"/>
          <w:sz w:val="24"/>
        </w:rPr>
        <w:t>.2比选申请人如对评审结果有异议，须按公示规定的时间和方式向比选人提出质疑；比选人在收到书面质疑后</w:t>
      </w:r>
      <w:r>
        <w:rPr>
          <w:rFonts w:ascii="宋体" w:hAnsi="宋体"/>
          <w:sz w:val="24"/>
        </w:rPr>
        <w:t>3</w:t>
      </w:r>
      <w:r>
        <w:rPr>
          <w:rFonts w:hint="eastAsia" w:ascii="宋体" w:hAnsi="宋体"/>
          <w:sz w:val="24"/>
        </w:rPr>
        <w:t>个工作日内做出答复，但答复的内容不得涉及商业秘密。</w:t>
      </w:r>
    </w:p>
    <w:bookmarkEnd w:id="114"/>
    <w:bookmarkEnd w:id="115"/>
    <w:p>
      <w:pPr>
        <w:pStyle w:val="3"/>
        <w:jc w:val="center"/>
        <w:rPr>
          <w:rFonts w:ascii="宋体" w:hAnsi="宋体" w:eastAsia="宋体"/>
          <w:sz w:val="28"/>
          <w:szCs w:val="28"/>
        </w:rPr>
      </w:pPr>
      <w:bookmarkStart w:id="193" w:name="_Toc114052378"/>
      <w:bookmarkStart w:id="194" w:name="_Toc286386862"/>
      <w:bookmarkStart w:id="195" w:name="_Toc392862503"/>
      <w:bookmarkStart w:id="196" w:name="_Toc121082003"/>
      <w:bookmarkStart w:id="197" w:name="_Toc114052442"/>
      <w:r>
        <w:rPr>
          <w:rFonts w:hint="eastAsia" w:ascii="宋体" w:hAnsi="宋体" w:eastAsia="宋体"/>
          <w:sz w:val="28"/>
          <w:szCs w:val="28"/>
        </w:rPr>
        <w:t>七、授予合同</w:t>
      </w:r>
      <w:bookmarkEnd w:id="193"/>
      <w:bookmarkEnd w:id="194"/>
      <w:bookmarkEnd w:id="195"/>
      <w:bookmarkEnd w:id="196"/>
      <w:bookmarkEnd w:id="197"/>
    </w:p>
    <w:p>
      <w:pPr>
        <w:pStyle w:val="4"/>
        <w:spacing w:before="156" w:beforeLines="50" w:after="0" w:line="240" w:lineRule="auto"/>
        <w:rPr>
          <w:rFonts w:ascii="宋体" w:hAnsi="宋体"/>
          <w:sz w:val="24"/>
        </w:rPr>
      </w:pPr>
      <w:r>
        <w:rPr>
          <w:rFonts w:hint="eastAsia" w:ascii="宋体" w:hAnsi="宋体"/>
          <w:sz w:val="24"/>
        </w:rPr>
        <w:t>22. 合同授予标准</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2.1 根据本须知规定，比选人将把合同授予收到中选通知书的比选申请人，该比选申请人必须具有有效实施本合同的能力和资源。</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2.2 如果中选候选人放弃中选候选人资格或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156" w:beforeLines="50" w:after="0" w:line="240" w:lineRule="auto"/>
        <w:rPr>
          <w:rFonts w:ascii="宋体" w:hAnsi="宋体"/>
          <w:sz w:val="24"/>
        </w:rPr>
      </w:pPr>
      <w:r>
        <w:rPr>
          <w:rFonts w:hint="eastAsia" w:ascii="宋体" w:hAnsi="宋体"/>
          <w:sz w:val="24"/>
        </w:rPr>
        <w:t>23. 接受和否决任何或所有比选申请的权力</w:t>
      </w:r>
    </w:p>
    <w:p>
      <w:pPr>
        <w:spacing w:line="360" w:lineRule="auto"/>
        <w:ind w:firstLine="480" w:firstLineChars="200"/>
        <w:rPr>
          <w:rFonts w:ascii="宋体" w:hAnsi="宋体"/>
          <w:sz w:val="24"/>
        </w:rPr>
      </w:pPr>
      <w:r>
        <w:rPr>
          <w:rFonts w:hint="eastAsia" w:ascii="宋体" w:hAnsi="宋体"/>
          <w:sz w:val="24"/>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spacing w:before="156" w:beforeLines="50" w:after="0" w:line="240" w:lineRule="auto"/>
        <w:rPr>
          <w:rFonts w:ascii="宋体" w:hAnsi="宋体"/>
          <w:sz w:val="24"/>
        </w:rPr>
      </w:pPr>
      <w:bookmarkStart w:id="198" w:name="_Toc114052443"/>
      <w:bookmarkStart w:id="199" w:name="_Toc465934635"/>
      <w:bookmarkStart w:id="200" w:name="_Toc392862504"/>
      <w:bookmarkStart w:id="201" w:name="_Toc114052379"/>
      <w:bookmarkStart w:id="202" w:name="_Toc286386863"/>
      <w:r>
        <w:rPr>
          <w:rFonts w:hint="eastAsia" w:ascii="宋体" w:hAnsi="宋体"/>
          <w:sz w:val="24"/>
        </w:rPr>
        <w:t>2</w:t>
      </w:r>
      <w:r>
        <w:rPr>
          <w:rFonts w:ascii="宋体" w:hAnsi="宋体"/>
          <w:sz w:val="24"/>
        </w:rPr>
        <w:t xml:space="preserve">4. </w:t>
      </w:r>
      <w:r>
        <w:rPr>
          <w:rFonts w:hint="eastAsia" w:ascii="宋体" w:hAnsi="宋体"/>
          <w:sz w:val="24"/>
        </w:rPr>
        <w:t>中选通知书</w:t>
      </w:r>
      <w:bookmarkEnd w:id="198"/>
      <w:bookmarkEnd w:id="199"/>
      <w:bookmarkEnd w:id="200"/>
      <w:bookmarkEnd w:id="201"/>
      <w:bookmarkEnd w:id="202"/>
    </w:p>
    <w:p>
      <w:pPr>
        <w:pStyle w:val="51"/>
        <w:spacing w:line="360" w:lineRule="auto"/>
        <w:ind w:firstLine="480"/>
        <w:rPr>
          <w:rFonts w:ascii="宋体" w:hAnsi="宋体"/>
          <w:sz w:val="24"/>
        </w:rPr>
      </w:pPr>
      <w:r>
        <w:rPr>
          <w:rFonts w:hint="eastAsia" w:ascii="宋体" w:hAnsi="宋体"/>
          <w:sz w:val="24"/>
        </w:rPr>
        <w:t>2</w:t>
      </w:r>
      <w:r>
        <w:rPr>
          <w:rFonts w:ascii="宋体" w:hAnsi="宋体"/>
          <w:sz w:val="24"/>
        </w:rPr>
        <w:t>4</w:t>
      </w:r>
      <w:r>
        <w:rPr>
          <w:rFonts w:hint="eastAsia" w:ascii="宋体" w:hAnsi="宋体"/>
          <w:sz w:val="24"/>
        </w:rPr>
        <w:t>.1中选公告发布期满后，在本须知第</w:t>
      </w:r>
      <w:r>
        <w:rPr>
          <w:rFonts w:ascii="宋体" w:hAnsi="宋体"/>
          <w:sz w:val="24"/>
        </w:rPr>
        <w:t>14</w:t>
      </w:r>
      <w:r>
        <w:rPr>
          <w:rFonts w:hint="eastAsia" w:ascii="宋体" w:hAnsi="宋体"/>
          <w:sz w:val="24"/>
        </w:rPr>
        <w:t>条规定的比选申请有效期内，比选人以书面形式向中选人发出中选通知书。</w:t>
      </w:r>
    </w:p>
    <w:p>
      <w:pPr>
        <w:pStyle w:val="51"/>
        <w:spacing w:line="360" w:lineRule="auto"/>
        <w:ind w:firstLine="480"/>
        <w:rPr>
          <w:rFonts w:ascii="宋体" w:hAnsi="宋体"/>
          <w:sz w:val="24"/>
        </w:rPr>
      </w:pPr>
      <w:r>
        <w:rPr>
          <w:rFonts w:hint="eastAsia" w:ascii="宋体" w:hAnsi="宋体"/>
          <w:sz w:val="24"/>
        </w:rPr>
        <w:t>2</w:t>
      </w:r>
      <w:r>
        <w:rPr>
          <w:rFonts w:ascii="宋体" w:hAnsi="宋体"/>
          <w:sz w:val="24"/>
        </w:rPr>
        <w:t>4</w:t>
      </w:r>
      <w:r>
        <w:rPr>
          <w:rFonts w:hint="eastAsia" w:ascii="宋体" w:hAnsi="宋体"/>
          <w:sz w:val="24"/>
        </w:rPr>
        <w:t>.2比选人无义务向落选的比选申请人解释落选原因，不退还比选申请文件。</w:t>
      </w:r>
    </w:p>
    <w:p>
      <w:pPr>
        <w:pStyle w:val="51"/>
        <w:spacing w:line="360" w:lineRule="auto"/>
        <w:ind w:firstLine="480"/>
        <w:rPr>
          <w:rFonts w:ascii="宋体" w:hAnsi="宋体"/>
          <w:sz w:val="24"/>
        </w:rPr>
      </w:pPr>
      <w:r>
        <w:rPr>
          <w:rFonts w:hint="eastAsia" w:ascii="宋体" w:hAnsi="宋体"/>
          <w:sz w:val="24"/>
        </w:rPr>
        <w:t>2</w:t>
      </w:r>
      <w:r>
        <w:rPr>
          <w:rFonts w:ascii="宋体" w:hAnsi="宋体"/>
          <w:sz w:val="24"/>
        </w:rPr>
        <w:t>4</w:t>
      </w:r>
      <w:r>
        <w:rPr>
          <w:rFonts w:hint="eastAsia" w:ascii="宋体" w:hAnsi="宋体"/>
          <w:sz w:val="24"/>
        </w:rPr>
        <w:t>.3中选通知书将作为签订合同的依据，是合同的组成部分。</w:t>
      </w:r>
    </w:p>
    <w:p>
      <w:pPr>
        <w:pStyle w:val="4"/>
        <w:spacing w:before="156" w:beforeLines="50" w:after="0" w:line="240" w:lineRule="auto"/>
        <w:rPr>
          <w:rFonts w:ascii="宋体" w:hAnsi="宋体"/>
          <w:sz w:val="24"/>
        </w:rPr>
      </w:pPr>
      <w:bookmarkStart w:id="203" w:name="_Toc465934636"/>
      <w:bookmarkStart w:id="204" w:name="_Toc392862505"/>
      <w:bookmarkStart w:id="205" w:name="_Toc114052380"/>
      <w:bookmarkStart w:id="206" w:name="_Toc286386864"/>
      <w:bookmarkStart w:id="207" w:name="_Toc114052444"/>
      <w:r>
        <w:rPr>
          <w:rFonts w:hint="eastAsia" w:ascii="宋体" w:hAnsi="宋体"/>
          <w:sz w:val="24"/>
        </w:rPr>
        <w:t>2</w:t>
      </w:r>
      <w:r>
        <w:rPr>
          <w:rFonts w:ascii="宋体" w:hAnsi="宋体"/>
          <w:sz w:val="24"/>
        </w:rPr>
        <w:t xml:space="preserve">5. </w:t>
      </w:r>
      <w:r>
        <w:rPr>
          <w:rFonts w:hint="eastAsia" w:ascii="宋体" w:hAnsi="宋体"/>
          <w:sz w:val="24"/>
        </w:rPr>
        <w:t>合同的签署</w:t>
      </w:r>
      <w:bookmarkEnd w:id="203"/>
      <w:bookmarkEnd w:id="204"/>
      <w:bookmarkEnd w:id="205"/>
      <w:bookmarkEnd w:id="206"/>
      <w:bookmarkEnd w:id="207"/>
    </w:p>
    <w:p>
      <w:pPr>
        <w:pStyle w:val="51"/>
        <w:spacing w:line="360" w:lineRule="auto"/>
        <w:ind w:firstLine="480"/>
        <w:rPr>
          <w:rFonts w:ascii="宋体" w:hAnsi="宋体"/>
          <w:sz w:val="24"/>
        </w:rPr>
      </w:pPr>
      <w:r>
        <w:rPr>
          <w:rFonts w:hint="eastAsia" w:ascii="宋体" w:hAnsi="宋体"/>
          <w:sz w:val="24"/>
        </w:rPr>
        <w:t>2</w:t>
      </w:r>
      <w:r>
        <w:rPr>
          <w:rFonts w:ascii="宋体" w:hAnsi="宋体"/>
          <w:sz w:val="24"/>
        </w:rPr>
        <w:t>5</w:t>
      </w:r>
      <w:r>
        <w:rPr>
          <w:rFonts w:hint="eastAsia" w:ascii="宋体" w:hAnsi="宋体"/>
          <w:sz w:val="24"/>
        </w:rPr>
        <w:t>.1中选人应按中选通知书的规定，由法定代表人或授权委托代理人与比选人及时签订合同。</w:t>
      </w:r>
    </w:p>
    <w:p>
      <w:pPr>
        <w:pStyle w:val="51"/>
        <w:spacing w:line="360" w:lineRule="auto"/>
        <w:ind w:firstLine="480"/>
        <w:rPr>
          <w:rFonts w:ascii="宋体" w:hAnsi="宋体"/>
          <w:sz w:val="24"/>
        </w:rPr>
      </w:pPr>
      <w:r>
        <w:rPr>
          <w:rFonts w:hint="eastAsia" w:ascii="宋体" w:hAnsi="宋体"/>
          <w:sz w:val="24"/>
        </w:rPr>
        <w:t>2</w:t>
      </w:r>
      <w:r>
        <w:rPr>
          <w:rFonts w:ascii="宋体" w:hAnsi="宋体"/>
          <w:sz w:val="24"/>
        </w:rPr>
        <w:t>5</w:t>
      </w:r>
      <w:r>
        <w:rPr>
          <w:rFonts w:hint="eastAsia" w:ascii="宋体" w:hAnsi="宋体"/>
          <w:sz w:val="24"/>
        </w:rPr>
        <w:t>.2比选文件、中选通知书、中选人的比选申请文件及双方确认的澄清文件等，均为有法律约束力的合同的组成部分。</w:t>
      </w:r>
    </w:p>
    <w:p>
      <w:pPr>
        <w:pStyle w:val="51"/>
        <w:spacing w:line="360" w:lineRule="auto"/>
        <w:ind w:firstLine="480"/>
        <w:rPr>
          <w:rFonts w:ascii="宋体" w:hAnsi="宋体"/>
          <w:sz w:val="24"/>
        </w:rPr>
      </w:pPr>
      <w:r>
        <w:rPr>
          <w:rFonts w:ascii="宋体" w:hAnsi="宋体"/>
          <w:sz w:val="24"/>
        </w:rPr>
        <w:t>25.3</w:t>
      </w:r>
      <w:r>
        <w:rPr>
          <w:rFonts w:hint="eastAsia" w:ascii="宋体" w:hAnsi="宋体"/>
          <w:sz w:val="24"/>
        </w:rPr>
        <w:t>如第一中选人因自身原因不能履约签订合同或履行合同的，比选人将取消其中选资格，并从后续排名中选候选人中依次向上递补确定中选人或重新比选确定中选人。</w:t>
      </w:r>
    </w:p>
    <w:p>
      <w:pPr>
        <w:pStyle w:val="51"/>
        <w:spacing w:line="360" w:lineRule="auto"/>
        <w:ind w:firstLine="480"/>
        <w:rPr>
          <w:rFonts w:ascii="宋体" w:hAnsi="宋体"/>
          <w:sz w:val="24"/>
        </w:rPr>
      </w:pPr>
      <w:r>
        <w:rPr>
          <w:rFonts w:hint="eastAsia" w:ascii="宋体" w:hAnsi="宋体"/>
          <w:sz w:val="24"/>
        </w:rPr>
        <w:t>25.4</w:t>
      </w:r>
      <w:r>
        <w:rPr>
          <w:rFonts w:hint="eastAsia" w:ascii="宋体" w:hAnsi="宋体"/>
          <w:b/>
          <w:sz w:val="24"/>
        </w:rPr>
        <w:t>中选人若未在比选申请文件“商务响应表”及“分项报价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spacing w:before="156" w:beforeLines="50" w:after="0" w:line="240" w:lineRule="auto"/>
        <w:rPr>
          <w:rFonts w:ascii="宋体" w:hAnsi="宋体"/>
          <w:sz w:val="24"/>
        </w:rPr>
      </w:pPr>
      <w:r>
        <w:rPr>
          <w:rFonts w:hint="eastAsia" w:ascii="宋体" w:hAnsi="宋体"/>
          <w:sz w:val="24"/>
        </w:rPr>
        <w:t xml:space="preserve">26. </w:t>
      </w:r>
      <w:r>
        <w:rPr>
          <w:rFonts w:ascii="宋体" w:hAnsi="宋体"/>
          <w:sz w:val="24"/>
        </w:rPr>
        <w:t>其他</w:t>
      </w:r>
    </w:p>
    <w:p>
      <w:pPr>
        <w:spacing w:line="360" w:lineRule="auto"/>
        <w:ind w:firstLine="480" w:firstLineChars="200"/>
        <w:rPr>
          <w:rFonts w:ascii="宋体" w:hAnsi="宋体"/>
          <w:sz w:val="24"/>
        </w:rPr>
      </w:pPr>
      <w:r>
        <w:rPr>
          <w:rFonts w:hint="eastAsia" w:ascii="宋体" w:hAnsi="宋体"/>
          <w:sz w:val="24"/>
        </w:rPr>
        <w:t>26.1比选申请人将被视为已合理地充分了解了对所有影响本项目的事项，包括任何与项目和项目时间表有关的特殊困难。</w:t>
      </w:r>
    </w:p>
    <w:p>
      <w:pPr>
        <w:spacing w:line="360" w:lineRule="auto"/>
        <w:ind w:firstLine="480" w:firstLineChars="200"/>
        <w:rPr>
          <w:rFonts w:ascii="宋体" w:hAnsi="宋体"/>
          <w:sz w:val="24"/>
        </w:rPr>
      </w:pPr>
      <w:r>
        <w:rPr>
          <w:rFonts w:ascii="宋体" w:hAnsi="宋体"/>
          <w:sz w:val="24"/>
        </w:rPr>
        <w:t>26.2</w:t>
      </w:r>
      <w:r>
        <w:rPr>
          <w:rFonts w:hint="eastAsia" w:ascii="宋体" w:hAnsi="宋体"/>
          <w:sz w:val="24"/>
        </w:rPr>
        <w:t>如果比选申请人在比选申请过程中有欺诈行为，则比选人有权否决比选申请人的比选申请。</w:t>
      </w:r>
    </w:p>
    <w:p>
      <w:pPr>
        <w:spacing w:line="360" w:lineRule="auto"/>
        <w:ind w:firstLine="480" w:firstLineChars="200"/>
        <w:rPr>
          <w:rFonts w:ascii="宋体" w:hAnsi="宋体"/>
          <w:sz w:val="24"/>
        </w:rPr>
      </w:pPr>
      <w:r>
        <w:rPr>
          <w:rFonts w:ascii="宋体" w:hAnsi="宋体"/>
          <w:sz w:val="24"/>
        </w:rPr>
        <w:t>26.3</w:t>
      </w:r>
      <w:r>
        <w:rPr>
          <w:rFonts w:hint="eastAsia" w:ascii="宋体" w:hAnsi="宋体"/>
          <w:sz w:val="24"/>
        </w:rPr>
        <w:t>分包：本项目不允许分包、禁止转包。</w:t>
      </w:r>
    </w:p>
    <w:p>
      <w:pPr>
        <w:spacing w:line="360" w:lineRule="auto"/>
        <w:ind w:firstLine="480" w:firstLineChars="200"/>
        <w:rPr>
          <w:rFonts w:ascii="宋体" w:hAnsi="宋体"/>
          <w:sz w:val="24"/>
        </w:rPr>
      </w:pPr>
      <w:r>
        <w:rPr>
          <w:rFonts w:ascii="宋体" w:hAnsi="宋体"/>
          <w:sz w:val="24"/>
        </w:rPr>
        <w:t>26.4</w:t>
      </w:r>
      <w:r>
        <w:rPr>
          <w:rFonts w:hint="eastAsia" w:ascii="宋体" w:hAnsi="宋体"/>
          <w:sz w:val="24"/>
        </w:rPr>
        <w:t>需要补充的其他内容：详见前附表</w:t>
      </w:r>
    </w:p>
    <w:p>
      <w:pPr>
        <w:widowControl/>
        <w:jc w:val="left"/>
        <w:rPr>
          <w:rFonts w:ascii="宋体" w:hAnsi="宋体"/>
          <w:sz w:val="24"/>
        </w:rPr>
      </w:pPr>
      <w:r>
        <w:rPr>
          <w:rFonts w:ascii="宋体" w:hAnsi="宋体"/>
          <w:sz w:val="24"/>
        </w:rPr>
        <w:br w:type="page"/>
      </w:r>
    </w:p>
    <w:p>
      <w:pPr>
        <w:pStyle w:val="2"/>
        <w:spacing w:before="312" w:beforeLines="100" w:after="312" w:afterLines="100" w:line="360" w:lineRule="auto"/>
        <w:jc w:val="center"/>
        <w:rPr>
          <w:sz w:val="32"/>
          <w:szCs w:val="28"/>
        </w:rPr>
      </w:pPr>
      <w:bookmarkStart w:id="208" w:name="_Toc121082004"/>
      <w:bookmarkStart w:id="209" w:name="_Toc437544687"/>
      <w:bookmarkStart w:id="210" w:name="_Toc437544532"/>
      <w:r>
        <w:rPr>
          <w:rFonts w:hint="eastAsia"/>
          <w:sz w:val="32"/>
          <w:szCs w:val="28"/>
        </w:rPr>
        <w:t>第三章 合同条款及格式</w:t>
      </w:r>
      <w:bookmarkEnd w:id="208"/>
    </w:p>
    <w:p>
      <w:pPr>
        <w:spacing w:after="100" w:afterAutospacing="1"/>
        <w:jc w:val="center"/>
        <w:rPr>
          <w:b/>
          <w:sz w:val="28"/>
        </w:rPr>
      </w:pPr>
      <w:r>
        <w:rPr>
          <w:rFonts w:hint="eastAsia"/>
          <w:b/>
          <w:sz w:val="28"/>
        </w:rPr>
        <w:t>（格式）</w:t>
      </w:r>
    </w:p>
    <w:p>
      <w:pPr>
        <w:spacing w:after="120"/>
        <w:jc w:val="center"/>
        <w:rPr>
          <w:rFonts w:ascii="黑体" w:eastAsia="黑体"/>
          <w:sz w:val="11"/>
          <w:szCs w:val="11"/>
        </w:rPr>
      </w:pPr>
    </w:p>
    <w:p>
      <w:pPr>
        <w:spacing w:after="120"/>
        <w:jc w:val="center"/>
        <w:rPr>
          <w:rFonts w:ascii="黑体" w:eastAsia="黑体"/>
          <w:sz w:val="36"/>
          <w:szCs w:val="36"/>
        </w:rPr>
      </w:pPr>
    </w:p>
    <w:p>
      <w:pPr>
        <w:spacing w:after="120"/>
        <w:jc w:val="center"/>
        <w:rPr>
          <w:rFonts w:ascii="黑体" w:eastAsia="黑体"/>
          <w:sz w:val="36"/>
          <w:szCs w:val="36"/>
        </w:rPr>
      </w:pPr>
    </w:p>
    <w:p>
      <w:pPr>
        <w:spacing w:after="120"/>
        <w:jc w:val="center"/>
        <w:rPr>
          <w:rFonts w:ascii="黑体" w:eastAsia="黑体"/>
          <w:sz w:val="36"/>
          <w:szCs w:val="36"/>
        </w:rPr>
      </w:pPr>
      <w:r>
        <w:rPr>
          <w:rFonts w:hint="eastAsia" w:ascii="黑体" w:eastAsia="黑体"/>
          <w:sz w:val="36"/>
          <w:szCs w:val="36"/>
        </w:rPr>
        <w:t xml:space="preserve">南宁轨道交通运营有限公司 </w:t>
      </w:r>
    </w:p>
    <w:p>
      <w:pPr>
        <w:spacing w:after="120"/>
        <w:jc w:val="center"/>
        <w:rPr>
          <w:rFonts w:ascii="黑体" w:eastAsia="黑体"/>
          <w:sz w:val="36"/>
          <w:szCs w:val="36"/>
        </w:rPr>
      </w:pPr>
      <w:r>
        <w:rPr>
          <w:rFonts w:hint="eastAsia" w:ascii="黑体" w:eastAsia="黑体"/>
          <w:sz w:val="36"/>
          <w:szCs w:val="36"/>
        </w:rPr>
        <w:t>2024年广西电力市场化交易项目（重）</w:t>
      </w:r>
    </w:p>
    <w:p>
      <w:pPr>
        <w:jc w:val="center"/>
        <w:rPr>
          <w:rFonts w:ascii="宋体" w:hAnsi="宋体"/>
          <w:b/>
          <w:sz w:val="52"/>
        </w:rPr>
      </w:pPr>
    </w:p>
    <w:p>
      <w:pPr>
        <w:jc w:val="center"/>
        <w:rPr>
          <w:rFonts w:ascii="宋体" w:hAnsi="宋体"/>
          <w:b/>
          <w:sz w:val="52"/>
        </w:rPr>
      </w:pPr>
      <w:r>
        <w:rPr>
          <w:rFonts w:hint="eastAsia" w:ascii="宋体" w:hAnsi="宋体"/>
          <w:b/>
          <w:sz w:val="52"/>
        </w:rPr>
        <w:t>合</w:t>
      </w:r>
    </w:p>
    <w:p>
      <w:pPr>
        <w:jc w:val="center"/>
        <w:rPr>
          <w:rFonts w:ascii="宋体" w:hAnsi="宋体"/>
          <w:b/>
          <w:sz w:val="52"/>
        </w:rPr>
      </w:pPr>
      <w:r>
        <w:rPr>
          <w:rFonts w:hint="eastAsia" w:ascii="宋体" w:hAnsi="宋体"/>
          <w:b/>
          <w:sz w:val="52"/>
        </w:rPr>
        <w:t>同</w:t>
      </w:r>
    </w:p>
    <w:p>
      <w:pPr>
        <w:jc w:val="center"/>
        <w:rPr>
          <w:rFonts w:ascii="宋体" w:hAnsi="宋体"/>
          <w:b/>
          <w:sz w:val="52"/>
        </w:rPr>
      </w:pPr>
      <w:r>
        <w:rPr>
          <w:rFonts w:hint="eastAsia" w:ascii="宋体" w:hAnsi="宋体"/>
          <w:b/>
          <w:sz w:val="52"/>
        </w:rPr>
        <w:t>书</w:t>
      </w:r>
    </w:p>
    <w:p>
      <w:pPr>
        <w:ind w:left="3129" w:leftChars="707" w:hanging="1644" w:hangingChars="546"/>
        <w:rPr>
          <w:rFonts w:ascii="宋体" w:hAnsi="宋体"/>
          <w:b/>
          <w:sz w:val="30"/>
        </w:rPr>
      </w:pPr>
    </w:p>
    <w:p>
      <w:pPr>
        <w:ind w:left="3123" w:leftChars="707" w:hanging="1638" w:hangingChars="546"/>
        <w:rPr>
          <w:rFonts w:ascii="宋体" w:hAnsi="宋体"/>
          <w:sz w:val="30"/>
          <w:szCs w:val="30"/>
        </w:rPr>
      </w:pPr>
    </w:p>
    <w:p>
      <w:pPr>
        <w:ind w:firstLine="1506" w:firstLineChars="500"/>
        <w:rPr>
          <w:rFonts w:ascii="宋体" w:hAnsi="宋体"/>
          <w:b/>
          <w:sz w:val="30"/>
        </w:rPr>
      </w:pPr>
    </w:p>
    <w:p>
      <w:pPr>
        <w:ind w:firstLine="1506" w:firstLineChars="500"/>
        <w:rPr>
          <w:rFonts w:ascii="宋体" w:hAnsi="宋体"/>
          <w:b/>
          <w:sz w:val="30"/>
        </w:rPr>
      </w:pPr>
    </w:p>
    <w:p>
      <w:pPr>
        <w:ind w:firstLine="1506" w:firstLineChars="500"/>
        <w:rPr>
          <w:rFonts w:ascii="宋体" w:hAnsi="宋体"/>
          <w:b/>
          <w:sz w:val="30"/>
        </w:rPr>
      </w:pPr>
    </w:p>
    <w:p>
      <w:pPr>
        <w:ind w:firstLine="1506" w:firstLineChars="500"/>
        <w:rPr>
          <w:rFonts w:ascii="宋体" w:hAnsi="宋体"/>
          <w:b/>
          <w:sz w:val="30"/>
        </w:rPr>
      </w:pPr>
      <w:r>
        <w:rPr>
          <w:rFonts w:hint="eastAsia" w:ascii="宋体" w:hAnsi="宋体"/>
          <w:b/>
          <w:sz w:val="30"/>
        </w:rPr>
        <w:t xml:space="preserve">甲    方： </w:t>
      </w:r>
      <w:r>
        <w:rPr>
          <w:rFonts w:hint="eastAsia"/>
          <w:sz w:val="30"/>
          <w:szCs w:val="30"/>
        </w:rPr>
        <w:t>南宁轨道交通运营有限公司</w:t>
      </w:r>
    </w:p>
    <w:p>
      <w:pPr>
        <w:ind w:firstLine="1506" w:firstLineChars="500"/>
        <w:rPr>
          <w:rFonts w:ascii="宋体" w:hAnsi="宋体"/>
          <w:b/>
          <w:bCs/>
          <w:sz w:val="30"/>
        </w:rPr>
      </w:pPr>
      <w:r>
        <w:rPr>
          <w:rFonts w:hint="eastAsia" w:ascii="宋体" w:hAnsi="宋体"/>
          <w:b/>
          <w:sz w:val="30"/>
        </w:rPr>
        <w:t>乙    方：</w:t>
      </w:r>
    </w:p>
    <w:p>
      <w:pPr>
        <w:spacing w:line="360" w:lineRule="auto"/>
        <w:ind w:right="-86" w:rightChars="-41" w:firstLine="1455" w:firstLineChars="483"/>
        <w:rPr>
          <w:rFonts w:ascii="宋体" w:hAnsi="宋体"/>
          <w:b/>
          <w:sz w:val="32"/>
        </w:rPr>
      </w:pPr>
      <w:r>
        <w:rPr>
          <w:rFonts w:hint="eastAsia" w:ascii="宋体" w:hAnsi="宋体"/>
          <w:b/>
          <w:sz w:val="30"/>
        </w:rPr>
        <w:t>签约</w:t>
      </w:r>
      <w:r>
        <w:rPr>
          <w:rFonts w:hint="eastAsia" w:ascii="宋体" w:hAnsi="宋体"/>
          <w:b/>
          <w:bCs/>
          <w:sz w:val="30"/>
        </w:rPr>
        <w:t xml:space="preserve">时间： </w:t>
      </w:r>
      <w:r>
        <w:rPr>
          <w:rFonts w:ascii="宋体" w:hAnsi="宋体"/>
          <w:b/>
          <w:bCs/>
          <w:sz w:val="30"/>
        </w:rPr>
        <w:t xml:space="preserve">       年</w:t>
      </w:r>
      <w:r>
        <w:rPr>
          <w:rFonts w:hint="eastAsia" w:ascii="宋体" w:hAnsi="宋体"/>
          <w:b/>
          <w:bCs/>
          <w:sz w:val="30"/>
        </w:rPr>
        <w:t xml:space="preserve"> </w:t>
      </w:r>
      <w:r>
        <w:rPr>
          <w:rFonts w:ascii="宋体" w:hAnsi="宋体"/>
          <w:b/>
          <w:bCs/>
          <w:sz w:val="30"/>
        </w:rPr>
        <w:t xml:space="preserve">  月</w:t>
      </w:r>
      <w:r>
        <w:rPr>
          <w:rFonts w:hint="eastAsia" w:ascii="宋体" w:hAnsi="宋体"/>
          <w:b/>
          <w:bCs/>
          <w:sz w:val="30"/>
        </w:rPr>
        <w:t xml:space="preserve"> </w:t>
      </w:r>
      <w:r>
        <w:rPr>
          <w:rFonts w:ascii="宋体" w:hAnsi="宋体"/>
          <w:b/>
          <w:bCs/>
          <w:sz w:val="30"/>
        </w:rPr>
        <w:t xml:space="preserve">  日</w:t>
      </w:r>
    </w:p>
    <w:p>
      <w:pPr>
        <w:widowControl/>
        <w:jc w:val="center"/>
        <w:rPr>
          <w:rFonts w:ascii="宋体" w:hAnsi="宋体"/>
          <w:b/>
          <w:sz w:val="44"/>
          <w:szCs w:val="44"/>
        </w:rPr>
      </w:pPr>
      <w:r>
        <w:rPr>
          <w:rFonts w:ascii="宋体" w:hAnsi="宋体"/>
          <w:b/>
          <w:sz w:val="32"/>
        </w:rPr>
        <w:br w:type="page"/>
      </w:r>
      <w:r>
        <w:rPr>
          <w:rFonts w:hint="eastAsia" w:ascii="宋体" w:hAnsi="宋体"/>
          <w:b/>
          <w:sz w:val="44"/>
          <w:szCs w:val="44"/>
        </w:rPr>
        <w:t>合 同 正 文</w:t>
      </w:r>
    </w:p>
    <w:p>
      <w:pPr>
        <w:spacing w:before="156" w:beforeLines="50" w:after="156" w:afterLines="50" w:line="360" w:lineRule="auto"/>
        <w:ind w:right="-86" w:rightChars="-41"/>
        <w:rPr>
          <w:rFonts w:ascii="宋体" w:hAnsi="宋体"/>
          <w:kern w:val="0"/>
          <w:sz w:val="24"/>
        </w:rPr>
      </w:pPr>
    </w:p>
    <w:p>
      <w:pPr>
        <w:spacing w:line="360" w:lineRule="auto"/>
        <w:rPr>
          <w:rFonts w:ascii="宋体" w:hAnsi="宋体"/>
          <w:sz w:val="24"/>
          <w:szCs w:val="24"/>
        </w:rPr>
      </w:pPr>
      <w:r>
        <w:rPr>
          <w:rFonts w:hint="eastAsia" w:ascii="宋体" w:hAnsi="宋体"/>
          <w:sz w:val="24"/>
          <w:szCs w:val="24"/>
        </w:rPr>
        <w:t>甲方：</w:t>
      </w:r>
      <w:r>
        <w:rPr>
          <w:rFonts w:hint="eastAsia" w:ascii="宋体" w:hAnsi="宋体"/>
          <w:sz w:val="24"/>
          <w:szCs w:val="24"/>
          <w:u w:val="single"/>
        </w:rPr>
        <w:t xml:space="preserve"> 南宁轨道交通运营有限公司</w:t>
      </w:r>
      <w:r>
        <w:rPr>
          <w:rFonts w:ascii="宋体" w:hAnsi="宋体"/>
          <w:sz w:val="24"/>
          <w:szCs w:val="24"/>
          <w:u w:val="single"/>
        </w:rPr>
        <w:t xml:space="preserve">     </w:t>
      </w:r>
      <w:r>
        <w:rPr>
          <w:rFonts w:hint="eastAsia" w:ascii="宋体" w:hAnsi="宋体"/>
          <w:sz w:val="24"/>
          <w:szCs w:val="24"/>
          <w:u w:val="single"/>
        </w:rPr>
        <w:t xml:space="preserve"> </w:t>
      </w:r>
    </w:p>
    <w:p>
      <w:pPr>
        <w:spacing w:line="360" w:lineRule="auto"/>
        <w:rPr>
          <w:rFonts w:ascii="宋体" w:hAnsi="宋体"/>
          <w:sz w:val="24"/>
          <w:szCs w:val="24"/>
        </w:rPr>
      </w:pPr>
    </w:p>
    <w:p>
      <w:pPr>
        <w:spacing w:line="360" w:lineRule="auto"/>
        <w:rPr>
          <w:rFonts w:ascii="宋体" w:hAnsi="宋体"/>
          <w:sz w:val="24"/>
          <w:szCs w:val="24"/>
          <w:u w:val="single"/>
        </w:rPr>
      </w:pPr>
      <w:r>
        <w:rPr>
          <w:rFonts w:hint="eastAsia" w:ascii="宋体" w:hAnsi="宋体"/>
          <w:sz w:val="24"/>
          <w:szCs w:val="24"/>
        </w:rPr>
        <w:t>乙方：</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p>
    <w:p>
      <w:pPr>
        <w:spacing w:line="360" w:lineRule="auto"/>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甲、乙双方根据国家有关法律、法规，按照电力交易规则、年度市场化交易实施方案以及交易公告等，本着平等、自愿、公平和诚信的原则，经协商一致，签订南宁轨道交通运营有限公司2024年广西电力市场化交易项目合同书（以下简称“本合同</w:t>
      </w:r>
      <w:r>
        <w:rPr>
          <w:rFonts w:ascii="宋体" w:hAnsi="宋体"/>
          <w:sz w:val="24"/>
          <w:szCs w:val="24"/>
        </w:rPr>
        <w:t>”</w:t>
      </w:r>
      <w:r>
        <w:rPr>
          <w:rFonts w:hint="eastAsia" w:ascii="宋体" w:hAnsi="宋体"/>
          <w:sz w:val="24"/>
          <w:szCs w:val="24"/>
        </w:rPr>
        <w:t>）。</w:t>
      </w:r>
    </w:p>
    <w:p>
      <w:pPr>
        <w:pStyle w:val="51"/>
        <w:numPr>
          <w:ilvl w:val="0"/>
          <w:numId w:val="11"/>
        </w:numPr>
        <w:spacing w:before="156" w:beforeLines="50" w:line="360" w:lineRule="auto"/>
        <w:ind w:left="0" w:firstLine="482"/>
        <w:outlineLvl w:val="1"/>
        <w:rPr>
          <w:rFonts w:ascii="宋体" w:hAnsi="宋体"/>
          <w:b/>
          <w:sz w:val="24"/>
          <w:szCs w:val="24"/>
        </w:rPr>
      </w:pPr>
      <w:bookmarkStart w:id="211" w:name="_Toc121082005"/>
      <w:r>
        <w:rPr>
          <w:rFonts w:ascii="宋体" w:hAnsi="宋体"/>
          <w:b/>
          <w:sz w:val="24"/>
          <w:szCs w:val="24"/>
        </w:rPr>
        <w:t>定义和说明</w:t>
      </w:r>
      <w:bookmarkEnd w:id="211"/>
    </w:p>
    <w:p>
      <w:pPr>
        <w:pStyle w:val="51"/>
        <w:numPr>
          <w:ilvl w:val="1"/>
          <w:numId w:val="12"/>
        </w:numPr>
        <w:spacing w:line="360" w:lineRule="auto"/>
        <w:ind w:left="0" w:firstLine="480"/>
        <w:rPr>
          <w:rFonts w:ascii="宋体" w:hAnsi="宋体"/>
          <w:sz w:val="24"/>
          <w:szCs w:val="24"/>
        </w:rPr>
      </w:pPr>
      <w:r>
        <w:rPr>
          <w:rFonts w:hint="eastAsia" w:ascii="宋体" w:hAnsi="宋体"/>
          <w:sz w:val="24"/>
          <w:szCs w:val="24"/>
        </w:rPr>
        <w:t>定义</w:t>
      </w:r>
    </w:p>
    <w:p>
      <w:pPr>
        <w:pStyle w:val="51"/>
        <w:numPr>
          <w:ilvl w:val="2"/>
          <w:numId w:val="13"/>
        </w:numPr>
        <w:spacing w:line="360" w:lineRule="auto"/>
        <w:ind w:left="0" w:firstLine="480"/>
        <w:rPr>
          <w:rFonts w:ascii="宋体" w:hAnsi="宋体"/>
          <w:sz w:val="24"/>
          <w:szCs w:val="24"/>
        </w:rPr>
      </w:pPr>
      <w:r>
        <w:rPr>
          <w:rFonts w:hint="eastAsia" w:ascii="宋体" w:hAnsi="宋体"/>
          <w:sz w:val="24"/>
          <w:szCs w:val="24"/>
        </w:rPr>
        <w:t>电力交易：指售电公司与电力用户之间进行的购售电交易活动。</w:t>
      </w:r>
    </w:p>
    <w:p>
      <w:pPr>
        <w:pStyle w:val="51"/>
        <w:numPr>
          <w:ilvl w:val="2"/>
          <w:numId w:val="13"/>
        </w:numPr>
        <w:spacing w:line="360" w:lineRule="auto"/>
        <w:ind w:left="0" w:firstLine="480"/>
        <w:rPr>
          <w:rFonts w:ascii="宋体" w:hAnsi="宋体"/>
          <w:sz w:val="24"/>
          <w:szCs w:val="24"/>
        </w:rPr>
      </w:pPr>
      <w:r>
        <w:rPr>
          <w:rFonts w:hint="eastAsia" w:ascii="宋体" w:hAnsi="宋体"/>
          <w:sz w:val="24"/>
          <w:szCs w:val="24"/>
        </w:rPr>
        <w:t>计量点：指本合同涉及的用户侧计量点，以电力用户与电网企业在《供用电合同》中约定的电能计量装置关口表安装位置为准。</w:t>
      </w:r>
    </w:p>
    <w:p>
      <w:pPr>
        <w:pStyle w:val="51"/>
        <w:numPr>
          <w:ilvl w:val="2"/>
          <w:numId w:val="13"/>
        </w:numPr>
        <w:spacing w:line="360" w:lineRule="auto"/>
        <w:ind w:left="0" w:firstLine="480"/>
        <w:rPr>
          <w:rFonts w:ascii="宋体" w:hAnsi="宋体"/>
          <w:sz w:val="24"/>
          <w:szCs w:val="24"/>
        </w:rPr>
      </w:pPr>
      <w:r>
        <w:rPr>
          <w:rFonts w:ascii="宋体" w:hAnsi="宋体"/>
          <w:sz w:val="24"/>
          <w:szCs w:val="24"/>
        </w:rPr>
        <w:t>交易价格：即合同价格，指甲乙双方在本项目</w:t>
      </w:r>
      <w:r>
        <w:rPr>
          <w:rFonts w:hint="eastAsia" w:ascii="宋体" w:hAnsi="宋体"/>
          <w:sz w:val="24"/>
          <w:szCs w:val="24"/>
        </w:rPr>
        <w:t>中约定的各交易品种的采购价格，详见《广西壮族自治区工业和信息化厅 广西壮族自治区发展和改革委员会 国家能源局南方监管局关于印发2023年广西电力市场交易实施方案的通知》（桂工信规范〔2022〕6号）。</w:t>
      </w:r>
    </w:p>
    <w:p>
      <w:pPr>
        <w:pStyle w:val="51"/>
        <w:numPr>
          <w:ilvl w:val="2"/>
          <w:numId w:val="13"/>
        </w:numPr>
        <w:spacing w:line="360" w:lineRule="auto"/>
        <w:ind w:left="0" w:firstLine="480"/>
        <w:rPr>
          <w:rFonts w:ascii="宋体" w:hAnsi="宋体"/>
          <w:sz w:val="24"/>
          <w:szCs w:val="24"/>
        </w:rPr>
      </w:pPr>
      <w:r>
        <w:rPr>
          <w:rFonts w:ascii="宋体" w:hAnsi="宋体"/>
          <w:sz w:val="24"/>
          <w:szCs w:val="24"/>
        </w:rPr>
        <w:t>交易电量：即合同电量，指甲乙双方在本项目中约定的各交易品种的</w:t>
      </w:r>
      <w:r>
        <w:rPr>
          <w:rFonts w:hint="eastAsia" w:ascii="宋体" w:hAnsi="宋体"/>
          <w:sz w:val="24"/>
          <w:szCs w:val="24"/>
        </w:rPr>
        <w:t>采购</w:t>
      </w:r>
      <w:r>
        <w:rPr>
          <w:rFonts w:ascii="宋体" w:hAnsi="宋体"/>
          <w:sz w:val="24"/>
          <w:szCs w:val="24"/>
        </w:rPr>
        <w:t>电量，</w:t>
      </w:r>
      <w:r>
        <w:rPr>
          <w:rFonts w:hint="eastAsia" w:ascii="宋体" w:hAnsi="宋体"/>
          <w:sz w:val="24"/>
          <w:szCs w:val="24"/>
        </w:rPr>
        <w:t>详见《广西壮族自治区工业和信息化厅 广西壮族自治区发展和改革委员会 国家能源局南方监管局关于印发2023年广西电力市场交易实施方案的通知》（桂工信规范〔2022〕6号）</w:t>
      </w:r>
      <w:r>
        <w:rPr>
          <w:rFonts w:ascii="宋体" w:hAnsi="宋体"/>
          <w:sz w:val="24"/>
          <w:szCs w:val="24"/>
        </w:rPr>
        <w:t>。</w:t>
      </w:r>
    </w:p>
    <w:p>
      <w:pPr>
        <w:pStyle w:val="51"/>
        <w:numPr>
          <w:ilvl w:val="2"/>
          <w:numId w:val="13"/>
        </w:numPr>
        <w:spacing w:line="360" w:lineRule="auto"/>
        <w:ind w:left="0" w:firstLine="480"/>
        <w:rPr>
          <w:rFonts w:ascii="宋体" w:hAnsi="宋体"/>
          <w:sz w:val="24"/>
          <w:szCs w:val="24"/>
        </w:rPr>
      </w:pPr>
      <w:r>
        <w:rPr>
          <w:rFonts w:hint="eastAsia" w:ascii="宋体" w:hAnsi="宋体"/>
          <w:sz w:val="24"/>
          <w:szCs w:val="24"/>
        </w:rPr>
        <w:t>紧急情况：指电力系统发生事故或发电、输配电、用电设备发生重大事故，电网频率或者电压超出规定范围，输变电设备负载超过规定值，主干线路功率超出规定的稳定限额以及其他威胁电网安全运行，有可能破坏电网稳定，导致电网瓦解以至大面积停电等运行情况，并且该情况在结束后得到电力监管机构确认。</w:t>
      </w:r>
    </w:p>
    <w:p>
      <w:pPr>
        <w:pStyle w:val="51"/>
        <w:numPr>
          <w:ilvl w:val="2"/>
          <w:numId w:val="13"/>
        </w:numPr>
        <w:spacing w:line="360" w:lineRule="auto"/>
        <w:ind w:left="0" w:firstLine="480"/>
        <w:rPr>
          <w:rFonts w:ascii="宋体" w:hAnsi="宋体"/>
          <w:sz w:val="24"/>
          <w:szCs w:val="24"/>
        </w:rPr>
      </w:pPr>
      <w:r>
        <w:rPr>
          <w:rFonts w:hint="eastAsia" w:ascii="宋体" w:hAnsi="宋体"/>
          <w:sz w:val="24"/>
          <w:szCs w:val="24"/>
        </w:rPr>
        <w:t>不可抗力：指不能预见、不能避免并不能克服的客观情况。包括：强制性政策调控、火山爆发、龙卷风、海啸、暴风雨、泥石流、山体滑坡、水灾、火灾、来水达不到设计标准、超设计标准的地震、台风、雷电、雾闪等，以及核辐射、战争、瘟疫、骚乱等。</w:t>
      </w:r>
    </w:p>
    <w:p>
      <w:pPr>
        <w:pStyle w:val="51"/>
        <w:numPr>
          <w:ilvl w:val="1"/>
          <w:numId w:val="12"/>
        </w:numPr>
        <w:spacing w:line="360" w:lineRule="auto"/>
        <w:ind w:left="0" w:firstLine="480"/>
        <w:rPr>
          <w:rFonts w:ascii="宋体" w:hAnsi="宋体"/>
          <w:sz w:val="24"/>
          <w:szCs w:val="24"/>
        </w:rPr>
      </w:pPr>
      <w:r>
        <w:rPr>
          <w:rFonts w:hint="eastAsia" w:ascii="宋体" w:hAnsi="宋体"/>
          <w:sz w:val="24"/>
          <w:szCs w:val="24"/>
        </w:rPr>
        <w:t>说明</w:t>
      </w:r>
    </w:p>
    <w:p>
      <w:pPr>
        <w:pStyle w:val="51"/>
        <w:numPr>
          <w:ilvl w:val="2"/>
          <w:numId w:val="14"/>
        </w:numPr>
        <w:spacing w:line="360" w:lineRule="auto"/>
        <w:ind w:left="0" w:firstLine="480"/>
        <w:rPr>
          <w:rFonts w:ascii="宋体" w:hAnsi="宋体"/>
          <w:sz w:val="24"/>
          <w:szCs w:val="24"/>
        </w:rPr>
      </w:pPr>
      <w:r>
        <w:rPr>
          <w:rFonts w:hint="eastAsia" w:ascii="宋体" w:hAnsi="宋体"/>
          <w:sz w:val="24"/>
          <w:szCs w:val="24"/>
        </w:rPr>
        <w:t>本合同中的标题仅为阅读方便，不应被视为本合同的组成部分，亦不应以任何方式影响对本合同的解释。</w:t>
      </w:r>
    </w:p>
    <w:p>
      <w:pPr>
        <w:pStyle w:val="51"/>
        <w:numPr>
          <w:ilvl w:val="2"/>
          <w:numId w:val="14"/>
        </w:numPr>
        <w:spacing w:line="360" w:lineRule="auto"/>
        <w:ind w:left="0" w:firstLine="480"/>
        <w:rPr>
          <w:rFonts w:ascii="宋体" w:hAnsi="宋体"/>
          <w:sz w:val="24"/>
          <w:szCs w:val="24"/>
        </w:rPr>
      </w:pPr>
      <w:r>
        <w:rPr>
          <w:rFonts w:hint="eastAsia" w:ascii="宋体" w:hAnsi="宋体"/>
          <w:sz w:val="24"/>
          <w:szCs w:val="24"/>
        </w:rPr>
        <w:t>本合同附件与正文具有同等的法律效力。</w:t>
      </w:r>
    </w:p>
    <w:p>
      <w:pPr>
        <w:pStyle w:val="51"/>
        <w:numPr>
          <w:ilvl w:val="2"/>
          <w:numId w:val="14"/>
        </w:numPr>
        <w:spacing w:line="360" w:lineRule="auto"/>
        <w:ind w:left="0" w:firstLine="480"/>
        <w:rPr>
          <w:rFonts w:ascii="宋体" w:hAnsi="宋体"/>
          <w:sz w:val="24"/>
          <w:szCs w:val="24"/>
        </w:rPr>
      </w:pPr>
      <w:r>
        <w:rPr>
          <w:rFonts w:ascii="宋体" w:hAnsi="宋体"/>
          <w:sz w:val="24"/>
          <w:szCs w:val="24"/>
        </w:rPr>
        <w:t>本合同与</w:t>
      </w:r>
      <w:r>
        <w:rPr>
          <w:rFonts w:hint="eastAsia" w:ascii="宋体" w:hAnsi="宋体"/>
          <w:sz w:val="24"/>
          <w:szCs w:val="24"/>
        </w:rPr>
        <w:t>本项目相关线上电子合同（如有）存在合同条款冲突的，一般以线上电子合同为准，如线上电子合同中乙方的违约赔偿责任无法覆盖甲方的损失，则应以本合同“八、合同违约和赔偿”为准。</w:t>
      </w:r>
    </w:p>
    <w:p>
      <w:pPr>
        <w:pStyle w:val="51"/>
        <w:numPr>
          <w:ilvl w:val="2"/>
          <w:numId w:val="14"/>
        </w:numPr>
        <w:spacing w:line="360" w:lineRule="auto"/>
        <w:ind w:left="0" w:firstLine="480"/>
        <w:rPr>
          <w:rFonts w:ascii="宋体" w:hAnsi="宋体"/>
          <w:sz w:val="24"/>
          <w:szCs w:val="24"/>
        </w:rPr>
      </w:pPr>
      <w:r>
        <w:rPr>
          <w:rFonts w:hint="eastAsia" w:ascii="宋体" w:hAnsi="宋体"/>
          <w:sz w:val="24"/>
          <w:szCs w:val="24"/>
        </w:rPr>
        <w:t>本合同对任一方的合法承继者或受让人具有约束力。但当事人另有约定的除外。遇有本款约定的情形时，相关义务人应当依法履行必要的通知义务及完备的法律手续。</w:t>
      </w:r>
    </w:p>
    <w:p>
      <w:pPr>
        <w:pStyle w:val="51"/>
        <w:numPr>
          <w:ilvl w:val="2"/>
          <w:numId w:val="14"/>
        </w:numPr>
        <w:spacing w:line="360" w:lineRule="auto"/>
        <w:ind w:left="0" w:firstLine="480"/>
        <w:rPr>
          <w:rFonts w:ascii="宋体" w:hAnsi="宋体"/>
          <w:sz w:val="24"/>
          <w:szCs w:val="24"/>
        </w:rPr>
      </w:pPr>
      <w:r>
        <w:rPr>
          <w:rFonts w:hint="eastAsia" w:ascii="宋体" w:hAnsi="宋体"/>
          <w:sz w:val="24"/>
          <w:szCs w:val="24"/>
        </w:rPr>
        <w:t>除上下文另有要求外，本合同所指日、月、年均为公历日、月、年。</w:t>
      </w:r>
    </w:p>
    <w:p>
      <w:pPr>
        <w:pStyle w:val="51"/>
        <w:numPr>
          <w:ilvl w:val="2"/>
          <w:numId w:val="14"/>
        </w:numPr>
        <w:spacing w:line="360" w:lineRule="auto"/>
        <w:ind w:left="0" w:firstLine="480"/>
        <w:rPr>
          <w:rFonts w:ascii="宋体" w:hAnsi="宋体"/>
          <w:sz w:val="24"/>
          <w:szCs w:val="24"/>
        </w:rPr>
      </w:pPr>
      <w:r>
        <w:rPr>
          <w:rFonts w:hint="eastAsia" w:ascii="宋体" w:hAnsi="宋体"/>
          <w:sz w:val="24"/>
          <w:szCs w:val="24"/>
        </w:rPr>
        <w:t>合同中的“包括”一词指：包括但不限于。</w:t>
      </w:r>
    </w:p>
    <w:p>
      <w:pPr>
        <w:pStyle w:val="51"/>
        <w:numPr>
          <w:ilvl w:val="0"/>
          <w:numId w:val="11"/>
        </w:numPr>
        <w:spacing w:before="156" w:beforeLines="50" w:line="360" w:lineRule="auto"/>
        <w:ind w:left="0" w:firstLine="482"/>
        <w:outlineLvl w:val="1"/>
        <w:rPr>
          <w:rFonts w:ascii="宋体" w:hAnsi="宋体"/>
          <w:b/>
          <w:sz w:val="24"/>
          <w:szCs w:val="24"/>
        </w:rPr>
      </w:pPr>
      <w:bookmarkStart w:id="212" w:name="_Toc121082006"/>
      <w:r>
        <w:rPr>
          <w:rFonts w:ascii="宋体" w:hAnsi="宋体"/>
          <w:b/>
          <w:sz w:val="24"/>
          <w:szCs w:val="24"/>
        </w:rPr>
        <w:t>双方承诺</w:t>
      </w:r>
      <w:bookmarkEnd w:id="212"/>
    </w:p>
    <w:p>
      <w:pPr>
        <w:pStyle w:val="51"/>
        <w:numPr>
          <w:ilvl w:val="1"/>
          <w:numId w:val="15"/>
        </w:numPr>
        <w:spacing w:line="360" w:lineRule="auto"/>
        <w:ind w:left="0" w:firstLine="480"/>
        <w:rPr>
          <w:rFonts w:ascii="宋体" w:hAnsi="宋体"/>
          <w:sz w:val="24"/>
          <w:szCs w:val="24"/>
        </w:rPr>
      </w:pPr>
      <w:r>
        <w:rPr>
          <w:rFonts w:hint="eastAsia" w:ascii="宋体" w:hAnsi="宋体"/>
          <w:sz w:val="24"/>
          <w:szCs w:val="24"/>
        </w:rPr>
        <w:t>任一方在此向对方承诺如下：</w:t>
      </w:r>
    </w:p>
    <w:p>
      <w:pPr>
        <w:pStyle w:val="51"/>
        <w:numPr>
          <w:ilvl w:val="2"/>
          <w:numId w:val="16"/>
        </w:numPr>
        <w:spacing w:line="360" w:lineRule="auto"/>
        <w:ind w:firstLine="480"/>
        <w:rPr>
          <w:rFonts w:ascii="宋体" w:hAnsi="宋体"/>
          <w:sz w:val="24"/>
          <w:szCs w:val="24"/>
        </w:rPr>
      </w:pPr>
      <w:r>
        <w:rPr>
          <w:rFonts w:hint="eastAsia" w:ascii="宋体" w:hAnsi="宋体"/>
          <w:sz w:val="24"/>
          <w:szCs w:val="24"/>
        </w:rPr>
        <w:t>本方为依法设立并合法存续的企业，已在交易中心完成注册，具备电力市场化交易的资格，有权签署并有能力履行本合同。</w:t>
      </w:r>
    </w:p>
    <w:p>
      <w:pPr>
        <w:pStyle w:val="51"/>
        <w:numPr>
          <w:ilvl w:val="2"/>
          <w:numId w:val="16"/>
        </w:numPr>
        <w:spacing w:line="360" w:lineRule="auto"/>
        <w:ind w:firstLine="480"/>
        <w:rPr>
          <w:rFonts w:ascii="宋体" w:hAnsi="宋体"/>
          <w:sz w:val="24"/>
          <w:szCs w:val="24"/>
        </w:rPr>
      </w:pPr>
      <w:r>
        <w:rPr>
          <w:rFonts w:hint="eastAsia" w:ascii="宋体" w:hAnsi="宋体"/>
          <w:sz w:val="24"/>
          <w:szCs w:val="24"/>
        </w:rPr>
        <w:t>本方签署和履行本合同所需的一切手续（包括办理必要的行政许可、取得市场准入条件、营业执照等）均已办妥并合法有效。</w:t>
      </w:r>
    </w:p>
    <w:p>
      <w:pPr>
        <w:pStyle w:val="51"/>
        <w:numPr>
          <w:ilvl w:val="2"/>
          <w:numId w:val="16"/>
        </w:numPr>
        <w:spacing w:line="360" w:lineRule="auto"/>
        <w:ind w:firstLine="480"/>
        <w:rPr>
          <w:rFonts w:ascii="宋体" w:hAnsi="宋体"/>
          <w:sz w:val="24"/>
          <w:szCs w:val="24"/>
        </w:rPr>
      </w:pPr>
      <w:r>
        <w:rPr>
          <w:rFonts w:hint="eastAsia" w:ascii="宋体" w:hAnsi="宋体"/>
          <w:sz w:val="24"/>
          <w:szCs w:val="24"/>
        </w:rPr>
        <w:t>在签署本合同时，任何法院、仲裁机构或行政机关均未做出任何足以对本方履行本合同产生重大不利影响的判决、裁定、裁决或具体行政行为，以及信用不良记录。</w:t>
      </w:r>
    </w:p>
    <w:p>
      <w:pPr>
        <w:pStyle w:val="51"/>
        <w:numPr>
          <w:ilvl w:val="1"/>
          <w:numId w:val="15"/>
        </w:numPr>
        <w:spacing w:line="360" w:lineRule="auto"/>
        <w:ind w:left="0" w:firstLine="480"/>
        <w:rPr>
          <w:rFonts w:ascii="宋体" w:hAnsi="宋体"/>
          <w:sz w:val="24"/>
          <w:szCs w:val="24"/>
        </w:rPr>
      </w:pPr>
      <w:r>
        <w:rPr>
          <w:rFonts w:hint="eastAsia" w:ascii="宋体" w:hAnsi="宋体"/>
          <w:sz w:val="24"/>
          <w:szCs w:val="24"/>
        </w:rPr>
        <w:t>本方为签署本合同所需的内部授权程序均已完成。本合同生效后即对双方具有法律约束力。</w:t>
      </w:r>
    </w:p>
    <w:p>
      <w:pPr>
        <w:pStyle w:val="51"/>
        <w:numPr>
          <w:ilvl w:val="1"/>
          <w:numId w:val="15"/>
        </w:numPr>
        <w:spacing w:line="360" w:lineRule="auto"/>
        <w:ind w:left="0" w:firstLine="480"/>
        <w:rPr>
          <w:rFonts w:ascii="宋体" w:hAnsi="宋体"/>
          <w:sz w:val="24"/>
          <w:szCs w:val="24"/>
        </w:rPr>
      </w:pPr>
      <w:r>
        <w:rPr>
          <w:rFonts w:hint="eastAsia" w:ascii="宋体" w:hAnsi="宋体"/>
          <w:sz w:val="24"/>
          <w:szCs w:val="24"/>
        </w:rPr>
        <w:t>双方均已熟悉广西电力市场有关交易规则和管理制度、年度交易实施方案以及交易公告等，在签订本合同前，均已详细阅读并充分理解本合同的所有条款，认同交易中心发布的正式交易结果，愿意承担电力市场化交易可能存在的风险和后果。</w:t>
      </w:r>
    </w:p>
    <w:p>
      <w:pPr>
        <w:pStyle w:val="51"/>
        <w:numPr>
          <w:ilvl w:val="1"/>
          <w:numId w:val="15"/>
        </w:numPr>
        <w:spacing w:line="360" w:lineRule="auto"/>
        <w:ind w:left="0" w:firstLine="480"/>
        <w:rPr>
          <w:rFonts w:ascii="宋体" w:hAnsi="宋体"/>
          <w:sz w:val="24"/>
          <w:szCs w:val="24"/>
        </w:rPr>
      </w:pPr>
      <w:r>
        <w:rPr>
          <w:rFonts w:hint="eastAsia" w:ascii="宋体" w:hAnsi="宋体"/>
          <w:sz w:val="24"/>
          <w:szCs w:val="24"/>
        </w:rPr>
        <w:t>双方一致同意本合同按照政府主管部门以及交易中心印发的关交易规则和管理制度、年度交易实施方案以及交易公告等开展电力交易。</w:t>
      </w:r>
    </w:p>
    <w:p>
      <w:pPr>
        <w:pStyle w:val="51"/>
        <w:numPr>
          <w:ilvl w:val="1"/>
          <w:numId w:val="15"/>
        </w:numPr>
        <w:spacing w:line="360" w:lineRule="auto"/>
        <w:ind w:left="0" w:firstLine="480"/>
        <w:rPr>
          <w:rFonts w:ascii="宋体" w:hAnsi="宋体"/>
          <w:sz w:val="24"/>
          <w:szCs w:val="24"/>
        </w:rPr>
      </w:pPr>
      <w:r>
        <w:rPr>
          <w:rFonts w:hint="eastAsia" w:ascii="宋体" w:hAnsi="宋体"/>
          <w:sz w:val="24"/>
          <w:szCs w:val="24"/>
        </w:rPr>
        <w:t>双方约定有义务确保本合同备案信息与本合同文本信息保持一致，因不一致产生的双方损失和后果，由行为过错方承担。</w:t>
      </w:r>
    </w:p>
    <w:p>
      <w:pPr>
        <w:pStyle w:val="51"/>
        <w:numPr>
          <w:ilvl w:val="1"/>
          <w:numId w:val="15"/>
        </w:numPr>
        <w:spacing w:line="360" w:lineRule="auto"/>
        <w:ind w:left="0" w:firstLine="480"/>
        <w:rPr>
          <w:rFonts w:ascii="宋体" w:hAnsi="宋体"/>
          <w:sz w:val="24"/>
          <w:szCs w:val="24"/>
        </w:rPr>
      </w:pPr>
      <w:r>
        <w:rPr>
          <w:rFonts w:hint="eastAsia" w:ascii="宋体" w:hAnsi="宋体"/>
          <w:sz w:val="24"/>
          <w:szCs w:val="24"/>
        </w:rPr>
        <w:t>如国家法律、法规发生变化或者政府有关部门、监管机构出台有关规定、规则，合同双方同意按照法律、法规、规定和规则予以调整和修改。</w:t>
      </w:r>
    </w:p>
    <w:p>
      <w:pPr>
        <w:pStyle w:val="51"/>
        <w:numPr>
          <w:ilvl w:val="0"/>
          <w:numId w:val="11"/>
        </w:numPr>
        <w:spacing w:before="156" w:beforeLines="50" w:line="360" w:lineRule="auto"/>
        <w:ind w:left="0" w:firstLine="482"/>
        <w:outlineLvl w:val="1"/>
        <w:rPr>
          <w:rFonts w:ascii="宋体" w:hAnsi="宋体"/>
          <w:b/>
          <w:sz w:val="24"/>
          <w:szCs w:val="24"/>
        </w:rPr>
      </w:pPr>
      <w:bookmarkStart w:id="213" w:name="_Toc121082007"/>
      <w:r>
        <w:rPr>
          <w:rFonts w:ascii="宋体" w:hAnsi="宋体"/>
          <w:b/>
          <w:sz w:val="24"/>
          <w:szCs w:val="24"/>
        </w:rPr>
        <w:t>双方的权利和义务</w:t>
      </w:r>
      <w:bookmarkEnd w:id="213"/>
    </w:p>
    <w:p>
      <w:pPr>
        <w:pStyle w:val="51"/>
        <w:numPr>
          <w:ilvl w:val="1"/>
          <w:numId w:val="17"/>
        </w:numPr>
        <w:spacing w:line="360" w:lineRule="auto"/>
        <w:ind w:firstLine="480"/>
        <w:rPr>
          <w:rFonts w:ascii="宋体" w:hAnsi="宋体"/>
          <w:sz w:val="24"/>
          <w:szCs w:val="24"/>
        </w:rPr>
      </w:pPr>
      <w:r>
        <w:rPr>
          <w:rFonts w:hint="eastAsia" w:ascii="宋体" w:hAnsi="宋体"/>
          <w:sz w:val="24"/>
          <w:szCs w:val="24"/>
        </w:rPr>
        <w:t>甲方的权利和义务</w:t>
      </w:r>
    </w:p>
    <w:p>
      <w:pPr>
        <w:pStyle w:val="51"/>
        <w:numPr>
          <w:ilvl w:val="2"/>
          <w:numId w:val="18"/>
        </w:numPr>
        <w:spacing w:line="360" w:lineRule="auto"/>
        <w:ind w:firstLine="480"/>
        <w:rPr>
          <w:rFonts w:ascii="宋体" w:hAnsi="宋体"/>
          <w:sz w:val="24"/>
          <w:szCs w:val="24"/>
        </w:rPr>
      </w:pPr>
      <w:r>
        <w:rPr>
          <w:rFonts w:hint="eastAsia" w:ascii="宋体" w:hAnsi="宋体"/>
          <w:sz w:val="24"/>
          <w:szCs w:val="24"/>
        </w:rPr>
        <w:t>服从电力市场交易规则、年度交易实施方案及交易中心相关规定。</w:t>
      </w:r>
    </w:p>
    <w:p>
      <w:pPr>
        <w:pStyle w:val="51"/>
        <w:numPr>
          <w:ilvl w:val="2"/>
          <w:numId w:val="18"/>
        </w:numPr>
        <w:spacing w:line="360" w:lineRule="auto"/>
        <w:ind w:firstLine="480"/>
        <w:rPr>
          <w:rFonts w:ascii="宋体" w:hAnsi="宋体"/>
          <w:sz w:val="24"/>
          <w:szCs w:val="24"/>
        </w:rPr>
      </w:pPr>
      <w:r>
        <w:rPr>
          <w:rFonts w:hint="eastAsia" w:ascii="宋体" w:hAnsi="宋体"/>
          <w:sz w:val="24"/>
          <w:szCs w:val="24"/>
        </w:rPr>
        <w:t>获得乙方履行本合同义务相关的工作计划信息、资料。</w:t>
      </w:r>
    </w:p>
    <w:p>
      <w:pPr>
        <w:pStyle w:val="51"/>
        <w:numPr>
          <w:ilvl w:val="2"/>
          <w:numId w:val="18"/>
        </w:numPr>
        <w:spacing w:line="360" w:lineRule="auto"/>
        <w:ind w:firstLine="480"/>
        <w:rPr>
          <w:rFonts w:ascii="宋体" w:hAnsi="宋体"/>
          <w:sz w:val="24"/>
          <w:szCs w:val="24"/>
        </w:rPr>
      </w:pPr>
      <w:r>
        <w:rPr>
          <w:rFonts w:hint="eastAsia" w:ascii="宋体" w:hAnsi="宋体"/>
          <w:sz w:val="24"/>
          <w:szCs w:val="24"/>
        </w:rPr>
        <w:t>向乙方如实、完整的提供用电需求及其他必要的生产运行等用电信息。</w:t>
      </w:r>
    </w:p>
    <w:p>
      <w:pPr>
        <w:pStyle w:val="51"/>
        <w:numPr>
          <w:ilvl w:val="2"/>
          <w:numId w:val="18"/>
        </w:numPr>
        <w:spacing w:line="360" w:lineRule="auto"/>
        <w:ind w:firstLine="480"/>
        <w:rPr>
          <w:rFonts w:ascii="宋体" w:hAnsi="宋体"/>
          <w:sz w:val="24"/>
          <w:szCs w:val="24"/>
        </w:rPr>
      </w:pPr>
      <w:r>
        <w:rPr>
          <w:rFonts w:hint="eastAsia" w:ascii="宋体" w:hAnsi="宋体"/>
          <w:sz w:val="24"/>
          <w:szCs w:val="24"/>
        </w:rPr>
        <w:t>在规定时间内对总用电量及对乙方提报的结算数据进行确认及反馈。</w:t>
      </w:r>
    </w:p>
    <w:p>
      <w:pPr>
        <w:pStyle w:val="51"/>
        <w:numPr>
          <w:ilvl w:val="2"/>
          <w:numId w:val="18"/>
        </w:numPr>
        <w:spacing w:line="360" w:lineRule="auto"/>
        <w:ind w:firstLine="480"/>
        <w:rPr>
          <w:rFonts w:ascii="宋体" w:hAnsi="宋体"/>
          <w:sz w:val="24"/>
          <w:szCs w:val="24"/>
        </w:rPr>
      </w:pPr>
      <w:r>
        <w:rPr>
          <w:rFonts w:hint="eastAsia" w:ascii="宋体" w:hAnsi="宋体"/>
          <w:sz w:val="24"/>
          <w:szCs w:val="24"/>
        </w:rPr>
        <w:t>保证在交易系统的用户档案信息准确、完备，相关权限和功能正常可用，向乙方提供与履行本合同相关的其他信息、资料；用户档案信息发生变化时，按规定向交易中心履行变更手续。</w:t>
      </w:r>
    </w:p>
    <w:p>
      <w:pPr>
        <w:pStyle w:val="51"/>
        <w:numPr>
          <w:ilvl w:val="2"/>
          <w:numId w:val="18"/>
        </w:numPr>
        <w:spacing w:line="360" w:lineRule="auto"/>
        <w:ind w:firstLine="480"/>
        <w:rPr>
          <w:rFonts w:ascii="宋体" w:hAnsi="宋体"/>
          <w:sz w:val="24"/>
          <w:szCs w:val="24"/>
        </w:rPr>
      </w:pPr>
      <w:r>
        <w:rPr>
          <w:rFonts w:hint="eastAsia" w:ascii="宋体" w:hAnsi="宋体"/>
          <w:sz w:val="24"/>
          <w:szCs w:val="24"/>
        </w:rPr>
        <w:t>及时书面告知乙方、交易中心以及其他相关方本企业无法履行的本合同义务，并处理好相关事宜。</w:t>
      </w:r>
    </w:p>
    <w:p>
      <w:pPr>
        <w:pStyle w:val="51"/>
        <w:numPr>
          <w:ilvl w:val="2"/>
          <w:numId w:val="18"/>
        </w:numPr>
        <w:spacing w:line="360" w:lineRule="auto"/>
        <w:ind w:firstLine="480"/>
        <w:rPr>
          <w:rFonts w:ascii="宋体" w:hAnsi="宋体"/>
          <w:sz w:val="24"/>
          <w:szCs w:val="24"/>
        </w:rPr>
      </w:pPr>
      <w:r>
        <w:rPr>
          <w:rFonts w:hint="eastAsia" w:ascii="宋体" w:hAnsi="宋体"/>
          <w:sz w:val="24"/>
          <w:szCs w:val="24"/>
        </w:rPr>
        <w:t>根据本合同约定承担法律后果，向乙方收取和支付违约金、损害赔偿金等。</w:t>
      </w:r>
    </w:p>
    <w:p>
      <w:pPr>
        <w:pStyle w:val="51"/>
        <w:numPr>
          <w:ilvl w:val="2"/>
          <w:numId w:val="18"/>
        </w:numPr>
        <w:spacing w:line="360" w:lineRule="auto"/>
        <w:ind w:firstLine="480"/>
        <w:rPr>
          <w:rFonts w:ascii="宋体" w:hAnsi="宋体"/>
          <w:sz w:val="24"/>
          <w:szCs w:val="24"/>
        </w:rPr>
      </w:pPr>
      <w:r>
        <w:rPr>
          <w:rFonts w:hint="eastAsia" w:ascii="宋体" w:hAnsi="宋体"/>
          <w:sz w:val="24"/>
          <w:szCs w:val="24"/>
        </w:rPr>
        <w:t>应对乙方的相关数据和资料承担相关保密义务。</w:t>
      </w:r>
    </w:p>
    <w:p>
      <w:pPr>
        <w:pStyle w:val="51"/>
        <w:numPr>
          <w:ilvl w:val="2"/>
          <w:numId w:val="18"/>
        </w:numPr>
        <w:spacing w:line="360" w:lineRule="auto"/>
        <w:ind w:firstLine="480"/>
        <w:rPr>
          <w:rFonts w:ascii="宋体" w:hAnsi="宋体"/>
          <w:sz w:val="24"/>
          <w:szCs w:val="24"/>
        </w:rPr>
      </w:pPr>
      <w:r>
        <w:rPr>
          <w:rFonts w:hint="eastAsia" w:ascii="宋体" w:hAnsi="宋体"/>
          <w:sz w:val="24"/>
          <w:szCs w:val="24"/>
        </w:rPr>
        <w:t>服从调度安排有序用电；发生紧急情况时，按照相关规定执行。</w:t>
      </w:r>
    </w:p>
    <w:p>
      <w:pPr>
        <w:pStyle w:val="51"/>
        <w:numPr>
          <w:ilvl w:val="2"/>
          <w:numId w:val="18"/>
        </w:numPr>
        <w:spacing w:line="360" w:lineRule="auto"/>
        <w:ind w:firstLine="480"/>
        <w:rPr>
          <w:rFonts w:ascii="宋体" w:hAnsi="宋体"/>
          <w:sz w:val="24"/>
          <w:szCs w:val="24"/>
        </w:rPr>
      </w:pPr>
      <w:r>
        <w:rPr>
          <w:rFonts w:ascii="宋体" w:hAnsi="宋体"/>
          <w:sz w:val="24"/>
          <w:szCs w:val="24"/>
        </w:rPr>
        <w:t>按相关规定</w:t>
      </w:r>
      <w:r>
        <w:rPr>
          <w:rFonts w:hint="eastAsia" w:ascii="宋体" w:hAnsi="宋体"/>
          <w:sz w:val="24"/>
          <w:szCs w:val="24"/>
        </w:rPr>
        <w:t>协同</w:t>
      </w:r>
      <w:r>
        <w:rPr>
          <w:rFonts w:ascii="宋体" w:hAnsi="宋体"/>
          <w:sz w:val="24"/>
          <w:szCs w:val="24"/>
        </w:rPr>
        <w:t>乙方</w:t>
      </w:r>
      <w:r>
        <w:rPr>
          <w:rFonts w:hint="eastAsia" w:ascii="宋体" w:hAnsi="宋体"/>
          <w:sz w:val="24"/>
          <w:szCs w:val="24"/>
        </w:rPr>
        <w:t>完成本项目相关</w:t>
      </w:r>
      <w:r>
        <w:rPr>
          <w:rFonts w:ascii="宋体" w:hAnsi="宋体"/>
          <w:sz w:val="24"/>
          <w:szCs w:val="24"/>
        </w:rPr>
        <w:t>线上电子合同签约（如有）。</w:t>
      </w:r>
    </w:p>
    <w:p>
      <w:pPr>
        <w:pStyle w:val="51"/>
        <w:numPr>
          <w:ilvl w:val="1"/>
          <w:numId w:val="17"/>
        </w:numPr>
        <w:spacing w:line="360" w:lineRule="auto"/>
        <w:ind w:firstLine="480"/>
        <w:rPr>
          <w:rFonts w:ascii="宋体" w:hAnsi="宋体"/>
          <w:sz w:val="24"/>
          <w:szCs w:val="24"/>
        </w:rPr>
      </w:pPr>
      <w:r>
        <w:rPr>
          <w:rFonts w:hint="eastAsia" w:ascii="宋体" w:hAnsi="宋体"/>
          <w:sz w:val="24"/>
          <w:szCs w:val="24"/>
        </w:rPr>
        <w:t>乙方的权利和义务</w:t>
      </w:r>
    </w:p>
    <w:p>
      <w:pPr>
        <w:pStyle w:val="51"/>
        <w:numPr>
          <w:ilvl w:val="0"/>
          <w:numId w:val="19"/>
        </w:numPr>
        <w:spacing w:line="360" w:lineRule="auto"/>
        <w:ind w:firstLineChars="0"/>
        <w:rPr>
          <w:rFonts w:ascii="宋体" w:hAnsi="宋体"/>
          <w:vanish/>
          <w:sz w:val="24"/>
          <w:szCs w:val="24"/>
        </w:rPr>
      </w:pPr>
    </w:p>
    <w:p>
      <w:pPr>
        <w:pStyle w:val="51"/>
        <w:numPr>
          <w:ilvl w:val="0"/>
          <w:numId w:val="19"/>
        </w:numPr>
        <w:spacing w:line="360" w:lineRule="auto"/>
        <w:ind w:firstLineChars="0"/>
        <w:rPr>
          <w:rFonts w:ascii="宋体" w:hAnsi="宋体"/>
          <w:vanish/>
          <w:sz w:val="24"/>
          <w:szCs w:val="24"/>
        </w:rPr>
      </w:pPr>
    </w:p>
    <w:p>
      <w:pPr>
        <w:pStyle w:val="51"/>
        <w:numPr>
          <w:ilvl w:val="0"/>
          <w:numId w:val="19"/>
        </w:numPr>
        <w:spacing w:line="360" w:lineRule="auto"/>
        <w:ind w:firstLineChars="0"/>
        <w:rPr>
          <w:rFonts w:ascii="宋体" w:hAnsi="宋体"/>
          <w:vanish/>
          <w:sz w:val="24"/>
          <w:szCs w:val="24"/>
        </w:rPr>
      </w:pPr>
    </w:p>
    <w:p>
      <w:pPr>
        <w:pStyle w:val="51"/>
        <w:numPr>
          <w:ilvl w:val="1"/>
          <w:numId w:val="19"/>
        </w:numPr>
        <w:spacing w:line="360" w:lineRule="auto"/>
        <w:ind w:firstLineChars="0"/>
        <w:rPr>
          <w:rFonts w:ascii="宋体" w:hAnsi="宋体"/>
          <w:vanish/>
          <w:sz w:val="24"/>
          <w:szCs w:val="24"/>
        </w:rPr>
      </w:pPr>
    </w:p>
    <w:p>
      <w:pPr>
        <w:pStyle w:val="51"/>
        <w:numPr>
          <w:ilvl w:val="1"/>
          <w:numId w:val="19"/>
        </w:numPr>
        <w:spacing w:line="360" w:lineRule="auto"/>
        <w:ind w:firstLineChars="0"/>
        <w:rPr>
          <w:rFonts w:ascii="宋体" w:hAnsi="宋体"/>
          <w:vanish/>
          <w:sz w:val="24"/>
          <w:szCs w:val="24"/>
        </w:rPr>
      </w:pPr>
    </w:p>
    <w:p>
      <w:pPr>
        <w:pStyle w:val="51"/>
        <w:numPr>
          <w:ilvl w:val="2"/>
          <w:numId w:val="19"/>
        </w:numPr>
        <w:spacing w:line="360" w:lineRule="auto"/>
        <w:ind w:left="0" w:firstLine="480"/>
        <w:rPr>
          <w:rFonts w:ascii="宋体" w:hAnsi="宋体"/>
          <w:sz w:val="24"/>
          <w:szCs w:val="24"/>
        </w:rPr>
      </w:pPr>
      <w:r>
        <w:rPr>
          <w:rFonts w:hint="eastAsia" w:ascii="宋体" w:hAnsi="宋体"/>
          <w:sz w:val="24"/>
          <w:szCs w:val="24"/>
        </w:rPr>
        <w:t>服从电力市场交易规则、年度交易实施方案及交易中心相关规定。</w:t>
      </w:r>
    </w:p>
    <w:p>
      <w:pPr>
        <w:pStyle w:val="51"/>
        <w:numPr>
          <w:ilvl w:val="2"/>
          <w:numId w:val="19"/>
        </w:numPr>
        <w:spacing w:line="360" w:lineRule="auto"/>
        <w:ind w:left="0" w:firstLine="480"/>
        <w:rPr>
          <w:rFonts w:ascii="宋体" w:hAnsi="宋体"/>
          <w:sz w:val="24"/>
          <w:szCs w:val="24"/>
        </w:rPr>
      </w:pPr>
      <w:r>
        <w:rPr>
          <w:rFonts w:hint="eastAsia" w:ascii="宋体" w:hAnsi="宋体"/>
          <w:sz w:val="24"/>
          <w:szCs w:val="24"/>
        </w:rPr>
        <w:t>按照本合同约定购买甲方所需的电量。</w:t>
      </w:r>
    </w:p>
    <w:p>
      <w:pPr>
        <w:pStyle w:val="51"/>
        <w:numPr>
          <w:ilvl w:val="2"/>
          <w:numId w:val="19"/>
        </w:numPr>
        <w:spacing w:line="360" w:lineRule="auto"/>
        <w:ind w:left="0" w:firstLine="480"/>
        <w:rPr>
          <w:rFonts w:ascii="宋体" w:hAnsi="宋体"/>
          <w:sz w:val="24"/>
          <w:szCs w:val="24"/>
        </w:rPr>
      </w:pPr>
      <w:r>
        <w:rPr>
          <w:rFonts w:hint="eastAsia" w:ascii="宋体" w:hAnsi="宋体"/>
          <w:sz w:val="24"/>
          <w:szCs w:val="24"/>
        </w:rPr>
        <w:t>获得甲方与履行本合同义务相关的信息、资料）及查阅本合同有关的历史用电数据和计量数据。向甲方提供与履行本合同的其他信息。</w:t>
      </w:r>
    </w:p>
    <w:p>
      <w:pPr>
        <w:pStyle w:val="51"/>
        <w:numPr>
          <w:ilvl w:val="2"/>
          <w:numId w:val="19"/>
        </w:numPr>
        <w:spacing w:line="360" w:lineRule="auto"/>
        <w:ind w:left="0" w:firstLine="480"/>
        <w:rPr>
          <w:rFonts w:ascii="宋体" w:hAnsi="宋体"/>
          <w:sz w:val="24"/>
          <w:szCs w:val="24"/>
        </w:rPr>
      </w:pPr>
      <w:r>
        <w:rPr>
          <w:rFonts w:hint="eastAsia" w:ascii="宋体" w:hAnsi="宋体"/>
          <w:sz w:val="24"/>
          <w:szCs w:val="24"/>
        </w:rPr>
        <w:t>配合提供其所服务甲方容量、电量、负荷曲线及其他生产运行信息，完成交易系统线上合同备案，并对相关信息的真实性、准确性负责。</w:t>
      </w:r>
    </w:p>
    <w:p>
      <w:pPr>
        <w:pStyle w:val="51"/>
        <w:numPr>
          <w:ilvl w:val="2"/>
          <w:numId w:val="19"/>
        </w:numPr>
        <w:spacing w:line="360" w:lineRule="auto"/>
        <w:ind w:left="0" w:firstLine="480"/>
        <w:rPr>
          <w:rFonts w:ascii="宋体" w:hAnsi="宋体"/>
          <w:sz w:val="24"/>
          <w:szCs w:val="24"/>
        </w:rPr>
      </w:pPr>
      <w:r>
        <w:rPr>
          <w:rFonts w:hint="eastAsia" w:ascii="宋体" w:hAnsi="宋体"/>
          <w:sz w:val="24"/>
          <w:szCs w:val="24"/>
        </w:rPr>
        <w:t>按照规则参与市场化交易，履行本合同约定的年度常规电能量交易电量采购，以及相关的服务、结算和收费等相关事宜。</w:t>
      </w:r>
    </w:p>
    <w:p>
      <w:pPr>
        <w:pStyle w:val="51"/>
        <w:numPr>
          <w:ilvl w:val="2"/>
          <w:numId w:val="19"/>
        </w:numPr>
        <w:spacing w:line="360" w:lineRule="auto"/>
        <w:ind w:left="0" w:firstLine="480"/>
        <w:rPr>
          <w:rFonts w:ascii="宋体" w:hAnsi="宋体"/>
          <w:sz w:val="24"/>
          <w:szCs w:val="24"/>
        </w:rPr>
      </w:pPr>
      <w:r>
        <w:rPr>
          <w:rFonts w:hint="eastAsia" w:ascii="宋体" w:hAnsi="宋体"/>
          <w:sz w:val="24"/>
          <w:szCs w:val="24"/>
        </w:rPr>
        <w:t>按照合同结算条款计算并在规定时间内向交易中心提报甲方的月度结算电量、电价和考核电量、电费等结算信息。</w:t>
      </w:r>
    </w:p>
    <w:p>
      <w:pPr>
        <w:pStyle w:val="51"/>
        <w:numPr>
          <w:ilvl w:val="2"/>
          <w:numId w:val="19"/>
        </w:numPr>
        <w:spacing w:line="360" w:lineRule="auto"/>
        <w:ind w:left="0" w:firstLine="480"/>
        <w:rPr>
          <w:rFonts w:ascii="宋体" w:hAnsi="宋体"/>
          <w:sz w:val="24"/>
          <w:szCs w:val="24"/>
        </w:rPr>
      </w:pPr>
      <w:r>
        <w:rPr>
          <w:rFonts w:hint="eastAsia" w:ascii="宋体" w:hAnsi="宋体"/>
          <w:sz w:val="24"/>
          <w:szCs w:val="24"/>
        </w:rPr>
        <w:t>及时书面告知甲方、交易中心以及其他相关方本企业无法履行的本合同义务，并处理好相关事宜。</w:t>
      </w:r>
    </w:p>
    <w:p>
      <w:pPr>
        <w:pStyle w:val="51"/>
        <w:numPr>
          <w:ilvl w:val="2"/>
          <w:numId w:val="19"/>
        </w:numPr>
        <w:spacing w:line="360" w:lineRule="auto"/>
        <w:ind w:left="0" w:firstLine="480"/>
        <w:rPr>
          <w:rFonts w:ascii="宋体" w:hAnsi="宋体"/>
          <w:sz w:val="24"/>
          <w:szCs w:val="24"/>
        </w:rPr>
      </w:pPr>
      <w:r>
        <w:rPr>
          <w:rFonts w:hint="eastAsia" w:ascii="宋体" w:hAnsi="宋体"/>
          <w:sz w:val="24"/>
          <w:szCs w:val="24"/>
        </w:rPr>
        <w:t>根据本合同约定承担法律后果，向甲方收取和支付违约金、损害赔偿金等。</w:t>
      </w:r>
    </w:p>
    <w:p>
      <w:pPr>
        <w:pStyle w:val="51"/>
        <w:numPr>
          <w:ilvl w:val="2"/>
          <w:numId w:val="19"/>
        </w:numPr>
        <w:spacing w:line="360" w:lineRule="auto"/>
        <w:ind w:left="0" w:firstLine="480"/>
        <w:rPr>
          <w:rFonts w:ascii="宋体" w:hAnsi="宋体"/>
          <w:sz w:val="24"/>
          <w:szCs w:val="24"/>
        </w:rPr>
      </w:pPr>
      <w:r>
        <w:rPr>
          <w:rFonts w:hint="eastAsia" w:ascii="宋体" w:hAnsi="宋体"/>
          <w:sz w:val="24"/>
          <w:szCs w:val="24"/>
        </w:rPr>
        <w:t>应对甲方的相关数据和资料承担相关保密义务。</w:t>
      </w:r>
    </w:p>
    <w:p>
      <w:pPr>
        <w:pStyle w:val="51"/>
        <w:numPr>
          <w:ilvl w:val="2"/>
          <w:numId w:val="19"/>
        </w:numPr>
        <w:spacing w:line="360" w:lineRule="auto"/>
        <w:ind w:left="0" w:firstLine="480"/>
        <w:rPr>
          <w:rFonts w:ascii="宋体" w:hAnsi="宋体"/>
          <w:sz w:val="24"/>
          <w:szCs w:val="24"/>
        </w:rPr>
      </w:pPr>
      <w:r>
        <w:rPr>
          <w:rFonts w:hint="eastAsia" w:ascii="宋体" w:hAnsi="宋体"/>
          <w:sz w:val="24"/>
          <w:szCs w:val="24"/>
        </w:rPr>
        <w:t>发生紧急情况时，按照相关规定执行。</w:t>
      </w:r>
    </w:p>
    <w:p>
      <w:pPr>
        <w:pStyle w:val="51"/>
        <w:numPr>
          <w:ilvl w:val="2"/>
          <w:numId w:val="19"/>
        </w:numPr>
        <w:spacing w:line="360" w:lineRule="auto"/>
        <w:ind w:left="0" w:firstLine="480"/>
        <w:rPr>
          <w:rFonts w:ascii="宋体" w:hAnsi="宋体"/>
          <w:sz w:val="24"/>
          <w:szCs w:val="24"/>
        </w:rPr>
      </w:pPr>
      <w:r>
        <w:rPr>
          <w:rFonts w:ascii="宋体" w:hAnsi="宋体"/>
          <w:sz w:val="24"/>
          <w:szCs w:val="24"/>
        </w:rPr>
        <w:t>按相关规定</w:t>
      </w:r>
      <w:r>
        <w:rPr>
          <w:rFonts w:hint="eastAsia" w:ascii="宋体" w:hAnsi="宋体"/>
          <w:sz w:val="24"/>
          <w:szCs w:val="24"/>
        </w:rPr>
        <w:t>协同</w:t>
      </w:r>
      <w:r>
        <w:rPr>
          <w:rFonts w:ascii="宋体" w:hAnsi="宋体"/>
          <w:sz w:val="24"/>
          <w:szCs w:val="24"/>
        </w:rPr>
        <w:t>甲方完成</w:t>
      </w:r>
      <w:r>
        <w:rPr>
          <w:rFonts w:hint="eastAsia" w:ascii="宋体" w:hAnsi="宋体"/>
          <w:sz w:val="24"/>
          <w:szCs w:val="24"/>
        </w:rPr>
        <w:t>本项目相关</w:t>
      </w:r>
      <w:r>
        <w:rPr>
          <w:rFonts w:ascii="宋体" w:hAnsi="宋体"/>
          <w:sz w:val="24"/>
          <w:szCs w:val="24"/>
        </w:rPr>
        <w:t>线上电子合同签约（如有）。</w:t>
      </w:r>
    </w:p>
    <w:p>
      <w:pPr>
        <w:pStyle w:val="51"/>
        <w:numPr>
          <w:ilvl w:val="0"/>
          <w:numId w:val="11"/>
        </w:numPr>
        <w:spacing w:before="156" w:beforeLines="50" w:line="360" w:lineRule="auto"/>
        <w:ind w:left="0" w:firstLine="482"/>
        <w:outlineLvl w:val="1"/>
        <w:rPr>
          <w:rFonts w:ascii="宋体" w:hAnsi="宋体"/>
          <w:b/>
          <w:sz w:val="24"/>
          <w:szCs w:val="24"/>
        </w:rPr>
      </w:pPr>
      <w:bookmarkStart w:id="214" w:name="_Toc121082008"/>
      <w:r>
        <w:rPr>
          <w:rFonts w:hint="eastAsia" w:ascii="宋体" w:hAnsi="宋体"/>
          <w:b/>
          <w:sz w:val="24"/>
          <w:szCs w:val="24"/>
        </w:rPr>
        <w:t>计量</w:t>
      </w:r>
      <w:bookmarkEnd w:id="214"/>
    </w:p>
    <w:p>
      <w:pPr>
        <w:pStyle w:val="51"/>
        <w:numPr>
          <w:ilvl w:val="0"/>
          <w:numId w:val="20"/>
        </w:numPr>
        <w:spacing w:line="360" w:lineRule="auto"/>
        <w:ind w:firstLineChars="0"/>
        <w:rPr>
          <w:rFonts w:ascii="宋体" w:hAnsi="宋体"/>
          <w:vanish/>
          <w:sz w:val="24"/>
          <w:szCs w:val="24"/>
        </w:rPr>
      </w:pPr>
    </w:p>
    <w:p>
      <w:pPr>
        <w:pStyle w:val="51"/>
        <w:numPr>
          <w:ilvl w:val="0"/>
          <w:numId w:val="20"/>
        </w:numPr>
        <w:spacing w:line="360" w:lineRule="auto"/>
        <w:ind w:firstLineChars="0"/>
        <w:rPr>
          <w:rFonts w:ascii="宋体" w:hAnsi="宋体"/>
          <w:vanish/>
          <w:sz w:val="24"/>
          <w:szCs w:val="24"/>
        </w:rPr>
      </w:pPr>
    </w:p>
    <w:p>
      <w:pPr>
        <w:pStyle w:val="51"/>
        <w:numPr>
          <w:ilvl w:val="0"/>
          <w:numId w:val="20"/>
        </w:numPr>
        <w:spacing w:line="360" w:lineRule="auto"/>
        <w:ind w:firstLineChars="0"/>
        <w:rPr>
          <w:rFonts w:ascii="宋体" w:hAnsi="宋体"/>
          <w:vanish/>
          <w:sz w:val="24"/>
          <w:szCs w:val="24"/>
        </w:rPr>
      </w:pPr>
    </w:p>
    <w:p>
      <w:pPr>
        <w:pStyle w:val="51"/>
        <w:numPr>
          <w:ilvl w:val="0"/>
          <w:numId w:val="20"/>
        </w:numPr>
        <w:spacing w:line="360" w:lineRule="auto"/>
        <w:ind w:firstLineChars="0"/>
        <w:rPr>
          <w:rFonts w:ascii="宋体" w:hAnsi="宋体"/>
          <w:vanish/>
          <w:sz w:val="24"/>
          <w:szCs w:val="24"/>
        </w:rPr>
      </w:pP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电力交易结算电量计量点以甲方与电网企业签订的《供用电合同》约定的电能计量装置关口表安装位置为准。</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电力交易涉及的电能计量装置、电能计量装置校验要求和计量装置异常处理办法按甲方与电网企业签订的《供用电合同》约定执行。</w:t>
      </w:r>
    </w:p>
    <w:p>
      <w:pPr>
        <w:pStyle w:val="51"/>
        <w:numPr>
          <w:ilvl w:val="0"/>
          <w:numId w:val="11"/>
        </w:numPr>
        <w:spacing w:before="156" w:beforeLines="50" w:line="360" w:lineRule="auto"/>
        <w:ind w:left="0" w:firstLine="482"/>
        <w:outlineLvl w:val="1"/>
        <w:rPr>
          <w:rFonts w:ascii="宋体" w:hAnsi="宋体"/>
          <w:b/>
          <w:sz w:val="24"/>
          <w:szCs w:val="24"/>
        </w:rPr>
      </w:pPr>
      <w:bookmarkStart w:id="215" w:name="_Toc121082009"/>
      <w:r>
        <w:rPr>
          <w:rFonts w:ascii="宋体" w:hAnsi="宋体"/>
          <w:b/>
          <w:sz w:val="24"/>
          <w:szCs w:val="24"/>
        </w:rPr>
        <w:t>结算</w:t>
      </w:r>
      <w:bookmarkEnd w:id="215"/>
    </w:p>
    <w:p>
      <w:pPr>
        <w:pStyle w:val="51"/>
        <w:numPr>
          <w:ilvl w:val="0"/>
          <w:numId w:val="20"/>
        </w:numPr>
        <w:spacing w:line="360" w:lineRule="auto"/>
        <w:ind w:firstLineChars="0"/>
        <w:rPr>
          <w:rFonts w:ascii="宋体" w:hAnsi="宋体"/>
          <w:vanish/>
          <w:sz w:val="24"/>
          <w:szCs w:val="24"/>
        </w:rPr>
      </w:pP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甲乙双方一致同意：由乙方通过交易中心组织的市场化交易向甲方出售，或为甲方采购服务期限内合同电量，并由乙方按照双方约定的结算方案开展结算，交易中心根据乙方提供并经甲方确认的结算数据出具双方的结算依据。月度结算时，如双方对结算依据存在异议，按照《广西电力交易零售结算管理办法（试行）》执行。</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经双方协商一致，甲乙双方约定各交易品种的交易价格。</w:t>
      </w:r>
    </w:p>
    <w:p>
      <w:pPr>
        <w:pStyle w:val="51"/>
        <w:numPr>
          <w:ilvl w:val="1"/>
          <w:numId w:val="20"/>
        </w:numPr>
        <w:spacing w:line="360" w:lineRule="auto"/>
        <w:ind w:left="0" w:firstLine="480"/>
        <w:rPr>
          <w:rFonts w:ascii="宋体" w:hAnsi="宋体"/>
          <w:sz w:val="24"/>
          <w:szCs w:val="24"/>
        </w:rPr>
      </w:pPr>
      <w:r>
        <w:rPr>
          <w:rFonts w:ascii="宋体" w:hAnsi="宋体"/>
          <w:sz w:val="24"/>
          <w:szCs w:val="24"/>
        </w:rPr>
        <w:t>本合同的合同电量为预估需求数量</w:t>
      </w:r>
      <w:r>
        <w:rPr>
          <w:rFonts w:hint="eastAsia" w:ascii="宋体" w:hAnsi="宋体"/>
          <w:sz w:val="24"/>
          <w:szCs w:val="24"/>
        </w:rPr>
        <w:t>，各交易品种月度交易量以</w:t>
      </w:r>
      <w:r>
        <w:rPr>
          <w:rFonts w:hint="eastAsia" w:ascii="宋体" w:hAnsi="宋体"/>
          <w:kern w:val="58"/>
          <w:sz w:val="24"/>
          <w:szCs w:val="24"/>
        </w:rPr>
        <w:t>广西电网有限责任公司</w:t>
      </w:r>
      <w:r>
        <w:rPr>
          <w:rFonts w:hint="eastAsia" w:ascii="宋体" w:hAnsi="宋体"/>
          <w:sz w:val="24"/>
          <w:szCs w:val="24"/>
        </w:rPr>
        <w:t>南宁供电局、广西电力交易中心有限责任公司核定后甲方无异议的数量为准。</w:t>
      </w:r>
    </w:p>
    <w:p>
      <w:pPr>
        <w:pStyle w:val="51"/>
        <w:numPr>
          <w:ilvl w:val="1"/>
          <w:numId w:val="20"/>
        </w:numPr>
        <w:spacing w:line="360" w:lineRule="auto"/>
        <w:ind w:left="0" w:firstLine="480"/>
        <w:rPr>
          <w:rFonts w:ascii="宋体" w:hAnsi="宋体"/>
          <w:sz w:val="24"/>
          <w:szCs w:val="24"/>
        </w:rPr>
      </w:pPr>
      <w:r>
        <w:rPr>
          <w:rFonts w:ascii="宋体" w:hAnsi="宋体"/>
          <w:sz w:val="24"/>
          <w:szCs w:val="24"/>
        </w:rPr>
        <w:t>本合同年度</w:t>
      </w:r>
      <w:r>
        <w:rPr>
          <w:rFonts w:hint="eastAsia" w:ascii="宋体" w:hAnsi="宋体"/>
          <w:sz w:val="24"/>
          <w:szCs w:val="24"/>
        </w:rPr>
        <w:t>常规电能量交易</w:t>
      </w:r>
      <w:r>
        <w:rPr>
          <w:rFonts w:ascii="宋体" w:hAnsi="宋体"/>
          <w:sz w:val="24"/>
          <w:szCs w:val="24"/>
        </w:rPr>
        <w:t>结算的电量</w:t>
      </w:r>
      <w:r>
        <w:rPr>
          <w:rFonts w:hint="eastAsia" w:ascii="宋体" w:hAnsi="宋体"/>
          <w:sz w:val="24"/>
          <w:szCs w:val="24"/>
        </w:rPr>
        <w:t>、</w:t>
      </w:r>
      <w:r>
        <w:rPr>
          <w:rFonts w:ascii="宋体" w:hAnsi="宋体"/>
          <w:sz w:val="24"/>
          <w:szCs w:val="24"/>
        </w:rPr>
        <w:t>价格不包含乙方交易分成</w:t>
      </w:r>
      <w:r>
        <w:rPr>
          <w:rFonts w:hint="eastAsia" w:ascii="宋体" w:hAnsi="宋体"/>
          <w:sz w:val="24"/>
          <w:szCs w:val="24"/>
        </w:rPr>
        <w:t>，</w:t>
      </w:r>
      <w:r>
        <w:rPr>
          <w:rFonts w:ascii="宋体" w:hAnsi="宋体"/>
          <w:sz w:val="24"/>
          <w:szCs w:val="24"/>
        </w:rPr>
        <w:t>且甲方无须支付乙方服务费用</w:t>
      </w:r>
      <w:r>
        <w:rPr>
          <w:rFonts w:hint="eastAsia" w:ascii="宋体" w:hAnsi="宋体"/>
          <w:sz w:val="24"/>
          <w:szCs w:val="24"/>
        </w:rPr>
        <w:t>，</w:t>
      </w:r>
      <w:r>
        <w:rPr>
          <w:rFonts w:ascii="宋体" w:hAnsi="宋体"/>
          <w:sz w:val="24"/>
          <w:szCs w:val="24"/>
        </w:rPr>
        <w:t>对此乙方予以认可</w:t>
      </w:r>
      <w:r>
        <w:rPr>
          <w:rFonts w:hint="eastAsia" w:ascii="宋体" w:hAnsi="宋体"/>
          <w:sz w:val="24"/>
          <w:szCs w:val="24"/>
        </w:rPr>
        <w:t>。</w:t>
      </w:r>
    </w:p>
    <w:p>
      <w:pPr>
        <w:pStyle w:val="51"/>
        <w:numPr>
          <w:ilvl w:val="1"/>
          <w:numId w:val="20"/>
        </w:numPr>
        <w:spacing w:line="360" w:lineRule="auto"/>
        <w:ind w:left="0" w:firstLine="480"/>
        <w:rPr>
          <w:rFonts w:ascii="宋体" w:hAnsi="宋体"/>
          <w:sz w:val="24"/>
          <w:szCs w:val="24"/>
        </w:rPr>
      </w:pPr>
      <w:r>
        <w:rPr>
          <w:rFonts w:ascii="宋体" w:hAnsi="宋体"/>
          <w:sz w:val="24"/>
          <w:szCs w:val="24"/>
        </w:rPr>
        <w:t>在</w:t>
      </w:r>
      <w:r>
        <w:rPr>
          <w:rFonts w:hint="eastAsia" w:ascii="宋体" w:hAnsi="宋体"/>
          <w:sz w:val="24"/>
          <w:szCs w:val="24"/>
        </w:rPr>
        <w:t>合同电量不变的前提下，各方可根据交易规则，通过广西电力市场交易系统申请对本合同后续月份交易电量的分月计划进行滚动调整。本合同电量的分月计划调整，在广西电力交易中心有限责任公司发布后形成月度交易计划，作为本合同执行依据。</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甲方月度实际结算电量大于月度交易计划电量的月度部分，为月度正偏差电量，乙方应将月度正偏差电量作为未达合同电量的年度常规电能量交易价格进行结算。甲方年度常规电能量交易的年度实际结算电量大于合同电量的年度超计划部分，乙方应按照年度常规电能量交易价格进行结算。若乙方不能按前述方式为甲方结算，须在</w:t>
      </w:r>
      <w:r>
        <w:rPr>
          <w:rFonts w:ascii="宋体" w:hAnsi="宋体"/>
          <w:sz w:val="24"/>
          <w:szCs w:val="24"/>
        </w:rPr>
        <w:t>10个工作日内以书面形式说明原因</w:t>
      </w:r>
      <w:r>
        <w:rPr>
          <w:rFonts w:hint="eastAsia" w:ascii="宋体" w:hAnsi="宋体"/>
          <w:sz w:val="24"/>
          <w:szCs w:val="24"/>
        </w:rPr>
        <w:t>，同时开展其他交易以进行补充结算。</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广西电力交易中心有限责任公司暂未收取交易服务费，如后期出台相关收费规则，甲、乙双方应按照收费规则在各自范围内自行缴纳（或补缴）交易服务费。</w:t>
      </w:r>
    </w:p>
    <w:p>
      <w:pPr>
        <w:pStyle w:val="51"/>
        <w:numPr>
          <w:ilvl w:val="1"/>
          <w:numId w:val="20"/>
        </w:numPr>
        <w:spacing w:line="360" w:lineRule="auto"/>
        <w:ind w:left="0" w:firstLine="480"/>
        <w:rPr>
          <w:rFonts w:ascii="宋体" w:hAnsi="宋体"/>
          <w:sz w:val="24"/>
          <w:szCs w:val="24"/>
        </w:rPr>
      </w:pPr>
      <w:r>
        <w:rPr>
          <w:rFonts w:ascii="宋体" w:hAnsi="宋体"/>
          <w:sz w:val="24"/>
          <w:szCs w:val="24"/>
        </w:rPr>
        <w:t>本合同所列价格均含税</w:t>
      </w:r>
      <w:r>
        <w:rPr>
          <w:rFonts w:hint="eastAsia" w:ascii="宋体" w:hAnsi="宋体"/>
          <w:sz w:val="24"/>
          <w:szCs w:val="24"/>
        </w:rPr>
        <w:t>。</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年度常规电能量交易</w:t>
      </w:r>
    </w:p>
    <w:p>
      <w:pPr>
        <w:pStyle w:val="51"/>
        <w:numPr>
          <w:ilvl w:val="2"/>
          <w:numId w:val="20"/>
        </w:numPr>
        <w:spacing w:line="360" w:lineRule="auto"/>
        <w:ind w:left="0" w:firstLine="480"/>
        <w:rPr>
          <w:rFonts w:ascii="宋体" w:hAnsi="宋体"/>
          <w:sz w:val="24"/>
          <w:szCs w:val="24"/>
        </w:rPr>
      </w:pPr>
      <w:r>
        <w:rPr>
          <w:rFonts w:ascii="宋体" w:hAnsi="宋体"/>
          <w:sz w:val="24"/>
          <w:szCs w:val="24"/>
        </w:rPr>
        <w:t>合同电量</w:t>
      </w:r>
    </w:p>
    <w:p>
      <w:pPr>
        <w:spacing w:line="360" w:lineRule="auto"/>
        <w:ind w:firstLine="480" w:firstLineChars="200"/>
        <w:rPr>
          <w:rFonts w:ascii="宋体" w:hAnsi="宋体"/>
          <w:sz w:val="24"/>
          <w:szCs w:val="24"/>
        </w:rPr>
      </w:pPr>
      <w:r>
        <w:rPr>
          <w:rFonts w:hint="eastAsia" w:ascii="宋体" w:hAnsi="宋体"/>
          <w:sz w:val="24"/>
          <w:szCs w:val="24"/>
        </w:rPr>
        <w:t>甲方向乙方采购或委托乙方采购符合条件要求的电量。双方约定，服务期限内交易电量为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万千瓦时，初步分月计划如下：</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1697"/>
        <w:gridCol w:w="637"/>
        <w:gridCol w:w="1697"/>
        <w:gridCol w:w="631"/>
        <w:gridCol w:w="1697"/>
        <w:gridCol w:w="638"/>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jc w:val="center"/>
              <w:rPr>
                <w:sz w:val="18"/>
              </w:rPr>
            </w:pPr>
            <w:r>
              <w:rPr>
                <w:rFonts w:hint="eastAsia"/>
                <w:sz w:val="18"/>
              </w:rPr>
              <w:t>时间</w:t>
            </w:r>
          </w:p>
        </w:tc>
        <w:tc>
          <w:tcPr>
            <w:tcW w:w="914" w:type="pct"/>
            <w:vAlign w:val="center"/>
          </w:tcPr>
          <w:p>
            <w:pPr>
              <w:jc w:val="center"/>
              <w:rPr>
                <w:sz w:val="18"/>
              </w:rPr>
            </w:pPr>
            <w:r>
              <w:rPr>
                <w:rFonts w:hint="eastAsia"/>
                <w:sz w:val="18"/>
              </w:rPr>
              <w:t>电量（万千瓦时）</w:t>
            </w:r>
          </w:p>
        </w:tc>
        <w:tc>
          <w:tcPr>
            <w:tcW w:w="343" w:type="pct"/>
            <w:vAlign w:val="center"/>
          </w:tcPr>
          <w:p>
            <w:pPr>
              <w:jc w:val="center"/>
              <w:rPr>
                <w:sz w:val="18"/>
              </w:rPr>
            </w:pPr>
            <w:r>
              <w:rPr>
                <w:rFonts w:hint="eastAsia"/>
                <w:sz w:val="18"/>
              </w:rPr>
              <w:t>时间</w:t>
            </w:r>
          </w:p>
        </w:tc>
        <w:tc>
          <w:tcPr>
            <w:tcW w:w="914" w:type="pct"/>
            <w:vAlign w:val="center"/>
          </w:tcPr>
          <w:p>
            <w:pPr>
              <w:jc w:val="center"/>
              <w:rPr>
                <w:sz w:val="18"/>
              </w:rPr>
            </w:pPr>
            <w:r>
              <w:rPr>
                <w:rFonts w:hint="eastAsia"/>
                <w:sz w:val="18"/>
              </w:rPr>
              <w:t>电量（万千瓦时）</w:t>
            </w:r>
          </w:p>
        </w:tc>
        <w:tc>
          <w:tcPr>
            <w:tcW w:w="340" w:type="pct"/>
            <w:vAlign w:val="center"/>
          </w:tcPr>
          <w:p>
            <w:pPr>
              <w:jc w:val="center"/>
              <w:rPr>
                <w:sz w:val="18"/>
              </w:rPr>
            </w:pPr>
            <w:r>
              <w:rPr>
                <w:rFonts w:hint="eastAsia"/>
                <w:sz w:val="18"/>
              </w:rPr>
              <w:t>时间</w:t>
            </w:r>
          </w:p>
        </w:tc>
        <w:tc>
          <w:tcPr>
            <w:tcW w:w="914" w:type="pct"/>
            <w:vAlign w:val="center"/>
          </w:tcPr>
          <w:p>
            <w:pPr>
              <w:jc w:val="center"/>
              <w:rPr>
                <w:sz w:val="18"/>
              </w:rPr>
            </w:pPr>
            <w:r>
              <w:rPr>
                <w:rFonts w:hint="eastAsia"/>
                <w:sz w:val="18"/>
              </w:rPr>
              <w:t>电量（万千瓦时）</w:t>
            </w:r>
          </w:p>
        </w:tc>
        <w:tc>
          <w:tcPr>
            <w:tcW w:w="343" w:type="pct"/>
            <w:vAlign w:val="center"/>
          </w:tcPr>
          <w:p>
            <w:pPr>
              <w:jc w:val="center"/>
              <w:rPr>
                <w:sz w:val="18"/>
              </w:rPr>
            </w:pPr>
            <w:r>
              <w:rPr>
                <w:rFonts w:hint="eastAsia"/>
                <w:sz w:val="18"/>
              </w:rPr>
              <w:t>时间</w:t>
            </w:r>
          </w:p>
        </w:tc>
        <w:tc>
          <w:tcPr>
            <w:tcW w:w="914" w:type="pct"/>
            <w:vAlign w:val="center"/>
          </w:tcPr>
          <w:p>
            <w:pPr>
              <w:jc w:val="center"/>
              <w:rPr>
                <w:sz w:val="18"/>
              </w:rPr>
            </w:pPr>
            <w:r>
              <w:rPr>
                <w:rFonts w:hint="eastAsia"/>
                <w:sz w:val="18"/>
              </w:rPr>
              <w:t>电量（万千瓦时）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sz w:val="18"/>
              </w:rPr>
            </w:pPr>
            <w:r>
              <w:rPr>
                <w:rFonts w:hint="eastAsia"/>
                <w:sz w:val="18"/>
              </w:rPr>
              <w:t>1月</w:t>
            </w:r>
          </w:p>
        </w:tc>
        <w:tc>
          <w:tcPr>
            <w:tcW w:w="914" w:type="pct"/>
            <w:vAlign w:val="center"/>
          </w:tcPr>
          <w:p>
            <w:pPr>
              <w:rPr>
                <w:sz w:val="18"/>
              </w:rPr>
            </w:pPr>
          </w:p>
        </w:tc>
        <w:tc>
          <w:tcPr>
            <w:tcW w:w="343" w:type="pct"/>
            <w:vAlign w:val="center"/>
          </w:tcPr>
          <w:p>
            <w:pPr>
              <w:rPr>
                <w:sz w:val="18"/>
              </w:rPr>
            </w:pPr>
            <w:r>
              <w:rPr>
                <w:rFonts w:hint="eastAsia"/>
                <w:sz w:val="18"/>
              </w:rPr>
              <w:t>2月</w:t>
            </w:r>
          </w:p>
        </w:tc>
        <w:tc>
          <w:tcPr>
            <w:tcW w:w="914" w:type="pct"/>
            <w:vAlign w:val="center"/>
          </w:tcPr>
          <w:p>
            <w:pPr>
              <w:rPr>
                <w:sz w:val="18"/>
              </w:rPr>
            </w:pPr>
          </w:p>
        </w:tc>
        <w:tc>
          <w:tcPr>
            <w:tcW w:w="340" w:type="pct"/>
            <w:vAlign w:val="center"/>
          </w:tcPr>
          <w:p>
            <w:pPr>
              <w:rPr>
                <w:sz w:val="18"/>
              </w:rPr>
            </w:pPr>
            <w:r>
              <w:rPr>
                <w:rFonts w:hint="eastAsia"/>
                <w:sz w:val="18"/>
              </w:rPr>
              <w:t>3月</w:t>
            </w:r>
          </w:p>
        </w:tc>
        <w:tc>
          <w:tcPr>
            <w:tcW w:w="914" w:type="pct"/>
            <w:vAlign w:val="center"/>
          </w:tcPr>
          <w:p>
            <w:pPr>
              <w:rPr>
                <w:sz w:val="18"/>
              </w:rPr>
            </w:pPr>
          </w:p>
        </w:tc>
        <w:tc>
          <w:tcPr>
            <w:tcW w:w="343" w:type="pct"/>
            <w:vAlign w:val="center"/>
          </w:tcPr>
          <w:p>
            <w:pPr>
              <w:rPr>
                <w:sz w:val="18"/>
              </w:rPr>
            </w:pPr>
            <w:r>
              <w:rPr>
                <w:rFonts w:hint="eastAsia"/>
                <w:sz w:val="18"/>
              </w:rPr>
              <w:t>4月</w:t>
            </w:r>
          </w:p>
        </w:tc>
        <w:tc>
          <w:tcPr>
            <w:tcW w:w="914"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sz w:val="18"/>
              </w:rPr>
            </w:pPr>
            <w:r>
              <w:rPr>
                <w:rFonts w:hint="eastAsia"/>
                <w:sz w:val="18"/>
              </w:rPr>
              <w:t>5月</w:t>
            </w:r>
          </w:p>
        </w:tc>
        <w:tc>
          <w:tcPr>
            <w:tcW w:w="914" w:type="pct"/>
            <w:vAlign w:val="center"/>
          </w:tcPr>
          <w:p>
            <w:pPr>
              <w:rPr>
                <w:sz w:val="18"/>
              </w:rPr>
            </w:pPr>
          </w:p>
        </w:tc>
        <w:tc>
          <w:tcPr>
            <w:tcW w:w="343" w:type="pct"/>
            <w:vAlign w:val="center"/>
          </w:tcPr>
          <w:p>
            <w:pPr>
              <w:rPr>
                <w:sz w:val="18"/>
              </w:rPr>
            </w:pPr>
            <w:r>
              <w:rPr>
                <w:rFonts w:hint="eastAsia"/>
                <w:sz w:val="18"/>
              </w:rPr>
              <w:t>6月</w:t>
            </w:r>
          </w:p>
        </w:tc>
        <w:tc>
          <w:tcPr>
            <w:tcW w:w="914" w:type="pct"/>
            <w:vAlign w:val="center"/>
          </w:tcPr>
          <w:p>
            <w:pPr>
              <w:rPr>
                <w:sz w:val="18"/>
              </w:rPr>
            </w:pPr>
          </w:p>
        </w:tc>
        <w:tc>
          <w:tcPr>
            <w:tcW w:w="340" w:type="pct"/>
            <w:vAlign w:val="center"/>
          </w:tcPr>
          <w:p>
            <w:pPr>
              <w:rPr>
                <w:sz w:val="18"/>
              </w:rPr>
            </w:pPr>
            <w:r>
              <w:rPr>
                <w:rFonts w:hint="eastAsia"/>
                <w:sz w:val="18"/>
              </w:rPr>
              <w:t>7月</w:t>
            </w:r>
          </w:p>
        </w:tc>
        <w:tc>
          <w:tcPr>
            <w:tcW w:w="914" w:type="pct"/>
            <w:vAlign w:val="center"/>
          </w:tcPr>
          <w:p>
            <w:pPr>
              <w:rPr>
                <w:sz w:val="18"/>
              </w:rPr>
            </w:pPr>
          </w:p>
        </w:tc>
        <w:tc>
          <w:tcPr>
            <w:tcW w:w="343" w:type="pct"/>
            <w:vAlign w:val="center"/>
          </w:tcPr>
          <w:p>
            <w:pPr>
              <w:rPr>
                <w:sz w:val="18"/>
              </w:rPr>
            </w:pPr>
            <w:r>
              <w:rPr>
                <w:rFonts w:hint="eastAsia"/>
                <w:sz w:val="18"/>
              </w:rPr>
              <w:t>8月</w:t>
            </w:r>
          </w:p>
        </w:tc>
        <w:tc>
          <w:tcPr>
            <w:tcW w:w="914" w:type="pct"/>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 w:type="pct"/>
            <w:vAlign w:val="center"/>
          </w:tcPr>
          <w:p>
            <w:pPr>
              <w:rPr>
                <w:sz w:val="18"/>
              </w:rPr>
            </w:pPr>
            <w:r>
              <w:rPr>
                <w:rFonts w:hint="eastAsia"/>
                <w:sz w:val="18"/>
              </w:rPr>
              <w:t>9月</w:t>
            </w:r>
          </w:p>
        </w:tc>
        <w:tc>
          <w:tcPr>
            <w:tcW w:w="914" w:type="pct"/>
            <w:vAlign w:val="center"/>
          </w:tcPr>
          <w:p>
            <w:pPr>
              <w:rPr>
                <w:sz w:val="18"/>
              </w:rPr>
            </w:pPr>
          </w:p>
        </w:tc>
        <w:tc>
          <w:tcPr>
            <w:tcW w:w="343" w:type="pct"/>
            <w:vAlign w:val="center"/>
          </w:tcPr>
          <w:p>
            <w:pPr>
              <w:rPr>
                <w:sz w:val="18"/>
              </w:rPr>
            </w:pPr>
            <w:r>
              <w:rPr>
                <w:rFonts w:hint="eastAsia"/>
                <w:sz w:val="18"/>
              </w:rPr>
              <w:t>10月</w:t>
            </w:r>
          </w:p>
        </w:tc>
        <w:tc>
          <w:tcPr>
            <w:tcW w:w="914" w:type="pct"/>
            <w:vAlign w:val="center"/>
          </w:tcPr>
          <w:p>
            <w:pPr>
              <w:rPr>
                <w:sz w:val="18"/>
              </w:rPr>
            </w:pPr>
          </w:p>
        </w:tc>
        <w:tc>
          <w:tcPr>
            <w:tcW w:w="340" w:type="pct"/>
            <w:vAlign w:val="center"/>
          </w:tcPr>
          <w:p>
            <w:pPr>
              <w:rPr>
                <w:sz w:val="18"/>
              </w:rPr>
            </w:pPr>
            <w:r>
              <w:rPr>
                <w:rFonts w:hint="eastAsia"/>
                <w:sz w:val="18"/>
              </w:rPr>
              <w:t>11月</w:t>
            </w:r>
          </w:p>
        </w:tc>
        <w:tc>
          <w:tcPr>
            <w:tcW w:w="914" w:type="pct"/>
            <w:vAlign w:val="center"/>
          </w:tcPr>
          <w:p>
            <w:pPr>
              <w:rPr>
                <w:sz w:val="18"/>
              </w:rPr>
            </w:pPr>
          </w:p>
        </w:tc>
        <w:tc>
          <w:tcPr>
            <w:tcW w:w="343" w:type="pct"/>
            <w:vAlign w:val="center"/>
          </w:tcPr>
          <w:p>
            <w:pPr>
              <w:rPr>
                <w:sz w:val="18"/>
              </w:rPr>
            </w:pPr>
            <w:r>
              <w:rPr>
                <w:rFonts w:hint="eastAsia"/>
                <w:sz w:val="18"/>
              </w:rPr>
              <w:t>12月</w:t>
            </w:r>
          </w:p>
        </w:tc>
        <w:tc>
          <w:tcPr>
            <w:tcW w:w="914" w:type="pct"/>
            <w:vAlign w:val="center"/>
          </w:tcPr>
          <w:p>
            <w:pPr>
              <w:rPr>
                <w:sz w:val="18"/>
              </w:rPr>
            </w:pPr>
          </w:p>
        </w:tc>
      </w:tr>
    </w:tbl>
    <w:p>
      <w:pPr>
        <w:spacing w:line="360" w:lineRule="auto"/>
        <w:ind w:firstLine="400" w:firstLineChars="200"/>
        <w:rPr>
          <w:rFonts w:ascii="宋体" w:hAnsi="宋体"/>
          <w:sz w:val="20"/>
          <w:szCs w:val="24"/>
        </w:rPr>
      </w:pPr>
      <w:r>
        <w:rPr>
          <w:rFonts w:hint="eastAsia" w:ascii="宋体" w:hAnsi="宋体"/>
          <w:sz w:val="20"/>
          <w:szCs w:val="24"/>
        </w:rPr>
        <w:t>备注：以最终成交结果及申报的交易计划为准。</w:t>
      </w:r>
    </w:p>
    <w:p>
      <w:pPr>
        <w:pStyle w:val="51"/>
        <w:numPr>
          <w:ilvl w:val="2"/>
          <w:numId w:val="20"/>
        </w:numPr>
        <w:spacing w:line="360" w:lineRule="auto"/>
        <w:ind w:left="0" w:firstLine="480"/>
        <w:rPr>
          <w:rFonts w:ascii="宋体" w:hAnsi="宋体"/>
          <w:sz w:val="24"/>
          <w:szCs w:val="24"/>
        </w:rPr>
      </w:pPr>
      <w:r>
        <w:rPr>
          <w:rFonts w:ascii="宋体" w:hAnsi="宋体"/>
          <w:sz w:val="24"/>
          <w:szCs w:val="24"/>
        </w:rPr>
        <w:t>交易</w:t>
      </w:r>
      <w:r>
        <w:rPr>
          <w:rFonts w:hint="eastAsia" w:ascii="宋体" w:hAnsi="宋体"/>
          <w:sz w:val="24"/>
          <w:szCs w:val="24"/>
        </w:rPr>
        <w:t>价格</w:t>
      </w:r>
    </w:p>
    <w:p>
      <w:pPr>
        <w:spacing w:line="360" w:lineRule="auto"/>
        <w:ind w:firstLine="480" w:firstLineChars="200"/>
        <w:rPr>
          <w:rFonts w:ascii="宋体" w:hAnsi="宋体"/>
          <w:sz w:val="24"/>
          <w:szCs w:val="24"/>
        </w:rPr>
      </w:pPr>
      <w:r>
        <w:rPr>
          <w:rFonts w:hint="eastAsia" w:ascii="宋体" w:hAnsi="宋体"/>
          <w:sz w:val="24"/>
          <w:szCs w:val="24"/>
        </w:rPr>
        <w:t>双方约定交易价格为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元/千瓦时。</w:t>
      </w:r>
    </w:p>
    <w:p>
      <w:pPr>
        <w:pStyle w:val="51"/>
        <w:numPr>
          <w:ilvl w:val="1"/>
          <w:numId w:val="20"/>
        </w:numPr>
        <w:spacing w:line="360" w:lineRule="auto"/>
        <w:ind w:left="0" w:firstLine="480"/>
        <w:rPr>
          <w:rFonts w:ascii="宋体" w:hAnsi="宋体"/>
          <w:sz w:val="24"/>
          <w:szCs w:val="24"/>
        </w:rPr>
      </w:pPr>
      <w:r>
        <w:rPr>
          <w:rFonts w:ascii="宋体" w:hAnsi="宋体"/>
          <w:sz w:val="24"/>
          <w:szCs w:val="24"/>
        </w:rPr>
        <w:t>绿色电力交易</w:t>
      </w:r>
    </w:p>
    <w:p>
      <w:pPr>
        <w:pStyle w:val="51"/>
        <w:numPr>
          <w:ilvl w:val="2"/>
          <w:numId w:val="20"/>
        </w:numPr>
        <w:spacing w:line="360" w:lineRule="auto"/>
        <w:ind w:left="0" w:firstLine="480"/>
        <w:rPr>
          <w:rFonts w:ascii="宋体" w:hAnsi="宋体"/>
          <w:sz w:val="24"/>
          <w:szCs w:val="24"/>
        </w:rPr>
      </w:pPr>
      <w:r>
        <w:rPr>
          <w:rFonts w:hint="eastAsia" w:ascii="宋体" w:hAnsi="宋体"/>
          <w:sz w:val="24"/>
          <w:szCs w:val="24"/>
        </w:rPr>
        <w:t>在合同电量不变的前提下，乙方应在预测到绿色电力交易实际到户价格低于年度常规电能量交易实际到户价格时，将甲方月度需求计划电量转换为绿色电力交易。</w:t>
      </w:r>
    </w:p>
    <w:p>
      <w:pPr>
        <w:pStyle w:val="51"/>
        <w:numPr>
          <w:ilvl w:val="2"/>
          <w:numId w:val="20"/>
        </w:numPr>
        <w:spacing w:line="360" w:lineRule="auto"/>
        <w:ind w:left="0" w:firstLine="480"/>
        <w:rPr>
          <w:rFonts w:ascii="宋体" w:hAnsi="宋体"/>
          <w:sz w:val="24"/>
          <w:szCs w:val="24"/>
        </w:rPr>
      </w:pPr>
      <w:r>
        <w:rPr>
          <w:rFonts w:hint="eastAsia" w:ascii="宋体" w:hAnsi="宋体"/>
          <w:sz w:val="24"/>
          <w:szCs w:val="24"/>
        </w:rPr>
        <w:t>在合同电量不变的前提下，甲方提出部分或全部月度需求计划电量转换为绿色电力交易时，乙方应配合甲方开展绿色电力交易，并在月度结算中完成常规电能量结算转换为绿电结算。</w:t>
      </w:r>
    </w:p>
    <w:p>
      <w:pPr>
        <w:pStyle w:val="51"/>
        <w:numPr>
          <w:ilvl w:val="1"/>
          <w:numId w:val="20"/>
        </w:numPr>
        <w:spacing w:line="360" w:lineRule="auto"/>
        <w:ind w:left="0" w:firstLine="480"/>
        <w:rPr>
          <w:rFonts w:ascii="宋体" w:hAnsi="宋体"/>
          <w:sz w:val="24"/>
          <w:szCs w:val="24"/>
        </w:rPr>
      </w:pPr>
      <w:r>
        <w:rPr>
          <w:rFonts w:ascii="宋体" w:hAnsi="宋体"/>
          <w:sz w:val="24"/>
          <w:szCs w:val="24"/>
        </w:rPr>
        <w:t>偏差电量处理</w:t>
      </w:r>
    </w:p>
    <w:p>
      <w:pPr>
        <w:spacing w:line="360" w:lineRule="auto"/>
        <w:ind w:firstLine="480" w:firstLineChars="200"/>
        <w:rPr>
          <w:rFonts w:ascii="宋体" w:hAnsi="宋体"/>
          <w:sz w:val="24"/>
          <w:szCs w:val="24"/>
        </w:rPr>
      </w:pPr>
      <w:r>
        <w:rPr>
          <w:rFonts w:hint="eastAsia" w:ascii="宋体" w:hAnsi="宋体"/>
          <w:sz w:val="24"/>
          <w:szCs w:val="24"/>
        </w:rPr>
        <w:t>偏差电量考核由乙方按照交易规则、年度交易实施方案、交易公告等相关规定执行，乙方承担全部偏差考核电费，甲方不承担任何形式的承担偏差考核电费。</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交易电费缴纳按照甲方与电网企业签订的《供用电合同》以及《预付费协议》规定实行预付费制度。双方均认可电网企业委托其下属供电企业完成对甲方的计量、抄表、电量结算和电费收取等相关事宜。</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电费的结算、支付按广西壮族自治区工信厅或交易中心印发的结算支付有关规定执行。</w:t>
      </w:r>
    </w:p>
    <w:p>
      <w:pPr>
        <w:pStyle w:val="51"/>
        <w:numPr>
          <w:ilvl w:val="0"/>
          <w:numId w:val="11"/>
        </w:numPr>
        <w:spacing w:before="156" w:beforeLines="50" w:line="360" w:lineRule="auto"/>
        <w:ind w:left="0" w:firstLine="482"/>
        <w:outlineLvl w:val="1"/>
        <w:rPr>
          <w:rFonts w:ascii="宋体" w:hAnsi="宋体"/>
          <w:b/>
          <w:sz w:val="24"/>
          <w:szCs w:val="24"/>
        </w:rPr>
      </w:pPr>
      <w:bookmarkStart w:id="216" w:name="_Toc121082010"/>
      <w:r>
        <w:rPr>
          <w:rFonts w:hint="eastAsia" w:ascii="宋体" w:hAnsi="宋体"/>
          <w:b/>
          <w:sz w:val="24"/>
          <w:szCs w:val="24"/>
        </w:rPr>
        <w:t>合同生效和期限</w:t>
      </w:r>
      <w:bookmarkEnd w:id="216"/>
    </w:p>
    <w:p>
      <w:pPr>
        <w:pStyle w:val="51"/>
        <w:numPr>
          <w:ilvl w:val="0"/>
          <w:numId w:val="20"/>
        </w:numPr>
        <w:spacing w:line="360" w:lineRule="auto"/>
        <w:ind w:firstLineChars="0"/>
        <w:rPr>
          <w:rFonts w:ascii="宋体" w:hAnsi="宋体"/>
          <w:vanish/>
          <w:sz w:val="24"/>
          <w:szCs w:val="24"/>
        </w:rPr>
      </w:pP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本合同的生效条件：</w:t>
      </w:r>
    </w:p>
    <w:p>
      <w:pPr>
        <w:spacing w:line="360" w:lineRule="auto"/>
        <w:ind w:firstLine="480" w:firstLineChars="200"/>
        <w:rPr>
          <w:rFonts w:ascii="宋体" w:hAnsi="宋体"/>
          <w:sz w:val="24"/>
          <w:szCs w:val="24"/>
        </w:rPr>
      </w:pPr>
      <w:r>
        <w:rPr>
          <w:rFonts w:hint="eastAsia" w:ascii="宋体" w:hAnsi="宋体"/>
          <w:sz w:val="24"/>
          <w:szCs w:val="24"/>
        </w:rPr>
        <w:t>本合同经双方法定代表人或授权委托代理人签字（签章）并加盖单位公章、合同专用章后生效。</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双方一致约定：自</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月确定服务期限（即本合同有效期），由乙方为甲方提供电力市场化交易服务。</w:t>
      </w:r>
    </w:p>
    <w:p>
      <w:pPr>
        <w:pStyle w:val="51"/>
        <w:numPr>
          <w:ilvl w:val="0"/>
          <w:numId w:val="11"/>
        </w:numPr>
        <w:spacing w:before="156" w:beforeLines="50" w:line="360" w:lineRule="auto"/>
        <w:ind w:left="0" w:firstLine="482"/>
        <w:outlineLvl w:val="1"/>
        <w:rPr>
          <w:rFonts w:ascii="宋体" w:hAnsi="宋体"/>
          <w:b/>
          <w:sz w:val="24"/>
          <w:szCs w:val="24"/>
        </w:rPr>
      </w:pPr>
      <w:bookmarkStart w:id="217" w:name="_Toc121082011"/>
      <w:r>
        <w:rPr>
          <w:rFonts w:hint="eastAsia" w:ascii="宋体" w:hAnsi="宋体"/>
          <w:b/>
          <w:sz w:val="24"/>
          <w:szCs w:val="24"/>
        </w:rPr>
        <w:t>合同变更和解除</w:t>
      </w:r>
      <w:bookmarkEnd w:id="217"/>
    </w:p>
    <w:p>
      <w:pPr>
        <w:pStyle w:val="51"/>
        <w:numPr>
          <w:ilvl w:val="0"/>
          <w:numId w:val="20"/>
        </w:numPr>
        <w:spacing w:line="360" w:lineRule="auto"/>
        <w:ind w:firstLineChars="0"/>
        <w:rPr>
          <w:rFonts w:ascii="宋体" w:hAnsi="宋体"/>
          <w:vanish/>
          <w:sz w:val="24"/>
          <w:szCs w:val="24"/>
        </w:rPr>
      </w:pP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本合同的任何修改、补充、变更或解除须由双方签订补充变更/解除协议，并及时在交易系统备案。</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因国家法律、法规发生变化或者政府有关部门、监管机构出台有关规定、规则，导致任一方如正常履行合同足以产生违法、违规的不利风险时，由一方提出，经对方核实，如确实存在上述情形，双方应对本合同作相应变更至符合相应法律、法规、规定或规则。</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一方发生下列事件，则对方有权在发出解除通知后解除本合同：</w:t>
      </w:r>
    </w:p>
    <w:p>
      <w:pPr>
        <w:spacing w:line="360" w:lineRule="auto"/>
        <w:ind w:firstLine="480" w:firstLineChars="200"/>
        <w:rPr>
          <w:rFonts w:ascii="宋体" w:hAnsi="宋体"/>
          <w:sz w:val="24"/>
          <w:szCs w:val="24"/>
        </w:rPr>
      </w:pPr>
      <w:r>
        <w:rPr>
          <w:rFonts w:hint="eastAsia" w:ascii="宋体" w:hAnsi="宋体"/>
          <w:sz w:val="24"/>
          <w:szCs w:val="24"/>
        </w:rPr>
        <w:t>（1）一方被申请破产、清算或被吊销营业执照；</w:t>
      </w:r>
    </w:p>
    <w:p>
      <w:pPr>
        <w:spacing w:line="360" w:lineRule="auto"/>
        <w:ind w:firstLine="480" w:firstLineChars="200"/>
        <w:rPr>
          <w:rFonts w:ascii="宋体" w:hAnsi="宋体"/>
          <w:sz w:val="24"/>
          <w:szCs w:val="24"/>
        </w:rPr>
      </w:pPr>
      <w:r>
        <w:rPr>
          <w:rFonts w:hint="eastAsia" w:ascii="宋体" w:hAnsi="宋体"/>
          <w:sz w:val="24"/>
          <w:szCs w:val="24"/>
        </w:rPr>
        <w:t>（2）一方被政府有关部门和社会组织依法依规对其他领域失信行为做出处理，被纳入涉电力领域失信联合惩戒对象名单或诚信状况重点关注名单的；</w:t>
      </w:r>
    </w:p>
    <w:p>
      <w:pPr>
        <w:spacing w:line="360" w:lineRule="auto"/>
        <w:ind w:firstLine="480" w:firstLineChars="200"/>
        <w:rPr>
          <w:rFonts w:ascii="宋体" w:hAnsi="宋体"/>
          <w:sz w:val="24"/>
          <w:szCs w:val="24"/>
        </w:rPr>
      </w:pPr>
      <w:r>
        <w:rPr>
          <w:rFonts w:hint="eastAsia" w:ascii="宋体" w:hAnsi="宋体"/>
          <w:sz w:val="24"/>
          <w:szCs w:val="24"/>
        </w:rPr>
        <w:t>（3）广西电力市场主体被政府主管部门、监管机构认定的不适于继续参与电力市场化交易的。</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满足解除合同条件的（含双方协商一致），可解除本合同。在双方共同签订补充变更/解除协议后，应尽快在交易系统完成合同备案。</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双方不得擅自终止、解除本合同。如果因一方原因导致合同解除，则该方应赔偿对方因此而遭受的损失。</w:t>
      </w:r>
    </w:p>
    <w:p>
      <w:pPr>
        <w:pStyle w:val="51"/>
        <w:numPr>
          <w:ilvl w:val="0"/>
          <w:numId w:val="11"/>
        </w:numPr>
        <w:spacing w:before="156" w:beforeLines="50" w:line="360" w:lineRule="auto"/>
        <w:ind w:left="0" w:firstLine="482"/>
        <w:outlineLvl w:val="1"/>
        <w:rPr>
          <w:rFonts w:ascii="宋体" w:hAnsi="宋体"/>
          <w:b/>
          <w:sz w:val="24"/>
          <w:szCs w:val="24"/>
        </w:rPr>
      </w:pPr>
      <w:bookmarkStart w:id="218" w:name="_Toc121082012"/>
      <w:r>
        <w:rPr>
          <w:rFonts w:hint="eastAsia" w:ascii="宋体" w:hAnsi="宋体"/>
          <w:b/>
          <w:sz w:val="24"/>
          <w:szCs w:val="24"/>
        </w:rPr>
        <w:t>合同违约和赔偿</w:t>
      </w:r>
      <w:bookmarkEnd w:id="218"/>
    </w:p>
    <w:p>
      <w:pPr>
        <w:pStyle w:val="51"/>
        <w:numPr>
          <w:ilvl w:val="0"/>
          <w:numId w:val="20"/>
        </w:numPr>
        <w:spacing w:line="360" w:lineRule="auto"/>
        <w:ind w:firstLineChars="0"/>
        <w:rPr>
          <w:rFonts w:ascii="宋体" w:hAnsi="宋体"/>
          <w:vanish/>
          <w:sz w:val="24"/>
          <w:szCs w:val="24"/>
        </w:rPr>
      </w:pPr>
    </w:p>
    <w:p>
      <w:pPr>
        <w:pStyle w:val="51"/>
        <w:numPr>
          <w:ilvl w:val="1"/>
          <w:numId w:val="20"/>
        </w:numPr>
        <w:spacing w:line="360" w:lineRule="auto"/>
        <w:ind w:left="0" w:firstLine="480"/>
        <w:rPr>
          <w:rFonts w:ascii="宋体" w:hAnsi="宋体"/>
          <w:sz w:val="24"/>
          <w:szCs w:val="24"/>
        </w:rPr>
      </w:pPr>
      <w:r>
        <w:rPr>
          <w:rFonts w:ascii="宋体" w:hAnsi="宋体"/>
          <w:sz w:val="24"/>
          <w:szCs w:val="24"/>
        </w:rPr>
        <w:t>合同违约</w:t>
      </w:r>
    </w:p>
    <w:p>
      <w:pPr>
        <w:pStyle w:val="51"/>
        <w:numPr>
          <w:ilvl w:val="2"/>
          <w:numId w:val="20"/>
        </w:numPr>
        <w:spacing w:line="360" w:lineRule="auto"/>
        <w:ind w:left="0" w:firstLine="480"/>
        <w:rPr>
          <w:rFonts w:ascii="宋体" w:hAnsi="宋体"/>
          <w:sz w:val="24"/>
          <w:szCs w:val="24"/>
        </w:rPr>
      </w:pPr>
      <w:r>
        <w:rPr>
          <w:rFonts w:hint="eastAsia" w:ascii="宋体" w:hAnsi="宋体"/>
          <w:sz w:val="24"/>
          <w:szCs w:val="24"/>
        </w:rPr>
        <w:t>如乙方由于非不可抗力、客观过失等原因导致合同期内未能继续履行本合同项下任何义务的情况，乙方应及时向甲方送达有关书面通知，并在通知发出后3个工作日内采取补救措施纠正其违约行为。违约行为发生后，除非甲方提出书面要求解除合同，否则乙方应继续履行合同，并支付违约金。乙方在继续履约或者采取补救措施后，仍造成甲方其他损失的，乙方应当赔偿相应的损失。</w:t>
      </w:r>
    </w:p>
    <w:p>
      <w:pPr>
        <w:pStyle w:val="51"/>
        <w:numPr>
          <w:ilvl w:val="2"/>
          <w:numId w:val="20"/>
        </w:numPr>
        <w:spacing w:line="360" w:lineRule="auto"/>
        <w:ind w:left="0" w:firstLine="480"/>
        <w:rPr>
          <w:rFonts w:ascii="宋体" w:hAnsi="宋体"/>
          <w:sz w:val="24"/>
          <w:szCs w:val="24"/>
        </w:rPr>
      </w:pPr>
      <w:r>
        <w:rPr>
          <w:rFonts w:hint="eastAsia" w:ascii="宋体" w:hAnsi="宋体"/>
          <w:sz w:val="24"/>
          <w:szCs w:val="24"/>
        </w:rPr>
        <w:t>如乙方由于非不可抗力、客观过失等原因明确表示或以自己的行为表明不履行合同义务，或在交易系统不能完成合同备案的，甲方有权单方面解除合同并要求乙方承担相应的违约责任，将其列入不良行为记录名单，3年内禁止其参加甲方的任何采购活动和广西电力市场化交易项目采购活动，同时提报广西电力交易中心有限责任公司列入黑名单。</w:t>
      </w:r>
    </w:p>
    <w:p>
      <w:pPr>
        <w:pStyle w:val="51"/>
        <w:numPr>
          <w:ilvl w:val="1"/>
          <w:numId w:val="20"/>
        </w:numPr>
        <w:spacing w:line="360" w:lineRule="auto"/>
        <w:ind w:left="0" w:firstLine="480"/>
        <w:rPr>
          <w:rFonts w:ascii="宋体" w:hAnsi="宋体"/>
          <w:sz w:val="24"/>
          <w:szCs w:val="24"/>
        </w:rPr>
      </w:pPr>
      <w:r>
        <w:rPr>
          <w:rFonts w:ascii="宋体" w:hAnsi="宋体"/>
          <w:sz w:val="24"/>
          <w:szCs w:val="24"/>
        </w:rPr>
        <w:t>违约赔偿</w:t>
      </w:r>
    </w:p>
    <w:p>
      <w:pPr>
        <w:pStyle w:val="51"/>
        <w:numPr>
          <w:ilvl w:val="2"/>
          <w:numId w:val="20"/>
        </w:numPr>
        <w:spacing w:line="360" w:lineRule="auto"/>
        <w:ind w:left="0" w:firstLine="480"/>
        <w:rPr>
          <w:rFonts w:ascii="宋体" w:hAnsi="宋体"/>
          <w:sz w:val="24"/>
          <w:szCs w:val="24"/>
        </w:rPr>
      </w:pPr>
      <w:r>
        <w:rPr>
          <w:rFonts w:ascii="宋体" w:hAnsi="宋体"/>
          <w:sz w:val="24"/>
          <w:szCs w:val="24"/>
        </w:rPr>
        <w:t>本合同</w:t>
      </w:r>
      <w:r>
        <w:rPr>
          <w:rFonts w:hint="eastAsia" w:ascii="宋体" w:hAnsi="宋体"/>
          <w:sz w:val="24"/>
          <w:szCs w:val="24"/>
        </w:rPr>
        <w:t>签订后，未经甲方同意，乙方不得在同一交易周期内将其合同权利、责任和义务部分转让或全部转让或转移给第三方。如因乙方原因导致本协议部分或全部不能履约时，乙方应向甲方支付相应的全部违约赔偿金，违约价格=合同价格÷2×乙方未履约电量。</w:t>
      </w:r>
    </w:p>
    <w:p>
      <w:pPr>
        <w:pStyle w:val="51"/>
        <w:numPr>
          <w:ilvl w:val="2"/>
          <w:numId w:val="20"/>
        </w:numPr>
        <w:spacing w:line="360" w:lineRule="auto"/>
        <w:ind w:left="0" w:firstLine="480"/>
        <w:rPr>
          <w:rFonts w:ascii="宋体" w:hAnsi="宋体"/>
          <w:sz w:val="24"/>
          <w:szCs w:val="24"/>
        </w:rPr>
      </w:pPr>
      <w:r>
        <w:rPr>
          <w:rFonts w:hint="eastAsia" w:ascii="宋体" w:hAnsi="宋体"/>
          <w:sz w:val="24"/>
          <w:szCs w:val="24"/>
        </w:rPr>
        <w:t>由于乙方原因，造成连续</w:t>
      </w:r>
      <w:r>
        <w:rPr>
          <w:rFonts w:ascii="宋体" w:hAnsi="宋体"/>
          <w:sz w:val="24"/>
          <w:szCs w:val="24"/>
        </w:rPr>
        <w:t>2</w:t>
      </w:r>
      <w:r>
        <w:rPr>
          <w:rFonts w:hint="eastAsia" w:ascii="宋体" w:hAnsi="宋体"/>
          <w:sz w:val="24"/>
          <w:szCs w:val="24"/>
        </w:rPr>
        <w:t>个月度或合计</w:t>
      </w:r>
      <w:r>
        <w:rPr>
          <w:rFonts w:ascii="宋体" w:hAnsi="宋体"/>
          <w:sz w:val="24"/>
          <w:szCs w:val="24"/>
        </w:rPr>
        <w:t>3</w:t>
      </w:r>
      <w:r>
        <w:rPr>
          <w:rFonts w:hint="eastAsia" w:ascii="宋体" w:hAnsi="宋体"/>
          <w:sz w:val="24"/>
          <w:szCs w:val="24"/>
        </w:rPr>
        <w:t>个月度结算期内均未按约定为甲方结算</w:t>
      </w:r>
      <w:r>
        <w:rPr>
          <w:rFonts w:ascii="宋体" w:hAnsi="宋体"/>
          <w:sz w:val="24"/>
          <w:szCs w:val="24"/>
        </w:rPr>
        <w:t>交易</w:t>
      </w:r>
      <w:r>
        <w:rPr>
          <w:rFonts w:hint="eastAsia" w:ascii="宋体" w:hAnsi="宋体"/>
          <w:sz w:val="24"/>
          <w:szCs w:val="24"/>
        </w:rPr>
        <w:t>计划电量的，甲方有权单方面解除合同。由此</w:t>
      </w:r>
      <w:r>
        <w:rPr>
          <w:rFonts w:ascii="宋体" w:hAnsi="宋体"/>
          <w:sz w:val="24"/>
          <w:szCs w:val="24"/>
        </w:rPr>
        <w:t>造成甲方</w:t>
      </w:r>
      <w:r>
        <w:rPr>
          <w:rFonts w:hint="eastAsia" w:ascii="宋体" w:hAnsi="宋体"/>
          <w:sz w:val="24"/>
          <w:szCs w:val="24"/>
        </w:rPr>
        <w:t>按合同价格</w:t>
      </w:r>
      <w:r>
        <w:rPr>
          <w:rFonts w:ascii="宋体" w:hAnsi="宋体"/>
          <w:sz w:val="24"/>
          <w:szCs w:val="24"/>
        </w:rPr>
        <w:t>实际结算电量低于合同电量的100</w:t>
      </w:r>
      <w:r>
        <w:rPr>
          <w:rFonts w:hint="eastAsia" w:ascii="宋体" w:hAnsi="宋体"/>
          <w:sz w:val="24"/>
          <w:szCs w:val="24"/>
        </w:rPr>
        <w:t>%，且当期实际结算价格高于合同价格，乙方须按违约价格向甲方进行赔偿，违约价格=（当期实际结算价格-合同价格）×乙方未履约电量×</w:t>
      </w:r>
      <w:r>
        <w:rPr>
          <w:rFonts w:ascii="宋体" w:hAnsi="宋体"/>
          <w:sz w:val="24"/>
          <w:szCs w:val="24"/>
        </w:rPr>
        <w:t>2</w:t>
      </w:r>
      <w:r>
        <w:rPr>
          <w:rFonts w:hint="eastAsia" w:ascii="宋体" w:hAnsi="宋体"/>
          <w:sz w:val="24"/>
          <w:szCs w:val="24"/>
        </w:rPr>
        <w:t>。</w:t>
      </w:r>
    </w:p>
    <w:p>
      <w:pPr>
        <w:pStyle w:val="51"/>
        <w:numPr>
          <w:ilvl w:val="2"/>
          <w:numId w:val="20"/>
        </w:numPr>
        <w:spacing w:line="360" w:lineRule="auto"/>
        <w:ind w:left="0" w:firstLine="480"/>
        <w:rPr>
          <w:rFonts w:ascii="宋体" w:hAnsi="宋体"/>
          <w:sz w:val="24"/>
          <w:szCs w:val="24"/>
        </w:rPr>
      </w:pPr>
      <w:r>
        <w:rPr>
          <w:rFonts w:hint="eastAsia" w:ascii="宋体" w:hAnsi="宋体"/>
          <w:sz w:val="24"/>
          <w:szCs w:val="24"/>
        </w:rPr>
        <w:t>如乙方未按本合同5</w:t>
      </w:r>
      <w:r>
        <w:rPr>
          <w:rFonts w:ascii="宋体" w:hAnsi="宋体"/>
          <w:sz w:val="24"/>
          <w:szCs w:val="24"/>
        </w:rPr>
        <w:t>.6约定</w:t>
      </w:r>
      <w:r>
        <w:rPr>
          <w:rFonts w:hint="eastAsia" w:ascii="宋体" w:hAnsi="宋体"/>
          <w:sz w:val="24"/>
          <w:szCs w:val="24"/>
        </w:rPr>
        <w:t>开展其他交易以进行补充结算的电量，且当期实际结算价格高于合同价格，须按违约价格向甲方进行赔偿，违约价格=（当期实际结算价格-合同价格）×乙方未履约电量×</w:t>
      </w:r>
      <w:r>
        <w:rPr>
          <w:rFonts w:ascii="宋体" w:hAnsi="宋体"/>
          <w:sz w:val="24"/>
          <w:szCs w:val="24"/>
        </w:rPr>
        <w:t>2。</w:t>
      </w:r>
    </w:p>
    <w:p>
      <w:pPr>
        <w:pStyle w:val="51"/>
        <w:numPr>
          <w:ilvl w:val="2"/>
          <w:numId w:val="20"/>
        </w:numPr>
        <w:spacing w:line="360" w:lineRule="auto"/>
        <w:ind w:left="0" w:firstLine="480"/>
        <w:rPr>
          <w:rFonts w:ascii="宋体" w:hAnsi="宋体"/>
          <w:sz w:val="24"/>
          <w:szCs w:val="24"/>
        </w:rPr>
      </w:pPr>
      <w:r>
        <w:rPr>
          <w:rFonts w:ascii="宋体" w:hAnsi="宋体"/>
          <w:sz w:val="24"/>
          <w:szCs w:val="24"/>
        </w:rPr>
        <w:t>如乙方未按本合同</w:t>
      </w:r>
      <w:r>
        <w:rPr>
          <w:rFonts w:hint="eastAsia" w:ascii="宋体" w:hAnsi="宋体"/>
          <w:sz w:val="24"/>
          <w:szCs w:val="24"/>
        </w:rPr>
        <w:t>5</w:t>
      </w:r>
      <w:r>
        <w:rPr>
          <w:rFonts w:ascii="宋体" w:hAnsi="宋体"/>
          <w:sz w:val="24"/>
          <w:szCs w:val="24"/>
        </w:rPr>
        <w:t>.11约定开展绿色电力交易，且当期</w:t>
      </w:r>
      <w:r>
        <w:rPr>
          <w:rFonts w:hint="eastAsia" w:ascii="宋体" w:hAnsi="宋体"/>
          <w:sz w:val="24"/>
          <w:szCs w:val="24"/>
        </w:rPr>
        <w:t>市场</w:t>
      </w:r>
      <w:r>
        <w:rPr>
          <w:rFonts w:ascii="宋体" w:hAnsi="宋体"/>
          <w:sz w:val="24"/>
          <w:szCs w:val="24"/>
        </w:rPr>
        <w:t>绿色电力交易平均成交价格低于合同价格，须按违约价格向甲方进行赔偿，违约价格</w:t>
      </w:r>
      <w:r>
        <w:rPr>
          <w:rFonts w:hint="eastAsia" w:ascii="宋体" w:hAnsi="宋体"/>
          <w:sz w:val="24"/>
          <w:szCs w:val="24"/>
        </w:rPr>
        <w:t>=（合同价格-</w:t>
      </w:r>
      <w:r>
        <w:rPr>
          <w:rFonts w:ascii="宋体" w:hAnsi="宋体"/>
          <w:sz w:val="24"/>
          <w:szCs w:val="24"/>
        </w:rPr>
        <w:t>当期</w:t>
      </w:r>
      <w:r>
        <w:rPr>
          <w:rFonts w:hint="eastAsia" w:ascii="宋体" w:hAnsi="宋体"/>
          <w:sz w:val="24"/>
          <w:szCs w:val="24"/>
        </w:rPr>
        <w:t>市场</w:t>
      </w:r>
      <w:r>
        <w:rPr>
          <w:rFonts w:ascii="宋体" w:hAnsi="宋体"/>
          <w:sz w:val="24"/>
          <w:szCs w:val="24"/>
        </w:rPr>
        <w:t>绿色电力交易平均成交价格</w:t>
      </w:r>
      <w:r>
        <w:rPr>
          <w:rFonts w:hint="eastAsia" w:ascii="宋体" w:hAnsi="宋体"/>
          <w:sz w:val="24"/>
          <w:szCs w:val="24"/>
        </w:rPr>
        <w:t>）×当期需求计划电量×</w:t>
      </w:r>
      <w:r>
        <w:rPr>
          <w:rFonts w:ascii="宋体" w:hAnsi="宋体"/>
          <w:sz w:val="24"/>
          <w:szCs w:val="24"/>
        </w:rPr>
        <w:t>2</w:t>
      </w:r>
      <w:r>
        <w:rPr>
          <w:rFonts w:hint="eastAsia" w:ascii="宋体" w:hAnsi="宋体"/>
          <w:sz w:val="24"/>
          <w:szCs w:val="24"/>
        </w:rPr>
        <w:t>。</w:t>
      </w:r>
    </w:p>
    <w:p>
      <w:pPr>
        <w:pStyle w:val="51"/>
        <w:numPr>
          <w:ilvl w:val="2"/>
          <w:numId w:val="20"/>
        </w:numPr>
        <w:spacing w:line="360" w:lineRule="auto"/>
        <w:ind w:left="0" w:firstLine="480"/>
        <w:rPr>
          <w:rFonts w:ascii="宋体" w:hAnsi="宋体"/>
          <w:sz w:val="24"/>
          <w:szCs w:val="24"/>
        </w:rPr>
      </w:pPr>
      <w:r>
        <w:rPr>
          <w:rFonts w:ascii="宋体" w:hAnsi="宋体"/>
          <w:sz w:val="24"/>
          <w:szCs w:val="24"/>
        </w:rPr>
        <w:t>如因</w:t>
      </w:r>
      <w:r>
        <w:rPr>
          <w:rFonts w:hint="eastAsia" w:ascii="宋体" w:hAnsi="宋体"/>
          <w:sz w:val="24"/>
          <w:szCs w:val="24"/>
        </w:rPr>
        <w:t>乙</w:t>
      </w:r>
      <w:r>
        <w:rPr>
          <w:rFonts w:ascii="宋体" w:hAnsi="宋体"/>
          <w:sz w:val="24"/>
          <w:szCs w:val="24"/>
        </w:rPr>
        <w:t>方行为造成</w:t>
      </w:r>
      <w:r>
        <w:rPr>
          <w:rFonts w:hint="eastAsia" w:ascii="宋体" w:hAnsi="宋体"/>
          <w:sz w:val="24"/>
          <w:szCs w:val="24"/>
        </w:rPr>
        <w:t>甲方</w:t>
      </w:r>
      <w:r>
        <w:rPr>
          <w:rFonts w:ascii="宋体" w:hAnsi="宋体"/>
          <w:sz w:val="24"/>
          <w:szCs w:val="24"/>
        </w:rPr>
        <w:t>合同期内经济损失或交易计划不能完成的</w:t>
      </w:r>
      <w:r>
        <w:rPr>
          <w:rFonts w:hint="eastAsia" w:ascii="宋体" w:hAnsi="宋体"/>
          <w:sz w:val="24"/>
          <w:szCs w:val="24"/>
        </w:rPr>
        <w:t>，乙</w:t>
      </w:r>
      <w:r>
        <w:rPr>
          <w:rFonts w:ascii="宋体" w:hAnsi="宋体"/>
          <w:sz w:val="24"/>
          <w:szCs w:val="24"/>
        </w:rPr>
        <w:t>方应当承担相应责任或赔偿责任</w:t>
      </w:r>
      <w:r>
        <w:rPr>
          <w:rFonts w:hint="eastAsia" w:ascii="宋体" w:hAnsi="宋体"/>
          <w:sz w:val="24"/>
          <w:szCs w:val="24"/>
        </w:rPr>
        <w:t>，</w:t>
      </w:r>
      <w:r>
        <w:rPr>
          <w:rFonts w:ascii="宋体" w:hAnsi="宋体"/>
          <w:sz w:val="24"/>
          <w:szCs w:val="24"/>
        </w:rPr>
        <w:t>该经济损失包括但不限于</w:t>
      </w:r>
      <w:r>
        <w:rPr>
          <w:rFonts w:hint="eastAsia" w:ascii="宋体" w:hAnsi="宋体"/>
          <w:sz w:val="24"/>
          <w:szCs w:val="24"/>
        </w:rPr>
        <w:t>甲</w:t>
      </w:r>
      <w:r>
        <w:rPr>
          <w:rFonts w:ascii="宋体" w:hAnsi="宋体"/>
          <w:sz w:val="24"/>
          <w:szCs w:val="24"/>
        </w:rPr>
        <w:t>方为实现权力而支付的诉讼费</w:t>
      </w:r>
      <w:r>
        <w:rPr>
          <w:rFonts w:hint="eastAsia" w:ascii="宋体" w:hAnsi="宋体"/>
          <w:sz w:val="24"/>
          <w:szCs w:val="24"/>
        </w:rPr>
        <w:t>、</w:t>
      </w:r>
      <w:r>
        <w:rPr>
          <w:rFonts w:ascii="宋体" w:hAnsi="宋体"/>
          <w:sz w:val="24"/>
          <w:szCs w:val="24"/>
        </w:rPr>
        <w:t>申请费</w:t>
      </w:r>
      <w:r>
        <w:rPr>
          <w:rFonts w:hint="eastAsia" w:ascii="宋体" w:hAnsi="宋体"/>
          <w:sz w:val="24"/>
          <w:szCs w:val="24"/>
        </w:rPr>
        <w:t>、</w:t>
      </w:r>
      <w:r>
        <w:rPr>
          <w:rFonts w:ascii="宋体" w:hAnsi="宋体"/>
          <w:sz w:val="24"/>
          <w:szCs w:val="24"/>
        </w:rPr>
        <w:t>差旅费</w:t>
      </w:r>
      <w:r>
        <w:rPr>
          <w:rFonts w:hint="eastAsia" w:ascii="宋体" w:hAnsi="宋体"/>
          <w:sz w:val="24"/>
          <w:szCs w:val="24"/>
        </w:rPr>
        <w:t>和律师费等费用。</w:t>
      </w:r>
    </w:p>
    <w:p>
      <w:pPr>
        <w:pStyle w:val="51"/>
        <w:numPr>
          <w:ilvl w:val="2"/>
          <w:numId w:val="20"/>
        </w:numPr>
        <w:spacing w:line="360" w:lineRule="auto"/>
        <w:ind w:left="0" w:firstLine="480"/>
        <w:rPr>
          <w:rFonts w:ascii="宋体" w:hAnsi="宋体"/>
          <w:sz w:val="24"/>
          <w:szCs w:val="24"/>
        </w:rPr>
      </w:pPr>
      <w:r>
        <w:rPr>
          <w:rFonts w:ascii="宋体" w:hAnsi="宋体"/>
          <w:sz w:val="24"/>
          <w:szCs w:val="24"/>
        </w:rPr>
        <w:t>本合同约定的乙方因各种情况造成甲方损失而进行赔偿的违约价格，如低于线上电子合同相应违约价格（违约金）的，以线上电子合同相应违约价格（违约金）进行赔偿。本合同约定的乙方因各种情况造成甲方损失而进行赔偿的违约价格，如线上电子合同无相关约定的，以本合同约定为准。</w:t>
      </w:r>
    </w:p>
    <w:p>
      <w:pPr>
        <w:pStyle w:val="51"/>
        <w:numPr>
          <w:ilvl w:val="0"/>
          <w:numId w:val="11"/>
        </w:numPr>
        <w:spacing w:before="156" w:beforeLines="50" w:line="360" w:lineRule="auto"/>
        <w:ind w:left="0" w:firstLine="482"/>
        <w:outlineLvl w:val="1"/>
        <w:rPr>
          <w:rFonts w:ascii="宋体" w:hAnsi="宋体"/>
          <w:b/>
          <w:sz w:val="24"/>
          <w:szCs w:val="24"/>
        </w:rPr>
      </w:pPr>
      <w:bookmarkStart w:id="219" w:name="_Toc121082013"/>
      <w:r>
        <w:rPr>
          <w:rFonts w:ascii="宋体" w:hAnsi="宋体"/>
          <w:b/>
          <w:sz w:val="24"/>
          <w:szCs w:val="24"/>
        </w:rPr>
        <w:t>免责条款</w:t>
      </w:r>
      <w:bookmarkEnd w:id="219"/>
    </w:p>
    <w:p>
      <w:pPr>
        <w:pStyle w:val="51"/>
        <w:numPr>
          <w:ilvl w:val="0"/>
          <w:numId w:val="20"/>
        </w:numPr>
        <w:spacing w:line="360" w:lineRule="auto"/>
        <w:ind w:firstLineChars="0"/>
        <w:rPr>
          <w:rFonts w:ascii="宋体" w:hAnsi="宋体"/>
          <w:vanish/>
          <w:sz w:val="24"/>
          <w:szCs w:val="24"/>
        </w:rPr>
      </w:pP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如合同期内发生不可抗力事件导致部分或完全地妨碍合同任一方履行本合同项下的任何义务，则该方可暂停履行其义务，双方应各自承担不可抗力事件对其造成的损失。但受不可抗力影响的一方暂停履行的范围和时间不超过消除不可抗力影响的合理需要，同时应继续履行本合同项下未受不可抗力影响的其他义务。</w:t>
      </w:r>
    </w:p>
    <w:p>
      <w:pPr>
        <w:pStyle w:val="51"/>
        <w:numPr>
          <w:ilvl w:val="1"/>
          <w:numId w:val="20"/>
        </w:numPr>
        <w:spacing w:line="360" w:lineRule="auto"/>
        <w:ind w:left="0" w:firstLine="480"/>
        <w:rPr>
          <w:rFonts w:ascii="宋体" w:hAnsi="宋体"/>
          <w:sz w:val="24"/>
          <w:szCs w:val="24"/>
        </w:rPr>
      </w:pPr>
      <w:r>
        <w:rPr>
          <w:rFonts w:hint="eastAsia"/>
          <w:sz w:val="24"/>
        </w:rPr>
        <w:t>如不可抗力导致任</w:t>
      </w:r>
      <w:r>
        <w:rPr>
          <w:rFonts w:ascii="宋体" w:hAnsi="宋体"/>
          <w:sz w:val="24"/>
          <w:szCs w:val="24"/>
        </w:rPr>
        <w:t>何</w:t>
      </w:r>
      <w:r>
        <w:rPr>
          <w:rFonts w:hint="eastAsia"/>
          <w:sz w:val="24"/>
        </w:rPr>
        <w:t>一方已</w:t>
      </w:r>
      <w:r>
        <w:rPr>
          <w:rFonts w:hint="eastAsia" w:ascii="宋体" w:hAnsi="宋体"/>
          <w:sz w:val="24"/>
          <w:szCs w:val="24"/>
        </w:rPr>
        <w:t>明显缺乏继续履行合同的能力，则该方应尽快书面通知对方，说明不可抗力的发生日期和预计持续的时间、事件性质、对该方履行本合同的影响及该方为减少不可抗力影响所采取的措施。</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受不可抗力影响一方应采取合理的措施，以减少因不可抗力给合同对方带来的损失。双方应及时协商制定并实施补救计划及合理的替代措施以减少或消除不可抗力的影响。如果受不可抗力影响的一方未能尽其努力采取合理措施导致损失扩大，则该方应承担由此扩大的损失。</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如果自不可抗力发生后 30 日内，双方不能就继续履行合同的条件或解除本合同达成一致意见，甲</w:t>
      </w:r>
      <w:r>
        <w:rPr>
          <w:rFonts w:ascii="宋体" w:hAnsi="宋体"/>
          <w:sz w:val="24"/>
          <w:szCs w:val="24"/>
        </w:rPr>
        <w:t>方有权书面通知</w:t>
      </w:r>
      <w:r>
        <w:rPr>
          <w:rFonts w:hint="eastAsia" w:ascii="宋体" w:hAnsi="宋体"/>
          <w:sz w:val="24"/>
          <w:szCs w:val="24"/>
        </w:rPr>
        <w:t>乙</w:t>
      </w:r>
      <w:r>
        <w:rPr>
          <w:rFonts w:ascii="宋体" w:hAnsi="宋体"/>
          <w:sz w:val="24"/>
          <w:szCs w:val="24"/>
        </w:rPr>
        <w:t>方解除本合同，并报广西</w:t>
      </w:r>
      <w:r>
        <w:rPr>
          <w:rFonts w:hint="eastAsia" w:ascii="宋体" w:hAnsi="宋体"/>
          <w:sz w:val="24"/>
          <w:szCs w:val="24"/>
        </w:rPr>
        <w:t>电力交易中心有限责任公司、</w:t>
      </w:r>
      <w:r>
        <w:rPr>
          <w:rFonts w:ascii="宋体" w:hAnsi="宋体"/>
          <w:sz w:val="24"/>
          <w:szCs w:val="24"/>
        </w:rPr>
        <w:t>电力监管机构</w:t>
      </w:r>
      <w:r>
        <w:rPr>
          <w:rFonts w:hint="eastAsia" w:ascii="宋体" w:hAnsi="宋体"/>
          <w:sz w:val="24"/>
          <w:szCs w:val="24"/>
        </w:rPr>
        <w:t>和政府相关部门</w:t>
      </w:r>
      <w:r>
        <w:rPr>
          <w:rFonts w:ascii="宋体" w:hAnsi="宋体"/>
          <w:sz w:val="24"/>
          <w:szCs w:val="24"/>
        </w:rPr>
        <w:t>备案。</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若因国家法律、政策变化或发生政府行为造成任一方不能履行本合同的，违约方应充分举证，经各方</w:t>
      </w:r>
      <w:r>
        <w:rPr>
          <w:rFonts w:ascii="宋体" w:hAnsi="宋体"/>
          <w:sz w:val="24"/>
          <w:szCs w:val="24"/>
        </w:rPr>
        <w:t>达成一致意见且</w:t>
      </w:r>
      <w:r>
        <w:rPr>
          <w:rFonts w:hint="eastAsia" w:ascii="宋体" w:hAnsi="宋体"/>
          <w:sz w:val="24"/>
          <w:szCs w:val="24"/>
        </w:rPr>
        <w:t>书面确认后可以解除本合同</w:t>
      </w:r>
      <w:r>
        <w:rPr>
          <w:rFonts w:ascii="宋体" w:hAnsi="宋体"/>
          <w:sz w:val="24"/>
          <w:szCs w:val="24"/>
        </w:rPr>
        <w:t>。</w:t>
      </w:r>
    </w:p>
    <w:p>
      <w:pPr>
        <w:pStyle w:val="51"/>
        <w:numPr>
          <w:ilvl w:val="0"/>
          <w:numId w:val="11"/>
        </w:numPr>
        <w:spacing w:before="156" w:beforeLines="50" w:line="360" w:lineRule="auto"/>
        <w:ind w:left="0" w:firstLine="482"/>
        <w:outlineLvl w:val="1"/>
        <w:rPr>
          <w:rFonts w:ascii="宋体" w:hAnsi="宋体"/>
          <w:b/>
          <w:sz w:val="24"/>
          <w:szCs w:val="24"/>
        </w:rPr>
      </w:pPr>
      <w:bookmarkStart w:id="220" w:name="_Toc121082014"/>
      <w:r>
        <w:rPr>
          <w:rFonts w:ascii="宋体" w:hAnsi="宋体"/>
          <w:b/>
          <w:sz w:val="24"/>
          <w:szCs w:val="24"/>
        </w:rPr>
        <w:t>争议解决</w:t>
      </w:r>
      <w:bookmarkEnd w:id="220"/>
    </w:p>
    <w:p>
      <w:pPr>
        <w:pStyle w:val="51"/>
        <w:numPr>
          <w:ilvl w:val="0"/>
          <w:numId w:val="20"/>
        </w:numPr>
        <w:spacing w:line="360" w:lineRule="auto"/>
        <w:ind w:firstLineChars="0"/>
        <w:rPr>
          <w:rFonts w:ascii="宋体" w:hAnsi="宋体"/>
          <w:vanish/>
          <w:sz w:val="24"/>
          <w:szCs w:val="24"/>
        </w:rPr>
      </w:pP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因本合同发生的争议，双方应友好协商解决，</w:t>
      </w:r>
      <w:r>
        <w:rPr>
          <w:rFonts w:ascii="宋体" w:hAnsi="宋体"/>
          <w:sz w:val="24"/>
          <w:szCs w:val="24"/>
        </w:rPr>
        <w:t>也可提请</w:t>
      </w:r>
      <w:r>
        <w:rPr>
          <w:rFonts w:hint="eastAsia" w:ascii="宋体" w:hAnsi="宋体"/>
          <w:sz w:val="24"/>
          <w:szCs w:val="24"/>
        </w:rPr>
        <w:t>电力监管机构和自治区工业和信息化厅进行</w:t>
      </w:r>
      <w:r>
        <w:rPr>
          <w:rFonts w:ascii="宋体" w:hAnsi="宋体"/>
          <w:sz w:val="24"/>
          <w:szCs w:val="24"/>
        </w:rPr>
        <w:t>调解。</w:t>
      </w:r>
      <w:r>
        <w:rPr>
          <w:rFonts w:hint="eastAsia" w:ascii="宋体" w:hAnsi="宋体"/>
          <w:sz w:val="24"/>
          <w:szCs w:val="24"/>
        </w:rPr>
        <w:t>协商不成，任一方可依法向甲方所在地人民法院提起诉讼。</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在争议解决期间，合同中未涉及争议部分的条款仍需履行。</w:t>
      </w:r>
    </w:p>
    <w:p>
      <w:pPr>
        <w:pStyle w:val="51"/>
        <w:numPr>
          <w:ilvl w:val="0"/>
          <w:numId w:val="11"/>
        </w:numPr>
        <w:spacing w:before="156" w:beforeLines="50" w:line="360" w:lineRule="auto"/>
        <w:ind w:left="0" w:firstLine="482"/>
        <w:outlineLvl w:val="1"/>
        <w:rPr>
          <w:rFonts w:ascii="宋体" w:hAnsi="宋体"/>
          <w:b/>
          <w:sz w:val="24"/>
          <w:szCs w:val="24"/>
        </w:rPr>
      </w:pPr>
      <w:bookmarkStart w:id="221" w:name="_Toc121082015"/>
      <w:r>
        <w:rPr>
          <w:rFonts w:ascii="宋体" w:hAnsi="宋体"/>
          <w:b/>
          <w:sz w:val="24"/>
          <w:szCs w:val="24"/>
        </w:rPr>
        <w:t>其他</w:t>
      </w:r>
      <w:bookmarkEnd w:id="221"/>
    </w:p>
    <w:p>
      <w:pPr>
        <w:pStyle w:val="51"/>
        <w:numPr>
          <w:ilvl w:val="0"/>
          <w:numId w:val="20"/>
        </w:numPr>
        <w:spacing w:line="360" w:lineRule="auto"/>
        <w:ind w:firstLineChars="0"/>
        <w:rPr>
          <w:rFonts w:ascii="宋体" w:hAnsi="宋体"/>
          <w:vanish/>
          <w:sz w:val="24"/>
          <w:szCs w:val="24"/>
        </w:rPr>
      </w:pP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中国政府向乙方征收的与履行本合同有关的一切税费由乙方支付。</w:t>
      </w:r>
    </w:p>
    <w:p>
      <w:pPr>
        <w:pStyle w:val="51"/>
        <w:numPr>
          <w:ilvl w:val="1"/>
          <w:numId w:val="20"/>
        </w:numPr>
        <w:spacing w:line="360" w:lineRule="auto"/>
        <w:ind w:left="0" w:firstLine="480"/>
        <w:rPr>
          <w:rFonts w:ascii="宋体" w:hAnsi="宋体"/>
          <w:sz w:val="24"/>
          <w:szCs w:val="24"/>
        </w:rPr>
      </w:pPr>
      <w:r>
        <w:rPr>
          <w:rFonts w:ascii="宋体" w:hAnsi="宋体"/>
          <w:sz w:val="24"/>
          <w:szCs w:val="24"/>
        </w:rPr>
        <w:t>双方</w:t>
      </w:r>
      <w:r>
        <w:rPr>
          <w:rFonts w:hint="eastAsia" w:ascii="宋体" w:hAnsi="宋体"/>
          <w:sz w:val="24"/>
          <w:szCs w:val="24"/>
        </w:rPr>
        <w:t>不得以任何理由或目的将获悉的商业秘密和对方提供的资料文件提供给任何第三方。因任一方对相关资料管理原因造成对方保密信息泄露的，由其相关责任人承担相应责任，但按照法律、法规规定可做出披露的情况除外。</w:t>
      </w:r>
    </w:p>
    <w:p>
      <w:pPr>
        <w:pStyle w:val="51"/>
        <w:numPr>
          <w:ilvl w:val="1"/>
          <w:numId w:val="20"/>
        </w:numPr>
        <w:spacing w:line="360" w:lineRule="auto"/>
        <w:ind w:left="0" w:firstLine="480"/>
        <w:rPr>
          <w:rFonts w:ascii="宋体" w:hAnsi="宋体"/>
          <w:sz w:val="24"/>
          <w:szCs w:val="24"/>
        </w:rPr>
      </w:pPr>
      <w:r>
        <w:rPr>
          <w:rFonts w:ascii="宋体" w:hAnsi="宋体"/>
          <w:sz w:val="24"/>
          <w:szCs w:val="24"/>
        </w:rPr>
        <w:t>与</w:t>
      </w:r>
      <w:r>
        <w:rPr>
          <w:rFonts w:hint="eastAsia" w:ascii="宋体" w:hAnsi="宋体"/>
          <w:sz w:val="24"/>
          <w:szCs w:val="24"/>
        </w:rPr>
        <w:t>本合同有关且采取书面形式的通知、文件和合规的账单等通过挂号信、快递、传真、电子邮件或当面送交的，经双方经办人通过短信、微信、Q</w:t>
      </w:r>
      <w:r>
        <w:rPr>
          <w:rFonts w:ascii="宋体" w:hAnsi="宋体"/>
          <w:sz w:val="24"/>
          <w:szCs w:val="24"/>
        </w:rPr>
        <w:t>Q</w:t>
      </w:r>
      <w:r>
        <w:rPr>
          <w:rFonts w:hint="eastAsia" w:ascii="宋体" w:hAnsi="宋体"/>
          <w:sz w:val="24"/>
          <w:szCs w:val="24"/>
        </w:rPr>
        <w:t>、电子</w:t>
      </w:r>
      <w:r>
        <w:rPr>
          <w:rFonts w:ascii="宋体" w:hAnsi="宋体"/>
          <w:sz w:val="24"/>
          <w:szCs w:val="24"/>
        </w:rPr>
        <w:t>邮件等</w:t>
      </w:r>
      <w:r>
        <w:rPr>
          <w:rFonts w:hint="eastAsia" w:ascii="宋体" w:hAnsi="宋体"/>
          <w:sz w:val="24"/>
          <w:szCs w:val="24"/>
        </w:rPr>
        <w:t>确认收件即被认为送达。所有采取书面形式的通知、文件和合规的账单等均在送达或接收后方能生效。一切通知、账单、资料或文件等应按照约定的联络信息发给对方，直至一方书面通知另一方变更联络信息为止。</w:t>
      </w:r>
    </w:p>
    <w:p>
      <w:pPr>
        <w:pStyle w:val="51"/>
        <w:numPr>
          <w:ilvl w:val="1"/>
          <w:numId w:val="20"/>
        </w:numPr>
        <w:spacing w:line="360" w:lineRule="auto"/>
        <w:ind w:left="0" w:firstLine="480"/>
        <w:rPr>
          <w:rFonts w:ascii="宋体" w:hAnsi="宋体"/>
          <w:sz w:val="24"/>
          <w:szCs w:val="24"/>
        </w:rPr>
      </w:pPr>
      <w:r>
        <w:rPr>
          <w:rFonts w:ascii="宋体" w:hAnsi="宋体"/>
          <w:sz w:val="24"/>
          <w:szCs w:val="24"/>
        </w:rPr>
        <w:t>本合同</w:t>
      </w:r>
      <w:r>
        <w:rPr>
          <w:rFonts w:hint="eastAsia" w:ascii="宋体" w:hAnsi="宋体"/>
          <w:sz w:val="24"/>
          <w:szCs w:val="24"/>
        </w:rPr>
        <w:t>有关解除、诉求和保密的条款在本合同解除后仍然有效。本合同的订立、效力、解释、履行和争议的解决均适用中华人民共和国法律。</w:t>
      </w:r>
    </w:p>
    <w:p>
      <w:pPr>
        <w:pStyle w:val="51"/>
        <w:numPr>
          <w:ilvl w:val="1"/>
          <w:numId w:val="20"/>
        </w:numPr>
        <w:spacing w:line="360" w:lineRule="auto"/>
        <w:ind w:left="0" w:firstLine="480"/>
        <w:rPr>
          <w:rFonts w:ascii="宋体" w:hAnsi="宋体"/>
          <w:sz w:val="24"/>
          <w:szCs w:val="24"/>
        </w:rPr>
      </w:pPr>
      <w:r>
        <w:rPr>
          <w:rFonts w:ascii="宋体" w:hAnsi="宋体"/>
          <w:sz w:val="24"/>
          <w:szCs w:val="24"/>
        </w:rPr>
        <w:t>本合同</w:t>
      </w:r>
      <w:r>
        <w:rPr>
          <w:rFonts w:hint="eastAsia" w:ascii="宋体" w:hAnsi="宋体"/>
          <w:sz w:val="24"/>
          <w:szCs w:val="24"/>
        </w:rPr>
        <w:t>由合同条款、</w:t>
      </w:r>
      <w:r>
        <w:rPr>
          <w:rFonts w:ascii="宋体" w:hAnsi="宋体"/>
          <w:sz w:val="24"/>
          <w:szCs w:val="24"/>
        </w:rPr>
        <w:t>附件</w:t>
      </w:r>
      <w:r>
        <w:rPr>
          <w:rFonts w:hint="eastAsia" w:ascii="宋体" w:hAnsi="宋体"/>
          <w:sz w:val="24"/>
          <w:szCs w:val="24"/>
        </w:rPr>
        <w:t>及补充协议三部分</w:t>
      </w:r>
      <w:r>
        <w:rPr>
          <w:rFonts w:ascii="宋体" w:hAnsi="宋体"/>
          <w:sz w:val="24"/>
          <w:szCs w:val="24"/>
        </w:rPr>
        <w:t>构成</w:t>
      </w:r>
      <w:r>
        <w:rPr>
          <w:rFonts w:hint="eastAsia" w:ascii="宋体" w:hAnsi="宋体"/>
          <w:sz w:val="24"/>
          <w:szCs w:val="24"/>
        </w:rPr>
        <w:t>，三者具有相同的法律效力，本合同双方如在本合同签订前已经达成其他约定与本合同有冲突的，则以本合同为准。</w:t>
      </w:r>
    </w:p>
    <w:p>
      <w:pPr>
        <w:pStyle w:val="51"/>
        <w:numPr>
          <w:ilvl w:val="1"/>
          <w:numId w:val="20"/>
        </w:numPr>
        <w:spacing w:line="360" w:lineRule="auto"/>
        <w:ind w:left="0" w:firstLine="480"/>
        <w:rPr>
          <w:rFonts w:ascii="宋体" w:hAnsi="宋体"/>
          <w:sz w:val="24"/>
          <w:szCs w:val="24"/>
        </w:rPr>
      </w:pPr>
      <w:r>
        <w:rPr>
          <w:rFonts w:ascii="宋体" w:hAnsi="宋体"/>
          <w:sz w:val="24"/>
          <w:szCs w:val="24"/>
        </w:rPr>
        <w:t>本合同未尽事宜，由</w:t>
      </w:r>
      <w:r>
        <w:rPr>
          <w:rFonts w:hint="eastAsia" w:ascii="宋体" w:hAnsi="宋体"/>
          <w:sz w:val="24"/>
          <w:szCs w:val="24"/>
        </w:rPr>
        <w:t>各</w:t>
      </w:r>
      <w:r>
        <w:rPr>
          <w:rFonts w:ascii="宋体" w:hAnsi="宋体"/>
          <w:sz w:val="24"/>
          <w:szCs w:val="24"/>
        </w:rPr>
        <w:t>方按照</w:t>
      </w:r>
      <w:r>
        <w:rPr>
          <w:rFonts w:hint="eastAsia" w:ascii="宋体" w:hAnsi="宋体"/>
          <w:sz w:val="24"/>
          <w:szCs w:val="24"/>
        </w:rPr>
        <w:t>交易规则另行协商并签订补充协议，本合同补充协议与本合同具有同等法律效力。</w:t>
      </w:r>
    </w:p>
    <w:p>
      <w:pPr>
        <w:pStyle w:val="51"/>
        <w:numPr>
          <w:ilvl w:val="1"/>
          <w:numId w:val="20"/>
        </w:numPr>
        <w:spacing w:line="360" w:lineRule="auto"/>
        <w:ind w:left="0" w:firstLine="480"/>
        <w:rPr>
          <w:rFonts w:ascii="宋体" w:hAnsi="宋体"/>
          <w:sz w:val="24"/>
          <w:szCs w:val="24"/>
        </w:rPr>
      </w:pPr>
      <w:r>
        <w:rPr>
          <w:rFonts w:hint="eastAsia" w:ascii="宋体" w:hAnsi="宋体"/>
          <w:sz w:val="24"/>
          <w:szCs w:val="24"/>
        </w:rPr>
        <w:t>本合同正本</w:t>
      </w:r>
      <w:r>
        <w:rPr>
          <w:rFonts w:ascii="宋体" w:hAnsi="宋体"/>
          <w:sz w:val="24"/>
          <w:szCs w:val="24"/>
        </w:rPr>
        <w:t>2</w:t>
      </w:r>
      <w:r>
        <w:rPr>
          <w:rFonts w:hint="eastAsia" w:ascii="宋体" w:hAnsi="宋体"/>
          <w:sz w:val="24"/>
          <w:szCs w:val="24"/>
        </w:rPr>
        <w:t>份，甲、乙双方各</w:t>
      </w:r>
      <w:r>
        <w:rPr>
          <w:rFonts w:ascii="宋体" w:hAnsi="宋体"/>
          <w:sz w:val="24"/>
          <w:szCs w:val="24"/>
        </w:rPr>
        <w:t>1</w:t>
      </w:r>
      <w:r>
        <w:rPr>
          <w:rFonts w:hint="eastAsia" w:ascii="宋体" w:hAnsi="宋体"/>
          <w:sz w:val="24"/>
          <w:szCs w:val="24"/>
        </w:rPr>
        <w:t>份；副本</w:t>
      </w:r>
      <w:r>
        <w:rPr>
          <w:rFonts w:ascii="宋体" w:hAnsi="宋体"/>
          <w:sz w:val="24"/>
          <w:szCs w:val="24"/>
        </w:rPr>
        <w:t>10</w:t>
      </w:r>
      <w:r>
        <w:rPr>
          <w:rFonts w:hint="eastAsia" w:ascii="宋体" w:hAnsi="宋体"/>
          <w:sz w:val="24"/>
          <w:szCs w:val="24"/>
        </w:rPr>
        <w:t>份，甲方</w:t>
      </w:r>
      <w:r>
        <w:rPr>
          <w:rFonts w:ascii="宋体" w:hAnsi="宋体"/>
          <w:sz w:val="24"/>
          <w:szCs w:val="24"/>
        </w:rPr>
        <w:t>8</w:t>
      </w:r>
      <w:r>
        <w:rPr>
          <w:rFonts w:hint="eastAsia" w:ascii="宋体" w:hAnsi="宋体"/>
          <w:sz w:val="24"/>
          <w:szCs w:val="24"/>
        </w:rPr>
        <w:t>份，乙方</w:t>
      </w:r>
      <w:r>
        <w:rPr>
          <w:rFonts w:ascii="宋体" w:hAnsi="宋体"/>
          <w:sz w:val="24"/>
          <w:szCs w:val="24"/>
        </w:rPr>
        <w:t>2</w:t>
      </w:r>
      <w:r>
        <w:rPr>
          <w:rFonts w:hint="eastAsia" w:ascii="宋体" w:hAnsi="宋体"/>
          <w:sz w:val="24"/>
          <w:szCs w:val="24"/>
        </w:rPr>
        <w:t>份。均具有同等的法律效力。当正本与副本内容有偏离时，以正本为准。</w:t>
      </w:r>
    </w:p>
    <w:p>
      <w:pPr>
        <w:spacing w:line="360" w:lineRule="auto"/>
        <w:ind w:firstLine="480" w:firstLineChars="200"/>
        <w:rPr>
          <w:rFonts w:ascii="宋体" w:hAnsi="宋体" w:cs="仿宋_GB2312"/>
          <w:sz w:val="24"/>
          <w:szCs w:val="24"/>
        </w:rPr>
      </w:pPr>
    </w:p>
    <w:p>
      <w:pPr>
        <w:spacing w:line="720" w:lineRule="auto"/>
        <w:ind w:firstLine="480" w:firstLineChars="200"/>
        <w:rPr>
          <w:rFonts w:ascii="宋体" w:hAnsi="宋体" w:cs="仿宋_GB2312"/>
          <w:sz w:val="24"/>
          <w:szCs w:val="24"/>
        </w:rPr>
      </w:pPr>
      <w:r>
        <w:rPr>
          <w:rFonts w:hint="eastAsia" w:ascii="宋体" w:hAnsi="宋体" w:cs="仿宋_GB2312"/>
          <w:sz w:val="24"/>
          <w:szCs w:val="24"/>
        </w:rPr>
        <w:t>甲方：</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u w:val="single"/>
        </w:rPr>
        <w:t xml:space="preserve">    </w:t>
      </w:r>
    </w:p>
    <w:p>
      <w:pPr>
        <w:spacing w:line="720" w:lineRule="auto"/>
        <w:ind w:firstLine="480" w:firstLineChars="200"/>
        <w:rPr>
          <w:rFonts w:ascii="宋体" w:hAnsi="宋体" w:cs="仿宋_GB2312"/>
          <w:sz w:val="24"/>
          <w:szCs w:val="24"/>
        </w:rPr>
      </w:pPr>
      <w:r>
        <w:rPr>
          <w:rFonts w:hint="eastAsia" w:ascii="宋体" w:hAnsi="宋体" w:cs="仿宋_GB2312"/>
          <w:sz w:val="24"/>
          <w:szCs w:val="24"/>
        </w:rPr>
        <w:t>法定代表人/授权代理人：</w:t>
      </w:r>
      <w:r>
        <w:rPr>
          <w:rFonts w:hint="eastAsia" w:ascii="宋体" w:hAnsi="宋体" w:cs="仿宋_GB2312"/>
          <w:sz w:val="24"/>
          <w:szCs w:val="24"/>
          <w:u w:val="single"/>
        </w:rPr>
        <w:t xml:space="preserve">                    </w:t>
      </w:r>
    </w:p>
    <w:p>
      <w:pPr>
        <w:spacing w:line="720" w:lineRule="auto"/>
        <w:ind w:firstLine="480" w:firstLineChars="200"/>
        <w:rPr>
          <w:rFonts w:ascii="宋体" w:hAnsi="宋体" w:cs="仿宋_GB2312"/>
          <w:sz w:val="24"/>
          <w:szCs w:val="24"/>
        </w:rPr>
      </w:pPr>
      <w:r>
        <w:rPr>
          <w:rFonts w:hint="eastAsia" w:ascii="宋体" w:hAnsi="宋体" w:cs="仿宋_GB2312"/>
          <w:sz w:val="24"/>
          <w:szCs w:val="24"/>
        </w:rPr>
        <w:t>盖章日期：</w:t>
      </w:r>
      <w:r>
        <w:rPr>
          <w:rFonts w:hint="eastAsia" w:ascii="宋体" w:hAnsi="宋体" w:cs="仿宋_GB2312"/>
          <w:sz w:val="24"/>
          <w:szCs w:val="24"/>
          <w:u w:val="single"/>
        </w:rPr>
        <w:t xml:space="preserve">      </w:t>
      </w:r>
      <w:r>
        <w:rPr>
          <w:rFonts w:hint="eastAsia" w:ascii="宋体" w:hAnsi="宋体" w:cs="仿宋_GB2312"/>
          <w:sz w:val="24"/>
          <w:szCs w:val="24"/>
        </w:rPr>
        <w:t>年</w:t>
      </w:r>
      <w:r>
        <w:rPr>
          <w:rFonts w:hint="eastAsia" w:ascii="宋体" w:hAnsi="宋体" w:cs="仿宋_GB2312"/>
          <w:sz w:val="24"/>
          <w:szCs w:val="24"/>
          <w:u w:val="single"/>
        </w:rPr>
        <w:t xml:space="preserve">      </w:t>
      </w:r>
      <w:r>
        <w:rPr>
          <w:rFonts w:hint="eastAsia" w:ascii="宋体" w:hAnsi="宋体" w:cs="仿宋_GB2312"/>
          <w:sz w:val="24"/>
          <w:szCs w:val="24"/>
        </w:rPr>
        <w:t>月</w:t>
      </w:r>
      <w:r>
        <w:rPr>
          <w:rFonts w:hint="eastAsia" w:ascii="宋体" w:hAnsi="宋体" w:cs="仿宋_GB2312"/>
          <w:sz w:val="24"/>
          <w:szCs w:val="24"/>
          <w:u w:val="single"/>
        </w:rPr>
        <w:t xml:space="preserve">      </w:t>
      </w:r>
      <w:r>
        <w:rPr>
          <w:rFonts w:hint="eastAsia" w:ascii="宋体" w:hAnsi="宋体" w:cs="仿宋_GB2312"/>
          <w:sz w:val="24"/>
          <w:szCs w:val="24"/>
        </w:rPr>
        <w:t>日</w:t>
      </w:r>
    </w:p>
    <w:p>
      <w:pPr>
        <w:spacing w:line="360" w:lineRule="auto"/>
        <w:ind w:firstLine="480" w:firstLineChars="200"/>
        <w:rPr>
          <w:rFonts w:ascii="宋体" w:hAnsi="宋体" w:cs="仿宋_GB2312"/>
          <w:sz w:val="24"/>
          <w:szCs w:val="24"/>
        </w:rPr>
      </w:pPr>
    </w:p>
    <w:p>
      <w:pPr>
        <w:spacing w:line="360" w:lineRule="auto"/>
        <w:ind w:firstLine="480" w:firstLineChars="200"/>
        <w:rPr>
          <w:rFonts w:ascii="宋体" w:hAnsi="宋体" w:cs="仿宋_GB2312"/>
          <w:sz w:val="24"/>
          <w:szCs w:val="24"/>
        </w:rPr>
      </w:pPr>
    </w:p>
    <w:p>
      <w:pPr>
        <w:spacing w:line="720" w:lineRule="auto"/>
        <w:ind w:firstLine="480" w:firstLineChars="200"/>
        <w:rPr>
          <w:rFonts w:ascii="宋体" w:hAnsi="宋体" w:cs="仿宋_GB2312"/>
          <w:sz w:val="24"/>
          <w:szCs w:val="24"/>
        </w:rPr>
      </w:pPr>
      <w:r>
        <w:rPr>
          <w:rFonts w:hint="eastAsia" w:ascii="宋体" w:hAnsi="宋体" w:cs="仿宋_GB2312"/>
          <w:sz w:val="24"/>
          <w:szCs w:val="24"/>
        </w:rPr>
        <w:t>乙方：</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u w:val="single"/>
        </w:rPr>
        <w:t xml:space="preserve">  </w:t>
      </w:r>
    </w:p>
    <w:p>
      <w:pPr>
        <w:spacing w:line="720" w:lineRule="auto"/>
        <w:ind w:firstLine="480" w:firstLineChars="200"/>
        <w:rPr>
          <w:rFonts w:ascii="宋体" w:hAnsi="宋体" w:cs="仿宋_GB2312"/>
          <w:sz w:val="24"/>
          <w:szCs w:val="24"/>
        </w:rPr>
      </w:pPr>
      <w:r>
        <w:rPr>
          <w:rFonts w:hint="eastAsia" w:ascii="宋体" w:hAnsi="宋体" w:cs="仿宋_GB2312"/>
          <w:sz w:val="24"/>
          <w:szCs w:val="24"/>
        </w:rPr>
        <w:t>法定代表人/授权代理人：</w:t>
      </w:r>
      <w:r>
        <w:rPr>
          <w:rFonts w:hint="eastAsia" w:ascii="宋体" w:hAnsi="宋体" w:cs="仿宋_GB2312"/>
          <w:sz w:val="24"/>
          <w:szCs w:val="24"/>
          <w:u w:val="single"/>
        </w:rPr>
        <w:t xml:space="preserve">                    </w:t>
      </w:r>
    </w:p>
    <w:p>
      <w:pPr>
        <w:spacing w:line="720" w:lineRule="auto"/>
        <w:ind w:firstLine="480" w:firstLineChars="200"/>
        <w:rPr>
          <w:rFonts w:ascii="宋体" w:hAnsi="宋体" w:cs="仿宋_GB2312"/>
          <w:sz w:val="24"/>
          <w:szCs w:val="24"/>
        </w:rPr>
      </w:pPr>
      <w:r>
        <w:rPr>
          <w:rFonts w:hint="eastAsia" w:ascii="宋体" w:hAnsi="宋体" w:cs="仿宋_GB2312"/>
          <w:sz w:val="24"/>
          <w:szCs w:val="24"/>
        </w:rPr>
        <w:t>盖章日期：</w:t>
      </w:r>
      <w:r>
        <w:rPr>
          <w:rFonts w:hint="eastAsia" w:ascii="宋体" w:hAnsi="宋体" w:cs="仿宋_GB2312"/>
          <w:sz w:val="24"/>
          <w:szCs w:val="24"/>
          <w:u w:val="single"/>
        </w:rPr>
        <w:t xml:space="preserve">      </w:t>
      </w:r>
      <w:r>
        <w:rPr>
          <w:rFonts w:hint="eastAsia" w:ascii="宋体" w:hAnsi="宋体" w:cs="仿宋_GB2312"/>
          <w:sz w:val="24"/>
          <w:szCs w:val="24"/>
        </w:rPr>
        <w:t>年</w:t>
      </w:r>
      <w:r>
        <w:rPr>
          <w:rFonts w:hint="eastAsia" w:ascii="宋体" w:hAnsi="宋体" w:cs="仿宋_GB2312"/>
          <w:sz w:val="24"/>
          <w:szCs w:val="24"/>
          <w:u w:val="single"/>
        </w:rPr>
        <w:t xml:space="preserve">      </w:t>
      </w:r>
      <w:r>
        <w:rPr>
          <w:rFonts w:hint="eastAsia" w:ascii="宋体" w:hAnsi="宋体" w:cs="仿宋_GB2312"/>
          <w:sz w:val="24"/>
          <w:szCs w:val="24"/>
        </w:rPr>
        <w:t>月</w:t>
      </w:r>
      <w:r>
        <w:rPr>
          <w:rFonts w:hint="eastAsia" w:ascii="宋体" w:hAnsi="宋体" w:cs="仿宋_GB2312"/>
          <w:sz w:val="24"/>
          <w:szCs w:val="24"/>
          <w:u w:val="single"/>
        </w:rPr>
        <w:t xml:space="preserve">      </w:t>
      </w:r>
      <w:r>
        <w:rPr>
          <w:rFonts w:hint="eastAsia" w:ascii="宋体" w:hAnsi="宋体" w:cs="仿宋_GB2312"/>
          <w:sz w:val="24"/>
          <w:szCs w:val="24"/>
        </w:rPr>
        <w:t>日</w:t>
      </w:r>
    </w:p>
    <w:p>
      <w:pPr>
        <w:widowControl/>
        <w:jc w:val="left"/>
      </w:pPr>
      <w:r>
        <w:br w:type="page"/>
      </w:r>
    </w:p>
    <w:bookmarkEnd w:id="209"/>
    <w:bookmarkEnd w:id="210"/>
    <w:p>
      <w:pPr>
        <w:pStyle w:val="2"/>
        <w:spacing w:before="312" w:beforeLines="100" w:after="312" w:afterLines="100" w:line="360" w:lineRule="auto"/>
        <w:jc w:val="center"/>
        <w:rPr>
          <w:sz w:val="32"/>
          <w:szCs w:val="28"/>
        </w:rPr>
      </w:pPr>
      <w:bookmarkStart w:id="222" w:name="_Toc121082016"/>
      <w:r>
        <w:rPr>
          <w:sz w:val="32"/>
          <w:szCs w:val="28"/>
        </w:rPr>
        <w:t>第四章</w:t>
      </w:r>
      <w:r>
        <w:rPr>
          <w:rFonts w:hint="eastAsia"/>
          <w:sz w:val="32"/>
          <w:szCs w:val="28"/>
        </w:rPr>
        <w:t xml:space="preserve"> 用户需求书</w:t>
      </w:r>
      <w:bookmarkEnd w:id="222"/>
    </w:p>
    <w:p>
      <w:pPr>
        <w:pStyle w:val="51"/>
        <w:numPr>
          <w:ilvl w:val="0"/>
          <w:numId w:val="21"/>
        </w:numPr>
        <w:spacing w:before="156" w:beforeLines="50" w:line="360" w:lineRule="auto"/>
        <w:ind w:left="422" w:hanging="422" w:hangingChars="200"/>
        <w:outlineLvl w:val="1"/>
        <w:rPr>
          <w:b/>
        </w:rPr>
      </w:pPr>
      <w:bookmarkStart w:id="223" w:name="_Toc121082017"/>
      <w:r>
        <w:rPr>
          <w:b/>
        </w:rPr>
        <w:t>商务要求</w:t>
      </w:r>
      <w:bookmarkEnd w:id="223"/>
    </w:p>
    <w:p>
      <w:pPr>
        <w:pStyle w:val="51"/>
        <w:numPr>
          <w:ilvl w:val="0"/>
          <w:numId w:val="22"/>
        </w:numPr>
        <w:spacing w:line="360" w:lineRule="auto"/>
        <w:ind w:left="0" w:firstLine="480"/>
        <w:rPr>
          <w:rFonts w:ascii="宋体" w:hAnsi="宋体" w:cs="仿宋_GB2312"/>
          <w:sz w:val="24"/>
          <w:szCs w:val="24"/>
        </w:rPr>
      </w:pPr>
      <w:r>
        <w:rPr>
          <w:rFonts w:hint="eastAsia" w:ascii="宋体" w:hAnsi="宋体" w:cs="仿宋_GB2312"/>
          <w:sz w:val="24"/>
          <w:szCs w:val="24"/>
        </w:rPr>
        <w:t>本需求书所列需求数量均为</w:t>
      </w:r>
      <w:r>
        <w:rPr>
          <w:rFonts w:hint="eastAsia" w:ascii="宋体" w:hAnsi="宋体" w:cs="仿宋_GB2312"/>
          <w:b/>
          <w:sz w:val="24"/>
          <w:szCs w:val="24"/>
        </w:rPr>
        <w:t>预估需求数量</w:t>
      </w:r>
      <w:r>
        <w:rPr>
          <w:rFonts w:hint="eastAsia" w:ascii="宋体" w:hAnsi="宋体" w:cs="仿宋_GB2312"/>
          <w:sz w:val="24"/>
          <w:szCs w:val="24"/>
        </w:rPr>
        <w:t>，非实际采购数量。实际采购数量以</w:t>
      </w:r>
      <w:r>
        <w:rPr>
          <w:rFonts w:hint="eastAsia" w:ascii="宋体" w:hAnsi="宋体"/>
          <w:kern w:val="58"/>
          <w:sz w:val="24"/>
          <w:szCs w:val="24"/>
        </w:rPr>
        <w:t>广西电网有限责任公司</w:t>
      </w:r>
      <w:r>
        <w:rPr>
          <w:rFonts w:hint="eastAsia" w:ascii="宋体" w:hAnsi="宋体" w:cs="仿宋_GB2312"/>
          <w:sz w:val="24"/>
          <w:szCs w:val="24"/>
        </w:rPr>
        <w:t>南宁供电局、广西电力交易中心有限责任公司核定后比选人无异议的数量为准。比选人有权根据实际使用情况及需求变更情况对未交货产品数量进行部分或全部调整，包括增加或减少，不论实际数量大于或低于预计数量，均按照中选单价执行。</w:t>
      </w:r>
    </w:p>
    <w:p>
      <w:pPr>
        <w:pStyle w:val="51"/>
        <w:numPr>
          <w:ilvl w:val="0"/>
          <w:numId w:val="22"/>
        </w:numPr>
        <w:spacing w:line="360" w:lineRule="auto"/>
        <w:ind w:left="0" w:firstLine="480"/>
        <w:rPr>
          <w:rFonts w:ascii="宋体" w:hAnsi="宋体" w:cs="仿宋_GB2312"/>
          <w:sz w:val="24"/>
          <w:szCs w:val="24"/>
        </w:rPr>
      </w:pPr>
      <w:r>
        <w:rPr>
          <w:rFonts w:hint="eastAsia" w:ascii="宋体" w:hAnsi="宋体" w:cs="仿宋_GB2312"/>
          <w:sz w:val="24"/>
          <w:szCs w:val="24"/>
        </w:rPr>
        <w:t>交货期限：中选通知书发出后，于广西电力交易中心有限责任公司公告各交易品种开放交易组织期间向比选人提供比选文件内的产品。</w:t>
      </w:r>
    </w:p>
    <w:p>
      <w:pPr>
        <w:pStyle w:val="51"/>
        <w:numPr>
          <w:ilvl w:val="0"/>
          <w:numId w:val="22"/>
        </w:numPr>
        <w:spacing w:line="360" w:lineRule="auto"/>
        <w:ind w:left="0" w:firstLine="480"/>
        <w:rPr>
          <w:rFonts w:ascii="宋体" w:hAnsi="宋体" w:cs="仿宋_GB2312"/>
          <w:sz w:val="24"/>
          <w:szCs w:val="24"/>
        </w:rPr>
      </w:pPr>
      <w:r>
        <w:rPr>
          <w:rFonts w:hint="eastAsia" w:ascii="宋体" w:hAnsi="宋体" w:cs="仿宋_GB2312"/>
          <w:sz w:val="24"/>
          <w:szCs w:val="24"/>
        </w:rPr>
        <w:t>本需求书并未充分引用有关条文和标准规范，提出的是最基本的技术要求，中选人应提供符合本项目技术需求的年度常规电能量交易电量。</w:t>
      </w:r>
      <w:r>
        <w:rPr>
          <w:rFonts w:hint="eastAsia" w:ascii="宋体" w:hAnsi="宋体"/>
          <w:sz w:val="24"/>
          <w:szCs w:val="24"/>
        </w:rPr>
        <w:t>除比选人事先书面同意外，比选申请人在同一交易周期内不得将其合同权利、责任和义务部分转让或全部转让或转移给第三方。</w:t>
      </w:r>
    </w:p>
    <w:p>
      <w:pPr>
        <w:pStyle w:val="51"/>
        <w:numPr>
          <w:ilvl w:val="0"/>
          <w:numId w:val="22"/>
        </w:numPr>
        <w:spacing w:line="360" w:lineRule="auto"/>
        <w:ind w:left="0" w:firstLine="482"/>
        <w:rPr>
          <w:rFonts w:ascii="宋体" w:hAnsi="宋体" w:cs="仿宋_GB2312"/>
          <w:sz w:val="24"/>
          <w:szCs w:val="24"/>
        </w:rPr>
      </w:pPr>
      <w:r>
        <w:rPr>
          <w:rFonts w:hint="eastAsia" w:ascii="宋体" w:hAnsi="宋体" w:cs="仿宋_GB2312"/>
          <w:b/>
          <w:sz w:val="24"/>
          <w:szCs w:val="24"/>
        </w:rPr>
        <w:t>比选申请人比选申请货物的数量与“技术需求及数量表”中的要求完全相符。</w:t>
      </w:r>
      <w:r>
        <w:rPr>
          <w:rFonts w:hint="eastAsia" w:ascii="宋体" w:hAnsi="宋体" w:cs="仿宋_GB2312"/>
          <w:sz w:val="24"/>
          <w:szCs w:val="24"/>
        </w:rPr>
        <w:t>如中选人</w:t>
      </w:r>
      <w:r>
        <w:rPr>
          <w:rFonts w:hint="eastAsia" w:ascii="宋体" w:hAnsi="宋体"/>
          <w:sz w:val="24"/>
          <w:szCs w:val="24"/>
        </w:rPr>
        <w:t>由于非不可抗力、客观过失等原因而不能履约的</w:t>
      </w:r>
      <w:r>
        <w:rPr>
          <w:rFonts w:hint="eastAsia" w:ascii="宋体" w:hAnsi="宋体" w:cs="仿宋_GB2312"/>
          <w:sz w:val="24"/>
          <w:szCs w:val="24"/>
        </w:rPr>
        <w:t>，比选人将依法追究其法律责任。</w:t>
      </w:r>
    </w:p>
    <w:p>
      <w:pPr>
        <w:pStyle w:val="51"/>
        <w:numPr>
          <w:ilvl w:val="0"/>
          <w:numId w:val="22"/>
        </w:numPr>
        <w:spacing w:line="360" w:lineRule="auto"/>
        <w:ind w:left="0" w:firstLine="480"/>
        <w:rPr>
          <w:rFonts w:ascii="宋体" w:hAnsi="宋体" w:cs="仿宋_GB2312"/>
          <w:sz w:val="24"/>
          <w:szCs w:val="24"/>
        </w:rPr>
      </w:pPr>
      <w:r>
        <w:rPr>
          <w:rFonts w:hint="eastAsia" w:ascii="宋体" w:hAnsi="宋体" w:cs="仿宋_GB2312"/>
          <w:sz w:val="24"/>
          <w:szCs w:val="24"/>
        </w:rPr>
        <w:t>本需求书所使用的标准、交易规则、政策法规如与比选申请人所执行的标准发生矛盾时，按较高标准执行，同时比选申请人应在比选申请文件中加以注明，并附上引用较高标准造成交易品种响应数量及报价差异说明。</w:t>
      </w:r>
    </w:p>
    <w:p>
      <w:pPr>
        <w:pStyle w:val="51"/>
        <w:numPr>
          <w:ilvl w:val="0"/>
          <w:numId w:val="21"/>
        </w:numPr>
        <w:spacing w:before="156" w:beforeLines="50" w:line="360" w:lineRule="auto"/>
        <w:ind w:left="422" w:hanging="422" w:hangingChars="200"/>
        <w:outlineLvl w:val="1"/>
        <w:rPr>
          <w:b/>
        </w:rPr>
      </w:pPr>
      <w:bookmarkStart w:id="224" w:name="_Toc121082018"/>
      <w:r>
        <w:rPr>
          <w:rFonts w:hint="eastAsia"/>
          <w:b/>
        </w:rPr>
        <w:t>技术需求及数量表</w:t>
      </w:r>
      <w:bookmarkEnd w:id="224"/>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3471"/>
        <w:gridCol w:w="147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Align w:val="center"/>
          </w:tcPr>
          <w:p>
            <w:pPr>
              <w:jc w:val="center"/>
              <w:rPr>
                <w:rFonts w:ascii="宋体" w:hAnsi="宋体"/>
              </w:rPr>
            </w:pPr>
            <w:r>
              <w:rPr>
                <w:rFonts w:ascii="宋体" w:hAnsi="宋体"/>
              </w:rPr>
              <w:t>序号</w:t>
            </w:r>
          </w:p>
        </w:tc>
        <w:tc>
          <w:tcPr>
            <w:tcW w:w="0" w:type="auto"/>
            <w:vAlign w:val="center"/>
          </w:tcPr>
          <w:p>
            <w:pPr>
              <w:jc w:val="center"/>
              <w:rPr>
                <w:rFonts w:ascii="宋体" w:hAnsi="宋体"/>
              </w:rPr>
            </w:pPr>
            <w:r>
              <w:rPr>
                <w:rFonts w:ascii="宋体" w:hAnsi="宋体"/>
              </w:rPr>
              <w:t>项目</w:t>
            </w:r>
          </w:p>
        </w:tc>
        <w:tc>
          <w:tcPr>
            <w:tcW w:w="0" w:type="auto"/>
            <w:vAlign w:val="center"/>
          </w:tcPr>
          <w:p>
            <w:pPr>
              <w:jc w:val="center"/>
              <w:rPr>
                <w:rFonts w:ascii="宋体" w:hAnsi="宋体"/>
              </w:rPr>
            </w:pPr>
            <w:r>
              <w:rPr>
                <w:rFonts w:ascii="宋体" w:hAnsi="宋体"/>
              </w:rPr>
              <w:t>预估需求数量</w:t>
            </w:r>
          </w:p>
          <w:p>
            <w:pPr>
              <w:jc w:val="center"/>
              <w:rPr>
                <w:rFonts w:ascii="宋体" w:hAnsi="宋体"/>
              </w:rPr>
            </w:pPr>
            <w:r>
              <w:rPr>
                <w:rFonts w:hint="eastAsia" w:ascii="宋体" w:hAnsi="宋体"/>
              </w:rPr>
              <w:t>（亿千瓦时）</w:t>
            </w:r>
          </w:p>
        </w:tc>
        <w:tc>
          <w:tcPr>
            <w:tcW w:w="0" w:type="auto"/>
            <w:vAlign w:val="center"/>
          </w:tcPr>
          <w:p>
            <w:pPr>
              <w:jc w:val="center"/>
              <w:rPr>
                <w:rFonts w:ascii="宋体" w:hAnsi="宋体"/>
              </w:rPr>
            </w:pPr>
            <w:r>
              <w:rPr>
                <w:rFonts w:ascii="宋体" w:hAnsi="宋体"/>
              </w:rPr>
              <w:t>总预估需求数量</w:t>
            </w:r>
          </w:p>
          <w:p>
            <w:pPr>
              <w:jc w:val="center"/>
              <w:rPr>
                <w:rFonts w:ascii="宋体" w:hAnsi="宋体"/>
              </w:rPr>
            </w:pPr>
            <w:r>
              <w:rPr>
                <w:rFonts w:ascii="宋体" w:hAnsi="宋体"/>
              </w:rPr>
              <w:t>（亿千瓦时）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Align w:val="center"/>
          </w:tcPr>
          <w:p>
            <w:pPr>
              <w:jc w:val="center"/>
              <w:rPr>
                <w:rFonts w:ascii="宋体" w:hAnsi="宋体"/>
              </w:rPr>
            </w:pPr>
            <w:r>
              <w:rPr>
                <w:rFonts w:hint="eastAsia" w:ascii="宋体" w:hAnsi="宋体"/>
              </w:rPr>
              <w:t>1</w:t>
            </w:r>
          </w:p>
        </w:tc>
        <w:tc>
          <w:tcPr>
            <w:tcW w:w="0" w:type="auto"/>
            <w:vAlign w:val="center"/>
          </w:tcPr>
          <w:p>
            <w:pPr>
              <w:jc w:val="center"/>
              <w:rPr>
                <w:rFonts w:ascii="宋体" w:hAnsi="宋体"/>
              </w:rPr>
            </w:pPr>
            <w:r>
              <w:rPr>
                <w:rFonts w:ascii="宋体" w:hAnsi="宋体"/>
              </w:rPr>
              <w:t>年度</w:t>
            </w:r>
            <w:r>
              <w:rPr>
                <w:rFonts w:hint="eastAsia" w:ascii="宋体" w:hAnsi="宋体"/>
              </w:rPr>
              <w:t>常规</w:t>
            </w:r>
            <w:r>
              <w:rPr>
                <w:rFonts w:ascii="宋体" w:hAnsi="宋体"/>
              </w:rPr>
              <w:t>电能量交易</w:t>
            </w:r>
            <w:r>
              <w:rPr>
                <w:rFonts w:hint="eastAsia" w:ascii="宋体" w:hAnsi="宋体"/>
              </w:rPr>
              <w:t>/绿色电力交易</w:t>
            </w:r>
          </w:p>
        </w:tc>
        <w:tc>
          <w:tcPr>
            <w:tcW w:w="0" w:type="auto"/>
            <w:vAlign w:val="center"/>
          </w:tcPr>
          <w:p>
            <w:pPr>
              <w:jc w:val="center"/>
              <w:rPr>
                <w:rFonts w:ascii="宋体" w:hAnsi="宋体"/>
              </w:rPr>
            </w:pPr>
            <w:r>
              <w:rPr>
                <w:rFonts w:ascii="宋体" w:hAnsi="宋体"/>
              </w:rPr>
              <w:t>4.38/4.38</w:t>
            </w:r>
          </w:p>
        </w:tc>
        <w:tc>
          <w:tcPr>
            <w:tcW w:w="0" w:type="auto"/>
            <w:vAlign w:val="center"/>
          </w:tcPr>
          <w:p>
            <w:pPr>
              <w:jc w:val="center"/>
              <w:rPr>
                <w:rFonts w:ascii="宋体" w:hAnsi="宋体"/>
              </w:rPr>
            </w:pPr>
            <w:r>
              <w:rPr>
                <w:rFonts w:hint="eastAsia" w:ascii="宋体" w:hAnsi="宋体"/>
              </w:rPr>
              <w:t>4</w:t>
            </w:r>
            <w:r>
              <w:rPr>
                <w:rFonts w:ascii="宋体" w:hAnsi="宋体"/>
              </w:rPr>
              <w:t>.38</w:t>
            </w:r>
          </w:p>
        </w:tc>
      </w:tr>
    </w:tbl>
    <w:p>
      <w:pPr>
        <w:spacing w:line="360" w:lineRule="auto"/>
        <w:ind w:firstLine="482" w:firstLineChars="200"/>
        <w:rPr>
          <w:rFonts w:ascii="宋体" w:hAnsi="宋体"/>
          <w:b/>
          <w:kern w:val="58"/>
          <w:sz w:val="24"/>
          <w:szCs w:val="24"/>
        </w:rPr>
      </w:pPr>
      <w:r>
        <w:rPr>
          <w:rFonts w:hint="eastAsia" w:ascii="宋体" w:hAnsi="宋体"/>
          <w:b/>
          <w:kern w:val="58"/>
          <w:sz w:val="24"/>
          <w:szCs w:val="24"/>
        </w:rPr>
        <w:t>注：1</w:t>
      </w:r>
      <w:r>
        <w:rPr>
          <w:rFonts w:ascii="宋体" w:hAnsi="宋体"/>
          <w:b/>
          <w:kern w:val="58"/>
          <w:sz w:val="24"/>
          <w:szCs w:val="24"/>
        </w:rPr>
        <w:t>.</w:t>
      </w:r>
      <w:r>
        <w:rPr>
          <w:rFonts w:hint="eastAsia" w:ascii="宋体" w:hAnsi="宋体"/>
          <w:b/>
          <w:kern w:val="58"/>
          <w:sz w:val="24"/>
          <w:szCs w:val="24"/>
        </w:rPr>
        <w:t>此表所列需求数量为预估需求数量，非实际采购数量，实际采购数量以广西电网有限责任公司南宁供电局、广西电力交易中心有限责任公司核定后比选人无异议的数量为准。</w:t>
      </w:r>
    </w:p>
    <w:p>
      <w:pPr>
        <w:spacing w:line="360" w:lineRule="auto"/>
        <w:ind w:firstLine="482" w:firstLineChars="200"/>
        <w:rPr>
          <w:rFonts w:ascii="宋体" w:hAnsi="宋体"/>
          <w:b/>
          <w:kern w:val="58"/>
          <w:sz w:val="24"/>
          <w:szCs w:val="24"/>
        </w:rPr>
      </w:pPr>
      <w:r>
        <w:rPr>
          <w:rFonts w:hint="eastAsia" w:ascii="宋体" w:hAnsi="宋体"/>
          <w:b/>
          <w:kern w:val="58"/>
          <w:sz w:val="24"/>
          <w:szCs w:val="24"/>
        </w:rPr>
        <w:t xml:space="preserve"> </w:t>
      </w:r>
      <w:r>
        <w:rPr>
          <w:rFonts w:ascii="宋体" w:hAnsi="宋体"/>
          <w:b/>
          <w:kern w:val="58"/>
          <w:sz w:val="24"/>
          <w:szCs w:val="24"/>
        </w:rPr>
        <w:t xml:space="preserve">   2.总预估需求数量</w:t>
      </w:r>
      <w:r>
        <w:rPr>
          <w:rFonts w:hint="eastAsia" w:ascii="宋体" w:hAnsi="宋体"/>
          <w:b/>
          <w:kern w:val="58"/>
          <w:sz w:val="24"/>
          <w:szCs w:val="24"/>
        </w:rPr>
        <w:t>=</w:t>
      </w:r>
      <w:r>
        <w:rPr>
          <w:rFonts w:ascii="宋体" w:hAnsi="宋体"/>
          <w:b/>
          <w:kern w:val="58"/>
          <w:sz w:val="24"/>
          <w:szCs w:val="24"/>
        </w:rPr>
        <w:t>4.38亿千瓦时</w:t>
      </w:r>
      <w:r>
        <w:rPr>
          <w:rFonts w:hint="eastAsia" w:ascii="宋体" w:hAnsi="宋体"/>
          <w:b/>
          <w:kern w:val="58"/>
          <w:sz w:val="24"/>
          <w:szCs w:val="24"/>
        </w:rPr>
        <w:t>=年度常规电能量交易预估需求数量+绿色电力交易预估需求数量。两个项目为此消彼长关系，即在某一结算期内其中一项目结算量增加，则另一项目结算量相应减少。</w:t>
      </w:r>
    </w:p>
    <w:p>
      <w:pPr>
        <w:spacing w:line="360" w:lineRule="auto"/>
        <w:ind w:firstLine="482" w:firstLineChars="200"/>
        <w:rPr>
          <w:rFonts w:ascii="宋体" w:hAnsi="宋体"/>
          <w:b/>
          <w:kern w:val="58"/>
          <w:sz w:val="24"/>
          <w:szCs w:val="24"/>
        </w:rPr>
      </w:pPr>
      <w:r>
        <w:rPr>
          <w:rFonts w:hint="eastAsia" w:ascii="宋体" w:hAnsi="宋体"/>
          <w:b/>
          <w:kern w:val="58"/>
          <w:sz w:val="24"/>
          <w:szCs w:val="24"/>
        </w:rPr>
        <w:t xml:space="preserve"> </w:t>
      </w:r>
      <w:r>
        <w:rPr>
          <w:rFonts w:ascii="宋体" w:hAnsi="宋体"/>
          <w:b/>
          <w:kern w:val="58"/>
          <w:sz w:val="24"/>
          <w:szCs w:val="24"/>
        </w:rPr>
        <w:t xml:space="preserve">   3.比选申请人</w:t>
      </w:r>
      <w:r>
        <w:rPr>
          <w:rFonts w:hint="eastAsia" w:ascii="宋体" w:hAnsi="宋体"/>
          <w:b/>
          <w:kern w:val="58"/>
          <w:sz w:val="24"/>
          <w:szCs w:val="24"/>
        </w:rPr>
        <w:t>应在预测到绿色电力交易实际到户价格低于年度常规电能量交易实际到户价格时，将比选人月度需求计划电量转换为绿色电力交易；或在比选人提出部分或全部月度需求计划电量转换为绿色电力交易时，</w:t>
      </w:r>
      <w:r>
        <w:rPr>
          <w:rFonts w:ascii="宋体" w:hAnsi="宋体"/>
          <w:b/>
          <w:kern w:val="58"/>
          <w:sz w:val="24"/>
          <w:szCs w:val="24"/>
        </w:rPr>
        <w:t>比选申请人</w:t>
      </w:r>
      <w:r>
        <w:rPr>
          <w:rFonts w:hint="eastAsia" w:ascii="宋体" w:hAnsi="宋体"/>
          <w:b/>
          <w:kern w:val="58"/>
          <w:sz w:val="24"/>
          <w:szCs w:val="24"/>
        </w:rPr>
        <w:t>应配合比选人开展绿色电力交易，并在月度结算中完成常规电能量结算转换为绿电结算。</w:t>
      </w:r>
    </w:p>
    <w:p>
      <w:pPr>
        <w:widowControl/>
        <w:jc w:val="left"/>
        <w:rPr>
          <w:rFonts w:ascii="宋体" w:hAnsi="宋体" w:cs="仿宋_GB2312"/>
          <w:sz w:val="24"/>
          <w:szCs w:val="24"/>
        </w:rPr>
      </w:pPr>
      <w:r>
        <w:rPr>
          <w:rFonts w:ascii="宋体" w:hAnsi="宋体" w:cs="仿宋_GB2312"/>
          <w:sz w:val="24"/>
          <w:szCs w:val="24"/>
        </w:rPr>
        <w:br w:type="page"/>
      </w:r>
    </w:p>
    <w:p>
      <w:pPr>
        <w:pStyle w:val="2"/>
        <w:spacing w:before="312" w:beforeLines="100" w:after="312" w:afterLines="100" w:line="360" w:lineRule="auto"/>
        <w:jc w:val="center"/>
        <w:rPr>
          <w:sz w:val="32"/>
          <w:szCs w:val="28"/>
        </w:rPr>
      </w:pPr>
      <w:bookmarkStart w:id="225" w:name="_Toc121082019"/>
      <w:r>
        <w:rPr>
          <w:rFonts w:hint="eastAsia"/>
          <w:sz w:val="32"/>
          <w:szCs w:val="28"/>
        </w:rPr>
        <w:t>第五章 比选申请文件（格式）</w:t>
      </w:r>
      <w:bookmarkEnd w:id="225"/>
    </w:p>
    <w:p>
      <w:pPr>
        <w:autoSpaceDE w:val="0"/>
        <w:autoSpaceDN w:val="0"/>
        <w:adjustRightInd w:val="0"/>
        <w:jc w:val="center"/>
        <w:rPr>
          <w:rFonts w:ascii="楷体_GB2312" w:eastAsia="楷体_GB2312"/>
          <w:b/>
          <w:kern w:val="0"/>
          <w:sz w:val="24"/>
        </w:rPr>
      </w:pPr>
      <w:r>
        <w:rPr>
          <w:rFonts w:ascii="楷体_GB2312" w:eastAsia="楷体_GB2312"/>
          <w:b/>
          <w:kern w:val="0"/>
          <w:sz w:val="24"/>
        </w:rPr>
        <w:tab/>
      </w:r>
    </w:p>
    <w:p>
      <w:pPr>
        <w:rPr>
          <w:rFonts w:ascii="宋体" w:hAnsi="宋体"/>
          <w:kern w:val="0"/>
          <w:sz w:val="84"/>
        </w:rPr>
      </w:pPr>
      <w:bookmarkStart w:id="226" w:name="_Toc114052390"/>
    </w:p>
    <w:bookmarkEnd w:id="226"/>
    <w:p>
      <w:pPr>
        <w:jc w:val="center"/>
        <w:rPr>
          <w:rFonts w:ascii="宋体" w:hAnsi="宋体"/>
          <w:kern w:val="0"/>
          <w:sz w:val="48"/>
          <w:szCs w:val="48"/>
        </w:rPr>
      </w:pPr>
      <w:r>
        <w:rPr>
          <w:rFonts w:hint="eastAsia" w:ascii="宋体" w:hAnsi="宋体"/>
          <w:kern w:val="0"/>
          <w:sz w:val="48"/>
          <w:szCs w:val="48"/>
        </w:rPr>
        <w:t>南宁轨道交通运营有限公司</w:t>
      </w:r>
    </w:p>
    <w:p>
      <w:pPr>
        <w:jc w:val="center"/>
        <w:rPr>
          <w:rFonts w:ascii="宋体" w:hAnsi="宋体"/>
          <w:kern w:val="0"/>
          <w:sz w:val="48"/>
          <w:szCs w:val="48"/>
        </w:rPr>
      </w:pPr>
      <w:r>
        <w:rPr>
          <w:rFonts w:hint="eastAsia" w:ascii="宋体" w:hAnsi="宋体"/>
          <w:kern w:val="0"/>
          <w:sz w:val="48"/>
          <w:szCs w:val="48"/>
        </w:rPr>
        <w:t>2</w:t>
      </w:r>
      <w:r>
        <w:rPr>
          <w:rFonts w:ascii="宋体" w:hAnsi="宋体"/>
          <w:kern w:val="0"/>
          <w:sz w:val="48"/>
          <w:szCs w:val="48"/>
        </w:rPr>
        <w:t>024年广西电力市场化交易</w:t>
      </w:r>
      <w:r>
        <w:rPr>
          <w:rFonts w:hint="eastAsia" w:ascii="宋体" w:hAnsi="宋体"/>
          <w:kern w:val="0"/>
          <w:sz w:val="48"/>
          <w:szCs w:val="48"/>
        </w:rPr>
        <w:t>项目（重）</w:t>
      </w:r>
    </w:p>
    <w:p>
      <w:pPr>
        <w:jc w:val="center"/>
        <w:rPr>
          <w:rFonts w:ascii="宋体" w:hAnsi="宋体"/>
          <w:kern w:val="0"/>
          <w:sz w:val="48"/>
          <w:szCs w:val="48"/>
        </w:rPr>
      </w:pPr>
      <w:r>
        <w:rPr>
          <w:rFonts w:hint="eastAsia" w:ascii="宋体" w:hAnsi="宋体"/>
          <w:kern w:val="0"/>
          <w:sz w:val="48"/>
          <w:szCs w:val="48"/>
        </w:rPr>
        <w:t>比选申请文件</w:t>
      </w:r>
    </w:p>
    <w:p>
      <w:pPr>
        <w:autoSpaceDE w:val="0"/>
        <w:autoSpaceDN w:val="0"/>
        <w:adjustRightInd w:val="0"/>
        <w:jc w:val="center"/>
        <w:outlineLvl w:val="1"/>
        <w:rPr>
          <w:rFonts w:ascii="华文中宋" w:eastAsia="华文中宋"/>
          <w:kern w:val="0"/>
          <w:sz w:val="48"/>
          <w:szCs w:val="48"/>
        </w:rPr>
      </w:pPr>
      <w:bookmarkStart w:id="227" w:name="_Toc121082020"/>
      <w:r>
        <w:rPr>
          <w:rFonts w:hint="eastAsia" w:ascii="华文中宋" w:eastAsia="华文中宋"/>
          <w:kern w:val="0"/>
          <w:sz w:val="48"/>
          <w:szCs w:val="48"/>
        </w:rPr>
        <w:t>资格审查文件</w:t>
      </w:r>
      <w:bookmarkEnd w:id="227"/>
    </w:p>
    <w:p>
      <w:pPr>
        <w:autoSpaceDE w:val="0"/>
        <w:autoSpaceDN w:val="0"/>
        <w:adjustRightInd w:val="0"/>
        <w:jc w:val="center"/>
        <w:rPr>
          <w:rFonts w:ascii="楷体_GB2312" w:eastAsia="楷体_GB2312"/>
          <w:kern w:val="0"/>
          <w:sz w:val="36"/>
          <w:szCs w:val="36"/>
        </w:rPr>
      </w:pPr>
      <w:r>
        <w:rPr>
          <w:rFonts w:hint="eastAsia" w:ascii="楷体_GB2312" w:eastAsia="楷体_GB2312"/>
          <w:kern w:val="0"/>
          <w:sz w:val="36"/>
          <w:szCs w:val="36"/>
        </w:rPr>
        <w:t>（＊本）</w:t>
      </w: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宋体" w:hAnsi="宋体"/>
          <w:kern w:val="0"/>
          <w:sz w:val="28"/>
          <w:szCs w:val="28"/>
        </w:rPr>
      </w:pPr>
      <w:bookmarkStart w:id="228" w:name="_Toc114052391"/>
      <w:r>
        <w:rPr>
          <w:rFonts w:hint="eastAsia" w:ascii="宋体" w:hAnsi="宋体"/>
          <w:kern w:val="0"/>
          <w:sz w:val="28"/>
          <w:szCs w:val="28"/>
        </w:rPr>
        <w:t>比选申请人：（ 加盖单位公章）</w:t>
      </w:r>
      <w:bookmarkEnd w:id="228"/>
    </w:p>
    <w:p>
      <w:pPr>
        <w:autoSpaceDE w:val="0"/>
        <w:autoSpaceDN w:val="0"/>
        <w:adjustRightInd w:val="0"/>
        <w:rPr>
          <w:rFonts w:ascii="宋体" w:hAnsi="宋体"/>
          <w:kern w:val="0"/>
          <w:sz w:val="28"/>
          <w:szCs w:val="28"/>
        </w:rPr>
      </w:pPr>
      <w:bookmarkStart w:id="229" w:name="_Toc114052392"/>
      <w:r>
        <w:rPr>
          <w:rFonts w:hint="eastAsia" w:ascii="宋体" w:hAnsi="宋体"/>
          <w:kern w:val="0"/>
          <w:sz w:val="28"/>
          <w:szCs w:val="28"/>
        </w:rPr>
        <w:t>法定代表人或授权委托代理人：（签字或盖章）</w:t>
      </w:r>
      <w:bookmarkEnd w:id="229"/>
    </w:p>
    <w:p>
      <w:pPr>
        <w:autoSpaceDE w:val="0"/>
        <w:autoSpaceDN w:val="0"/>
        <w:adjustRightInd w:val="0"/>
        <w:rPr>
          <w:rFonts w:ascii="宋体" w:hAnsi="宋体"/>
          <w:kern w:val="0"/>
          <w:sz w:val="28"/>
          <w:szCs w:val="28"/>
        </w:rPr>
      </w:pPr>
      <w:r>
        <w:rPr>
          <w:rFonts w:hint="eastAsia" w:ascii="宋体" w:hAnsi="宋体"/>
          <w:kern w:val="0"/>
          <w:sz w:val="28"/>
          <w:szCs w:val="28"/>
        </w:rPr>
        <w:t>电话/传真：</w:t>
      </w:r>
    </w:p>
    <w:p>
      <w:pPr>
        <w:autoSpaceDE w:val="0"/>
        <w:autoSpaceDN w:val="0"/>
        <w:adjustRightInd w:val="0"/>
        <w:rPr>
          <w:rFonts w:ascii="宋体" w:hAnsi="宋体"/>
          <w:kern w:val="0"/>
          <w:sz w:val="28"/>
          <w:szCs w:val="28"/>
        </w:rPr>
      </w:pPr>
      <w:r>
        <w:rPr>
          <w:rFonts w:hint="eastAsia" w:ascii="宋体" w:hAnsi="宋体"/>
          <w:kern w:val="0"/>
          <w:sz w:val="28"/>
          <w:szCs w:val="28"/>
        </w:rPr>
        <w:t>地址：</w:t>
      </w:r>
    </w:p>
    <w:p>
      <w:pPr>
        <w:autoSpaceDE w:val="0"/>
        <w:autoSpaceDN w:val="0"/>
        <w:adjustRightInd w:val="0"/>
        <w:rPr>
          <w:rFonts w:ascii="宋体" w:hAnsi="宋体"/>
          <w:kern w:val="0"/>
          <w:sz w:val="28"/>
          <w:szCs w:val="28"/>
        </w:rPr>
      </w:pPr>
    </w:p>
    <w:p>
      <w:pPr>
        <w:autoSpaceDE w:val="0"/>
        <w:autoSpaceDN w:val="0"/>
        <w:adjustRightInd w:val="0"/>
        <w:rPr>
          <w:rFonts w:ascii="宋体" w:hAnsi="宋体"/>
          <w:kern w:val="0"/>
          <w:sz w:val="28"/>
          <w:szCs w:val="28"/>
        </w:rPr>
      </w:pPr>
    </w:p>
    <w:p>
      <w:pPr>
        <w:autoSpaceDE w:val="0"/>
        <w:autoSpaceDN w:val="0"/>
        <w:adjustRightInd w:val="0"/>
        <w:jc w:val="center"/>
        <w:rPr>
          <w:rFonts w:ascii="楷体_GB2312" w:eastAsia="楷体_GB2312"/>
          <w:kern w:val="0"/>
          <w:sz w:val="32"/>
        </w:rPr>
      </w:pPr>
      <w:r>
        <w:rPr>
          <w:rFonts w:hint="eastAsia" w:ascii="宋体" w:hAnsi="宋体"/>
          <w:kern w:val="0"/>
          <w:sz w:val="28"/>
          <w:szCs w:val="28"/>
        </w:rPr>
        <w:t xml:space="preserve">年 </w:t>
      </w:r>
      <w:r>
        <w:rPr>
          <w:rFonts w:ascii="宋体" w:hAnsi="宋体"/>
          <w:kern w:val="0"/>
          <w:sz w:val="28"/>
          <w:szCs w:val="28"/>
        </w:rPr>
        <w:t xml:space="preserve"> </w:t>
      </w:r>
      <w:r>
        <w:rPr>
          <w:rFonts w:hint="eastAsia" w:ascii="宋体" w:hAnsi="宋体"/>
          <w:kern w:val="0"/>
          <w:sz w:val="28"/>
          <w:szCs w:val="28"/>
        </w:rPr>
        <w:t xml:space="preserve">月 </w:t>
      </w:r>
      <w:r>
        <w:rPr>
          <w:rFonts w:ascii="宋体" w:hAnsi="宋体"/>
          <w:kern w:val="0"/>
          <w:sz w:val="28"/>
          <w:szCs w:val="28"/>
        </w:rPr>
        <w:t xml:space="preserve"> </w:t>
      </w:r>
      <w:r>
        <w:rPr>
          <w:rFonts w:hint="eastAsia" w:ascii="宋体" w:hAnsi="宋体"/>
          <w:kern w:val="0"/>
          <w:sz w:val="28"/>
          <w:szCs w:val="28"/>
        </w:rPr>
        <w:t>日</w:t>
      </w:r>
    </w:p>
    <w:p>
      <w:pPr>
        <w:spacing w:line="360" w:lineRule="auto"/>
        <w:ind w:firstLine="708" w:firstLineChars="196"/>
        <w:jc w:val="center"/>
        <w:rPr>
          <w:b/>
          <w:sz w:val="36"/>
          <w:szCs w:val="36"/>
        </w:rPr>
      </w:pPr>
    </w:p>
    <w:p>
      <w:pPr>
        <w:spacing w:line="360" w:lineRule="auto"/>
        <w:ind w:firstLine="708" w:firstLineChars="196"/>
        <w:jc w:val="center"/>
        <w:rPr>
          <w:b/>
          <w:sz w:val="36"/>
          <w:szCs w:val="36"/>
        </w:rPr>
      </w:pPr>
    </w:p>
    <w:p>
      <w:pPr>
        <w:spacing w:line="360" w:lineRule="auto"/>
        <w:ind w:firstLine="708" w:firstLineChars="196"/>
        <w:jc w:val="center"/>
        <w:rPr>
          <w:b/>
          <w:sz w:val="36"/>
          <w:szCs w:val="36"/>
        </w:rPr>
      </w:pPr>
    </w:p>
    <w:p>
      <w:pPr>
        <w:spacing w:line="360" w:lineRule="auto"/>
        <w:ind w:firstLine="708" w:firstLineChars="196"/>
        <w:jc w:val="center"/>
        <w:rPr>
          <w:b/>
          <w:sz w:val="36"/>
          <w:szCs w:val="36"/>
        </w:rPr>
      </w:pPr>
    </w:p>
    <w:p>
      <w:pPr>
        <w:spacing w:before="156" w:beforeLines="50" w:after="312" w:afterLines="100"/>
        <w:jc w:val="center"/>
        <w:outlineLvl w:val="2"/>
        <w:rPr>
          <w:b/>
          <w:sz w:val="28"/>
          <w:szCs w:val="28"/>
        </w:rPr>
      </w:pPr>
      <w:r>
        <w:rPr>
          <w:rFonts w:hint="eastAsia"/>
          <w:b/>
          <w:sz w:val="28"/>
          <w:szCs w:val="28"/>
        </w:rPr>
        <w:t xml:space="preserve">目 </w:t>
      </w:r>
      <w:r>
        <w:rPr>
          <w:b/>
          <w:sz w:val="28"/>
          <w:szCs w:val="28"/>
        </w:rPr>
        <w:t xml:space="preserve"> </w:t>
      </w:r>
      <w:r>
        <w:rPr>
          <w:rFonts w:hint="eastAsia"/>
          <w:b/>
          <w:sz w:val="28"/>
          <w:szCs w:val="28"/>
        </w:rPr>
        <w:t>录</w:t>
      </w:r>
    </w:p>
    <w:p>
      <w:pPr>
        <w:jc w:val="center"/>
        <w:rPr>
          <w:b/>
          <w:sz w:val="18"/>
          <w:szCs w:val="18"/>
        </w:rPr>
      </w:pPr>
    </w:p>
    <w:p>
      <w:pPr>
        <w:pStyle w:val="51"/>
        <w:numPr>
          <w:ilvl w:val="0"/>
          <w:numId w:val="23"/>
        </w:numPr>
        <w:tabs>
          <w:tab w:val="left" w:pos="826"/>
        </w:tabs>
        <w:spacing w:line="560" w:lineRule="exact"/>
        <w:ind w:firstLineChars="0"/>
        <w:rPr>
          <w:rFonts w:ascii="宋体" w:hAnsi="宋体"/>
          <w:kern w:val="0"/>
          <w:sz w:val="24"/>
        </w:rPr>
      </w:pPr>
      <w:r>
        <w:rPr>
          <w:rFonts w:hint="eastAsia" w:ascii="宋体" w:hAnsi="宋体"/>
          <w:kern w:val="0"/>
          <w:sz w:val="24"/>
        </w:rPr>
        <w:t>诚信声明（原件）；</w:t>
      </w:r>
    </w:p>
    <w:p>
      <w:pPr>
        <w:pStyle w:val="51"/>
        <w:numPr>
          <w:ilvl w:val="0"/>
          <w:numId w:val="23"/>
        </w:numPr>
        <w:tabs>
          <w:tab w:val="left" w:pos="826"/>
        </w:tabs>
        <w:spacing w:line="560" w:lineRule="exact"/>
        <w:ind w:firstLineChars="0"/>
        <w:rPr>
          <w:rFonts w:ascii="宋体" w:hAnsi="宋体"/>
          <w:sz w:val="24"/>
          <w:szCs w:val="24"/>
        </w:rPr>
      </w:pPr>
      <w:r>
        <w:rPr>
          <w:rFonts w:hint="eastAsia" w:ascii="宋体" w:hAnsi="宋体"/>
          <w:sz w:val="24"/>
          <w:szCs w:val="24"/>
        </w:rPr>
        <w:t>法定代表人资格证明书（原件）；</w:t>
      </w:r>
    </w:p>
    <w:p>
      <w:pPr>
        <w:pStyle w:val="51"/>
        <w:numPr>
          <w:ilvl w:val="0"/>
          <w:numId w:val="23"/>
        </w:numPr>
        <w:tabs>
          <w:tab w:val="left" w:pos="826"/>
        </w:tabs>
        <w:spacing w:line="560" w:lineRule="exact"/>
        <w:ind w:firstLineChars="0"/>
        <w:rPr>
          <w:rFonts w:ascii="宋体" w:hAnsi="宋体"/>
          <w:kern w:val="0"/>
          <w:sz w:val="24"/>
        </w:rPr>
      </w:pPr>
      <w:r>
        <w:rPr>
          <w:rFonts w:hint="eastAsia" w:ascii="宋体" w:hAnsi="宋体"/>
          <w:kern w:val="0"/>
          <w:sz w:val="24"/>
        </w:rPr>
        <w:t>授权委托书（原件）；</w:t>
      </w:r>
    </w:p>
    <w:p>
      <w:pPr>
        <w:pStyle w:val="51"/>
        <w:numPr>
          <w:ilvl w:val="0"/>
          <w:numId w:val="23"/>
        </w:numPr>
        <w:tabs>
          <w:tab w:val="left" w:pos="826"/>
        </w:tabs>
        <w:spacing w:line="560" w:lineRule="exact"/>
        <w:ind w:firstLineChars="0"/>
        <w:rPr>
          <w:rFonts w:ascii="宋体" w:hAnsi="宋体"/>
          <w:kern w:val="0"/>
          <w:sz w:val="24"/>
        </w:rPr>
      </w:pPr>
      <w:r>
        <w:rPr>
          <w:rFonts w:hint="eastAsia" w:ascii="宋体" w:hAnsi="宋体"/>
          <w:kern w:val="0"/>
          <w:sz w:val="24"/>
        </w:rPr>
        <w:t>保密承诺书；</w:t>
      </w:r>
    </w:p>
    <w:p>
      <w:pPr>
        <w:pStyle w:val="51"/>
        <w:numPr>
          <w:ilvl w:val="0"/>
          <w:numId w:val="23"/>
        </w:numPr>
        <w:tabs>
          <w:tab w:val="left" w:pos="826"/>
        </w:tabs>
        <w:spacing w:line="560" w:lineRule="exact"/>
        <w:ind w:firstLineChars="0"/>
        <w:rPr>
          <w:rFonts w:ascii="宋体" w:hAnsi="宋体"/>
          <w:kern w:val="0"/>
          <w:sz w:val="24"/>
        </w:rPr>
      </w:pPr>
      <w:r>
        <w:rPr>
          <w:rFonts w:ascii="宋体" w:hAnsi="宋体"/>
          <w:kern w:val="0"/>
          <w:sz w:val="24"/>
        </w:rPr>
        <w:t>广西电力市场交易系统市场管理市场主体公开信息查询截图</w:t>
      </w:r>
      <w:r>
        <w:rPr>
          <w:rFonts w:hint="eastAsia" w:ascii="宋体" w:hAnsi="宋体"/>
          <w:kern w:val="0"/>
          <w:sz w:val="24"/>
        </w:rPr>
        <w:t>（加盖单位公章）；</w:t>
      </w:r>
    </w:p>
    <w:p>
      <w:pPr>
        <w:pStyle w:val="51"/>
        <w:numPr>
          <w:ilvl w:val="0"/>
          <w:numId w:val="23"/>
        </w:numPr>
        <w:spacing w:line="560" w:lineRule="exact"/>
        <w:ind w:firstLineChars="0"/>
        <w:rPr>
          <w:rFonts w:ascii="宋体" w:hAnsi="宋体"/>
          <w:kern w:val="0"/>
          <w:sz w:val="24"/>
        </w:rPr>
      </w:pPr>
      <w:r>
        <w:rPr>
          <w:rFonts w:ascii="宋体" w:hAnsi="宋体"/>
          <w:sz w:val="24"/>
        </w:rPr>
        <w:t>项目</w:t>
      </w:r>
      <w:r>
        <w:rPr>
          <w:rFonts w:hint="eastAsia" w:ascii="宋体" w:hAnsi="宋体"/>
          <w:sz w:val="24"/>
        </w:rPr>
        <w:t>业绩证明材料（2023年常规电能量交易总交易量≥</w:t>
      </w:r>
      <w:r>
        <w:rPr>
          <w:rFonts w:ascii="宋体" w:hAnsi="宋体"/>
          <w:sz w:val="24"/>
        </w:rPr>
        <w:t>20亿千瓦时，</w:t>
      </w:r>
      <w:r>
        <w:rPr>
          <w:rFonts w:hint="eastAsia" w:ascii="宋体" w:hAnsi="宋体"/>
          <w:sz w:val="24"/>
        </w:rPr>
        <w:t>绿色电力交易总交易量≥</w:t>
      </w:r>
      <w:r>
        <w:rPr>
          <w:rFonts w:ascii="宋体" w:hAnsi="宋体"/>
          <w:sz w:val="24"/>
        </w:rPr>
        <w:t>1亿千瓦时</w:t>
      </w:r>
      <w:r>
        <w:rPr>
          <w:rFonts w:hint="eastAsia" w:ascii="宋体" w:hAnsi="宋体"/>
          <w:sz w:val="24"/>
        </w:rPr>
        <w:t>，需提供交易中心发布的结算清单（加盖公章），并罗列整理成统计表单（</w:t>
      </w:r>
      <w:r>
        <w:rPr>
          <w:rFonts w:ascii="宋体" w:hAnsi="宋体"/>
          <w:sz w:val="24"/>
        </w:rPr>
        <w:t>详见格式A1</w:t>
      </w:r>
      <w:r>
        <w:rPr>
          <w:rFonts w:hint="eastAsia" w:ascii="宋体" w:hAnsi="宋体"/>
          <w:sz w:val="24"/>
        </w:rPr>
        <w:t>）。</w:t>
      </w:r>
    </w:p>
    <w:p>
      <w:pPr>
        <w:pStyle w:val="51"/>
        <w:numPr>
          <w:ilvl w:val="255"/>
          <w:numId w:val="0"/>
        </w:numPr>
        <w:spacing w:line="560" w:lineRule="exact"/>
        <w:rPr>
          <w:rFonts w:ascii="宋体" w:hAnsi="宋体"/>
          <w:kern w:val="0"/>
          <w:sz w:val="24"/>
        </w:rPr>
      </w:pPr>
    </w:p>
    <w:p>
      <w:pPr>
        <w:tabs>
          <w:tab w:val="left" w:pos="826"/>
        </w:tabs>
        <w:spacing w:line="560" w:lineRule="exact"/>
        <w:rPr>
          <w:rFonts w:ascii="宋体" w:hAnsi="宋体"/>
          <w:kern w:val="0"/>
          <w:sz w:val="28"/>
          <w:szCs w:val="28"/>
        </w:rPr>
        <w:sectPr>
          <w:headerReference r:id="rId3" w:type="default"/>
          <w:footerReference r:id="rId4" w:type="default"/>
          <w:pgSz w:w="11906" w:h="16838"/>
          <w:pgMar w:top="1134" w:right="1418" w:bottom="1134" w:left="1418" w:header="851" w:footer="567" w:gutter="0"/>
          <w:cols w:space="720" w:num="1"/>
          <w:docGrid w:type="lines" w:linePitch="312" w:charSpace="0"/>
        </w:sectPr>
      </w:pPr>
    </w:p>
    <w:p>
      <w:pPr>
        <w:pStyle w:val="51"/>
        <w:numPr>
          <w:ilvl w:val="0"/>
          <w:numId w:val="24"/>
        </w:numPr>
        <w:spacing w:before="120" w:beforeLines="50" w:after="240" w:afterLines="100"/>
        <w:ind w:left="0" w:firstLine="0" w:firstLineChars="0"/>
        <w:jc w:val="center"/>
        <w:outlineLvl w:val="2"/>
        <w:rPr>
          <w:b/>
          <w:sz w:val="28"/>
        </w:rPr>
      </w:pPr>
      <w:r>
        <w:rPr>
          <w:rFonts w:hint="eastAsia"/>
          <w:b/>
          <w:sz w:val="28"/>
        </w:rPr>
        <w:t>诚信声明</w:t>
      </w:r>
    </w:p>
    <w:p>
      <w:pPr>
        <w:spacing w:line="48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（法定代表人、身份证号码）</w:t>
      </w:r>
      <w:r>
        <w:rPr>
          <w:rFonts w:ascii="宋体" w:hAnsi="宋体"/>
          <w:sz w:val="24"/>
          <w:u w:val="single"/>
        </w:rPr>
        <w:t xml:space="preserve">   </w:t>
      </w:r>
      <w:r>
        <w:rPr>
          <w:rFonts w:hint="eastAsia" w:ascii="宋体" w:hAnsi="宋体"/>
          <w:sz w:val="24"/>
        </w:rPr>
        <w:t>郑重声明：</w:t>
      </w:r>
    </w:p>
    <w:p>
      <w:pPr>
        <w:pStyle w:val="51"/>
        <w:numPr>
          <w:ilvl w:val="0"/>
          <w:numId w:val="25"/>
        </w:numPr>
        <w:spacing w:line="480" w:lineRule="auto"/>
        <w:ind w:left="0" w:firstLine="454" w:firstLineChars="0"/>
        <w:rPr>
          <w:rFonts w:ascii="宋体" w:hAnsi="宋体"/>
          <w:sz w:val="24"/>
        </w:rPr>
      </w:pPr>
      <w:r>
        <w:rPr>
          <w:rFonts w:hint="eastAsia" w:ascii="宋体" w:hAnsi="宋体"/>
          <w:sz w:val="24"/>
        </w:rPr>
        <w:t>本企业参加</w:t>
      </w:r>
      <w:r>
        <w:rPr>
          <w:rFonts w:hint="eastAsia" w:ascii="宋体" w:hAnsi="宋体" w:cs="宋体"/>
          <w:kern w:val="0"/>
          <w:sz w:val="24"/>
          <w:szCs w:val="24"/>
        </w:rPr>
        <w:t>南宁轨道交通运营有限公司2024年广西电力市场化交易项目（重）</w:t>
      </w:r>
      <w:r>
        <w:rPr>
          <w:rFonts w:hint="eastAsia" w:ascii="宋体" w:hAnsi="宋体"/>
          <w:sz w:val="24"/>
        </w:rPr>
        <w:t>比选活动所提交的所有资料、填写数据及所包含的附件资料内容是真实的、合法的、有效的。</w:t>
      </w:r>
    </w:p>
    <w:p>
      <w:pPr>
        <w:pStyle w:val="51"/>
        <w:numPr>
          <w:ilvl w:val="0"/>
          <w:numId w:val="25"/>
        </w:numPr>
        <w:spacing w:line="480" w:lineRule="auto"/>
        <w:ind w:left="0" w:firstLine="454" w:firstLineChars="0"/>
        <w:rPr>
          <w:rFonts w:ascii="宋体" w:hAnsi="宋体"/>
          <w:sz w:val="24"/>
        </w:rPr>
      </w:pPr>
      <w:r>
        <w:rPr>
          <w:rFonts w:ascii="宋体" w:hAnsi="宋体"/>
          <w:sz w:val="24"/>
        </w:rPr>
        <w:t>本企业</w:t>
      </w:r>
      <w:r>
        <w:rPr>
          <w:rFonts w:hint="eastAsia" w:ascii="宋体" w:hAnsi="宋体"/>
          <w:sz w:val="24"/>
        </w:rPr>
        <w:t>母、子公司中只一家公司参与比选申请；同一法人代表，只一家公司参与比选申请。</w:t>
      </w:r>
    </w:p>
    <w:p>
      <w:pPr>
        <w:pStyle w:val="51"/>
        <w:numPr>
          <w:ilvl w:val="0"/>
          <w:numId w:val="25"/>
        </w:numPr>
        <w:spacing w:line="480" w:lineRule="auto"/>
        <w:ind w:left="0" w:firstLine="454" w:firstLineChars="0"/>
        <w:rPr>
          <w:rFonts w:ascii="宋体" w:hAnsi="宋体"/>
          <w:sz w:val="24"/>
        </w:rPr>
      </w:pPr>
      <w:r>
        <w:rPr>
          <w:rFonts w:hint="eastAsia" w:ascii="宋体" w:hAnsi="宋体"/>
          <w:sz w:val="24"/>
        </w:rPr>
        <w:t>本企业没有处于被行政主管部门或业主取消比选申请资格的处罚期内，且没有处于被责令停业，财产被接管、破产状态；比选申请截止时间前3年内没有骗取中选、严重违约或重大质量安全责任事故的情况。</w:t>
      </w:r>
    </w:p>
    <w:p>
      <w:pPr>
        <w:pStyle w:val="51"/>
        <w:numPr>
          <w:ilvl w:val="0"/>
          <w:numId w:val="25"/>
        </w:numPr>
        <w:spacing w:line="480" w:lineRule="auto"/>
        <w:ind w:left="0" w:firstLine="454" w:firstLineChars="0"/>
        <w:rPr>
          <w:rFonts w:ascii="宋体" w:hAnsi="宋体"/>
          <w:sz w:val="24"/>
        </w:rPr>
      </w:pPr>
      <w:r>
        <w:rPr>
          <w:rFonts w:hint="eastAsia" w:ascii="宋体" w:hAnsi="宋体"/>
          <w:sz w:val="24"/>
        </w:rPr>
        <w:t>同时，我在此所作的声明也是真实有效的，并愿意对在比选过程中有关部门的调查结果承担责任。</w:t>
      </w:r>
    </w:p>
    <w:p>
      <w:pPr>
        <w:pStyle w:val="51"/>
        <w:numPr>
          <w:ilvl w:val="0"/>
          <w:numId w:val="25"/>
        </w:numPr>
        <w:spacing w:line="480" w:lineRule="auto"/>
        <w:ind w:left="0" w:firstLine="454" w:firstLineChars="0"/>
        <w:rPr>
          <w:rFonts w:ascii="宋体" w:hAnsi="宋体"/>
          <w:sz w:val="24"/>
        </w:rPr>
      </w:pPr>
      <w:r>
        <w:rPr>
          <w:rFonts w:hint="eastAsia" w:ascii="宋体" w:hAnsi="宋体"/>
          <w:sz w:val="24"/>
        </w:rPr>
        <w:t>本企业提交的所有比选申请资料如有不实，愿接受相关部门依据有关法律法规给予的处罚。</w:t>
      </w:r>
    </w:p>
    <w:p>
      <w:pPr>
        <w:spacing w:line="480" w:lineRule="auto"/>
        <w:ind w:firstLine="480" w:firstLineChars="200"/>
        <w:rPr>
          <w:rFonts w:ascii="宋体" w:hAnsi="宋体"/>
          <w:sz w:val="24"/>
        </w:rPr>
      </w:pPr>
    </w:p>
    <w:p>
      <w:pPr>
        <w:spacing w:line="480" w:lineRule="auto"/>
        <w:ind w:firstLine="480" w:firstLineChars="200"/>
        <w:rPr>
          <w:rFonts w:ascii="宋体" w:hAnsi="宋体"/>
          <w:sz w:val="24"/>
        </w:rPr>
      </w:pPr>
    </w:p>
    <w:p>
      <w:pPr>
        <w:spacing w:line="480" w:lineRule="auto"/>
        <w:ind w:firstLine="480" w:firstLineChars="200"/>
        <w:rPr>
          <w:rFonts w:ascii="宋体" w:hAnsi="宋体"/>
          <w:sz w:val="24"/>
        </w:rPr>
      </w:pPr>
      <w:r>
        <w:rPr>
          <w:rFonts w:hint="eastAsia" w:ascii="宋体" w:hAnsi="宋体"/>
          <w:sz w:val="24"/>
        </w:rPr>
        <w:t>比选申请人：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（公章） </w:t>
      </w:r>
      <w:r>
        <w:rPr>
          <w:rFonts w:ascii="宋体" w:hAnsi="宋体"/>
          <w:sz w:val="24"/>
          <w:u w:val="single"/>
        </w:rPr>
        <w:t xml:space="preserve"> </w:t>
      </w:r>
    </w:p>
    <w:p>
      <w:pPr>
        <w:spacing w:line="48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 </w:t>
      </w:r>
    </w:p>
    <w:p>
      <w:pPr>
        <w:spacing w:line="480" w:lineRule="auto"/>
        <w:ind w:firstLine="480" w:firstLineChars="200"/>
        <w:rPr>
          <w:rFonts w:ascii="宋体" w:hAnsi="宋体"/>
          <w:sz w:val="24"/>
          <w:u w:val="single"/>
        </w:rPr>
      </w:pPr>
      <w:r>
        <w:rPr>
          <w:rFonts w:ascii="宋体" w:hAnsi="宋体"/>
          <w:sz w:val="24"/>
        </w:rPr>
        <w:t>电话</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p>
    <w:p>
      <w:pPr>
        <w:spacing w:line="480" w:lineRule="auto"/>
        <w:ind w:firstLine="480" w:firstLineChars="200"/>
        <w:rPr>
          <w:rFonts w:ascii="宋体" w:hAnsi="宋体"/>
          <w:sz w:val="24"/>
        </w:rPr>
      </w:pPr>
      <w:r>
        <w:rPr>
          <w:rFonts w:ascii="宋体" w:hAnsi="宋体"/>
          <w:sz w:val="24"/>
        </w:rPr>
        <w:t>邮政编码</w:t>
      </w:r>
      <w:r>
        <w:rPr>
          <w:rFonts w:hint="eastAsia" w:ascii="宋体" w:hAnsi="宋体"/>
          <w:sz w:val="24"/>
        </w:rPr>
        <w:t>：</w:t>
      </w:r>
    </w:p>
    <w:p>
      <w:pPr>
        <w:spacing w:line="480" w:lineRule="auto"/>
        <w:ind w:firstLine="480" w:firstLineChars="200"/>
        <w:rPr>
          <w:rFonts w:ascii="宋体" w:hAnsi="宋体"/>
          <w:sz w:val="24"/>
        </w:rPr>
      </w:pPr>
      <w:r>
        <w:rPr>
          <w:rFonts w:hint="eastAsia" w:ascii="宋体" w:hAnsi="宋体"/>
          <w:sz w:val="24"/>
        </w:rPr>
        <w:t xml:space="preserve">日期：　　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pacing w:line="480" w:lineRule="auto"/>
        <w:jc w:val="center"/>
        <w:rPr>
          <w:rFonts w:ascii="宋体" w:hAnsi="宋体"/>
          <w:kern w:val="0"/>
          <w:sz w:val="84"/>
        </w:rPr>
        <w:sectPr>
          <w:pgSz w:w="11906" w:h="16838"/>
          <w:pgMar w:top="1134" w:right="851" w:bottom="1134" w:left="1134" w:header="851" w:footer="992" w:gutter="0"/>
          <w:cols w:space="720" w:num="1"/>
          <w:docGrid w:linePitch="312" w:charSpace="0"/>
        </w:sectPr>
      </w:pPr>
    </w:p>
    <w:p>
      <w:pPr>
        <w:pStyle w:val="51"/>
        <w:numPr>
          <w:ilvl w:val="0"/>
          <w:numId w:val="24"/>
        </w:numPr>
        <w:spacing w:before="156" w:beforeLines="50" w:after="312" w:afterLines="100"/>
        <w:ind w:left="0" w:firstLine="0" w:firstLineChars="0"/>
        <w:jc w:val="center"/>
        <w:outlineLvl w:val="2"/>
        <w:rPr>
          <w:b/>
          <w:sz w:val="28"/>
        </w:rPr>
      </w:pPr>
      <w:r>
        <w:rPr>
          <w:rFonts w:hint="eastAsia"/>
          <w:b/>
          <w:sz w:val="28"/>
        </w:rPr>
        <w:t>法定代表人资格证明书</w:t>
      </w:r>
    </w:p>
    <w:p>
      <w:pPr>
        <w:spacing w:line="36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2"/>
        <w:rPr>
          <w:rFonts w:ascii="宋体" w:hAnsi="宋体"/>
          <w:sz w:val="24"/>
        </w:rPr>
      </w:pPr>
    </w:p>
    <w:p>
      <w:pPr>
        <w:spacing w:line="360" w:lineRule="auto"/>
        <w:ind w:firstLine="610"/>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姓    名：</w:t>
      </w:r>
      <w:r>
        <w:rPr>
          <w:rFonts w:ascii="宋体" w:hAnsi="宋体"/>
          <w:sz w:val="24"/>
          <w:u w:val="single"/>
        </w:rPr>
        <w:t>__________</w:t>
      </w:r>
      <w:r>
        <w:rPr>
          <w:rFonts w:ascii="宋体" w:hAnsi="宋体"/>
          <w:sz w:val="24"/>
        </w:rPr>
        <w:t xml:space="preserve"> </w:t>
      </w:r>
      <w:r>
        <w:rPr>
          <w:rFonts w:hint="eastAsia" w:ascii="宋体" w:hAnsi="宋体"/>
          <w:sz w:val="24"/>
        </w:rPr>
        <w:t>性别：</w:t>
      </w:r>
      <w:r>
        <w:rPr>
          <w:rFonts w:ascii="宋体" w:hAnsi="宋体"/>
          <w:sz w:val="24"/>
          <w:u w:val="single"/>
        </w:rPr>
        <w:t>_____</w:t>
      </w:r>
      <w:r>
        <w:rPr>
          <w:rFonts w:ascii="宋体" w:hAnsi="宋体"/>
          <w:sz w:val="24"/>
        </w:rPr>
        <w:t xml:space="preserve"> </w:t>
      </w:r>
      <w:r>
        <w:rPr>
          <w:rFonts w:hint="eastAsia" w:ascii="宋体" w:hAnsi="宋体"/>
          <w:sz w:val="24"/>
        </w:rPr>
        <w:t>年龄：</w:t>
      </w:r>
      <w:r>
        <w:rPr>
          <w:rFonts w:ascii="宋体" w:hAnsi="宋体"/>
          <w:sz w:val="24"/>
          <w:u w:val="single"/>
        </w:rPr>
        <w:t>_____</w:t>
      </w:r>
      <w:r>
        <w:rPr>
          <w:rFonts w:hint="eastAsia" w:ascii="宋体" w:hAnsi="宋体"/>
          <w:sz w:val="24"/>
        </w:rPr>
        <w:t xml:space="preserve"> 职务：</w:t>
      </w:r>
      <w:r>
        <w:rPr>
          <w:rFonts w:ascii="宋体" w:hAnsi="宋体"/>
          <w:sz w:val="24"/>
          <w:u w:val="single"/>
        </w:rPr>
        <w:t>______</w:t>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系</w:t>
      </w:r>
      <w:r>
        <w:rPr>
          <w:rFonts w:hint="eastAsia" w:ascii="宋体" w:hAnsi="宋体"/>
          <w:sz w:val="24"/>
          <w:u w:val="single"/>
        </w:rPr>
        <w:t xml:space="preserve">          （比选申请人单位名称）         </w:t>
      </w:r>
      <w:r>
        <w:rPr>
          <w:rFonts w:hint="eastAsia" w:ascii="宋体" w:hAnsi="宋体"/>
          <w:sz w:val="24"/>
        </w:rPr>
        <w:t>的法定代表人。</w:t>
      </w:r>
    </w:p>
    <w:p>
      <w:pPr>
        <w:spacing w:line="360" w:lineRule="auto"/>
        <w:ind w:firstLine="610"/>
        <w:rPr>
          <w:rFonts w:ascii="宋体" w:hAnsi="宋体"/>
          <w:sz w:val="24"/>
        </w:rPr>
      </w:pPr>
      <w:r>
        <w:rPr>
          <w:rFonts w:hint="eastAsia" w:ascii="宋体" w:hAnsi="宋体"/>
          <w:sz w:val="24"/>
        </w:rPr>
        <w:t>特此证明。</w:t>
      </w:r>
    </w:p>
    <w:p>
      <w:pPr>
        <w:tabs>
          <w:tab w:val="left" w:pos="720"/>
          <w:tab w:val="left" w:pos="900"/>
        </w:tabs>
        <w:spacing w:before="100" w:beforeAutospacing="1" w:after="100" w:afterAutospacing="1" w:line="360" w:lineRule="auto"/>
        <w:jc w:val="center"/>
        <w:rPr>
          <w:rFonts w:ascii="宋体" w:hAnsi="宋体"/>
          <w:sz w:val="24"/>
        </w:rPr>
      </w:pPr>
      <w:r>
        <w:rPr>
          <w:rFonts w:hint="eastAsia" w:ascii="宋体" w:hAnsi="宋体"/>
          <w:sz w:val="24"/>
        </w:rPr>
        <w:t xml:space="preserve">                           比选申请人：</w:t>
      </w:r>
      <w:r>
        <w:rPr>
          <w:rFonts w:hint="eastAsia" w:ascii="宋体" w:hAnsi="宋体"/>
          <w:sz w:val="24"/>
          <w:u w:val="single"/>
        </w:rPr>
        <w:t xml:space="preserve">     （盖公章）        </w:t>
      </w:r>
    </w:p>
    <w:p>
      <w:pPr>
        <w:spacing w:before="100" w:beforeAutospacing="1" w:after="100" w:afterAutospacing="1"/>
        <w:jc w:val="center"/>
        <w:rPr>
          <w:rFonts w:ascii="宋体" w:hAnsi="宋体"/>
          <w:sz w:val="24"/>
        </w:rPr>
      </w:pPr>
      <w:r>
        <w:rPr>
          <w:rFonts w:hint="eastAsia" w:ascii="宋体" w:hAnsi="宋体"/>
          <w:sz w:val="24"/>
        </w:rPr>
        <w:t xml:space="preserve">                                  日  期：     年   月   日</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jc w:val="center"/>
        </w:trPr>
        <w:tc>
          <w:tcPr>
            <w:tcW w:w="8862" w:type="dxa"/>
          </w:tcPr>
          <w:p>
            <w:pPr>
              <w:pStyle w:val="51"/>
              <w:tabs>
                <w:tab w:val="left" w:pos="509"/>
              </w:tabs>
              <w:spacing w:before="100" w:beforeAutospacing="1" w:after="100" w:afterAutospacing="1" w:line="360" w:lineRule="auto"/>
              <w:ind w:left="249" w:firstLine="0" w:firstLineChars="0"/>
              <w:rPr>
                <w:rFonts w:ascii="楷体_GB2312" w:eastAsia="楷体_GB2312"/>
                <w:kern w:val="0"/>
                <w:sz w:val="24"/>
              </w:rPr>
            </w:pPr>
            <w:r>
              <w:rPr>
                <w:rFonts w:hint="eastAsia" w:ascii="楷体_GB2312" w:eastAsia="楷体_GB2312"/>
                <w:kern w:val="0"/>
                <w:sz w:val="24"/>
              </w:rPr>
              <w:t>法定代表人身份证复印件（正反两面；也可另附页身份证复印件）：</w:t>
            </w:r>
          </w:p>
        </w:tc>
      </w:tr>
    </w:tbl>
    <w:p>
      <w:pPr>
        <w:spacing w:before="100" w:beforeAutospacing="1" w:after="100" w:afterAutospacing="1"/>
        <w:jc w:val="left"/>
        <w:rPr>
          <w:rFonts w:ascii="宋体" w:hAnsi="宋体"/>
          <w:sz w:val="24"/>
        </w:rPr>
      </w:pPr>
    </w:p>
    <w:p>
      <w:pPr>
        <w:pStyle w:val="51"/>
        <w:numPr>
          <w:ilvl w:val="0"/>
          <w:numId w:val="24"/>
        </w:numPr>
        <w:spacing w:before="156" w:beforeLines="50" w:after="312" w:afterLines="100"/>
        <w:ind w:left="0" w:firstLine="0" w:firstLineChars="0"/>
        <w:jc w:val="center"/>
        <w:outlineLvl w:val="2"/>
        <w:rPr>
          <w:b/>
          <w:sz w:val="28"/>
        </w:rPr>
      </w:pPr>
      <w:r>
        <w:rPr>
          <w:rFonts w:hint="eastAsia" w:ascii="楷体_GB2312" w:eastAsia="楷体_GB2312"/>
          <w:b/>
          <w:kern w:val="0"/>
          <w:sz w:val="24"/>
        </w:rPr>
        <w:br w:type="page"/>
      </w:r>
      <w:r>
        <w:rPr>
          <w:rFonts w:hint="eastAsia"/>
          <w:b/>
          <w:sz w:val="28"/>
        </w:rPr>
        <w:t>授权委托书</w:t>
      </w:r>
    </w:p>
    <w:p>
      <w:pPr>
        <w:autoSpaceDE w:val="0"/>
        <w:autoSpaceDN w:val="0"/>
        <w:adjustRightInd w:val="0"/>
        <w:spacing w:line="360" w:lineRule="auto"/>
        <w:ind w:firstLine="614" w:firstLineChars="256"/>
        <w:rPr>
          <w:rFonts w:ascii="宋体" w:hAnsi="宋体"/>
          <w:kern w:val="0"/>
          <w:sz w:val="24"/>
        </w:rPr>
      </w:pPr>
      <w:r>
        <w:rPr>
          <w:rFonts w:hint="eastAsia" w:ascii="宋体" w:hAnsi="宋体"/>
          <w:kern w:val="0"/>
          <w:sz w:val="24"/>
        </w:rPr>
        <w:t>本授权委托书声明：我</w:t>
      </w:r>
      <w:r>
        <w:rPr>
          <w:rFonts w:hint="eastAsia" w:ascii="宋体" w:hAnsi="宋体"/>
          <w:kern w:val="0"/>
          <w:sz w:val="24"/>
          <w:u w:val="single"/>
        </w:rPr>
        <w:t xml:space="preserve">   （姓名）    </w:t>
      </w:r>
      <w:r>
        <w:rPr>
          <w:rFonts w:hint="eastAsia" w:ascii="宋体" w:hAnsi="宋体"/>
          <w:kern w:val="0"/>
          <w:sz w:val="24"/>
        </w:rPr>
        <w:t>系</w:t>
      </w:r>
      <w:r>
        <w:rPr>
          <w:rFonts w:hint="eastAsia" w:ascii="宋体" w:hAnsi="宋体"/>
          <w:kern w:val="0"/>
          <w:sz w:val="24"/>
          <w:u w:val="single"/>
        </w:rPr>
        <w:t>（比选申请人名称）</w:t>
      </w:r>
      <w:r>
        <w:rPr>
          <w:rFonts w:hint="eastAsia" w:ascii="宋体" w:hAnsi="宋体"/>
          <w:kern w:val="0"/>
          <w:sz w:val="24"/>
        </w:rPr>
        <w:t>的法定代表人，现授权委托</w:t>
      </w:r>
      <w:r>
        <w:rPr>
          <w:rFonts w:ascii="宋体" w:hAnsi="宋体"/>
          <w:kern w:val="0"/>
          <w:sz w:val="24"/>
          <w:u w:val="single"/>
        </w:rPr>
        <w:t>(</w:t>
      </w:r>
      <w:r>
        <w:rPr>
          <w:rFonts w:hint="eastAsia" w:ascii="宋体" w:hAnsi="宋体"/>
          <w:kern w:val="0"/>
          <w:sz w:val="24"/>
          <w:u w:val="single"/>
        </w:rPr>
        <w:t xml:space="preserve">比选申请人名称)        </w:t>
      </w:r>
      <w:r>
        <w:rPr>
          <w:rFonts w:hint="eastAsia" w:ascii="宋体" w:hAnsi="宋体"/>
          <w:kern w:val="0"/>
          <w:sz w:val="24"/>
        </w:rPr>
        <w:t>的</w:t>
      </w:r>
      <w:r>
        <w:rPr>
          <w:rFonts w:hint="eastAsia" w:ascii="宋体" w:hAnsi="宋体"/>
          <w:kern w:val="0"/>
          <w:sz w:val="24"/>
          <w:u w:val="single"/>
        </w:rPr>
        <w:t xml:space="preserve">   （姓名）  </w:t>
      </w:r>
      <w:r>
        <w:rPr>
          <w:rFonts w:hint="eastAsia" w:ascii="宋体" w:hAnsi="宋体"/>
          <w:kern w:val="0"/>
          <w:sz w:val="24"/>
        </w:rPr>
        <w:t>为我公司合法代理人，就项目编号</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的</w:t>
      </w:r>
      <w:r>
        <w:rPr>
          <w:rFonts w:hint="eastAsia" w:ascii="宋体" w:hAnsi="宋体" w:cs="宋体"/>
          <w:kern w:val="0"/>
          <w:sz w:val="24"/>
          <w:szCs w:val="24"/>
          <w:u w:val="single"/>
        </w:rPr>
        <w:t xml:space="preserve"> </w:t>
      </w:r>
      <w:r>
        <w:rPr>
          <w:rFonts w:ascii="宋体" w:hAnsi="宋体" w:cs="宋体"/>
          <w:kern w:val="0"/>
          <w:sz w:val="24"/>
          <w:szCs w:val="24"/>
          <w:u w:val="single"/>
        </w:rPr>
        <w:t xml:space="preserve">               项目</w:t>
      </w:r>
      <w:r>
        <w:rPr>
          <w:rFonts w:ascii="宋体" w:hAnsi="宋体" w:cs="宋体"/>
          <w:kern w:val="0"/>
          <w:sz w:val="24"/>
          <w:szCs w:val="24"/>
        </w:rPr>
        <w:t>的</w:t>
      </w:r>
      <w:r>
        <w:rPr>
          <w:rFonts w:hint="eastAsia" w:ascii="宋体" w:hAnsi="宋体"/>
          <w:kern w:val="0"/>
          <w:sz w:val="24"/>
        </w:rPr>
        <w:t>货物和服务的比选申请和合同执行，作为比选申请人以本公司名义处理一切与之有关的一切事务，我均予以确认。</w:t>
      </w:r>
    </w:p>
    <w:p>
      <w:pPr>
        <w:spacing w:line="360" w:lineRule="auto"/>
        <w:ind w:firstLine="480" w:firstLineChars="200"/>
        <w:rPr>
          <w:rFonts w:ascii="Arial" w:hAnsi="Arial" w:cs="Arial"/>
          <w:sz w:val="24"/>
        </w:rPr>
      </w:pPr>
      <w:r>
        <w:rPr>
          <w:rFonts w:hint="eastAsia" w:ascii="Arial" w:hAnsi="Arial" w:cs="Arial"/>
          <w:sz w:val="24"/>
        </w:rPr>
        <w:t>本</w:t>
      </w:r>
      <w:r>
        <w:rPr>
          <w:rFonts w:ascii="Arial" w:hAnsi="Arial" w:cs="Arial"/>
          <w:sz w:val="24"/>
        </w:rPr>
        <w:t>授权书于</w:t>
      </w:r>
      <w:r>
        <w:rPr>
          <w:rFonts w:hint="eastAsia" w:ascii="Arial" w:hAnsi="Arial" w:cs="Arial"/>
          <w:sz w:val="24"/>
          <w:u w:val="single"/>
        </w:rPr>
        <w:t xml:space="preserve"> </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年</w:t>
      </w:r>
      <w:r>
        <w:rPr>
          <w:rFonts w:hint="eastAsia" w:ascii="Arial" w:hAnsi="Arial" w:cs="Arial"/>
          <w:sz w:val="24"/>
          <w:u w:val="single"/>
        </w:rPr>
        <w:t xml:space="preserve">  </w:t>
      </w:r>
      <w:r>
        <w:rPr>
          <w:rFonts w:ascii="Arial" w:hAnsi="Arial" w:cs="Arial"/>
          <w:sz w:val="24"/>
          <w:u w:val="single"/>
        </w:rPr>
        <w:t>月</w:t>
      </w:r>
      <w:r>
        <w:rPr>
          <w:rFonts w:hint="eastAsia" w:ascii="Arial" w:hAnsi="Arial" w:cs="Arial"/>
          <w:sz w:val="24"/>
          <w:u w:val="single"/>
        </w:rPr>
        <w:t xml:space="preserve">  </w:t>
      </w:r>
      <w:r>
        <w:rPr>
          <w:rFonts w:ascii="Arial" w:hAnsi="Arial" w:cs="Arial"/>
          <w:sz w:val="24"/>
          <w:u w:val="single"/>
        </w:rPr>
        <w:t>日</w:t>
      </w:r>
      <w:r>
        <w:rPr>
          <w:rFonts w:hint="eastAsia" w:ascii="Arial" w:hAnsi="Arial" w:cs="Arial"/>
          <w:sz w:val="24"/>
        </w:rPr>
        <w:t>签字</w:t>
      </w:r>
      <w:r>
        <w:rPr>
          <w:rFonts w:ascii="Arial" w:hAnsi="Arial" w:cs="Arial"/>
          <w:sz w:val="24"/>
        </w:rPr>
        <w:t>生效</w:t>
      </w:r>
      <w:r>
        <w:rPr>
          <w:rFonts w:hint="eastAsia" w:ascii="Arial" w:hAnsi="Arial" w:cs="Arial"/>
          <w:sz w:val="24"/>
        </w:rPr>
        <w:t>，</w:t>
      </w:r>
      <w:r>
        <w:rPr>
          <w:rFonts w:hint="eastAsia" w:ascii="宋体" w:hAnsi="宋体"/>
          <w:kern w:val="0"/>
          <w:sz w:val="24"/>
        </w:rPr>
        <w:t>被授权人无转委权，特此声明</w:t>
      </w:r>
      <w:r>
        <w:rPr>
          <w:rFonts w:hint="eastAsia" w:ascii="Arial" w:hAnsi="Arial" w:cs="Arial"/>
          <w:sz w:val="24"/>
        </w:rPr>
        <w:t>。</w:t>
      </w:r>
    </w:p>
    <w:p>
      <w:pPr>
        <w:autoSpaceDE w:val="0"/>
        <w:autoSpaceDN w:val="0"/>
        <w:adjustRightInd w:val="0"/>
        <w:spacing w:line="360" w:lineRule="auto"/>
        <w:ind w:firstLine="614" w:firstLineChars="256"/>
        <w:rPr>
          <w:rFonts w:ascii="宋体" w:hAnsi="宋体"/>
          <w:kern w:val="0"/>
          <w:sz w:val="24"/>
        </w:rPr>
      </w:pP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法定代表人签字或盖章</w:t>
      </w:r>
      <w:r>
        <w:rPr>
          <w:rFonts w:hint="eastAsia" w:ascii="宋体" w:hAnsi="宋体"/>
          <w:kern w:val="0"/>
          <w:sz w:val="24"/>
        </w:rPr>
        <w:t>：</w:t>
      </w:r>
    </w:p>
    <w:p>
      <w:pPr>
        <w:autoSpaceDE w:val="0"/>
        <w:autoSpaceDN w:val="0"/>
        <w:adjustRightInd w:val="0"/>
        <w:spacing w:line="360" w:lineRule="auto"/>
        <w:ind w:firstLine="614" w:firstLineChars="256"/>
        <w:rPr>
          <w:rFonts w:ascii="宋体" w:hAnsi="宋体"/>
          <w:kern w:val="0"/>
          <w:sz w:val="24"/>
        </w:rPr>
      </w:pPr>
      <w:r>
        <w:rPr>
          <w:rFonts w:hint="eastAsia" w:ascii="宋体" w:hAnsi="宋体"/>
          <w:kern w:val="0"/>
          <w:sz w:val="24"/>
        </w:rPr>
        <w:t>单位名称：</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（公章）</w:t>
      </w:r>
      <w:r>
        <w:rPr>
          <w:rFonts w:ascii="宋体" w:hAnsi="宋体"/>
          <w:kern w:val="0"/>
          <w:sz w:val="24"/>
          <w:u w:val="single"/>
        </w:rPr>
        <w:t xml:space="preserve">  </w:t>
      </w: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职务</w:t>
      </w:r>
      <w:r>
        <w:rPr>
          <w:rFonts w:hint="eastAsia" w:ascii="宋体" w:hAnsi="宋体"/>
          <w:kern w:val="0"/>
          <w:sz w:val="24"/>
        </w:rPr>
        <w:t>：</w:t>
      </w: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地址</w:t>
      </w:r>
      <w:r>
        <w:rPr>
          <w:rFonts w:hint="eastAsia" w:ascii="宋体" w:hAnsi="宋体"/>
          <w:kern w:val="0"/>
          <w:sz w:val="24"/>
        </w:rPr>
        <w:t>：</w:t>
      </w:r>
    </w:p>
    <w:p>
      <w:pPr>
        <w:autoSpaceDE w:val="0"/>
        <w:autoSpaceDN w:val="0"/>
        <w:adjustRightInd w:val="0"/>
        <w:spacing w:line="360" w:lineRule="auto"/>
        <w:ind w:firstLine="614" w:firstLineChars="256"/>
        <w:rPr>
          <w:rFonts w:ascii="宋体" w:hAnsi="宋体"/>
          <w:kern w:val="0"/>
          <w:sz w:val="24"/>
        </w:rPr>
      </w:pPr>
    </w:p>
    <w:p>
      <w:pPr>
        <w:autoSpaceDE w:val="0"/>
        <w:autoSpaceDN w:val="0"/>
        <w:adjustRightInd w:val="0"/>
        <w:spacing w:line="360" w:lineRule="auto"/>
        <w:ind w:firstLine="614" w:firstLineChars="256"/>
        <w:rPr>
          <w:rFonts w:ascii="宋体" w:hAnsi="宋体"/>
          <w:kern w:val="0"/>
          <w:sz w:val="24"/>
        </w:rPr>
      </w:pPr>
      <w:r>
        <w:rPr>
          <w:rFonts w:hint="eastAsia" w:ascii="宋体" w:hAnsi="宋体"/>
          <w:kern w:val="0"/>
          <w:sz w:val="24"/>
        </w:rPr>
        <w:t>比选申请人代表（被授权人）签字或盖章：</w:t>
      </w: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ab/>
      </w:r>
      <w:r>
        <w:rPr>
          <w:rFonts w:hint="eastAsia" w:ascii="宋体" w:hAnsi="宋体"/>
          <w:kern w:val="0"/>
          <w:sz w:val="24"/>
        </w:rPr>
        <w:t>单位名称：</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（公章）</w:t>
      </w:r>
      <w:r>
        <w:rPr>
          <w:rFonts w:ascii="宋体" w:hAnsi="宋体"/>
          <w:kern w:val="0"/>
          <w:sz w:val="24"/>
          <w:u w:val="single"/>
        </w:rPr>
        <w:t xml:space="preserve">  </w:t>
      </w: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职务</w:t>
      </w:r>
      <w:r>
        <w:rPr>
          <w:rFonts w:hint="eastAsia" w:ascii="宋体" w:hAnsi="宋体"/>
          <w:kern w:val="0"/>
          <w:sz w:val="24"/>
        </w:rPr>
        <w:t>：</w:t>
      </w: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地址</w:t>
      </w:r>
      <w:r>
        <w:rPr>
          <w:rFonts w:hint="eastAsia" w:ascii="宋体" w:hAnsi="宋体"/>
          <w:kern w:val="0"/>
          <w:sz w:val="24"/>
        </w:rPr>
        <w:t>：</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7" w:hRule="atLeast"/>
          <w:jc w:val="center"/>
        </w:trPr>
        <w:tc>
          <w:tcPr>
            <w:tcW w:w="9286" w:type="dxa"/>
          </w:tcPr>
          <w:p>
            <w:pPr>
              <w:pStyle w:val="51"/>
              <w:tabs>
                <w:tab w:val="left" w:pos="509"/>
              </w:tabs>
              <w:spacing w:before="100" w:beforeAutospacing="1" w:after="100" w:afterAutospacing="1" w:line="240" w:lineRule="exact"/>
              <w:ind w:left="252" w:firstLine="0" w:firstLineChars="0"/>
              <w:rPr>
                <w:rFonts w:ascii="楷体_GB2312" w:eastAsia="楷体_GB2312"/>
                <w:kern w:val="0"/>
                <w:sz w:val="24"/>
              </w:rPr>
            </w:pPr>
            <w:r>
              <w:rPr>
                <w:rFonts w:hint="eastAsia" w:ascii="楷体_GB2312" w:eastAsia="楷体_GB2312"/>
                <w:kern w:val="0"/>
                <w:sz w:val="24"/>
              </w:rPr>
              <w:t>代理人身份证复印件（正反两面；也可另附页身份证复印件）：</w:t>
            </w:r>
          </w:p>
        </w:tc>
      </w:tr>
    </w:tbl>
    <w:p>
      <w:pPr>
        <w:spacing w:line="360" w:lineRule="auto"/>
        <w:ind w:firstLine="420"/>
        <w:rPr>
          <w:rFonts w:ascii="Arial" w:hAnsi="Arial" w:cs="Arial"/>
          <w:szCs w:val="20"/>
        </w:rPr>
      </w:pPr>
      <w:r>
        <w:rPr>
          <w:rFonts w:ascii="Arial" w:hAnsi="Arial" w:cs="Arial"/>
          <w:szCs w:val="20"/>
        </w:rPr>
        <w:t>说明：</w:t>
      </w:r>
    </w:p>
    <w:p>
      <w:pPr>
        <w:spacing w:line="360" w:lineRule="auto"/>
        <w:ind w:firstLine="735"/>
        <w:rPr>
          <w:rFonts w:ascii="Arial" w:hAnsi="Arial" w:cs="Arial"/>
          <w:szCs w:val="20"/>
        </w:rPr>
      </w:pPr>
      <w:r>
        <w:rPr>
          <w:rFonts w:hint="eastAsia" w:ascii="Arial" w:hAnsi="Arial" w:cs="Arial"/>
          <w:szCs w:val="20"/>
        </w:rPr>
        <w:t>（</w:t>
      </w:r>
      <w:r>
        <w:rPr>
          <w:rFonts w:ascii="Arial" w:hAnsi="Arial" w:cs="Arial"/>
          <w:szCs w:val="20"/>
        </w:rPr>
        <w:t>1</w:t>
      </w:r>
      <w:r>
        <w:rPr>
          <w:rFonts w:hint="eastAsia" w:ascii="Arial" w:hAnsi="Arial" w:cs="Arial"/>
          <w:szCs w:val="20"/>
        </w:rPr>
        <w:t>）</w:t>
      </w:r>
      <w:r>
        <w:rPr>
          <w:rFonts w:ascii="Arial" w:hAnsi="Arial" w:cs="Arial"/>
          <w:bCs/>
          <w:szCs w:val="20"/>
        </w:rPr>
        <w:t>法人授权委托书所签发的</w:t>
      </w:r>
      <w:r>
        <w:rPr>
          <w:rFonts w:ascii="Arial" w:hAnsi="Arial" w:cs="Arial"/>
          <w:szCs w:val="20"/>
        </w:rPr>
        <w:t>代理期限必须涵盖代理人所有签字为有效的时间。</w:t>
      </w:r>
    </w:p>
    <w:p>
      <w:pPr>
        <w:spacing w:line="360" w:lineRule="auto"/>
        <w:ind w:firstLine="735"/>
        <w:rPr>
          <w:rFonts w:ascii="Arial" w:hAnsi="Arial" w:cs="Arial"/>
          <w:szCs w:val="20"/>
        </w:rPr>
      </w:pPr>
      <w:r>
        <w:rPr>
          <w:rFonts w:hint="eastAsia" w:ascii="Arial" w:hAnsi="Arial" w:cs="Arial"/>
          <w:szCs w:val="20"/>
        </w:rPr>
        <w:t>（</w:t>
      </w:r>
      <w:r>
        <w:rPr>
          <w:rFonts w:ascii="Arial" w:hAnsi="Arial" w:cs="Arial"/>
          <w:szCs w:val="20"/>
        </w:rPr>
        <w:t>2</w:t>
      </w:r>
      <w:r>
        <w:rPr>
          <w:rFonts w:hint="eastAsia" w:ascii="Arial" w:hAnsi="Arial" w:cs="Arial"/>
          <w:szCs w:val="20"/>
        </w:rPr>
        <w:t>）</w:t>
      </w:r>
      <w:r>
        <w:rPr>
          <w:rFonts w:ascii="Arial" w:hAnsi="Arial" w:cs="Arial"/>
          <w:szCs w:val="20"/>
        </w:rPr>
        <w:t>委托书内容填写要明确，文字要工整清楚，涂改无效。</w:t>
      </w:r>
    </w:p>
    <w:p>
      <w:pPr>
        <w:spacing w:line="360" w:lineRule="auto"/>
        <w:ind w:firstLine="735"/>
        <w:rPr>
          <w:rFonts w:ascii="Arial" w:hAnsi="Arial" w:cs="Arial"/>
          <w:bCs/>
          <w:szCs w:val="20"/>
        </w:rPr>
      </w:pPr>
      <w:r>
        <w:rPr>
          <w:rFonts w:hint="eastAsia" w:ascii="Arial" w:hAnsi="Arial" w:cs="Arial"/>
          <w:szCs w:val="20"/>
        </w:rPr>
        <w:t>（3）</w:t>
      </w:r>
      <w:r>
        <w:rPr>
          <w:rFonts w:ascii="Arial" w:hAnsi="Arial" w:cs="Arial"/>
          <w:bCs/>
          <w:szCs w:val="20"/>
        </w:rPr>
        <w:t>委托书不得转借、转让，不得买卖。</w:t>
      </w:r>
    </w:p>
    <w:p>
      <w:pPr>
        <w:spacing w:line="360" w:lineRule="auto"/>
        <w:ind w:firstLine="735"/>
        <w:rPr>
          <w:rFonts w:ascii="Arial" w:hAnsi="Arial" w:cs="Arial"/>
          <w:szCs w:val="20"/>
        </w:rPr>
      </w:pPr>
      <w:r>
        <w:rPr>
          <w:rFonts w:hint="eastAsia" w:ascii="Arial" w:hAnsi="Arial" w:cs="Arial"/>
          <w:szCs w:val="20"/>
        </w:rPr>
        <w:t>（4）</w:t>
      </w:r>
      <w:r>
        <w:rPr>
          <w:rFonts w:ascii="Arial" w:hAnsi="Arial" w:cs="Arial"/>
          <w:szCs w:val="20"/>
        </w:rPr>
        <w:t>代理人根据授权范围，以委托单位的名义签订合同，并将此委托书提交给对方作为合同附件。</w:t>
      </w:r>
    </w:p>
    <w:p>
      <w:pPr>
        <w:pStyle w:val="51"/>
        <w:numPr>
          <w:ilvl w:val="0"/>
          <w:numId w:val="24"/>
        </w:numPr>
        <w:spacing w:before="156" w:beforeLines="50" w:after="312" w:afterLines="100"/>
        <w:ind w:left="0" w:firstLine="0" w:firstLineChars="0"/>
        <w:jc w:val="center"/>
        <w:outlineLvl w:val="2"/>
        <w:rPr>
          <w:b/>
          <w:sz w:val="28"/>
        </w:rPr>
      </w:pPr>
      <w:r>
        <w:rPr>
          <w:rFonts w:ascii="宋体" w:hAnsi="宋体"/>
          <w:b/>
          <w:kern w:val="0"/>
          <w:sz w:val="24"/>
        </w:rPr>
        <w:br w:type="page"/>
      </w:r>
      <w:bookmarkStart w:id="230" w:name="_Toc465934662"/>
      <w:r>
        <w:rPr>
          <w:rFonts w:hint="eastAsia"/>
          <w:b/>
          <w:sz w:val="28"/>
        </w:rPr>
        <w:t>保密承诺书</w:t>
      </w:r>
      <w:bookmarkEnd w:id="230"/>
    </w:p>
    <w:p>
      <w:pPr>
        <w:pStyle w:val="44"/>
        <w:spacing w:before="312" w:beforeLines="100"/>
        <w:rPr>
          <w:rFonts w:ascii="宋体" w:hAnsi="宋体"/>
          <w:szCs w:val="24"/>
        </w:rPr>
      </w:pPr>
      <w:r>
        <w:rPr>
          <w:rFonts w:hint="eastAsia" w:ascii="宋体" w:hAnsi="宋体"/>
          <w:szCs w:val="24"/>
        </w:rPr>
        <w:t>致：南宁轨道交通运营有限公司</w:t>
      </w:r>
    </w:p>
    <w:p>
      <w:pPr>
        <w:pStyle w:val="44"/>
        <w:spacing w:before="156"/>
        <w:ind w:firstLine="480" w:firstLineChars="200"/>
        <w:rPr>
          <w:rFonts w:ascii="宋体" w:hAnsi="宋体"/>
          <w:szCs w:val="24"/>
        </w:rPr>
      </w:pPr>
      <w:r>
        <w:rPr>
          <w:rFonts w:hint="eastAsia" w:ascii="宋体" w:hAnsi="宋体"/>
          <w:szCs w:val="24"/>
        </w:rPr>
        <w:t>我方在实施</w:t>
      </w:r>
      <w:r>
        <w:rPr>
          <w:rFonts w:hint="eastAsia" w:ascii="宋体" w:hAnsi="宋体"/>
          <w:bCs/>
          <w:szCs w:val="24"/>
        </w:rPr>
        <w:t>贵方采购项目</w:t>
      </w:r>
      <w:r>
        <w:rPr>
          <w:rFonts w:hint="eastAsia" w:ascii="宋体" w:hAnsi="宋体"/>
          <w:szCs w:val="24"/>
        </w:rPr>
        <w:t>期间，就保密事宜做出如下承诺：</w:t>
      </w:r>
    </w:p>
    <w:p>
      <w:pPr>
        <w:pStyle w:val="51"/>
        <w:numPr>
          <w:ilvl w:val="0"/>
          <w:numId w:val="26"/>
        </w:numPr>
        <w:tabs>
          <w:tab w:val="left" w:pos="360"/>
          <w:tab w:val="left" w:pos="900"/>
        </w:tabs>
        <w:spacing w:before="156" w:beforeLines="50" w:line="360" w:lineRule="auto"/>
        <w:ind w:left="0" w:firstLine="480"/>
        <w:rPr>
          <w:rFonts w:ascii="宋体" w:hAnsi="宋体"/>
          <w:sz w:val="24"/>
          <w:szCs w:val="24"/>
        </w:rPr>
      </w:pPr>
      <w:r>
        <w:rPr>
          <w:rFonts w:hint="eastAsia" w:ascii="宋体" w:hAnsi="宋体"/>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pPr>
        <w:pStyle w:val="51"/>
        <w:numPr>
          <w:ilvl w:val="0"/>
          <w:numId w:val="26"/>
        </w:numPr>
        <w:tabs>
          <w:tab w:val="left" w:pos="360"/>
          <w:tab w:val="left" w:pos="900"/>
        </w:tabs>
        <w:spacing w:before="156" w:beforeLines="50" w:line="360" w:lineRule="auto"/>
        <w:ind w:left="0" w:firstLine="480"/>
        <w:rPr>
          <w:rFonts w:ascii="宋体" w:hAnsi="宋体"/>
          <w:sz w:val="24"/>
          <w:szCs w:val="24"/>
        </w:rPr>
      </w:pPr>
      <w:r>
        <w:rPr>
          <w:rFonts w:hint="eastAsia" w:ascii="宋体" w:hAnsi="宋体"/>
          <w:sz w:val="24"/>
          <w:szCs w:val="24"/>
        </w:rPr>
        <w:t>我方自知悉贵方的保密信息之日起，依照法律法规规定及有关约定承担保密义务。</w:t>
      </w:r>
    </w:p>
    <w:p>
      <w:pPr>
        <w:pStyle w:val="51"/>
        <w:numPr>
          <w:ilvl w:val="0"/>
          <w:numId w:val="26"/>
        </w:numPr>
        <w:tabs>
          <w:tab w:val="left" w:pos="360"/>
          <w:tab w:val="left" w:pos="900"/>
        </w:tabs>
        <w:spacing w:before="156" w:beforeLines="50" w:line="360" w:lineRule="auto"/>
        <w:ind w:left="0" w:firstLine="480"/>
        <w:rPr>
          <w:rFonts w:ascii="宋体" w:hAnsi="宋体"/>
          <w:sz w:val="24"/>
          <w:szCs w:val="24"/>
        </w:rPr>
      </w:pPr>
      <w:r>
        <w:rPr>
          <w:rFonts w:hint="eastAsia" w:ascii="宋体" w:hAnsi="宋体"/>
          <w:sz w:val="24"/>
          <w:szCs w:val="24"/>
        </w:rPr>
        <w:t>未经贵方同意，我方不擅自保存与贵方保密信息有关的任何物品、资料，也不私自进行复制、交流或者转移。</w:t>
      </w:r>
    </w:p>
    <w:p>
      <w:pPr>
        <w:pStyle w:val="51"/>
        <w:numPr>
          <w:ilvl w:val="0"/>
          <w:numId w:val="26"/>
        </w:numPr>
        <w:tabs>
          <w:tab w:val="left" w:pos="360"/>
          <w:tab w:val="left" w:pos="900"/>
        </w:tabs>
        <w:spacing w:before="156" w:beforeLines="50" w:line="360" w:lineRule="auto"/>
        <w:ind w:left="0" w:firstLine="480"/>
        <w:rPr>
          <w:rFonts w:ascii="宋体" w:hAnsi="宋体"/>
          <w:sz w:val="24"/>
          <w:szCs w:val="24"/>
        </w:rPr>
      </w:pPr>
      <w:r>
        <w:rPr>
          <w:rFonts w:hint="eastAsia" w:ascii="宋体" w:hAnsi="宋体"/>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pStyle w:val="51"/>
        <w:numPr>
          <w:ilvl w:val="0"/>
          <w:numId w:val="26"/>
        </w:numPr>
        <w:tabs>
          <w:tab w:val="left" w:pos="360"/>
          <w:tab w:val="left" w:pos="900"/>
        </w:tabs>
        <w:spacing w:before="156" w:beforeLines="50" w:line="360" w:lineRule="auto"/>
        <w:ind w:left="0" w:firstLine="480"/>
        <w:rPr>
          <w:rFonts w:ascii="宋体" w:hAnsi="宋体"/>
          <w:sz w:val="24"/>
          <w:szCs w:val="24"/>
        </w:rPr>
      </w:pPr>
      <w:r>
        <w:rPr>
          <w:rFonts w:hint="eastAsia" w:ascii="宋体" w:hAnsi="宋体"/>
          <w:sz w:val="24"/>
          <w:szCs w:val="24"/>
        </w:rPr>
        <w:t>我方不会擅自使用任何属于第三方的保密信息，且保证此类信息不会侵犯任何第三方的知识产权及其它权益。若我方违反本规定而导致贵方遭受第三方的侵权指控时，我方承担法律责任。</w:t>
      </w:r>
    </w:p>
    <w:p>
      <w:pPr>
        <w:pStyle w:val="51"/>
        <w:numPr>
          <w:ilvl w:val="0"/>
          <w:numId w:val="26"/>
        </w:numPr>
        <w:tabs>
          <w:tab w:val="left" w:pos="360"/>
          <w:tab w:val="left" w:pos="900"/>
        </w:tabs>
        <w:spacing w:before="156" w:beforeLines="50" w:line="360" w:lineRule="auto"/>
        <w:ind w:left="0" w:firstLine="480"/>
        <w:rPr>
          <w:rFonts w:ascii="宋体" w:hAnsi="宋体"/>
          <w:sz w:val="24"/>
          <w:szCs w:val="24"/>
        </w:rPr>
      </w:pPr>
      <w:r>
        <w:rPr>
          <w:rFonts w:hint="eastAsia" w:ascii="宋体" w:hAnsi="宋体"/>
          <w:sz w:val="24"/>
          <w:szCs w:val="24"/>
        </w:rPr>
        <w:t>若我方发现贵方的保密信息可能被泄露或已经被泄露时，会及时通知贵方，并采取有效措施防止保密信息进一步泄露。</w:t>
      </w:r>
    </w:p>
    <w:p>
      <w:pPr>
        <w:pStyle w:val="51"/>
        <w:numPr>
          <w:ilvl w:val="0"/>
          <w:numId w:val="26"/>
        </w:numPr>
        <w:tabs>
          <w:tab w:val="left" w:pos="360"/>
          <w:tab w:val="left" w:pos="900"/>
        </w:tabs>
        <w:spacing w:before="156" w:beforeLines="50" w:line="360" w:lineRule="auto"/>
        <w:ind w:left="0" w:firstLine="480"/>
        <w:rPr>
          <w:rFonts w:ascii="宋体" w:hAnsi="宋体"/>
          <w:sz w:val="24"/>
          <w:szCs w:val="24"/>
        </w:rPr>
      </w:pPr>
      <w:r>
        <w:rPr>
          <w:rFonts w:hint="eastAsia" w:ascii="宋体" w:hAnsi="宋体"/>
          <w:sz w:val="24"/>
          <w:szCs w:val="24"/>
        </w:rPr>
        <w:t>无论何种原因导致合同未签订或合同结束，我方均按照本协议约定对接触、知悉的保密信息承担保密义务，该保密义务直至这些保密信息由贵方公开或已实际公开时止。</w:t>
      </w:r>
    </w:p>
    <w:p>
      <w:pPr>
        <w:tabs>
          <w:tab w:val="left" w:pos="720"/>
          <w:tab w:val="left" w:pos="900"/>
        </w:tabs>
        <w:spacing w:before="624" w:beforeLines="200" w:line="360" w:lineRule="auto"/>
        <w:jc w:val="center"/>
        <w:rPr>
          <w:rFonts w:ascii="宋体" w:hAnsi="宋体"/>
          <w:sz w:val="24"/>
        </w:rPr>
      </w:pPr>
      <w:r>
        <w:rPr>
          <w:rFonts w:hint="eastAsia" w:ascii="宋体" w:hAnsi="宋体"/>
          <w:sz w:val="24"/>
        </w:rPr>
        <w:t>　　　　　　　　　　　　　　　　　　　　　　　　　　承诺人（章）：</w:t>
      </w:r>
    </w:p>
    <w:p>
      <w:pPr>
        <w:spacing w:line="360" w:lineRule="auto"/>
        <w:jc w:val="right"/>
        <w:rPr>
          <w:rFonts w:ascii="宋体" w:hAnsi="宋体"/>
          <w:sz w:val="24"/>
        </w:rPr>
      </w:pPr>
      <w:r>
        <w:rPr>
          <w:rFonts w:hint="eastAsia" w:ascii="宋体" w:hAnsi="宋体"/>
          <w:sz w:val="24"/>
        </w:rPr>
        <w:t xml:space="preserve">年  月 </w:t>
      </w:r>
      <w:r>
        <w:rPr>
          <w:rFonts w:ascii="宋体" w:hAnsi="宋体"/>
          <w:sz w:val="24"/>
        </w:rPr>
        <w:t xml:space="preserve"> </w:t>
      </w:r>
      <w:r>
        <w:rPr>
          <w:rFonts w:hint="eastAsia" w:ascii="宋体" w:hAnsi="宋体"/>
          <w:sz w:val="24"/>
        </w:rPr>
        <w:t>日</w:t>
      </w:r>
    </w:p>
    <w:p>
      <w:pPr>
        <w:pStyle w:val="51"/>
        <w:tabs>
          <w:tab w:val="left" w:pos="826"/>
        </w:tabs>
        <w:ind w:firstLine="0" w:firstLineChars="0"/>
        <w:jc w:val="left"/>
        <w:rPr>
          <w:sz w:val="24"/>
        </w:rPr>
      </w:pPr>
    </w:p>
    <w:p>
      <w:pPr>
        <w:pStyle w:val="51"/>
        <w:numPr>
          <w:ilvl w:val="0"/>
          <w:numId w:val="24"/>
        </w:numPr>
        <w:spacing w:before="312" w:beforeLines="100" w:after="312" w:afterLines="100"/>
        <w:ind w:left="0" w:firstLine="480"/>
        <w:outlineLvl w:val="2"/>
        <w:rPr>
          <w:rFonts w:ascii="宋体" w:hAnsi="宋体"/>
          <w:sz w:val="24"/>
        </w:rPr>
      </w:pPr>
      <w:r>
        <w:rPr>
          <w:rFonts w:ascii="宋体" w:hAnsi="宋体"/>
          <w:sz w:val="24"/>
        </w:rPr>
        <w:t>广西电力市场交易系统市场管理市场主体公开信息查询截图</w:t>
      </w:r>
      <w:r>
        <w:rPr>
          <w:rFonts w:hint="eastAsia" w:ascii="宋体" w:hAnsi="宋体"/>
          <w:sz w:val="24"/>
        </w:rPr>
        <w:t>（加盖单位公章）。</w:t>
      </w:r>
    </w:p>
    <w:p>
      <w:pPr>
        <w:pStyle w:val="51"/>
        <w:numPr>
          <w:ilvl w:val="0"/>
          <w:numId w:val="24"/>
        </w:numPr>
        <w:spacing w:before="312" w:beforeLines="100" w:after="312" w:afterLines="100"/>
        <w:ind w:left="0" w:firstLine="480"/>
        <w:outlineLvl w:val="2"/>
        <w:rPr>
          <w:rFonts w:ascii="宋体" w:hAnsi="宋体"/>
          <w:sz w:val="24"/>
        </w:rPr>
      </w:pPr>
      <w:r>
        <w:rPr>
          <w:rFonts w:hint="eastAsia" w:ascii="宋体" w:hAnsi="宋体"/>
          <w:sz w:val="24"/>
        </w:rPr>
        <w:t>项目业绩证明材料（2023年常规电能量交易总交易量≥</w:t>
      </w:r>
      <w:r>
        <w:rPr>
          <w:rFonts w:ascii="宋体" w:hAnsi="宋体"/>
          <w:sz w:val="24"/>
        </w:rPr>
        <w:t>20亿千瓦时</w:t>
      </w:r>
      <w:r>
        <w:rPr>
          <w:rFonts w:hint="eastAsia" w:ascii="宋体" w:hAnsi="宋体"/>
          <w:sz w:val="24"/>
        </w:rPr>
        <w:t>，绿色电力交易总交易量≥</w:t>
      </w:r>
      <w:r>
        <w:rPr>
          <w:rFonts w:ascii="宋体" w:hAnsi="宋体"/>
          <w:sz w:val="24"/>
        </w:rPr>
        <w:t>1亿千瓦时</w:t>
      </w:r>
      <w:r>
        <w:rPr>
          <w:rFonts w:hint="eastAsia" w:ascii="宋体" w:hAnsi="宋体"/>
          <w:sz w:val="24"/>
        </w:rPr>
        <w:t>，需提供交易中心发布的结算清单（加盖公章），并罗列整理成统计表单（</w:t>
      </w:r>
      <w:r>
        <w:rPr>
          <w:rFonts w:ascii="宋体" w:hAnsi="宋体"/>
          <w:sz w:val="24"/>
        </w:rPr>
        <w:t>详见格式A1</w:t>
      </w:r>
      <w:r>
        <w:rPr>
          <w:rFonts w:hint="eastAsia" w:ascii="宋体" w:hAnsi="宋体"/>
          <w:sz w:val="24"/>
        </w:rPr>
        <w:t>）。</w:t>
      </w:r>
    </w:p>
    <w:p>
      <w:pPr>
        <w:widowControl/>
        <w:jc w:val="left"/>
        <w:rPr>
          <w:rFonts w:ascii="宋体" w:hAnsi="宋体"/>
          <w:sz w:val="24"/>
        </w:rPr>
      </w:pPr>
      <w:r>
        <w:rPr>
          <w:rFonts w:ascii="宋体" w:hAnsi="宋体"/>
          <w:sz w:val="24"/>
        </w:rPr>
        <w:br w:type="page"/>
      </w:r>
    </w:p>
    <w:p>
      <w:pPr>
        <w:pStyle w:val="51"/>
        <w:numPr>
          <w:ilvl w:val="255"/>
          <w:numId w:val="0"/>
        </w:numPr>
        <w:spacing w:before="312" w:beforeLines="100" w:after="312" w:afterLines="100"/>
        <w:jc w:val="left"/>
        <w:outlineLvl w:val="2"/>
        <w:rPr>
          <w:rFonts w:ascii="宋体" w:hAnsi="宋体"/>
          <w:sz w:val="24"/>
        </w:rPr>
      </w:pPr>
      <w:r>
        <w:rPr>
          <w:rFonts w:ascii="宋体" w:hAnsi="宋体"/>
          <w:sz w:val="24"/>
          <w:szCs w:val="24"/>
        </w:rPr>
        <w:t>格式A1</w:t>
      </w:r>
      <w:r>
        <w:rPr>
          <w:rFonts w:ascii="宋体" w:hAnsi="宋体"/>
          <w:sz w:val="24"/>
        </w:rPr>
        <w:t xml:space="preserve">                       </w:t>
      </w:r>
    </w:p>
    <w:p>
      <w:pPr>
        <w:pStyle w:val="51"/>
        <w:numPr>
          <w:ilvl w:val="255"/>
          <w:numId w:val="0"/>
        </w:numPr>
        <w:spacing w:before="312" w:beforeLines="100" w:after="312" w:afterLines="100"/>
        <w:jc w:val="center"/>
        <w:outlineLvl w:val="2"/>
        <w:rPr>
          <w:rFonts w:ascii="宋体" w:hAnsi="宋体"/>
          <w:sz w:val="24"/>
        </w:rPr>
      </w:pPr>
      <w:r>
        <w:rPr>
          <w:rFonts w:ascii="宋体" w:hAnsi="宋体"/>
          <w:sz w:val="24"/>
        </w:rPr>
        <w:t>项目业绩统计表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5"/>
        <w:gridCol w:w="3095"/>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时间</w:t>
            </w:r>
          </w:p>
        </w:tc>
        <w:tc>
          <w:tcPr>
            <w:tcW w:w="3095" w:type="dxa"/>
            <w:vAlign w:val="center"/>
          </w:tcPr>
          <w:p>
            <w:pPr>
              <w:jc w:val="center"/>
            </w:pPr>
            <w:r>
              <w:rPr>
                <w:rFonts w:hint="eastAsia"/>
              </w:rPr>
              <w:t>常规电能量交易量</w:t>
            </w:r>
          </w:p>
        </w:tc>
        <w:tc>
          <w:tcPr>
            <w:tcW w:w="3096" w:type="dxa"/>
            <w:vAlign w:val="center"/>
          </w:tcPr>
          <w:p>
            <w:pPr>
              <w:jc w:val="center"/>
            </w:pPr>
            <w:r>
              <w:rPr>
                <w:rFonts w:hint="eastAsia"/>
              </w:rPr>
              <w:t>绿色电力交易量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w:t>
            </w:r>
            <w:r>
              <w:rPr>
                <w:rFonts w:hint="eastAsia"/>
              </w:rPr>
              <w:t>1月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w:t>
            </w:r>
            <w:r>
              <w:rPr>
                <w:rFonts w:hint="eastAsia"/>
              </w:rPr>
              <w:t>2月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023年3</w:t>
            </w:r>
            <w:r>
              <w:rPr>
                <w:rFonts w:hint="eastAsia"/>
              </w:rPr>
              <w:t>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023年4</w:t>
            </w:r>
            <w:r>
              <w:rPr>
                <w:rFonts w:hint="eastAsia"/>
              </w:rPr>
              <w:t>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023年5</w:t>
            </w:r>
            <w:r>
              <w:rPr>
                <w:rFonts w:hint="eastAsia"/>
              </w:rPr>
              <w:t>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023年6</w:t>
            </w:r>
            <w:r>
              <w:rPr>
                <w:rFonts w:hint="eastAsia"/>
              </w:rPr>
              <w:t>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023年7</w:t>
            </w:r>
            <w:r>
              <w:rPr>
                <w:rFonts w:hint="eastAsia"/>
              </w:rPr>
              <w:t>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023年8</w:t>
            </w:r>
            <w:r>
              <w:rPr>
                <w:rFonts w:hint="eastAsia"/>
              </w:rPr>
              <w:t>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023年9</w:t>
            </w:r>
            <w:r>
              <w:rPr>
                <w:rFonts w:hint="eastAsia"/>
              </w:rPr>
              <w:t>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023年10</w:t>
            </w:r>
            <w:r>
              <w:rPr>
                <w:rFonts w:hint="eastAsia"/>
              </w:rPr>
              <w:t>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023年11</w:t>
            </w:r>
            <w:r>
              <w:rPr>
                <w:rFonts w:hint="eastAsia"/>
              </w:rPr>
              <w:t>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2</w:t>
            </w:r>
            <w:r>
              <w:t>023年12</w:t>
            </w:r>
            <w:r>
              <w:rPr>
                <w:rFonts w:hint="eastAsia"/>
              </w:rPr>
              <w:t>月</w:t>
            </w:r>
          </w:p>
        </w:tc>
        <w:tc>
          <w:tcPr>
            <w:tcW w:w="3095" w:type="dxa"/>
            <w:vAlign w:val="center"/>
          </w:tcPr>
          <w:p>
            <w:pPr>
              <w:jc w:val="center"/>
            </w:pPr>
          </w:p>
        </w:tc>
        <w:tc>
          <w:tcPr>
            <w:tcW w:w="309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vAlign w:val="center"/>
          </w:tcPr>
          <w:p>
            <w:pPr>
              <w:jc w:val="center"/>
            </w:pPr>
            <w:r>
              <w:rPr>
                <w:rFonts w:hint="eastAsia"/>
              </w:rPr>
              <w:t>合计</w:t>
            </w:r>
          </w:p>
        </w:tc>
        <w:tc>
          <w:tcPr>
            <w:tcW w:w="3095" w:type="dxa"/>
            <w:vAlign w:val="center"/>
          </w:tcPr>
          <w:p>
            <w:pPr>
              <w:jc w:val="center"/>
            </w:pPr>
          </w:p>
        </w:tc>
        <w:tc>
          <w:tcPr>
            <w:tcW w:w="3096" w:type="dxa"/>
            <w:vAlign w:val="center"/>
          </w:tcPr>
          <w:p>
            <w:pPr>
              <w:jc w:val="center"/>
            </w:pPr>
          </w:p>
        </w:tc>
      </w:tr>
    </w:tbl>
    <w:p>
      <w:pPr>
        <w:spacing w:before="312" w:beforeLines="100" w:after="312" w:afterLines="100"/>
        <w:rPr>
          <w:rFonts w:ascii="宋体" w:hAnsi="宋体"/>
          <w:sz w:val="24"/>
        </w:rPr>
      </w:pPr>
      <w:r>
        <w:rPr>
          <w:rFonts w:hint="eastAsia" w:ascii="宋体" w:hAnsi="宋体"/>
          <w:sz w:val="24"/>
        </w:rPr>
        <w:t>注：交易量单位、小数位数与交易中心发布的结算清单保持一致。</w:t>
      </w:r>
    </w:p>
    <w:p>
      <w:pPr>
        <w:tabs>
          <w:tab w:val="left" w:pos="720"/>
          <w:tab w:val="left" w:pos="900"/>
        </w:tabs>
        <w:spacing w:before="100" w:beforeAutospacing="1" w:after="100" w:afterAutospacing="1" w:line="360" w:lineRule="auto"/>
        <w:jc w:val="center"/>
        <w:rPr>
          <w:rFonts w:ascii="宋体" w:hAnsi="宋体"/>
          <w:sz w:val="24"/>
        </w:rPr>
      </w:pPr>
      <w:r>
        <w:rPr>
          <w:rFonts w:ascii="宋体" w:hAnsi="宋体"/>
          <w:sz w:val="24"/>
        </w:rPr>
        <w:t xml:space="preserve">                        </w:t>
      </w:r>
      <w:r>
        <w:rPr>
          <w:rFonts w:hint="eastAsia" w:ascii="宋体" w:hAnsi="宋体"/>
          <w:sz w:val="24"/>
        </w:rPr>
        <w:t xml:space="preserve"> 比选申请人：</w:t>
      </w:r>
      <w:r>
        <w:rPr>
          <w:rFonts w:hint="eastAsia" w:ascii="宋体" w:hAnsi="宋体"/>
          <w:sz w:val="24"/>
          <w:u w:val="single"/>
        </w:rPr>
        <w:t xml:space="preserve">     （盖公章）        </w:t>
      </w:r>
    </w:p>
    <w:p>
      <w:pPr>
        <w:spacing w:before="100" w:beforeAutospacing="1" w:after="100" w:afterAutospacing="1"/>
        <w:jc w:val="center"/>
        <w:rPr>
          <w:rFonts w:ascii="宋体" w:hAnsi="宋体"/>
          <w:sz w:val="24"/>
        </w:rPr>
      </w:pPr>
      <w:r>
        <w:rPr>
          <w:rFonts w:hint="eastAsia" w:ascii="宋体" w:hAnsi="宋体"/>
          <w:sz w:val="24"/>
        </w:rPr>
        <w:t xml:space="preserve">                                  日  期：     年   月   日</w:t>
      </w:r>
    </w:p>
    <w:p>
      <w:pPr>
        <w:spacing w:before="312" w:beforeLines="100" w:after="312" w:afterLines="100"/>
        <w:rPr>
          <w:rFonts w:ascii="宋体" w:hAnsi="宋体"/>
          <w:sz w:val="24"/>
        </w:rPr>
      </w:pPr>
    </w:p>
    <w:p>
      <w:pPr>
        <w:spacing w:before="312" w:beforeLines="100" w:after="312" w:afterLines="100"/>
        <w:rPr>
          <w:rFonts w:ascii="宋体" w:hAnsi="宋体"/>
          <w:sz w:val="24"/>
        </w:rPr>
      </w:pPr>
    </w:p>
    <w:p>
      <w:pPr>
        <w:widowControl/>
        <w:jc w:val="left"/>
        <w:rPr>
          <w:rFonts w:ascii="宋体" w:hAnsi="宋体"/>
          <w:sz w:val="24"/>
        </w:rPr>
      </w:pPr>
      <w:r>
        <w:rPr>
          <w:rFonts w:ascii="宋体" w:hAnsi="宋体"/>
          <w:sz w:val="24"/>
        </w:rPr>
        <w:br w:type="page"/>
      </w:r>
    </w:p>
    <w:p>
      <w:pPr>
        <w:tabs>
          <w:tab w:val="left" w:pos="826"/>
        </w:tabs>
        <w:spacing w:line="560" w:lineRule="exact"/>
        <w:rPr>
          <w:rFonts w:ascii="宋体" w:hAnsi="宋体"/>
          <w:kern w:val="0"/>
          <w:sz w:val="84"/>
        </w:rPr>
      </w:pPr>
    </w:p>
    <w:p>
      <w:pPr>
        <w:tabs>
          <w:tab w:val="left" w:pos="826"/>
        </w:tabs>
        <w:spacing w:line="560" w:lineRule="exact"/>
        <w:rPr>
          <w:rFonts w:ascii="宋体" w:hAnsi="宋体"/>
          <w:kern w:val="0"/>
          <w:sz w:val="84"/>
        </w:rPr>
      </w:pPr>
    </w:p>
    <w:p>
      <w:pPr>
        <w:tabs>
          <w:tab w:val="left" w:pos="826"/>
        </w:tabs>
        <w:spacing w:line="560" w:lineRule="exact"/>
        <w:rPr>
          <w:rFonts w:ascii="宋体" w:hAnsi="宋体"/>
          <w:kern w:val="0"/>
          <w:sz w:val="84"/>
        </w:rPr>
      </w:pPr>
    </w:p>
    <w:p>
      <w:pPr>
        <w:jc w:val="center"/>
        <w:rPr>
          <w:rFonts w:ascii="宋体" w:hAnsi="宋体"/>
          <w:kern w:val="0"/>
          <w:sz w:val="48"/>
          <w:szCs w:val="48"/>
        </w:rPr>
      </w:pPr>
      <w:r>
        <w:rPr>
          <w:rFonts w:hint="eastAsia" w:ascii="宋体" w:hAnsi="宋体"/>
          <w:kern w:val="0"/>
          <w:sz w:val="48"/>
          <w:szCs w:val="48"/>
        </w:rPr>
        <w:t>南宁轨道交通运营有限公司</w:t>
      </w:r>
    </w:p>
    <w:p>
      <w:pPr>
        <w:jc w:val="center"/>
        <w:rPr>
          <w:rFonts w:ascii="宋体" w:hAnsi="宋体"/>
          <w:kern w:val="0"/>
          <w:sz w:val="48"/>
          <w:szCs w:val="48"/>
        </w:rPr>
      </w:pPr>
      <w:r>
        <w:rPr>
          <w:rFonts w:hint="eastAsia" w:ascii="宋体" w:hAnsi="宋体"/>
          <w:kern w:val="0"/>
          <w:sz w:val="48"/>
          <w:szCs w:val="48"/>
        </w:rPr>
        <w:t>2</w:t>
      </w:r>
      <w:r>
        <w:rPr>
          <w:rFonts w:ascii="宋体" w:hAnsi="宋体"/>
          <w:kern w:val="0"/>
          <w:sz w:val="48"/>
          <w:szCs w:val="48"/>
        </w:rPr>
        <w:t>024年广西电力市场化交易</w:t>
      </w:r>
      <w:r>
        <w:rPr>
          <w:rFonts w:hint="eastAsia" w:ascii="宋体" w:hAnsi="宋体"/>
          <w:kern w:val="0"/>
          <w:sz w:val="48"/>
          <w:szCs w:val="48"/>
        </w:rPr>
        <w:t>项目（重）</w:t>
      </w:r>
    </w:p>
    <w:p>
      <w:pPr>
        <w:jc w:val="center"/>
        <w:rPr>
          <w:rFonts w:ascii="宋体" w:hAnsi="宋体"/>
          <w:kern w:val="0"/>
          <w:sz w:val="48"/>
          <w:szCs w:val="48"/>
        </w:rPr>
      </w:pPr>
      <w:r>
        <w:rPr>
          <w:rFonts w:hint="eastAsia" w:ascii="宋体" w:hAnsi="宋体"/>
          <w:kern w:val="0"/>
          <w:sz w:val="48"/>
          <w:szCs w:val="48"/>
        </w:rPr>
        <w:t>比选申请文件</w:t>
      </w:r>
    </w:p>
    <w:p>
      <w:pPr>
        <w:autoSpaceDE w:val="0"/>
        <w:autoSpaceDN w:val="0"/>
        <w:adjustRightInd w:val="0"/>
        <w:jc w:val="center"/>
        <w:outlineLvl w:val="1"/>
        <w:rPr>
          <w:rFonts w:ascii="华文中宋" w:eastAsia="华文中宋"/>
          <w:kern w:val="0"/>
          <w:sz w:val="48"/>
          <w:szCs w:val="48"/>
        </w:rPr>
      </w:pPr>
      <w:bookmarkStart w:id="231" w:name="_Toc121082021"/>
      <w:r>
        <w:rPr>
          <w:rFonts w:hint="eastAsia" w:ascii="华文中宋" w:eastAsia="华文中宋"/>
          <w:kern w:val="0"/>
          <w:sz w:val="48"/>
          <w:szCs w:val="48"/>
        </w:rPr>
        <w:t>技术文件</w:t>
      </w:r>
      <w:bookmarkEnd w:id="231"/>
    </w:p>
    <w:p>
      <w:pPr>
        <w:autoSpaceDE w:val="0"/>
        <w:autoSpaceDN w:val="0"/>
        <w:adjustRightInd w:val="0"/>
        <w:jc w:val="center"/>
        <w:rPr>
          <w:rFonts w:ascii="宋体" w:hAnsi="宋体"/>
          <w:kern w:val="0"/>
          <w:sz w:val="44"/>
          <w:szCs w:val="44"/>
        </w:rPr>
      </w:pPr>
      <w:r>
        <w:rPr>
          <w:rFonts w:hint="eastAsia" w:ascii="宋体" w:hAnsi="宋体"/>
          <w:kern w:val="0"/>
          <w:sz w:val="44"/>
          <w:szCs w:val="44"/>
        </w:rPr>
        <w:t>（＊本）</w:t>
      </w: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宋体" w:hAnsi="宋体"/>
          <w:kern w:val="0"/>
          <w:sz w:val="28"/>
          <w:szCs w:val="28"/>
        </w:rPr>
      </w:pPr>
      <w:r>
        <w:rPr>
          <w:rFonts w:hint="eastAsia" w:ascii="宋体" w:hAnsi="宋体"/>
          <w:kern w:val="0"/>
          <w:sz w:val="28"/>
          <w:szCs w:val="28"/>
        </w:rPr>
        <w:t>比选申请人：（ 加盖单位公章）</w:t>
      </w:r>
    </w:p>
    <w:p>
      <w:pPr>
        <w:autoSpaceDE w:val="0"/>
        <w:autoSpaceDN w:val="0"/>
        <w:adjustRightInd w:val="0"/>
        <w:rPr>
          <w:rFonts w:ascii="宋体" w:hAnsi="宋体"/>
          <w:kern w:val="0"/>
          <w:sz w:val="28"/>
          <w:szCs w:val="28"/>
        </w:rPr>
      </w:pPr>
      <w:r>
        <w:rPr>
          <w:rFonts w:hint="eastAsia" w:ascii="宋体" w:hAnsi="宋体"/>
          <w:kern w:val="0"/>
          <w:sz w:val="28"/>
          <w:szCs w:val="28"/>
        </w:rPr>
        <w:t>法定代表人或授权委托代理人：（签字或盖章）</w:t>
      </w:r>
    </w:p>
    <w:p>
      <w:pPr>
        <w:autoSpaceDE w:val="0"/>
        <w:autoSpaceDN w:val="0"/>
        <w:adjustRightInd w:val="0"/>
        <w:rPr>
          <w:rFonts w:ascii="宋体" w:hAnsi="宋体"/>
          <w:kern w:val="0"/>
          <w:sz w:val="28"/>
          <w:szCs w:val="28"/>
        </w:rPr>
      </w:pPr>
      <w:r>
        <w:rPr>
          <w:rFonts w:hint="eastAsia" w:ascii="宋体" w:hAnsi="宋体"/>
          <w:kern w:val="0"/>
          <w:sz w:val="28"/>
          <w:szCs w:val="28"/>
        </w:rPr>
        <w:t>电话/传真：</w:t>
      </w:r>
    </w:p>
    <w:p>
      <w:pPr>
        <w:autoSpaceDE w:val="0"/>
        <w:autoSpaceDN w:val="0"/>
        <w:adjustRightInd w:val="0"/>
        <w:rPr>
          <w:rFonts w:ascii="楷体_GB2312" w:eastAsia="楷体_GB2312"/>
          <w:kern w:val="0"/>
          <w:sz w:val="32"/>
        </w:rPr>
      </w:pPr>
      <w:r>
        <w:rPr>
          <w:rFonts w:hint="eastAsia" w:ascii="宋体" w:hAnsi="宋体"/>
          <w:kern w:val="0"/>
          <w:sz w:val="28"/>
          <w:szCs w:val="28"/>
        </w:rPr>
        <w:t>地址：</w:t>
      </w:r>
    </w:p>
    <w:p>
      <w:pPr>
        <w:autoSpaceDE w:val="0"/>
        <w:autoSpaceDN w:val="0"/>
        <w:adjustRightInd w:val="0"/>
        <w:jc w:val="center"/>
        <w:rPr>
          <w:rFonts w:ascii="宋体" w:hAnsi="宋体"/>
          <w:kern w:val="0"/>
          <w:sz w:val="28"/>
          <w:szCs w:val="28"/>
        </w:rPr>
      </w:pPr>
    </w:p>
    <w:p>
      <w:pPr>
        <w:autoSpaceDE w:val="0"/>
        <w:autoSpaceDN w:val="0"/>
        <w:adjustRightInd w:val="0"/>
        <w:jc w:val="center"/>
        <w:rPr>
          <w:rFonts w:ascii="宋体" w:hAnsi="宋体"/>
          <w:kern w:val="0"/>
          <w:sz w:val="28"/>
          <w:szCs w:val="28"/>
        </w:rPr>
      </w:pPr>
      <w:r>
        <w:rPr>
          <w:rFonts w:hint="eastAsia" w:ascii="宋体" w:hAnsi="宋体"/>
          <w:kern w:val="0"/>
          <w:sz w:val="28"/>
          <w:szCs w:val="28"/>
        </w:rPr>
        <w:t>年  月  日</w:t>
      </w: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楷体_GB2312" w:eastAsia="楷体_GB2312"/>
          <w:kern w:val="0"/>
          <w:sz w:val="24"/>
        </w:rPr>
        <w:sectPr>
          <w:headerReference r:id="rId5" w:type="default"/>
          <w:footerReference r:id="rId6" w:type="default"/>
          <w:pgSz w:w="11906" w:h="16838"/>
          <w:pgMar w:top="1134" w:right="1418" w:bottom="1134" w:left="1418" w:header="851" w:footer="567" w:gutter="0"/>
          <w:cols w:space="720" w:num="1"/>
          <w:docGrid w:type="lines" w:linePitch="312" w:charSpace="0"/>
        </w:sectPr>
      </w:pPr>
    </w:p>
    <w:p>
      <w:pPr>
        <w:spacing w:before="156" w:beforeLines="50" w:after="312" w:afterLines="100"/>
        <w:jc w:val="center"/>
        <w:outlineLvl w:val="2"/>
        <w:rPr>
          <w:b/>
          <w:sz w:val="28"/>
          <w:szCs w:val="30"/>
        </w:rPr>
      </w:pPr>
      <w:bookmarkStart w:id="232" w:name="_Toc465934663"/>
      <w:r>
        <w:rPr>
          <w:rFonts w:hint="eastAsia"/>
          <w:b/>
          <w:sz w:val="28"/>
          <w:szCs w:val="30"/>
        </w:rPr>
        <w:t>目  录</w:t>
      </w:r>
      <w:bookmarkEnd w:id="232"/>
      <w:bookmarkStart w:id="233" w:name="_Toc465934664"/>
    </w:p>
    <w:p>
      <w:pPr>
        <w:autoSpaceDE w:val="0"/>
        <w:autoSpaceDN w:val="0"/>
        <w:adjustRightInd w:val="0"/>
        <w:jc w:val="center"/>
        <w:rPr>
          <w:rFonts w:ascii="宋体" w:hAnsi="宋体"/>
          <w:kern w:val="0"/>
          <w:sz w:val="28"/>
          <w:szCs w:val="28"/>
        </w:rPr>
      </w:pPr>
    </w:p>
    <w:bookmarkEnd w:id="233"/>
    <w:p>
      <w:pPr>
        <w:pStyle w:val="51"/>
        <w:numPr>
          <w:ilvl w:val="0"/>
          <w:numId w:val="27"/>
        </w:numPr>
        <w:autoSpaceDE w:val="0"/>
        <w:autoSpaceDN w:val="0"/>
        <w:adjustRightInd w:val="0"/>
        <w:spacing w:line="560" w:lineRule="exact"/>
        <w:ind w:firstLineChars="0"/>
        <w:rPr>
          <w:rFonts w:ascii="宋体" w:hAnsi="宋体"/>
          <w:kern w:val="0"/>
          <w:sz w:val="24"/>
          <w:szCs w:val="24"/>
        </w:rPr>
      </w:pPr>
      <w:r>
        <w:rPr>
          <w:rFonts w:ascii="宋体" w:hAnsi="宋体"/>
          <w:kern w:val="0"/>
          <w:sz w:val="24"/>
          <w:szCs w:val="24"/>
        </w:rPr>
        <w:t>商务</w:t>
      </w:r>
      <w:r>
        <w:rPr>
          <w:rFonts w:hint="eastAsia" w:ascii="宋体" w:hAnsi="宋体"/>
          <w:kern w:val="0"/>
          <w:sz w:val="24"/>
          <w:szCs w:val="24"/>
        </w:rPr>
        <w:t>响应</w:t>
      </w:r>
      <w:r>
        <w:rPr>
          <w:rFonts w:ascii="宋体" w:hAnsi="宋体"/>
          <w:kern w:val="0"/>
          <w:sz w:val="24"/>
          <w:szCs w:val="24"/>
        </w:rPr>
        <w:t>表。</w:t>
      </w:r>
    </w:p>
    <w:p>
      <w:pPr>
        <w:pStyle w:val="51"/>
        <w:numPr>
          <w:ilvl w:val="0"/>
          <w:numId w:val="27"/>
        </w:numPr>
        <w:autoSpaceDE w:val="0"/>
        <w:autoSpaceDN w:val="0"/>
        <w:adjustRightInd w:val="0"/>
        <w:spacing w:line="560" w:lineRule="exact"/>
        <w:ind w:firstLineChars="0"/>
        <w:rPr>
          <w:rFonts w:ascii="宋体" w:hAnsi="宋体"/>
          <w:kern w:val="0"/>
          <w:sz w:val="24"/>
          <w:szCs w:val="24"/>
        </w:rPr>
      </w:pPr>
      <w:bookmarkStart w:id="234" w:name="_Toc465934667"/>
      <w:r>
        <w:rPr>
          <w:rFonts w:hint="eastAsia" w:ascii="宋体" w:hAnsi="宋体"/>
          <w:kern w:val="0"/>
          <w:sz w:val="24"/>
          <w:szCs w:val="24"/>
        </w:rPr>
        <w:t>比选申请人</w:t>
      </w:r>
      <w:bookmarkEnd w:id="234"/>
      <w:bookmarkStart w:id="235" w:name="_Toc465934668"/>
      <w:r>
        <w:rPr>
          <w:rFonts w:hint="eastAsia" w:ascii="宋体" w:hAnsi="宋体"/>
          <w:kern w:val="0"/>
          <w:sz w:val="24"/>
          <w:szCs w:val="24"/>
        </w:rPr>
        <w:t>认为有必要提供的其他有关材料或优惠条件（如有）</w:t>
      </w:r>
      <w:bookmarkEnd w:id="235"/>
      <w:r>
        <w:rPr>
          <w:rFonts w:hint="eastAsia" w:ascii="宋体" w:hAnsi="宋体"/>
          <w:kern w:val="0"/>
          <w:sz w:val="24"/>
          <w:szCs w:val="24"/>
        </w:rPr>
        <w:t>。</w:t>
      </w:r>
    </w:p>
    <w:p>
      <w:pPr>
        <w:widowControl/>
        <w:jc w:val="left"/>
        <w:rPr>
          <w:rFonts w:ascii="宋体" w:hAnsi="宋体"/>
          <w:kern w:val="0"/>
          <w:sz w:val="24"/>
          <w:szCs w:val="24"/>
        </w:rPr>
      </w:pPr>
      <w:r>
        <w:rPr>
          <w:rFonts w:ascii="宋体" w:hAnsi="宋体"/>
          <w:kern w:val="0"/>
          <w:sz w:val="24"/>
          <w:szCs w:val="24"/>
        </w:rPr>
        <w:br w:type="page"/>
      </w:r>
    </w:p>
    <w:p>
      <w:pPr>
        <w:autoSpaceDE w:val="0"/>
        <w:autoSpaceDN w:val="0"/>
        <w:adjustRightInd w:val="0"/>
        <w:spacing w:before="156" w:beforeLines="50" w:after="312" w:afterLines="100"/>
        <w:jc w:val="center"/>
        <w:outlineLvl w:val="2"/>
        <w:rPr>
          <w:rFonts w:ascii="宋体" w:hAnsi="宋体"/>
          <w:b/>
          <w:kern w:val="0"/>
          <w:sz w:val="24"/>
          <w:szCs w:val="24"/>
        </w:rPr>
      </w:pPr>
      <w:r>
        <w:rPr>
          <w:rFonts w:hint="eastAsia" w:ascii="宋体" w:hAnsi="宋体"/>
          <w:b/>
          <w:kern w:val="0"/>
          <w:sz w:val="24"/>
          <w:szCs w:val="24"/>
        </w:rPr>
        <w:t>1</w:t>
      </w:r>
      <w:r>
        <w:rPr>
          <w:rFonts w:ascii="宋体" w:hAnsi="宋体"/>
          <w:b/>
          <w:kern w:val="0"/>
          <w:sz w:val="24"/>
          <w:szCs w:val="24"/>
        </w:rPr>
        <w:t>.</w:t>
      </w:r>
      <w:r>
        <w:rPr>
          <w:rFonts w:hint="eastAsia" w:ascii="宋体" w:hAnsi="宋体"/>
          <w:b/>
          <w:kern w:val="0"/>
          <w:sz w:val="24"/>
          <w:szCs w:val="24"/>
        </w:rPr>
        <w:t>商务响应表</w:t>
      </w:r>
    </w:p>
    <w:p>
      <w:pPr>
        <w:autoSpaceDE w:val="0"/>
        <w:autoSpaceDN w:val="0"/>
        <w:adjustRightInd w:val="0"/>
        <w:spacing w:line="560" w:lineRule="exact"/>
        <w:rPr>
          <w:rFonts w:ascii="宋体" w:hAnsi="宋体"/>
        </w:rPr>
      </w:pPr>
      <w:r>
        <w:rPr>
          <w:rFonts w:hint="eastAsia" w:ascii="宋体" w:hAnsi="宋体"/>
        </w:rPr>
        <w:t>项目名称：</w:t>
      </w:r>
    </w:p>
    <w:tbl>
      <w:tblPr>
        <w:tblStyle w:val="23"/>
        <w:tblW w:w="9465"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2834"/>
        <w:gridCol w:w="1701"/>
        <w:gridCol w:w="2126"/>
        <w:gridCol w:w="198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rPr>
              <w:t>项目</w:t>
            </w:r>
          </w:p>
        </w:tc>
        <w:tc>
          <w:tcPr>
            <w:tcW w:w="2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比选文件要求内容所在章节</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包含内容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比选申请人承诺是否响应比选文件要求</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第二章 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比选申请须知前附表</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比选申请须知正文</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第三章 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合同条款</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第四章用户需求书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用户需求</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bl>
    <w:p>
      <w:pPr>
        <w:autoSpaceDE w:val="0"/>
        <w:autoSpaceDN w:val="0"/>
        <w:adjustRightInd w:val="0"/>
        <w:ind w:firstLine="422" w:firstLineChars="200"/>
        <w:rPr>
          <w:rFonts w:ascii="宋体" w:hAnsi="宋体"/>
          <w:b/>
        </w:rPr>
      </w:pPr>
      <w:r>
        <w:rPr>
          <w:rFonts w:ascii="宋体" w:hAnsi="宋体"/>
          <w:b/>
        </w:rPr>
        <w:t>注</w:t>
      </w:r>
      <w:r>
        <w:rPr>
          <w:rFonts w:hint="eastAsia" w:ascii="宋体" w:hAnsi="宋体"/>
          <w:b/>
        </w:rPr>
        <w:t>：上述响应要求必须全部为“完全响应”，否则，比选申请人将不能通过技术符合性评审。</w:t>
      </w: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ind w:firstLine="4560" w:firstLineChars="1900"/>
        <w:rPr>
          <w:rFonts w:ascii="宋体" w:hAnsi="宋体"/>
          <w:kern w:val="0"/>
          <w:sz w:val="24"/>
          <w:szCs w:val="24"/>
        </w:rPr>
      </w:pPr>
      <w:r>
        <w:rPr>
          <w:rFonts w:ascii="宋体" w:hAnsi="宋体"/>
          <w:kern w:val="0"/>
          <w:sz w:val="24"/>
          <w:szCs w:val="24"/>
        </w:rPr>
        <w:t>比选申请人</w:t>
      </w:r>
      <w:r>
        <w:rPr>
          <w:rFonts w:hint="eastAsia" w:ascii="宋体" w:hAnsi="宋体"/>
          <w:kern w:val="0"/>
          <w:sz w:val="24"/>
          <w:szCs w:val="24"/>
        </w:rPr>
        <w:t>：（盖章）</w:t>
      </w:r>
    </w:p>
    <w:p>
      <w:pPr>
        <w:autoSpaceDE w:val="0"/>
        <w:autoSpaceDN w:val="0"/>
        <w:adjustRightInd w:val="0"/>
        <w:spacing w:line="560" w:lineRule="exact"/>
        <w:ind w:firstLine="4560" w:firstLineChars="1900"/>
        <w:rPr>
          <w:rFonts w:ascii="宋体" w:hAnsi="宋体"/>
          <w:kern w:val="0"/>
          <w:sz w:val="24"/>
          <w:szCs w:val="24"/>
        </w:rPr>
      </w:pPr>
      <w:r>
        <w:rPr>
          <w:rFonts w:hint="eastAsia" w:ascii="宋体" w:hAnsi="宋体"/>
          <w:kern w:val="0"/>
          <w:sz w:val="24"/>
          <w:szCs w:val="24"/>
        </w:rPr>
        <w:t>法定代表人或被授权人：（签字或盖章）</w:t>
      </w:r>
    </w:p>
    <w:p>
      <w:pPr>
        <w:autoSpaceDE w:val="0"/>
        <w:autoSpaceDN w:val="0"/>
        <w:adjustRightInd w:val="0"/>
        <w:spacing w:line="560" w:lineRule="exact"/>
        <w:ind w:left="60" w:firstLine="4560" w:firstLineChars="1900"/>
        <w:rPr>
          <w:rFonts w:ascii="宋体" w:hAnsi="宋体"/>
          <w:kern w:val="0"/>
          <w:sz w:val="24"/>
          <w:szCs w:val="24"/>
        </w:rPr>
      </w:pPr>
      <w:r>
        <w:rPr>
          <w:rFonts w:ascii="宋体" w:hAnsi="宋体"/>
          <w:kern w:val="0"/>
          <w:sz w:val="24"/>
          <w:szCs w:val="24"/>
        </w:rPr>
        <w:t>日期</w:t>
      </w:r>
      <w:r>
        <w:rPr>
          <w:rFonts w:hint="eastAsia" w:ascii="宋体" w:hAnsi="宋体"/>
          <w:kern w:val="0"/>
          <w:sz w:val="24"/>
          <w:szCs w:val="24"/>
        </w:rPr>
        <w:t xml:space="preserve">： </w:t>
      </w:r>
      <w:r>
        <w:rPr>
          <w:rFonts w:ascii="宋体" w:hAnsi="宋体"/>
          <w:kern w:val="0"/>
          <w:sz w:val="24"/>
          <w:szCs w:val="24"/>
        </w:rPr>
        <w:t xml:space="preserve">   年</w:t>
      </w:r>
      <w:r>
        <w:rPr>
          <w:rFonts w:hint="eastAsia" w:ascii="宋体" w:hAnsi="宋体"/>
          <w:kern w:val="0"/>
          <w:sz w:val="24"/>
          <w:szCs w:val="24"/>
        </w:rPr>
        <w:t xml:space="preserve"> </w:t>
      </w:r>
      <w:r>
        <w:rPr>
          <w:rFonts w:ascii="宋体" w:hAnsi="宋体"/>
          <w:kern w:val="0"/>
          <w:sz w:val="24"/>
          <w:szCs w:val="24"/>
        </w:rPr>
        <w:t xml:space="preserve"> 月</w:t>
      </w:r>
      <w:r>
        <w:rPr>
          <w:rFonts w:hint="eastAsia" w:ascii="宋体" w:hAnsi="宋体"/>
          <w:kern w:val="0"/>
          <w:sz w:val="24"/>
          <w:szCs w:val="24"/>
        </w:rPr>
        <w:t xml:space="preserve"> </w:t>
      </w:r>
      <w:r>
        <w:rPr>
          <w:rFonts w:ascii="宋体" w:hAnsi="宋体"/>
          <w:kern w:val="0"/>
          <w:sz w:val="24"/>
          <w:szCs w:val="24"/>
        </w:rPr>
        <w:t xml:space="preserve"> 日</w:t>
      </w: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outlineLvl w:val="2"/>
        <w:rPr>
          <w:rFonts w:ascii="宋体" w:hAnsi="宋体"/>
          <w:kern w:val="0"/>
          <w:sz w:val="24"/>
          <w:szCs w:val="24"/>
        </w:rPr>
      </w:pPr>
      <w:r>
        <w:rPr>
          <w:rFonts w:hint="eastAsia" w:ascii="宋体" w:hAnsi="宋体"/>
          <w:kern w:val="0"/>
          <w:sz w:val="24"/>
          <w:szCs w:val="24"/>
        </w:rPr>
        <w:t>2</w:t>
      </w:r>
      <w:r>
        <w:rPr>
          <w:rFonts w:ascii="宋体" w:hAnsi="宋体"/>
          <w:kern w:val="0"/>
          <w:sz w:val="24"/>
          <w:szCs w:val="24"/>
        </w:rPr>
        <w:t>.</w:t>
      </w:r>
      <w:r>
        <w:rPr>
          <w:rFonts w:hint="eastAsia" w:ascii="宋体" w:hAnsi="宋体"/>
          <w:kern w:val="0"/>
          <w:sz w:val="24"/>
          <w:szCs w:val="24"/>
        </w:rPr>
        <w:t>比选申请人认为有必要提供的其他有关材料或优惠条件（如有）。</w:t>
      </w:r>
    </w:p>
    <w:p>
      <w:pPr>
        <w:widowControl/>
        <w:jc w:val="left"/>
        <w:rPr>
          <w:rFonts w:ascii="宋体" w:hAnsi="宋体"/>
          <w:kern w:val="0"/>
          <w:sz w:val="24"/>
          <w:szCs w:val="24"/>
        </w:rPr>
      </w:pPr>
      <w:r>
        <w:rPr>
          <w:rFonts w:ascii="宋体" w:hAnsi="宋体"/>
          <w:kern w:val="0"/>
          <w:sz w:val="24"/>
          <w:szCs w:val="24"/>
        </w:rPr>
        <w:br w:type="page"/>
      </w:r>
    </w:p>
    <w:p>
      <w:pPr>
        <w:jc w:val="center"/>
        <w:rPr>
          <w:rFonts w:ascii="宋体" w:hAnsi="宋体"/>
          <w:kern w:val="0"/>
          <w:sz w:val="48"/>
          <w:szCs w:val="48"/>
        </w:rPr>
      </w:pPr>
    </w:p>
    <w:p>
      <w:pPr>
        <w:jc w:val="center"/>
        <w:rPr>
          <w:rFonts w:ascii="宋体" w:hAnsi="宋体"/>
          <w:kern w:val="0"/>
          <w:sz w:val="48"/>
          <w:szCs w:val="48"/>
        </w:rPr>
      </w:pPr>
    </w:p>
    <w:p>
      <w:pPr>
        <w:jc w:val="center"/>
        <w:rPr>
          <w:rFonts w:ascii="宋体" w:hAnsi="宋体"/>
          <w:kern w:val="0"/>
          <w:sz w:val="48"/>
          <w:szCs w:val="48"/>
        </w:rPr>
      </w:pPr>
    </w:p>
    <w:p>
      <w:pPr>
        <w:jc w:val="center"/>
        <w:rPr>
          <w:rFonts w:ascii="宋体" w:hAnsi="宋体"/>
          <w:kern w:val="0"/>
          <w:sz w:val="48"/>
          <w:szCs w:val="48"/>
        </w:rPr>
      </w:pPr>
      <w:r>
        <w:rPr>
          <w:rFonts w:hint="eastAsia" w:ascii="宋体" w:hAnsi="宋体"/>
          <w:kern w:val="0"/>
          <w:sz w:val="48"/>
          <w:szCs w:val="48"/>
        </w:rPr>
        <w:t>南宁轨道交通运营有限公司</w:t>
      </w:r>
    </w:p>
    <w:p>
      <w:pPr>
        <w:jc w:val="center"/>
        <w:rPr>
          <w:rFonts w:ascii="宋体" w:hAnsi="宋体"/>
          <w:kern w:val="0"/>
          <w:sz w:val="48"/>
          <w:szCs w:val="48"/>
        </w:rPr>
      </w:pPr>
      <w:r>
        <w:rPr>
          <w:rFonts w:hint="eastAsia" w:ascii="宋体" w:hAnsi="宋体"/>
          <w:kern w:val="0"/>
          <w:sz w:val="48"/>
          <w:szCs w:val="48"/>
        </w:rPr>
        <w:t>2</w:t>
      </w:r>
      <w:r>
        <w:rPr>
          <w:rFonts w:ascii="宋体" w:hAnsi="宋体"/>
          <w:kern w:val="0"/>
          <w:sz w:val="48"/>
          <w:szCs w:val="48"/>
        </w:rPr>
        <w:t>024年广西电力市场化交易</w:t>
      </w:r>
      <w:r>
        <w:rPr>
          <w:rFonts w:hint="eastAsia" w:ascii="宋体" w:hAnsi="宋体"/>
          <w:kern w:val="0"/>
          <w:sz w:val="48"/>
          <w:szCs w:val="48"/>
        </w:rPr>
        <w:t>项目（重）</w:t>
      </w:r>
    </w:p>
    <w:p>
      <w:pPr>
        <w:jc w:val="center"/>
        <w:rPr>
          <w:rFonts w:ascii="宋体" w:hAnsi="宋体"/>
          <w:kern w:val="0"/>
          <w:sz w:val="48"/>
          <w:szCs w:val="48"/>
        </w:rPr>
      </w:pPr>
      <w:r>
        <w:rPr>
          <w:rFonts w:hint="eastAsia" w:ascii="宋体" w:hAnsi="宋体"/>
          <w:kern w:val="0"/>
          <w:sz w:val="48"/>
          <w:szCs w:val="48"/>
        </w:rPr>
        <w:t>比选申请文件</w:t>
      </w:r>
    </w:p>
    <w:p>
      <w:pPr>
        <w:autoSpaceDE w:val="0"/>
        <w:autoSpaceDN w:val="0"/>
        <w:adjustRightInd w:val="0"/>
        <w:jc w:val="center"/>
        <w:outlineLvl w:val="1"/>
        <w:rPr>
          <w:rFonts w:ascii="华文中宋" w:eastAsia="华文中宋"/>
          <w:kern w:val="0"/>
          <w:sz w:val="48"/>
          <w:szCs w:val="48"/>
        </w:rPr>
      </w:pPr>
      <w:bookmarkStart w:id="236" w:name="_Toc121082022"/>
      <w:r>
        <w:rPr>
          <w:rFonts w:hint="eastAsia" w:ascii="华文中宋" w:eastAsia="华文中宋"/>
          <w:kern w:val="0"/>
          <w:sz w:val="48"/>
          <w:szCs w:val="48"/>
        </w:rPr>
        <w:t>商务文件</w:t>
      </w:r>
      <w:bookmarkEnd w:id="236"/>
    </w:p>
    <w:p>
      <w:pPr>
        <w:autoSpaceDE w:val="0"/>
        <w:autoSpaceDN w:val="0"/>
        <w:adjustRightInd w:val="0"/>
        <w:jc w:val="center"/>
        <w:rPr>
          <w:rFonts w:ascii="宋体" w:hAnsi="宋体"/>
          <w:kern w:val="0"/>
          <w:sz w:val="32"/>
          <w:szCs w:val="32"/>
        </w:rPr>
      </w:pPr>
      <w:r>
        <w:rPr>
          <w:rFonts w:hint="eastAsia" w:ascii="宋体" w:hAnsi="宋体"/>
          <w:kern w:val="0"/>
          <w:sz w:val="32"/>
          <w:szCs w:val="32"/>
        </w:rPr>
        <w:t>（＊本）</w:t>
      </w: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宋体" w:hAnsi="宋体"/>
          <w:kern w:val="0"/>
          <w:sz w:val="28"/>
          <w:szCs w:val="28"/>
        </w:rPr>
      </w:pPr>
    </w:p>
    <w:p>
      <w:pPr>
        <w:autoSpaceDE w:val="0"/>
        <w:autoSpaceDN w:val="0"/>
        <w:adjustRightInd w:val="0"/>
        <w:rPr>
          <w:rFonts w:ascii="宋体" w:hAnsi="宋体"/>
          <w:kern w:val="0"/>
          <w:sz w:val="28"/>
          <w:szCs w:val="28"/>
        </w:rPr>
      </w:pPr>
      <w:r>
        <w:rPr>
          <w:rFonts w:hint="eastAsia" w:ascii="宋体" w:hAnsi="宋体"/>
          <w:kern w:val="0"/>
          <w:sz w:val="28"/>
          <w:szCs w:val="28"/>
        </w:rPr>
        <w:t>比选申请人：（ 加盖单位公章）</w:t>
      </w:r>
    </w:p>
    <w:p>
      <w:pPr>
        <w:autoSpaceDE w:val="0"/>
        <w:autoSpaceDN w:val="0"/>
        <w:adjustRightInd w:val="0"/>
        <w:rPr>
          <w:rFonts w:ascii="宋体" w:hAnsi="宋体"/>
          <w:kern w:val="0"/>
          <w:sz w:val="28"/>
          <w:szCs w:val="28"/>
        </w:rPr>
      </w:pPr>
      <w:r>
        <w:rPr>
          <w:rFonts w:hint="eastAsia" w:ascii="宋体" w:hAnsi="宋体"/>
          <w:kern w:val="0"/>
          <w:sz w:val="28"/>
          <w:szCs w:val="28"/>
        </w:rPr>
        <w:t>法定代表人或授权委托代理人：（签字或盖章）</w:t>
      </w:r>
    </w:p>
    <w:p>
      <w:pPr>
        <w:autoSpaceDE w:val="0"/>
        <w:autoSpaceDN w:val="0"/>
        <w:adjustRightInd w:val="0"/>
        <w:rPr>
          <w:rFonts w:ascii="宋体" w:hAnsi="宋体"/>
          <w:kern w:val="0"/>
          <w:sz w:val="28"/>
          <w:szCs w:val="28"/>
        </w:rPr>
      </w:pPr>
      <w:r>
        <w:rPr>
          <w:rFonts w:hint="eastAsia" w:ascii="宋体" w:hAnsi="宋体"/>
          <w:kern w:val="0"/>
          <w:sz w:val="28"/>
          <w:szCs w:val="28"/>
        </w:rPr>
        <w:t>电话/传真：</w:t>
      </w:r>
    </w:p>
    <w:p>
      <w:pPr>
        <w:autoSpaceDE w:val="0"/>
        <w:autoSpaceDN w:val="0"/>
        <w:adjustRightInd w:val="0"/>
        <w:rPr>
          <w:rFonts w:ascii="宋体" w:hAnsi="宋体"/>
          <w:kern w:val="0"/>
          <w:sz w:val="28"/>
          <w:szCs w:val="28"/>
        </w:rPr>
      </w:pPr>
      <w:r>
        <w:rPr>
          <w:rFonts w:hint="eastAsia" w:ascii="宋体" w:hAnsi="宋体"/>
          <w:kern w:val="0"/>
          <w:sz w:val="28"/>
          <w:szCs w:val="28"/>
        </w:rPr>
        <w:t>地址：</w:t>
      </w:r>
    </w:p>
    <w:p>
      <w:pPr>
        <w:autoSpaceDE w:val="0"/>
        <w:autoSpaceDN w:val="0"/>
        <w:adjustRightInd w:val="0"/>
        <w:rPr>
          <w:rFonts w:ascii="宋体" w:hAnsi="宋体"/>
          <w:kern w:val="0"/>
          <w:sz w:val="28"/>
          <w:szCs w:val="28"/>
        </w:rPr>
      </w:pPr>
    </w:p>
    <w:p>
      <w:pPr>
        <w:autoSpaceDE w:val="0"/>
        <w:autoSpaceDN w:val="0"/>
        <w:adjustRightInd w:val="0"/>
        <w:jc w:val="center"/>
        <w:rPr>
          <w:rFonts w:ascii="宋体" w:hAnsi="宋体"/>
          <w:kern w:val="0"/>
          <w:sz w:val="28"/>
          <w:szCs w:val="28"/>
        </w:rPr>
      </w:pPr>
      <w:r>
        <w:rPr>
          <w:rFonts w:hint="eastAsia" w:ascii="宋体" w:hAnsi="宋体"/>
          <w:kern w:val="0"/>
          <w:sz w:val="28"/>
          <w:szCs w:val="28"/>
        </w:rPr>
        <w:t>年 月 日</w:t>
      </w:r>
    </w:p>
    <w:p>
      <w:pPr>
        <w:autoSpaceDE w:val="0"/>
        <w:autoSpaceDN w:val="0"/>
        <w:adjustRightInd w:val="0"/>
        <w:spacing w:line="360" w:lineRule="auto"/>
        <w:jc w:val="center"/>
        <w:rPr>
          <w:rFonts w:ascii="楷体_GB2312" w:eastAsia="楷体_GB2312"/>
          <w:kern w:val="0"/>
          <w:sz w:val="24"/>
        </w:rPr>
        <w:sectPr>
          <w:pgSz w:w="11906" w:h="16838"/>
          <w:pgMar w:top="1134" w:right="1418" w:bottom="1134" w:left="1418" w:header="851" w:footer="567" w:gutter="0"/>
          <w:cols w:space="720" w:num="1"/>
          <w:docGrid w:type="lines" w:linePitch="312" w:charSpace="0"/>
        </w:sectPr>
      </w:pPr>
    </w:p>
    <w:p>
      <w:pPr>
        <w:autoSpaceDE w:val="0"/>
        <w:autoSpaceDN w:val="0"/>
        <w:adjustRightInd w:val="0"/>
        <w:spacing w:line="360" w:lineRule="auto"/>
        <w:jc w:val="center"/>
        <w:rPr>
          <w:rFonts w:ascii="宋体" w:hAnsi="宋体"/>
          <w:kern w:val="0"/>
          <w:sz w:val="24"/>
        </w:rPr>
      </w:pPr>
      <w:r>
        <w:rPr>
          <w:rFonts w:hint="eastAsia" w:ascii="宋体" w:hAnsi="宋体"/>
          <w:b/>
          <w:kern w:val="0"/>
          <w:sz w:val="28"/>
          <w:szCs w:val="28"/>
        </w:rPr>
        <w:t>目   录</w:t>
      </w:r>
    </w:p>
    <w:p>
      <w:pPr>
        <w:numPr>
          <w:ilvl w:val="0"/>
          <w:numId w:val="28"/>
        </w:numPr>
        <w:autoSpaceDE w:val="0"/>
        <w:autoSpaceDN w:val="0"/>
        <w:adjustRightInd w:val="0"/>
        <w:spacing w:line="360" w:lineRule="auto"/>
        <w:jc w:val="left"/>
        <w:rPr>
          <w:rFonts w:ascii="宋体" w:hAnsi="宋体"/>
          <w:kern w:val="0"/>
          <w:sz w:val="24"/>
        </w:rPr>
      </w:pPr>
      <w:r>
        <w:rPr>
          <w:rFonts w:hint="eastAsia" w:ascii="宋体" w:hAnsi="宋体"/>
          <w:kern w:val="0"/>
          <w:sz w:val="24"/>
        </w:rPr>
        <w:t>比选申请函；</w:t>
      </w:r>
    </w:p>
    <w:p>
      <w:pPr>
        <w:numPr>
          <w:ilvl w:val="0"/>
          <w:numId w:val="28"/>
        </w:numPr>
        <w:autoSpaceDE w:val="0"/>
        <w:autoSpaceDN w:val="0"/>
        <w:adjustRightInd w:val="0"/>
        <w:spacing w:line="360" w:lineRule="auto"/>
        <w:rPr>
          <w:rFonts w:ascii="宋体" w:hAnsi="宋体"/>
          <w:kern w:val="0"/>
          <w:sz w:val="24"/>
        </w:rPr>
      </w:pPr>
      <w:r>
        <w:rPr>
          <w:rFonts w:hint="eastAsia" w:ascii="宋体" w:hAnsi="宋体"/>
          <w:kern w:val="0"/>
          <w:sz w:val="24"/>
        </w:rPr>
        <w:t>分项报价表。</w:t>
      </w:r>
    </w:p>
    <w:p>
      <w:pPr>
        <w:widowControl/>
        <w:jc w:val="left"/>
        <w:rPr>
          <w:rFonts w:ascii="宋体" w:hAnsi="宋体"/>
          <w:kern w:val="0"/>
          <w:sz w:val="24"/>
        </w:rPr>
      </w:pPr>
      <w:r>
        <w:rPr>
          <w:rFonts w:ascii="宋体" w:hAnsi="宋体"/>
          <w:kern w:val="0"/>
          <w:sz w:val="24"/>
        </w:rPr>
        <w:br w:type="page"/>
      </w:r>
    </w:p>
    <w:p>
      <w:pPr>
        <w:autoSpaceDE w:val="0"/>
        <w:autoSpaceDN w:val="0"/>
        <w:adjustRightInd w:val="0"/>
        <w:spacing w:line="360" w:lineRule="auto"/>
        <w:jc w:val="center"/>
        <w:outlineLvl w:val="2"/>
        <w:rPr>
          <w:rFonts w:ascii="宋体" w:hAnsi="宋体"/>
          <w:b/>
          <w:kern w:val="0"/>
          <w:sz w:val="30"/>
          <w:szCs w:val="30"/>
        </w:rPr>
      </w:pPr>
      <w:bookmarkStart w:id="237" w:name="_Toc114052393"/>
      <w:bookmarkStart w:id="238" w:name="_Toc114052453"/>
      <w:r>
        <w:rPr>
          <w:rFonts w:hint="eastAsia" w:ascii="宋体" w:hAnsi="宋体"/>
          <w:b/>
          <w:kern w:val="0"/>
          <w:sz w:val="30"/>
          <w:szCs w:val="30"/>
        </w:rPr>
        <w:t>1、比选申请函</w:t>
      </w:r>
    </w:p>
    <w:p>
      <w:pPr>
        <w:autoSpaceDE w:val="0"/>
        <w:autoSpaceDN w:val="0"/>
        <w:adjustRightInd w:val="0"/>
        <w:spacing w:line="360" w:lineRule="auto"/>
        <w:jc w:val="left"/>
        <w:rPr>
          <w:rFonts w:ascii="楷体_GB2312" w:eastAsia="楷体_GB2312"/>
          <w:b/>
          <w:kern w:val="0"/>
          <w:sz w:val="24"/>
          <w:u w:val="single"/>
        </w:rPr>
      </w:pPr>
    </w:p>
    <w:p>
      <w:pPr>
        <w:autoSpaceDE w:val="0"/>
        <w:autoSpaceDN w:val="0"/>
        <w:adjustRightInd w:val="0"/>
        <w:spacing w:line="360" w:lineRule="auto"/>
        <w:ind w:firstLine="480" w:firstLineChars="200"/>
        <w:jc w:val="left"/>
        <w:rPr>
          <w:rFonts w:ascii="宋体" w:hAnsi="宋体"/>
          <w:b/>
          <w:kern w:val="0"/>
          <w:sz w:val="24"/>
        </w:rPr>
      </w:pPr>
      <w:r>
        <w:rPr>
          <w:rFonts w:hint="eastAsia" w:ascii="宋体" w:hAnsi="宋体"/>
          <w:kern w:val="0"/>
          <w:sz w:val="24"/>
        </w:rPr>
        <w:t>致：</w:t>
      </w:r>
      <w:bookmarkEnd w:id="237"/>
      <w:bookmarkEnd w:id="238"/>
      <w:r>
        <w:rPr>
          <w:rFonts w:hint="eastAsia" w:ascii="宋体" w:hAnsi="宋体"/>
          <w:kern w:val="0"/>
          <w:sz w:val="24"/>
        </w:rPr>
        <w:t>南宁轨道交通运营有限公司</w:t>
      </w:r>
      <w:bookmarkStart w:id="239" w:name="_Toc114052394"/>
    </w:p>
    <w:bookmarkEnd w:id="239"/>
    <w:p>
      <w:pPr>
        <w:spacing w:line="360" w:lineRule="auto"/>
        <w:ind w:firstLine="480" w:firstLineChars="200"/>
        <w:rPr>
          <w:rFonts w:ascii="宋体" w:hAnsi="宋体"/>
          <w:kern w:val="0"/>
          <w:sz w:val="24"/>
        </w:rPr>
      </w:pPr>
      <w:r>
        <w:rPr>
          <w:rFonts w:hint="eastAsia" w:ascii="宋体" w:hAnsi="宋体"/>
          <w:kern w:val="0"/>
          <w:sz w:val="24"/>
        </w:rPr>
        <w:t>根据</w:t>
      </w:r>
      <w:r>
        <w:rPr>
          <w:rFonts w:hint="eastAsia" w:ascii="宋体" w:hAnsi="宋体" w:cs="宋体"/>
          <w:kern w:val="0"/>
          <w:sz w:val="24"/>
          <w:szCs w:val="24"/>
          <w:u w:val="single"/>
        </w:rPr>
        <w:t>南宁轨道交通运营有限公司2024年广西电力市场化交易项目（重）</w:t>
      </w:r>
      <w:r>
        <w:rPr>
          <w:rFonts w:hint="eastAsia" w:ascii="宋体" w:hAnsi="宋体"/>
          <w:kern w:val="0"/>
          <w:sz w:val="24"/>
        </w:rPr>
        <w:t>的比选公告，遵照国家相关法律、法规的规定，我单位经考察现场和研究上述比选文件的须知、合同条件、技术规范和其他有关文件后，签字人</w:t>
      </w:r>
      <w:r>
        <w:rPr>
          <w:rFonts w:ascii="宋体" w:hAnsi="宋体"/>
          <w:kern w:val="0"/>
          <w:sz w:val="24"/>
          <w:u w:val="single"/>
        </w:rPr>
        <w:t xml:space="preserve">   </w:t>
      </w:r>
      <w:r>
        <w:rPr>
          <w:rFonts w:hint="eastAsia" w:ascii="宋体" w:hAnsi="宋体"/>
          <w:kern w:val="0"/>
          <w:sz w:val="24"/>
          <w:u w:val="single"/>
        </w:rPr>
        <w:t xml:space="preserve">(全名、职务) </w:t>
      </w:r>
      <w:r>
        <w:rPr>
          <w:rFonts w:ascii="宋体" w:hAnsi="宋体"/>
          <w:kern w:val="0"/>
          <w:sz w:val="24"/>
          <w:u w:val="single"/>
        </w:rPr>
        <w:t xml:space="preserve">  </w:t>
      </w:r>
      <w:r>
        <w:rPr>
          <w:rFonts w:hint="eastAsia" w:ascii="宋体" w:hAnsi="宋体"/>
          <w:kern w:val="0"/>
          <w:sz w:val="24"/>
        </w:rPr>
        <w:t>经正式授权并代表比选申请人</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（比选申请人名称、地址） </w:t>
      </w:r>
      <w:r>
        <w:rPr>
          <w:rFonts w:ascii="宋体" w:hAnsi="宋体"/>
          <w:kern w:val="0"/>
          <w:sz w:val="24"/>
          <w:u w:val="single"/>
        </w:rPr>
        <w:t xml:space="preserve">   </w:t>
      </w:r>
      <w:r>
        <w:rPr>
          <w:rFonts w:hint="eastAsia" w:ascii="宋体" w:hAnsi="宋体"/>
          <w:kern w:val="0"/>
          <w:sz w:val="24"/>
        </w:rPr>
        <w:t xml:space="preserve">提交比选申请文件正本1份、副本 4份及电子文件 </w:t>
      </w:r>
      <w:r>
        <w:rPr>
          <w:rFonts w:ascii="宋体" w:hAnsi="宋体"/>
          <w:kern w:val="0"/>
          <w:sz w:val="24"/>
        </w:rPr>
        <w:t>1</w:t>
      </w:r>
      <w:r>
        <w:rPr>
          <w:rFonts w:hint="eastAsia" w:ascii="宋体" w:hAnsi="宋体"/>
          <w:kern w:val="0"/>
          <w:sz w:val="24"/>
        </w:rPr>
        <w:t xml:space="preserve"> 份（U盘）。</w:t>
      </w:r>
    </w:p>
    <w:p>
      <w:pPr>
        <w:spacing w:line="360" w:lineRule="auto"/>
        <w:ind w:firstLine="480" w:firstLineChars="200"/>
        <w:rPr>
          <w:rFonts w:ascii="宋体" w:hAnsi="宋体"/>
          <w:kern w:val="0"/>
          <w:sz w:val="24"/>
        </w:rPr>
      </w:pPr>
      <w:r>
        <w:rPr>
          <w:rFonts w:hint="eastAsia" w:ascii="宋体" w:hAnsi="宋体"/>
          <w:kern w:val="0"/>
          <w:sz w:val="24"/>
        </w:rPr>
        <w:t>据此，签字人宣布同意如下：</w:t>
      </w:r>
    </w:p>
    <w:p>
      <w:pPr>
        <w:spacing w:line="360" w:lineRule="auto"/>
        <w:ind w:firstLine="480" w:firstLineChars="200"/>
        <w:rPr>
          <w:rFonts w:ascii="宋体" w:hAnsi="宋体"/>
          <w:kern w:val="0"/>
          <w:sz w:val="24"/>
        </w:rPr>
      </w:pPr>
      <w:r>
        <w:rPr>
          <w:rFonts w:hint="eastAsia" w:ascii="宋体" w:hAnsi="宋体"/>
          <w:kern w:val="0"/>
          <w:sz w:val="24"/>
        </w:rPr>
        <w:t>1.按比选文件要求规定的应提交和交付的交易电量和服务。</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2.我方根据比选文件的规定，承担合同的责任和义务。</w:t>
      </w:r>
    </w:p>
    <w:p>
      <w:pPr>
        <w:autoSpaceDE w:val="0"/>
        <w:autoSpaceDN w:val="0"/>
        <w:adjustRightInd w:val="0"/>
        <w:spacing w:line="360" w:lineRule="auto"/>
        <w:ind w:firstLine="480" w:firstLineChars="200"/>
        <w:rPr>
          <w:rFonts w:ascii="宋体" w:hAnsi="宋体"/>
          <w:kern w:val="0"/>
          <w:sz w:val="24"/>
        </w:rPr>
      </w:pPr>
      <w:r>
        <w:rPr>
          <w:rFonts w:ascii="宋体" w:hAnsi="宋体"/>
          <w:kern w:val="0"/>
          <w:sz w:val="24"/>
        </w:rPr>
        <w:t>3.</w:t>
      </w:r>
      <w:r>
        <w:rPr>
          <w:rFonts w:hint="eastAsia" w:ascii="宋体" w:hAnsi="宋体"/>
          <w:kern w:val="0"/>
          <w:sz w:val="24"/>
        </w:rPr>
        <w:t>我方已详细核查全部比选申请文件，包括修改文件（如有的话）以及全部接口资料和有关附件。我们完全理解并同意放弃对这方面有不明及误解的权利。</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4.同意向贵方提供贵方可能要求的与本比选有关的任何数据或资料。</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5.如果在规定的比选文件递交时间后，我公司在比选申请有效期内撤销比选申请，所造成的损失我公司承担。</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6.我方将严格遵守国家相关法律、法规的规定，知悉作为供应商应负的法律责任。</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7.与本项目比选有关的正式通讯地址为：</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比选申请人名称：</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（全称并加盖公章） </w:t>
      </w:r>
      <w:r>
        <w:rPr>
          <w:rFonts w:ascii="宋体" w:hAnsi="宋体"/>
          <w:kern w:val="0"/>
          <w:sz w:val="24"/>
          <w:u w:val="single"/>
        </w:rPr>
        <w:t xml:space="preserve"> </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法定代表人或授权委托代理人：（签字或盖章）</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 xml:space="preserve">地址： </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邮政编码：</w:t>
      </w:r>
    </w:p>
    <w:p>
      <w:pPr>
        <w:autoSpaceDE w:val="0"/>
        <w:autoSpaceDN w:val="0"/>
        <w:adjustRightInd w:val="0"/>
        <w:spacing w:line="360" w:lineRule="auto"/>
        <w:ind w:firstLine="840" w:firstLineChars="350"/>
        <w:rPr>
          <w:rFonts w:ascii="宋体" w:hAnsi="宋体"/>
          <w:kern w:val="0"/>
          <w:sz w:val="24"/>
          <w:u w:val="single"/>
        </w:rPr>
      </w:pPr>
      <w:r>
        <w:rPr>
          <w:rFonts w:hint="eastAsia" w:ascii="宋体" w:hAnsi="宋体"/>
          <w:kern w:val="0"/>
          <w:sz w:val="24"/>
        </w:rPr>
        <w:t>电话、电报、传真或电传：</w:t>
      </w:r>
    </w:p>
    <w:p>
      <w:pPr>
        <w:autoSpaceDE w:val="0"/>
        <w:autoSpaceDN w:val="0"/>
        <w:adjustRightInd w:val="0"/>
        <w:spacing w:line="360" w:lineRule="auto"/>
        <w:ind w:firstLine="840" w:firstLineChars="350"/>
        <w:rPr>
          <w:rFonts w:ascii="宋体" w:hAnsi="宋体"/>
          <w:kern w:val="0"/>
          <w:sz w:val="24"/>
          <w:u w:val="single"/>
        </w:rPr>
      </w:pPr>
      <w:r>
        <w:rPr>
          <w:rFonts w:hint="eastAsia" w:ascii="宋体" w:hAnsi="宋体"/>
          <w:kern w:val="0"/>
          <w:sz w:val="24"/>
        </w:rPr>
        <w:t>日期：     年  月  日</w:t>
      </w:r>
    </w:p>
    <w:p>
      <w:pPr>
        <w:autoSpaceDE w:val="0"/>
        <w:autoSpaceDN w:val="0"/>
        <w:adjustRightInd w:val="0"/>
        <w:spacing w:line="360" w:lineRule="auto"/>
        <w:rPr>
          <w:rFonts w:ascii="宋体" w:hAnsi="宋体"/>
          <w:b/>
          <w:kern w:val="0"/>
          <w:sz w:val="24"/>
        </w:rPr>
        <w:sectPr>
          <w:pgSz w:w="11906" w:h="16838"/>
          <w:pgMar w:top="1134" w:right="1418" w:bottom="1134" w:left="1418" w:header="851" w:footer="567" w:gutter="0"/>
          <w:cols w:space="720" w:num="1"/>
          <w:docGrid w:type="lines" w:linePitch="312" w:charSpace="0"/>
        </w:sectPr>
      </w:pPr>
      <w:r>
        <w:rPr>
          <w:rFonts w:hint="eastAsia" w:ascii="宋体" w:hAnsi="宋体"/>
          <w:b/>
          <w:kern w:val="0"/>
          <w:sz w:val="24"/>
        </w:rPr>
        <w:t>注：未按照本比选申请函要求填报的比选申请函将被视为非实质性响应。</w:t>
      </w:r>
      <w:bookmarkStart w:id="240" w:name="_Toc465934669"/>
    </w:p>
    <w:p>
      <w:pPr>
        <w:autoSpaceDE w:val="0"/>
        <w:autoSpaceDN w:val="0"/>
        <w:adjustRightInd w:val="0"/>
        <w:spacing w:line="360" w:lineRule="auto"/>
        <w:jc w:val="center"/>
        <w:outlineLvl w:val="2"/>
        <w:rPr>
          <w:rFonts w:ascii="宋体" w:hAnsi="宋体"/>
          <w:b/>
          <w:kern w:val="0"/>
          <w:sz w:val="30"/>
          <w:szCs w:val="30"/>
        </w:rPr>
      </w:pPr>
      <w:bookmarkStart w:id="241" w:name="_Toc436771495"/>
      <w:r>
        <w:rPr>
          <w:rFonts w:hint="eastAsia" w:ascii="宋体" w:hAnsi="宋体"/>
          <w:b/>
          <w:kern w:val="0"/>
          <w:sz w:val="30"/>
          <w:szCs w:val="30"/>
        </w:rPr>
        <w:t>2、分项报价表 (含税)</w:t>
      </w:r>
    </w:p>
    <w:p>
      <w:pPr>
        <w:autoSpaceDE w:val="0"/>
        <w:autoSpaceDN w:val="0"/>
        <w:adjustRightInd w:val="0"/>
        <w:spacing w:line="360" w:lineRule="auto"/>
        <w:jc w:val="center"/>
        <w:rPr>
          <w:rFonts w:ascii="宋体" w:hAnsi="宋体"/>
          <w:kern w:val="0"/>
          <w:sz w:val="24"/>
        </w:rPr>
      </w:pPr>
    </w:p>
    <w:bookmarkEnd w:id="240"/>
    <w:bookmarkEnd w:id="241"/>
    <w:tbl>
      <w:tblPr>
        <w:tblStyle w:val="24"/>
        <w:tblW w:w="41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5"/>
        <w:gridCol w:w="2557"/>
        <w:gridCol w:w="2138"/>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3" w:type="pct"/>
            <w:vAlign w:val="center"/>
          </w:tcPr>
          <w:p>
            <w:pPr>
              <w:jc w:val="center"/>
            </w:pPr>
            <w:r>
              <w:t>项目</w:t>
            </w:r>
          </w:p>
        </w:tc>
        <w:tc>
          <w:tcPr>
            <w:tcW w:w="1044" w:type="pct"/>
            <w:vAlign w:val="center"/>
          </w:tcPr>
          <w:p>
            <w:pPr>
              <w:jc w:val="center"/>
            </w:pPr>
            <w:r>
              <w:t>预估需求数量</w:t>
            </w:r>
          </w:p>
          <w:p>
            <w:pPr>
              <w:jc w:val="center"/>
            </w:pPr>
            <w:r>
              <w:rPr>
                <w:rFonts w:hint="eastAsia"/>
              </w:rPr>
              <w:t>（亿千瓦时）</w:t>
            </w:r>
          </w:p>
        </w:tc>
        <w:tc>
          <w:tcPr>
            <w:tcW w:w="873" w:type="pct"/>
            <w:tcBorders>
              <w:bottom w:val="single" w:color="auto" w:sz="4" w:space="0"/>
            </w:tcBorders>
            <w:vAlign w:val="center"/>
          </w:tcPr>
          <w:p>
            <w:pPr>
              <w:jc w:val="center"/>
            </w:pPr>
            <w:r>
              <w:rPr>
                <w:rFonts w:hint="eastAsia"/>
              </w:rPr>
              <w:t>响应转换量</w:t>
            </w:r>
          </w:p>
          <w:p>
            <w:pPr>
              <w:jc w:val="center"/>
            </w:pPr>
            <w:r>
              <w:t>（千瓦时）</w:t>
            </w:r>
          </w:p>
        </w:tc>
        <w:tc>
          <w:tcPr>
            <w:tcW w:w="969" w:type="pct"/>
            <w:vAlign w:val="center"/>
          </w:tcPr>
          <w:p>
            <w:pPr>
              <w:jc w:val="center"/>
            </w:pPr>
            <w:r>
              <w:rPr>
                <w:rFonts w:hint="eastAsia"/>
              </w:rPr>
              <w:t>单</w:t>
            </w:r>
            <w:r>
              <w:t>价</w:t>
            </w:r>
          </w:p>
          <w:p>
            <w:pPr>
              <w:jc w:val="center"/>
            </w:pPr>
            <w:r>
              <w:rPr>
                <w:rFonts w:hint="eastAsia"/>
              </w:rPr>
              <w:t>（元/千瓦时）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13" w:type="pct"/>
            <w:vAlign w:val="center"/>
          </w:tcPr>
          <w:p>
            <w:pPr>
              <w:jc w:val="center"/>
            </w:pPr>
            <w:r>
              <w:t>年度常规电能量交易</w:t>
            </w:r>
            <w:r>
              <w:rPr>
                <w:rFonts w:hint="eastAsia"/>
              </w:rPr>
              <w:t>+绿色电力交易</w:t>
            </w:r>
          </w:p>
        </w:tc>
        <w:tc>
          <w:tcPr>
            <w:tcW w:w="1044" w:type="pct"/>
            <w:vAlign w:val="center"/>
          </w:tcPr>
          <w:p>
            <w:pPr>
              <w:jc w:val="center"/>
            </w:pPr>
            <w:r>
              <w:t>4.38</w:t>
            </w:r>
          </w:p>
        </w:tc>
        <w:tc>
          <w:tcPr>
            <w:tcW w:w="873" w:type="pct"/>
            <w:tcBorders>
              <w:tr2bl w:val="nil"/>
            </w:tcBorders>
            <w:vAlign w:val="center"/>
          </w:tcPr>
          <w:p>
            <w:pPr>
              <w:jc w:val="center"/>
            </w:pPr>
          </w:p>
        </w:tc>
        <w:tc>
          <w:tcPr>
            <w:tcW w:w="969" w:type="pct"/>
            <w:tcBorders>
              <w:bottom w:val="single" w:color="auto" w:sz="4" w:space="0"/>
            </w:tcBorders>
            <w:vAlign w:val="center"/>
          </w:tcPr>
          <w:p>
            <w:pPr>
              <w:jc w:val="center"/>
            </w:pPr>
          </w:p>
        </w:tc>
      </w:tr>
    </w:tbl>
    <w:p>
      <w:pPr>
        <w:spacing w:line="360" w:lineRule="auto"/>
        <w:ind w:firstLine="480" w:firstLineChars="200"/>
        <w:rPr>
          <w:rFonts w:ascii="宋体" w:hAnsi="宋体"/>
          <w:b/>
          <w:kern w:val="0"/>
          <w:sz w:val="24"/>
        </w:rPr>
      </w:pPr>
      <w:r>
        <w:rPr>
          <w:rFonts w:ascii="宋体" w:hAnsi="宋体"/>
          <w:b/>
          <w:kern w:val="0"/>
          <w:sz w:val="24"/>
        </w:rPr>
        <w:t>注：</w:t>
      </w:r>
      <w:r>
        <w:rPr>
          <w:rFonts w:hint="eastAsia" w:ascii="宋体" w:hAnsi="宋体"/>
          <w:b/>
          <w:kern w:val="0"/>
          <w:sz w:val="24"/>
        </w:rPr>
        <w:t>1</w:t>
      </w:r>
      <w:r>
        <w:rPr>
          <w:rFonts w:ascii="宋体" w:hAnsi="宋体"/>
          <w:b/>
          <w:kern w:val="0"/>
          <w:sz w:val="24"/>
        </w:rPr>
        <w:t>.</w:t>
      </w:r>
      <w:r>
        <w:rPr>
          <w:rFonts w:hint="eastAsia" w:ascii="宋体" w:hAnsi="宋体"/>
          <w:b/>
          <w:kern w:val="0"/>
          <w:sz w:val="24"/>
        </w:rPr>
        <w:t>预估需求数量，非实际采购数量，实际采购数量以广西电网有限责任公司南宁供电局、广西电力交易中心有限责任公司核定后比选人无异议的数量为准。</w:t>
      </w:r>
    </w:p>
    <w:p>
      <w:pPr>
        <w:spacing w:line="360" w:lineRule="auto"/>
        <w:ind w:firstLine="480" w:firstLineChars="200"/>
        <w:rPr>
          <w:rFonts w:ascii="宋体" w:hAnsi="宋体"/>
          <w:b/>
          <w:kern w:val="0"/>
          <w:sz w:val="24"/>
        </w:rPr>
      </w:pPr>
      <w:r>
        <w:rPr>
          <w:rFonts w:hint="eastAsia" w:ascii="宋体" w:hAnsi="宋体"/>
          <w:b/>
          <w:kern w:val="0"/>
          <w:sz w:val="24"/>
        </w:rPr>
        <w:t xml:space="preserve"> </w:t>
      </w:r>
      <w:r>
        <w:rPr>
          <w:rFonts w:ascii="宋体" w:hAnsi="宋体"/>
          <w:b/>
          <w:kern w:val="0"/>
          <w:sz w:val="24"/>
        </w:rPr>
        <w:t xml:space="preserve">   2.</w:t>
      </w:r>
      <w:r>
        <w:rPr>
          <w:rFonts w:ascii="宋体" w:hAnsi="宋体"/>
          <w:b/>
          <w:kern w:val="58"/>
          <w:sz w:val="24"/>
          <w:szCs w:val="24"/>
        </w:rPr>
        <w:t>总预估需求数量</w:t>
      </w:r>
      <w:r>
        <w:rPr>
          <w:rFonts w:hint="eastAsia" w:ascii="宋体" w:hAnsi="宋体"/>
          <w:b/>
          <w:kern w:val="58"/>
          <w:sz w:val="24"/>
          <w:szCs w:val="24"/>
        </w:rPr>
        <w:t>=</w:t>
      </w:r>
      <w:r>
        <w:rPr>
          <w:rFonts w:ascii="宋体" w:hAnsi="宋体"/>
          <w:b/>
          <w:kern w:val="58"/>
          <w:sz w:val="24"/>
          <w:szCs w:val="24"/>
        </w:rPr>
        <w:t>4.38亿千瓦时</w:t>
      </w:r>
      <w:r>
        <w:rPr>
          <w:rFonts w:hint="eastAsia" w:ascii="宋体" w:hAnsi="宋体"/>
          <w:b/>
          <w:kern w:val="58"/>
          <w:sz w:val="24"/>
          <w:szCs w:val="24"/>
        </w:rPr>
        <w:t>=年度常规电能量交易预估需求数量+绿色电力交易预估需求数量。两个项目为此消彼长关系，即在某一结算期内其中一项目结算量增加，则另一项目结算量相应减少。</w:t>
      </w:r>
    </w:p>
    <w:p>
      <w:pPr>
        <w:spacing w:line="360" w:lineRule="auto"/>
        <w:ind w:firstLine="480" w:firstLineChars="200"/>
        <w:rPr>
          <w:rFonts w:ascii="宋体" w:hAnsi="宋体"/>
          <w:b/>
          <w:kern w:val="0"/>
          <w:sz w:val="24"/>
        </w:rPr>
      </w:pPr>
      <w:r>
        <w:rPr>
          <w:rFonts w:hint="eastAsia" w:ascii="宋体" w:hAnsi="宋体"/>
          <w:b/>
          <w:kern w:val="0"/>
          <w:sz w:val="24"/>
        </w:rPr>
        <w:t xml:space="preserve"> </w:t>
      </w:r>
      <w:r>
        <w:rPr>
          <w:rFonts w:ascii="宋体" w:hAnsi="宋体"/>
          <w:b/>
          <w:kern w:val="0"/>
          <w:sz w:val="24"/>
        </w:rPr>
        <w:t xml:space="preserve">   3.</w:t>
      </w:r>
      <w:r>
        <w:rPr>
          <w:rFonts w:ascii="宋体" w:hAnsi="宋体"/>
          <w:b/>
          <w:kern w:val="58"/>
          <w:sz w:val="24"/>
          <w:szCs w:val="24"/>
        </w:rPr>
        <w:t>比选申请人</w:t>
      </w:r>
      <w:r>
        <w:rPr>
          <w:rFonts w:hint="eastAsia" w:ascii="宋体" w:hAnsi="宋体"/>
          <w:b/>
          <w:kern w:val="58"/>
          <w:sz w:val="24"/>
          <w:szCs w:val="24"/>
        </w:rPr>
        <w:t>应在预测到绿色电力交易实际到户价格低于年度常规电能量交易实际到户价格时，将比选人月度需求计划电量转换为绿色电力交易；或在比选人提出部分或全部月度需求计划电量转换为绿色电力交易时，</w:t>
      </w:r>
      <w:r>
        <w:rPr>
          <w:rFonts w:ascii="宋体" w:hAnsi="宋体"/>
          <w:b/>
          <w:kern w:val="58"/>
          <w:sz w:val="24"/>
          <w:szCs w:val="24"/>
        </w:rPr>
        <w:t>比选申请人</w:t>
      </w:r>
      <w:r>
        <w:rPr>
          <w:rFonts w:hint="eastAsia" w:ascii="宋体" w:hAnsi="宋体"/>
          <w:b/>
          <w:kern w:val="58"/>
          <w:sz w:val="24"/>
          <w:szCs w:val="24"/>
        </w:rPr>
        <w:t>应配合比选人开展绿色电力交易，并在月度结算中完成常规电能量结算转换为绿电结算</w:t>
      </w:r>
      <w:r>
        <w:rPr>
          <w:rFonts w:hint="eastAsia" w:ascii="宋体" w:hAnsi="宋体"/>
          <w:b/>
          <w:kern w:val="0"/>
          <w:sz w:val="24"/>
        </w:rPr>
        <w:t>。</w:t>
      </w:r>
    </w:p>
    <w:p>
      <w:pPr>
        <w:spacing w:line="360" w:lineRule="auto"/>
        <w:ind w:firstLine="960" w:firstLineChars="400"/>
        <w:rPr>
          <w:rFonts w:ascii="宋体" w:hAnsi="宋体"/>
          <w:b/>
          <w:kern w:val="0"/>
          <w:sz w:val="24"/>
        </w:rPr>
      </w:pPr>
      <w:r>
        <w:rPr>
          <w:rFonts w:ascii="宋体" w:hAnsi="宋体"/>
          <w:b/>
          <w:kern w:val="0"/>
          <w:sz w:val="24"/>
        </w:rPr>
        <w:t>4.报价四舍五入至小数点后</w:t>
      </w:r>
      <w:r>
        <w:rPr>
          <w:rFonts w:hint="eastAsia" w:ascii="宋体" w:hAnsi="宋体"/>
          <w:b/>
          <w:kern w:val="0"/>
          <w:sz w:val="24"/>
        </w:rPr>
        <w:t>4位。</w:t>
      </w:r>
    </w:p>
    <w:p>
      <w:pPr>
        <w:spacing w:line="360" w:lineRule="auto"/>
        <w:ind w:firstLine="960" w:firstLineChars="400"/>
        <w:rPr>
          <w:rFonts w:ascii="宋体" w:hAnsi="宋体"/>
          <w:b/>
          <w:kern w:val="0"/>
          <w:sz w:val="24"/>
        </w:rPr>
      </w:pPr>
      <w:r>
        <w:rPr>
          <w:rFonts w:ascii="宋体" w:hAnsi="宋体"/>
          <w:b/>
          <w:kern w:val="0"/>
          <w:sz w:val="24"/>
        </w:rPr>
        <w:t>5.项目总价=年度</w:t>
      </w:r>
      <w:r>
        <w:rPr>
          <w:rFonts w:hint="eastAsia" w:ascii="宋体" w:hAnsi="宋体"/>
          <w:b/>
          <w:sz w:val="24"/>
          <w:szCs w:val="24"/>
        </w:rPr>
        <w:t>常规电能量交易</w:t>
      </w:r>
      <w:r>
        <w:rPr>
          <w:rFonts w:ascii="宋体" w:hAnsi="宋体"/>
          <w:b/>
          <w:kern w:val="0"/>
          <w:sz w:val="24"/>
        </w:rPr>
        <w:t>预估需求数量</w:t>
      </w:r>
      <w:r>
        <w:rPr>
          <w:rFonts w:hint="eastAsia" w:ascii="宋体" w:hAnsi="宋体"/>
          <w:b/>
          <w:kern w:val="0"/>
          <w:sz w:val="24"/>
        </w:rPr>
        <w:t>*</w:t>
      </w:r>
      <w:r>
        <w:rPr>
          <w:rFonts w:ascii="宋体" w:hAnsi="宋体"/>
          <w:b/>
          <w:kern w:val="0"/>
          <w:sz w:val="24"/>
        </w:rPr>
        <w:t>年度</w:t>
      </w:r>
      <w:r>
        <w:rPr>
          <w:rFonts w:hint="eastAsia" w:ascii="宋体" w:hAnsi="宋体"/>
          <w:b/>
          <w:sz w:val="24"/>
          <w:szCs w:val="24"/>
        </w:rPr>
        <w:t>常规电能量交易</w:t>
      </w:r>
      <w:r>
        <w:rPr>
          <w:rFonts w:ascii="宋体" w:hAnsi="宋体"/>
          <w:b/>
          <w:kern w:val="0"/>
          <w:sz w:val="24"/>
        </w:rPr>
        <w:t>单价</w:t>
      </w:r>
    </w:p>
    <w:p>
      <w:pPr>
        <w:spacing w:line="360" w:lineRule="exact"/>
        <w:rPr>
          <w:rFonts w:ascii="Arial" w:hAnsi="Arial" w:cs="Arial"/>
          <w:szCs w:val="20"/>
        </w:rPr>
      </w:pPr>
    </w:p>
    <w:p>
      <w:pPr>
        <w:spacing w:line="360" w:lineRule="exact"/>
        <w:rPr>
          <w:rFonts w:ascii="Arial" w:hAnsi="Arial" w:cs="Arial"/>
          <w:szCs w:val="20"/>
        </w:rPr>
      </w:pPr>
    </w:p>
    <w:p>
      <w:pPr>
        <w:spacing w:line="360" w:lineRule="exact"/>
        <w:rPr>
          <w:rFonts w:ascii="Arial" w:hAnsi="Arial" w:cs="Arial"/>
          <w:szCs w:val="20"/>
        </w:rPr>
      </w:pPr>
    </w:p>
    <w:p>
      <w:pPr>
        <w:spacing w:line="360" w:lineRule="exact"/>
        <w:rPr>
          <w:rFonts w:ascii="Arial" w:hAnsi="Arial" w:cs="Arial"/>
          <w:szCs w:val="20"/>
        </w:rPr>
      </w:pPr>
      <w:r>
        <w:rPr>
          <w:rFonts w:ascii="Arial" w:hAnsi="Arial" w:cs="Arial"/>
          <w:szCs w:val="20"/>
        </w:rPr>
        <w:t>投标人盖公章</w:t>
      </w:r>
      <w:r>
        <w:rPr>
          <w:rFonts w:hint="eastAsia" w:ascii="Arial" w:hAnsi="Arial" w:cs="Arial"/>
          <w:szCs w:val="20"/>
        </w:rPr>
        <w:t>：</w:t>
      </w:r>
    </w:p>
    <w:p>
      <w:pPr>
        <w:spacing w:line="360" w:lineRule="exact"/>
        <w:rPr>
          <w:rFonts w:ascii="Arial" w:hAnsi="Arial" w:cs="Arial"/>
          <w:szCs w:val="20"/>
        </w:rPr>
      </w:pPr>
    </w:p>
    <w:p>
      <w:pPr>
        <w:spacing w:line="360" w:lineRule="exact"/>
        <w:rPr>
          <w:rFonts w:ascii="Arial" w:hAnsi="Arial" w:cs="Arial"/>
          <w:szCs w:val="20"/>
        </w:rPr>
      </w:pPr>
      <w:r>
        <w:rPr>
          <w:rFonts w:ascii="Arial" w:hAnsi="Arial" w:cs="Arial"/>
          <w:szCs w:val="20"/>
        </w:rPr>
        <w:t>法定代表人或委托代理人签字</w:t>
      </w:r>
      <w:r>
        <w:rPr>
          <w:rFonts w:hint="eastAsia" w:ascii="Arial" w:hAnsi="Arial" w:cs="Arial"/>
          <w:szCs w:val="20"/>
        </w:rPr>
        <w:t>：</w:t>
      </w:r>
    </w:p>
    <w:p>
      <w:pPr>
        <w:spacing w:line="360" w:lineRule="exact"/>
        <w:rPr>
          <w:rFonts w:ascii="Arial" w:hAnsi="Arial" w:cs="Arial"/>
          <w:szCs w:val="20"/>
          <w:u w:val="single"/>
        </w:rPr>
      </w:pPr>
    </w:p>
    <w:p>
      <w:pPr>
        <w:spacing w:line="360" w:lineRule="exact"/>
        <w:rPr>
          <w:rFonts w:ascii="Arial" w:hAnsi="Arial" w:cs="Arial"/>
          <w:szCs w:val="20"/>
          <w:u w:val="single"/>
        </w:rPr>
      </w:pPr>
      <w:r>
        <w:rPr>
          <w:rFonts w:ascii="Arial" w:hAnsi="Arial" w:cs="Arial"/>
          <w:szCs w:val="20"/>
        </w:rPr>
        <w:t>日期</w:t>
      </w:r>
      <w:r>
        <w:rPr>
          <w:rFonts w:hint="eastAsia" w:ascii="Arial" w:hAnsi="Arial" w:cs="Arial"/>
          <w:szCs w:val="20"/>
        </w:rPr>
        <w:t xml:space="preserve">： </w:t>
      </w:r>
      <w:r>
        <w:rPr>
          <w:rFonts w:ascii="Arial" w:hAnsi="Arial" w:cs="Arial"/>
          <w:szCs w:val="20"/>
        </w:rPr>
        <w:t xml:space="preserve">      年</w:t>
      </w:r>
      <w:r>
        <w:rPr>
          <w:rFonts w:hint="eastAsia" w:ascii="Arial" w:hAnsi="Arial" w:cs="Arial"/>
          <w:szCs w:val="20"/>
        </w:rPr>
        <w:t xml:space="preserve"> </w:t>
      </w:r>
      <w:r>
        <w:rPr>
          <w:rFonts w:ascii="Arial" w:hAnsi="Arial" w:cs="Arial"/>
          <w:szCs w:val="20"/>
        </w:rPr>
        <w:t xml:space="preserve">  月</w:t>
      </w:r>
      <w:r>
        <w:rPr>
          <w:rFonts w:hint="eastAsia" w:ascii="Arial" w:hAnsi="Arial" w:cs="Arial"/>
          <w:szCs w:val="20"/>
        </w:rPr>
        <w:t xml:space="preserve"> </w:t>
      </w:r>
      <w:r>
        <w:rPr>
          <w:rFonts w:ascii="Arial" w:hAnsi="Arial" w:cs="Arial"/>
          <w:szCs w:val="20"/>
        </w:rPr>
        <w:t xml:space="preserve">  日</w:t>
      </w:r>
    </w:p>
    <w:p>
      <w:pPr>
        <w:spacing w:line="360" w:lineRule="exact"/>
        <w:rPr>
          <w:rFonts w:ascii="Arial" w:hAnsi="Arial" w:cs="Arial"/>
          <w:szCs w:val="20"/>
          <w:u w:val="single"/>
        </w:rPr>
      </w:pPr>
    </w:p>
    <w:p>
      <w:pPr>
        <w:ind w:left="480" w:hanging="480" w:hangingChars="200"/>
        <w:jc w:val="left"/>
        <w:rPr>
          <w:rFonts w:ascii="宋体" w:hAnsi="宋体" w:cs="宋体"/>
          <w:bCs/>
          <w:sz w:val="24"/>
          <w:szCs w:val="24"/>
        </w:rPr>
      </w:pPr>
    </w:p>
    <w:p>
      <w:pPr>
        <w:widowControl/>
        <w:jc w:val="left"/>
        <w:rPr>
          <w:rFonts w:ascii="宋体" w:hAnsi="宋体" w:cs="宋体"/>
          <w:bCs/>
          <w:sz w:val="24"/>
          <w:szCs w:val="24"/>
        </w:rPr>
      </w:pPr>
      <w:r>
        <w:rPr>
          <w:rFonts w:ascii="宋体" w:hAnsi="宋体" w:cs="宋体"/>
          <w:bCs/>
          <w:sz w:val="24"/>
          <w:szCs w:val="24"/>
        </w:rPr>
        <w:br w:type="page"/>
      </w:r>
    </w:p>
    <w:p>
      <w:pPr>
        <w:pStyle w:val="2"/>
        <w:spacing w:before="312" w:beforeLines="100" w:after="312" w:afterLines="100" w:line="360" w:lineRule="auto"/>
        <w:jc w:val="center"/>
        <w:rPr>
          <w:sz w:val="32"/>
          <w:szCs w:val="28"/>
        </w:rPr>
      </w:pPr>
      <w:bookmarkStart w:id="242" w:name="_Toc121082023"/>
      <w:r>
        <w:rPr>
          <w:sz w:val="32"/>
          <w:szCs w:val="28"/>
        </w:rPr>
        <w:t>第六章</w:t>
      </w:r>
      <w:r>
        <w:rPr>
          <w:rFonts w:hint="eastAsia"/>
          <w:sz w:val="32"/>
          <w:szCs w:val="28"/>
        </w:rPr>
        <w:t xml:space="preserve"> 评分办法</w:t>
      </w:r>
      <w:bookmarkEnd w:id="242"/>
    </w:p>
    <w:p>
      <w:pPr>
        <w:spacing w:before="156" w:beforeLines="50"/>
        <w:ind w:left="482" w:hanging="480" w:hangingChars="200"/>
        <w:jc w:val="left"/>
        <w:outlineLvl w:val="1"/>
        <w:rPr>
          <w:rFonts w:ascii="宋体" w:hAnsi="宋体"/>
          <w:kern w:val="0"/>
          <w:sz w:val="24"/>
        </w:rPr>
      </w:pPr>
      <w:bookmarkStart w:id="243" w:name="_Toc121082024"/>
      <w:r>
        <w:rPr>
          <w:rFonts w:hint="eastAsia" w:ascii="宋体" w:hAnsi="宋体"/>
          <w:b/>
          <w:kern w:val="0"/>
          <w:sz w:val="24"/>
        </w:rPr>
        <w:t>一、评审原则</w:t>
      </w:r>
      <w:bookmarkEnd w:id="243"/>
    </w:p>
    <w:p>
      <w:pPr>
        <w:pStyle w:val="51"/>
        <w:spacing w:line="360" w:lineRule="auto"/>
        <w:ind w:firstLine="480"/>
        <w:rPr>
          <w:rFonts w:ascii="宋体" w:hAnsi="宋体"/>
          <w:sz w:val="24"/>
        </w:rPr>
      </w:pPr>
      <w:r>
        <w:rPr>
          <w:rFonts w:ascii="宋体" w:hAnsi="宋体"/>
          <w:sz w:val="24"/>
        </w:rPr>
        <w:t>1.</w:t>
      </w:r>
      <w:r>
        <w:rPr>
          <w:rFonts w:hint="eastAsia" w:ascii="宋体" w:hAnsi="宋体"/>
          <w:sz w:val="24"/>
        </w:rPr>
        <w:t>本项目由南宁轨道交通运营有限公司组成</w:t>
      </w:r>
      <w:r>
        <w:rPr>
          <w:rFonts w:ascii="宋体" w:hAnsi="宋体"/>
          <w:sz w:val="24"/>
        </w:rPr>
        <w:t>5</w:t>
      </w:r>
      <w:r>
        <w:rPr>
          <w:rFonts w:hint="eastAsia" w:ascii="宋体" w:hAnsi="宋体"/>
          <w:sz w:val="24"/>
        </w:rPr>
        <w:t>人评审小组，共同对比选申请文件进行评审；由南宁轨道交通运营有限公司合约法规部进行监督。</w:t>
      </w:r>
    </w:p>
    <w:p>
      <w:pPr>
        <w:pStyle w:val="51"/>
        <w:spacing w:line="360" w:lineRule="auto"/>
        <w:ind w:firstLine="480"/>
        <w:rPr>
          <w:rFonts w:ascii="宋体" w:hAnsi="宋体"/>
          <w:sz w:val="24"/>
        </w:rPr>
      </w:pPr>
      <w:r>
        <w:rPr>
          <w:rFonts w:ascii="宋体" w:hAnsi="宋体"/>
          <w:sz w:val="24"/>
        </w:rPr>
        <w:t>2.评审依据</w:t>
      </w:r>
      <w:r>
        <w:rPr>
          <w:rFonts w:hint="eastAsia" w:ascii="宋体" w:hAnsi="宋体"/>
          <w:sz w:val="24"/>
        </w:rPr>
        <w:t>：评审委员会以比选文件、比选申请文件为评审依据。</w:t>
      </w:r>
    </w:p>
    <w:p>
      <w:pPr>
        <w:pStyle w:val="51"/>
        <w:spacing w:line="360" w:lineRule="auto"/>
        <w:ind w:firstLine="480"/>
        <w:rPr>
          <w:rFonts w:ascii="宋体" w:hAnsi="宋体"/>
          <w:sz w:val="24"/>
        </w:rPr>
      </w:pPr>
      <w:r>
        <w:rPr>
          <w:rFonts w:ascii="宋体" w:hAnsi="宋体"/>
          <w:sz w:val="24"/>
        </w:rPr>
        <w:t>3.</w:t>
      </w:r>
      <w:r>
        <w:rPr>
          <w:rFonts w:hint="eastAsia" w:ascii="宋体" w:hAnsi="宋体"/>
          <w:sz w:val="24"/>
        </w:rPr>
        <w:t>评审方式：以封闭方式进行。</w:t>
      </w:r>
    </w:p>
    <w:p>
      <w:pPr>
        <w:spacing w:before="156" w:beforeLines="50"/>
        <w:outlineLvl w:val="1"/>
        <w:rPr>
          <w:rFonts w:ascii="宋体" w:hAnsi="宋体"/>
          <w:b/>
          <w:sz w:val="24"/>
        </w:rPr>
      </w:pPr>
      <w:bookmarkStart w:id="244" w:name="_Toc121082025"/>
      <w:r>
        <w:rPr>
          <w:rFonts w:hint="eastAsia" w:ascii="宋体" w:hAnsi="宋体"/>
          <w:b/>
          <w:sz w:val="24"/>
        </w:rPr>
        <w:t>二、评定方法</w:t>
      </w:r>
      <w:bookmarkEnd w:id="244"/>
    </w:p>
    <w:p>
      <w:pPr>
        <w:pStyle w:val="51"/>
        <w:spacing w:line="360" w:lineRule="auto"/>
        <w:ind w:firstLine="48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对资格性和技术符合性检查合格的比选申请文件，采用综合评分法进行评审。</w:t>
      </w:r>
    </w:p>
    <w:p>
      <w:pPr>
        <w:pStyle w:val="51"/>
        <w:spacing w:line="360" w:lineRule="auto"/>
        <w:ind w:firstLine="48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评审委员会将依照本比选文件相关规定对预估需求数量和服务均能满足实质性响应要求的比选申请人所提交的报价、响应转换量进行评审，常规电能量交易报价得分（四舍五入至小数点后4位）按由高到低的顺序排列，绿色电力交易响应转换量得分按由高到低的顺序排列，以两项得分总和按由高到低的顺序确定报价评审排名。</w:t>
      </w:r>
    </w:p>
    <w:p>
      <w:pPr>
        <w:pStyle w:val="51"/>
        <w:spacing w:line="360" w:lineRule="auto"/>
        <w:ind w:firstLine="480"/>
        <w:rPr>
          <w:rFonts w:ascii="宋体" w:hAnsi="宋体"/>
          <w:sz w:val="24"/>
        </w:rPr>
      </w:pPr>
      <w:r>
        <w:rPr>
          <w:rFonts w:ascii="宋体" w:hAnsi="宋体"/>
          <w:sz w:val="24"/>
        </w:rPr>
        <w:t>3.</w:t>
      </w:r>
      <w:r>
        <w:rPr>
          <w:rFonts w:hint="eastAsia" w:ascii="宋体" w:hAnsi="宋体"/>
          <w:sz w:val="24"/>
        </w:rPr>
        <w:t>如报价得分评审排名前3且得分相同的比选申请人将进行附加评审，并根据附加评审得分按由高到低的顺序确定排名，附加评审得分不计入报价评审得分。附加评审按顺序进行，如第一项附加评审得分相同，则进行第二项附加评审。如通过附加评审仍不能确定</w:t>
      </w:r>
      <w:r>
        <w:rPr>
          <w:rFonts w:ascii="宋体" w:hAnsi="宋体"/>
          <w:sz w:val="24"/>
        </w:rPr>
        <w:t>比</w:t>
      </w:r>
      <w:r>
        <w:rPr>
          <w:rFonts w:hint="eastAsia" w:ascii="宋体" w:hAnsi="宋体"/>
          <w:sz w:val="24"/>
        </w:rPr>
        <w:t>选申请人排名顺序的，由评审委员会不记名投票的方式按少数服从多数的原则决定其排名顺序。</w:t>
      </w:r>
    </w:p>
    <w:p>
      <w:pPr>
        <w:pStyle w:val="51"/>
        <w:spacing w:line="360" w:lineRule="auto"/>
        <w:ind w:firstLine="480"/>
        <w:rPr>
          <w:rFonts w:ascii="宋体" w:hAnsi="宋体"/>
          <w:sz w:val="24"/>
        </w:rPr>
      </w:pPr>
      <w:r>
        <w:rPr>
          <w:rFonts w:hint="eastAsia" w:ascii="宋体" w:hAnsi="宋体"/>
          <w:sz w:val="24"/>
        </w:rPr>
        <w:t>4</w:t>
      </w:r>
      <w:r>
        <w:rPr>
          <w:rFonts w:ascii="宋体" w:hAnsi="宋体"/>
          <w:sz w:val="24"/>
        </w:rPr>
        <w:t>.评审委员会通过报价评审计算出比选申请人</w:t>
      </w:r>
      <w:r>
        <w:rPr>
          <w:rFonts w:hint="eastAsia" w:ascii="宋体" w:hAnsi="宋体"/>
          <w:sz w:val="24"/>
        </w:rPr>
        <w:t>报价</w:t>
      </w:r>
      <w:r>
        <w:rPr>
          <w:rFonts w:ascii="宋体" w:hAnsi="宋体"/>
          <w:sz w:val="24"/>
        </w:rPr>
        <w:t>评审得分，以及附加评审计算出比选申请人附加评审得分，确定比选申请人排名，</w:t>
      </w:r>
      <w:r>
        <w:rPr>
          <w:rFonts w:hint="eastAsia" w:ascii="宋体" w:hAnsi="宋体"/>
          <w:sz w:val="24"/>
        </w:rPr>
        <w:t>填写《比选申请价格评审表》（见附表三）</w:t>
      </w:r>
      <w:r>
        <w:rPr>
          <w:rFonts w:ascii="宋体" w:hAnsi="宋体"/>
          <w:sz w:val="24"/>
        </w:rPr>
        <w:t>。评审委员会</w:t>
      </w:r>
      <w:r>
        <w:rPr>
          <w:rFonts w:hint="eastAsia" w:ascii="宋体" w:hAnsi="宋体"/>
          <w:sz w:val="24"/>
        </w:rPr>
        <w:t>根据资格审查合格且通过技术符合性评审的比选申请人排名顺序提出</w:t>
      </w:r>
      <w:r>
        <w:rPr>
          <w:rFonts w:ascii="宋体" w:hAnsi="宋体"/>
          <w:sz w:val="24"/>
        </w:rPr>
        <w:t>3</w:t>
      </w:r>
      <w:r>
        <w:rPr>
          <w:rFonts w:hint="eastAsia" w:ascii="宋体" w:hAnsi="宋体"/>
          <w:sz w:val="24"/>
        </w:rPr>
        <w:t>名中选候选人，推荐排名第一的比选申请人为第一中选候选人，推荐排名第二者为第二中选候选人，以此类推，并编写评审报告。</w:t>
      </w:r>
    </w:p>
    <w:p>
      <w:pPr>
        <w:spacing w:before="156" w:beforeLines="50"/>
        <w:outlineLvl w:val="1"/>
        <w:rPr>
          <w:rFonts w:ascii="宋体" w:hAnsi="宋体"/>
          <w:b/>
          <w:sz w:val="24"/>
        </w:rPr>
      </w:pPr>
      <w:bookmarkStart w:id="245" w:name="_Toc121082026"/>
      <w:r>
        <w:rPr>
          <w:rFonts w:ascii="宋体" w:hAnsi="宋体"/>
          <w:b/>
          <w:sz w:val="24"/>
        </w:rPr>
        <w:t>三</w:t>
      </w:r>
      <w:r>
        <w:rPr>
          <w:rFonts w:hint="eastAsia" w:ascii="宋体" w:hAnsi="宋体"/>
          <w:b/>
          <w:sz w:val="24"/>
        </w:rPr>
        <w:t>、评审程序</w:t>
      </w:r>
      <w:bookmarkEnd w:id="245"/>
    </w:p>
    <w:p>
      <w:pPr>
        <w:pStyle w:val="51"/>
        <w:spacing w:line="360" w:lineRule="auto"/>
        <w:ind w:firstLine="482"/>
        <w:outlineLvl w:val="2"/>
        <w:rPr>
          <w:rFonts w:ascii="宋体" w:hAnsi="宋体"/>
          <w:b/>
          <w:sz w:val="24"/>
        </w:rPr>
      </w:pPr>
      <w:r>
        <w:rPr>
          <w:rFonts w:hint="eastAsia" w:ascii="宋体" w:hAnsi="宋体"/>
          <w:b/>
          <w:sz w:val="24"/>
        </w:rPr>
        <w:t>1</w:t>
      </w:r>
      <w:r>
        <w:rPr>
          <w:rFonts w:ascii="宋体" w:hAnsi="宋体"/>
          <w:b/>
          <w:sz w:val="24"/>
        </w:rPr>
        <w:t>.</w:t>
      </w:r>
      <w:r>
        <w:rPr>
          <w:rFonts w:hint="eastAsia" w:ascii="宋体" w:hAnsi="宋体"/>
          <w:b/>
          <w:sz w:val="24"/>
        </w:rPr>
        <w:t>资格审查</w:t>
      </w:r>
    </w:p>
    <w:p>
      <w:pPr>
        <w:pStyle w:val="51"/>
        <w:spacing w:line="360" w:lineRule="auto"/>
        <w:ind w:firstLine="480"/>
        <w:rPr>
          <w:rFonts w:ascii="宋体" w:hAnsi="宋体"/>
          <w:sz w:val="24"/>
        </w:rPr>
      </w:pPr>
      <w:r>
        <w:rPr>
          <w:rFonts w:hint="eastAsia" w:ascii="宋体" w:hAnsi="宋体"/>
          <w:sz w:val="24"/>
        </w:rPr>
        <w:t>资格审查采用定性评审法，审查比选申请人是否符合法律、法规、规章及比选文件对企业资质、市场主体资质、业绩和其他强制性标准，是否处于正常的经营状况等情况。</w:t>
      </w:r>
    </w:p>
    <w:p>
      <w:pPr>
        <w:pStyle w:val="51"/>
        <w:spacing w:line="360" w:lineRule="auto"/>
        <w:ind w:firstLine="480"/>
        <w:rPr>
          <w:rFonts w:ascii="宋体" w:hAnsi="宋体"/>
          <w:sz w:val="24"/>
        </w:rPr>
      </w:pPr>
      <w:r>
        <w:rPr>
          <w:rFonts w:hint="eastAsia" w:ascii="宋体" w:hAnsi="宋体"/>
          <w:sz w:val="24"/>
        </w:rPr>
        <w:t>在本阶段不符合任何一项资格评审标准的比选申请人将被比选人拒绝，不得进入下一阶段的评审。评审标准详见附表一《资格审查表》。</w:t>
      </w:r>
    </w:p>
    <w:p>
      <w:pPr>
        <w:pStyle w:val="51"/>
        <w:spacing w:line="360" w:lineRule="auto"/>
        <w:ind w:firstLine="482"/>
        <w:outlineLvl w:val="2"/>
        <w:rPr>
          <w:rFonts w:ascii="宋体" w:hAnsi="宋体"/>
          <w:b/>
          <w:sz w:val="24"/>
        </w:rPr>
      </w:pPr>
      <w:r>
        <w:rPr>
          <w:rFonts w:hint="eastAsia" w:ascii="宋体" w:hAnsi="宋体"/>
          <w:b/>
          <w:sz w:val="24"/>
        </w:rPr>
        <w:t>2</w:t>
      </w:r>
      <w:r>
        <w:rPr>
          <w:rFonts w:ascii="宋体" w:hAnsi="宋体"/>
          <w:b/>
          <w:sz w:val="24"/>
        </w:rPr>
        <w:t>.技术评审</w:t>
      </w:r>
    </w:p>
    <w:p>
      <w:pPr>
        <w:pStyle w:val="51"/>
        <w:spacing w:line="360" w:lineRule="auto"/>
        <w:ind w:firstLine="480"/>
        <w:rPr>
          <w:rFonts w:ascii="宋体" w:hAnsi="宋体"/>
          <w:sz w:val="24"/>
        </w:rPr>
      </w:pPr>
      <w:r>
        <w:rPr>
          <w:rFonts w:hint="eastAsia" w:ascii="宋体" w:hAnsi="宋体"/>
          <w:sz w:val="24"/>
        </w:rPr>
        <w:t>（1）评审委员会将对比选申请文件的实质性内容进行初步评审，判定其内容是否真实、完整，是否满足比选文件要求并在实质性内容上予以响应。</w:t>
      </w:r>
    </w:p>
    <w:p>
      <w:pPr>
        <w:pStyle w:val="51"/>
        <w:spacing w:line="360" w:lineRule="auto"/>
        <w:ind w:firstLine="480"/>
        <w:rPr>
          <w:rFonts w:ascii="宋体" w:hAnsi="宋体"/>
          <w:sz w:val="24"/>
        </w:rPr>
      </w:pPr>
      <w:r>
        <w:rPr>
          <w:rFonts w:hint="eastAsia" w:ascii="宋体" w:hAnsi="宋体"/>
          <w:sz w:val="24"/>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pStyle w:val="51"/>
        <w:spacing w:line="360" w:lineRule="auto"/>
        <w:ind w:firstLine="480"/>
        <w:rPr>
          <w:rFonts w:ascii="宋体" w:hAnsi="宋体"/>
          <w:sz w:val="24"/>
        </w:rPr>
      </w:pPr>
      <w:r>
        <w:rPr>
          <w:rFonts w:hint="eastAsia" w:ascii="宋体" w:hAnsi="宋体"/>
          <w:sz w:val="24"/>
        </w:rPr>
        <w:t>（3）评审委员会根据比选文件的要求对比选申请人进行技术符合性评审，未通过技术符合性评审的比选申请人不得进入下一阶段的评审。评审标准见附表二《技术符合性评审表》。</w:t>
      </w:r>
    </w:p>
    <w:p>
      <w:pPr>
        <w:pStyle w:val="51"/>
        <w:spacing w:line="360" w:lineRule="auto"/>
        <w:ind w:firstLine="482"/>
        <w:outlineLvl w:val="2"/>
        <w:rPr>
          <w:rFonts w:ascii="宋体" w:hAnsi="宋体"/>
          <w:b/>
          <w:sz w:val="24"/>
        </w:rPr>
      </w:pPr>
      <w:r>
        <w:rPr>
          <w:rFonts w:hint="eastAsia" w:ascii="宋体" w:hAnsi="宋体"/>
          <w:b/>
          <w:sz w:val="24"/>
        </w:rPr>
        <w:t>3</w:t>
      </w:r>
      <w:r>
        <w:rPr>
          <w:rFonts w:ascii="宋体" w:hAnsi="宋体"/>
          <w:b/>
          <w:sz w:val="24"/>
        </w:rPr>
        <w:t>.</w:t>
      </w:r>
      <w:r>
        <w:rPr>
          <w:rFonts w:hint="eastAsia" w:ascii="宋体" w:hAnsi="宋体"/>
          <w:b/>
          <w:sz w:val="24"/>
        </w:rPr>
        <w:t>报价</w:t>
      </w:r>
      <w:r>
        <w:rPr>
          <w:rFonts w:ascii="宋体" w:hAnsi="宋体"/>
          <w:b/>
          <w:sz w:val="24"/>
        </w:rPr>
        <w:t>评</w:t>
      </w:r>
      <w:r>
        <w:rPr>
          <w:rFonts w:hint="eastAsia" w:ascii="宋体" w:hAnsi="宋体"/>
          <w:b/>
          <w:sz w:val="24"/>
        </w:rPr>
        <w:t>审</w:t>
      </w:r>
    </w:p>
    <w:p>
      <w:pPr>
        <w:pStyle w:val="51"/>
        <w:spacing w:line="360" w:lineRule="auto"/>
        <w:ind w:firstLine="480"/>
        <w:rPr>
          <w:rFonts w:ascii="宋体" w:hAnsi="宋体"/>
          <w:sz w:val="24"/>
        </w:rPr>
      </w:pPr>
      <w:r>
        <w:rPr>
          <w:rFonts w:hint="eastAsia" w:ascii="宋体" w:hAnsi="宋体"/>
          <w:sz w:val="24"/>
        </w:rPr>
        <w:t>（1）</w:t>
      </w:r>
      <w:r>
        <w:rPr>
          <w:rFonts w:ascii="宋体" w:hAnsi="宋体"/>
          <w:sz w:val="24"/>
        </w:rPr>
        <w:t>评审委员会</w:t>
      </w:r>
      <w:r>
        <w:rPr>
          <w:rFonts w:hint="eastAsia" w:ascii="宋体" w:hAnsi="宋体"/>
          <w:sz w:val="24"/>
        </w:rPr>
        <w:t>评审比选申请人的各项报价和清单是否清楚、完整，对报价和清单有重大偏差或缺漏项或不清晰而又不能做出合理解释的，其比选申请作否决比选申请处理。</w:t>
      </w:r>
    </w:p>
    <w:p>
      <w:pPr>
        <w:pStyle w:val="51"/>
        <w:spacing w:line="360" w:lineRule="auto"/>
        <w:ind w:firstLine="480"/>
        <w:rPr>
          <w:rFonts w:ascii="宋体" w:hAnsi="宋体" w:cs="Arial"/>
          <w:sz w:val="24"/>
          <w:szCs w:val="24"/>
        </w:rPr>
      </w:pPr>
      <w:r>
        <w:rPr>
          <w:rFonts w:ascii="宋体" w:hAnsi="宋体"/>
          <w:sz w:val="24"/>
        </w:rPr>
        <w:t>（2）</w:t>
      </w:r>
      <w:r>
        <w:rPr>
          <w:rFonts w:hint="eastAsia" w:ascii="宋体" w:hAnsi="宋体"/>
          <w:sz w:val="24"/>
        </w:rPr>
        <w:t>评审委员会对资格审查合格且通过技术符合性评审的比选申请文件的商务文件详细评审，通过</w:t>
      </w:r>
      <w:r>
        <w:rPr>
          <w:rFonts w:hint="eastAsia" w:ascii="宋体" w:hAnsi="宋体" w:cs="Arial"/>
          <w:sz w:val="24"/>
          <w:szCs w:val="24"/>
        </w:rPr>
        <w:t>综合评分法进行报价评审。其中，年度常规电能量交易</w:t>
      </w:r>
      <w:r>
        <w:rPr>
          <w:rFonts w:ascii="宋体" w:hAnsi="宋体" w:cs="Arial"/>
          <w:sz w:val="24"/>
          <w:szCs w:val="24"/>
        </w:rPr>
        <w:t>10</w:t>
      </w:r>
      <w:r>
        <w:rPr>
          <w:rFonts w:hint="eastAsia" w:ascii="宋体" w:hAnsi="宋体" w:cs="Arial"/>
          <w:sz w:val="24"/>
          <w:szCs w:val="24"/>
        </w:rPr>
        <w:t>0分、绿色电力交易</w:t>
      </w:r>
      <w:r>
        <w:rPr>
          <w:rFonts w:ascii="宋体" w:hAnsi="宋体" w:cs="Arial"/>
          <w:sz w:val="24"/>
          <w:szCs w:val="24"/>
        </w:rPr>
        <w:t>1</w:t>
      </w:r>
      <w:r>
        <w:rPr>
          <w:rFonts w:hint="eastAsia" w:ascii="宋体" w:hAnsi="宋体" w:cs="Arial"/>
          <w:sz w:val="24"/>
          <w:szCs w:val="24"/>
        </w:rPr>
        <w:t>分。</w:t>
      </w:r>
    </w:p>
    <w:p>
      <w:pPr>
        <w:pStyle w:val="51"/>
        <w:spacing w:line="360" w:lineRule="auto"/>
        <w:ind w:firstLine="480"/>
        <w:rPr>
          <w:rFonts w:ascii="宋体" w:hAnsi="宋体" w:cs="Arial"/>
          <w:sz w:val="24"/>
          <w:szCs w:val="24"/>
        </w:rPr>
      </w:pPr>
      <w:r>
        <w:rPr>
          <w:rFonts w:ascii="宋体" w:hAnsi="宋体" w:cs="Arial"/>
          <w:sz w:val="24"/>
          <w:szCs w:val="24"/>
        </w:rPr>
        <w:t>最终得分</w:t>
      </w:r>
      <w:r>
        <w:rPr>
          <w:rFonts w:hint="eastAsia" w:ascii="宋体" w:hAnsi="宋体" w:cs="Arial"/>
          <w:sz w:val="24"/>
          <w:szCs w:val="24"/>
        </w:rPr>
        <w:t>=年度常规电能量交易得分+绿色电力交易响应转换量得分</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3871"/>
        <w:gridCol w:w="1065"/>
        <w:gridCol w:w="8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360" w:type="pct"/>
            <w:vAlign w:val="center"/>
          </w:tcPr>
          <w:p>
            <w:pPr>
              <w:widowControl/>
              <w:jc w:val="center"/>
              <w:rPr>
                <w:rFonts w:ascii="宋体" w:hAnsi="宋体" w:cs="Arial"/>
                <w:kern w:val="0"/>
              </w:rPr>
            </w:pPr>
            <w:r>
              <w:rPr>
                <w:rFonts w:ascii="宋体" w:hAnsi="宋体" w:cs="Arial"/>
                <w:kern w:val="0"/>
              </w:rPr>
              <w:t>序号</w:t>
            </w:r>
          </w:p>
        </w:tc>
        <w:tc>
          <w:tcPr>
            <w:tcW w:w="1309" w:type="pct"/>
            <w:vAlign w:val="center"/>
          </w:tcPr>
          <w:p>
            <w:pPr>
              <w:widowControl/>
              <w:jc w:val="center"/>
              <w:rPr>
                <w:rFonts w:ascii="宋体" w:hAnsi="宋体" w:cs="Arial"/>
                <w:kern w:val="0"/>
              </w:rPr>
            </w:pPr>
            <w:r>
              <w:rPr>
                <w:rFonts w:ascii="宋体" w:hAnsi="宋体" w:cs="Arial"/>
                <w:kern w:val="0"/>
              </w:rPr>
              <w:t>评分内容（报价评审）</w:t>
            </w:r>
          </w:p>
        </w:tc>
        <w:tc>
          <w:tcPr>
            <w:tcW w:w="360" w:type="pct"/>
            <w:vAlign w:val="center"/>
          </w:tcPr>
          <w:p>
            <w:pPr>
              <w:widowControl/>
              <w:jc w:val="center"/>
              <w:rPr>
                <w:rFonts w:ascii="宋体" w:hAnsi="宋体" w:cs="Arial"/>
                <w:kern w:val="0"/>
              </w:rPr>
            </w:pPr>
            <w:r>
              <w:rPr>
                <w:rFonts w:ascii="宋体" w:hAnsi="宋体" w:cs="Arial"/>
                <w:kern w:val="0"/>
              </w:rPr>
              <w:t>分值</w:t>
            </w:r>
          </w:p>
        </w:tc>
        <w:tc>
          <w:tcPr>
            <w:tcW w:w="2972" w:type="pct"/>
            <w:vAlign w:val="center"/>
          </w:tcPr>
          <w:p>
            <w:pPr>
              <w:widowControl/>
              <w:jc w:val="center"/>
              <w:rPr>
                <w:rFonts w:ascii="宋体" w:hAnsi="宋体" w:cs="Arial"/>
                <w:kern w:val="0"/>
              </w:rPr>
            </w:pPr>
            <w:r>
              <w:rPr>
                <w:rFonts w:ascii="宋体" w:hAnsi="宋体" w:cs="Arial"/>
                <w:kern w:val="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60" w:type="pct"/>
            <w:vAlign w:val="center"/>
          </w:tcPr>
          <w:p>
            <w:pPr>
              <w:widowControl/>
              <w:jc w:val="center"/>
              <w:rPr>
                <w:rFonts w:ascii="宋体" w:hAnsi="宋体" w:cs="Arial"/>
                <w:kern w:val="0"/>
              </w:rPr>
            </w:pPr>
            <w:r>
              <w:rPr>
                <w:rFonts w:hint="eastAsia" w:ascii="宋体" w:hAnsi="宋体" w:cs="Arial"/>
                <w:kern w:val="0"/>
              </w:rPr>
              <w:t>1</w:t>
            </w:r>
          </w:p>
        </w:tc>
        <w:tc>
          <w:tcPr>
            <w:tcW w:w="1309" w:type="pct"/>
            <w:vAlign w:val="center"/>
          </w:tcPr>
          <w:p>
            <w:pPr>
              <w:widowControl/>
              <w:jc w:val="center"/>
              <w:rPr>
                <w:rFonts w:ascii="宋体" w:hAnsi="宋体" w:cs="Arial"/>
                <w:kern w:val="0"/>
              </w:rPr>
            </w:pPr>
            <w:r>
              <w:rPr>
                <w:rFonts w:ascii="宋体" w:hAnsi="宋体" w:cs="Arial"/>
                <w:kern w:val="0"/>
              </w:rPr>
              <w:t>年度</w:t>
            </w:r>
            <w:r>
              <w:rPr>
                <w:rFonts w:hint="eastAsia" w:ascii="宋体" w:hAnsi="宋体" w:cs="Arial"/>
                <w:kern w:val="0"/>
              </w:rPr>
              <w:t>常规</w:t>
            </w:r>
            <w:r>
              <w:rPr>
                <w:rFonts w:ascii="宋体" w:hAnsi="宋体" w:cs="Arial"/>
                <w:kern w:val="0"/>
              </w:rPr>
              <w:t>电能量交易</w:t>
            </w:r>
          </w:p>
          <w:p>
            <w:pPr>
              <w:widowControl/>
              <w:jc w:val="center"/>
              <w:rPr>
                <w:rFonts w:ascii="宋体" w:hAnsi="宋体" w:cs="Arial"/>
                <w:kern w:val="0"/>
              </w:rPr>
            </w:pPr>
          </w:p>
        </w:tc>
        <w:tc>
          <w:tcPr>
            <w:tcW w:w="360" w:type="pct"/>
            <w:vAlign w:val="center"/>
          </w:tcPr>
          <w:p>
            <w:pPr>
              <w:jc w:val="center"/>
              <w:rPr>
                <w:rFonts w:ascii="宋体" w:hAnsi="宋体"/>
              </w:rPr>
            </w:pPr>
            <w:r>
              <w:rPr>
                <w:rFonts w:ascii="宋体" w:hAnsi="宋体"/>
              </w:rPr>
              <w:t>100</w:t>
            </w:r>
          </w:p>
        </w:tc>
        <w:tc>
          <w:tcPr>
            <w:tcW w:w="2972" w:type="pct"/>
            <w:vAlign w:val="center"/>
          </w:tcPr>
          <w:p>
            <w:pPr>
              <w:rPr>
                <w:rFonts w:ascii="宋体" w:hAnsi="宋体" w:cs="Arial"/>
              </w:rPr>
            </w:pPr>
            <m:oMathPara>
              <m:oMathParaPr>
                <m:jc m:val="center"/>
              </m:oMathParaPr>
              <m:oMath>
                <m:r>
                  <m:rPr>
                    <m:sty m:val="p"/>
                  </m:rPr>
                  <w:rPr>
                    <w:rFonts w:ascii="Cambria Math" w:hAnsi="Cambria Math" w:cs="Arial"/>
                  </w:rPr>
                  <m:t>得分</m:t>
                </m:r>
                <m:r>
                  <m:rPr>
                    <m:sty m:val="p"/>
                  </m:rPr>
                  <w:rPr>
                    <w:rFonts w:hint="eastAsia" w:ascii="Cambria Math" w:hAnsi="Cambria Math" w:cs="Arial"/>
                  </w:rPr>
                  <m:t>=</m:t>
                </m:r>
                <m:f>
                  <m:fPr>
                    <m:ctrlPr>
                      <w:rPr>
                        <w:rFonts w:ascii="Cambria Math" w:hAnsi="Cambria Math" w:cs="Arial"/>
                      </w:rPr>
                    </m:ctrlPr>
                  </m:fPr>
                  <m:num>
                    <m:r>
                      <m:rPr>
                        <m:sty m:val="p"/>
                      </m:rPr>
                      <w:rPr>
                        <w:rFonts w:ascii="Cambria Math" w:hAnsi="Cambria Math" w:cs="Arial"/>
                      </w:rPr>
                      <m:t>所有投标人中最低评标报价</m:t>
                    </m:r>
                    <m:ctrlPr>
                      <w:rPr>
                        <w:rFonts w:ascii="Cambria Math" w:hAnsi="Cambria Math" w:cs="Arial"/>
                      </w:rPr>
                    </m:ctrlPr>
                  </m:num>
                  <m:den>
                    <m:r>
                      <m:rPr>
                        <m:sty m:val="p"/>
                      </m:rPr>
                      <w:rPr>
                        <w:rFonts w:hint="eastAsia" w:ascii="Cambria Math" w:hAnsi="Cambria Math" w:cs="Arial"/>
                      </w:rPr>
                      <m:t>某</m:t>
                    </m:r>
                    <m:r>
                      <m:rPr>
                        <m:sty m:val="p"/>
                      </m:rPr>
                      <w:rPr>
                        <w:rFonts w:ascii="Cambria Math" w:hAnsi="Cambria Math" w:cs="Arial"/>
                      </w:rPr>
                      <m:t>投标人评标报价</m:t>
                    </m:r>
                    <m:ctrlPr>
                      <w:rPr>
                        <w:rFonts w:ascii="Cambria Math" w:hAnsi="Cambria Math" w:cs="Arial"/>
                      </w:rPr>
                    </m:ctrlPr>
                  </m:den>
                </m:f>
                <m:r>
                  <w:rPr>
                    <w:rFonts w:hint="eastAsia" w:ascii="Cambria Math" w:hAnsi="Cambria Math" w:cs="Arial"/>
                  </w:rPr>
                  <m:t>×</m:t>
                </m:r>
                <m:r>
                  <w:rPr>
                    <w:rFonts w:ascii="Cambria Math" w:hAnsi="Cambria Math" w:cs="Arial"/>
                  </w:rPr>
                  <m:t>100</m:t>
                </m:r>
              </m:oMath>
            </m:oMathPara>
          </w:p>
          <w:p>
            <w:pPr>
              <w:rPr>
                <w:rFonts w:ascii="宋体" w:hAnsi="宋体" w:cs="Arial"/>
              </w:rPr>
            </w:pPr>
            <w:r>
              <w:rPr>
                <w:rFonts w:hint="eastAsia" w:ascii="宋体" w:hAnsi="宋体"/>
              </w:rPr>
              <w:t>当实际报价超出控制单价时，报价无效，做废标处理。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60" w:type="pct"/>
            <w:vAlign w:val="center"/>
          </w:tcPr>
          <w:p>
            <w:pPr>
              <w:widowControl/>
              <w:jc w:val="center"/>
              <w:rPr>
                <w:rFonts w:ascii="宋体" w:hAnsi="宋体" w:cs="Arial"/>
                <w:kern w:val="0"/>
              </w:rPr>
            </w:pPr>
            <w:r>
              <w:rPr>
                <w:rFonts w:hint="eastAsia" w:ascii="宋体" w:hAnsi="宋体" w:cs="Arial"/>
                <w:kern w:val="0"/>
              </w:rPr>
              <w:t>2</w:t>
            </w:r>
          </w:p>
        </w:tc>
        <w:tc>
          <w:tcPr>
            <w:tcW w:w="1309" w:type="pct"/>
            <w:vAlign w:val="center"/>
          </w:tcPr>
          <w:p>
            <w:pPr>
              <w:widowControl/>
              <w:jc w:val="center"/>
              <w:rPr>
                <w:rFonts w:ascii="宋体" w:hAnsi="宋体" w:cs="Arial"/>
                <w:kern w:val="0"/>
              </w:rPr>
            </w:pPr>
            <w:r>
              <w:rPr>
                <w:rFonts w:ascii="宋体" w:hAnsi="宋体" w:cs="Arial"/>
                <w:kern w:val="0"/>
              </w:rPr>
              <w:t>绿色电力交易响应转换量</w:t>
            </w:r>
          </w:p>
        </w:tc>
        <w:tc>
          <w:tcPr>
            <w:tcW w:w="360" w:type="pct"/>
            <w:vAlign w:val="center"/>
          </w:tcPr>
          <w:p>
            <w:pPr>
              <w:jc w:val="center"/>
              <w:rPr>
                <w:rFonts w:ascii="宋体" w:hAnsi="宋体"/>
              </w:rPr>
            </w:pPr>
            <w:r>
              <w:rPr>
                <w:rFonts w:ascii="宋体" w:hAnsi="宋体"/>
              </w:rPr>
              <w:t>1</w:t>
            </w:r>
          </w:p>
        </w:tc>
        <w:tc>
          <w:tcPr>
            <w:tcW w:w="2972" w:type="pct"/>
            <w:vAlign w:val="center"/>
          </w:tcPr>
          <w:p>
            <w:pPr>
              <w:rPr>
                <w:rFonts w:ascii="宋体" w:hAnsi="宋体"/>
              </w:rPr>
            </w:pPr>
            <w:r>
              <w:rPr>
                <w:rFonts w:ascii="宋体" w:hAnsi="宋体"/>
              </w:rPr>
              <w:t>单位：亿千瓦时</w:t>
            </w:r>
          </w:p>
          <w:p>
            <w:pPr>
              <w:pStyle w:val="51"/>
              <w:numPr>
                <w:ilvl w:val="0"/>
                <w:numId w:val="29"/>
              </w:numPr>
              <w:ind w:firstLineChars="0"/>
              <w:rPr>
                <w:rFonts w:ascii="宋体" w:hAnsi="宋体"/>
              </w:rPr>
            </w:pPr>
            <w:r>
              <w:rPr>
                <w:rFonts w:hint="eastAsia" w:ascii="宋体" w:hAnsi="宋体"/>
              </w:rPr>
              <w:t xml:space="preserve"> </w:t>
            </w:r>
            <w:r>
              <w:rPr>
                <w:rFonts w:ascii="宋体" w:hAnsi="宋体"/>
              </w:rPr>
              <w:t xml:space="preserve">  响应转换量</w:t>
            </w:r>
            <w:r>
              <w:rPr>
                <w:rFonts w:hint="eastAsia" w:ascii="宋体" w:hAnsi="宋体"/>
              </w:rPr>
              <w:t>≤1，得0分；</w:t>
            </w:r>
          </w:p>
          <w:p>
            <w:pPr>
              <w:pStyle w:val="51"/>
              <w:numPr>
                <w:ilvl w:val="0"/>
                <w:numId w:val="29"/>
              </w:numPr>
              <w:ind w:firstLineChars="0"/>
              <w:rPr>
                <w:rFonts w:ascii="宋体" w:hAnsi="宋体"/>
              </w:rPr>
            </w:pPr>
            <w:r>
              <w:rPr>
                <w:rFonts w:ascii="宋体" w:hAnsi="宋体"/>
              </w:rPr>
              <w:t>1</w:t>
            </w:r>
            <w:r>
              <w:rPr>
                <w:rFonts w:hint="eastAsia" w:ascii="宋体" w:hAnsi="宋体"/>
              </w:rPr>
              <w:t>＜</w:t>
            </w:r>
            <w:r>
              <w:rPr>
                <w:rFonts w:ascii="宋体" w:hAnsi="宋体"/>
              </w:rPr>
              <w:t>响应转换量</w:t>
            </w:r>
            <w:r>
              <w:rPr>
                <w:rFonts w:hint="eastAsia" w:ascii="宋体" w:hAnsi="宋体"/>
              </w:rPr>
              <w:t>≤</w:t>
            </w:r>
            <w:r>
              <w:rPr>
                <w:rFonts w:ascii="宋体" w:hAnsi="宋体"/>
              </w:rPr>
              <w:t>2</w:t>
            </w:r>
            <w:r>
              <w:rPr>
                <w:rFonts w:hint="eastAsia" w:ascii="宋体" w:hAnsi="宋体"/>
              </w:rPr>
              <w:t>，得0</w:t>
            </w:r>
            <w:r>
              <w:rPr>
                <w:rFonts w:ascii="宋体" w:hAnsi="宋体"/>
              </w:rPr>
              <w:t>.25</w:t>
            </w:r>
            <w:r>
              <w:rPr>
                <w:rFonts w:hint="eastAsia" w:ascii="宋体" w:hAnsi="宋体"/>
              </w:rPr>
              <w:t>分；</w:t>
            </w:r>
          </w:p>
          <w:p>
            <w:pPr>
              <w:pStyle w:val="51"/>
              <w:numPr>
                <w:ilvl w:val="0"/>
                <w:numId w:val="29"/>
              </w:numPr>
              <w:ind w:firstLineChars="0"/>
              <w:rPr>
                <w:rFonts w:ascii="宋体" w:hAnsi="宋体"/>
              </w:rPr>
            </w:pPr>
            <w:r>
              <w:rPr>
                <w:rFonts w:ascii="宋体" w:hAnsi="宋体"/>
              </w:rPr>
              <w:t>2</w:t>
            </w:r>
            <w:r>
              <w:rPr>
                <w:rFonts w:hint="eastAsia" w:ascii="宋体" w:hAnsi="宋体"/>
              </w:rPr>
              <w:t>＜</w:t>
            </w:r>
            <w:r>
              <w:rPr>
                <w:rFonts w:ascii="宋体" w:hAnsi="宋体"/>
              </w:rPr>
              <w:t>响应转换量</w:t>
            </w:r>
            <w:r>
              <w:rPr>
                <w:rFonts w:hint="eastAsia" w:ascii="宋体" w:hAnsi="宋体"/>
              </w:rPr>
              <w:t>≤</w:t>
            </w:r>
            <w:r>
              <w:rPr>
                <w:rFonts w:ascii="宋体" w:hAnsi="宋体"/>
              </w:rPr>
              <w:t>3</w:t>
            </w:r>
            <w:r>
              <w:rPr>
                <w:rFonts w:hint="eastAsia" w:ascii="宋体" w:hAnsi="宋体"/>
              </w:rPr>
              <w:t>，得0</w:t>
            </w:r>
            <w:r>
              <w:rPr>
                <w:rFonts w:ascii="宋体" w:hAnsi="宋体"/>
              </w:rPr>
              <w:t>.60</w:t>
            </w:r>
            <w:r>
              <w:rPr>
                <w:rFonts w:hint="eastAsia" w:ascii="宋体" w:hAnsi="宋体"/>
              </w:rPr>
              <w:t>分；</w:t>
            </w:r>
          </w:p>
          <w:p>
            <w:pPr>
              <w:pStyle w:val="51"/>
              <w:numPr>
                <w:ilvl w:val="0"/>
                <w:numId w:val="29"/>
              </w:numPr>
              <w:ind w:firstLineChars="0"/>
              <w:rPr>
                <w:rFonts w:ascii="宋体" w:hAnsi="宋体"/>
              </w:rPr>
            </w:pPr>
            <w:r>
              <w:rPr>
                <w:rFonts w:ascii="宋体" w:hAnsi="宋体"/>
              </w:rPr>
              <w:t>3</w:t>
            </w:r>
            <w:r>
              <w:rPr>
                <w:rFonts w:hint="eastAsia" w:ascii="宋体" w:hAnsi="宋体"/>
              </w:rPr>
              <w:t>＜</w:t>
            </w:r>
            <w:r>
              <w:rPr>
                <w:rFonts w:ascii="宋体" w:hAnsi="宋体"/>
              </w:rPr>
              <w:t>响应转换量</w:t>
            </w:r>
            <w:r>
              <w:rPr>
                <w:rFonts w:hint="eastAsia" w:ascii="宋体" w:hAnsi="宋体"/>
              </w:rPr>
              <w:t>≤</w:t>
            </w:r>
            <w:r>
              <w:rPr>
                <w:rFonts w:ascii="宋体" w:hAnsi="宋体"/>
              </w:rPr>
              <w:t>4</w:t>
            </w:r>
            <w:r>
              <w:rPr>
                <w:rFonts w:hint="eastAsia" w:ascii="宋体" w:hAnsi="宋体"/>
              </w:rPr>
              <w:t>，得0</w:t>
            </w:r>
            <w:r>
              <w:rPr>
                <w:rFonts w:ascii="宋体" w:hAnsi="宋体"/>
              </w:rPr>
              <w:t>.85</w:t>
            </w:r>
            <w:r>
              <w:rPr>
                <w:rFonts w:hint="eastAsia" w:ascii="宋体" w:hAnsi="宋体"/>
              </w:rPr>
              <w:t>分；</w:t>
            </w:r>
          </w:p>
          <w:p>
            <w:pPr>
              <w:pStyle w:val="51"/>
              <w:numPr>
                <w:ilvl w:val="0"/>
                <w:numId w:val="29"/>
              </w:numPr>
              <w:ind w:firstLineChars="0"/>
              <w:rPr>
                <w:rFonts w:ascii="宋体" w:hAnsi="宋体"/>
              </w:rPr>
            </w:pPr>
            <w:r>
              <w:rPr>
                <w:rFonts w:ascii="宋体" w:hAnsi="宋体"/>
              </w:rPr>
              <w:t>4</w:t>
            </w:r>
            <w:r>
              <w:rPr>
                <w:rFonts w:hint="eastAsia" w:ascii="宋体" w:hAnsi="宋体"/>
              </w:rPr>
              <w:t>＜</w:t>
            </w:r>
            <w:r>
              <w:rPr>
                <w:rFonts w:ascii="宋体" w:hAnsi="宋体"/>
              </w:rPr>
              <w:t>响应转换量</w:t>
            </w:r>
            <w:r>
              <w:rPr>
                <w:rFonts w:hint="eastAsia" w:ascii="宋体" w:hAnsi="宋体"/>
              </w:rPr>
              <w:t xml:space="preserve"> </w:t>
            </w:r>
            <w:r>
              <w:rPr>
                <w:rFonts w:ascii="宋体" w:hAnsi="宋体"/>
              </w:rPr>
              <w:t xml:space="preserve">  </w:t>
            </w:r>
            <w:r>
              <w:rPr>
                <w:rFonts w:hint="eastAsia" w:ascii="宋体" w:hAnsi="宋体"/>
              </w:rPr>
              <w:t>，得1</w:t>
            </w:r>
            <w:r>
              <w:rPr>
                <w:rFonts w:ascii="宋体" w:hAnsi="宋体"/>
              </w:rPr>
              <w:t>.0</w:t>
            </w:r>
            <w:r>
              <w:rPr>
                <w:rFonts w:hint="eastAsia" w:ascii="宋体" w:hAnsi="宋体"/>
              </w:rPr>
              <w:t>0分。</w:t>
            </w:r>
          </w:p>
        </w:tc>
      </w:tr>
    </w:tbl>
    <w:p>
      <w:pPr>
        <w:pStyle w:val="51"/>
        <w:spacing w:line="360" w:lineRule="auto"/>
        <w:rPr>
          <w:rFonts w:ascii="宋体" w:hAnsi="宋体"/>
          <w:szCs w:val="21"/>
        </w:rPr>
      </w:pPr>
      <w:r>
        <w:rPr>
          <w:rFonts w:ascii="宋体" w:hAnsi="宋体"/>
          <w:szCs w:val="21"/>
        </w:rPr>
        <w:t>注</w:t>
      </w:r>
      <w:r>
        <w:rPr>
          <w:rFonts w:hint="eastAsia" w:ascii="宋体" w:hAnsi="宋体"/>
          <w:szCs w:val="21"/>
        </w:rPr>
        <w:t>：年度常规电能量交易价格≤0</w:t>
      </w:r>
      <w:r>
        <w:rPr>
          <w:rFonts w:ascii="宋体" w:hAnsi="宋体"/>
          <w:szCs w:val="21"/>
        </w:rPr>
        <w:t>.50484元</w:t>
      </w:r>
      <w:r>
        <w:rPr>
          <w:rFonts w:hint="eastAsia" w:ascii="宋体" w:hAnsi="宋体"/>
          <w:szCs w:val="21"/>
        </w:rPr>
        <w:t>/千瓦时。</w:t>
      </w:r>
    </w:p>
    <w:p>
      <w:pPr>
        <w:pStyle w:val="51"/>
        <w:spacing w:line="360" w:lineRule="auto"/>
        <w:ind w:firstLine="480"/>
        <w:rPr>
          <w:rFonts w:ascii="宋体" w:hAnsi="宋体"/>
          <w:sz w:val="24"/>
        </w:rPr>
      </w:pPr>
      <w:r>
        <w:rPr>
          <w:rFonts w:hint="eastAsia" w:ascii="宋体" w:hAnsi="宋体"/>
          <w:sz w:val="24"/>
        </w:rPr>
        <w:t>（3）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pStyle w:val="51"/>
        <w:spacing w:line="360" w:lineRule="auto"/>
        <w:ind w:firstLine="482"/>
        <w:outlineLvl w:val="2"/>
        <w:rPr>
          <w:rFonts w:ascii="宋体" w:hAnsi="宋体"/>
          <w:b/>
          <w:sz w:val="24"/>
        </w:rPr>
      </w:pPr>
      <w:r>
        <w:rPr>
          <w:rFonts w:hint="eastAsia" w:ascii="宋体" w:hAnsi="宋体"/>
          <w:b/>
          <w:sz w:val="24"/>
        </w:rPr>
        <w:t>4</w:t>
      </w:r>
      <w:r>
        <w:rPr>
          <w:rFonts w:ascii="宋体" w:hAnsi="宋体"/>
          <w:b/>
          <w:sz w:val="24"/>
        </w:rPr>
        <w:t>.</w:t>
      </w:r>
      <w:r>
        <w:rPr>
          <w:rFonts w:hint="eastAsia" w:ascii="宋体" w:hAnsi="宋体"/>
          <w:b/>
          <w:sz w:val="24"/>
        </w:rPr>
        <w:t>附加评审</w:t>
      </w:r>
    </w:p>
    <w:tbl>
      <w:tblPr>
        <w:tblStyle w:val="23"/>
        <w:tblW w:w="43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4249"/>
        <w:gridCol w:w="1300"/>
        <w:gridCol w:w="6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502" w:type="pct"/>
            <w:vAlign w:val="center"/>
          </w:tcPr>
          <w:p>
            <w:pPr>
              <w:widowControl/>
              <w:jc w:val="center"/>
              <w:rPr>
                <w:rFonts w:ascii="宋体" w:hAnsi="宋体" w:cs="Arial"/>
                <w:kern w:val="0"/>
              </w:rPr>
            </w:pPr>
            <w:r>
              <w:rPr>
                <w:rFonts w:ascii="宋体" w:hAnsi="宋体" w:cs="Arial"/>
                <w:kern w:val="0"/>
              </w:rPr>
              <w:t>序号</w:t>
            </w:r>
          </w:p>
        </w:tc>
        <w:tc>
          <w:tcPr>
            <w:tcW w:w="1640" w:type="pct"/>
            <w:vAlign w:val="center"/>
          </w:tcPr>
          <w:p>
            <w:pPr>
              <w:widowControl/>
              <w:jc w:val="center"/>
              <w:rPr>
                <w:rFonts w:ascii="宋体" w:hAnsi="宋体" w:cs="Arial"/>
                <w:kern w:val="0"/>
              </w:rPr>
            </w:pPr>
            <w:r>
              <w:rPr>
                <w:rFonts w:ascii="宋体" w:hAnsi="宋体" w:cs="Arial"/>
                <w:kern w:val="0"/>
              </w:rPr>
              <w:t>评分内容</w:t>
            </w:r>
            <w:r>
              <w:rPr>
                <w:rFonts w:hint="eastAsia" w:ascii="宋体" w:hAnsi="宋体" w:cs="Arial"/>
                <w:kern w:val="0"/>
              </w:rPr>
              <w:t>（附加评审）</w:t>
            </w:r>
          </w:p>
        </w:tc>
        <w:tc>
          <w:tcPr>
            <w:tcW w:w="502" w:type="pct"/>
            <w:vAlign w:val="center"/>
          </w:tcPr>
          <w:p>
            <w:pPr>
              <w:widowControl/>
              <w:jc w:val="center"/>
              <w:rPr>
                <w:rFonts w:ascii="宋体" w:hAnsi="宋体" w:cs="Arial"/>
                <w:kern w:val="0"/>
              </w:rPr>
            </w:pPr>
            <w:r>
              <w:rPr>
                <w:rFonts w:ascii="宋体" w:hAnsi="宋体" w:cs="Arial"/>
                <w:kern w:val="0"/>
              </w:rPr>
              <w:t>分值</w:t>
            </w:r>
          </w:p>
        </w:tc>
        <w:tc>
          <w:tcPr>
            <w:tcW w:w="2356" w:type="pct"/>
            <w:vAlign w:val="center"/>
          </w:tcPr>
          <w:p>
            <w:pPr>
              <w:widowControl/>
              <w:jc w:val="center"/>
              <w:rPr>
                <w:rFonts w:ascii="宋体" w:hAnsi="宋体" w:cs="Arial"/>
                <w:kern w:val="0"/>
              </w:rPr>
            </w:pPr>
            <w:r>
              <w:rPr>
                <w:rFonts w:ascii="宋体" w:hAnsi="宋体" w:cs="Arial"/>
                <w:kern w:val="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02" w:type="pct"/>
            <w:vAlign w:val="center"/>
          </w:tcPr>
          <w:p>
            <w:pPr>
              <w:widowControl/>
              <w:jc w:val="center"/>
              <w:rPr>
                <w:rFonts w:ascii="宋体" w:hAnsi="宋体" w:cs="Arial"/>
                <w:kern w:val="0"/>
              </w:rPr>
            </w:pPr>
            <w:r>
              <w:rPr>
                <w:rFonts w:hint="eastAsia" w:ascii="宋体" w:hAnsi="宋体" w:cs="Arial"/>
                <w:kern w:val="0"/>
              </w:rPr>
              <w:t>1</w:t>
            </w:r>
          </w:p>
        </w:tc>
        <w:tc>
          <w:tcPr>
            <w:tcW w:w="1640" w:type="pct"/>
            <w:vAlign w:val="center"/>
          </w:tcPr>
          <w:p>
            <w:pPr>
              <w:widowControl/>
              <w:jc w:val="center"/>
              <w:rPr>
                <w:rFonts w:ascii="宋体" w:hAnsi="宋体" w:cs="Arial"/>
                <w:kern w:val="0"/>
              </w:rPr>
            </w:pPr>
            <w:r>
              <w:rPr>
                <w:rFonts w:hint="eastAsia" w:ascii="宋体" w:hAnsi="宋体" w:cs="Arial"/>
                <w:kern w:val="0"/>
              </w:rPr>
              <w:t>2</w:t>
            </w:r>
            <w:r>
              <w:rPr>
                <w:rFonts w:ascii="宋体" w:hAnsi="宋体" w:cs="Arial"/>
                <w:kern w:val="0"/>
              </w:rPr>
              <w:t>023年度</w:t>
            </w:r>
            <w:r>
              <w:rPr>
                <w:rFonts w:hint="eastAsia" w:ascii="宋体" w:hAnsi="宋体" w:cs="Arial"/>
                <w:kern w:val="0"/>
              </w:rPr>
              <w:t>常规</w:t>
            </w:r>
            <w:r>
              <w:rPr>
                <w:rFonts w:ascii="宋体" w:hAnsi="宋体" w:cs="Arial"/>
                <w:kern w:val="0"/>
              </w:rPr>
              <w:t>电能量交易</w:t>
            </w:r>
          </w:p>
        </w:tc>
        <w:tc>
          <w:tcPr>
            <w:tcW w:w="502" w:type="pct"/>
            <w:vAlign w:val="center"/>
          </w:tcPr>
          <w:p>
            <w:pPr>
              <w:jc w:val="center"/>
              <w:rPr>
                <w:rFonts w:ascii="宋体" w:hAnsi="宋体"/>
              </w:rPr>
            </w:pPr>
            <w:r>
              <w:rPr>
                <w:rFonts w:ascii="宋体" w:hAnsi="宋体"/>
              </w:rPr>
              <w:t>6</w:t>
            </w:r>
          </w:p>
        </w:tc>
        <w:tc>
          <w:tcPr>
            <w:tcW w:w="2356" w:type="pct"/>
            <w:vAlign w:val="center"/>
          </w:tcPr>
          <w:p>
            <w:pPr>
              <w:pStyle w:val="51"/>
              <w:ind w:firstLine="0" w:firstLineChars="0"/>
              <w:rPr>
                <w:rFonts w:ascii="宋体" w:hAnsi="宋体"/>
              </w:rPr>
            </w:pPr>
            <w:r>
              <w:rPr>
                <w:rFonts w:ascii="宋体" w:hAnsi="宋体"/>
              </w:rPr>
              <w:t>单位：</w:t>
            </w:r>
            <w:r>
              <w:rPr>
                <w:rFonts w:hint="eastAsia" w:ascii="宋体" w:hAnsi="宋体"/>
              </w:rPr>
              <w:t>亿</w:t>
            </w:r>
            <w:r>
              <w:rPr>
                <w:rFonts w:ascii="宋体" w:hAnsi="宋体"/>
              </w:rPr>
              <w:t>千瓦时</w:t>
            </w:r>
          </w:p>
          <w:p>
            <w:pPr>
              <w:pStyle w:val="51"/>
              <w:numPr>
                <w:ilvl w:val="0"/>
                <w:numId w:val="30"/>
              </w:numPr>
              <w:ind w:firstLineChars="0"/>
              <w:rPr>
                <w:rFonts w:ascii="宋体" w:hAnsi="宋体"/>
              </w:rPr>
            </w:pPr>
            <w:r>
              <w:rPr>
                <w:rFonts w:ascii="宋体" w:hAnsi="宋体"/>
              </w:rPr>
              <w:t>20</w:t>
            </w:r>
            <w:r>
              <w:rPr>
                <w:rFonts w:hint="eastAsia" w:ascii="宋体" w:hAnsi="宋体"/>
              </w:rPr>
              <w:t>≤合同交易量＜</w:t>
            </w:r>
            <w:r>
              <w:rPr>
                <w:rFonts w:ascii="宋体" w:hAnsi="宋体"/>
              </w:rPr>
              <w:t>25</w:t>
            </w:r>
            <w:r>
              <w:rPr>
                <w:rFonts w:hint="eastAsia" w:ascii="宋体" w:hAnsi="宋体"/>
              </w:rPr>
              <w:t>，得</w:t>
            </w:r>
            <w:r>
              <w:rPr>
                <w:rFonts w:ascii="宋体" w:hAnsi="宋体"/>
              </w:rPr>
              <w:t>1</w:t>
            </w:r>
            <w:r>
              <w:rPr>
                <w:rFonts w:hint="eastAsia" w:ascii="宋体" w:hAnsi="宋体"/>
              </w:rPr>
              <w:t>分；</w:t>
            </w:r>
          </w:p>
          <w:p>
            <w:pPr>
              <w:pStyle w:val="51"/>
              <w:numPr>
                <w:ilvl w:val="0"/>
                <w:numId w:val="30"/>
              </w:numPr>
              <w:ind w:firstLineChars="0"/>
              <w:rPr>
                <w:rFonts w:ascii="宋体" w:hAnsi="宋体"/>
              </w:rPr>
            </w:pPr>
            <w:r>
              <w:rPr>
                <w:rFonts w:ascii="宋体" w:hAnsi="宋体"/>
              </w:rPr>
              <w:t>25</w:t>
            </w:r>
            <w:r>
              <w:rPr>
                <w:rFonts w:hint="eastAsia" w:ascii="宋体" w:hAnsi="宋体"/>
              </w:rPr>
              <w:t>≤合同交易量＜</w:t>
            </w:r>
            <w:r>
              <w:rPr>
                <w:rFonts w:ascii="宋体" w:hAnsi="宋体"/>
              </w:rPr>
              <w:t>30</w:t>
            </w:r>
            <w:r>
              <w:rPr>
                <w:rFonts w:hint="eastAsia" w:ascii="宋体" w:hAnsi="宋体"/>
              </w:rPr>
              <w:t>，得</w:t>
            </w:r>
            <w:r>
              <w:rPr>
                <w:rFonts w:ascii="宋体" w:hAnsi="宋体"/>
              </w:rPr>
              <w:t>2</w:t>
            </w:r>
            <w:r>
              <w:rPr>
                <w:rFonts w:hint="eastAsia" w:ascii="宋体" w:hAnsi="宋体"/>
              </w:rPr>
              <w:t>分；</w:t>
            </w:r>
          </w:p>
          <w:p>
            <w:pPr>
              <w:pStyle w:val="51"/>
              <w:numPr>
                <w:ilvl w:val="0"/>
                <w:numId w:val="30"/>
              </w:numPr>
              <w:ind w:firstLineChars="0"/>
              <w:rPr>
                <w:rFonts w:ascii="宋体" w:hAnsi="宋体"/>
              </w:rPr>
            </w:pPr>
            <w:r>
              <w:rPr>
                <w:rFonts w:ascii="宋体" w:hAnsi="宋体"/>
              </w:rPr>
              <w:t>30</w:t>
            </w:r>
            <w:r>
              <w:rPr>
                <w:rFonts w:hint="eastAsia" w:ascii="宋体" w:hAnsi="宋体"/>
              </w:rPr>
              <w:t>≤合同交易量＜</w:t>
            </w:r>
            <w:r>
              <w:rPr>
                <w:rFonts w:ascii="宋体" w:hAnsi="宋体"/>
              </w:rPr>
              <w:t>40</w:t>
            </w:r>
            <w:r>
              <w:rPr>
                <w:rFonts w:hint="eastAsia" w:ascii="宋体" w:hAnsi="宋体"/>
              </w:rPr>
              <w:t>，得</w:t>
            </w:r>
            <w:r>
              <w:rPr>
                <w:rFonts w:ascii="宋体" w:hAnsi="宋体"/>
              </w:rPr>
              <w:t>3</w:t>
            </w:r>
            <w:r>
              <w:rPr>
                <w:rFonts w:hint="eastAsia" w:ascii="宋体" w:hAnsi="宋体"/>
              </w:rPr>
              <w:t>分；</w:t>
            </w:r>
          </w:p>
          <w:p>
            <w:pPr>
              <w:pStyle w:val="51"/>
              <w:numPr>
                <w:ilvl w:val="0"/>
                <w:numId w:val="30"/>
              </w:numPr>
              <w:ind w:firstLineChars="0"/>
              <w:rPr>
                <w:rFonts w:ascii="宋体" w:hAnsi="宋体"/>
              </w:rPr>
            </w:pPr>
            <w:r>
              <w:rPr>
                <w:rFonts w:ascii="宋体" w:hAnsi="宋体"/>
              </w:rPr>
              <w:t>40</w:t>
            </w:r>
            <w:r>
              <w:rPr>
                <w:rFonts w:hint="eastAsia" w:ascii="宋体" w:hAnsi="宋体"/>
              </w:rPr>
              <w:t>≤合同交易量＜</w:t>
            </w:r>
            <w:r>
              <w:rPr>
                <w:rFonts w:ascii="宋体" w:hAnsi="宋体"/>
              </w:rPr>
              <w:t>50</w:t>
            </w:r>
            <w:r>
              <w:rPr>
                <w:rFonts w:hint="eastAsia" w:ascii="宋体" w:hAnsi="宋体"/>
              </w:rPr>
              <w:t>，得</w:t>
            </w:r>
            <w:r>
              <w:rPr>
                <w:rFonts w:ascii="宋体" w:hAnsi="宋体"/>
              </w:rPr>
              <w:t>4</w:t>
            </w:r>
            <w:r>
              <w:rPr>
                <w:rFonts w:hint="eastAsia" w:ascii="宋体" w:hAnsi="宋体"/>
              </w:rPr>
              <w:t>分；</w:t>
            </w:r>
          </w:p>
          <w:p>
            <w:pPr>
              <w:pStyle w:val="51"/>
              <w:numPr>
                <w:ilvl w:val="0"/>
                <w:numId w:val="30"/>
              </w:numPr>
              <w:ind w:firstLineChars="0"/>
              <w:rPr>
                <w:rFonts w:ascii="宋体" w:hAnsi="宋体"/>
              </w:rPr>
            </w:pPr>
            <w:r>
              <w:rPr>
                <w:rFonts w:ascii="宋体" w:hAnsi="宋体"/>
              </w:rPr>
              <w:t>50</w:t>
            </w:r>
            <w:r>
              <w:rPr>
                <w:rFonts w:hint="eastAsia" w:ascii="宋体" w:hAnsi="宋体"/>
              </w:rPr>
              <w:t>≤合同交易量＜</w:t>
            </w:r>
            <w:r>
              <w:rPr>
                <w:rFonts w:ascii="宋体" w:hAnsi="宋体"/>
              </w:rPr>
              <w:t>70</w:t>
            </w:r>
            <w:r>
              <w:rPr>
                <w:rFonts w:hint="eastAsia" w:ascii="宋体" w:hAnsi="宋体"/>
              </w:rPr>
              <w:t>，得</w:t>
            </w:r>
            <w:r>
              <w:rPr>
                <w:rFonts w:ascii="宋体" w:hAnsi="宋体"/>
              </w:rPr>
              <w:t>5</w:t>
            </w:r>
            <w:r>
              <w:rPr>
                <w:rFonts w:hint="eastAsia" w:ascii="宋体" w:hAnsi="宋体"/>
              </w:rPr>
              <w:t>分；</w:t>
            </w:r>
          </w:p>
          <w:p>
            <w:pPr>
              <w:pStyle w:val="51"/>
              <w:numPr>
                <w:ilvl w:val="0"/>
                <w:numId w:val="30"/>
              </w:numPr>
              <w:ind w:firstLineChars="0"/>
              <w:rPr>
                <w:rFonts w:ascii="宋体" w:hAnsi="宋体" w:cs="Arial"/>
              </w:rPr>
            </w:pPr>
            <w:r>
              <w:rPr>
                <w:rFonts w:ascii="宋体" w:hAnsi="宋体"/>
              </w:rPr>
              <w:t>70</w:t>
            </w:r>
            <w:r>
              <w:rPr>
                <w:rFonts w:hint="eastAsia" w:ascii="宋体" w:hAnsi="宋体"/>
              </w:rPr>
              <w:t xml:space="preserve">≤合同交易量 </w:t>
            </w:r>
            <w:r>
              <w:rPr>
                <w:rFonts w:ascii="宋体" w:hAnsi="宋体"/>
              </w:rPr>
              <w:t xml:space="preserve">   </w:t>
            </w:r>
            <w:r>
              <w:rPr>
                <w:rFonts w:hint="eastAsia" w:ascii="宋体" w:hAnsi="宋体"/>
              </w:rPr>
              <w:t>，</w:t>
            </w:r>
            <w:r>
              <w:rPr>
                <w:rFonts w:ascii="宋体" w:hAnsi="宋体"/>
              </w:rPr>
              <w:t>得6</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02" w:type="pct"/>
            <w:vAlign w:val="center"/>
          </w:tcPr>
          <w:p>
            <w:pPr>
              <w:widowControl/>
              <w:jc w:val="center"/>
              <w:rPr>
                <w:rFonts w:ascii="宋体" w:hAnsi="宋体" w:cs="Arial"/>
                <w:kern w:val="0"/>
              </w:rPr>
            </w:pPr>
            <w:r>
              <w:rPr>
                <w:rFonts w:hint="eastAsia" w:ascii="宋体" w:hAnsi="宋体" w:cs="Arial"/>
                <w:kern w:val="0"/>
              </w:rPr>
              <w:t>2</w:t>
            </w:r>
          </w:p>
        </w:tc>
        <w:tc>
          <w:tcPr>
            <w:tcW w:w="1640" w:type="pct"/>
            <w:vAlign w:val="center"/>
          </w:tcPr>
          <w:p>
            <w:pPr>
              <w:widowControl/>
              <w:jc w:val="center"/>
              <w:rPr>
                <w:rFonts w:ascii="宋体" w:hAnsi="宋体" w:cs="Arial"/>
                <w:kern w:val="0"/>
              </w:rPr>
            </w:pPr>
            <w:r>
              <w:rPr>
                <w:rFonts w:hint="eastAsia" w:ascii="宋体" w:hAnsi="宋体" w:cs="Arial"/>
                <w:kern w:val="0"/>
              </w:rPr>
              <w:t>2</w:t>
            </w:r>
            <w:r>
              <w:rPr>
                <w:rFonts w:ascii="宋体" w:hAnsi="宋体" w:cs="Arial"/>
                <w:kern w:val="0"/>
              </w:rPr>
              <w:t>023年绿色电力交易</w:t>
            </w:r>
          </w:p>
        </w:tc>
        <w:tc>
          <w:tcPr>
            <w:tcW w:w="502" w:type="pct"/>
            <w:vAlign w:val="center"/>
          </w:tcPr>
          <w:p>
            <w:pPr>
              <w:jc w:val="center"/>
              <w:rPr>
                <w:rFonts w:ascii="宋体" w:hAnsi="宋体"/>
              </w:rPr>
            </w:pPr>
            <w:r>
              <w:rPr>
                <w:rFonts w:ascii="宋体" w:hAnsi="宋体"/>
              </w:rPr>
              <w:t>6</w:t>
            </w:r>
          </w:p>
        </w:tc>
        <w:tc>
          <w:tcPr>
            <w:tcW w:w="2356" w:type="pct"/>
            <w:vAlign w:val="center"/>
          </w:tcPr>
          <w:p>
            <w:pPr>
              <w:pStyle w:val="51"/>
              <w:ind w:firstLine="0" w:firstLineChars="0"/>
              <w:rPr>
                <w:rFonts w:ascii="宋体" w:hAnsi="宋体"/>
              </w:rPr>
            </w:pPr>
            <w:r>
              <w:rPr>
                <w:rFonts w:ascii="宋体" w:hAnsi="宋体"/>
              </w:rPr>
              <w:t>单位：亿千瓦时</w:t>
            </w:r>
          </w:p>
          <w:p>
            <w:pPr>
              <w:pStyle w:val="51"/>
              <w:numPr>
                <w:ilvl w:val="0"/>
                <w:numId w:val="31"/>
              </w:numPr>
              <w:ind w:firstLineChars="0"/>
              <w:rPr>
                <w:rFonts w:ascii="宋体" w:hAnsi="宋体"/>
              </w:rPr>
            </w:pPr>
            <w:r>
              <w:rPr>
                <w:rFonts w:ascii="宋体" w:hAnsi="宋体"/>
              </w:rPr>
              <w:t>1</w:t>
            </w:r>
            <w:r>
              <w:rPr>
                <w:rFonts w:hint="eastAsia" w:ascii="宋体" w:hAnsi="宋体"/>
              </w:rPr>
              <w:t>≤合同交易量＜</w:t>
            </w:r>
            <w:r>
              <w:rPr>
                <w:rFonts w:ascii="宋体" w:hAnsi="宋体"/>
              </w:rPr>
              <w:t>2</w:t>
            </w:r>
            <w:r>
              <w:rPr>
                <w:rFonts w:hint="eastAsia" w:ascii="宋体" w:hAnsi="宋体"/>
              </w:rPr>
              <w:t>，得</w:t>
            </w:r>
            <w:r>
              <w:rPr>
                <w:rFonts w:ascii="宋体" w:hAnsi="宋体"/>
              </w:rPr>
              <w:t>1</w:t>
            </w:r>
            <w:r>
              <w:rPr>
                <w:rFonts w:hint="eastAsia" w:ascii="宋体" w:hAnsi="宋体"/>
              </w:rPr>
              <w:t>分；</w:t>
            </w:r>
          </w:p>
          <w:p>
            <w:pPr>
              <w:pStyle w:val="51"/>
              <w:numPr>
                <w:ilvl w:val="0"/>
                <w:numId w:val="31"/>
              </w:numPr>
              <w:ind w:firstLineChars="0"/>
              <w:rPr>
                <w:rFonts w:ascii="宋体" w:hAnsi="宋体"/>
              </w:rPr>
            </w:pPr>
            <w:r>
              <w:rPr>
                <w:rFonts w:ascii="宋体" w:hAnsi="宋体"/>
              </w:rPr>
              <w:t>2</w:t>
            </w:r>
            <w:r>
              <w:rPr>
                <w:rFonts w:hint="eastAsia" w:ascii="宋体" w:hAnsi="宋体"/>
              </w:rPr>
              <w:t>≤合同交易量＜</w:t>
            </w:r>
            <w:r>
              <w:rPr>
                <w:rFonts w:ascii="宋体" w:hAnsi="宋体"/>
              </w:rPr>
              <w:t>3</w:t>
            </w:r>
            <w:r>
              <w:rPr>
                <w:rFonts w:hint="eastAsia" w:ascii="宋体" w:hAnsi="宋体"/>
              </w:rPr>
              <w:t>，得</w:t>
            </w:r>
            <w:r>
              <w:rPr>
                <w:rFonts w:ascii="宋体" w:hAnsi="宋体"/>
              </w:rPr>
              <w:t>2</w:t>
            </w:r>
            <w:r>
              <w:rPr>
                <w:rFonts w:hint="eastAsia" w:ascii="宋体" w:hAnsi="宋体"/>
              </w:rPr>
              <w:t>分；</w:t>
            </w:r>
          </w:p>
          <w:p>
            <w:pPr>
              <w:pStyle w:val="51"/>
              <w:numPr>
                <w:ilvl w:val="0"/>
                <w:numId w:val="31"/>
              </w:numPr>
              <w:ind w:firstLineChars="0"/>
              <w:rPr>
                <w:rFonts w:ascii="宋体" w:hAnsi="宋体"/>
              </w:rPr>
            </w:pPr>
            <w:r>
              <w:rPr>
                <w:rFonts w:ascii="宋体" w:hAnsi="宋体"/>
              </w:rPr>
              <w:t>3</w:t>
            </w:r>
            <w:r>
              <w:rPr>
                <w:rFonts w:hint="eastAsia" w:ascii="宋体" w:hAnsi="宋体"/>
              </w:rPr>
              <w:t>≤合同交易量＜</w:t>
            </w:r>
            <w:r>
              <w:rPr>
                <w:rFonts w:ascii="宋体" w:hAnsi="宋体"/>
              </w:rPr>
              <w:t>4</w:t>
            </w:r>
            <w:r>
              <w:rPr>
                <w:rFonts w:hint="eastAsia" w:ascii="宋体" w:hAnsi="宋体"/>
              </w:rPr>
              <w:t>，得</w:t>
            </w:r>
            <w:r>
              <w:rPr>
                <w:rFonts w:ascii="宋体" w:hAnsi="宋体"/>
              </w:rPr>
              <w:t>3</w:t>
            </w:r>
            <w:r>
              <w:rPr>
                <w:rFonts w:hint="eastAsia" w:ascii="宋体" w:hAnsi="宋体"/>
              </w:rPr>
              <w:t>分；</w:t>
            </w:r>
          </w:p>
          <w:p>
            <w:pPr>
              <w:pStyle w:val="51"/>
              <w:numPr>
                <w:ilvl w:val="0"/>
                <w:numId w:val="31"/>
              </w:numPr>
              <w:ind w:firstLineChars="0"/>
              <w:rPr>
                <w:rFonts w:ascii="宋体" w:hAnsi="宋体"/>
              </w:rPr>
            </w:pPr>
            <w:r>
              <w:rPr>
                <w:rFonts w:ascii="宋体" w:hAnsi="宋体"/>
              </w:rPr>
              <w:t>4</w:t>
            </w:r>
            <w:r>
              <w:rPr>
                <w:rFonts w:hint="eastAsia" w:ascii="宋体" w:hAnsi="宋体"/>
              </w:rPr>
              <w:t>≤合同交易量＜</w:t>
            </w:r>
            <w:r>
              <w:rPr>
                <w:rFonts w:ascii="宋体" w:hAnsi="宋体"/>
              </w:rPr>
              <w:t>6</w:t>
            </w:r>
            <w:r>
              <w:rPr>
                <w:rFonts w:hint="eastAsia" w:ascii="宋体" w:hAnsi="宋体"/>
              </w:rPr>
              <w:t>，得</w:t>
            </w:r>
            <w:r>
              <w:rPr>
                <w:rFonts w:ascii="宋体" w:hAnsi="宋体"/>
              </w:rPr>
              <w:t>4</w:t>
            </w:r>
            <w:r>
              <w:rPr>
                <w:rFonts w:hint="eastAsia" w:ascii="宋体" w:hAnsi="宋体"/>
              </w:rPr>
              <w:t>分；</w:t>
            </w:r>
          </w:p>
          <w:p>
            <w:pPr>
              <w:pStyle w:val="51"/>
              <w:numPr>
                <w:ilvl w:val="0"/>
                <w:numId w:val="31"/>
              </w:numPr>
              <w:ind w:firstLineChars="0"/>
              <w:rPr>
                <w:rFonts w:ascii="宋体" w:hAnsi="宋体"/>
              </w:rPr>
            </w:pPr>
            <w:r>
              <w:rPr>
                <w:rFonts w:ascii="宋体" w:hAnsi="宋体"/>
              </w:rPr>
              <w:t>6</w:t>
            </w:r>
            <w:r>
              <w:rPr>
                <w:rFonts w:hint="eastAsia" w:ascii="宋体" w:hAnsi="宋体"/>
              </w:rPr>
              <w:t>≤合同交易量＜</w:t>
            </w:r>
            <w:r>
              <w:rPr>
                <w:rFonts w:ascii="宋体" w:hAnsi="宋体"/>
              </w:rPr>
              <w:t>8</w:t>
            </w:r>
            <w:r>
              <w:rPr>
                <w:rFonts w:hint="eastAsia" w:ascii="宋体" w:hAnsi="宋体"/>
              </w:rPr>
              <w:t>，得</w:t>
            </w:r>
            <w:r>
              <w:rPr>
                <w:rFonts w:ascii="宋体" w:hAnsi="宋体"/>
              </w:rPr>
              <w:t>5</w:t>
            </w:r>
            <w:r>
              <w:rPr>
                <w:rFonts w:hint="eastAsia" w:ascii="宋体" w:hAnsi="宋体"/>
              </w:rPr>
              <w:t>分；</w:t>
            </w:r>
          </w:p>
          <w:p>
            <w:pPr>
              <w:pStyle w:val="51"/>
              <w:numPr>
                <w:ilvl w:val="0"/>
                <w:numId w:val="31"/>
              </w:numPr>
              <w:ind w:firstLineChars="0"/>
              <w:rPr>
                <w:rFonts w:ascii="宋体" w:hAnsi="宋体"/>
              </w:rPr>
            </w:pPr>
            <w:r>
              <w:rPr>
                <w:rFonts w:ascii="宋体" w:hAnsi="宋体"/>
              </w:rPr>
              <w:t>8</w:t>
            </w:r>
            <w:r>
              <w:rPr>
                <w:rFonts w:hint="eastAsia" w:ascii="宋体" w:hAnsi="宋体"/>
              </w:rPr>
              <w:t xml:space="preserve">≤合同交易量 </w:t>
            </w:r>
            <w:r>
              <w:rPr>
                <w:rFonts w:ascii="宋体" w:hAnsi="宋体"/>
              </w:rPr>
              <w:t xml:space="preserve">  </w:t>
            </w:r>
            <w:r>
              <w:rPr>
                <w:rFonts w:hint="eastAsia" w:ascii="宋体" w:hAnsi="宋体"/>
              </w:rPr>
              <w:t>，</w:t>
            </w:r>
            <w:r>
              <w:rPr>
                <w:rFonts w:ascii="宋体" w:hAnsi="宋体"/>
              </w:rPr>
              <w:t>得6</w:t>
            </w:r>
            <w:r>
              <w:rPr>
                <w:rFonts w:hint="eastAsia" w:ascii="宋体" w:hAnsi="宋体"/>
              </w:rPr>
              <w:t>分。</w:t>
            </w:r>
          </w:p>
        </w:tc>
      </w:tr>
    </w:tbl>
    <w:p>
      <w:pPr>
        <w:pStyle w:val="51"/>
        <w:spacing w:line="360" w:lineRule="auto"/>
        <w:ind w:firstLine="482"/>
        <w:outlineLvl w:val="2"/>
        <w:rPr>
          <w:rFonts w:ascii="宋体" w:hAnsi="宋体"/>
          <w:b/>
          <w:sz w:val="24"/>
        </w:rPr>
      </w:pPr>
      <w:r>
        <w:rPr>
          <w:rFonts w:ascii="宋体" w:hAnsi="宋体"/>
          <w:b/>
          <w:sz w:val="24"/>
        </w:rPr>
        <w:t>5</w:t>
      </w:r>
      <w:r>
        <w:rPr>
          <w:rFonts w:hint="eastAsia" w:ascii="宋体" w:hAnsi="宋体"/>
          <w:b/>
          <w:sz w:val="24"/>
        </w:rPr>
        <w:t>.澄清或补正</w:t>
      </w:r>
    </w:p>
    <w:p>
      <w:pPr>
        <w:pStyle w:val="51"/>
        <w:spacing w:line="360" w:lineRule="auto"/>
        <w:ind w:firstLine="480"/>
        <w:rPr>
          <w:rFonts w:ascii="宋体" w:hAnsi="宋体"/>
          <w:sz w:val="24"/>
        </w:rPr>
      </w:pPr>
      <w:r>
        <w:rPr>
          <w:rFonts w:hint="eastAsia" w:ascii="宋体" w:hAnsi="宋体"/>
          <w:sz w:val="24"/>
        </w:rPr>
        <w:t>（1）在评审阶段，评审委员会认为必要时，可书面通知比选申请人要求其澄清或补正比选申请文件中的问题，或者要求其补充某些资料。对此，比选申请人不得拒绝。</w:t>
      </w:r>
    </w:p>
    <w:p>
      <w:pPr>
        <w:pStyle w:val="51"/>
        <w:spacing w:line="360" w:lineRule="auto"/>
        <w:ind w:firstLine="480"/>
        <w:rPr>
          <w:rFonts w:ascii="宋体" w:hAnsi="宋体"/>
          <w:sz w:val="24"/>
        </w:rPr>
      </w:pPr>
      <w:r>
        <w:rPr>
          <w:rFonts w:hint="eastAsia" w:ascii="宋体" w:hAnsi="宋体"/>
          <w:sz w:val="24"/>
        </w:rPr>
        <w:t>（2）比选申请人须以书面形式提供澄清或补正文件，经评审委员会确认方可作为比选申请文件的组成部分。</w:t>
      </w:r>
    </w:p>
    <w:p>
      <w:pPr>
        <w:pStyle w:val="51"/>
        <w:spacing w:line="360" w:lineRule="auto"/>
        <w:ind w:firstLine="480"/>
        <w:rPr>
          <w:rFonts w:ascii="宋体" w:hAnsi="宋体"/>
          <w:sz w:val="24"/>
        </w:rPr>
      </w:pPr>
      <w:r>
        <w:rPr>
          <w:rFonts w:hint="eastAsia" w:ascii="宋体" w:hAnsi="宋体"/>
          <w:sz w:val="24"/>
        </w:rPr>
        <w:t>（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pStyle w:val="51"/>
        <w:spacing w:line="360" w:lineRule="auto"/>
        <w:ind w:firstLine="480"/>
        <w:rPr>
          <w:rFonts w:ascii="宋体" w:hAnsi="宋体"/>
          <w:sz w:val="24"/>
        </w:rPr>
      </w:pPr>
      <w:r>
        <w:rPr>
          <w:rFonts w:hint="eastAsia" w:ascii="宋体" w:hAnsi="宋体"/>
          <w:sz w:val="24"/>
        </w:rPr>
        <w:t>（4）如果评审委员会对比选申请人提交的澄清、说明或补正依然存有疑问，可以对比选申请人进一步质疑。比选申请人应当相应地进一步澄清、说明或补正，直至评审委员会认为全部质疑得到解答。</w:t>
      </w:r>
    </w:p>
    <w:p>
      <w:pPr>
        <w:pStyle w:val="51"/>
        <w:spacing w:line="360" w:lineRule="auto"/>
        <w:ind w:firstLine="480"/>
        <w:rPr>
          <w:rFonts w:ascii="宋体" w:hAnsi="宋体"/>
          <w:sz w:val="24"/>
        </w:rPr>
      </w:pPr>
      <w:r>
        <w:rPr>
          <w:rFonts w:hint="eastAsia" w:ascii="宋体" w:hAnsi="宋体"/>
          <w:sz w:val="24"/>
        </w:rPr>
        <w:t>（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pStyle w:val="51"/>
        <w:spacing w:line="360" w:lineRule="auto"/>
        <w:ind w:firstLine="482"/>
        <w:outlineLvl w:val="2"/>
        <w:rPr>
          <w:rFonts w:ascii="宋体" w:hAnsi="宋体"/>
          <w:b/>
          <w:sz w:val="24"/>
        </w:rPr>
      </w:pPr>
      <w:r>
        <w:rPr>
          <w:rFonts w:ascii="宋体" w:hAnsi="宋体"/>
          <w:b/>
          <w:sz w:val="24"/>
        </w:rPr>
        <w:t>6</w:t>
      </w:r>
      <w:r>
        <w:rPr>
          <w:rFonts w:hint="eastAsia" w:ascii="宋体" w:hAnsi="宋体"/>
          <w:b/>
          <w:sz w:val="24"/>
        </w:rPr>
        <w:t>.评审报告</w:t>
      </w:r>
    </w:p>
    <w:p>
      <w:pPr>
        <w:pStyle w:val="51"/>
        <w:spacing w:line="360" w:lineRule="auto"/>
        <w:ind w:firstLine="480"/>
        <w:rPr>
          <w:rFonts w:ascii="宋体" w:hAnsi="宋体"/>
          <w:sz w:val="24"/>
        </w:rPr>
      </w:pPr>
      <w:r>
        <w:rPr>
          <w:rFonts w:hint="eastAsia" w:ascii="宋体" w:hAnsi="宋体"/>
          <w:sz w:val="24"/>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pPr>
        <w:pStyle w:val="51"/>
        <w:spacing w:line="360" w:lineRule="auto"/>
        <w:ind w:firstLine="482"/>
        <w:outlineLvl w:val="2"/>
        <w:rPr>
          <w:rFonts w:ascii="宋体" w:hAnsi="宋体"/>
          <w:b/>
          <w:sz w:val="24"/>
        </w:rPr>
      </w:pPr>
      <w:r>
        <w:rPr>
          <w:rFonts w:ascii="宋体" w:hAnsi="宋体"/>
          <w:b/>
          <w:sz w:val="24"/>
        </w:rPr>
        <w:t>7</w:t>
      </w:r>
      <w:r>
        <w:rPr>
          <w:rFonts w:hint="eastAsia" w:ascii="宋体" w:hAnsi="宋体"/>
          <w:b/>
          <w:sz w:val="24"/>
        </w:rPr>
        <w:t>. 否决比选申请条件</w:t>
      </w:r>
    </w:p>
    <w:p>
      <w:pPr>
        <w:pStyle w:val="51"/>
        <w:spacing w:line="360" w:lineRule="auto"/>
        <w:ind w:firstLine="480"/>
        <w:rPr>
          <w:rFonts w:ascii="宋体" w:hAnsi="宋体"/>
          <w:sz w:val="24"/>
        </w:rPr>
      </w:pPr>
      <w:r>
        <w:rPr>
          <w:rFonts w:hint="eastAsia" w:ascii="宋体" w:hAnsi="宋体"/>
          <w:sz w:val="24"/>
        </w:rPr>
        <w:t>比选申请文件有下列情形之一的，评审委员会应按否决比选申请处理：</w:t>
      </w:r>
    </w:p>
    <w:p>
      <w:pPr>
        <w:pStyle w:val="51"/>
        <w:spacing w:line="360" w:lineRule="auto"/>
        <w:ind w:firstLine="480"/>
        <w:rPr>
          <w:rFonts w:ascii="宋体" w:hAnsi="宋体"/>
          <w:sz w:val="24"/>
        </w:rPr>
      </w:pPr>
      <w:r>
        <w:rPr>
          <w:rFonts w:hint="eastAsia" w:ascii="宋体" w:hAnsi="宋体"/>
          <w:sz w:val="24"/>
        </w:rPr>
        <w:t>（1）</w:t>
      </w:r>
      <w:r>
        <w:rPr>
          <w:rFonts w:hint="eastAsia" w:ascii="宋体" w:hAnsi="宋体"/>
          <w:bCs/>
          <w:sz w:val="24"/>
        </w:rPr>
        <w:t>不按比选文件第二章第1</w:t>
      </w:r>
      <w:r>
        <w:rPr>
          <w:rFonts w:ascii="宋体" w:hAnsi="宋体"/>
          <w:bCs/>
          <w:sz w:val="24"/>
        </w:rPr>
        <w:t>2</w:t>
      </w:r>
      <w:r>
        <w:rPr>
          <w:rFonts w:hint="eastAsia" w:ascii="宋体" w:hAnsi="宋体"/>
          <w:bCs/>
          <w:sz w:val="24"/>
        </w:rPr>
        <w:t>条要求装订、包封的；</w:t>
      </w:r>
    </w:p>
    <w:p>
      <w:pPr>
        <w:pStyle w:val="51"/>
        <w:spacing w:line="360" w:lineRule="auto"/>
        <w:ind w:firstLine="480"/>
        <w:rPr>
          <w:rFonts w:ascii="宋体" w:hAnsi="宋体"/>
          <w:bCs/>
          <w:sz w:val="24"/>
        </w:rPr>
      </w:pPr>
      <w:r>
        <w:rPr>
          <w:rFonts w:hint="eastAsia" w:ascii="宋体" w:hAnsi="宋体"/>
          <w:sz w:val="24"/>
        </w:rPr>
        <w:t>（2）</w:t>
      </w:r>
      <w:r>
        <w:rPr>
          <w:rFonts w:hint="eastAsia" w:ascii="宋体" w:hAnsi="宋体"/>
          <w:bCs/>
          <w:sz w:val="24"/>
        </w:rPr>
        <w:t>比选申请文件的关键内容字迹模糊、辨认不清的；</w:t>
      </w:r>
    </w:p>
    <w:p>
      <w:pPr>
        <w:pStyle w:val="51"/>
        <w:spacing w:line="360" w:lineRule="auto"/>
        <w:ind w:firstLine="480"/>
        <w:rPr>
          <w:rFonts w:ascii="宋体" w:hAnsi="宋体"/>
          <w:sz w:val="24"/>
        </w:rPr>
      </w:pPr>
      <w:r>
        <w:rPr>
          <w:rFonts w:ascii="宋体" w:hAnsi="宋体"/>
          <w:bCs/>
          <w:sz w:val="24"/>
        </w:rPr>
        <w:t>（</w:t>
      </w:r>
      <w:r>
        <w:rPr>
          <w:rFonts w:hint="eastAsia" w:ascii="宋体" w:hAnsi="宋体"/>
          <w:bCs/>
          <w:sz w:val="24"/>
        </w:rPr>
        <w:t>3</w:t>
      </w:r>
      <w:r>
        <w:rPr>
          <w:rFonts w:ascii="宋体" w:hAnsi="宋体"/>
          <w:bCs/>
          <w:sz w:val="24"/>
        </w:rPr>
        <w:t>）</w:t>
      </w:r>
      <w:r>
        <w:rPr>
          <w:rFonts w:hint="eastAsia" w:ascii="宋体" w:hAnsi="宋体"/>
          <w:sz w:val="24"/>
        </w:rPr>
        <w:t>不符合附表一《资格审查表》规定的；</w:t>
      </w:r>
    </w:p>
    <w:p>
      <w:pPr>
        <w:pStyle w:val="51"/>
        <w:spacing w:line="360" w:lineRule="auto"/>
        <w:ind w:firstLine="48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）不符合附表二《技术符合性评审表》规定的；</w:t>
      </w:r>
    </w:p>
    <w:p>
      <w:pPr>
        <w:pStyle w:val="51"/>
        <w:spacing w:line="360" w:lineRule="auto"/>
        <w:ind w:firstLine="48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）法定代表人未按规定出具授权委托书的(采用委托代理人形式的)；</w:t>
      </w:r>
    </w:p>
    <w:p>
      <w:pPr>
        <w:pStyle w:val="51"/>
        <w:spacing w:line="360" w:lineRule="auto"/>
        <w:ind w:firstLine="48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）在比选申请文件中有虚假文件和/或资料的；</w:t>
      </w:r>
    </w:p>
    <w:p>
      <w:pPr>
        <w:pStyle w:val="51"/>
        <w:spacing w:line="360" w:lineRule="auto"/>
        <w:ind w:firstLine="480"/>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）比选申请文件中附有比选人不能接受的条件；</w:t>
      </w:r>
    </w:p>
    <w:p>
      <w:pPr>
        <w:pStyle w:val="51"/>
        <w:spacing w:line="360" w:lineRule="auto"/>
        <w:ind w:firstLine="480"/>
      </w:pPr>
      <w:r>
        <w:rPr>
          <w:rFonts w:hint="eastAsia" w:ascii="宋体" w:hAnsi="宋体"/>
          <w:sz w:val="24"/>
        </w:rPr>
        <w:t>（</w:t>
      </w:r>
      <w:r>
        <w:rPr>
          <w:rFonts w:ascii="宋体" w:hAnsi="宋体"/>
          <w:sz w:val="24"/>
        </w:rPr>
        <w:t>8</w:t>
      </w:r>
      <w:r>
        <w:rPr>
          <w:rFonts w:hint="eastAsia" w:ascii="宋体" w:hAnsi="宋体"/>
          <w:sz w:val="24"/>
        </w:rPr>
        <w:t>）比选申请文件实质上不响应比选文件的要求的；</w:t>
      </w:r>
    </w:p>
    <w:p>
      <w:pPr>
        <w:pStyle w:val="51"/>
        <w:spacing w:line="360" w:lineRule="auto"/>
        <w:ind w:firstLine="480"/>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 xml:space="preserve">）比选申请人以经评审委员会评审认定为低于成本的报价竞标； </w:t>
      </w:r>
    </w:p>
    <w:p>
      <w:pPr>
        <w:pStyle w:val="51"/>
        <w:spacing w:line="360" w:lineRule="auto"/>
        <w:ind w:firstLine="480"/>
        <w:rPr>
          <w:rFonts w:ascii="宋体" w:hAnsi="宋体"/>
          <w:sz w:val="24"/>
        </w:rPr>
      </w:pPr>
      <w:r>
        <w:rPr>
          <w:rFonts w:hint="eastAsia" w:ascii="宋体" w:hAnsi="宋体"/>
          <w:sz w:val="24"/>
        </w:rPr>
        <w:t>（</w:t>
      </w:r>
      <w:r>
        <w:rPr>
          <w:rFonts w:ascii="宋体" w:hAnsi="宋体"/>
          <w:sz w:val="24"/>
        </w:rPr>
        <w:t>10</w:t>
      </w:r>
      <w:r>
        <w:rPr>
          <w:rFonts w:hint="eastAsia" w:ascii="宋体" w:hAnsi="宋体"/>
          <w:sz w:val="24"/>
        </w:rPr>
        <w:t>）比选申请人扰乱会场秩序，经劝阻仍然无理取闹的；</w:t>
      </w:r>
    </w:p>
    <w:p>
      <w:pPr>
        <w:pStyle w:val="51"/>
        <w:spacing w:line="360" w:lineRule="auto"/>
        <w:ind w:firstLine="480"/>
        <w:rPr>
          <w:rFonts w:ascii="宋体" w:hAnsi="宋体"/>
          <w:sz w:val="24"/>
        </w:rPr>
      </w:pPr>
      <w:r>
        <w:rPr>
          <w:rFonts w:hint="eastAsia" w:ascii="宋体" w:hAnsi="宋体"/>
          <w:sz w:val="24"/>
        </w:rPr>
        <w:t>（</w:t>
      </w:r>
      <w:r>
        <w:rPr>
          <w:rFonts w:ascii="宋体" w:hAnsi="宋体"/>
          <w:sz w:val="24"/>
        </w:rPr>
        <w:t>11</w:t>
      </w:r>
      <w:r>
        <w:rPr>
          <w:rFonts w:hint="eastAsia" w:ascii="宋体" w:hAnsi="宋体"/>
          <w:sz w:val="24"/>
        </w:rPr>
        <w:t>）比选申请人未能按照评审委员会要求，对其比选申请文件进行澄清、说明和补正的；</w:t>
      </w:r>
    </w:p>
    <w:p>
      <w:pPr>
        <w:pStyle w:val="51"/>
        <w:spacing w:line="360" w:lineRule="auto"/>
        <w:ind w:firstLine="480"/>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）比选申请人以他人的名义比选申请、串通比选申请、以行贿手段谋取中选或者以其他弄虚作假方式比选申请的。</w:t>
      </w:r>
    </w:p>
    <w:p>
      <w:pPr>
        <w:widowControl/>
        <w:jc w:val="left"/>
        <w:rPr>
          <w:rFonts w:ascii="宋体" w:hAnsi="宋体"/>
          <w:sz w:val="24"/>
        </w:rPr>
      </w:pPr>
      <w:r>
        <w:rPr>
          <w:rFonts w:ascii="宋体" w:hAnsi="宋体"/>
          <w:sz w:val="24"/>
        </w:rPr>
        <w:br w:type="page"/>
      </w:r>
    </w:p>
    <w:p>
      <w:pPr>
        <w:spacing w:before="156" w:beforeLines="50"/>
        <w:outlineLvl w:val="1"/>
        <w:rPr>
          <w:rFonts w:ascii="宋体" w:hAnsi="宋体"/>
          <w:b/>
          <w:sz w:val="24"/>
        </w:rPr>
      </w:pPr>
      <w:bookmarkStart w:id="246" w:name="_Toc121082027"/>
      <w:r>
        <w:rPr>
          <w:rFonts w:ascii="宋体" w:hAnsi="宋体"/>
          <w:b/>
          <w:sz w:val="24"/>
        </w:rPr>
        <w:t>附表一</w:t>
      </w:r>
      <w:r>
        <w:rPr>
          <w:rFonts w:hint="eastAsia" w:ascii="宋体" w:hAnsi="宋体"/>
          <w:b/>
          <w:sz w:val="24"/>
        </w:rPr>
        <w:t xml:space="preserve"> </w:t>
      </w:r>
      <w:r>
        <w:rPr>
          <w:rFonts w:ascii="宋体" w:hAnsi="宋体"/>
          <w:b/>
          <w:sz w:val="24"/>
        </w:rPr>
        <w:t>资格审查表</w:t>
      </w:r>
      <w:bookmarkEnd w:id="246"/>
    </w:p>
    <w:p>
      <w:pPr>
        <w:spacing w:before="312" w:beforeLines="100" w:after="312" w:afterLines="100" w:line="360" w:lineRule="auto"/>
        <w:jc w:val="center"/>
        <w:rPr>
          <w:rFonts w:ascii="宋体" w:hAnsi="宋体"/>
          <w:b/>
          <w:sz w:val="24"/>
        </w:rPr>
      </w:pPr>
      <w:r>
        <w:rPr>
          <w:rFonts w:ascii="宋体" w:hAnsi="宋体"/>
          <w:b/>
          <w:sz w:val="24"/>
        </w:rPr>
        <w:t>资格审查表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3161"/>
        <w:gridCol w:w="7674"/>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jc w:val="center"/>
              <w:rPr>
                <w:rFonts w:ascii="宋体" w:hAnsi="宋体"/>
              </w:rPr>
            </w:pPr>
            <w:r>
              <w:rPr>
                <w:rFonts w:hint="eastAsia" w:ascii="宋体" w:hAnsi="宋体"/>
              </w:rPr>
              <w:t>序号</w:t>
            </w:r>
          </w:p>
        </w:tc>
        <w:tc>
          <w:tcPr>
            <w:tcW w:w="1069" w:type="pct"/>
            <w:vAlign w:val="center"/>
          </w:tcPr>
          <w:p>
            <w:pPr>
              <w:jc w:val="center"/>
              <w:rPr>
                <w:rFonts w:ascii="宋体" w:hAnsi="宋体"/>
              </w:rPr>
            </w:pPr>
            <w:r>
              <w:rPr>
                <w:rFonts w:hint="eastAsia" w:ascii="宋体" w:hAnsi="宋体"/>
              </w:rPr>
              <w:t>项目内容</w:t>
            </w:r>
          </w:p>
        </w:tc>
        <w:tc>
          <w:tcPr>
            <w:tcW w:w="2595" w:type="pct"/>
            <w:vAlign w:val="center"/>
          </w:tcPr>
          <w:p>
            <w:pPr>
              <w:jc w:val="center"/>
              <w:rPr>
                <w:rFonts w:ascii="宋体" w:hAnsi="宋体"/>
              </w:rPr>
            </w:pPr>
            <w:r>
              <w:rPr>
                <w:rFonts w:hint="eastAsia" w:ascii="宋体" w:hAnsi="宋体"/>
              </w:rPr>
              <w:t>合格条件标准</w:t>
            </w:r>
          </w:p>
        </w:tc>
        <w:tc>
          <w:tcPr>
            <w:tcW w:w="973" w:type="pct"/>
            <w:vAlign w:val="center"/>
          </w:tcPr>
          <w:p>
            <w:pPr>
              <w:jc w:val="center"/>
              <w:rPr>
                <w:rFonts w:ascii="宋体" w:hAnsi="宋体"/>
              </w:rPr>
            </w:pPr>
            <w:r>
              <w:rPr>
                <w:rFonts w:hint="eastAsia" w:ascii="宋体" w:hAnsi="宋体"/>
              </w:rPr>
              <w:t>审查结论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jc w:val="center"/>
              <w:rPr>
                <w:rFonts w:ascii="宋体" w:hAnsi="宋体"/>
              </w:rPr>
            </w:pPr>
            <w:r>
              <w:rPr>
                <w:rFonts w:hint="eastAsia" w:ascii="宋体" w:hAnsi="宋体"/>
              </w:rPr>
              <w:t>1</w:t>
            </w:r>
          </w:p>
        </w:tc>
        <w:tc>
          <w:tcPr>
            <w:tcW w:w="1069" w:type="pct"/>
            <w:vAlign w:val="center"/>
          </w:tcPr>
          <w:p>
            <w:pPr>
              <w:rPr>
                <w:rFonts w:ascii="宋体" w:hAnsi="宋体"/>
              </w:rPr>
            </w:pPr>
            <w:r>
              <w:rPr>
                <w:rFonts w:hint="eastAsia" w:ascii="宋体" w:hAnsi="宋体"/>
              </w:rPr>
              <w:t>诚信声明</w:t>
            </w:r>
          </w:p>
        </w:tc>
        <w:tc>
          <w:tcPr>
            <w:tcW w:w="2595" w:type="pct"/>
            <w:vAlign w:val="center"/>
          </w:tcPr>
          <w:p>
            <w:pPr>
              <w:ind w:firstLine="420" w:firstLineChars="200"/>
              <w:rPr>
                <w:rFonts w:ascii="宋体" w:hAnsi="宋体"/>
              </w:rPr>
            </w:pPr>
            <w:r>
              <w:rPr>
                <w:rFonts w:hint="eastAsia" w:ascii="宋体" w:hAnsi="宋体"/>
              </w:rPr>
              <w:t>按比选文件要求提供有效的诚信声明。</w:t>
            </w:r>
          </w:p>
        </w:tc>
        <w:tc>
          <w:tcPr>
            <w:tcW w:w="973" w:type="pct"/>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jc w:val="center"/>
              <w:rPr>
                <w:rFonts w:ascii="宋体" w:hAnsi="宋体"/>
              </w:rPr>
            </w:pPr>
            <w:r>
              <w:rPr>
                <w:rFonts w:hint="eastAsia" w:ascii="宋体" w:hAnsi="宋体"/>
              </w:rPr>
              <w:t>2</w:t>
            </w:r>
          </w:p>
        </w:tc>
        <w:tc>
          <w:tcPr>
            <w:tcW w:w="1069" w:type="pct"/>
            <w:vAlign w:val="center"/>
          </w:tcPr>
          <w:p>
            <w:pPr>
              <w:rPr>
                <w:rFonts w:ascii="宋体" w:hAnsi="宋体"/>
              </w:rPr>
            </w:pPr>
            <w:r>
              <w:rPr>
                <w:rFonts w:hint="eastAsia" w:ascii="宋体" w:hAnsi="宋体"/>
              </w:rPr>
              <w:t>法定代表人资格证明书</w:t>
            </w:r>
          </w:p>
        </w:tc>
        <w:tc>
          <w:tcPr>
            <w:tcW w:w="2595" w:type="pct"/>
            <w:vAlign w:val="center"/>
          </w:tcPr>
          <w:p>
            <w:pPr>
              <w:ind w:firstLine="420" w:firstLineChars="200"/>
              <w:rPr>
                <w:rFonts w:ascii="宋体" w:hAnsi="宋体"/>
              </w:rPr>
            </w:pPr>
            <w:r>
              <w:rPr>
                <w:rFonts w:hint="eastAsia" w:ascii="宋体" w:hAnsi="宋体"/>
              </w:rPr>
              <w:t>按比选文件要求提供有效的法定代表人资格证明书</w:t>
            </w:r>
          </w:p>
        </w:tc>
        <w:tc>
          <w:tcPr>
            <w:tcW w:w="973" w:type="pct"/>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jc w:val="center"/>
              <w:rPr>
                <w:rFonts w:ascii="宋体" w:hAnsi="宋体"/>
              </w:rPr>
            </w:pPr>
            <w:r>
              <w:rPr>
                <w:rFonts w:hint="eastAsia" w:ascii="宋体" w:hAnsi="宋体"/>
              </w:rPr>
              <w:t>3</w:t>
            </w:r>
          </w:p>
        </w:tc>
        <w:tc>
          <w:tcPr>
            <w:tcW w:w="1069" w:type="pct"/>
            <w:vAlign w:val="center"/>
          </w:tcPr>
          <w:p>
            <w:pPr>
              <w:rPr>
                <w:rFonts w:ascii="宋体" w:hAnsi="宋体"/>
              </w:rPr>
            </w:pPr>
            <w:r>
              <w:rPr>
                <w:rFonts w:hint="eastAsia" w:ascii="宋体" w:hAnsi="宋体"/>
              </w:rPr>
              <w:t>授权委托书</w:t>
            </w:r>
          </w:p>
        </w:tc>
        <w:tc>
          <w:tcPr>
            <w:tcW w:w="2595" w:type="pct"/>
            <w:vAlign w:val="center"/>
          </w:tcPr>
          <w:p>
            <w:pPr>
              <w:ind w:firstLine="420" w:firstLineChars="200"/>
              <w:rPr>
                <w:rFonts w:ascii="宋体" w:hAnsi="宋体"/>
              </w:rPr>
            </w:pPr>
            <w:r>
              <w:rPr>
                <w:rFonts w:hint="eastAsia" w:ascii="宋体" w:hAnsi="宋体"/>
              </w:rPr>
              <w:t>按比选文件要求提供有效的比选申请人代表授权委托书</w:t>
            </w:r>
          </w:p>
        </w:tc>
        <w:tc>
          <w:tcPr>
            <w:tcW w:w="973" w:type="pct"/>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jc w:val="center"/>
              <w:rPr>
                <w:rFonts w:ascii="宋体" w:hAnsi="宋体"/>
              </w:rPr>
            </w:pPr>
            <w:r>
              <w:rPr>
                <w:rFonts w:hint="eastAsia" w:ascii="宋体" w:hAnsi="宋体"/>
              </w:rPr>
              <w:t>4</w:t>
            </w:r>
          </w:p>
        </w:tc>
        <w:tc>
          <w:tcPr>
            <w:tcW w:w="1069" w:type="pct"/>
            <w:vAlign w:val="center"/>
          </w:tcPr>
          <w:p>
            <w:pPr>
              <w:rPr>
                <w:rFonts w:ascii="宋体" w:hAnsi="宋体"/>
              </w:rPr>
            </w:pPr>
            <w:r>
              <w:rPr>
                <w:rFonts w:hint="eastAsia" w:ascii="宋体" w:hAnsi="宋体"/>
              </w:rPr>
              <w:t>保密承诺书</w:t>
            </w:r>
          </w:p>
        </w:tc>
        <w:tc>
          <w:tcPr>
            <w:tcW w:w="2595" w:type="pct"/>
            <w:vAlign w:val="center"/>
          </w:tcPr>
          <w:p>
            <w:pPr>
              <w:ind w:firstLine="420" w:firstLineChars="200"/>
              <w:rPr>
                <w:rFonts w:ascii="宋体" w:hAnsi="宋体"/>
              </w:rPr>
            </w:pPr>
            <w:r>
              <w:rPr>
                <w:rFonts w:hint="eastAsia" w:ascii="宋体" w:hAnsi="宋体"/>
              </w:rPr>
              <w:t>按比选文件要求提供有效的保密承诺书</w:t>
            </w:r>
          </w:p>
        </w:tc>
        <w:tc>
          <w:tcPr>
            <w:tcW w:w="973" w:type="pct"/>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jc w:val="center"/>
              <w:rPr>
                <w:rFonts w:ascii="宋体" w:hAnsi="宋体"/>
              </w:rPr>
            </w:pPr>
            <w:r>
              <w:rPr>
                <w:rFonts w:hint="eastAsia" w:ascii="宋体" w:hAnsi="宋体"/>
              </w:rPr>
              <w:t>5</w:t>
            </w:r>
          </w:p>
        </w:tc>
        <w:tc>
          <w:tcPr>
            <w:tcW w:w="1069" w:type="pct"/>
            <w:vAlign w:val="center"/>
          </w:tcPr>
          <w:p>
            <w:pPr>
              <w:rPr>
                <w:rFonts w:ascii="宋体" w:hAnsi="宋体"/>
              </w:rPr>
            </w:pPr>
            <w:r>
              <w:rPr>
                <w:rFonts w:hint="eastAsia" w:ascii="宋体" w:hAnsi="宋体"/>
              </w:rPr>
              <w:t>市场主体公开信息查询截图</w:t>
            </w:r>
          </w:p>
        </w:tc>
        <w:tc>
          <w:tcPr>
            <w:tcW w:w="2595" w:type="pct"/>
            <w:vAlign w:val="center"/>
          </w:tcPr>
          <w:p>
            <w:pPr>
              <w:ind w:firstLine="420" w:firstLineChars="200"/>
              <w:rPr>
                <w:rFonts w:ascii="宋体" w:hAnsi="宋体"/>
              </w:rPr>
            </w:pPr>
            <w:r>
              <w:rPr>
                <w:rFonts w:hint="eastAsia" w:ascii="宋体" w:hAnsi="宋体"/>
              </w:rPr>
              <w:t>按比选文件要求提供有效的市场主体公开信息查询截图。</w:t>
            </w:r>
          </w:p>
        </w:tc>
        <w:tc>
          <w:tcPr>
            <w:tcW w:w="973" w:type="pct"/>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jc w:val="center"/>
              <w:rPr>
                <w:rFonts w:ascii="宋体" w:hAnsi="宋体"/>
              </w:rPr>
            </w:pPr>
            <w:r>
              <w:rPr>
                <w:rFonts w:ascii="宋体" w:hAnsi="宋体"/>
              </w:rPr>
              <w:t>6</w:t>
            </w:r>
          </w:p>
        </w:tc>
        <w:tc>
          <w:tcPr>
            <w:tcW w:w="1069" w:type="pct"/>
            <w:vAlign w:val="center"/>
          </w:tcPr>
          <w:p>
            <w:pPr>
              <w:rPr>
                <w:rFonts w:ascii="宋体" w:hAnsi="宋体"/>
              </w:rPr>
            </w:pPr>
            <w:r>
              <w:rPr>
                <w:rFonts w:hint="eastAsia" w:ascii="宋体" w:hAnsi="宋体"/>
              </w:rPr>
              <w:t>2023年</w:t>
            </w:r>
            <w:r>
              <w:rPr>
                <w:rFonts w:ascii="宋体" w:hAnsi="宋体"/>
              </w:rPr>
              <w:t>常规电能量交易</w:t>
            </w:r>
            <w:r>
              <w:rPr>
                <w:rFonts w:hint="eastAsia" w:ascii="宋体" w:hAnsi="宋体"/>
              </w:rPr>
              <w:t>总交易量，绿色电力交易总交易量。</w:t>
            </w:r>
          </w:p>
        </w:tc>
        <w:tc>
          <w:tcPr>
            <w:tcW w:w="2595" w:type="pct"/>
            <w:vAlign w:val="center"/>
          </w:tcPr>
          <w:p>
            <w:pPr>
              <w:pStyle w:val="51"/>
              <w:numPr>
                <w:ilvl w:val="0"/>
                <w:numId w:val="32"/>
              </w:numPr>
              <w:ind w:left="0" w:firstLine="420"/>
              <w:rPr>
                <w:rFonts w:ascii="宋体" w:hAnsi="宋体"/>
              </w:rPr>
            </w:pPr>
            <w:r>
              <w:rPr>
                <w:rFonts w:ascii="宋体" w:hAnsi="宋体"/>
              </w:rPr>
              <w:t>常规电能量交易</w:t>
            </w:r>
            <w:r>
              <w:rPr>
                <w:rFonts w:hint="eastAsia" w:ascii="宋体" w:hAnsi="宋体"/>
              </w:rPr>
              <w:t>总交易量</w:t>
            </w:r>
            <w:r>
              <w:rPr>
                <w:rFonts w:hint="eastAsia" w:ascii="宋体" w:hAnsi="宋体"/>
                <w:szCs w:val="21"/>
              </w:rPr>
              <w:t>≥</w:t>
            </w:r>
            <w:r>
              <w:rPr>
                <w:rFonts w:ascii="宋体" w:hAnsi="宋体"/>
                <w:szCs w:val="21"/>
              </w:rPr>
              <w:t>20亿千瓦时</w:t>
            </w:r>
            <w:r>
              <w:rPr>
                <w:rFonts w:hint="eastAsia" w:ascii="宋体" w:hAnsi="宋体"/>
                <w:szCs w:val="21"/>
              </w:rPr>
              <w:t>；</w:t>
            </w:r>
            <w:r>
              <w:rPr>
                <w:rFonts w:hint="eastAsia" w:ascii="宋体" w:hAnsi="宋体"/>
              </w:rPr>
              <w:t>绿色电力交易总交易量≥</w:t>
            </w:r>
            <w:r>
              <w:rPr>
                <w:rFonts w:ascii="宋体" w:hAnsi="宋体"/>
              </w:rPr>
              <w:t>1亿千瓦时</w:t>
            </w:r>
            <w:r>
              <w:rPr>
                <w:rFonts w:hint="eastAsia" w:ascii="宋体" w:hAnsi="宋体"/>
              </w:rPr>
              <w:t>。</w:t>
            </w:r>
          </w:p>
          <w:p>
            <w:pPr>
              <w:pStyle w:val="51"/>
              <w:numPr>
                <w:ilvl w:val="0"/>
                <w:numId w:val="32"/>
              </w:numPr>
              <w:ind w:left="0" w:firstLine="420"/>
              <w:rPr>
                <w:rFonts w:ascii="宋体" w:hAnsi="宋体"/>
              </w:rPr>
            </w:pPr>
            <w:r>
              <w:rPr>
                <w:rFonts w:hint="eastAsia" w:ascii="宋体" w:hAnsi="宋体"/>
                <w:szCs w:val="21"/>
              </w:rPr>
              <w:t>提供交易中心发布的结算清单（加盖公章），并罗列整理成统计表单（加盖公章）</w:t>
            </w:r>
            <w:r>
              <w:rPr>
                <w:rFonts w:ascii="宋体" w:hAnsi="宋体"/>
              </w:rPr>
              <w:t>。</w:t>
            </w:r>
          </w:p>
        </w:tc>
        <w:tc>
          <w:tcPr>
            <w:tcW w:w="973" w:type="pct"/>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4027" w:type="pct"/>
            <w:gridSpan w:val="3"/>
            <w:vAlign w:val="center"/>
          </w:tcPr>
          <w:p>
            <w:pPr>
              <w:jc w:val="center"/>
              <w:rPr>
                <w:rFonts w:ascii="宋体" w:hAnsi="宋体"/>
              </w:rPr>
            </w:pPr>
            <w:r>
              <w:rPr>
                <w:rFonts w:hint="eastAsia" w:ascii="宋体" w:hAnsi="宋体"/>
              </w:rPr>
              <w:t>资格审查结论</w:t>
            </w:r>
          </w:p>
        </w:tc>
        <w:tc>
          <w:tcPr>
            <w:tcW w:w="973" w:type="pct"/>
            <w:vAlign w:val="center"/>
          </w:tcPr>
          <w:p>
            <w:pPr>
              <w:jc w:val="center"/>
              <w:rPr>
                <w:rFonts w:ascii="宋体" w:hAnsi="宋体"/>
              </w:rPr>
            </w:pPr>
          </w:p>
        </w:tc>
      </w:tr>
    </w:tbl>
    <w:p>
      <w:pPr>
        <w:spacing w:line="360" w:lineRule="auto"/>
        <w:rPr>
          <w:rFonts w:ascii="宋体" w:hAnsi="宋体"/>
          <w:sz w:val="24"/>
        </w:rPr>
      </w:pPr>
    </w:p>
    <w:p>
      <w:pPr>
        <w:widowControl/>
        <w:jc w:val="left"/>
        <w:rPr>
          <w:rFonts w:ascii="宋体" w:hAnsi="宋体"/>
          <w:sz w:val="24"/>
        </w:rPr>
      </w:pPr>
      <w:r>
        <w:rPr>
          <w:rFonts w:ascii="宋体" w:hAnsi="宋体"/>
          <w:sz w:val="24"/>
        </w:rPr>
        <w:br w:type="page"/>
      </w:r>
    </w:p>
    <w:p>
      <w:pPr>
        <w:spacing w:before="156" w:beforeLines="50"/>
        <w:outlineLvl w:val="1"/>
        <w:rPr>
          <w:rFonts w:ascii="宋体" w:hAnsi="宋体"/>
          <w:b/>
          <w:sz w:val="24"/>
        </w:rPr>
      </w:pPr>
      <w:bookmarkStart w:id="247" w:name="_Toc121082028"/>
      <w:r>
        <w:rPr>
          <w:rFonts w:hint="eastAsia" w:ascii="宋体" w:hAnsi="宋体"/>
          <w:b/>
          <w:sz w:val="24"/>
        </w:rPr>
        <w:t>附表二 技术符合性审查表</w:t>
      </w:r>
      <w:bookmarkEnd w:id="247"/>
    </w:p>
    <w:p>
      <w:pPr>
        <w:spacing w:before="312" w:beforeLines="100" w:after="312" w:afterLines="100" w:line="360" w:lineRule="auto"/>
        <w:jc w:val="center"/>
        <w:rPr>
          <w:rFonts w:ascii="宋体" w:hAnsi="宋体"/>
          <w:b/>
          <w:sz w:val="24"/>
        </w:rPr>
      </w:pPr>
      <w:r>
        <w:rPr>
          <w:rFonts w:hint="eastAsia" w:ascii="宋体" w:hAnsi="宋体"/>
          <w:b/>
          <w:sz w:val="24"/>
        </w:rPr>
        <w:t>技术符合性审查表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10282"/>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rPr>
            </w:pPr>
            <w:r>
              <w:rPr>
                <w:rFonts w:hint="eastAsia" w:ascii="宋体" w:hAnsi="宋体"/>
              </w:rPr>
              <w:t>序号</w:t>
            </w:r>
          </w:p>
        </w:tc>
        <w:tc>
          <w:tcPr>
            <w:tcW w:w="3477" w:type="pct"/>
            <w:vAlign w:val="center"/>
          </w:tcPr>
          <w:p>
            <w:pPr>
              <w:spacing w:line="360" w:lineRule="auto"/>
              <w:jc w:val="center"/>
              <w:rPr>
                <w:rFonts w:ascii="宋体" w:hAnsi="宋体"/>
              </w:rPr>
            </w:pPr>
            <w:r>
              <w:rPr>
                <w:rFonts w:hint="eastAsia" w:ascii="宋体" w:hAnsi="宋体"/>
              </w:rPr>
              <w:t>评审项目</w:t>
            </w:r>
          </w:p>
        </w:tc>
        <w:tc>
          <w:tcPr>
            <w:tcW w:w="1125" w:type="pct"/>
            <w:vAlign w:val="center"/>
          </w:tcPr>
          <w:p>
            <w:pPr>
              <w:spacing w:line="360" w:lineRule="auto"/>
              <w:jc w:val="center"/>
              <w:rPr>
                <w:rFonts w:ascii="宋体" w:hAnsi="宋体"/>
              </w:rPr>
            </w:pPr>
            <w:r>
              <w:rPr>
                <w:rFonts w:hint="eastAsia" w:ascii="宋体" w:hAnsi="宋体"/>
              </w:rPr>
              <w:t>审查结论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rPr>
            </w:pPr>
            <w:r>
              <w:rPr>
                <w:rFonts w:hint="eastAsia" w:ascii="宋体" w:hAnsi="宋体"/>
              </w:rPr>
              <w:t>1</w:t>
            </w:r>
          </w:p>
        </w:tc>
        <w:tc>
          <w:tcPr>
            <w:tcW w:w="3477" w:type="pct"/>
            <w:vAlign w:val="center"/>
          </w:tcPr>
          <w:p>
            <w:r>
              <w:rPr>
                <w:rFonts w:hint="eastAsia"/>
              </w:rPr>
              <w:t>比选申请文件按要求在规定的位置签字（或盖章）并加盖比选申请人单位公章的。</w:t>
            </w:r>
          </w:p>
        </w:tc>
        <w:tc>
          <w:tcPr>
            <w:tcW w:w="1125" w:type="pct"/>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rPr>
            </w:pPr>
            <w:r>
              <w:rPr>
                <w:rFonts w:hint="eastAsia" w:ascii="宋体" w:hAnsi="宋体"/>
              </w:rPr>
              <w:t>2</w:t>
            </w:r>
          </w:p>
        </w:tc>
        <w:tc>
          <w:tcPr>
            <w:tcW w:w="3477" w:type="pct"/>
            <w:vAlign w:val="center"/>
          </w:tcPr>
          <w:p>
            <w:r>
              <w:rPr>
                <w:rFonts w:hint="eastAsia"/>
              </w:rPr>
              <w:t>比选申请文件的实质性内容按规定填写、内容齐全的。</w:t>
            </w:r>
          </w:p>
        </w:tc>
        <w:tc>
          <w:tcPr>
            <w:tcW w:w="1125" w:type="pct"/>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rPr>
            </w:pPr>
            <w:r>
              <w:rPr>
                <w:rFonts w:hint="eastAsia" w:ascii="宋体" w:hAnsi="宋体"/>
              </w:rPr>
              <w:t>3</w:t>
            </w:r>
          </w:p>
        </w:tc>
        <w:tc>
          <w:tcPr>
            <w:tcW w:w="3477" w:type="pct"/>
            <w:vAlign w:val="center"/>
          </w:tcPr>
          <w:p>
            <w:r>
              <w:rPr>
                <w:rFonts w:hint="eastAsia"/>
              </w:rPr>
              <w:t>投标人在资格审查文件或技术文件中未透露报价的信息。</w:t>
            </w:r>
          </w:p>
        </w:tc>
        <w:tc>
          <w:tcPr>
            <w:tcW w:w="1125" w:type="pct"/>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rPr>
            </w:pPr>
            <w:r>
              <w:rPr>
                <w:rFonts w:hint="eastAsia" w:ascii="宋体" w:hAnsi="宋体"/>
              </w:rPr>
              <w:t>4</w:t>
            </w:r>
          </w:p>
        </w:tc>
        <w:tc>
          <w:tcPr>
            <w:tcW w:w="3477" w:type="pct"/>
            <w:vAlign w:val="center"/>
          </w:tcPr>
          <w:p>
            <w:r>
              <w:rPr>
                <w:rFonts w:hint="eastAsia"/>
              </w:rPr>
              <w:t>在比选申请文件中无虚假文件或资料的。</w:t>
            </w:r>
          </w:p>
        </w:tc>
        <w:tc>
          <w:tcPr>
            <w:tcW w:w="1125" w:type="pct"/>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rPr>
            </w:pPr>
            <w:r>
              <w:rPr>
                <w:rFonts w:hint="eastAsia" w:ascii="宋体" w:hAnsi="宋体"/>
              </w:rPr>
              <w:t>5</w:t>
            </w:r>
          </w:p>
        </w:tc>
        <w:tc>
          <w:tcPr>
            <w:tcW w:w="3477" w:type="pct"/>
            <w:vAlign w:val="center"/>
          </w:tcPr>
          <w:p>
            <w:r>
              <w:rPr>
                <w:rFonts w:hint="eastAsia"/>
              </w:rPr>
              <w:t>技术部分响应、偏离情况说明表无任意一项负偏离的。</w:t>
            </w:r>
          </w:p>
        </w:tc>
        <w:tc>
          <w:tcPr>
            <w:tcW w:w="1125" w:type="pct"/>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rPr>
            </w:pPr>
            <w:r>
              <w:rPr>
                <w:rFonts w:hint="eastAsia" w:ascii="宋体" w:hAnsi="宋体"/>
              </w:rPr>
              <w:t>6</w:t>
            </w:r>
          </w:p>
        </w:tc>
        <w:tc>
          <w:tcPr>
            <w:tcW w:w="3477" w:type="pct"/>
            <w:vAlign w:val="center"/>
          </w:tcPr>
          <w:p>
            <w:r>
              <w:rPr>
                <w:rFonts w:hint="eastAsia"/>
              </w:rPr>
              <w:t>满足或正偏离《用户需求书》“技术需求及数量表”的。</w:t>
            </w:r>
          </w:p>
        </w:tc>
        <w:tc>
          <w:tcPr>
            <w:tcW w:w="1125" w:type="pct"/>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rPr>
            </w:pPr>
            <w:r>
              <w:rPr>
                <w:rFonts w:hint="eastAsia" w:ascii="宋体" w:hAnsi="宋体"/>
              </w:rPr>
              <w:t>7</w:t>
            </w:r>
          </w:p>
        </w:tc>
        <w:tc>
          <w:tcPr>
            <w:tcW w:w="3477" w:type="pct"/>
            <w:vAlign w:val="center"/>
          </w:tcPr>
          <w:p>
            <w:r>
              <w:rPr>
                <w:rFonts w:hint="eastAsia"/>
              </w:rPr>
              <w:t>商务响应表“完全响应”的。</w:t>
            </w:r>
          </w:p>
        </w:tc>
        <w:tc>
          <w:tcPr>
            <w:tcW w:w="1125" w:type="pct"/>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 w:type="pct"/>
            <w:vAlign w:val="center"/>
          </w:tcPr>
          <w:p>
            <w:pPr>
              <w:spacing w:line="360" w:lineRule="auto"/>
              <w:jc w:val="center"/>
              <w:rPr>
                <w:rFonts w:ascii="宋体" w:hAnsi="宋体"/>
              </w:rPr>
            </w:pPr>
            <w:r>
              <w:rPr>
                <w:rFonts w:ascii="宋体" w:hAnsi="宋体"/>
              </w:rPr>
              <w:t>8</w:t>
            </w:r>
          </w:p>
        </w:tc>
        <w:tc>
          <w:tcPr>
            <w:tcW w:w="3477" w:type="pct"/>
            <w:vAlign w:val="center"/>
          </w:tcPr>
          <w:p>
            <w:r>
              <w:rPr>
                <w:rFonts w:hint="eastAsia"/>
              </w:rPr>
              <w:t>无比选文件、法律、法规规定的其他否决比选申请条件。</w:t>
            </w:r>
          </w:p>
        </w:tc>
        <w:tc>
          <w:tcPr>
            <w:tcW w:w="1125" w:type="pct"/>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5" w:type="pct"/>
            <w:gridSpan w:val="2"/>
            <w:vAlign w:val="center"/>
          </w:tcPr>
          <w:p>
            <w:pPr>
              <w:jc w:val="center"/>
            </w:pPr>
            <w:r>
              <w:rPr>
                <w:rFonts w:hint="eastAsia"/>
              </w:rPr>
              <w:t>技术符合性审查结论</w:t>
            </w:r>
          </w:p>
        </w:tc>
        <w:tc>
          <w:tcPr>
            <w:tcW w:w="1125" w:type="pct"/>
            <w:vAlign w:val="center"/>
          </w:tcPr>
          <w:p>
            <w:pPr>
              <w:spacing w:line="360" w:lineRule="auto"/>
              <w:jc w:val="center"/>
              <w:rPr>
                <w:rFonts w:ascii="宋体" w:hAnsi="宋体"/>
              </w:rPr>
            </w:pPr>
          </w:p>
        </w:tc>
      </w:tr>
    </w:tbl>
    <w:p>
      <w:pPr>
        <w:spacing w:line="360" w:lineRule="auto"/>
        <w:rPr>
          <w:rFonts w:ascii="宋体" w:hAnsi="宋体"/>
          <w:sz w:val="24"/>
        </w:rPr>
      </w:pPr>
    </w:p>
    <w:p>
      <w:pPr>
        <w:widowControl/>
        <w:jc w:val="left"/>
        <w:rPr>
          <w:rFonts w:ascii="宋体" w:hAnsi="宋体"/>
          <w:b/>
          <w:sz w:val="24"/>
        </w:rPr>
      </w:pPr>
      <w:r>
        <w:rPr>
          <w:rFonts w:ascii="宋体" w:hAnsi="宋体"/>
          <w:sz w:val="24"/>
        </w:rPr>
        <w:br w:type="page"/>
      </w:r>
      <w:bookmarkStart w:id="248" w:name="_Toc121082029"/>
      <w:r>
        <w:rPr>
          <w:rFonts w:hint="eastAsia" w:ascii="宋体" w:hAnsi="宋体"/>
          <w:b/>
          <w:sz w:val="24"/>
        </w:rPr>
        <w:t>附表三 比选申请价格评审表</w:t>
      </w:r>
      <w:bookmarkEnd w:id="248"/>
    </w:p>
    <w:p>
      <w:pPr>
        <w:jc w:val="center"/>
        <w:rPr>
          <w:rFonts w:ascii="宋体" w:hAnsi="宋体"/>
          <w:b/>
          <w:sz w:val="24"/>
        </w:rPr>
      </w:pPr>
      <w:r>
        <w:rPr>
          <w:rFonts w:hint="eastAsia" w:ascii="宋体" w:hAnsi="宋体"/>
          <w:b/>
          <w:sz w:val="24"/>
        </w:rPr>
        <w:t>比选申请价格</w:t>
      </w:r>
      <w:r>
        <w:rPr>
          <w:rFonts w:ascii="宋体" w:hAnsi="宋体"/>
          <w:b/>
          <w:sz w:val="24"/>
        </w:rPr>
        <w:t>评审表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1"/>
        <w:gridCol w:w="1170"/>
        <w:gridCol w:w="5530"/>
        <w:gridCol w:w="4152"/>
        <w:gridCol w:w="1389"/>
        <w:gridCol w:w="1389"/>
        <w:gridCol w:w="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6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序号</w:t>
            </w:r>
          </w:p>
        </w:tc>
        <w:tc>
          <w:tcPr>
            <w:tcW w:w="401"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比选申请人</w:t>
            </w:r>
          </w:p>
        </w:tc>
        <w:tc>
          <w:tcPr>
            <w:tcW w:w="1895" w:type="pct"/>
            <w:shd w:val="clear" w:color="auto" w:fill="auto"/>
            <w:noWrap/>
            <w:tcMar>
              <w:top w:w="10" w:type="dxa"/>
              <w:left w:w="10" w:type="dxa"/>
              <w:right w:w="10" w:type="dxa"/>
            </w:tcMar>
            <w:vAlign w:val="center"/>
          </w:tcPr>
          <w:p>
            <w:pPr>
              <w:widowControl/>
              <w:jc w:val="center"/>
              <w:rPr>
                <w:rFonts w:ascii="宋体" w:hAnsi="宋体" w:cs="Arial"/>
                <w:kern w:val="0"/>
              </w:rPr>
            </w:pPr>
            <w:r>
              <w:rPr>
                <w:rFonts w:hint="eastAsia" w:ascii="宋体" w:hAnsi="宋体" w:cstheme="minorEastAsia"/>
                <w:color w:val="000000"/>
                <w:kern w:val="0"/>
                <w:szCs w:val="21"/>
                <w:lang w:bidi="ar"/>
              </w:rPr>
              <w:t>比选申请人“</w:t>
            </w:r>
            <w:r>
              <w:rPr>
                <w:rFonts w:ascii="宋体" w:hAnsi="宋体" w:cs="Arial"/>
                <w:kern w:val="0"/>
              </w:rPr>
              <w:t>年度</w:t>
            </w:r>
            <w:r>
              <w:rPr>
                <w:rFonts w:hint="eastAsia" w:ascii="宋体" w:hAnsi="宋体" w:cs="Arial"/>
                <w:kern w:val="0"/>
              </w:rPr>
              <w:t>常规</w:t>
            </w:r>
            <w:r>
              <w:rPr>
                <w:rFonts w:ascii="宋体" w:hAnsi="宋体" w:cs="Arial"/>
                <w:kern w:val="0"/>
              </w:rPr>
              <w:t>电能量交易</w:t>
            </w:r>
            <w:r>
              <w:rPr>
                <w:rFonts w:hint="eastAsia" w:ascii="宋体" w:hAnsi="宋体" w:cstheme="minorEastAsia"/>
                <w:color w:val="000000"/>
                <w:kern w:val="0"/>
                <w:szCs w:val="21"/>
                <w:lang w:bidi="ar"/>
              </w:rPr>
              <w:t>”报价</w:t>
            </w:r>
          </w:p>
          <w:p>
            <w:pPr>
              <w:jc w:val="center"/>
              <w:textAlignment w:val="center"/>
              <w:rPr>
                <w:rFonts w:ascii="宋体" w:hAnsi="宋体" w:cstheme="minorEastAsia"/>
                <w:color w:val="000000"/>
                <w:szCs w:val="21"/>
              </w:rPr>
            </w:pPr>
            <w:r>
              <w:rPr>
                <w:rFonts w:ascii="宋体" w:hAnsi="宋体" w:cstheme="minorEastAsia"/>
                <w:color w:val="000000"/>
                <w:kern w:val="0"/>
                <w:szCs w:val="21"/>
                <w:lang w:bidi="ar"/>
              </w:rPr>
              <w:t>（元</w:t>
            </w:r>
            <w:r>
              <w:rPr>
                <w:rFonts w:hint="eastAsia" w:ascii="宋体" w:hAnsi="宋体" w:cstheme="minorEastAsia"/>
                <w:color w:val="000000"/>
                <w:kern w:val="0"/>
                <w:szCs w:val="21"/>
                <w:lang w:bidi="ar"/>
              </w:rPr>
              <w:t>/千瓦时</w:t>
            </w:r>
            <w:r>
              <w:rPr>
                <w:rFonts w:ascii="宋体" w:hAnsi="宋体" w:cstheme="minorEastAsia"/>
                <w:color w:val="000000"/>
                <w:kern w:val="0"/>
                <w:szCs w:val="21"/>
                <w:lang w:bidi="ar"/>
              </w:rPr>
              <w:t>）</w:t>
            </w:r>
          </w:p>
        </w:tc>
        <w:tc>
          <w:tcPr>
            <w:tcW w:w="1423" w:type="pct"/>
            <w:shd w:val="clear" w:color="auto" w:fill="auto"/>
            <w:noWrap/>
            <w:tcMar>
              <w:top w:w="10" w:type="dxa"/>
              <w:left w:w="10" w:type="dxa"/>
              <w:right w:w="10" w:type="dxa"/>
            </w:tcMar>
            <w:vAlign w:val="center"/>
          </w:tcPr>
          <w:p>
            <w:pPr>
              <w:widowControl/>
              <w:jc w:val="center"/>
              <w:rPr>
                <w:rFonts w:ascii="宋体" w:hAnsi="宋体" w:cs="Arial"/>
                <w:kern w:val="0"/>
              </w:rPr>
            </w:pPr>
            <w:r>
              <w:rPr>
                <w:rFonts w:hint="eastAsia" w:ascii="宋体" w:hAnsi="宋体" w:cstheme="minorEastAsia"/>
                <w:color w:val="000000"/>
                <w:kern w:val="0"/>
                <w:szCs w:val="21"/>
                <w:lang w:bidi="ar"/>
              </w:rPr>
              <w:t>比选申请人“</w:t>
            </w:r>
            <w:r>
              <w:rPr>
                <w:rFonts w:hint="eastAsia" w:ascii="宋体" w:hAnsi="宋体" w:cs="Arial"/>
                <w:kern w:val="0"/>
              </w:rPr>
              <w:t>绿色</w:t>
            </w:r>
            <w:r>
              <w:rPr>
                <w:rFonts w:ascii="宋体" w:hAnsi="宋体" w:cs="Arial"/>
                <w:kern w:val="0"/>
              </w:rPr>
              <w:t>电力交易响应转换量</w:t>
            </w:r>
            <w:r>
              <w:rPr>
                <w:rFonts w:hint="eastAsia" w:ascii="宋体" w:hAnsi="宋体" w:cstheme="minorEastAsia"/>
                <w:color w:val="000000"/>
                <w:kern w:val="0"/>
                <w:szCs w:val="21"/>
                <w:lang w:bidi="ar"/>
              </w:rPr>
              <w:t>”</w:t>
            </w:r>
          </w:p>
          <w:p>
            <w:pPr>
              <w:jc w:val="center"/>
              <w:textAlignment w:val="center"/>
              <w:rPr>
                <w:rFonts w:ascii="宋体" w:hAnsi="宋体" w:cstheme="minorEastAsia"/>
                <w:color w:val="000000"/>
                <w:szCs w:val="21"/>
              </w:rPr>
            </w:pPr>
            <w:r>
              <w:rPr>
                <w:rFonts w:ascii="宋体" w:hAnsi="宋体" w:cstheme="minorEastAsia"/>
                <w:color w:val="000000"/>
                <w:kern w:val="0"/>
                <w:szCs w:val="21"/>
                <w:lang w:bidi="ar"/>
              </w:rPr>
              <w:t>（亿</w:t>
            </w:r>
            <w:r>
              <w:rPr>
                <w:rFonts w:hint="eastAsia" w:ascii="宋体" w:hAnsi="宋体" w:cstheme="minorEastAsia"/>
                <w:color w:val="000000"/>
                <w:kern w:val="0"/>
                <w:szCs w:val="21"/>
                <w:lang w:bidi="ar"/>
              </w:rPr>
              <w:t>千瓦时</w:t>
            </w:r>
            <w:r>
              <w:rPr>
                <w:rFonts w:ascii="宋体" w:hAnsi="宋体" w:cstheme="minorEastAsia"/>
                <w:color w:val="000000"/>
                <w:kern w:val="0"/>
                <w:szCs w:val="21"/>
                <w:lang w:bidi="ar"/>
              </w:rPr>
              <w:t>）</w:t>
            </w:r>
          </w:p>
        </w:tc>
        <w:tc>
          <w:tcPr>
            <w:tcW w:w="476" w:type="pct"/>
            <w:vAlign w:val="center"/>
          </w:tcPr>
          <w:p>
            <w:pPr>
              <w:widowControl/>
              <w:jc w:val="center"/>
              <w:textAlignment w:val="center"/>
              <w:rPr>
                <w:rFonts w:ascii="宋体" w:hAnsi="宋体" w:cstheme="minorEastAsia"/>
                <w:color w:val="000000"/>
                <w:kern w:val="0"/>
                <w:szCs w:val="21"/>
                <w:lang w:bidi="ar"/>
              </w:rPr>
            </w:pPr>
            <w:r>
              <w:rPr>
                <w:rFonts w:hint="eastAsia" w:ascii="宋体" w:hAnsi="宋体" w:cstheme="minorEastAsia"/>
                <w:color w:val="000000"/>
                <w:kern w:val="0"/>
                <w:szCs w:val="21"/>
                <w:lang w:bidi="ar"/>
              </w:rPr>
              <w:t>报价评审得分</w:t>
            </w:r>
          </w:p>
        </w:tc>
        <w:tc>
          <w:tcPr>
            <w:tcW w:w="476" w:type="pct"/>
            <w:vAlign w:val="center"/>
          </w:tcPr>
          <w:p>
            <w:pPr>
              <w:widowControl/>
              <w:jc w:val="center"/>
              <w:textAlignment w:val="center"/>
              <w:rPr>
                <w:rFonts w:ascii="宋体" w:hAnsi="宋体" w:cstheme="minorEastAsia"/>
                <w:color w:val="000000"/>
                <w:kern w:val="0"/>
                <w:szCs w:val="21"/>
                <w:lang w:bidi="ar"/>
              </w:rPr>
            </w:pPr>
            <w:r>
              <w:rPr>
                <w:rFonts w:hint="eastAsia" w:ascii="宋体" w:hAnsi="宋体" w:cstheme="minorEastAsia"/>
                <w:color w:val="000000"/>
                <w:kern w:val="0"/>
                <w:szCs w:val="21"/>
                <w:lang w:bidi="ar"/>
              </w:rPr>
              <w:t>附加评审得分</w:t>
            </w:r>
          </w:p>
        </w:tc>
        <w:tc>
          <w:tcPr>
            <w:tcW w:w="16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kern w:val="0"/>
                <w:szCs w:val="21"/>
                <w:lang w:bidi="ar"/>
              </w:rPr>
            </w:pPr>
            <w:r>
              <w:rPr>
                <w:rFonts w:hint="eastAsia" w:ascii="宋体" w:hAnsi="宋体" w:cstheme="minorEastAsia"/>
                <w:color w:val="000000"/>
                <w:kern w:val="0"/>
                <w:szCs w:val="21"/>
                <w:lang w:bidi="ar"/>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1</w:t>
            </w:r>
          </w:p>
        </w:tc>
        <w:tc>
          <w:tcPr>
            <w:tcW w:w="401"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189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1423"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476" w:type="pct"/>
            <w:vAlign w:val="center"/>
          </w:tcPr>
          <w:p>
            <w:pPr>
              <w:widowControl/>
              <w:jc w:val="center"/>
              <w:textAlignment w:val="center"/>
              <w:rPr>
                <w:rFonts w:ascii="宋体" w:hAnsi="宋体" w:cstheme="minorEastAsia"/>
                <w:color w:val="000000"/>
                <w:kern w:val="0"/>
                <w:szCs w:val="21"/>
                <w:lang w:bidi="ar"/>
              </w:rPr>
            </w:pPr>
          </w:p>
        </w:tc>
        <w:tc>
          <w:tcPr>
            <w:tcW w:w="476" w:type="pct"/>
            <w:vAlign w:val="center"/>
          </w:tcPr>
          <w:p>
            <w:pPr>
              <w:widowControl/>
              <w:jc w:val="center"/>
              <w:textAlignment w:val="center"/>
              <w:rPr>
                <w:rFonts w:ascii="宋体" w:hAnsi="宋体" w:cstheme="minorEastAsia"/>
                <w:color w:val="000000"/>
                <w:kern w:val="0"/>
                <w:szCs w:val="21"/>
                <w:lang w:bidi="ar"/>
              </w:rPr>
            </w:pPr>
          </w:p>
        </w:tc>
        <w:tc>
          <w:tcPr>
            <w:tcW w:w="16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2</w:t>
            </w:r>
          </w:p>
        </w:tc>
        <w:tc>
          <w:tcPr>
            <w:tcW w:w="401"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189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1423"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476" w:type="pct"/>
            <w:vAlign w:val="center"/>
          </w:tcPr>
          <w:p>
            <w:pPr>
              <w:widowControl/>
              <w:jc w:val="center"/>
              <w:textAlignment w:val="center"/>
              <w:rPr>
                <w:rFonts w:ascii="宋体" w:hAnsi="宋体" w:cstheme="minorEastAsia"/>
                <w:color w:val="000000"/>
                <w:kern w:val="0"/>
                <w:szCs w:val="21"/>
                <w:lang w:bidi="ar"/>
              </w:rPr>
            </w:pPr>
          </w:p>
        </w:tc>
        <w:tc>
          <w:tcPr>
            <w:tcW w:w="476" w:type="pct"/>
            <w:vAlign w:val="center"/>
          </w:tcPr>
          <w:p>
            <w:pPr>
              <w:widowControl/>
              <w:jc w:val="center"/>
              <w:textAlignment w:val="center"/>
              <w:rPr>
                <w:rFonts w:ascii="宋体" w:hAnsi="宋体" w:cstheme="minorEastAsia"/>
                <w:color w:val="000000"/>
                <w:kern w:val="0"/>
                <w:szCs w:val="21"/>
                <w:lang w:bidi="ar"/>
              </w:rPr>
            </w:pPr>
          </w:p>
        </w:tc>
        <w:tc>
          <w:tcPr>
            <w:tcW w:w="16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3</w:t>
            </w:r>
          </w:p>
        </w:tc>
        <w:tc>
          <w:tcPr>
            <w:tcW w:w="401"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189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1423"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476" w:type="pct"/>
            <w:vAlign w:val="center"/>
          </w:tcPr>
          <w:p>
            <w:pPr>
              <w:widowControl/>
              <w:jc w:val="center"/>
              <w:textAlignment w:val="center"/>
              <w:rPr>
                <w:rFonts w:ascii="宋体" w:hAnsi="宋体" w:cstheme="minorEastAsia"/>
                <w:color w:val="000000"/>
                <w:kern w:val="0"/>
                <w:szCs w:val="21"/>
                <w:lang w:bidi="ar"/>
              </w:rPr>
            </w:pPr>
          </w:p>
        </w:tc>
        <w:tc>
          <w:tcPr>
            <w:tcW w:w="476" w:type="pct"/>
            <w:vAlign w:val="center"/>
          </w:tcPr>
          <w:p>
            <w:pPr>
              <w:widowControl/>
              <w:jc w:val="center"/>
              <w:textAlignment w:val="center"/>
              <w:rPr>
                <w:rFonts w:ascii="宋体" w:hAnsi="宋体" w:cstheme="minorEastAsia"/>
                <w:color w:val="000000"/>
                <w:kern w:val="0"/>
                <w:szCs w:val="21"/>
                <w:lang w:bidi="ar"/>
              </w:rPr>
            </w:pPr>
          </w:p>
        </w:tc>
        <w:tc>
          <w:tcPr>
            <w:tcW w:w="16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r>
              <w:rPr>
                <w:rFonts w:hint="eastAsia" w:ascii="宋体" w:hAnsi="宋体" w:cstheme="minorEastAsia"/>
                <w:color w:val="000000"/>
                <w:kern w:val="0"/>
                <w:szCs w:val="21"/>
                <w:lang w:bidi="ar"/>
              </w:rPr>
              <w:t>4</w:t>
            </w:r>
          </w:p>
        </w:tc>
        <w:tc>
          <w:tcPr>
            <w:tcW w:w="401"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189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1423"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szCs w:val="21"/>
              </w:rPr>
            </w:pPr>
          </w:p>
        </w:tc>
        <w:tc>
          <w:tcPr>
            <w:tcW w:w="476" w:type="pct"/>
            <w:vAlign w:val="center"/>
          </w:tcPr>
          <w:p>
            <w:pPr>
              <w:widowControl/>
              <w:jc w:val="center"/>
              <w:textAlignment w:val="center"/>
              <w:rPr>
                <w:rFonts w:ascii="宋体" w:hAnsi="宋体" w:cstheme="minorEastAsia"/>
                <w:color w:val="000000"/>
                <w:kern w:val="0"/>
                <w:szCs w:val="21"/>
                <w:lang w:bidi="ar"/>
              </w:rPr>
            </w:pPr>
          </w:p>
        </w:tc>
        <w:tc>
          <w:tcPr>
            <w:tcW w:w="476" w:type="pct"/>
            <w:vAlign w:val="center"/>
          </w:tcPr>
          <w:p>
            <w:pPr>
              <w:widowControl/>
              <w:jc w:val="center"/>
              <w:textAlignment w:val="center"/>
              <w:rPr>
                <w:rFonts w:ascii="宋体" w:hAnsi="宋体" w:cstheme="minorEastAsia"/>
                <w:color w:val="000000"/>
                <w:kern w:val="0"/>
                <w:szCs w:val="21"/>
                <w:lang w:bidi="ar"/>
              </w:rPr>
            </w:pPr>
          </w:p>
        </w:tc>
        <w:tc>
          <w:tcPr>
            <w:tcW w:w="165" w:type="pct"/>
            <w:shd w:val="clear" w:color="auto" w:fill="auto"/>
            <w:noWrap/>
            <w:tcMar>
              <w:top w:w="10" w:type="dxa"/>
              <w:left w:w="10" w:type="dxa"/>
              <w:right w:w="10" w:type="dxa"/>
            </w:tcMar>
            <w:vAlign w:val="center"/>
          </w:tcPr>
          <w:p>
            <w:pPr>
              <w:widowControl/>
              <w:jc w:val="center"/>
              <w:textAlignment w:val="center"/>
              <w:rPr>
                <w:rFonts w:ascii="宋体" w:hAnsi="宋体" w:cstheme="minorEastAsia"/>
                <w:color w:val="000000"/>
                <w:kern w:val="0"/>
                <w:szCs w:val="21"/>
                <w:lang w:bidi="ar"/>
              </w:rPr>
            </w:pPr>
          </w:p>
        </w:tc>
      </w:tr>
    </w:tbl>
    <w:p/>
    <w:p>
      <w:pPr>
        <w:spacing w:line="360" w:lineRule="auto"/>
        <w:rPr>
          <w:rFonts w:ascii="宋体" w:hAnsi="宋体"/>
          <w:sz w:val="24"/>
        </w:rPr>
      </w:pPr>
    </w:p>
    <w:sectPr>
      <w:headerReference r:id="rId7" w:type="default"/>
      <w:footerReference r:id="rId8" w:type="default"/>
      <w:pgSz w:w="16838" w:h="11906" w:orient="landscape"/>
      <w:pgMar w:top="1418" w:right="1134" w:bottom="1418" w:left="1134" w:header="851"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仿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sz w:val="24"/>
        <w:szCs w:val="24"/>
      </w:rPr>
      <w:fldChar w:fldCharType="begin"/>
    </w:r>
    <w:r>
      <w:rPr>
        <w:b/>
      </w:rPr>
      <w:instrText xml:space="preserve">PAGE</w:instrText>
    </w:r>
    <w:r>
      <w:rPr>
        <w:b/>
        <w:sz w:val="24"/>
        <w:szCs w:val="24"/>
      </w:rPr>
      <w:fldChar w:fldCharType="separate"/>
    </w:r>
    <w:r>
      <w:rPr>
        <w:b/>
      </w:rPr>
      <w:t>30</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53</w:t>
    </w:r>
    <w:r>
      <w:rPr>
        <w:b/>
        <w:sz w:val="24"/>
        <w:szCs w:val="24"/>
      </w:rPr>
      <w:fldChar w:fldCharType="end"/>
    </w:r>
  </w:p>
  <w:p>
    <w:pPr>
      <w:pStyle w:val="14"/>
      <w:jc w:val="center"/>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sz w:val="24"/>
        <w:szCs w:val="24"/>
      </w:rPr>
      <w:fldChar w:fldCharType="begin"/>
    </w:r>
    <w:r>
      <w:rPr>
        <w:b/>
      </w:rPr>
      <w:instrText xml:space="preserve">PAGE</w:instrText>
    </w:r>
    <w:r>
      <w:rPr>
        <w:b/>
        <w:sz w:val="24"/>
        <w:szCs w:val="24"/>
      </w:rPr>
      <w:fldChar w:fldCharType="separate"/>
    </w:r>
    <w:r>
      <w:rPr>
        <w:b/>
      </w:rPr>
      <w:t>42</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53</w:t>
    </w:r>
    <w:r>
      <w:rPr>
        <w:b/>
        <w:sz w:val="24"/>
        <w:szCs w:val="24"/>
      </w:rPr>
      <w:fldChar w:fldCharType="end"/>
    </w:r>
  </w:p>
  <w:p>
    <w:pPr>
      <w:pStyle w:val="14"/>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sz w:val="24"/>
        <w:szCs w:val="24"/>
      </w:rPr>
      <w:fldChar w:fldCharType="begin"/>
    </w:r>
    <w:r>
      <w:rPr>
        <w:b/>
      </w:rPr>
      <w:instrText xml:space="preserve">PAGE</w:instrText>
    </w:r>
    <w:r>
      <w:rPr>
        <w:b/>
        <w:sz w:val="24"/>
        <w:szCs w:val="24"/>
      </w:rPr>
      <w:fldChar w:fldCharType="separate"/>
    </w:r>
    <w:r>
      <w:rPr>
        <w:b/>
      </w:rPr>
      <w:t>51</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53</w:t>
    </w:r>
    <w:r>
      <w:rPr>
        <w:b/>
        <w:sz w:val="24"/>
        <w:szCs w:val="24"/>
      </w:rPr>
      <w:fldChar w:fldCharType="end"/>
    </w:r>
  </w:p>
  <w:p>
    <w:pPr>
      <w:pStyle w:val="14"/>
      <w:jc w:val="center"/>
      <w:rPr>
        <w:kern w:val="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7BE"/>
    <w:multiLevelType w:val="multilevel"/>
    <w:tmpl w:val="022317B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6E104E"/>
    <w:multiLevelType w:val="multilevel"/>
    <w:tmpl w:val="046E104E"/>
    <w:lvl w:ilvl="0" w:tentative="0">
      <w:start w:val="1"/>
      <w:numFmt w:val="decimal"/>
      <w:lvlText w:val="%1."/>
      <w:lvlJc w:val="left"/>
      <w:pPr>
        <w:ind w:left="425" w:hanging="425"/>
      </w:pPr>
      <w:rPr>
        <w:rFonts w:hint="eastAsia"/>
      </w:rPr>
    </w:lvl>
    <w:lvl w:ilvl="1" w:tentative="0">
      <w:start w:val="1"/>
      <w:numFmt w:val="decimal"/>
      <w:lvlText w:val="3.%2."/>
      <w:lvlJc w:val="left"/>
      <w:pPr>
        <w:ind w:left="0" w:firstLine="0"/>
      </w:pPr>
      <w:rPr>
        <w:rFonts w:hint="eastAsia"/>
      </w:rPr>
    </w:lvl>
    <w:lvl w:ilvl="2" w:tentative="0">
      <w:start w:val="1"/>
      <w:numFmt w:val="decimal"/>
      <w:lvlText w:val="2.1.%3."/>
      <w:lvlJc w:val="left"/>
      <w:pPr>
        <w:ind w:left="0" w:firstLine="0"/>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0F1122B2"/>
    <w:multiLevelType w:val="multilevel"/>
    <w:tmpl w:val="0F1122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9E52D0"/>
    <w:multiLevelType w:val="multilevel"/>
    <w:tmpl w:val="0F9E52D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21843D4"/>
    <w:multiLevelType w:val="multilevel"/>
    <w:tmpl w:val="121843D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18FE0795"/>
    <w:multiLevelType w:val="multilevel"/>
    <w:tmpl w:val="18FE07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9325A0C"/>
    <w:multiLevelType w:val="multilevel"/>
    <w:tmpl w:val="19325A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A277F8E"/>
    <w:multiLevelType w:val="multilevel"/>
    <w:tmpl w:val="1A277F8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41B535D"/>
    <w:multiLevelType w:val="multilevel"/>
    <w:tmpl w:val="241B535D"/>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27354E94"/>
    <w:multiLevelType w:val="multilevel"/>
    <w:tmpl w:val="27354E94"/>
    <w:lvl w:ilvl="0" w:tentative="0">
      <w:start w:val="1"/>
      <w:numFmt w:val="decimal"/>
      <w:lvlText w:val="%1、"/>
      <w:lvlJc w:val="left"/>
      <w:pPr>
        <w:ind w:left="630" w:hanging="420"/>
      </w:pPr>
      <w:rPr>
        <w:rFonts w:hint="default" w:ascii="宋体" w:hAnsi="宋体" w:eastAsia="宋体"/>
        <w:b/>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0">
    <w:nsid w:val="2C514838"/>
    <w:multiLevelType w:val="multilevel"/>
    <w:tmpl w:val="2C5148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C6F6B29"/>
    <w:multiLevelType w:val="multilevel"/>
    <w:tmpl w:val="2C6F6B2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2EF76479"/>
    <w:multiLevelType w:val="multilevel"/>
    <w:tmpl w:val="2EF764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972119A"/>
    <w:multiLevelType w:val="multilevel"/>
    <w:tmpl w:val="3972119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A03349F"/>
    <w:multiLevelType w:val="multilevel"/>
    <w:tmpl w:val="3A03349F"/>
    <w:lvl w:ilvl="0" w:tentative="0">
      <w:start w:val="1"/>
      <w:numFmt w:val="decimal"/>
      <w:lvlText w:val="%1."/>
      <w:lvlJc w:val="left"/>
      <w:pPr>
        <w:ind w:left="420" w:hanging="420"/>
      </w:pPr>
      <w:rPr>
        <w:strike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C350193"/>
    <w:multiLevelType w:val="multilevel"/>
    <w:tmpl w:val="3C350193"/>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6">
    <w:nsid w:val="47595860"/>
    <w:multiLevelType w:val="multilevel"/>
    <w:tmpl w:val="475958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A931D57"/>
    <w:multiLevelType w:val="multilevel"/>
    <w:tmpl w:val="4A931D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B3E56E8"/>
    <w:multiLevelType w:val="multilevel"/>
    <w:tmpl w:val="4B3E56E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9EE3E40"/>
    <w:multiLevelType w:val="multilevel"/>
    <w:tmpl w:val="59EE3E4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B4B1DA0"/>
    <w:multiLevelType w:val="multilevel"/>
    <w:tmpl w:val="5B4B1DA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0777337"/>
    <w:multiLevelType w:val="multilevel"/>
    <w:tmpl w:val="6077733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21C0801"/>
    <w:multiLevelType w:val="multilevel"/>
    <w:tmpl w:val="621C0801"/>
    <w:lvl w:ilvl="0" w:tentative="0">
      <w:start w:val="1"/>
      <w:numFmt w:val="decimal"/>
      <w:lvlText w:val="%1."/>
      <w:lvlJc w:val="left"/>
      <w:pPr>
        <w:ind w:left="425" w:hanging="425"/>
      </w:pPr>
      <w:rPr>
        <w:rFonts w:hint="eastAsia"/>
      </w:rPr>
    </w:lvl>
    <w:lvl w:ilvl="1" w:tentative="0">
      <w:start w:val="1"/>
      <w:numFmt w:val="decimal"/>
      <w:lvlText w:val="2.%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3">
    <w:nsid w:val="638D636B"/>
    <w:multiLevelType w:val="multilevel"/>
    <w:tmpl w:val="638D636B"/>
    <w:lvl w:ilvl="0" w:tentative="0">
      <w:start w:val="1"/>
      <w:numFmt w:val="decimal"/>
      <w:lvlText w:val="%1."/>
      <w:lvlJc w:val="left"/>
      <w:pPr>
        <w:ind w:left="425" w:hanging="425"/>
      </w:pPr>
      <w:rPr>
        <w:rFonts w:hint="eastAsia"/>
      </w:rPr>
    </w:lvl>
    <w:lvl w:ilvl="1" w:tentative="0">
      <w:start w:val="1"/>
      <w:numFmt w:val="decimal"/>
      <w:lvlText w:val="2.%2."/>
      <w:lvlJc w:val="left"/>
      <w:pPr>
        <w:ind w:left="567" w:hanging="567"/>
      </w:pPr>
      <w:rPr>
        <w:rFonts w:hint="eastAsia"/>
      </w:rPr>
    </w:lvl>
    <w:lvl w:ilvl="2" w:tentative="0">
      <w:start w:val="1"/>
      <w:numFmt w:val="decimal"/>
      <w:lvlText w:val="2.1.%3."/>
      <w:lvlJc w:val="left"/>
      <w:pPr>
        <w:ind w:left="0" w:firstLine="0"/>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4">
    <w:nsid w:val="653E556B"/>
    <w:multiLevelType w:val="multilevel"/>
    <w:tmpl w:val="653E556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63C5AA0"/>
    <w:multiLevelType w:val="multilevel"/>
    <w:tmpl w:val="663C5AA0"/>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66FA5806"/>
    <w:multiLevelType w:val="multilevel"/>
    <w:tmpl w:val="66FA5806"/>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7">
    <w:nsid w:val="6B961E55"/>
    <w:multiLevelType w:val="multilevel"/>
    <w:tmpl w:val="6B961E55"/>
    <w:lvl w:ilvl="0" w:tentative="0">
      <w:start w:val="1"/>
      <w:numFmt w:val="decimal"/>
      <w:lvlText w:val="%1)."/>
      <w:lvlJc w:val="left"/>
      <w:pPr>
        <w:ind w:left="425" w:hanging="425"/>
      </w:pPr>
      <w:rPr>
        <w:rFonts w:hint="default"/>
        <w:b w:val="0"/>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8">
    <w:nsid w:val="70163CC9"/>
    <w:multiLevelType w:val="multilevel"/>
    <w:tmpl w:val="70163CC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1B56E83"/>
    <w:multiLevelType w:val="multilevel"/>
    <w:tmpl w:val="71B56E83"/>
    <w:lvl w:ilvl="0" w:tentative="0">
      <w:start w:val="1"/>
      <w:numFmt w:val="decimal"/>
      <w:lvlText w:val="%1."/>
      <w:lvlJc w:val="left"/>
      <w:pPr>
        <w:ind w:left="425" w:hanging="425"/>
      </w:pPr>
      <w:rPr>
        <w:rFonts w:hint="eastAsia"/>
      </w:rPr>
    </w:lvl>
    <w:lvl w:ilvl="1" w:tentative="0">
      <w:start w:val="1"/>
      <w:numFmt w:val="decimal"/>
      <w:lvlText w:val="3.%2."/>
      <w:lvlJc w:val="left"/>
      <w:pPr>
        <w:ind w:left="0" w:firstLine="0"/>
      </w:pPr>
      <w:rPr>
        <w:rFonts w:hint="eastAsia"/>
      </w:rPr>
    </w:lvl>
    <w:lvl w:ilvl="2" w:tentative="0">
      <w:start w:val="1"/>
      <w:numFmt w:val="decimal"/>
      <w:lvlText w:val="3.1.%3."/>
      <w:lvlJc w:val="left"/>
      <w:pPr>
        <w:ind w:left="0" w:firstLine="0"/>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0">
    <w:nsid w:val="76FF69C0"/>
    <w:multiLevelType w:val="multilevel"/>
    <w:tmpl w:val="76FF69C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B2B0237"/>
    <w:multiLevelType w:val="multilevel"/>
    <w:tmpl w:val="7B2B023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1"/>
  </w:num>
  <w:num w:numId="3">
    <w:abstractNumId w:val="10"/>
  </w:num>
  <w:num w:numId="4">
    <w:abstractNumId w:val="16"/>
  </w:num>
  <w:num w:numId="5">
    <w:abstractNumId w:val="19"/>
  </w:num>
  <w:num w:numId="6">
    <w:abstractNumId w:val="20"/>
  </w:num>
  <w:num w:numId="7">
    <w:abstractNumId w:val="18"/>
  </w:num>
  <w:num w:numId="8">
    <w:abstractNumId w:val="2"/>
  </w:num>
  <w:num w:numId="9">
    <w:abstractNumId w:val="24"/>
  </w:num>
  <w:num w:numId="10">
    <w:abstractNumId w:val="21"/>
  </w:num>
  <w:num w:numId="11">
    <w:abstractNumId w:val="7"/>
  </w:num>
  <w:num w:numId="12">
    <w:abstractNumId w:val="15"/>
  </w:num>
  <w:num w:numId="13">
    <w:abstractNumId w:val="25"/>
  </w:num>
  <w:num w:numId="14">
    <w:abstractNumId w:val="8"/>
  </w:num>
  <w:num w:numId="15">
    <w:abstractNumId w:val="22"/>
  </w:num>
  <w:num w:numId="16">
    <w:abstractNumId w:val="23"/>
  </w:num>
  <w:num w:numId="17">
    <w:abstractNumId w:val="1"/>
  </w:num>
  <w:num w:numId="18">
    <w:abstractNumId w:val="29"/>
  </w:num>
  <w:num w:numId="19">
    <w:abstractNumId w:val="4"/>
  </w:num>
  <w:num w:numId="20">
    <w:abstractNumId w:val="26"/>
  </w:num>
  <w:num w:numId="21">
    <w:abstractNumId w:val="0"/>
  </w:num>
  <w:num w:numId="22">
    <w:abstractNumId w:val="17"/>
  </w:num>
  <w:num w:numId="23">
    <w:abstractNumId w:val="11"/>
  </w:num>
  <w:num w:numId="24">
    <w:abstractNumId w:val="9"/>
  </w:num>
  <w:num w:numId="25">
    <w:abstractNumId w:val="3"/>
  </w:num>
  <w:num w:numId="26">
    <w:abstractNumId w:val="27"/>
  </w:num>
  <w:num w:numId="27">
    <w:abstractNumId w:val="14"/>
  </w:num>
  <w:num w:numId="28">
    <w:abstractNumId w:val="6"/>
  </w:num>
  <w:num w:numId="29">
    <w:abstractNumId w:val="13"/>
  </w:num>
  <w:num w:numId="30">
    <w:abstractNumId w:val="30"/>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5YWZlZTAyNzM1YTNlYWJhODM5MzRkYjI4N2MyYjUifQ=="/>
  </w:docVars>
  <w:rsids>
    <w:rsidRoot w:val="002F49A5"/>
    <w:rsid w:val="00000DF1"/>
    <w:rsid w:val="00001B6E"/>
    <w:rsid w:val="00001D89"/>
    <w:rsid w:val="00001EBC"/>
    <w:rsid w:val="000026F1"/>
    <w:rsid w:val="00002965"/>
    <w:rsid w:val="000034A0"/>
    <w:rsid w:val="0000478A"/>
    <w:rsid w:val="0000481A"/>
    <w:rsid w:val="00005209"/>
    <w:rsid w:val="000064B0"/>
    <w:rsid w:val="0000679D"/>
    <w:rsid w:val="0000720C"/>
    <w:rsid w:val="00007755"/>
    <w:rsid w:val="0000794F"/>
    <w:rsid w:val="00007C91"/>
    <w:rsid w:val="000103BB"/>
    <w:rsid w:val="00010536"/>
    <w:rsid w:val="00010A61"/>
    <w:rsid w:val="00010FBF"/>
    <w:rsid w:val="000115B8"/>
    <w:rsid w:val="00011CB3"/>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58B0"/>
    <w:rsid w:val="00016198"/>
    <w:rsid w:val="00016ED6"/>
    <w:rsid w:val="000175F0"/>
    <w:rsid w:val="00020343"/>
    <w:rsid w:val="000207FB"/>
    <w:rsid w:val="00020C5D"/>
    <w:rsid w:val="00020E21"/>
    <w:rsid w:val="000219A4"/>
    <w:rsid w:val="00021D3A"/>
    <w:rsid w:val="00022214"/>
    <w:rsid w:val="000228CD"/>
    <w:rsid w:val="00023D3A"/>
    <w:rsid w:val="0002585E"/>
    <w:rsid w:val="00026F62"/>
    <w:rsid w:val="0002744D"/>
    <w:rsid w:val="00027821"/>
    <w:rsid w:val="00027AF1"/>
    <w:rsid w:val="00030272"/>
    <w:rsid w:val="0003065F"/>
    <w:rsid w:val="000307A6"/>
    <w:rsid w:val="00030AA4"/>
    <w:rsid w:val="00030AD9"/>
    <w:rsid w:val="00030F1A"/>
    <w:rsid w:val="0003131F"/>
    <w:rsid w:val="00031498"/>
    <w:rsid w:val="000323B3"/>
    <w:rsid w:val="00032EB3"/>
    <w:rsid w:val="000338CF"/>
    <w:rsid w:val="00034004"/>
    <w:rsid w:val="0003461F"/>
    <w:rsid w:val="00035CE3"/>
    <w:rsid w:val="00035DD3"/>
    <w:rsid w:val="00036123"/>
    <w:rsid w:val="000362B1"/>
    <w:rsid w:val="000363BE"/>
    <w:rsid w:val="0003722B"/>
    <w:rsid w:val="000374FC"/>
    <w:rsid w:val="00037B4E"/>
    <w:rsid w:val="0004023A"/>
    <w:rsid w:val="00040921"/>
    <w:rsid w:val="00041529"/>
    <w:rsid w:val="00041A45"/>
    <w:rsid w:val="00041E8B"/>
    <w:rsid w:val="000421CC"/>
    <w:rsid w:val="000421EB"/>
    <w:rsid w:val="0004230C"/>
    <w:rsid w:val="0004268E"/>
    <w:rsid w:val="00042A86"/>
    <w:rsid w:val="00043612"/>
    <w:rsid w:val="000437FC"/>
    <w:rsid w:val="00043E97"/>
    <w:rsid w:val="00043E9C"/>
    <w:rsid w:val="000441FD"/>
    <w:rsid w:val="0004423E"/>
    <w:rsid w:val="0004496E"/>
    <w:rsid w:val="00045080"/>
    <w:rsid w:val="00045F88"/>
    <w:rsid w:val="00046081"/>
    <w:rsid w:val="000462B2"/>
    <w:rsid w:val="000463EF"/>
    <w:rsid w:val="000467E5"/>
    <w:rsid w:val="000473FB"/>
    <w:rsid w:val="00047E5E"/>
    <w:rsid w:val="00047F69"/>
    <w:rsid w:val="0005002B"/>
    <w:rsid w:val="0005084A"/>
    <w:rsid w:val="000510AB"/>
    <w:rsid w:val="000512C5"/>
    <w:rsid w:val="000537FA"/>
    <w:rsid w:val="00053D96"/>
    <w:rsid w:val="00055241"/>
    <w:rsid w:val="00055628"/>
    <w:rsid w:val="00055F87"/>
    <w:rsid w:val="00055F8A"/>
    <w:rsid w:val="00056DC1"/>
    <w:rsid w:val="00056DF5"/>
    <w:rsid w:val="00057663"/>
    <w:rsid w:val="000578C8"/>
    <w:rsid w:val="00057A88"/>
    <w:rsid w:val="00057DD3"/>
    <w:rsid w:val="00060B70"/>
    <w:rsid w:val="00061385"/>
    <w:rsid w:val="000618CF"/>
    <w:rsid w:val="0006199E"/>
    <w:rsid w:val="000619D2"/>
    <w:rsid w:val="00061C9E"/>
    <w:rsid w:val="00061DA0"/>
    <w:rsid w:val="00062048"/>
    <w:rsid w:val="00062290"/>
    <w:rsid w:val="00062CE7"/>
    <w:rsid w:val="00063ECC"/>
    <w:rsid w:val="00064658"/>
    <w:rsid w:val="00064C4B"/>
    <w:rsid w:val="000654BF"/>
    <w:rsid w:val="000657DE"/>
    <w:rsid w:val="000659CC"/>
    <w:rsid w:val="00065B4D"/>
    <w:rsid w:val="00066175"/>
    <w:rsid w:val="00066234"/>
    <w:rsid w:val="000665B4"/>
    <w:rsid w:val="00066D2B"/>
    <w:rsid w:val="00067342"/>
    <w:rsid w:val="00067806"/>
    <w:rsid w:val="00067FA3"/>
    <w:rsid w:val="0007083A"/>
    <w:rsid w:val="00070CD2"/>
    <w:rsid w:val="00071BAC"/>
    <w:rsid w:val="000722D9"/>
    <w:rsid w:val="0007260A"/>
    <w:rsid w:val="00072AB0"/>
    <w:rsid w:val="00072AD6"/>
    <w:rsid w:val="00072C65"/>
    <w:rsid w:val="00072DC2"/>
    <w:rsid w:val="00072DD3"/>
    <w:rsid w:val="0007329E"/>
    <w:rsid w:val="000735D1"/>
    <w:rsid w:val="00074185"/>
    <w:rsid w:val="0007433F"/>
    <w:rsid w:val="00074BD8"/>
    <w:rsid w:val="0007513B"/>
    <w:rsid w:val="0007514A"/>
    <w:rsid w:val="000753C0"/>
    <w:rsid w:val="00075859"/>
    <w:rsid w:val="00075BE6"/>
    <w:rsid w:val="0007665E"/>
    <w:rsid w:val="00076B36"/>
    <w:rsid w:val="00076C49"/>
    <w:rsid w:val="00077563"/>
    <w:rsid w:val="000775DC"/>
    <w:rsid w:val="000776DE"/>
    <w:rsid w:val="00077730"/>
    <w:rsid w:val="000777A3"/>
    <w:rsid w:val="00077FC7"/>
    <w:rsid w:val="00080E6B"/>
    <w:rsid w:val="000811DD"/>
    <w:rsid w:val="00082628"/>
    <w:rsid w:val="0008308C"/>
    <w:rsid w:val="00083BEA"/>
    <w:rsid w:val="00083CC5"/>
    <w:rsid w:val="00083FAC"/>
    <w:rsid w:val="000847DF"/>
    <w:rsid w:val="00084B97"/>
    <w:rsid w:val="00084FA1"/>
    <w:rsid w:val="00085763"/>
    <w:rsid w:val="00085778"/>
    <w:rsid w:val="000857D8"/>
    <w:rsid w:val="00085B0C"/>
    <w:rsid w:val="00085CC9"/>
    <w:rsid w:val="00085CFD"/>
    <w:rsid w:val="00085D4D"/>
    <w:rsid w:val="00085E53"/>
    <w:rsid w:val="0008615F"/>
    <w:rsid w:val="0008651D"/>
    <w:rsid w:val="00087A6E"/>
    <w:rsid w:val="00090518"/>
    <w:rsid w:val="000906E1"/>
    <w:rsid w:val="000907AB"/>
    <w:rsid w:val="00090846"/>
    <w:rsid w:val="00090A4B"/>
    <w:rsid w:val="00090A90"/>
    <w:rsid w:val="00090EE0"/>
    <w:rsid w:val="00091041"/>
    <w:rsid w:val="000910FC"/>
    <w:rsid w:val="0009175B"/>
    <w:rsid w:val="000919B2"/>
    <w:rsid w:val="00091CCB"/>
    <w:rsid w:val="00091CD7"/>
    <w:rsid w:val="00092368"/>
    <w:rsid w:val="00092391"/>
    <w:rsid w:val="00092638"/>
    <w:rsid w:val="00092B56"/>
    <w:rsid w:val="00092BF7"/>
    <w:rsid w:val="00092C3E"/>
    <w:rsid w:val="000930C5"/>
    <w:rsid w:val="000932AF"/>
    <w:rsid w:val="00093B14"/>
    <w:rsid w:val="00093C0E"/>
    <w:rsid w:val="00093D4A"/>
    <w:rsid w:val="0009414D"/>
    <w:rsid w:val="000944AB"/>
    <w:rsid w:val="00094742"/>
    <w:rsid w:val="00094B7F"/>
    <w:rsid w:val="00094CB7"/>
    <w:rsid w:val="00095180"/>
    <w:rsid w:val="00095627"/>
    <w:rsid w:val="00095F4D"/>
    <w:rsid w:val="000962E0"/>
    <w:rsid w:val="00096645"/>
    <w:rsid w:val="00096885"/>
    <w:rsid w:val="00096F1D"/>
    <w:rsid w:val="00097427"/>
    <w:rsid w:val="00097503"/>
    <w:rsid w:val="0009797E"/>
    <w:rsid w:val="00097CFB"/>
    <w:rsid w:val="000A0295"/>
    <w:rsid w:val="000A0C2B"/>
    <w:rsid w:val="000A0EEC"/>
    <w:rsid w:val="000A1780"/>
    <w:rsid w:val="000A1D74"/>
    <w:rsid w:val="000A2A33"/>
    <w:rsid w:val="000A3636"/>
    <w:rsid w:val="000A3721"/>
    <w:rsid w:val="000A38BE"/>
    <w:rsid w:val="000A3B84"/>
    <w:rsid w:val="000A4165"/>
    <w:rsid w:val="000A4419"/>
    <w:rsid w:val="000A44FC"/>
    <w:rsid w:val="000A45F4"/>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2971"/>
    <w:rsid w:val="000B2C8D"/>
    <w:rsid w:val="000B332C"/>
    <w:rsid w:val="000B34F8"/>
    <w:rsid w:val="000B38A9"/>
    <w:rsid w:val="000B4035"/>
    <w:rsid w:val="000B407B"/>
    <w:rsid w:val="000B5832"/>
    <w:rsid w:val="000B5846"/>
    <w:rsid w:val="000B683B"/>
    <w:rsid w:val="000B6E2E"/>
    <w:rsid w:val="000B75BC"/>
    <w:rsid w:val="000B7ABE"/>
    <w:rsid w:val="000B7EC8"/>
    <w:rsid w:val="000C009A"/>
    <w:rsid w:val="000C0339"/>
    <w:rsid w:val="000C03AD"/>
    <w:rsid w:val="000C1920"/>
    <w:rsid w:val="000C213D"/>
    <w:rsid w:val="000C21D7"/>
    <w:rsid w:val="000C2863"/>
    <w:rsid w:val="000C3383"/>
    <w:rsid w:val="000C4549"/>
    <w:rsid w:val="000C4D01"/>
    <w:rsid w:val="000C4E6D"/>
    <w:rsid w:val="000C5546"/>
    <w:rsid w:val="000C55F8"/>
    <w:rsid w:val="000C5859"/>
    <w:rsid w:val="000C5B47"/>
    <w:rsid w:val="000C625E"/>
    <w:rsid w:val="000C6F7C"/>
    <w:rsid w:val="000C6F83"/>
    <w:rsid w:val="000C7284"/>
    <w:rsid w:val="000C7C23"/>
    <w:rsid w:val="000C7D4A"/>
    <w:rsid w:val="000D0DB8"/>
    <w:rsid w:val="000D1177"/>
    <w:rsid w:val="000D1A6A"/>
    <w:rsid w:val="000D26D8"/>
    <w:rsid w:val="000D270F"/>
    <w:rsid w:val="000D2912"/>
    <w:rsid w:val="000D2A07"/>
    <w:rsid w:val="000D300C"/>
    <w:rsid w:val="000D49AF"/>
    <w:rsid w:val="000D49CC"/>
    <w:rsid w:val="000D4BA3"/>
    <w:rsid w:val="000D521B"/>
    <w:rsid w:val="000D58AE"/>
    <w:rsid w:val="000D5B85"/>
    <w:rsid w:val="000D5DE8"/>
    <w:rsid w:val="000D5FB5"/>
    <w:rsid w:val="000D659B"/>
    <w:rsid w:val="000D67B7"/>
    <w:rsid w:val="000E0865"/>
    <w:rsid w:val="000E0DAC"/>
    <w:rsid w:val="000E0DBA"/>
    <w:rsid w:val="000E1458"/>
    <w:rsid w:val="000E1BE5"/>
    <w:rsid w:val="000E1CED"/>
    <w:rsid w:val="000E25FE"/>
    <w:rsid w:val="000E2B13"/>
    <w:rsid w:val="000E3BAC"/>
    <w:rsid w:val="000E3D9F"/>
    <w:rsid w:val="000E4328"/>
    <w:rsid w:val="000E4348"/>
    <w:rsid w:val="000E487E"/>
    <w:rsid w:val="000E4F80"/>
    <w:rsid w:val="000E53B3"/>
    <w:rsid w:val="000E5BC8"/>
    <w:rsid w:val="000E5C9C"/>
    <w:rsid w:val="000E5CE8"/>
    <w:rsid w:val="000E5F91"/>
    <w:rsid w:val="000E64C3"/>
    <w:rsid w:val="000E67A5"/>
    <w:rsid w:val="000E6D71"/>
    <w:rsid w:val="000E6E1D"/>
    <w:rsid w:val="000E6F75"/>
    <w:rsid w:val="000E727A"/>
    <w:rsid w:val="000E739F"/>
    <w:rsid w:val="000E74BD"/>
    <w:rsid w:val="000E7685"/>
    <w:rsid w:val="000F090F"/>
    <w:rsid w:val="000F096F"/>
    <w:rsid w:val="000F10B0"/>
    <w:rsid w:val="000F10E5"/>
    <w:rsid w:val="000F12D3"/>
    <w:rsid w:val="000F13E4"/>
    <w:rsid w:val="000F1BB6"/>
    <w:rsid w:val="000F226D"/>
    <w:rsid w:val="000F26DB"/>
    <w:rsid w:val="000F2742"/>
    <w:rsid w:val="000F2877"/>
    <w:rsid w:val="000F2AA5"/>
    <w:rsid w:val="000F34F5"/>
    <w:rsid w:val="000F35E3"/>
    <w:rsid w:val="000F3647"/>
    <w:rsid w:val="000F40A8"/>
    <w:rsid w:val="000F5FB8"/>
    <w:rsid w:val="000F5FFB"/>
    <w:rsid w:val="000F671B"/>
    <w:rsid w:val="00100850"/>
    <w:rsid w:val="001009BA"/>
    <w:rsid w:val="001019FB"/>
    <w:rsid w:val="001019FC"/>
    <w:rsid w:val="00102538"/>
    <w:rsid w:val="00102B51"/>
    <w:rsid w:val="00102FB7"/>
    <w:rsid w:val="0010308E"/>
    <w:rsid w:val="00103172"/>
    <w:rsid w:val="001031E7"/>
    <w:rsid w:val="001038BC"/>
    <w:rsid w:val="00103E1B"/>
    <w:rsid w:val="00104084"/>
    <w:rsid w:val="001040A6"/>
    <w:rsid w:val="0010545C"/>
    <w:rsid w:val="001058DE"/>
    <w:rsid w:val="00105924"/>
    <w:rsid w:val="00105ADA"/>
    <w:rsid w:val="00105B1A"/>
    <w:rsid w:val="00105DBD"/>
    <w:rsid w:val="00105F85"/>
    <w:rsid w:val="001065C8"/>
    <w:rsid w:val="00106A74"/>
    <w:rsid w:val="00106C2D"/>
    <w:rsid w:val="001070E4"/>
    <w:rsid w:val="00107164"/>
    <w:rsid w:val="00107BCB"/>
    <w:rsid w:val="0011034A"/>
    <w:rsid w:val="00110877"/>
    <w:rsid w:val="00110A02"/>
    <w:rsid w:val="00110A14"/>
    <w:rsid w:val="00110A85"/>
    <w:rsid w:val="001111E3"/>
    <w:rsid w:val="0011124E"/>
    <w:rsid w:val="0011138E"/>
    <w:rsid w:val="001113B4"/>
    <w:rsid w:val="001115E8"/>
    <w:rsid w:val="001120F7"/>
    <w:rsid w:val="00112289"/>
    <w:rsid w:val="001122F0"/>
    <w:rsid w:val="0011252B"/>
    <w:rsid w:val="00113143"/>
    <w:rsid w:val="0011320F"/>
    <w:rsid w:val="0011373D"/>
    <w:rsid w:val="001144BE"/>
    <w:rsid w:val="00114E6E"/>
    <w:rsid w:val="00115409"/>
    <w:rsid w:val="00115709"/>
    <w:rsid w:val="00116035"/>
    <w:rsid w:val="001169CD"/>
    <w:rsid w:val="00116C77"/>
    <w:rsid w:val="00116FA0"/>
    <w:rsid w:val="00116FBF"/>
    <w:rsid w:val="0011715B"/>
    <w:rsid w:val="001172F4"/>
    <w:rsid w:val="00117DFE"/>
    <w:rsid w:val="00120025"/>
    <w:rsid w:val="00120CD9"/>
    <w:rsid w:val="001215FD"/>
    <w:rsid w:val="00121671"/>
    <w:rsid w:val="001219AD"/>
    <w:rsid w:val="00121CB3"/>
    <w:rsid w:val="00122111"/>
    <w:rsid w:val="0012290B"/>
    <w:rsid w:val="00122969"/>
    <w:rsid w:val="00122B32"/>
    <w:rsid w:val="00123253"/>
    <w:rsid w:val="00123762"/>
    <w:rsid w:val="00124219"/>
    <w:rsid w:val="00124705"/>
    <w:rsid w:val="001254CF"/>
    <w:rsid w:val="00125627"/>
    <w:rsid w:val="00125952"/>
    <w:rsid w:val="00125C70"/>
    <w:rsid w:val="00125D43"/>
    <w:rsid w:val="00125DDA"/>
    <w:rsid w:val="00125FA8"/>
    <w:rsid w:val="001260A8"/>
    <w:rsid w:val="00126471"/>
    <w:rsid w:val="001265DE"/>
    <w:rsid w:val="0012680E"/>
    <w:rsid w:val="00126836"/>
    <w:rsid w:val="00126D86"/>
    <w:rsid w:val="00126F47"/>
    <w:rsid w:val="00127589"/>
    <w:rsid w:val="00127E22"/>
    <w:rsid w:val="00130419"/>
    <w:rsid w:val="001304A7"/>
    <w:rsid w:val="00130922"/>
    <w:rsid w:val="00130A78"/>
    <w:rsid w:val="00130DB9"/>
    <w:rsid w:val="00130EF5"/>
    <w:rsid w:val="00131159"/>
    <w:rsid w:val="00131A07"/>
    <w:rsid w:val="00131BCB"/>
    <w:rsid w:val="00131E09"/>
    <w:rsid w:val="00132B15"/>
    <w:rsid w:val="0013395F"/>
    <w:rsid w:val="00133E31"/>
    <w:rsid w:val="00134723"/>
    <w:rsid w:val="0013487E"/>
    <w:rsid w:val="00134925"/>
    <w:rsid w:val="00134FC1"/>
    <w:rsid w:val="001350A3"/>
    <w:rsid w:val="00135A93"/>
    <w:rsid w:val="001361E2"/>
    <w:rsid w:val="0013624D"/>
    <w:rsid w:val="00136636"/>
    <w:rsid w:val="00136F05"/>
    <w:rsid w:val="001370EB"/>
    <w:rsid w:val="00137350"/>
    <w:rsid w:val="00137455"/>
    <w:rsid w:val="00137BF0"/>
    <w:rsid w:val="00137D16"/>
    <w:rsid w:val="0014085D"/>
    <w:rsid w:val="00140BF7"/>
    <w:rsid w:val="00140CDD"/>
    <w:rsid w:val="001425AD"/>
    <w:rsid w:val="0014278B"/>
    <w:rsid w:val="001427D1"/>
    <w:rsid w:val="00142A29"/>
    <w:rsid w:val="00142A59"/>
    <w:rsid w:val="00143CDA"/>
    <w:rsid w:val="00143D26"/>
    <w:rsid w:val="0014473E"/>
    <w:rsid w:val="00145765"/>
    <w:rsid w:val="00145D88"/>
    <w:rsid w:val="001469B3"/>
    <w:rsid w:val="0014758A"/>
    <w:rsid w:val="00147750"/>
    <w:rsid w:val="001478F7"/>
    <w:rsid w:val="00150416"/>
    <w:rsid w:val="00150568"/>
    <w:rsid w:val="001508B7"/>
    <w:rsid w:val="00150B2B"/>
    <w:rsid w:val="00150E77"/>
    <w:rsid w:val="00151168"/>
    <w:rsid w:val="00151810"/>
    <w:rsid w:val="00151BD8"/>
    <w:rsid w:val="00152029"/>
    <w:rsid w:val="00152378"/>
    <w:rsid w:val="00152480"/>
    <w:rsid w:val="00152715"/>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1F6"/>
    <w:rsid w:val="0015736B"/>
    <w:rsid w:val="00157604"/>
    <w:rsid w:val="00157849"/>
    <w:rsid w:val="00157A10"/>
    <w:rsid w:val="00157F60"/>
    <w:rsid w:val="001600AD"/>
    <w:rsid w:val="001602D1"/>
    <w:rsid w:val="001602F6"/>
    <w:rsid w:val="001602F8"/>
    <w:rsid w:val="00160902"/>
    <w:rsid w:val="00160ABC"/>
    <w:rsid w:val="00161412"/>
    <w:rsid w:val="00161568"/>
    <w:rsid w:val="00161AA3"/>
    <w:rsid w:val="00161C6A"/>
    <w:rsid w:val="0016216B"/>
    <w:rsid w:val="001621F3"/>
    <w:rsid w:val="001633BE"/>
    <w:rsid w:val="00164BCE"/>
    <w:rsid w:val="00164C36"/>
    <w:rsid w:val="00164FB5"/>
    <w:rsid w:val="00165330"/>
    <w:rsid w:val="001654FE"/>
    <w:rsid w:val="001659D1"/>
    <w:rsid w:val="001659F1"/>
    <w:rsid w:val="001664F9"/>
    <w:rsid w:val="00166508"/>
    <w:rsid w:val="0016651A"/>
    <w:rsid w:val="00166B30"/>
    <w:rsid w:val="00166EE4"/>
    <w:rsid w:val="001672CA"/>
    <w:rsid w:val="00167772"/>
    <w:rsid w:val="00167BF7"/>
    <w:rsid w:val="00167F2D"/>
    <w:rsid w:val="00170A59"/>
    <w:rsid w:val="00170F35"/>
    <w:rsid w:val="00171D14"/>
    <w:rsid w:val="00171D69"/>
    <w:rsid w:val="00171FB6"/>
    <w:rsid w:val="001721FF"/>
    <w:rsid w:val="00172774"/>
    <w:rsid w:val="001739BD"/>
    <w:rsid w:val="00173BC5"/>
    <w:rsid w:val="001746B0"/>
    <w:rsid w:val="00174799"/>
    <w:rsid w:val="00174895"/>
    <w:rsid w:val="00174A3D"/>
    <w:rsid w:val="001755A2"/>
    <w:rsid w:val="00175759"/>
    <w:rsid w:val="00175DEB"/>
    <w:rsid w:val="00175E86"/>
    <w:rsid w:val="00176161"/>
    <w:rsid w:val="00176335"/>
    <w:rsid w:val="001765AC"/>
    <w:rsid w:val="0017676F"/>
    <w:rsid w:val="00176BFB"/>
    <w:rsid w:val="00176D71"/>
    <w:rsid w:val="00177828"/>
    <w:rsid w:val="00177B7A"/>
    <w:rsid w:val="00177BB7"/>
    <w:rsid w:val="00177EE1"/>
    <w:rsid w:val="00180846"/>
    <w:rsid w:val="001809AA"/>
    <w:rsid w:val="00180ADF"/>
    <w:rsid w:val="00180D49"/>
    <w:rsid w:val="001812BB"/>
    <w:rsid w:val="00181732"/>
    <w:rsid w:val="00182044"/>
    <w:rsid w:val="00182049"/>
    <w:rsid w:val="001820AA"/>
    <w:rsid w:val="00182C69"/>
    <w:rsid w:val="00182E44"/>
    <w:rsid w:val="001830A9"/>
    <w:rsid w:val="001832D4"/>
    <w:rsid w:val="00183C81"/>
    <w:rsid w:val="0018412E"/>
    <w:rsid w:val="001841D3"/>
    <w:rsid w:val="00184206"/>
    <w:rsid w:val="00185777"/>
    <w:rsid w:val="00185AD4"/>
    <w:rsid w:val="00185AE1"/>
    <w:rsid w:val="00186371"/>
    <w:rsid w:val="00186879"/>
    <w:rsid w:val="0018694B"/>
    <w:rsid w:val="00187002"/>
    <w:rsid w:val="00187762"/>
    <w:rsid w:val="00187993"/>
    <w:rsid w:val="00187D0D"/>
    <w:rsid w:val="00187ED6"/>
    <w:rsid w:val="00191A01"/>
    <w:rsid w:val="00191B9F"/>
    <w:rsid w:val="00191CEF"/>
    <w:rsid w:val="00191D0B"/>
    <w:rsid w:val="00191F34"/>
    <w:rsid w:val="00191F3C"/>
    <w:rsid w:val="001921D8"/>
    <w:rsid w:val="0019242A"/>
    <w:rsid w:val="00192565"/>
    <w:rsid w:val="00192A9C"/>
    <w:rsid w:val="00192BA7"/>
    <w:rsid w:val="00192C39"/>
    <w:rsid w:val="00192D3F"/>
    <w:rsid w:val="00192E24"/>
    <w:rsid w:val="0019424F"/>
    <w:rsid w:val="00194788"/>
    <w:rsid w:val="00194874"/>
    <w:rsid w:val="00194C47"/>
    <w:rsid w:val="0019709C"/>
    <w:rsid w:val="00197678"/>
    <w:rsid w:val="00197D2D"/>
    <w:rsid w:val="00197D7B"/>
    <w:rsid w:val="001A0269"/>
    <w:rsid w:val="001A1620"/>
    <w:rsid w:val="001A1C76"/>
    <w:rsid w:val="001A227A"/>
    <w:rsid w:val="001A296F"/>
    <w:rsid w:val="001A34EB"/>
    <w:rsid w:val="001A38D6"/>
    <w:rsid w:val="001A3D9D"/>
    <w:rsid w:val="001A4BCF"/>
    <w:rsid w:val="001A54F0"/>
    <w:rsid w:val="001A5B38"/>
    <w:rsid w:val="001A6625"/>
    <w:rsid w:val="001A6910"/>
    <w:rsid w:val="001A6A49"/>
    <w:rsid w:val="001A6C08"/>
    <w:rsid w:val="001A7016"/>
    <w:rsid w:val="001A7B0A"/>
    <w:rsid w:val="001A7CEC"/>
    <w:rsid w:val="001A7F4B"/>
    <w:rsid w:val="001A7FB0"/>
    <w:rsid w:val="001B03A8"/>
    <w:rsid w:val="001B03AF"/>
    <w:rsid w:val="001B06DC"/>
    <w:rsid w:val="001B11B0"/>
    <w:rsid w:val="001B1716"/>
    <w:rsid w:val="001B1745"/>
    <w:rsid w:val="001B17C2"/>
    <w:rsid w:val="001B1D7B"/>
    <w:rsid w:val="001B206D"/>
    <w:rsid w:val="001B2099"/>
    <w:rsid w:val="001B2104"/>
    <w:rsid w:val="001B23E1"/>
    <w:rsid w:val="001B2F19"/>
    <w:rsid w:val="001B36CB"/>
    <w:rsid w:val="001B3F96"/>
    <w:rsid w:val="001B4684"/>
    <w:rsid w:val="001B526B"/>
    <w:rsid w:val="001B5A7C"/>
    <w:rsid w:val="001B5ECE"/>
    <w:rsid w:val="001B5F83"/>
    <w:rsid w:val="001B6795"/>
    <w:rsid w:val="001B69C2"/>
    <w:rsid w:val="001B7073"/>
    <w:rsid w:val="001B7DE5"/>
    <w:rsid w:val="001C0289"/>
    <w:rsid w:val="001C106D"/>
    <w:rsid w:val="001C1917"/>
    <w:rsid w:val="001C198E"/>
    <w:rsid w:val="001C1E3F"/>
    <w:rsid w:val="001C1FF0"/>
    <w:rsid w:val="001C35B3"/>
    <w:rsid w:val="001C403D"/>
    <w:rsid w:val="001C4045"/>
    <w:rsid w:val="001C4153"/>
    <w:rsid w:val="001C431B"/>
    <w:rsid w:val="001C452A"/>
    <w:rsid w:val="001C466D"/>
    <w:rsid w:val="001C489D"/>
    <w:rsid w:val="001C48D8"/>
    <w:rsid w:val="001C4CD3"/>
    <w:rsid w:val="001C4CF4"/>
    <w:rsid w:val="001C57C9"/>
    <w:rsid w:val="001C58DB"/>
    <w:rsid w:val="001C5A65"/>
    <w:rsid w:val="001C5A8D"/>
    <w:rsid w:val="001C61DE"/>
    <w:rsid w:val="001C675B"/>
    <w:rsid w:val="001C68FC"/>
    <w:rsid w:val="001C71B2"/>
    <w:rsid w:val="001C71DA"/>
    <w:rsid w:val="001C7496"/>
    <w:rsid w:val="001C7A38"/>
    <w:rsid w:val="001C7E89"/>
    <w:rsid w:val="001D03F0"/>
    <w:rsid w:val="001D1026"/>
    <w:rsid w:val="001D1DC9"/>
    <w:rsid w:val="001D20CD"/>
    <w:rsid w:val="001D264E"/>
    <w:rsid w:val="001D2708"/>
    <w:rsid w:val="001D2F12"/>
    <w:rsid w:val="001D2FF2"/>
    <w:rsid w:val="001D326F"/>
    <w:rsid w:val="001D37E5"/>
    <w:rsid w:val="001D38F0"/>
    <w:rsid w:val="001D3C12"/>
    <w:rsid w:val="001D3D5F"/>
    <w:rsid w:val="001D414B"/>
    <w:rsid w:val="001D45DD"/>
    <w:rsid w:val="001D47C0"/>
    <w:rsid w:val="001D4B7A"/>
    <w:rsid w:val="001D4D8D"/>
    <w:rsid w:val="001D4F5D"/>
    <w:rsid w:val="001D4F72"/>
    <w:rsid w:val="001D50E3"/>
    <w:rsid w:val="001D518F"/>
    <w:rsid w:val="001D60C3"/>
    <w:rsid w:val="001D6443"/>
    <w:rsid w:val="001D648B"/>
    <w:rsid w:val="001D6D3F"/>
    <w:rsid w:val="001D727A"/>
    <w:rsid w:val="001E0089"/>
    <w:rsid w:val="001E01A3"/>
    <w:rsid w:val="001E0533"/>
    <w:rsid w:val="001E13DA"/>
    <w:rsid w:val="001E1E3E"/>
    <w:rsid w:val="001E2318"/>
    <w:rsid w:val="001E2418"/>
    <w:rsid w:val="001E256B"/>
    <w:rsid w:val="001E2868"/>
    <w:rsid w:val="001E2BB1"/>
    <w:rsid w:val="001E2C7D"/>
    <w:rsid w:val="001E2D2D"/>
    <w:rsid w:val="001E316C"/>
    <w:rsid w:val="001E31FC"/>
    <w:rsid w:val="001E38F7"/>
    <w:rsid w:val="001E3DAF"/>
    <w:rsid w:val="001E466B"/>
    <w:rsid w:val="001E4BBA"/>
    <w:rsid w:val="001E5028"/>
    <w:rsid w:val="001E55B4"/>
    <w:rsid w:val="001E5714"/>
    <w:rsid w:val="001E69EF"/>
    <w:rsid w:val="001E6E21"/>
    <w:rsid w:val="001E731D"/>
    <w:rsid w:val="001E757C"/>
    <w:rsid w:val="001E7AF3"/>
    <w:rsid w:val="001F08A4"/>
    <w:rsid w:val="001F0CB7"/>
    <w:rsid w:val="001F15E5"/>
    <w:rsid w:val="001F16A3"/>
    <w:rsid w:val="001F1B89"/>
    <w:rsid w:val="001F2139"/>
    <w:rsid w:val="001F2286"/>
    <w:rsid w:val="001F235A"/>
    <w:rsid w:val="001F24E0"/>
    <w:rsid w:val="001F27C2"/>
    <w:rsid w:val="001F28F8"/>
    <w:rsid w:val="001F2BC8"/>
    <w:rsid w:val="001F31D0"/>
    <w:rsid w:val="001F36FD"/>
    <w:rsid w:val="001F39D9"/>
    <w:rsid w:val="001F39E6"/>
    <w:rsid w:val="001F43E7"/>
    <w:rsid w:val="001F4D90"/>
    <w:rsid w:val="001F4EF3"/>
    <w:rsid w:val="001F51EF"/>
    <w:rsid w:val="001F566C"/>
    <w:rsid w:val="001F57EB"/>
    <w:rsid w:val="001F5D9F"/>
    <w:rsid w:val="001F60EB"/>
    <w:rsid w:val="001F660F"/>
    <w:rsid w:val="001F670B"/>
    <w:rsid w:val="001F7065"/>
    <w:rsid w:val="001F73C1"/>
    <w:rsid w:val="001F7693"/>
    <w:rsid w:val="001F7CF2"/>
    <w:rsid w:val="001F7D8D"/>
    <w:rsid w:val="002003D4"/>
    <w:rsid w:val="002008DF"/>
    <w:rsid w:val="00200B7D"/>
    <w:rsid w:val="00200D61"/>
    <w:rsid w:val="00200D9C"/>
    <w:rsid w:val="00201289"/>
    <w:rsid w:val="00201417"/>
    <w:rsid w:val="0020149D"/>
    <w:rsid w:val="00201887"/>
    <w:rsid w:val="00201B29"/>
    <w:rsid w:val="00201DEB"/>
    <w:rsid w:val="002027C1"/>
    <w:rsid w:val="00202AD2"/>
    <w:rsid w:val="00202EDE"/>
    <w:rsid w:val="00202FC5"/>
    <w:rsid w:val="0020346F"/>
    <w:rsid w:val="00203CBA"/>
    <w:rsid w:val="00203DE6"/>
    <w:rsid w:val="00204FCF"/>
    <w:rsid w:val="00205470"/>
    <w:rsid w:val="00205F64"/>
    <w:rsid w:val="0020625C"/>
    <w:rsid w:val="00206820"/>
    <w:rsid w:val="00206C0D"/>
    <w:rsid w:val="00207191"/>
    <w:rsid w:val="0020740C"/>
    <w:rsid w:val="0021100B"/>
    <w:rsid w:val="00212335"/>
    <w:rsid w:val="002129DC"/>
    <w:rsid w:val="00212A05"/>
    <w:rsid w:val="00212BC1"/>
    <w:rsid w:val="00213269"/>
    <w:rsid w:val="0021327C"/>
    <w:rsid w:val="00213642"/>
    <w:rsid w:val="002137C5"/>
    <w:rsid w:val="0021391C"/>
    <w:rsid w:val="00213AB8"/>
    <w:rsid w:val="00213FC5"/>
    <w:rsid w:val="00214019"/>
    <w:rsid w:val="002142E6"/>
    <w:rsid w:val="002149AB"/>
    <w:rsid w:val="00214DC7"/>
    <w:rsid w:val="002166EF"/>
    <w:rsid w:val="002169EB"/>
    <w:rsid w:val="00216A4D"/>
    <w:rsid w:val="00216CCF"/>
    <w:rsid w:val="00216F2C"/>
    <w:rsid w:val="0021700A"/>
    <w:rsid w:val="00217677"/>
    <w:rsid w:val="0021789A"/>
    <w:rsid w:val="002178A6"/>
    <w:rsid w:val="00220510"/>
    <w:rsid w:val="0022089D"/>
    <w:rsid w:val="00220A6B"/>
    <w:rsid w:val="00220AFE"/>
    <w:rsid w:val="00220E23"/>
    <w:rsid w:val="002217B3"/>
    <w:rsid w:val="00222568"/>
    <w:rsid w:val="002228D2"/>
    <w:rsid w:val="0022295B"/>
    <w:rsid w:val="00222DD2"/>
    <w:rsid w:val="00222E16"/>
    <w:rsid w:val="002234FF"/>
    <w:rsid w:val="0022353A"/>
    <w:rsid w:val="002242D0"/>
    <w:rsid w:val="00224513"/>
    <w:rsid w:val="002246E3"/>
    <w:rsid w:val="00224B5A"/>
    <w:rsid w:val="00224BDC"/>
    <w:rsid w:val="002252D2"/>
    <w:rsid w:val="00225304"/>
    <w:rsid w:val="002262CA"/>
    <w:rsid w:val="00226540"/>
    <w:rsid w:val="00226FF9"/>
    <w:rsid w:val="002270B8"/>
    <w:rsid w:val="00230052"/>
    <w:rsid w:val="00230938"/>
    <w:rsid w:val="002309EE"/>
    <w:rsid w:val="00230FC8"/>
    <w:rsid w:val="00232122"/>
    <w:rsid w:val="0023227F"/>
    <w:rsid w:val="0023257D"/>
    <w:rsid w:val="0023305F"/>
    <w:rsid w:val="0023307B"/>
    <w:rsid w:val="00233485"/>
    <w:rsid w:val="002336CD"/>
    <w:rsid w:val="0023408B"/>
    <w:rsid w:val="0023417E"/>
    <w:rsid w:val="0023440F"/>
    <w:rsid w:val="0023479C"/>
    <w:rsid w:val="00234B64"/>
    <w:rsid w:val="002353AD"/>
    <w:rsid w:val="002357C8"/>
    <w:rsid w:val="002361D5"/>
    <w:rsid w:val="00236350"/>
    <w:rsid w:val="0023702E"/>
    <w:rsid w:val="002372A9"/>
    <w:rsid w:val="00237D7F"/>
    <w:rsid w:val="00240030"/>
    <w:rsid w:val="00240977"/>
    <w:rsid w:val="00240A71"/>
    <w:rsid w:val="00240FDC"/>
    <w:rsid w:val="0024176B"/>
    <w:rsid w:val="002418DD"/>
    <w:rsid w:val="00241F0D"/>
    <w:rsid w:val="002423D6"/>
    <w:rsid w:val="00242409"/>
    <w:rsid w:val="002424A6"/>
    <w:rsid w:val="0024353C"/>
    <w:rsid w:val="00243863"/>
    <w:rsid w:val="00244529"/>
    <w:rsid w:val="002445DF"/>
    <w:rsid w:val="00244C48"/>
    <w:rsid w:val="00244D9B"/>
    <w:rsid w:val="00244F49"/>
    <w:rsid w:val="00244FD6"/>
    <w:rsid w:val="00245B10"/>
    <w:rsid w:val="00245B40"/>
    <w:rsid w:val="00245E56"/>
    <w:rsid w:val="0024607F"/>
    <w:rsid w:val="00246758"/>
    <w:rsid w:val="00246CAC"/>
    <w:rsid w:val="0024717C"/>
    <w:rsid w:val="00247289"/>
    <w:rsid w:val="002478AE"/>
    <w:rsid w:val="002502AB"/>
    <w:rsid w:val="00250731"/>
    <w:rsid w:val="002525DE"/>
    <w:rsid w:val="0025297F"/>
    <w:rsid w:val="0025328C"/>
    <w:rsid w:val="00253BB5"/>
    <w:rsid w:val="00253C14"/>
    <w:rsid w:val="00253E63"/>
    <w:rsid w:val="00253F01"/>
    <w:rsid w:val="00254464"/>
    <w:rsid w:val="0025485D"/>
    <w:rsid w:val="00254CA1"/>
    <w:rsid w:val="00254E78"/>
    <w:rsid w:val="0025559B"/>
    <w:rsid w:val="0025576E"/>
    <w:rsid w:val="00255783"/>
    <w:rsid w:val="00255E3C"/>
    <w:rsid w:val="00256294"/>
    <w:rsid w:val="002563C3"/>
    <w:rsid w:val="002564F4"/>
    <w:rsid w:val="002565E0"/>
    <w:rsid w:val="00256ED8"/>
    <w:rsid w:val="002571AE"/>
    <w:rsid w:val="00257492"/>
    <w:rsid w:val="00257725"/>
    <w:rsid w:val="002577F2"/>
    <w:rsid w:val="00257F05"/>
    <w:rsid w:val="00260139"/>
    <w:rsid w:val="0026031C"/>
    <w:rsid w:val="00260708"/>
    <w:rsid w:val="002611C3"/>
    <w:rsid w:val="00261255"/>
    <w:rsid w:val="002622B3"/>
    <w:rsid w:val="002625AD"/>
    <w:rsid w:val="002627CD"/>
    <w:rsid w:val="0026300F"/>
    <w:rsid w:val="0026302F"/>
    <w:rsid w:val="00263DC0"/>
    <w:rsid w:val="00263FE5"/>
    <w:rsid w:val="00264A5F"/>
    <w:rsid w:val="00264FE9"/>
    <w:rsid w:val="002653DF"/>
    <w:rsid w:val="0026672F"/>
    <w:rsid w:val="002667C0"/>
    <w:rsid w:val="00266E98"/>
    <w:rsid w:val="00266F18"/>
    <w:rsid w:val="00267025"/>
    <w:rsid w:val="00267729"/>
    <w:rsid w:val="00267BFC"/>
    <w:rsid w:val="00267DBF"/>
    <w:rsid w:val="0027028C"/>
    <w:rsid w:val="0027058C"/>
    <w:rsid w:val="002707F5"/>
    <w:rsid w:val="0027084C"/>
    <w:rsid w:val="002708CA"/>
    <w:rsid w:val="00271054"/>
    <w:rsid w:val="002712C9"/>
    <w:rsid w:val="002712D2"/>
    <w:rsid w:val="00271858"/>
    <w:rsid w:val="002727D8"/>
    <w:rsid w:val="00272C3B"/>
    <w:rsid w:val="002730C8"/>
    <w:rsid w:val="002734F1"/>
    <w:rsid w:val="0027480D"/>
    <w:rsid w:val="00274BCA"/>
    <w:rsid w:val="0027574F"/>
    <w:rsid w:val="002763F8"/>
    <w:rsid w:val="00276A15"/>
    <w:rsid w:val="002771DC"/>
    <w:rsid w:val="00277998"/>
    <w:rsid w:val="00277E45"/>
    <w:rsid w:val="00277E4E"/>
    <w:rsid w:val="00280096"/>
    <w:rsid w:val="00280577"/>
    <w:rsid w:val="00280658"/>
    <w:rsid w:val="00280E17"/>
    <w:rsid w:val="00280FFE"/>
    <w:rsid w:val="0028124B"/>
    <w:rsid w:val="00281ECF"/>
    <w:rsid w:val="00282E73"/>
    <w:rsid w:val="002832F6"/>
    <w:rsid w:val="00283456"/>
    <w:rsid w:val="00283E18"/>
    <w:rsid w:val="00283E98"/>
    <w:rsid w:val="00284510"/>
    <w:rsid w:val="0028464C"/>
    <w:rsid w:val="002847E6"/>
    <w:rsid w:val="00284F16"/>
    <w:rsid w:val="00285793"/>
    <w:rsid w:val="00285993"/>
    <w:rsid w:val="002859C8"/>
    <w:rsid w:val="0028656B"/>
    <w:rsid w:val="002868FE"/>
    <w:rsid w:val="002870DF"/>
    <w:rsid w:val="0028723D"/>
    <w:rsid w:val="002874F8"/>
    <w:rsid w:val="00287BD2"/>
    <w:rsid w:val="002904B2"/>
    <w:rsid w:val="00290C86"/>
    <w:rsid w:val="00291347"/>
    <w:rsid w:val="002915CE"/>
    <w:rsid w:val="00291953"/>
    <w:rsid w:val="002919DB"/>
    <w:rsid w:val="00292101"/>
    <w:rsid w:val="00292F45"/>
    <w:rsid w:val="00293024"/>
    <w:rsid w:val="00293A8D"/>
    <w:rsid w:val="00293BEC"/>
    <w:rsid w:val="00294700"/>
    <w:rsid w:val="002949C5"/>
    <w:rsid w:val="002950CA"/>
    <w:rsid w:val="0029540D"/>
    <w:rsid w:val="00296863"/>
    <w:rsid w:val="00296C7B"/>
    <w:rsid w:val="00296CD4"/>
    <w:rsid w:val="00296F43"/>
    <w:rsid w:val="00296F84"/>
    <w:rsid w:val="00297458"/>
    <w:rsid w:val="002A0522"/>
    <w:rsid w:val="002A0E8E"/>
    <w:rsid w:val="002A1264"/>
    <w:rsid w:val="002A164C"/>
    <w:rsid w:val="002A1769"/>
    <w:rsid w:val="002A1814"/>
    <w:rsid w:val="002A1DB7"/>
    <w:rsid w:val="002A2C1F"/>
    <w:rsid w:val="002A3078"/>
    <w:rsid w:val="002A3341"/>
    <w:rsid w:val="002A3609"/>
    <w:rsid w:val="002A39C8"/>
    <w:rsid w:val="002A3DF4"/>
    <w:rsid w:val="002A41DE"/>
    <w:rsid w:val="002A4752"/>
    <w:rsid w:val="002A48B9"/>
    <w:rsid w:val="002A4975"/>
    <w:rsid w:val="002A5BD0"/>
    <w:rsid w:val="002A5BDC"/>
    <w:rsid w:val="002A60D7"/>
    <w:rsid w:val="002A6847"/>
    <w:rsid w:val="002A6A51"/>
    <w:rsid w:val="002A6AA9"/>
    <w:rsid w:val="002A6B8D"/>
    <w:rsid w:val="002A7E8A"/>
    <w:rsid w:val="002B07A1"/>
    <w:rsid w:val="002B11B9"/>
    <w:rsid w:val="002B1575"/>
    <w:rsid w:val="002B1649"/>
    <w:rsid w:val="002B1AA4"/>
    <w:rsid w:val="002B1E0A"/>
    <w:rsid w:val="002B2166"/>
    <w:rsid w:val="002B2264"/>
    <w:rsid w:val="002B2315"/>
    <w:rsid w:val="002B30E7"/>
    <w:rsid w:val="002B331A"/>
    <w:rsid w:val="002B3347"/>
    <w:rsid w:val="002B3355"/>
    <w:rsid w:val="002B353B"/>
    <w:rsid w:val="002B41F1"/>
    <w:rsid w:val="002B4523"/>
    <w:rsid w:val="002B4F40"/>
    <w:rsid w:val="002B5496"/>
    <w:rsid w:val="002B593C"/>
    <w:rsid w:val="002B5ED2"/>
    <w:rsid w:val="002B64F8"/>
    <w:rsid w:val="002B6D87"/>
    <w:rsid w:val="002B6E92"/>
    <w:rsid w:val="002B707F"/>
    <w:rsid w:val="002B7280"/>
    <w:rsid w:val="002B7568"/>
    <w:rsid w:val="002B7CAA"/>
    <w:rsid w:val="002B7E39"/>
    <w:rsid w:val="002C052B"/>
    <w:rsid w:val="002C05F0"/>
    <w:rsid w:val="002C06E4"/>
    <w:rsid w:val="002C1218"/>
    <w:rsid w:val="002C12BA"/>
    <w:rsid w:val="002C196D"/>
    <w:rsid w:val="002C1D81"/>
    <w:rsid w:val="002C2C54"/>
    <w:rsid w:val="002C2DC5"/>
    <w:rsid w:val="002C2FBB"/>
    <w:rsid w:val="002C3025"/>
    <w:rsid w:val="002C3AFD"/>
    <w:rsid w:val="002C4558"/>
    <w:rsid w:val="002C4737"/>
    <w:rsid w:val="002C5FA2"/>
    <w:rsid w:val="002C621C"/>
    <w:rsid w:val="002C6933"/>
    <w:rsid w:val="002C6BD1"/>
    <w:rsid w:val="002C77ED"/>
    <w:rsid w:val="002C7C7C"/>
    <w:rsid w:val="002D0398"/>
    <w:rsid w:val="002D0D0D"/>
    <w:rsid w:val="002D0D4E"/>
    <w:rsid w:val="002D1560"/>
    <w:rsid w:val="002D183A"/>
    <w:rsid w:val="002D1F08"/>
    <w:rsid w:val="002D27E5"/>
    <w:rsid w:val="002D30A0"/>
    <w:rsid w:val="002D33EC"/>
    <w:rsid w:val="002D411E"/>
    <w:rsid w:val="002D42C8"/>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15C1"/>
    <w:rsid w:val="002E20A3"/>
    <w:rsid w:val="002E23D1"/>
    <w:rsid w:val="002E2489"/>
    <w:rsid w:val="002E25BB"/>
    <w:rsid w:val="002E3A3E"/>
    <w:rsid w:val="002E4F1F"/>
    <w:rsid w:val="002E59A1"/>
    <w:rsid w:val="002E6464"/>
    <w:rsid w:val="002E6468"/>
    <w:rsid w:val="002E69B2"/>
    <w:rsid w:val="002E6B15"/>
    <w:rsid w:val="002E6CA8"/>
    <w:rsid w:val="002E718A"/>
    <w:rsid w:val="002E741D"/>
    <w:rsid w:val="002E7738"/>
    <w:rsid w:val="002E7812"/>
    <w:rsid w:val="002E7CC1"/>
    <w:rsid w:val="002E7D8F"/>
    <w:rsid w:val="002F01A7"/>
    <w:rsid w:val="002F0619"/>
    <w:rsid w:val="002F0699"/>
    <w:rsid w:val="002F0D00"/>
    <w:rsid w:val="002F1197"/>
    <w:rsid w:val="002F134F"/>
    <w:rsid w:val="002F1393"/>
    <w:rsid w:val="002F1B67"/>
    <w:rsid w:val="002F1E0F"/>
    <w:rsid w:val="002F1F8C"/>
    <w:rsid w:val="002F2019"/>
    <w:rsid w:val="002F206A"/>
    <w:rsid w:val="002F20A8"/>
    <w:rsid w:val="002F23AC"/>
    <w:rsid w:val="002F37ED"/>
    <w:rsid w:val="002F3DAF"/>
    <w:rsid w:val="002F4407"/>
    <w:rsid w:val="002F49A5"/>
    <w:rsid w:val="002F4C86"/>
    <w:rsid w:val="002F5B78"/>
    <w:rsid w:val="002F5FFE"/>
    <w:rsid w:val="002F6F16"/>
    <w:rsid w:val="002F6F44"/>
    <w:rsid w:val="002F75AB"/>
    <w:rsid w:val="002F78AE"/>
    <w:rsid w:val="002F7A32"/>
    <w:rsid w:val="002F7A3C"/>
    <w:rsid w:val="002F7AE8"/>
    <w:rsid w:val="002F7E3C"/>
    <w:rsid w:val="002F7F19"/>
    <w:rsid w:val="002F7F6D"/>
    <w:rsid w:val="0030061F"/>
    <w:rsid w:val="00300855"/>
    <w:rsid w:val="003012FB"/>
    <w:rsid w:val="00301594"/>
    <w:rsid w:val="00302161"/>
    <w:rsid w:val="003023BC"/>
    <w:rsid w:val="0030288C"/>
    <w:rsid w:val="0030292E"/>
    <w:rsid w:val="00302B22"/>
    <w:rsid w:val="003030BC"/>
    <w:rsid w:val="00303261"/>
    <w:rsid w:val="00303975"/>
    <w:rsid w:val="00303C23"/>
    <w:rsid w:val="00304278"/>
    <w:rsid w:val="00304D80"/>
    <w:rsid w:val="0030540C"/>
    <w:rsid w:val="00305819"/>
    <w:rsid w:val="003059D4"/>
    <w:rsid w:val="00305D04"/>
    <w:rsid w:val="00306954"/>
    <w:rsid w:val="003075CB"/>
    <w:rsid w:val="00307B65"/>
    <w:rsid w:val="00307D48"/>
    <w:rsid w:val="00307F2F"/>
    <w:rsid w:val="003102EC"/>
    <w:rsid w:val="003102F8"/>
    <w:rsid w:val="00310D65"/>
    <w:rsid w:val="00310D74"/>
    <w:rsid w:val="00310E56"/>
    <w:rsid w:val="0031178F"/>
    <w:rsid w:val="00311945"/>
    <w:rsid w:val="003125BF"/>
    <w:rsid w:val="00312876"/>
    <w:rsid w:val="00312997"/>
    <w:rsid w:val="003131A7"/>
    <w:rsid w:val="00314CC2"/>
    <w:rsid w:val="003153BF"/>
    <w:rsid w:val="0031579F"/>
    <w:rsid w:val="00316116"/>
    <w:rsid w:val="00316518"/>
    <w:rsid w:val="00317A9D"/>
    <w:rsid w:val="0032047C"/>
    <w:rsid w:val="0032059A"/>
    <w:rsid w:val="0032059E"/>
    <w:rsid w:val="0032165C"/>
    <w:rsid w:val="0032181D"/>
    <w:rsid w:val="0032184B"/>
    <w:rsid w:val="003218F3"/>
    <w:rsid w:val="00322031"/>
    <w:rsid w:val="0032207B"/>
    <w:rsid w:val="00322786"/>
    <w:rsid w:val="003229E6"/>
    <w:rsid w:val="00322D76"/>
    <w:rsid w:val="0032331C"/>
    <w:rsid w:val="003235E9"/>
    <w:rsid w:val="00323A89"/>
    <w:rsid w:val="00323EBA"/>
    <w:rsid w:val="00323FC3"/>
    <w:rsid w:val="0032489B"/>
    <w:rsid w:val="00324C08"/>
    <w:rsid w:val="00324CFC"/>
    <w:rsid w:val="00324D4D"/>
    <w:rsid w:val="0032573E"/>
    <w:rsid w:val="0032649C"/>
    <w:rsid w:val="003265FA"/>
    <w:rsid w:val="00326D09"/>
    <w:rsid w:val="00326D4A"/>
    <w:rsid w:val="0032710D"/>
    <w:rsid w:val="003272ED"/>
    <w:rsid w:val="00327A3D"/>
    <w:rsid w:val="00327FA3"/>
    <w:rsid w:val="0033046D"/>
    <w:rsid w:val="003305A5"/>
    <w:rsid w:val="00330E03"/>
    <w:rsid w:val="00331330"/>
    <w:rsid w:val="003313FD"/>
    <w:rsid w:val="003317F4"/>
    <w:rsid w:val="00331B6D"/>
    <w:rsid w:val="00332503"/>
    <w:rsid w:val="003325A1"/>
    <w:rsid w:val="00332A27"/>
    <w:rsid w:val="00332B9C"/>
    <w:rsid w:val="0033334A"/>
    <w:rsid w:val="00334836"/>
    <w:rsid w:val="003349C9"/>
    <w:rsid w:val="003358A0"/>
    <w:rsid w:val="00335C46"/>
    <w:rsid w:val="0033658F"/>
    <w:rsid w:val="00336774"/>
    <w:rsid w:val="00336A62"/>
    <w:rsid w:val="00336F86"/>
    <w:rsid w:val="00337DA7"/>
    <w:rsid w:val="00337FE0"/>
    <w:rsid w:val="00337FED"/>
    <w:rsid w:val="0034048A"/>
    <w:rsid w:val="0034065E"/>
    <w:rsid w:val="003409A8"/>
    <w:rsid w:val="00340A44"/>
    <w:rsid w:val="00342636"/>
    <w:rsid w:val="003428A7"/>
    <w:rsid w:val="00342C4A"/>
    <w:rsid w:val="00343170"/>
    <w:rsid w:val="00343324"/>
    <w:rsid w:val="00343C31"/>
    <w:rsid w:val="00343D0C"/>
    <w:rsid w:val="00344A90"/>
    <w:rsid w:val="00344E2D"/>
    <w:rsid w:val="003454E3"/>
    <w:rsid w:val="003458D7"/>
    <w:rsid w:val="00345BD0"/>
    <w:rsid w:val="00346306"/>
    <w:rsid w:val="00346996"/>
    <w:rsid w:val="00346A37"/>
    <w:rsid w:val="00346C89"/>
    <w:rsid w:val="00346E02"/>
    <w:rsid w:val="00346F31"/>
    <w:rsid w:val="00346F4E"/>
    <w:rsid w:val="00347126"/>
    <w:rsid w:val="003474AE"/>
    <w:rsid w:val="00347705"/>
    <w:rsid w:val="00347ABD"/>
    <w:rsid w:val="00347C7C"/>
    <w:rsid w:val="00347D01"/>
    <w:rsid w:val="003500F0"/>
    <w:rsid w:val="00350DE2"/>
    <w:rsid w:val="00350F62"/>
    <w:rsid w:val="00351EE7"/>
    <w:rsid w:val="00352209"/>
    <w:rsid w:val="00352606"/>
    <w:rsid w:val="00352878"/>
    <w:rsid w:val="0035332B"/>
    <w:rsid w:val="00353393"/>
    <w:rsid w:val="0035353B"/>
    <w:rsid w:val="00353911"/>
    <w:rsid w:val="00353B56"/>
    <w:rsid w:val="00354047"/>
    <w:rsid w:val="00354667"/>
    <w:rsid w:val="003546BD"/>
    <w:rsid w:val="00354D34"/>
    <w:rsid w:val="00354E9A"/>
    <w:rsid w:val="00355511"/>
    <w:rsid w:val="00355BF3"/>
    <w:rsid w:val="00355F63"/>
    <w:rsid w:val="00356020"/>
    <w:rsid w:val="003562AB"/>
    <w:rsid w:val="003565B6"/>
    <w:rsid w:val="003566D8"/>
    <w:rsid w:val="00356E0F"/>
    <w:rsid w:val="003571E7"/>
    <w:rsid w:val="0035797F"/>
    <w:rsid w:val="00357EAB"/>
    <w:rsid w:val="003601AA"/>
    <w:rsid w:val="00360A8A"/>
    <w:rsid w:val="00361F3A"/>
    <w:rsid w:val="003626F9"/>
    <w:rsid w:val="00363E1E"/>
    <w:rsid w:val="003647A6"/>
    <w:rsid w:val="00364D43"/>
    <w:rsid w:val="00364E36"/>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CA8"/>
    <w:rsid w:val="00370F34"/>
    <w:rsid w:val="00370F64"/>
    <w:rsid w:val="0037118D"/>
    <w:rsid w:val="00371724"/>
    <w:rsid w:val="00371799"/>
    <w:rsid w:val="00371CEC"/>
    <w:rsid w:val="00371E74"/>
    <w:rsid w:val="00371F35"/>
    <w:rsid w:val="00371F8B"/>
    <w:rsid w:val="00372827"/>
    <w:rsid w:val="00373326"/>
    <w:rsid w:val="0037358F"/>
    <w:rsid w:val="003736B3"/>
    <w:rsid w:val="00373754"/>
    <w:rsid w:val="0037387C"/>
    <w:rsid w:val="003738E2"/>
    <w:rsid w:val="00373AFA"/>
    <w:rsid w:val="00373CB7"/>
    <w:rsid w:val="0037419F"/>
    <w:rsid w:val="00374DE7"/>
    <w:rsid w:val="003751D7"/>
    <w:rsid w:val="003752C0"/>
    <w:rsid w:val="003758C0"/>
    <w:rsid w:val="00376000"/>
    <w:rsid w:val="003760D0"/>
    <w:rsid w:val="00376595"/>
    <w:rsid w:val="00376A79"/>
    <w:rsid w:val="00376BDC"/>
    <w:rsid w:val="00376F0F"/>
    <w:rsid w:val="00377780"/>
    <w:rsid w:val="00377877"/>
    <w:rsid w:val="00377D87"/>
    <w:rsid w:val="0038075F"/>
    <w:rsid w:val="00380A38"/>
    <w:rsid w:val="00381298"/>
    <w:rsid w:val="00382214"/>
    <w:rsid w:val="003824B3"/>
    <w:rsid w:val="003829B4"/>
    <w:rsid w:val="00382F36"/>
    <w:rsid w:val="00383012"/>
    <w:rsid w:val="00383AD6"/>
    <w:rsid w:val="00384569"/>
    <w:rsid w:val="00384FB5"/>
    <w:rsid w:val="00385155"/>
    <w:rsid w:val="003853E9"/>
    <w:rsid w:val="00385B21"/>
    <w:rsid w:val="00385C34"/>
    <w:rsid w:val="003868AE"/>
    <w:rsid w:val="00386956"/>
    <w:rsid w:val="00386DEE"/>
    <w:rsid w:val="00386FC2"/>
    <w:rsid w:val="0038742F"/>
    <w:rsid w:val="00387E5A"/>
    <w:rsid w:val="00387F9B"/>
    <w:rsid w:val="00390B39"/>
    <w:rsid w:val="00391599"/>
    <w:rsid w:val="00391744"/>
    <w:rsid w:val="00391C63"/>
    <w:rsid w:val="00391E92"/>
    <w:rsid w:val="00391F2C"/>
    <w:rsid w:val="0039258D"/>
    <w:rsid w:val="00392781"/>
    <w:rsid w:val="003928D1"/>
    <w:rsid w:val="00392FE1"/>
    <w:rsid w:val="003930AE"/>
    <w:rsid w:val="00393165"/>
    <w:rsid w:val="00393C1B"/>
    <w:rsid w:val="003949A1"/>
    <w:rsid w:val="00395AAC"/>
    <w:rsid w:val="00395B3F"/>
    <w:rsid w:val="00395E5E"/>
    <w:rsid w:val="00395F5A"/>
    <w:rsid w:val="003962D6"/>
    <w:rsid w:val="00396BBE"/>
    <w:rsid w:val="00396EFE"/>
    <w:rsid w:val="00397044"/>
    <w:rsid w:val="003972DF"/>
    <w:rsid w:val="0039782D"/>
    <w:rsid w:val="003A0396"/>
    <w:rsid w:val="003A0B4F"/>
    <w:rsid w:val="003A0D69"/>
    <w:rsid w:val="003A14B1"/>
    <w:rsid w:val="003A1AB7"/>
    <w:rsid w:val="003A1CE6"/>
    <w:rsid w:val="003A1F28"/>
    <w:rsid w:val="003A36B7"/>
    <w:rsid w:val="003A37E5"/>
    <w:rsid w:val="003A45BB"/>
    <w:rsid w:val="003A45E2"/>
    <w:rsid w:val="003A4BED"/>
    <w:rsid w:val="003A4F63"/>
    <w:rsid w:val="003A50E0"/>
    <w:rsid w:val="003A55A8"/>
    <w:rsid w:val="003A565D"/>
    <w:rsid w:val="003A5779"/>
    <w:rsid w:val="003A57A1"/>
    <w:rsid w:val="003A6739"/>
    <w:rsid w:val="003A6AF0"/>
    <w:rsid w:val="003A6CAD"/>
    <w:rsid w:val="003A6F90"/>
    <w:rsid w:val="003A7392"/>
    <w:rsid w:val="003A7A24"/>
    <w:rsid w:val="003A7E43"/>
    <w:rsid w:val="003B0187"/>
    <w:rsid w:val="003B0E96"/>
    <w:rsid w:val="003B1137"/>
    <w:rsid w:val="003B16B9"/>
    <w:rsid w:val="003B1939"/>
    <w:rsid w:val="003B22AA"/>
    <w:rsid w:val="003B231A"/>
    <w:rsid w:val="003B2426"/>
    <w:rsid w:val="003B24D0"/>
    <w:rsid w:val="003B25FD"/>
    <w:rsid w:val="003B2EA1"/>
    <w:rsid w:val="003B2F3B"/>
    <w:rsid w:val="003B2FD9"/>
    <w:rsid w:val="003B399D"/>
    <w:rsid w:val="003B3A62"/>
    <w:rsid w:val="003B3A63"/>
    <w:rsid w:val="003B3F4B"/>
    <w:rsid w:val="003B538F"/>
    <w:rsid w:val="003B678E"/>
    <w:rsid w:val="003B6EA3"/>
    <w:rsid w:val="003B71B9"/>
    <w:rsid w:val="003B75D9"/>
    <w:rsid w:val="003B763E"/>
    <w:rsid w:val="003B7F4F"/>
    <w:rsid w:val="003C0285"/>
    <w:rsid w:val="003C08D8"/>
    <w:rsid w:val="003C10E1"/>
    <w:rsid w:val="003C13B7"/>
    <w:rsid w:val="003C15EF"/>
    <w:rsid w:val="003C15F4"/>
    <w:rsid w:val="003C297C"/>
    <w:rsid w:val="003C298A"/>
    <w:rsid w:val="003C2F7B"/>
    <w:rsid w:val="003C2FB6"/>
    <w:rsid w:val="003C300F"/>
    <w:rsid w:val="003C3101"/>
    <w:rsid w:val="003C31D2"/>
    <w:rsid w:val="003C3802"/>
    <w:rsid w:val="003C40A7"/>
    <w:rsid w:val="003C4B16"/>
    <w:rsid w:val="003C4D75"/>
    <w:rsid w:val="003C5170"/>
    <w:rsid w:val="003C5972"/>
    <w:rsid w:val="003C5A33"/>
    <w:rsid w:val="003C5A84"/>
    <w:rsid w:val="003C5DC6"/>
    <w:rsid w:val="003C63FA"/>
    <w:rsid w:val="003C687F"/>
    <w:rsid w:val="003C6F0D"/>
    <w:rsid w:val="003C737A"/>
    <w:rsid w:val="003C7829"/>
    <w:rsid w:val="003C78B9"/>
    <w:rsid w:val="003C7ACE"/>
    <w:rsid w:val="003C7C8B"/>
    <w:rsid w:val="003C7E7C"/>
    <w:rsid w:val="003D0041"/>
    <w:rsid w:val="003D01B8"/>
    <w:rsid w:val="003D0280"/>
    <w:rsid w:val="003D0590"/>
    <w:rsid w:val="003D0642"/>
    <w:rsid w:val="003D0D97"/>
    <w:rsid w:val="003D0F46"/>
    <w:rsid w:val="003D2697"/>
    <w:rsid w:val="003D2705"/>
    <w:rsid w:val="003D272E"/>
    <w:rsid w:val="003D2D00"/>
    <w:rsid w:val="003D3761"/>
    <w:rsid w:val="003D378C"/>
    <w:rsid w:val="003D3B0D"/>
    <w:rsid w:val="003D3B75"/>
    <w:rsid w:val="003D3DE0"/>
    <w:rsid w:val="003D3EF2"/>
    <w:rsid w:val="003D3F11"/>
    <w:rsid w:val="003D4758"/>
    <w:rsid w:val="003D4DC9"/>
    <w:rsid w:val="003D531F"/>
    <w:rsid w:val="003D58FF"/>
    <w:rsid w:val="003D611D"/>
    <w:rsid w:val="003D62A4"/>
    <w:rsid w:val="003D6459"/>
    <w:rsid w:val="003D6576"/>
    <w:rsid w:val="003D65A1"/>
    <w:rsid w:val="003D65C0"/>
    <w:rsid w:val="003D6804"/>
    <w:rsid w:val="003D6D20"/>
    <w:rsid w:val="003D6E44"/>
    <w:rsid w:val="003D75EA"/>
    <w:rsid w:val="003E0066"/>
    <w:rsid w:val="003E00DB"/>
    <w:rsid w:val="003E0FCC"/>
    <w:rsid w:val="003E15FF"/>
    <w:rsid w:val="003E1603"/>
    <w:rsid w:val="003E1FD2"/>
    <w:rsid w:val="003E243D"/>
    <w:rsid w:val="003E268B"/>
    <w:rsid w:val="003E2A74"/>
    <w:rsid w:val="003E3797"/>
    <w:rsid w:val="003E4315"/>
    <w:rsid w:val="003E45A2"/>
    <w:rsid w:val="003E4695"/>
    <w:rsid w:val="003E6697"/>
    <w:rsid w:val="003E69CD"/>
    <w:rsid w:val="003E6C6D"/>
    <w:rsid w:val="003E6EB6"/>
    <w:rsid w:val="003E749D"/>
    <w:rsid w:val="003E7CD8"/>
    <w:rsid w:val="003F008A"/>
    <w:rsid w:val="003F0921"/>
    <w:rsid w:val="003F09B5"/>
    <w:rsid w:val="003F09BC"/>
    <w:rsid w:val="003F102D"/>
    <w:rsid w:val="003F11D4"/>
    <w:rsid w:val="003F1D85"/>
    <w:rsid w:val="003F23EE"/>
    <w:rsid w:val="003F28EE"/>
    <w:rsid w:val="003F2A30"/>
    <w:rsid w:val="003F3312"/>
    <w:rsid w:val="003F3399"/>
    <w:rsid w:val="003F3619"/>
    <w:rsid w:val="003F3689"/>
    <w:rsid w:val="003F3A17"/>
    <w:rsid w:val="003F42AD"/>
    <w:rsid w:val="003F4818"/>
    <w:rsid w:val="003F55FA"/>
    <w:rsid w:val="003F5BED"/>
    <w:rsid w:val="003F6782"/>
    <w:rsid w:val="003F6890"/>
    <w:rsid w:val="003F703C"/>
    <w:rsid w:val="003F7061"/>
    <w:rsid w:val="003F7D7F"/>
    <w:rsid w:val="004000CB"/>
    <w:rsid w:val="004007D3"/>
    <w:rsid w:val="00400EB4"/>
    <w:rsid w:val="00401030"/>
    <w:rsid w:val="00401836"/>
    <w:rsid w:val="0040202C"/>
    <w:rsid w:val="00402548"/>
    <w:rsid w:val="00402B23"/>
    <w:rsid w:val="004037C9"/>
    <w:rsid w:val="00403B1E"/>
    <w:rsid w:val="00404A26"/>
    <w:rsid w:val="00404C24"/>
    <w:rsid w:val="00404FEA"/>
    <w:rsid w:val="00404FFE"/>
    <w:rsid w:val="0040570D"/>
    <w:rsid w:val="0040585B"/>
    <w:rsid w:val="00405D13"/>
    <w:rsid w:val="00406419"/>
    <w:rsid w:val="00406867"/>
    <w:rsid w:val="00406AE0"/>
    <w:rsid w:val="00406B0C"/>
    <w:rsid w:val="004071BD"/>
    <w:rsid w:val="00407326"/>
    <w:rsid w:val="004078BD"/>
    <w:rsid w:val="00407EF4"/>
    <w:rsid w:val="00410349"/>
    <w:rsid w:val="00410D21"/>
    <w:rsid w:val="0041111A"/>
    <w:rsid w:val="0041177C"/>
    <w:rsid w:val="0041178E"/>
    <w:rsid w:val="004118F3"/>
    <w:rsid w:val="00412134"/>
    <w:rsid w:val="004128BE"/>
    <w:rsid w:val="00412D53"/>
    <w:rsid w:val="00412EB3"/>
    <w:rsid w:val="00413041"/>
    <w:rsid w:val="00413074"/>
    <w:rsid w:val="004131CE"/>
    <w:rsid w:val="00413689"/>
    <w:rsid w:val="00413A5A"/>
    <w:rsid w:val="00413D63"/>
    <w:rsid w:val="00414272"/>
    <w:rsid w:val="004145E9"/>
    <w:rsid w:val="0041507C"/>
    <w:rsid w:val="004151D4"/>
    <w:rsid w:val="0041551F"/>
    <w:rsid w:val="00415C47"/>
    <w:rsid w:val="0041600D"/>
    <w:rsid w:val="004162D5"/>
    <w:rsid w:val="00416327"/>
    <w:rsid w:val="00416D0B"/>
    <w:rsid w:val="00416F60"/>
    <w:rsid w:val="004174A8"/>
    <w:rsid w:val="00417B3D"/>
    <w:rsid w:val="00417E8E"/>
    <w:rsid w:val="00420A18"/>
    <w:rsid w:val="004211F7"/>
    <w:rsid w:val="004213D4"/>
    <w:rsid w:val="00421AAF"/>
    <w:rsid w:val="00421CFC"/>
    <w:rsid w:val="00422B6A"/>
    <w:rsid w:val="00422EAD"/>
    <w:rsid w:val="0042305B"/>
    <w:rsid w:val="004232D6"/>
    <w:rsid w:val="0042371E"/>
    <w:rsid w:val="00423738"/>
    <w:rsid w:val="004249EE"/>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45D"/>
    <w:rsid w:val="004316A1"/>
    <w:rsid w:val="00431BEA"/>
    <w:rsid w:val="004320CA"/>
    <w:rsid w:val="00432D38"/>
    <w:rsid w:val="0043371E"/>
    <w:rsid w:val="00433847"/>
    <w:rsid w:val="00433A77"/>
    <w:rsid w:val="00433AF7"/>
    <w:rsid w:val="004340D5"/>
    <w:rsid w:val="00435488"/>
    <w:rsid w:val="004359AC"/>
    <w:rsid w:val="0043656C"/>
    <w:rsid w:val="00437653"/>
    <w:rsid w:val="00440100"/>
    <w:rsid w:val="00440E9C"/>
    <w:rsid w:val="00441A1B"/>
    <w:rsid w:val="00441AD9"/>
    <w:rsid w:val="00441D39"/>
    <w:rsid w:val="00441FB1"/>
    <w:rsid w:val="00442107"/>
    <w:rsid w:val="00442703"/>
    <w:rsid w:val="00442B97"/>
    <w:rsid w:val="00442E81"/>
    <w:rsid w:val="004430BE"/>
    <w:rsid w:val="00443419"/>
    <w:rsid w:val="0044383F"/>
    <w:rsid w:val="0044384E"/>
    <w:rsid w:val="00443C3C"/>
    <w:rsid w:val="00443DBB"/>
    <w:rsid w:val="00445202"/>
    <w:rsid w:val="0044574A"/>
    <w:rsid w:val="004457CB"/>
    <w:rsid w:val="00445F76"/>
    <w:rsid w:val="00446317"/>
    <w:rsid w:val="00446948"/>
    <w:rsid w:val="0044719C"/>
    <w:rsid w:val="0044767A"/>
    <w:rsid w:val="0044779F"/>
    <w:rsid w:val="004477B0"/>
    <w:rsid w:val="00447A69"/>
    <w:rsid w:val="00447A81"/>
    <w:rsid w:val="00450BD4"/>
    <w:rsid w:val="00450C5F"/>
    <w:rsid w:val="00450CDC"/>
    <w:rsid w:val="004510E4"/>
    <w:rsid w:val="0045110F"/>
    <w:rsid w:val="004513E7"/>
    <w:rsid w:val="0045154A"/>
    <w:rsid w:val="00451939"/>
    <w:rsid w:val="004522A2"/>
    <w:rsid w:val="0045236C"/>
    <w:rsid w:val="00452A95"/>
    <w:rsid w:val="00452B30"/>
    <w:rsid w:val="00452CA9"/>
    <w:rsid w:val="0045349B"/>
    <w:rsid w:val="00453B15"/>
    <w:rsid w:val="004543F4"/>
    <w:rsid w:val="00454584"/>
    <w:rsid w:val="004548B6"/>
    <w:rsid w:val="0045508D"/>
    <w:rsid w:val="004552CE"/>
    <w:rsid w:val="0045593F"/>
    <w:rsid w:val="0045659B"/>
    <w:rsid w:val="00460596"/>
    <w:rsid w:val="0046096F"/>
    <w:rsid w:val="004609EF"/>
    <w:rsid w:val="00460B9E"/>
    <w:rsid w:val="004613C3"/>
    <w:rsid w:val="004619E4"/>
    <w:rsid w:val="00461A55"/>
    <w:rsid w:val="00461AF1"/>
    <w:rsid w:val="0046274A"/>
    <w:rsid w:val="00462872"/>
    <w:rsid w:val="004628C9"/>
    <w:rsid w:val="00462C09"/>
    <w:rsid w:val="0046316E"/>
    <w:rsid w:val="00463543"/>
    <w:rsid w:val="004639AE"/>
    <w:rsid w:val="004643F0"/>
    <w:rsid w:val="00464702"/>
    <w:rsid w:val="00464A5C"/>
    <w:rsid w:val="00464D31"/>
    <w:rsid w:val="00464F52"/>
    <w:rsid w:val="00465255"/>
    <w:rsid w:val="004652F2"/>
    <w:rsid w:val="00465A0E"/>
    <w:rsid w:val="00465C53"/>
    <w:rsid w:val="00465ED0"/>
    <w:rsid w:val="00465FDF"/>
    <w:rsid w:val="0046633C"/>
    <w:rsid w:val="0046650B"/>
    <w:rsid w:val="00466701"/>
    <w:rsid w:val="00466F80"/>
    <w:rsid w:val="00467628"/>
    <w:rsid w:val="004676F5"/>
    <w:rsid w:val="00467A65"/>
    <w:rsid w:val="00467B93"/>
    <w:rsid w:val="00467BF2"/>
    <w:rsid w:val="00467D79"/>
    <w:rsid w:val="004700EE"/>
    <w:rsid w:val="00470280"/>
    <w:rsid w:val="0047051E"/>
    <w:rsid w:val="004709CB"/>
    <w:rsid w:val="00470C0B"/>
    <w:rsid w:val="004713D8"/>
    <w:rsid w:val="0047172C"/>
    <w:rsid w:val="0047199A"/>
    <w:rsid w:val="00471A9E"/>
    <w:rsid w:val="00472837"/>
    <w:rsid w:val="00472897"/>
    <w:rsid w:val="00472A6C"/>
    <w:rsid w:val="00472CB1"/>
    <w:rsid w:val="00473993"/>
    <w:rsid w:val="00473F45"/>
    <w:rsid w:val="0047428C"/>
    <w:rsid w:val="004743AA"/>
    <w:rsid w:val="00474FB2"/>
    <w:rsid w:val="00475292"/>
    <w:rsid w:val="004758B2"/>
    <w:rsid w:val="004762AA"/>
    <w:rsid w:val="0047639E"/>
    <w:rsid w:val="004765EA"/>
    <w:rsid w:val="0047669C"/>
    <w:rsid w:val="00476A9A"/>
    <w:rsid w:val="004770F2"/>
    <w:rsid w:val="004773B1"/>
    <w:rsid w:val="004775B9"/>
    <w:rsid w:val="00480184"/>
    <w:rsid w:val="004809CF"/>
    <w:rsid w:val="004809D5"/>
    <w:rsid w:val="00480EC8"/>
    <w:rsid w:val="0048106E"/>
    <w:rsid w:val="004813F5"/>
    <w:rsid w:val="00481594"/>
    <w:rsid w:val="00481B24"/>
    <w:rsid w:val="00481D70"/>
    <w:rsid w:val="0048267A"/>
    <w:rsid w:val="004827D4"/>
    <w:rsid w:val="004828E3"/>
    <w:rsid w:val="00482A65"/>
    <w:rsid w:val="00482EAC"/>
    <w:rsid w:val="00482FDF"/>
    <w:rsid w:val="00483CA9"/>
    <w:rsid w:val="00483F2E"/>
    <w:rsid w:val="00484876"/>
    <w:rsid w:val="004850B9"/>
    <w:rsid w:val="00485564"/>
    <w:rsid w:val="00485D46"/>
    <w:rsid w:val="004863E6"/>
    <w:rsid w:val="0048656D"/>
    <w:rsid w:val="004866B1"/>
    <w:rsid w:val="00486D80"/>
    <w:rsid w:val="00486E12"/>
    <w:rsid w:val="0048707A"/>
    <w:rsid w:val="00487E74"/>
    <w:rsid w:val="004907AB"/>
    <w:rsid w:val="0049117D"/>
    <w:rsid w:val="004917E7"/>
    <w:rsid w:val="00491A61"/>
    <w:rsid w:val="00491ECA"/>
    <w:rsid w:val="00492097"/>
    <w:rsid w:val="0049218E"/>
    <w:rsid w:val="0049283B"/>
    <w:rsid w:val="0049298D"/>
    <w:rsid w:val="004947A0"/>
    <w:rsid w:val="00494AB0"/>
    <w:rsid w:val="00495006"/>
    <w:rsid w:val="00495181"/>
    <w:rsid w:val="00495CE9"/>
    <w:rsid w:val="0049609F"/>
    <w:rsid w:val="00496149"/>
    <w:rsid w:val="00496199"/>
    <w:rsid w:val="004963AD"/>
    <w:rsid w:val="00497633"/>
    <w:rsid w:val="004977E4"/>
    <w:rsid w:val="00497A69"/>
    <w:rsid w:val="00497A9D"/>
    <w:rsid w:val="004A0184"/>
    <w:rsid w:val="004A0AE5"/>
    <w:rsid w:val="004A0E61"/>
    <w:rsid w:val="004A12DE"/>
    <w:rsid w:val="004A2404"/>
    <w:rsid w:val="004A28D8"/>
    <w:rsid w:val="004A3192"/>
    <w:rsid w:val="004A35ED"/>
    <w:rsid w:val="004A3B52"/>
    <w:rsid w:val="004A48C5"/>
    <w:rsid w:val="004A49D4"/>
    <w:rsid w:val="004A4A17"/>
    <w:rsid w:val="004A53A0"/>
    <w:rsid w:val="004A5691"/>
    <w:rsid w:val="004A5E3C"/>
    <w:rsid w:val="004A5FB8"/>
    <w:rsid w:val="004A643B"/>
    <w:rsid w:val="004A6D3F"/>
    <w:rsid w:val="004A6DB9"/>
    <w:rsid w:val="004A6DD1"/>
    <w:rsid w:val="004A6F3D"/>
    <w:rsid w:val="004A7293"/>
    <w:rsid w:val="004A7590"/>
    <w:rsid w:val="004A7D31"/>
    <w:rsid w:val="004B05E1"/>
    <w:rsid w:val="004B0706"/>
    <w:rsid w:val="004B0787"/>
    <w:rsid w:val="004B0CC0"/>
    <w:rsid w:val="004B15C2"/>
    <w:rsid w:val="004B18E6"/>
    <w:rsid w:val="004B2660"/>
    <w:rsid w:val="004B2D55"/>
    <w:rsid w:val="004B2F1D"/>
    <w:rsid w:val="004B3626"/>
    <w:rsid w:val="004B36B4"/>
    <w:rsid w:val="004B3AF6"/>
    <w:rsid w:val="004B3C62"/>
    <w:rsid w:val="004B3CF1"/>
    <w:rsid w:val="004B3EB4"/>
    <w:rsid w:val="004B4000"/>
    <w:rsid w:val="004B4AA2"/>
    <w:rsid w:val="004B4D19"/>
    <w:rsid w:val="004B5731"/>
    <w:rsid w:val="004B631F"/>
    <w:rsid w:val="004B67E0"/>
    <w:rsid w:val="004B6AA7"/>
    <w:rsid w:val="004B6E64"/>
    <w:rsid w:val="004B761C"/>
    <w:rsid w:val="004B79CF"/>
    <w:rsid w:val="004B7CBF"/>
    <w:rsid w:val="004B7D56"/>
    <w:rsid w:val="004C00B2"/>
    <w:rsid w:val="004C0207"/>
    <w:rsid w:val="004C02D9"/>
    <w:rsid w:val="004C1589"/>
    <w:rsid w:val="004C1986"/>
    <w:rsid w:val="004C1E80"/>
    <w:rsid w:val="004C23B6"/>
    <w:rsid w:val="004C2B4A"/>
    <w:rsid w:val="004C2B50"/>
    <w:rsid w:val="004C329E"/>
    <w:rsid w:val="004C42C4"/>
    <w:rsid w:val="004C4509"/>
    <w:rsid w:val="004C4C71"/>
    <w:rsid w:val="004C51F3"/>
    <w:rsid w:val="004C5C7C"/>
    <w:rsid w:val="004C5E77"/>
    <w:rsid w:val="004C61F6"/>
    <w:rsid w:val="004C644C"/>
    <w:rsid w:val="004C6509"/>
    <w:rsid w:val="004C6B9A"/>
    <w:rsid w:val="004C6CD4"/>
    <w:rsid w:val="004C6E35"/>
    <w:rsid w:val="004C70CE"/>
    <w:rsid w:val="004C78E5"/>
    <w:rsid w:val="004C7C74"/>
    <w:rsid w:val="004C7FCA"/>
    <w:rsid w:val="004D01A7"/>
    <w:rsid w:val="004D0202"/>
    <w:rsid w:val="004D0708"/>
    <w:rsid w:val="004D0C4B"/>
    <w:rsid w:val="004D12E2"/>
    <w:rsid w:val="004D1751"/>
    <w:rsid w:val="004D1796"/>
    <w:rsid w:val="004D1957"/>
    <w:rsid w:val="004D1F02"/>
    <w:rsid w:val="004D2232"/>
    <w:rsid w:val="004D2797"/>
    <w:rsid w:val="004D2E13"/>
    <w:rsid w:val="004D3198"/>
    <w:rsid w:val="004D3245"/>
    <w:rsid w:val="004D3798"/>
    <w:rsid w:val="004D39E1"/>
    <w:rsid w:val="004D413C"/>
    <w:rsid w:val="004D449B"/>
    <w:rsid w:val="004D508F"/>
    <w:rsid w:val="004D5382"/>
    <w:rsid w:val="004D5CF3"/>
    <w:rsid w:val="004D61E2"/>
    <w:rsid w:val="004D69D2"/>
    <w:rsid w:val="004D6B00"/>
    <w:rsid w:val="004D7315"/>
    <w:rsid w:val="004E018A"/>
    <w:rsid w:val="004E0455"/>
    <w:rsid w:val="004E05BD"/>
    <w:rsid w:val="004E090A"/>
    <w:rsid w:val="004E0C6C"/>
    <w:rsid w:val="004E0DCA"/>
    <w:rsid w:val="004E0E56"/>
    <w:rsid w:val="004E10B9"/>
    <w:rsid w:val="004E1EDE"/>
    <w:rsid w:val="004E2888"/>
    <w:rsid w:val="004E2BC7"/>
    <w:rsid w:val="004E2BD8"/>
    <w:rsid w:val="004E3126"/>
    <w:rsid w:val="004E3DAA"/>
    <w:rsid w:val="004E41B3"/>
    <w:rsid w:val="004E4207"/>
    <w:rsid w:val="004E52B0"/>
    <w:rsid w:val="004E620A"/>
    <w:rsid w:val="004E66FC"/>
    <w:rsid w:val="004E6912"/>
    <w:rsid w:val="004E6BD0"/>
    <w:rsid w:val="004E7082"/>
    <w:rsid w:val="004E7227"/>
    <w:rsid w:val="004E75E8"/>
    <w:rsid w:val="004E7A48"/>
    <w:rsid w:val="004F01F2"/>
    <w:rsid w:val="004F0CEF"/>
    <w:rsid w:val="004F13D4"/>
    <w:rsid w:val="004F26D4"/>
    <w:rsid w:val="004F27A0"/>
    <w:rsid w:val="004F28B6"/>
    <w:rsid w:val="004F2CFA"/>
    <w:rsid w:val="004F32CA"/>
    <w:rsid w:val="004F32F2"/>
    <w:rsid w:val="004F3ED0"/>
    <w:rsid w:val="004F40A0"/>
    <w:rsid w:val="004F481E"/>
    <w:rsid w:val="004F4C66"/>
    <w:rsid w:val="004F523B"/>
    <w:rsid w:val="004F58CD"/>
    <w:rsid w:val="004F5CEC"/>
    <w:rsid w:val="004F5D9E"/>
    <w:rsid w:val="004F65DC"/>
    <w:rsid w:val="004F6DAB"/>
    <w:rsid w:val="004F71F0"/>
    <w:rsid w:val="004F71F4"/>
    <w:rsid w:val="004F742A"/>
    <w:rsid w:val="004F74C2"/>
    <w:rsid w:val="004F7B82"/>
    <w:rsid w:val="005000A3"/>
    <w:rsid w:val="00500583"/>
    <w:rsid w:val="00500898"/>
    <w:rsid w:val="00500C85"/>
    <w:rsid w:val="00501C64"/>
    <w:rsid w:val="00501C7D"/>
    <w:rsid w:val="00501FA8"/>
    <w:rsid w:val="00502A17"/>
    <w:rsid w:val="00502C9C"/>
    <w:rsid w:val="0050326B"/>
    <w:rsid w:val="00503756"/>
    <w:rsid w:val="00503DC8"/>
    <w:rsid w:val="00504D8C"/>
    <w:rsid w:val="00505007"/>
    <w:rsid w:val="0050510C"/>
    <w:rsid w:val="005063C4"/>
    <w:rsid w:val="00506809"/>
    <w:rsid w:val="00506E4C"/>
    <w:rsid w:val="0050727A"/>
    <w:rsid w:val="005072DC"/>
    <w:rsid w:val="00507643"/>
    <w:rsid w:val="00510360"/>
    <w:rsid w:val="00510F29"/>
    <w:rsid w:val="00510F82"/>
    <w:rsid w:val="005117BC"/>
    <w:rsid w:val="005122FC"/>
    <w:rsid w:val="0051265D"/>
    <w:rsid w:val="00512BF4"/>
    <w:rsid w:val="00512CE1"/>
    <w:rsid w:val="00512FAA"/>
    <w:rsid w:val="0051348A"/>
    <w:rsid w:val="0051354E"/>
    <w:rsid w:val="00513582"/>
    <w:rsid w:val="00513729"/>
    <w:rsid w:val="00513888"/>
    <w:rsid w:val="005139A1"/>
    <w:rsid w:val="00514275"/>
    <w:rsid w:val="0051435D"/>
    <w:rsid w:val="00514615"/>
    <w:rsid w:val="005153ED"/>
    <w:rsid w:val="00515B9E"/>
    <w:rsid w:val="0051660F"/>
    <w:rsid w:val="00516709"/>
    <w:rsid w:val="00516D02"/>
    <w:rsid w:val="00516D7B"/>
    <w:rsid w:val="005176B1"/>
    <w:rsid w:val="00517F25"/>
    <w:rsid w:val="005200F7"/>
    <w:rsid w:val="0052049C"/>
    <w:rsid w:val="005206EF"/>
    <w:rsid w:val="0052078E"/>
    <w:rsid w:val="00520DDF"/>
    <w:rsid w:val="00521781"/>
    <w:rsid w:val="00521EDA"/>
    <w:rsid w:val="00522A26"/>
    <w:rsid w:val="00523209"/>
    <w:rsid w:val="00523218"/>
    <w:rsid w:val="00523518"/>
    <w:rsid w:val="0052375B"/>
    <w:rsid w:val="00524753"/>
    <w:rsid w:val="00525594"/>
    <w:rsid w:val="00525B9E"/>
    <w:rsid w:val="00526BF2"/>
    <w:rsid w:val="00526BF7"/>
    <w:rsid w:val="005272BE"/>
    <w:rsid w:val="00527A59"/>
    <w:rsid w:val="00527D11"/>
    <w:rsid w:val="00527D7B"/>
    <w:rsid w:val="00527E9B"/>
    <w:rsid w:val="00527F2E"/>
    <w:rsid w:val="00530A4C"/>
    <w:rsid w:val="00530F3F"/>
    <w:rsid w:val="0053127B"/>
    <w:rsid w:val="00531707"/>
    <w:rsid w:val="0053198A"/>
    <w:rsid w:val="00532390"/>
    <w:rsid w:val="005323E3"/>
    <w:rsid w:val="005324BC"/>
    <w:rsid w:val="00532D8C"/>
    <w:rsid w:val="00533EE2"/>
    <w:rsid w:val="00534358"/>
    <w:rsid w:val="00534FBD"/>
    <w:rsid w:val="00535857"/>
    <w:rsid w:val="005360E9"/>
    <w:rsid w:val="00536228"/>
    <w:rsid w:val="005362EE"/>
    <w:rsid w:val="005364A7"/>
    <w:rsid w:val="0053650B"/>
    <w:rsid w:val="00536737"/>
    <w:rsid w:val="005371CD"/>
    <w:rsid w:val="005376DD"/>
    <w:rsid w:val="005378D7"/>
    <w:rsid w:val="00537E74"/>
    <w:rsid w:val="0054016A"/>
    <w:rsid w:val="00540236"/>
    <w:rsid w:val="00540552"/>
    <w:rsid w:val="0054098E"/>
    <w:rsid w:val="005409B6"/>
    <w:rsid w:val="00540EA5"/>
    <w:rsid w:val="0054129E"/>
    <w:rsid w:val="00541672"/>
    <w:rsid w:val="005419AC"/>
    <w:rsid w:val="00541A1A"/>
    <w:rsid w:val="00541DC8"/>
    <w:rsid w:val="00541E1F"/>
    <w:rsid w:val="00542DD6"/>
    <w:rsid w:val="00542F1F"/>
    <w:rsid w:val="00543143"/>
    <w:rsid w:val="005432EA"/>
    <w:rsid w:val="005435D7"/>
    <w:rsid w:val="005435DD"/>
    <w:rsid w:val="00543797"/>
    <w:rsid w:val="005439FE"/>
    <w:rsid w:val="00544295"/>
    <w:rsid w:val="00544D5E"/>
    <w:rsid w:val="005450C1"/>
    <w:rsid w:val="00545482"/>
    <w:rsid w:val="00545FB3"/>
    <w:rsid w:val="005463EB"/>
    <w:rsid w:val="0054659A"/>
    <w:rsid w:val="00547C8C"/>
    <w:rsid w:val="005516CB"/>
    <w:rsid w:val="00551819"/>
    <w:rsid w:val="00551902"/>
    <w:rsid w:val="0055192E"/>
    <w:rsid w:val="00551D97"/>
    <w:rsid w:val="00552E32"/>
    <w:rsid w:val="00553A93"/>
    <w:rsid w:val="00553ACE"/>
    <w:rsid w:val="00553FFC"/>
    <w:rsid w:val="00554A95"/>
    <w:rsid w:val="00555172"/>
    <w:rsid w:val="00555228"/>
    <w:rsid w:val="0055539F"/>
    <w:rsid w:val="00555966"/>
    <w:rsid w:val="00556304"/>
    <w:rsid w:val="005564CF"/>
    <w:rsid w:val="00556A3D"/>
    <w:rsid w:val="00556AC8"/>
    <w:rsid w:val="00556B2B"/>
    <w:rsid w:val="005574E8"/>
    <w:rsid w:val="00557762"/>
    <w:rsid w:val="00557B91"/>
    <w:rsid w:val="005603AC"/>
    <w:rsid w:val="00560620"/>
    <w:rsid w:val="00560849"/>
    <w:rsid w:val="00561649"/>
    <w:rsid w:val="0056189E"/>
    <w:rsid w:val="00562B21"/>
    <w:rsid w:val="00562E85"/>
    <w:rsid w:val="0056323E"/>
    <w:rsid w:val="00563946"/>
    <w:rsid w:val="00563D0C"/>
    <w:rsid w:val="00563F68"/>
    <w:rsid w:val="005644E0"/>
    <w:rsid w:val="00564E9E"/>
    <w:rsid w:val="00564F99"/>
    <w:rsid w:val="005657FA"/>
    <w:rsid w:val="00565C98"/>
    <w:rsid w:val="00565FAC"/>
    <w:rsid w:val="005665A4"/>
    <w:rsid w:val="00566C28"/>
    <w:rsid w:val="0057013A"/>
    <w:rsid w:val="00570336"/>
    <w:rsid w:val="005713F7"/>
    <w:rsid w:val="00571510"/>
    <w:rsid w:val="0057182D"/>
    <w:rsid w:val="005721B2"/>
    <w:rsid w:val="00572818"/>
    <w:rsid w:val="00572A44"/>
    <w:rsid w:val="00572CF2"/>
    <w:rsid w:val="00572DDC"/>
    <w:rsid w:val="005739CC"/>
    <w:rsid w:val="005743F7"/>
    <w:rsid w:val="0057490E"/>
    <w:rsid w:val="00574BFE"/>
    <w:rsid w:val="005754A7"/>
    <w:rsid w:val="00575F17"/>
    <w:rsid w:val="005766AE"/>
    <w:rsid w:val="00576DDD"/>
    <w:rsid w:val="00576FE6"/>
    <w:rsid w:val="00577833"/>
    <w:rsid w:val="00577DBB"/>
    <w:rsid w:val="00577F8E"/>
    <w:rsid w:val="00580156"/>
    <w:rsid w:val="00580279"/>
    <w:rsid w:val="005808E0"/>
    <w:rsid w:val="0058165F"/>
    <w:rsid w:val="00582206"/>
    <w:rsid w:val="00582276"/>
    <w:rsid w:val="00582F9B"/>
    <w:rsid w:val="0058300C"/>
    <w:rsid w:val="0058365E"/>
    <w:rsid w:val="0058388D"/>
    <w:rsid w:val="00583F17"/>
    <w:rsid w:val="005841EB"/>
    <w:rsid w:val="00584E36"/>
    <w:rsid w:val="005855A3"/>
    <w:rsid w:val="00585BE2"/>
    <w:rsid w:val="0058653A"/>
    <w:rsid w:val="005865DE"/>
    <w:rsid w:val="00586656"/>
    <w:rsid w:val="00586811"/>
    <w:rsid w:val="00586BC9"/>
    <w:rsid w:val="00586CF1"/>
    <w:rsid w:val="0058742B"/>
    <w:rsid w:val="00587835"/>
    <w:rsid w:val="00587FD8"/>
    <w:rsid w:val="0059014E"/>
    <w:rsid w:val="0059031B"/>
    <w:rsid w:val="00590345"/>
    <w:rsid w:val="00590722"/>
    <w:rsid w:val="005907C5"/>
    <w:rsid w:val="00590D15"/>
    <w:rsid w:val="005911AC"/>
    <w:rsid w:val="00591202"/>
    <w:rsid w:val="00591B56"/>
    <w:rsid w:val="0059230C"/>
    <w:rsid w:val="005924F6"/>
    <w:rsid w:val="005929BD"/>
    <w:rsid w:val="00593043"/>
    <w:rsid w:val="00593DFC"/>
    <w:rsid w:val="0059404F"/>
    <w:rsid w:val="005945D4"/>
    <w:rsid w:val="00594736"/>
    <w:rsid w:val="00594B9A"/>
    <w:rsid w:val="00595997"/>
    <w:rsid w:val="00595C12"/>
    <w:rsid w:val="00597827"/>
    <w:rsid w:val="0059792E"/>
    <w:rsid w:val="00597A1C"/>
    <w:rsid w:val="00597E62"/>
    <w:rsid w:val="005A0276"/>
    <w:rsid w:val="005A038B"/>
    <w:rsid w:val="005A0D24"/>
    <w:rsid w:val="005A1A7F"/>
    <w:rsid w:val="005A1B16"/>
    <w:rsid w:val="005A20E8"/>
    <w:rsid w:val="005A26E1"/>
    <w:rsid w:val="005A28EA"/>
    <w:rsid w:val="005A2B8E"/>
    <w:rsid w:val="005A3CE6"/>
    <w:rsid w:val="005A3D24"/>
    <w:rsid w:val="005A40A2"/>
    <w:rsid w:val="005A5C8A"/>
    <w:rsid w:val="005A5D96"/>
    <w:rsid w:val="005A5E6A"/>
    <w:rsid w:val="005A6080"/>
    <w:rsid w:val="005A6A5B"/>
    <w:rsid w:val="005A6AC7"/>
    <w:rsid w:val="005A6ACE"/>
    <w:rsid w:val="005A6C5F"/>
    <w:rsid w:val="005A7476"/>
    <w:rsid w:val="005A77CE"/>
    <w:rsid w:val="005A7DDA"/>
    <w:rsid w:val="005B0235"/>
    <w:rsid w:val="005B0CBD"/>
    <w:rsid w:val="005B1060"/>
    <w:rsid w:val="005B1FA3"/>
    <w:rsid w:val="005B20C3"/>
    <w:rsid w:val="005B2949"/>
    <w:rsid w:val="005B299A"/>
    <w:rsid w:val="005B2F03"/>
    <w:rsid w:val="005B32B6"/>
    <w:rsid w:val="005B32F4"/>
    <w:rsid w:val="005B3BDB"/>
    <w:rsid w:val="005B3F1F"/>
    <w:rsid w:val="005B4717"/>
    <w:rsid w:val="005B4D20"/>
    <w:rsid w:val="005B55BD"/>
    <w:rsid w:val="005B5877"/>
    <w:rsid w:val="005B592C"/>
    <w:rsid w:val="005B59F7"/>
    <w:rsid w:val="005B6E9A"/>
    <w:rsid w:val="005B6EAF"/>
    <w:rsid w:val="005B7056"/>
    <w:rsid w:val="005B71F7"/>
    <w:rsid w:val="005C00DC"/>
    <w:rsid w:val="005C1147"/>
    <w:rsid w:val="005C2224"/>
    <w:rsid w:val="005C224B"/>
    <w:rsid w:val="005C2E33"/>
    <w:rsid w:val="005C3486"/>
    <w:rsid w:val="005C35E4"/>
    <w:rsid w:val="005C3AF0"/>
    <w:rsid w:val="005C3F69"/>
    <w:rsid w:val="005C4223"/>
    <w:rsid w:val="005C5290"/>
    <w:rsid w:val="005C5D14"/>
    <w:rsid w:val="005C5DF6"/>
    <w:rsid w:val="005C6FB5"/>
    <w:rsid w:val="005C7542"/>
    <w:rsid w:val="005D0816"/>
    <w:rsid w:val="005D1402"/>
    <w:rsid w:val="005D1470"/>
    <w:rsid w:val="005D151D"/>
    <w:rsid w:val="005D1A30"/>
    <w:rsid w:val="005D2622"/>
    <w:rsid w:val="005D2696"/>
    <w:rsid w:val="005D2C4E"/>
    <w:rsid w:val="005D2D77"/>
    <w:rsid w:val="005D3211"/>
    <w:rsid w:val="005D3643"/>
    <w:rsid w:val="005D3709"/>
    <w:rsid w:val="005D37AF"/>
    <w:rsid w:val="005D3AA1"/>
    <w:rsid w:val="005D4751"/>
    <w:rsid w:val="005D4C67"/>
    <w:rsid w:val="005D4E61"/>
    <w:rsid w:val="005D549D"/>
    <w:rsid w:val="005D558D"/>
    <w:rsid w:val="005D5D5E"/>
    <w:rsid w:val="005D6158"/>
    <w:rsid w:val="005D6DE6"/>
    <w:rsid w:val="005D718F"/>
    <w:rsid w:val="005D7459"/>
    <w:rsid w:val="005D78DA"/>
    <w:rsid w:val="005D7A8F"/>
    <w:rsid w:val="005E0021"/>
    <w:rsid w:val="005E1E3A"/>
    <w:rsid w:val="005E2D65"/>
    <w:rsid w:val="005E31DA"/>
    <w:rsid w:val="005E374C"/>
    <w:rsid w:val="005E3A11"/>
    <w:rsid w:val="005E3E72"/>
    <w:rsid w:val="005E40C5"/>
    <w:rsid w:val="005E4BEF"/>
    <w:rsid w:val="005E4CCD"/>
    <w:rsid w:val="005E62FD"/>
    <w:rsid w:val="005E64A3"/>
    <w:rsid w:val="005E6939"/>
    <w:rsid w:val="005E69D5"/>
    <w:rsid w:val="005E6BAC"/>
    <w:rsid w:val="005E7428"/>
    <w:rsid w:val="005E7559"/>
    <w:rsid w:val="005E76EB"/>
    <w:rsid w:val="005F0290"/>
    <w:rsid w:val="005F061E"/>
    <w:rsid w:val="005F15B7"/>
    <w:rsid w:val="005F191D"/>
    <w:rsid w:val="005F219E"/>
    <w:rsid w:val="005F24A5"/>
    <w:rsid w:val="005F2950"/>
    <w:rsid w:val="005F36E3"/>
    <w:rsid w:val="005F3778"/>
    <w:rsid w:val="005F3D0E"/>
    <w:rsid w:val="005F3FAF"/>
    <w:rsid w:val="005F432B"/>
    <w:rsid w:val="005F4577"/>
    <w:rsid w:val="005F468C"/>
    <w:rsid w:val="005F4F7B"/>
    <w:rsid w:val="005F5222"/>
    <w:rsid w:val="005F5BD6"/>
    <w:rsid w:val="005F5CD6"/>
    <w:rsid w:val="005F5F80"/>
    <w:rsid w:val="005F6560"/>
    <w:rsid w:val="005F6DBE"/>
    <w:rsid w:val="005F6FAC"/>
    <w:rsid w:val="005F71E2"/>
    <w:rsid w:val="005F7694"/>
    <w:rsid w:val="005F7EA8"/>
    <w:rsid w:val="0060084A"/>
    <w:rsid w:val="006008E4"/>
    <w:rsid w:val="00600F51"/>
    <w:rsid w:val="006019CD"/>
    <w:rsid w:val="00601BEB"/>
    <w:rsid w:val="0060221C"/>
    <w:rsid w:val="00602A52"/>
    <w:rsid w:val="00603557"/>
    <w:rsid w:val="006037BD"/>
    <w:rsid w:val="006037FF"/>
    <w:rsid w:val="0060399C"/>
    <w:rsid w:val="00603B34"/>
    <w:rsid w:val="00603B3D"/>
    <w:rsid w:val="00603F06"/>
    <w:rsid w:val="006041D7"/>
    <w:rsid w:val="006048D0"/>
    <w:rsid w:val="00604BC4"/>
    <w:rsid w:val="00604E87"/>
    <w:rsid w:val="00605436"/>
    <w:rsid w:val="006063A7"/>
    <w:rsid w:val="00606527"/>
    <w:rsid w:val="00606EE5"/>
    <w:rsid w:val="00606F31"/>
    <w:rsid w:val="006074C0"/>
    <w:rsid w:val="006078F6"/>
    <w:rsid w:val="00610110"/>
    <w:rsid w:val="00610355"/>
    <w:rsid w:val="0061047C"/>
    <w:rsid w:val="00610765"/>
    <w:rsid w:val="00610784"/>
    <w:rsid w:val="00611E34"/>
    <w:rsid w:val="0061224E"/>
    <w:rsid w:val="006129DA"/>
    <w:rsid w:val="00612A67"/>
    <w:rsid w:val="00612D7E"/>
    <w:rsid w:val="00612E9D"/>
    <w:rsid w:val="006131C6"/>
    <w:rsid w:val="0061323A"/>
    <w:rsid w:val="006134E7"/>
    <w:rsid w:val="00613B23"/>
    <w:rsid w:val="006145E4"/>
    <w:rsid w:val="00614636"/>
    <w:rsid w:val="00614A81"/>
    <w:rsid w:val="00614EEB"/>
    <w:rsid w:val="0061525E"/>
    <w:rsid w:val="006153C5"/>
    <w:rsid w:val="0061553A"/>
    <w:rsid w:val="00615564"/>
    <w:rsid w:val="006158DF"/>
    <w:rsid w:val="00615C62"/>
    <w:rsid w:val="00615F3D"/>
    <w:rsid w:val="0061633B"/>
    <w:rsid w:val="0061642D"/>
    <w:rsid w:val="0061683D"/>
    <w:rsid w:val="00616F96"/>
    <w:rsid w:val="0061786A"/>
    <w:rsid w:val="00617E35"/>
    <w:rsid w:val="006216A0"/>
    <w:rsid w:val="0062188B"/>
    <w:rsid w:val="00622ABB"/>
    <w:rsid w:val="00622B70"/>
    <w:rsid w:val="00622C9D"/>
    <w:rsid w:val="00622DD9"/>
    <w:rsid w:val="00622E0D"/>
    <w:rsid w:val="00622E53"/>
    <w:rsid w:val="006232C0"/>
    <w:rsid w:val="00624052"/>
    <w:rsid w:val="0062423A"/>
    <w:rsid w:val="00624398"/>
    <w:rsid w:val="006247DB"/>
    <w:rsid w:val="0062499A"/>
    <w:rsid w:val="00624B9A"/>
    <w:rsid w:val="006253DD"/>
    <w:rsid w:val="00625525"/>
    <w:rsid w:val="00625564"/>
    <w:rsid w:val="00627021"/>
    <w:rsid w:val="006302AE"/>
    <w:rsid w:val="0063084B"/>
    <w:rsid w:val="00630FAF"/>
    <w:rsid w:val="00631834"/>
    <w:rsid w:val="00631D2C"/>
    <w:rsid w:val="00631F73"/>
    <w:rsid w:val="00632134"/>
    <w:rsid w:val="0063274A"/>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5D3F"/>
    <w:rsid w:val="0063678E"/>
    <w:rsid w:val="00636C25"/>
    <w:rsid w:val="00636C65"/>
    <w:rsid w:val="006373D6"/>
    <w:rsid w:val="006374C7"/>
    <w:rsid w:val="0063761C"/>
    <w:rsid w:val="00640689"/>
    <w:rsid w:val="00640DBF"/>
    <w:rsid w:val="00640DCD"/>
    <w:rsid w:val="0064107E"/>
    <w:rsid w:val="0064184A"/>
    <w:rsid w:val="0064188D"/>
    <w:rsid w:val="00642134"/>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68F"/>
    <w:rsid w:val="00646858"/>
    <w:rsid w:val="00646CEB"/>
    <w:rsid w:val="00646EED"/>
    <w:rsid w:val="006472D1"/>
    <w:rsid w:val="00647D41"/>
    <w:rsid w:val="006500AA"/>
    <w:rsid w:val="00650273"/>
    <w:rsid w:val="00650580"/>
    <w:rsid w:val="00650805"/>
    <w:rsid w:val="00650824"/>
    <w:rsid w:val="006513B6"/>
    <w:rsid w:val="006514EA"/>
    <w:rsid w:val="006517DC"/>
    <w:rsid w:val="0065188F"/>
    <w:rsid w:val="00651FDF"/>
    <w:rsid w:val="0065201C"/>
    <w:rsid w:val="0065206F"/>
    <w:rsid w:val="006521B2"/>
    <w:rsid w:val="0065224E"/>
    <w:rsid w:val="006523C0"/>
    <w:rsid w:val="0065284A"/>
    <w:rsid w:val="006529C4"/>
    <w:rsid w:val="00652CD0"/>
    <w:rsid w:val="0065350E"/>
    <w:rsid w:val="00653655"/>
    <w:rsid w:val="006542B6"/>
    <w:rsid w:val="00654542"/>
    <w:rsid w:val="00654ADC"/>
    <w:rsid w:val="006558D7"/>
    <w:rsid w:val="00655E32"/>
    <w:rsid w:val="0065634B"/>
    <w:rsid w:val="006564F7"/>
    <w:rsid w:val="00656805"/>
    <w:rsid w:val="00656BC9"/>
    <w:rsid w:val="00657CF9"/>
    <w:rsid w:val="00657EB7"/>
    <w:rsid w:val="00657F08"/>
    <w:rsid w:val="00660013"/>
    <w:rsid w:val="00660101"/>
    <w:rsid w:val="00660311"/>
    <w:rsid w:val="00660354"/>
    <w:rsid w:val="006603F7"/>
    <w:rsid w:val="00661A1B"/>
    <w:rsid w:val="00661B19"/>
    <w:rsid w:val="00661CC2"/>
    <w:rsid w:val="00661D69"/>
    <w:rsid w:val="00661DD5"/>
    <w:rsid w:val="0066256D"/>
    <w:rsid w:val="00662C5A"/>
    <w:rsid w:val="006630A5"/>
    <w:rsid w:val="00663188"/>
    <w:rsid w:val="006635E3"/>
    <w:rsid w:val="006645DD"/>
    <w:rsid w:val="006653A9"/>
    <w:rsid w:val="00665826"/>
    <w:rsid w:val="00665910"/>
    <w:rsid w:val="006666BA"/>
    <w:rsid w:val="00666C94"/>
    <w:rsid w:val="00667086"/>
    <w:rsid w:val="0066725F"/>
    <w:rsid w:val="006675C4"/>
    <w:rsid w:val="0066761E"/>
    <w:rsid w:val="0067014A"/>
    <w:rsid w:val="006705EE"/>
    <w:rsid w:val="00670AC4"/>
    <w:rsid w:val="00670F10"/>
    <w:rsid w:val="00671052"/>
    <w:rsid w:val="00671CE2"/>
    <w:rsid w:val="006723BC"/>
    <w:rsid w:val="00672689"/>
    <w:rsid w:val="0067328E"/>
    <w:rsid w:val="00673D0E"/>
    <w:rsid w:val="00675631"/>
    <w:rsid w:val="00675A3F"/>
    <w:rsid w:val="00675C93"/>
    <w:rsid w:val="00676673"/>
    <w:rsid w:val="00676938"/>
    <w:rsid w:val="0067777A"/>
    <w:rsid w:val="006778ED"/>
    <w:rsid w:val="00677A01"/>
    <w:rsid w:val="00677A32"/>
    <w:rsid w:val="00677D9D"/>
    <w:rsid w:val="00677F00"/>
    <w:rsid w:val="0068006D"/>
    <w:rsid w:val="00680099"/>
    <w:rsid w:val="00680119"/>
    <w:rsid w:val="006814DF"/>
    <w:rsid w:val="00681A66"/>
    <w:rsid w:val="00681AFF"/>
    <w:rsid w:val="006820F5"/>
    <w:rsid w:val="00682254"/>
    <w:rsid w:val="006824CF"/>
    <w:rsid w:val="00682AC8"/>
    <w:rsid w:val="006834BE"/>
    <w:rsid w:val="00683BED"/>
    <w:rsid w:val="00683E82"/>
    <w:rsid w:val="0068431C"/>
    <w:rsid w:val="0068438F"/>
    <w:rsid w:val="0068508F"/>
    <w:rsid w:val="00685170"/>
    <w:rsid w:val="0068517A"/>
    <w:rsid w:val="0068570D"/>
    <w:rsid w:val="00685AA8"/>
    <w:rsid w:val="00685F5D"/>
    <w:rsid w:val="00686529"/>
    <w:rsid w:val="00686894"/>
    <w:rsid w:val="00686C15"/>
    <w:rsid w:val="00687242"/>
    <w:rsid w:val="00687714"/>
    <w:rsid w:val="00687B0E"/>
    <w:rsid w:val="00690084"/>
    <w:rsid w:val="00690421"/>
    <w:rsid w:val="00690D01"/>
    <w:rsid w:val="00691046"/>
    <w:rsid w:val="006915D6"/>
    <w:rsid w:val="00691CEF"/>
    <w:rsid w:val="006922BC"/>
    <w:rsid w:val="0069243A"/>
    <w:rsid w:val="00692760"/>
    <w:rsid w:val="00692D72"/>
    <w:rsid w:val="00693A3F"/>
    <w:rsid w:val="00693ADE"/>
    <w:rsid w:val="00693B6D"/>
    <w:rsid w:val="00693CC2"/>
    <w:rsid w:val="00693EC6"/>
    <w:rsid w:val="00694A70"/>
    <w:rsid w:val="0069521E"/>
    <w:rsid w:val="0069586E"/>
    <w:rsid w:val="006958C5"/>
    <w:rsid w:val="006961F5"/>
    <w:rsid w:val="006963CC"/>
    <w:rsid w:val="006964FA"/>
    <w:rsid w:val="00696ABA"/>
    <w:rsid w:val="006970DB"/>
    <w:rsid w:val="006971F4"/>
    <w:rsid w:val="00697D84"/>
    <w:rsid w:val="006A0045"/>
    <w:rsid w:val="006A0144"/>
    <w:rsid w:val="006A04B3"/>
    <w:rsid w:val="006A0D15"/>
    <w:rsid w:val="006A10D9"/>
    <w:rsid w:val="006A1274"/>
    <w:rsid w:val="006A19F1"/>
    <w:rsid w:val="006A1BEF"/>
    <w:rsid w:val="006A1C7B"/>
    <w:rsid w:val="006A1DA5"/>
    <w:rsid w:val="006A21B2"/>
    <w:rsid w:val="006A2537"/>
    <w:rsid w:val="006A312F"/>
    <w:rsid w:val="006A3373"/>
    <w:rsid w:val="006A3C88"/>
    <w:rsid w:val="006A4206"/>
    <w:rsid w:val="006A4C11"/>
    <w:rsid w:val="006A4EA2"/>
    <w:rsid w:val="006A4FCE"/>
    <w:rsid w:val="006A51DB"/>
    <w:rsid w:val="006A5C1D"/>
    <w:rsid w:val="006A60F5"/>
    <w:rsid w:val="006A6493"/>
    <w:rsid w:val="006A71BD"/>
    <w:rsid w:val="006A76B6"/>
    <w:rsid w:val="006A7C23"/>
    <w:rsid w:val="006B1CFA"/>
    <w:rsid w:val="006B2113"/>
    <w:rsid w:val="006B2B67"/>
    <w:rsid w:val="006B3059"/>
    <w:rsid w:val="006B371A"/>
    <w:rsid w:val="006B37BB"/>
    <w:rsid w:val="006B3CAF"/>
    <w:rsid w:val="006B46F2"/>
    <w:rsid w:val="006B485A"/>
    <w:rsid w:val="006B48F7"/>
    <w:rsid w:val="006B524F"/>
    <w:rsid w:val="006B533A"/>
    <w:rsid w:val="006B534E"/>
    <w:rsid w:val="006B586F"/>
    <w:rsid w:val="006B5967"/>
    <w:rsid w:val="006B5B15"/>
    <w:rsid w:val="006B733D"/>
    <w:rsid w:val="006B7D37"/>
    <w:rsid w:val="006B7EFD"/>
    <w:rsid w:val="006C042B"/>
    <w:rsid w:val="006C0772"/>
    <w:rsid w:val="006C1037"/>
    <w:rsid w:val="006C1173"/>
    <w:rsid w:val="006C11D5"/>
    <w:rsid w:val="006C1CD7"/>
    <w:rsid w:val="006C1F0A"/>
    <w:rsid w:val="006C22AF"/>
    <w:rsid w:val="006C2A3A"/>
    <w:rsid w:val="006C3466"/>
    <w:rsid w:val="006C3886"/>
    <w:rsid w:val="006C38AA"/>
    <w:rsid w:val="006C3B11"/>
    <w:rsid w:val="006C3B54"/>
    <w:rsid w:val="006C3FEA"/>
    <w:rsid w:val="006C4006"/>
    <w:rsid w:val="006C4431"/>
    <w:rsid w:val="006C45EE"/>
    <w:rsid w:val="006C46F8"/>
    <w:rsid w:val="006C475E"/>
    <w:rsid w:val="006C493D"/>
    <w:rsid w:val="006C4FD6"/>
    <w:rsid w:val="006C4FFE"/>
    <w:rsid w:val="006C532B"/>
    <w:rsid w:val="006C57F2"/>
    <w:rsid w:val="006C5951"/>
    <w:rsid w:val="006C5BBA"/>
    <w:rsid w:val="006C5C21"/>
    <w:rsid w:val="006C5EA5"/>
    <w:rsid w:val="006C5EF3"/>
    <w:rsid w:val="006C5F21"/>
    <w:rsid w:val="006C61B8"/>
    <w:rsid w:val="006C6E08"/>
    <w:rsid w:val="006C6EFF"/>
    <w:rsid w:val="006C714F"/>
    <w:rsid w:val="006C7DBE"/>
    <w:rsid w:val="006C7E0F"/>
    <w:rsid w:val="006D0176"/>
    <w:rsid w:val="006D059D"/>
    <w:rsid w:val="006D06ED"/>
    <w:rsid w:val="006D0AE4"/>
    <w:rsid w:val="006D1992"/>
    <w:rsid w:val="006D1B8B"/>
    <w:rsid w:val="006D2501"/>
    <w:rsid w:val="006D2E71"/>
    <w:rsid w:val="006D3169"/>
    <w:rsid w:val="006D342F"/>
    <w:rsid w:val="006D3DE5"/>
    <w:rsid w:val="006D44FB"/>
    <w:rsid w:val="006D553D"/>
    <w:rsid w:val="006D55D6"/>
    <w:rsid w:val="006D59D6"/>
    <w:rsid w:val="006D6F33"/>
    <w:rsid w:val="006D7005"/>
    <w:rsid w:val="006D7079"/>
    <w:rsid w:val="006D7A89"/>
    <w:rsid w:val="006E0397"/>
    <w:rsid w:val="006E0623"/>
    <w:rsid w:val="006E0B95"/>
    <w:rsid w:val="006E0D70"/>
    <w:rsid w:val="006E0EE0"/>
    <w:rsid w:val="006E1E8E"/>
    <w:rsid w:val="006E2519"/>
    <w:rsid w:val="006E27BD"/>
    <w:rsid w:val="006E338B"/>
    <w:rsid w:val="006E344C"/>
    <w:rsid w:val="006E3797"/>
    <w:rsid w:val="006E3CCB"/>
    <w:rsid w:val="006E487C"/>
    <w:rsid w:val="006E48F6"/>
    <w:rsid w:val="006E58FE"/>
    <w:rsid w:val="006E590A"/>
    <w:rsid w:val="006E5E20"/>
    <w:rsid w:val="006E5F19"/>
    <w:rsid w:val="006E742F"/>
    <w:rsid w:val="006F01F9"/>
    <w:rsid w:val="006F06C5"/>
    <w:rsid w:val="006F077F"/>
    <w:rsid w:val="006F0927"/>
    <w:rsid w:val="006F0E68"/>
    <w:rsid w:val="006F0F5F"/>
    <w:rsid w:val="006F1B98"/>
    <w:rsid w:val="006F20B0"/>
    <w:rsid w:val="006F211E"/>
    <w:rsid w:val="006F213A"/>
    <w:rsid w:val="006F239F"/>
    <w:rsid w:val="006F2A07"/>
    <w:rsid w:val="006F2B99"/>
    <w:rsid w:val="006F3011"/>
    <w:rsid w:val="006F37AA"/>
    <w:rsid w:val="006F396A"/>
    <w:rsid w:val="006F3E3E"/>
    <w:rsid w:val="006F421A"/>
    <w:rsid w:val="006F42B4"/>
    <w:rsid w:val="006F4692"/>
    <w:rsid w:val="006F4BB2"/>
    <w:rsid w:val="006F51B7"/>
    <w:rsid w:val="006F5569"/>
    <w:rsid w:val="006F568A"/>
    <w:rsid w:val="006F56BD"/>
    <w:rsid w:val="006F5E61"/>
    <w:rsid w:val="006F5F45"/>
    <w:rsid w:val="006F677B"/>
    <w:rsid w:val="006F67B4"/>
    <w:rsid w:val="006F6AB8"/>
    <w:rsid w:val="006F6C44"/>
    <w:rsid w:val="006F6EF1"/>
    <w:rsid w:val="006F76F9"/>
    <w:rsid w:val="007001B0"/>
    <w:rsid w:val="00700ABD"/>
    <w:rsid w:val="00700CA8"/>
    <w:rsid w:val="00700ED6"/>
    <w:rsid w:val="00701326"/>
    <w:rsid w:val="00701560"/>
    <w:rsid w:val="00701D08"/>
    <w:rsid w:val="007020EA"/>
    <w:rsid w:val="00702349"/>
    <w:rsid w:val="0070237A"/>
    <w:rsid w:val="00702896"/>
    <w:rsid w:val="007029C1"/>
    <w:rsid w:val="0070440F"/>
    <w:rsid w:val="007046D9"/>
    <w:rsid w:val="00704AE5"/>
    <w:rsid w:val="00704D88"/>
    <w:rsid w:val="00704E08"/>
    <w:rsid w:val="00704E26"/>
    <w:rsid w:val="00704F52"/>
    <w:rsid w:val="00705461"/>
    <w:rsid w:val="0070562E"/>
    <w:rsid w:val="00705A16"/>
    <w:rsid w:val="00705B49"/>
    <w:rsid w:val="00705E19"/>
    <w:rsid w:val="00705F95"/>
    <w:rsid w:val="00706A8A"/>
    <w:rsid w:val="007070D1"/>
    <w:rsid w:val="00707501"/>
    <w:rsid w:val="007076ED"/>
    <w:rsid w:val="007079A1"/>
    <w:rsid w:val="00710365"/>
    <w:rsid w:val="007107A1"/>
    <w:rsid w:val="00710D1D"/>
    <w:rsid w:val="00711A86"/>
    <w:rsid w:val="0071272A"/>
    <w:rsid w:val="00712C77"/>
    <w:rsid w:val="00712F09"/>
    <w:rsid w:val="007131D3"/>
    <w:rsid w:val="007142D3"/>
    <w:rsid w:val="00714747"/>
    <w:rsid w:val="00714972"/>
    <w:rsid w:val="00714B12"/>
    <w:rsid w:val="007153B6"/>
    <w:rsid w:val="00715665"/>
    <w:rsid w:val="0071572A"/>
    <w:rsid w:val="00715A46"/>
    <w:rsid w:val="0071638A"/>
    <w:rsid w:val="007167A7"/>
    <w:rsid w:val="00716C45"/>
    <w:rsid w:val="00717256"/>
    <w:rsid w:val="007176DC"/>
    <w:rsid w:val="0071783E"/>
    <w:rsid w:val="007178EB"/>
    <w:rsid w:val="00717B9D"/>
    <w:rsid w:val="00717EE6"/>
    <w:rsid w:val="00717F5D"/>
    <w:rsid w:val="00717FD4"/>
    <w:rsid w:val="0072041E"/>
    <w:rsid w:val="0072132E"/>
    <w:rsid w:val="00721563"/>
    <w:rsid w:val="00721EF4"/>
    <w:rsid w:val="00722028"/>
    <w:rsid w:val="007220E8"/>
    <w:rsid w:val="00722AC1"/>
    <w:rsid w:val="007238A6"/>
    <w:rsid w:val="00723DD0"/>
    <w:rsid w:val="00724262"/>
    <w:rsid w:val="007242B3"/>
    <w:rsid w:val="00724806"/>
    <w:rsid w:val="00724897"/>
    <w:rsid w:val="0072489B"/>
    <w:rsid w:val="00724CBC"/>
    <w:rsid w:val="00724FB3"/>
    <w:rsid w:val="00724FB5"/>
    <w:rsid w:val="00724FBB"/>
    <w:rsid w:val="007255B7"/>
    <w:rsid w:val="00725813"/>
    <w:rsid w:val="00725F91"/>
    <w:rsid w:val="00727347"/>
    <w:rsid w:val="007273D1"/>
    <w:rsid w:val="007278DB"/>
    <w:rsid w:val="00730723"/>
    <w:rsid w:val="007311C5"/>
    <w:rsid w:val="00731F91"/>
    <w:rsid w:val="0073206A"/>
    <w:rsid w:val="007323D9"/>
    <w:rsid w:val="00732AB9"/>
    <w:rsid w:val="00732C2A"/>
    <w:rsid w:val="00732EA5"/>
    <w:rsid w:val="0073386C"/>
    <w:rsid w:val="00734271"/>
    <w:rsid w:val="007343C7"/>
    <w:rsid w:val="00734974"/>
    <w:rsid w:val="00734CC4"/>
    <w:rsid w:val="00734F2C"/>
    <w:rsid w:val="007350F6"/>
    <w:rsid w:val="00735333"/>
    <w:rsid w:val="007354CE"/>
    <w:rsid w:val="00735A47"/>
    <w:rsid w:val="0073609C"/>
    <w:rsid w:val="00736709"/>
    <w:rsid w:val="00736890"/>
    <w:rsid w:val="0073698A"/>
    <w:rsid w:val="00736D89"/>
    <w:rsid w:val="00736EAA"/>
    <w:rsid w:val="007374F9"/>
    <w:rsid w:val="0073798D"/>
    <w:rsid w:val="00737B79"/>
    <w:rsid w:val="00737F08"/>
    <w:rsid w:val="0074029E"/>
    <w:rsid w:val="00740A56"/>
    <w:rsid w:val="00741331"/>
    <w:rsid w:val="0074157B"/>
    <w:rsid w:val="00741A03"/>
    <w:rsid w:val="00741D4A"/>
    <w:rsid w:val="007432BA"/>
    <w:rsid w:val="007442AF"/>
    <w:rsid w:val="007446C3"/>
    <w:rsid w:val="00744755"/>
    <w:rsid w:val="007449DA"/>
    <w:rsid w:val="0074545B"/>
    <w:rsid w:val="00745C1B"/>
    <w:rsid w:val="00746B3D"/>
    <w:rsid w:val="00746BED"/>
    <w:rsid w:val="00746C86"/>
    <w:rsid w:val="0074719C"/>
    <w:rsid w:val="007477BA"/>
    <w:rsid w:val="00747E70"/>
    <w:rsid w:val="00750850"/>
    <w:rsid w:val="00750B42"/>
    <w:rsid w:val="00750C1D"/>
    <w:rsid w:val="00750D29"/>
    <w:rsid w:val="00750D81"/>
    <w:rsid w:val="00750F3B"/>
    <w:rsid w:val="00751742"/>
    <w:rsid w:val="00751995"/>
    <w:rsid w:val="007519A2"/>
    <w:rsid w:val="007523FA"/>
    <w:rsid w:val="00752623"/>
    <w:rsid w:val="00752A34"/>
    <w:rsid w:val="00752B8C"/>
    <w:rsid w:val="00752C6C"/>
    <w:rsid w:val="00752F2A"/>
    <w:rsid w:val="007530E2"/>
    <w:rsid w:val="0075330C"/>
    <w:rsid w:val="00753462"/>
    <w:rsid w:val="007537D9"/>
    <w:rsid w:val="00753B0C"/>
    <w:rsid w:val="00753FE1"/>
    <w:rsid w:val="00754A1F"/>
    <w:rsid w:val="007551EE"/>
    <w:rsid w:val="00755693"/>
    <w:rsid w:val="00755DBD"/>
    <w:rsid w:val="007561F8"/>
    <w:rsid w:val="0075622D"/>
    <w:rsid w:val="00756894"/>
    <w:rsid w:val="00756BF3"/>
    <w:rsid w:val="0075781A"/>
    <w:rsid w:val="007578F3"/>
    <w:rsid w:val="00757CC7"/>
    <w:rsid w:val="00760931"/>
    <w:rsid w:val="00761029"/>
    <w:rsid w:val="007614B8"/>
    <w:rsid w:val="007614DF"/>
    <w:rsid w:val="0076150D"/>
    <w:rsid w:val="00761846"/>
    <w:rsid w:val="00761EC4"/>
    <w:rsid w:val="00762295"/>
    <w:rsid w:val="007628B7"/>
    <w:rsid w:val="00762B06"/>
    <w:rsid w:val="00762BB8"/>
    <w:rsid w:val="00762C6B"/>
    <w:rsid w:val="00762E69"/>
    <w:rsid w:val="00762F26"/>
    <w:rsid w:val="0076307A"/>
    <w:rsid w:val="00763169"/>
    <w:rsid w:val="0076371F"/>
    <w:rsid w:val="00763B87"/>
    <w:rsid w:val="0076408B"/>
    <w:rsid w:val="007640E2"/>
    <w:rsid w:val="00764DC6"/>
    <w:rsid w:val="0076519C"/>
    <w:rsid w:val="00765647"/>
    <w:rsid w:val="00765CE2"/>
    <w:rsid w:val="00765FFB"/>
    <w:rsid w:val="007661ED"/>
    <w:rsid w:val="0076621E"/>
    <w:rsid w:val="007665F4"/>
    <w:rsid w:val="00766755"/>
    <w:rsid w:val="00766FE9"/>
    <w:rsid w:val="00767A2A"/>
    <w:rsid w:val="00767BE6"/>
    <w:rsid w:val="00770F4E"/>
    <w:rsid w:val="00771020"/>
    <w:rsid w:val="007713AF"/>
    <w:rsid w:val="00771422"/>
    <w:rsid w:val="00771440"/>
    <w:rsid w:val="00771710"/>
    <w:rsid w:val="007719B6"/>
    <w:rsid w:val="00772A19"/>
    <w:rsid w:val="00772BA4"/>
    <w:rsid w:val="007731BA"/>
    <w:rsid w:val="00773244"/>
    <w:rsid w:val="007732FC"/>
    <w:rsid w:val="007736E8"/>
    <w:rsid w:val="00773A88"/>
    <w:rsid w:val="00774099"/>
    <w:rsid w:val="00774347"/>
    <w:rsid w:val="007743A3"/>
    <w:rsid w:val="00774695"/>
    <w:rsid w:val="007749AF"/>
    <w:rsid w:val="00775475"/>
    <w:rsid w:val="007761A0"/>
    <w:rsid w:val="007767CE"/>
    <w:rsid w:val="007767F3"/>
    <w:rsid w:val="00777ABC"/>
    <w:rsid w:val="00780002"/>
    <w:rsid w:val="0078102D"/>
    <w:rsid w:val="0078150F"/>
    <w:rsid w:val="007815AF"/>
    <w:rsid w:val="00781D2E"/>
    <w:rsid w:val="00782493"/>
    <w:rsid w:val="0078277C"/>
    <w:rsid w:val="00782865"/>
    <w:rsid w:val="00782A51"/>
    <w:rsid w:val="00782C63"/>
    <w:rsid w:val="00782CB3"/>
    <w:rsid w:val="00783F5F"/>
    <w:rsid w:val="0078438F"/>
    <w:rsid w:val="0078482B"/>
    <w:rsid w:val="00784EB4"/>
    <w:rsid w:val="00784FB4"/>
    <w:rsid w:val="00785459"/>
    <w:rsid w:val="00785697"/>
    <w:rsid w:val="00787177"/>
    <w:rsid w:val="0078728D"/>
    <w:rsid w:val="007874DE"/>
    <w:rsid w:val="00787CD9"/>
    <w:rsid w:val="00787F93"/>
    <w:rsid w:val="007907D1"/>
    <w:rsid w:val="00790806"/>
    <w:rsid w:val="00790A39"/>
    <w:rsid w:val="00790C20"/>
    <w:rsid w:val="00790C8E"/>
    <w:rsid w:val="00790EEA"/>
    <w:rsid w:val="00791098"/>
    <w:rsid w:val="00791A90"/>
    <w:rsid w:val="00792012"/>
    <w:rsid w:val="0079251F"/>
    <w:rsid w:val="00792554"/>
    <w:rsid w:val="007928E5"/>
    <w:rsid w:val="00792EE8"/>
    <w:rsid w:val="00792FBF"/>
    <w:rsid w:val="0079361F"/>
    <w:rsid w:val="00793FD3"/>
    <w:rsid w:val="007945E2"/>
    <w:rsid w:val="00794621"/>
    <w:rsid w:val="00794FDD"/>
    <w:rsid w:val="00795367"/>
    <w:rsid w:val="0079544F"/>
    <w:rsid w:val="00795636"/>
    <w:rsid w:val="00795829"/>
    <w:rsid w:val="007958E0"/>
    <w:rsid w:val="00795BAD"/>
    <w:rsid w:val="00795DD4"/>
    <w:rsid w:val="00796072"/>
    <w:rsid w:val="00796628"/>
    <w:rsid w:val="00797493"/>
    <w:rsid w:val="007A031B"/>
    <w:rsid w:val="007A0928"/>
    <w:rsid w:val="007A0B94"/>
    <w:rsid w:val="007A0DA3"/>
    <w:rsid w:val="007A0E2F"/>
    <w:rsid w:val="007A1277"/>
    <w:rsid w:val="007A15DF"/>
    <w:rsid w:val="007A1715"/>
    <w:rsid w:val="007A1A9D"/>
    <w:rsid w:val="007A2132"/>
    <w:rsid w:val="007A28A1"/>
    <w:rsid w:val="007A2B4E"/>
    <w:rsid w:val="007A2C55"/>
    <w:rsid w:val="007A3339"/>
    <w:rsid w:val="007A3427"/>
    <w:rsid w:val="007A36D7"/>
    <w:rsid w:val="007A4655"/>
    <w:rsid w:val="007A46D7"/>
    <w:rsid w:val="007A4C07"/>
    <w:rsid w:val="007A4E3C"/>
    <w:rsid w:val="007A5303"/>
    <w:rsid w:val="007A595D"/>
    <w:rsid w:val="007A5D4D"/>
    <w:rsid w:val="007A6AB8"/>
    <w:rsid w:val="007A6ABC"/>
    <w:rsid w:val="007A7212"/>
    <w:rsid w:val="007A75A8"/>
    <w:rsid w:val="007A7C57"/>
    <w:rsid w:val="007B0DE0"/>
    <w:rsid w:val="007B11E1"/>
    <w:rsid w:val="007B12A4"/>
    <w:rsid w:val="007B1476"/>
    <w:rsid w:val="007B2425"/>
    <w:rsid w:val="007B251A"/>
    <w:rsid w:val="007B2530"/>
    <w:rsid w:val="007B2644"/>
    <w:rsid w:val="007B2DCD"/>
    <w:rsid w:val="007B3207"/>
    <w:rsid w:val="007B3A62"/>
    <w:rsid w:val="007B3B3D"/>
    <w:rsid w:val="007B3C24"/>
    <w:rsid w:val="007B3E55"/>
    <w:rsid w:val="007B402E"/>
    <w:rsid w:val="007B4371"/>
    <w:rsid w:val="007B451D"/>
    <w:rsid w:val="007B486C"/>
    <w:rsid w:val="007B4872"/>
    <w:rsid w:val="007B4FDC"/>
    <w:rsid w:val="007B5419"/>
    <w:rsid w:val="007B54FD"/>
    <w:rsid w:val="007B591E"/>
    <w:rsid w:val="007B5F6D"/>
    <w:rsid w:val="007B634B"/>
    <w:rsid w:val="007B6C04"/>
    <w:rsid w:val="007B6C24"/>
    <w:rsid w:val="007B6C52"/>
    <w:rsid w:val="007B708C"/>
    <w:rsid w:val="007B76A9"/>
    <w:rsid w:val="007B793C"/>
    <w:rsid w:val="007B79E6"/>
    <w:rsid w:val="007B7FAE"/>
    <w:rsid w:val="007C0849"/>
    <w:rsid w:val="007C0857"/>
    <w:rsid w:val="007C0BE7"/>
    <w:rsid w:val="007C13AD"/>
    <w:rsid w:val="007C1793"/>
    <w:rsid w:val="007C1988"/>
    <w:rsid w:val="007C1DEB"/>
    <w:rsid w:val="007C2195"/>
    <w:rsid w:val="007C2750"/>
    <w:rsid w:val="007C358B"/>
    <w:rsid w:val="007C3979"/>
    <w:rsid w:val="007C3DB2"/>
    <w:rsid w:val="007C419E"/>
    <w:rsid w:val="007C47A7"/>
    <w:rsid w:val="007C49E3"/>
    <w:rsid w:val="007C4D53"/>
    <w:rsid w:val="007C5175"/>
    <w:rsid w:val="007C58C5"/>
    <w:rsid w:val="007C5C97"/>
    <w:rsid w:val="007C5D64"/>
    <w:rsid w:val="007C5FFB"/>
    <w:rsid w:val="007C7505"/>
    <w:rsid w:val="007C7A14"/>
    <w:rsid w:val="007C7DEF"/>
    <w:rsid w:val="007D0510"/>
    <w:rsid w:val="007D0EB9"/>
    <w:rsid w:val="007D17A3"/>
    <w:rsid w:val="007D188F"/>
    <w:rsid w:val="007D1BBE"/>
    <w:rsid w:val="007D2152"/>
    <w:rsid w:val="007D2E23"/>
    <w:rsid w:val="007D2E4B"/>
    <w:rsid w:val="007D2F11"/>
    <w:rsid w:val="007D30FD"/>
    <w:rsid w:val="007D329B"/>
    <w:rsid w:val="007D356C"/>
    <w:rsid w:val="007D417E"/>
    <w:rsid w:val="007D4A02"/>
    <w:rsid w:val="007D5658"/>
    <w:rsid w:val="007D5CBA"/>
    <w:rsid w:val="007D68BD"/>
    <w:rsid w:val="007D755E"/>
    <w:rsid w:val="007D7DB5"/>
    <w:rsid w:val="007E0634"/>
    <w:rsid w:val="007E1427"/>
    <w:rsid w:val="007E172C"/>
    <w:rsid w:val="007E1B92"/>
    <w:rsid w:val="007E2164"/>
    <w:rsid w:val="007E21DE"/>
    <w:rsid w:val="007E37D5"/>
    <w:rsid w:val="007E3ACF"/>
    <w:rsid w:val="007E4106"/>
    <w:rsid w:val="007E43F1"/>
    <w:rsid w:val="007E4BCE"/>
    <w:rsid w:val="007E4C7A"/>
    <w:rsid w:val="007E505F"/>
    <w:rsid w:val="007E5376"/>
    <w:rsid w:val="007E5610"/>
    <w:rsid w:val="007E56FD"/>
    <w:rsid w:val="007E63A3"/>
    <w:rsid w:val="007E63B9"/>
    <w:rsid w:val="007E69C4"/>
    <w:rsid w:val="007E712C"/>
    <w:rsid w:val="007E71DC"/>
    <w:rsid w:val="007E7272"/>
    <w:rsid w:val="007E72DF"/>
    <w:rsid w:val="007E7A16"/>
    <w:rsid w:val="007E7EBF"/>
    <w:rsid w:val="007F0760"/>
    <w:rsid w:val="007F087D"/>
    <w:rsid w:val="007F08D8"/>
    <w:rsid w:val="007F08F3"/>
    <w:rsid w:val="007F1B10"/>
    <w:rsid w:val="007F1BD3"/>
    <w:rsid w:val="007F1C06"/>
    <w:rsid w:val="007F21B6"/>
    <w:rsid w:val="007F230F"/>
    <w:rsid w:val="007F2631"/>
    <w:rsid w:val="007F27F2"/>
    <w:rsid w:val="007F2ED8"/>
    <w:rsid w:val="007F3D09"/>
    <w:rsid w:val="007F4071"/>
    <w:rsid w:val="007F4AAD"/>
    <w:rsid w:val="007F4D86"/>
    <w:rsid w:val="007F4EC7"/>
    <w:rsid w:val="007F513A"/>
    <w:rsid w:val="007F51E1"/>
    <w:rsid w:val="007F560A"/>
    <w:rsid w:val="007F57F7"/>
    <w:rsid w:val="007F6389"/>
    <w:rsid w:val="007F63C7"/>
    <w:rsid w:val="007F6430"/>
    <w:rsid w:val="007F7184"/>
    <w:rsid w:val="007F752B"/>
    <w:rsid w:val="007F7669"/>
    <w:rsid w:val="008009DF"/>
    <w:rsid w:val="008018D8"/>
    <w:rsid w:val="00801F36"/>
    <w:rsid w:val="0080231D"/>
    <w:rsid w:val="0080270B"/>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4E9"/>
    <w:rsid w:val="0081071D"/>
    <w:rsid w:val="0081074D"/>
    <w:rsid w:val="00810963"/>
    <w:rsid w:val="00810E6C"/>
    <w:rsid w:val="00810ED4"/>
    <w:rsid w:val="00810F3F"/>
    <w:rsid w:val="00811E57"/>
    <w:rsid w:val="00811FF6"/>
    <w:rsid w:val="00812105"/>
    <w:rsid w:val="008133D0"/>
    <w:rsid w:val="008139A1"/>
    <w:rsid w:val="00813A3C"/>
    <w:rsid w:val="00814107"/>
    <w:rsid w:val="0081413A"/>
    <w:rsid w:val="00814616"/>
    <w:rsid w:val="00814815"/>
    <w:rsid w:val="00815C6D"/>
    <w:rsid w:val="00815DF0"/>
    <w:rsid w:val="00815F73"/>
    <w:rsid w:val="0081629C"/>
    <w:rsid w:val="0081640B"/>
    <w:rsid w:val="0081670B"/>
    <w:rsid w:val="00816747"/>
    <w:rsid w:val="00816A25"/>
    <w:rsid w:val="00816D64"/>
    <w:rsid w:val="00817702"/>
    <w:rsid w:val="00817E30"/>
    <w:rsid w:val="00817F98"/>
    <w:rsid w:val="0082017D"/>
    <w:rsid w:val="0082033B"/>
    <w:rsid w:val="00820DC9"/>
    <w:rsid w:val="00820DD0"/>
    <w:rsid w:val="00821755"/>
    <w:rsid w:val="008219BD"/>
    <w:rsid w:val="008221FE"/>
    <w:rsid w:val="0082277A"/>
    <w:rsid w:val="0082293C"/>
    <w:rsid w:val="00823207"/>
    <w:rsid w:val="0082386E"/>
    <w:rsid w:val="00823B11"/>
    <w:rsid w:val="00823E5C"/>
    <w:rsid w:val="008251F1"/>
    <w:rsid w:val="00825359"/>
    <w:rsid w:val="00825720"/>
    <w:rsid w:val="00825A32"/>
    <w:rsid w:val="00825D2D"/>
    <w:rsid w:val="00825D5E"/>
    <w:rsid w:val="00825F2B"/>
    <w:rsid w:val="0082634B"/>
    <w:rsid w:val="00826B28"/>
    <w:rsid w:val="00827244"/>
    <w:rsid w:val="0082796D"/>
    <w:rsid w:val="00827B45"/>
    <w:rsid w:val="00827E6F"/>
    <w:rsid w:val="00827F57"/>
    <w:rsid w:val="0083033C"/>
    <w:rsid w:val="008307AD"/>
    <w:rsid w:val="00830971"/>
    <w:rsid w:val="008311CA"/>
    <w:rsid w:val="008315FE"/>
    <w:rsid w:val="008317D6"/>
    <w:rsid w:val="00832966"/>
    <w:rsid w:val="008329D2"/>
    <w:rsid w:val="0083333A"/>
    <w:rsid w:val="00833516"/>
    <w:rsid w:val="00833920"/>
    <w:rsid w:val="00833DDC"/>
    <w:rsid w:val="0083429B"/>
    <w:rsid w:val="008345B6"/>
    <w:rsid w:val="00834625"/>
    <w:rsid w:val="00834660"/>
    <w:rsid w:val="00834CA2"/>
    <w:rsid w:val="00834E24"/>
    <w:rsid w:val="0083508A"/>
    <w:rsid w:val="0083527E"/>
    <w:rsid w:val="0083532C"/>
    <w:rsid w:val="008353D9"/>
    <w:rsid w:val="008357B0"/>
    <w:rsid w:val="0083634E"/>
    <w:rsid w:val="0083687F"/>
    <w:rsid w:val="008369BB"/>
    <w:rsid w:val="008369CB"/>
    <w:rsid w:val="00836CB1"/>
    <w:rsid w:val="00837743"/>
    <w:rsid w:val="00837BC1"/>
    <w:rsid w:val="00837D97"/>
    <w:rsid w:val="00837DAD"/>
    <w:rsid w:val="00837F26"/>
    <w:rsid w:val="00837F2A"/>
    <w:rsid w:val="0084020C"/>
    <w:rsid w:val="0084041B"/>
    <w:rsid w:val="008406B5"/>
    <w:rsid w:val="00840EB0"/>
    <w:rsid w:val="00840ED2"/>
    <w:rsid w:val="00840F98"/>
    <w:rsid w:val="00841CFA"/>
    <w:rsid w:val="0084248A"/>
    <w:rsid w:val="00842A92"/>
    <w:rsid w:val="00842BD4"/>
    <w:rsid w:val="0084368B"/>
    <w:rsid w:val="00843E6A"/>
    <w:rsid w:val="00843F4D"/>
    <w:rsid w:val="00844127"/>
    <w:rsid w:val="0084496C"/>
    <w:rsid w:val="00844A63"/>
    <w:rsid w:val="00844FC9"/>
    <w:rsid w:val="008450F1"/>
    <w:rsid w:val="00845977"/>
    <w:rsid w:val="00845CFD"/>
    <w:rsid w:val="00845D32"/>
    <w:rsid w:val="008464CC"/>
    <w:rsid w:val="00846558"/>
    <w:rsid w:val="00846706"/>
    <w:rsid w:val="00846A95"/>
    <w:rsid w:val="00847078"/>
    <w:rsid w:val="0084717C"/>
    <w:rsid w:val="00847495"/>
    <w:rsid w:val="00847521"/>
    <w:rsid w:val="0084792D"/>
    <w:rsid w:val="00847C94"/>
    <w:rsid w:val="00847DA0"/>
    <w:rsid w:val="00847EAF"/>
    <w:rsid w:val="0085001F"/>
    <w:rsid w:val="0085037D"/>
    <w:rsid w:val="00850F90"/>
    <w:rsid w:val="008510BD"/>
    <w:rsid w:val="0085173D"/>
    <w:rsid w:val="00851F75"/>
    <w:rsid w:val="0085249A"/>
    <w:rsid w:val="00852672"/>
    <w:rsid w:val="00852E84"/>
    <w:rsid w:val="00853089"/>
    <w:rsid w:val="0085314B"/>
    <w:rsid w:val="008531F5"/>
    <w:rsid w:val="008539B3"/>
    <w:rsid w:val="008542D7"/>
    <w:rsid w:val="008542F4"/>
    <w:rsid w:val="00854343"/>
    <w:rsid w:val="008544A5"/>
    <w:rsid w:val="00854B5F"/>
    <w:rsid w:val="00854B70"/>
    <w:rsid w:val="00854E13"/>
    <w:rsid w:val="00855C54"/>
    <w:rsid w:val="008572C7"/>
    <w:rsid w:val="008573EE"/>
    <w:rsid w:val="008578DC"/>
    <w:rsid w:val="0085799B"/>
    <w:rsid w:val="00857A53"/>
    <w:rsid w:val="00857DA8"/>
    <w:rsid w:val="0086029E"/>
    <w:rsid w:val="0086043A"/>
    <w:rsid w:val="00860497"/>
    <w:rsid w:val="0086072E"/>
    <w:rsid w:val="00861879"/>
    <w:rsid w:val="00861C51"/>
    <w:rsid w:val="00861DE9"/>
    <w:rsid w:val="00862034"/>
    <w:rsid w:val="00862172"/>
    <w:rsid w:val="00862702"/>
    <w:rsid w:val="00862992"/>
    <w:rsid w:val="00863DA3"/>
    <w:rsid w:val="00864978"/>
    <w:rsid w:val="00864F62"/>
    <w:rsid w:val="00864FBC"/>
    <w:rsid w:val="00865198"/>
    <w:rsid w:val="0086529D"/>
    <w:rsid w:val="0086561E"/>
    <w:rsid w:val="00865814"/>
    <w:rsid w:val="00865AF2"/>
    <w:rsid w:val="00865DF7"/>
    <w:rsid w:val="00865F5B"/>
    <w:rsid w:val="00865FB0"/>
    <w:rsid w:val="00866064"/>
    <w:rsid w:val="0086670A"/>
    <w:rsid w:val="00866965"/>
    <w:rsid w:val="00866FA3"/>
    <w:rsid w:val="00867221"/>
    <w:rsid w:val="0086743C"/>
    <w:rsid w:val="008674E2"/>
    <w:rsid w:val="00867716"/>
    <w:rsid w:val="00867B1A"/>
    <w:rsid w:val="00870BA4"/>
    <w:rsid w:val="00870C12"/>
    <w:rsid w:val="00870F9F"/>
    <w:rsid w:val="00871680"/>
    <w:rsid w:val="008717A3"/>
    <w:rsid w:val="00871C30"/>
    <w:rsid w:val="00872AE3"/>
    <w:rsid w:val="00873249"/>
    <w:rsid w:val="00873B81"/>
    <w:rsid w:val="00873C52"/>
    <w:rsid w:val="00873CD6"/>
    <w:rsid w:val="00874118"/>
    <w:rsid w:val="00874645"/>
    <w:rsid w:val="00874EE1"/>
    <w:rsid w:val="00875B22"/>
    <w:rsid w:val="0087665A"/>
    <w:rsid w:val="00876795"/>
    <w:rsid w:val="00876946"/>
    <w:rsid w:val="00876CF3"/>
    <w:rsid w:val="00877482"/>
    <w:rsid w:val="0087758B"/>
    <w:rsid w:val="0087799F"/>
    <w:rsid w:val="008779DB"/>
    <w:rsid w:val="00877FF0"/>
    <w:rsid w:val="00880858"/>
    <w:rsid w:val="008809DB"/>
    <w:rsid w:val="00881233"/>
    <w:rsid w:val="008817D1"/>
    <w:rsid w:val="00881844"/>
    <w:rsid w:val="00881C38"/>
    <w:rsid w:val="0088212B"/>
    <w:rsid w:val="00882280"/>
    <w:rsid w:val="00882482"/>
    <w:rsid w:val="00882ABC"/>
    <w:rsid w:val="00882ABE"/>
    <w:rsid w:val="00882C92"/>
    <w:rsid w:val="00882FDB"/>
    <w:rsid w:val="00883437"/>
    <w:rsid w:val="00883872"/>
    <w:rsid w:val="00883AAF"/>
    <w:rsid w:val="00883F1F"/>
    <w:rsid w:val="00884753"/>
    <w:rsid w:val="00884A44"/>
    <w:rsid w:val="00884B1A"/>
    <w:rsid w:val="00884D38"/>
    <w:rsid w:val="008850B5"/>
    <w:rsid w:val="00885350"/>
    <w:rsid w:val="008857D1"/>
    <w:rsid w:val="00885949"/>
    <w:rsid w:val="00885B13"/>
    <w:rsid w:val="00885B37"/>
    <w:rsid w:val="00886231"/>
    <w:rsid w:val="008863FF"/>
    <w:rsid w:val="0088650F"/>
    <w:rsid w:val="00886BA9"/>
    <w:rsid w:val="00886C1E"/>
    <w:rsid w:val="008873CF"/>
    <w:rsid w:val="0088766F"/>
    <w:rsid w:val="00887899"/>
    <w:rsid w:val="00887FBC"/>
    <w:rsid w:val="00890288"/>
    <w:rsid w:val="0089029A"/>
    <w:rsid w:val="008904AB"/>
    <w:rsid w:val="0089060B"/>
    <w:rsid w:val="008917B4"/>
    <w:rsid w:val="00891A9D"/>
    <w:rsid w:val="00892148"/>
    <w:rsid w:val="0089224D"/>
    <w:rsid w:val="00892592"/>
    <w:rsid w:val="0089260F"/>
    <w:rsid w:val="00892CF7"/>
    <w:rsid w:val="00893A6F"/>
    <w:rsid w:val="008941AC"/>
    <w:rsid w:val="00894285"/>
    <w:rsid w:val="00894339"/>
    <w:rsid w:val="00894A72"/>
    <w:rsid w:val="008955E6"/>
    <w:rsid w:val="00895787"/>
    <w:rsid w:val="008957BF"/>
    <w:rsid w:val="008958F2"/>
    <w:rsid w:val="00895904"/>
    <w:rsid w:val="008963D8"/>
    <w:rsid w:val="008972DB"/>
    <w:rsid w:val="008A0517"/>
    <w:rsid w:val="008A05AC"/>
    <w:rsid w:val="008A09A6"/>
    <w:rsid w:val="008A0D1B"/>
    <w:rsid w:val="008A191D"/>
    <w:rsid w:val="008A1AB2"/>
    <w:rsid w:val="008A1CC0"/>
    <w:rsid w:val="008A21E1"/>
    <w:rsid w:val="008A26F1"/>
    <w:rsid w:val="008A2F53"/>
    <w:rsid w:val="008A3129"/>
    <w:rsid w:val="008A3746"/>
    <w:rsid w:val="008A37F6"/>
    <w:rsid w:val="008A3D21"/>
    <w:rsid w:val="008A457A"/>
    <w:rsid w:val="008A46F7"/>
    <w:rsid w:val="008A4713"/>
    <w:rsid w:val="008A4B73"/>
    <w:rsid w:val="008A5325"/>
    <w:rsid w:val="008A59B1"/>
    <w:rsid w:val="008A5A8A"/>
    <w:rsid w:val="008A5E08"/>
    <w:rsid w:val="008A627E"/>
    <w:rsid w:val="008A62C0"/>
    <w:rsid w:val="008A6420"/>
    <w:rsid w:val="008A66BE"/>
    <w:rsid w:val="008A6817"/>
    <w:rsid w:val="008A686D"/>
    <w:rsid w:val="008A6A6D"/>
    <w:rsid w:val="008A73E5"/>
    <w:rsid w:val="008A74EB"/>
    <w:rsid w:val="008A7554"/>
    <w:rsid w:val="008A7820"/>
    <w:rsid w:val="008A7BC8"/>
    <w:rsid w:val="008A7FF0"/>
    <w:rsid w:val="008B07EC"/>
    <w:rsid w:val="008B0B4E"/>
    <w:rsid w:val="008B149A"/>
    <w:rsid w:val="008B1565"/>
    <w:rsid w:val="008B1722"/>
    <w:rsid w:val="008B1AC9"/>
    <w:rsid w:val="008B2167"/>
    <w:rsid w:val="008B22DC"/>
    <w:rsid w:val="008B24F0"/>
    <w:rsid w:val="008B25A1"/>
    <w:rsid w:val="008B26B9"/>
    <w:rsid w:val="008B2AFA"/>
    <w:rsid w:val="008B2D22"/>
    <w:rsid w:val="008B2D6C"/>
    <w:rsid w:val="008B2F2A"/>
    <w:rsid w:val="008B3338"/>
    <w:rsid w:val="008B3984"/>
    <w:rsid w:val="008B39EF"/>
    <w:rsid w:val="008B3D3E"/>
    <w:rsid w:val="008B3E3C"/>
    <w:rsid w:val="008B3FF9"/>
    <w:rsid w:val="008B42E7"/>
    <w:rsid w:val="008B4721"/>
    <w:rsid w:val="008B4EFB"/>
    <w:rsid w:val="008B52FE"/>
    <w:rsid w:val="008B604E"/>
    <w:rsid w:val="008B64A1"/>
    <w:rsid w:val="008B6656"/>
    <w:rsid w:val="008B6A62"/>
    <w:rsid w:val="008B6C1D"/>
    <w:rsid w:val="008B6C34"/>
    <w:rsid w:val="008B7617"/>
    <w:rsid w:val="008B781D"/>
    <w:rsid w:val="008B7F5C"/>
    <w:rsid w:val="008C0469"/>
    <w:rsid w:val="008C097E"/>
    <w:rsid w:val="008C1CED"/>
    <w:rsid w:val="008C1E2C"/>
    <w:rsid w:val="008C265F"/>
    <w:rsid w:val="008C43EE"/>
    <w:rsid w:val="008C44EC"/>
    <w:rsid w:val="008C4812"/>
    <w:rsid w:val="008C489F"/>
    <w:rsid w:val="008C49EC"/>
    <w:rsid w:val="008C49ED"/>
    <w:rsid w:val="008C4D1A"/>
    <w:rsid w:val="008C531A"/>
    <w:rsid w:val="008C5EA5"/>
    <w:rsid w:val="008C5EC6"/>
    <w:rsid w:val="008C61CC"/>
    <w:rsid w:val="008C6BD4"/>
    <w:rsid w:val="008C6E60"/>
    <w:rsid w:val="008C7097"/>
    <w:rsid w:val="008C7C10"/>
    <w:rsid w:val="008C7D9F"/>
    <w:rsid w:val="008D01F3"/>
    <w:rsid w:val="008D06C7"/>
    <w:rsid w:val="008D07BD"/>
    <w:rsid w:val="008D07EB"/>
    <w:rsid w:val="008D13CF"/>
    <w:rsid w:val="008D13EA"/>
    <w:rsid w:val="008D28D8"/>
    <w:rsid w:val="008D2C79"/>
    <w:rsid w:val="008D2F92"/>
    <w:rsid w:val="008D315D"/>
    <w:rsid w:val="008D31CC"/>
    <w:rsid w:val="008D35BB"/>
    <w:rsid w:val="008D38EE"/>
    <w:rsid w:val="008D3D0E"/>
    <w:rsid w:val="008D3F9B"/>
    <w:rsid w:val="008D468C"/>
    <w:rsid w:val="008D4725"/>
    <w:rsid w:val="008D47B7"/>
    <w:rsid w:val="008D49D8"/>
    <w:rsid w:val="008D4A6C"/>
    <w:rsid w:val="008D4CFC"/>
    <w:rsid w:val="008D5665"/>
    <w:rsid w:val="008D5A86"/>
    <w:rsid w:val="008D6143"/>
    <w:rsid w:val="008D64A2"/>
    <w:rsid w:val="008D7D0F"/>
    <w:rsid w:val="008D7DC2"/>
    <w:rsid w:val="008E0B79"/>
    <w:rsid w:val="008E1153"/>
    <w:rsid w:val="008E1A3D"/>
    <w:rsid w:val="008E1CB3"/>
    <w:rsid w:val="008E278D"/>
    <w:rsid w:val="008E2F76"/>
    <w:rsid w:val="008E2F7B"/>
    <w:rsid w:val="008E33A2"/>
    <w:rsid w:val="008E3417"/>
    <w:rsid w:val="008E34EF"/>
    <w:rsid w:val="008E365C"/>
    <w:rsid w:val="008E3B18"/>
    <w:rsid w:val="008E4351"/>
    <w:rsid w:val="008E4599"/>
    <w:rsid w:val="008E4A48"/>
    <w:rsid w:val="008E4D66"/>
    <w:rsid w:val="008E55E1"/>
    <w:rsid w:val="008E5A8B"/>
    <w:rsid w:val="008E638A"/>
    <w:rsid w:val="008E6656"/>
    <w:rsid w:val="008E6662"/>
    <w:rsid w:val="008E6C8E"/>
    <w:rsid w:val="008E6FD4"/>
    <w:rsid w:val="008E729D"/>
    <w:rsid w:val="008E7B11"/>
    <w:rsid w:val="008E7C6A"/>
    <w:rsid w:val="008E7D9A"/>
    <w:rsid w:val="008F0130"/>
    <w:rsid w:val="008F0268"/>
    <w:rsid w:val="008F0327"/>
    <w:rsid w:val="008F05D8"/>
    <w:rsid w:val="008F0664"/>
    <w:rsid w:val="008F1525"/>
    <w:rsid w:val="008F2370"/>
    <w:rsid w:val="008F23F3"/>
    <w:rsid w:val="008F27A4"/>
    <w:rsid w:val="008F2A56"/>
    <w:rsid w:val="008F3161"/>
    <w:rsid w:val="008F3280"/>
    <w:rsid w:val="008F3327"/>
    <w:rsid w:val="008F3527"/>
    <w:rsid w:val="008F380A"/>
    <w:rsid w:val="008F3B16"/>
    <w:rsid w:val="008F3F9D"/>
    <w:rsid w:val="008F471C"/>
    <w:rsid w:val="008F5155"/>
    <w:rsid w:val="008F54AE"/>
    <w:rsid w:val="008F5AD5"/>
    <w:rsid w:val="008F5B66"/>
    <w:rsid w:val="008F5BF7"/>
    <w:rsid w:val="008F62EE"/>
    <w:rsid w:val="008F6A4D"/>
    <w:rsid w:val="008F7660"/>
    <w:rsid w:val="008F7A64"/>
    <w:rsid w:val="008F7C28"/>
    <w:rsid w:val="008F7E25"/>
    <w:rsid w:val="008F7FB3"/>
    <w:rsid w:val="0090047D"/>
    <w:rsid w:val="00900569"/>
    <w:rsid w:val="009007F2"/>
    <w:rsid w:val="00900840"/>
    <w:rsid w:val="00900EA1"/>
    <w:rsid w:val="00900FC8"/>
    <w:rsid w:val="00901331"/>
    <w:rsid w:val="00901A4E"/>
    <w:rsid w:val="00901EC2"/>
    <w:rsid w:val="00902BBE"/>
    <w:rsid w:val="0090418B"/>
    <w:rsid w:val="00904237"/>
    <w:rsid w:val="00904B06"/>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1D"/>
    <w:rsid w:val="00910D6D"/>
    <w:rsid w:val="009114C1"/>
    <w:rsid w:val="00911760"/>
    <w:rsid w:val="0091206B"/>
    <w:rsid w:val="00912351"/>
    <w:rsid w:val="0091239B"/>
    <w:rsid w:val="009123B9"/>
    <w:rsid w:val="00912A03"/>
    <w:rsid w:val="00912C8C"/>
    <w:rsid w:val="0091330E"/>
    <w:rsid w:val="00913F09"/>
    <w:rsid w:val="00913FDC"/>
    <w:rsid w:val="00914182"/>
    <w:rsid w:val="00914546"/>
    <w:rsid w:val="00914D42"/>
    <w:rsid w:val="009155AC"/>
    <w:rsid w:val="00915856"/>
    <w:rsid w:val="00915898"/>
    <w:rsid w:val="00915AFC"/>
    <w:rsid w:val="009175F2"/>
    <w:rsid w:val="0091791B"/>
    <w:rsid w:val="00917CA1"/>
    <w:rsid w:val="00917FE6"/>
    <w:rsid w:val="00920600"/>
    <w:rsid w:val="00920744"/>
    <w:rsid w:val="00920C92"/>
    <w:rsid w:val="0092119C"/>
    <w:rsid w:val="00921503"/>
    <w:rsid w:val="0092175F"/>
    <w:rsid w:val="00921967"/>
    <w:rsid w:val="00921BDA"/>
    <w:rsid w:val="0092257D"/>
    <w:rsid w:val="00923130"/>
    <w:rsid w:val="00923C00"/>
    <w:rsid w:val="00923D14"/>
    <w:rsid w:val="00924086"/>
    <w:rsid w:val="0092412C"/>
    <w:rsid w:val="0092420F"/>
    <w:rsid w:val="00924374"/>
    <w:rsid w:val="009243B4"/>
    <w:rsid w:val="00924542"/>
    <w:rsid w:val="0092475E"/>
    <w:rsid w:val="00924E54"/>
    <w:rsid w:val="009258A9"/>
    <w:rsid w:val="00925949"/>
    <w:rsid w:val="00925D2D"/>
    <w:rsid w:val="00930303"/>
    <w:rsid w:val="00930E1E"/>
    <w:rsid w:val="0093176D"/>
    <w:rsid w:val="0093223F"/>
    <w:rsid w:val="009328CA"/>
    <w:rsid w:val="00933970"/>
    <w:rsid w:val="00933E50"/>
    <w:rsid w:val="00933ECE"/>
    <w:rsid w:val="00934BD7"/>
    <w:rsid w:val="00934CDA"/>
    <w:rsid w:val="009356A7"/>
    <w:rsid w:val="009357D0"/>
    <w:rsid w:val="00935BDF"/>
    <w:rsid w:val="00935D2A"/>
    <w:rsid w:val="0093608D"/>
    <w:rsid w:val="00936B38"/>
    <w:rsid w:val="00936C9E"/>
    <w:rsid w:val="009379F7"/>
    <w:rsid w:val="00937C73"/>
    <w:rsid w:val="009400D7"/>
    <w:rsid w:val="0094012C"/>
    <w:rsid w:val="009405A6"/>
    <w:rsid w:val="0094074D"/>
    <w:rsid w:val="009414D2"/>
    <w:rsid w:val="009416B3"/>
    <w:rsid w:val="00941D65"/>
    <w:rsid w:val="00941E7D"/>
    <w:rsid w:val="009420C2"/>
    <w:rsid w:val="00942453"/>
    <w:rsid w:val="009427D7"/>
    <w:rsid w:val="0094286E"/>
    <w:rsid w:val="00942A9A"/>
    <w:rsid w:val="00943A34"/>
    <w:rsid w:val="00943B43"/>
    <w:rsid w:val="00943D3C"/>
    <w:rsid w:val="00943D6C"/>
    <w:rsid w:val="00944D93"/>
    <w:rsid w:val="00944E65"/>
    <w:rsid w:val="009456D3"/>
    <w:rsid w:val="00945DC3"/>
    <w:rsid w:val="009467DB"/>
    <w:rsid w:val="00946C27"/>
    <w:rsid w:val="00946F47"/>
    <w:rsid w:val="009501A4"/>
    <w:rsid w:val="0095043A"/>
    <w:rsid w:val="00950562"/>
    <w:rsid w:val="009506F2"/>
    <w:rsid w:val="0095085A"/>
    <w:rsid w:val="00950CFA"/>
    <w:rsid w:val="00950D68"/>
    <w:rsid w:val="00951304"/>
    <w:rsid w:val="00951735"/>
    <w:rsid w:val="0095211E"/>
    <w:rsid w:val="00952913"/>
    <w:rsid w:val="00953061"/>
    <w:rsid w:val="00953115"/>
    <w:rsid w:val="0095335E"/>
    <w:rsid w:val="00953AA6"/>
    <w:rsid w:val="0095443A"/>
    <w:rsid w:val="00954459"/>
    <w:rsid w:val="009546DB"/>
    <w:rsid w:val="00954793"/>
    <w:rsid w:val="00954900"/>
    <w:rsid w:val="009549A3"/>
    <w:rsid w:val="009552E5"/>
    <w:rsid w:val="00955622"/>
    <w:rsid w:val="00955ABF"/>
    <w:rsid w:val="00956472"/>
    <w:rsid w:val="0095770F"/>
    <w:rsid w:val="00957D25"/>
    <w:rsid w:val="00957E63"/>
    <w:rsid w:val="00961955"/>
    <w:rsid w:val="0096227D"/>
    <w:rsid w:val="0096305D"/>
    <w:rsid w:val="009630F5"/>
    <w:rsid w:val="00963828"/>
    <w:rsid w:val="009638DA"/>
    <w:rsid w:val="00963B68"/>
    <w:rsid w:val="009641C9"/>
    <w:rsid w:val="0096440A"/>
    <w:rsid w:val="00964B65"/>
    <w:rsid w:val="00964C9C"/>
    <w:rsid w:val="00964CF0"/>
    <w:rsid w:val="00965229"/>
    <w:rsid w:val="00966209"/>
    <w:rsid w:val="009665FA"/>
    <w:rsid w:val="009666F2"/>
    <w:rsid w:val="009667B0"/>
    <w:rsid w:val="00966F75"/>
    <w:rsid w:val="009705A2"/>
    <w:rsid w:val="00970B9E"/>
    <w:rsid w:val="00971CF2"/>
    <w:rsid w:val="00971DA1"/>
    <w:rsid w:val="00971DA9"/>
    <w:rsid w:val="00971F06"/>
    <w:rsid w:val="00972912"/>
    <w:rsid w:val="0097291F"/>
    <w:rsid w:val="00972D2D"/>
    <w:rsid w:val="00972F61"/>
    <w:rsid w:val="00973188"/>
    <w:rsid w:val="00974444"/>
    <w:rsid w:val="00974925"/>
    <w:rsid w:val="00974B36"/>
    <w:rsid w:val="00975173"/>
    <w:rsid w:val="009756E0"/>
    <w:rsid w:val="0097583A"/>
    <w:rsid w:val="00975947"/>
    <w:rsid w:val="0097614A"/>
    <w:rsid w:val="009761D4"/>
    <w:rsid w:val="00976499"/>
    <w:rsid w:val="009768C6"/>
    <w:rsid w:val="009769BD"/>
    <w:rsid w:val="00976DFB"/>
    <w:rsid w:val="00976FAC"/>
    <w:rsid w:val="00977273"/>
    <w:rsid w:val="00977BC6"/>
    <w:rsid w:val="00977CA0"/>
    <w:rsid w:val="00980D3D"/>
    <w:rsid w:val="00981A3E"/>
    <w:rsid w:val="00982684"/>
    <w:rsid w:val="009833C4"/>
    <w:rsid w:val="009837BC"/>
    <w:rsid w:val="00983817"/>
    <w:rsid w:val="0098478A"/>
    <w:rsid w:val="0098490F"/>
    <w:rsid w:val="00985AB9"/>
    <w:rsid w:val="00985E49"/>
    <w:rsid w:val="00985E5D"/>
    <w:rsid w:val="009870D1"/>
    <w:rsid w:val="00987537"/>
    <w:rsid w:val="00987A03"/>
    <w:rsid w:val="00987A34"/>
    <w:rsid w:val="00987F62"/>
    <w:rsid w:val="009908BE"/>
    <w:rsid w:val="00990D05"/>
    <w:rsid w:val="0099132A"/>
    <w:rsid w:val="0099139E"/>
    <w:rsid w:val="00991671"/>
    <w:rsid w:val="00991747"/>
    <w:rsid w:val="00991EF1"/>
    <w:rsid w:val="009920B1"/>
    <w:rsid w:val="009921E6"/>
    <w:rsid w:val="009922A3"/>
    <w:rsid w:val="009922C4"/>
    <w:rsid w:val="00993183"/>
    <w:rsid w:val="00993733"/>
    <w:rsid w:val="00993A66"/>
    <w:rsid w:val="00994772"/>
    <w:rsid w:val="00995A8B"/>
    <w:rsid w:val="00995CA6"/>
    <w:rsid w:val="00996829"/>
    <w:rsid w:val="00996BBF"/>
    <w:rsid w:val="00996BE7"/>
    <w:rsid w:val="00996C38"/>
    <w:rsid w:val="00997994"/>
    <w:rsid w:val="00997FBD"/>
    <w:rsid w:val="009A05F5"/>
    <w:rsid w:val="009A0A24"/>
    <w:rsid w:val="009A0A7C"/>
    <w:rsid w:val="009A12AE"/>
    <w:rsid w:val="009A1BEA"/>
    <w:rsid w:val="009A3B3A"/>
    <w:rsid w:val="009A408C"/>
    <w:rsid w:val="009A40B0"/>
    <w:rsid w:val="009A4434"/>
    <w:rsid w:val="009A4534"/>
    <w:rsid w:val="009A5421"/>
    <w:rsid w:val="009A5DC8"/>
    <w:rsid w:val="009A6346"/>
    <w:rsid w:val="009A6F78"/>
    <w:rsid w:val="009A7477"/>
    <w:rsid w:val="009A7FAF"/>
    <w:rsid w:val="009B1A3B"/>
    <w:rsid w:val="009B1DD0"/>
    <w:rsid w:val="009B215E"/>
    <w:rsid w:val="009B2916"/>
    <w:rsid w:val="009B294F"/>
    <w:rsid w:val="009B2C87"/>
    <w:rsid w:val="009B3155"/>
    <w:rsid w:val="009B31A1"/>
    <w:rsid w:val="009B32AB"/>
    <w:rsid w:val="009B36C7"/>
    <w:rsid w:val="009B3B58"/>
    <w:rsid w:val="009B40CD"/>
    <w:rsid w:val="009B4566"/>
    <w:rsid w:val="009B4CE0"/>
    <w:rsid w:val="009B4F76"/>
    <w:rsid w:val="009B5481"/>
    <w:rsid w:val="009B5B77"/>
    <w:rsid w:val="009B5BBF"/>
    <w:rsid w:val="009B67AB"/>
    <w:rsid w:val="009B699B"/>
    <w:rsid w:val="009B7527"/>
    <w:rsid w:val="009B7837"/>
    <w:rsid w:val="009B7B02"/>
    <w:rsid w:val="009C0150"/>
    <w:rsid w:val="009C0F45"/>
    <w:rsid w:val="009C21F3"/>
    <w:rsid w:val="009C28C2"/>
    <w:rsid w:val="009C3359"/>
    <w:rsid w:val="009C36AB"/>
    <w:rsid w:val="009C37A4"/>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61F"/>
    <w:rsid w:val="009D2AA1"/>
    <w:rsid w:val="009D2C74"/>
    <w:rsid w:val="009D2E4C"/>
    <w:rsid w:val="009D3D93"/>
    <w:rsid w:val="009D3DA0"/>
    <w:rsid w:val="009D3F2E"/>
    <w:rsid w:val="009D4E76"/>
    <w:rsid w:val="009D5529"/>
    <w:rsid w:val="009D5DAD"/>
    <w:rsid w:val="009D6153"/>
    <w:rsid w:val="009D62CD"/>
    <w:rsid w:val="009D689A"/>
    <w:rsid w:val="009D6DCA"/>
    <w:rsid w:val="009D73C3"/>
    <w:rsid w:val="009D73F1"/>
    <w:rsid w:val="009D7455"/>
    <w:rsid w:val="009D777B"/>
    <w:rsid w:val="009D7A92"/>
    <w:rsid w:val="009D7C77"/>
    <w:rsid w:val="009D7F28"/>
    <w:rsid w:val="009E0055"/>
    <w:rsid w:val="009E0888"/>
    <w:rsid w:val="009E0D5C"/>
    <w:rsid w:val="009E113B"/>
    <w:rsid w:val="009E14C9"/>
    <w:rsid w:val="009E1942"/>
    <w:rsid w:val="009E22D9"/>
    <w:rsid w:val="009E49DB"/>
    <w:rsid w:val="009E5074"/>
    <w:rsid w:val="009E51B9"/>
    <w:rsid w:val="009E52E8"/>
    <w:rsid w:val="009E5628"/>
    <w:rsid w:val="009E66D3"/>
    <w:rsid w:val="009E67C9"/>
    <w:rsid w:val="009E7BA9"/>
    <w:rsid w:val="009E7BC9"/>
    <w:rsid w:val="009F0B80"/>
    <w:rsid w:val="009F0CA8"/>
    <w:rsid w:val="009F11B4"/>
    <w:rsid w:val="009F1790"/>
    <w:rsid w:val="009F1E14"/>
    <w:rsid w:val="009F24A6"/>
    <w:rsid w:val="009F2B82"/>
    <w:rsid w:val="009F31CE"/>
    <w:rsid w:val="009F3629"/>
    <w:rsid w:val="009F368B"/>
    <w:rsid w:val="009F4530"/>
    <w:rsid w:val="009F46BD"/>
    <w:rsid w:val="009F4A3F"/>
    <w:rsid w:val="009F4A57"/>
    <w:rsid w:val="009F4AF8"/>
    <w:rsid w:val="009F4DBD"/>
    <w:rsid w:val="009F50A6"/>
    <w:rsid w:val="009F54DD"/>
    <w:rsid w:val="009F5AA7"/>
    <w:rsid w:val="009F5BAF"/>
    <w:rsid w:val="009F61D9"/>
    <w:rsid w:val="009F75EB"/>
    <w:rsid w:val="009F7750"/>
    <w:rsid w:val="009F7805"/>
    <w:rsid w:val="009F7975"/>
    <w:rsid w:val="009F7B2B"/>
    <w:rsid w:val="009F7F70"/>
    <w:rsid w:val="00A002B0"/>
    <w:rsid w:val="00A00633"/>
    <w:rsid w:val="00A0067F"/>
    <w:rsid w:val="00A006CB"/>
    <w:rsid w:val="00A010C0"/>
    <w:rsid w:val="00A01A58"/>
    <w:rsid w:val="00A01D3B"/>
    <w:rsid w:val="00A01DC7"/>
    <w:rsid w:val="00A02285"/>
    <w:rsid w:val="00A02375"/>
    <w:rsid w:val="00A0245A"/>
    <w:rsid w:val="00A03194"/>
    <w:rsid w:val="00A0321E"/>
    <w:rsid w:val="00A03433"/>
    <w:rsid w:val="00A03591"/>
    <w:rsid w:val="00A03875"/>
    <w:rsid w:val="00A039E6"/>
    <w:rsid w:val="00A03A12"/>
    <w:rsid w:val="00A03D71"/>
    <w:rsid w:val="00A03DE7"/>
    <w:rsid w:val="00A04A2F"/>
    <w:rsid w:val="00A05144"/>
    <w:rsid w:val="00A05192"/>
    <w:rsid w:val="00A05441"/>
    <w:rsid w:val="00A0596E"/>
    <w:rsid w:val="00A05A97"/>
    <w:rsid w:val="00A05CC2"/>
    <w:rsid w:val="00A05D09"/>
    <w:rsid w:val="00A064C4"/>
    <w:rsid w:val="00A06A19"/>
    <w:rsid w:val="00A071ED"/>
    <w:rsid w:val="00A073F4"/>
    <w:rsid w:val="00A0767F"/>
    <w:rsid w:val="00A07868"/>
    <w:rsid w:val="00A07A5B"/>
    <w:rsid w:val="00A07B72"/>
    <w:rsid w:val="00A10405"/>
    <w:rsid w:val="00A1089B"/>
    <w:rsid w:val="00A111E6"/>
    <w:rsid w:val="00A11478"/>
    <w:rsid w:val="00A1209C"/>
    <w:rsid w:val="00A12F04"/>
    <w:rsid w:val="00A12F88"/>
    <w:rsid w:val="00A1394A"/>
    <w:rsid w:val="00A13CD4"/>
    <w:rsid w:val="00A14814"/>
    <w:rsid w:val="00A152E1"/>
    <w:rsid w:val="00A164DB"/>
    <w:rsid w:val="00A16513"/>
    <w:rsid w:val="00A16969"/>
    <w:rsid w:val="00A16FCE"/>
    <w:rsid w:val="00A171B2"/>
    <w:rsid w:val="00A175B7"/>
    <w:rsid w:val="00A20399"/>
    <w:rsid w:val="00A203EF"/>
    <w:rsid w:val="00A204BC"/>
    <w:rsid w:val="00A208E8"/>
    <w:rsid w:val="00A20E7B"/>
    <w:rsid w:val="00A20F7C"/>
    <w:rsid w:val="00A2176F"/>
    <w:rsid w:val="00A22887"/>
    <w:rsid w:val="00A231C5"/>
    <w:rsid w:val="00A23664"/>
    <w:rsid w:val="00A243BE"/>
    <w:rsid w:val="00A24B8D"/>
    <w:rsid w:val="00A24CDE"/>
    <w:rsid w:val="00A24D2C"/>
    <w:rsid w:val="00A24E29"/>
    <w:rsid w:val="00A25512"/>
    <w:rsid w:val="00A25531"/>
    <w:rsid w:val="00A25656"/>
    <w:rsid w:val="00A25BF1"/>
    <w:rsid w:val="00A26480"/>
    <w:rsid w:val="00A269DE"/>
    <w:rsid w:val="00A269F6"/>
    <w:rsid w:val="00A26AF7"/>
    <w:rsid w:val="00A276F4"/>
    <w:rsid w:val="00A30070"/>
    <w:rsid w:val="00A30EE2"/>
    <w:rsid w:val="00A31A92"/>
    <w:rsid w:val="00A31A99"/>
    <w:rsid w:val="00A31CC3"/>
    <w:rsid w:val="00A32419"/>
    <w:rsid w:val="00A32A90"/>
    <w:rsid w:val="00A32D41"/>
    <w:rsid w:val="00A338D1"/>
    <w:rsid w:val="00A33A4A"/>
    <w:rsid w:val="00A33FAD"/>
    <w:rsid w:val="00A3412C"/>
    <w:rsid w:val="00A34A3E"/>
    <w:rsid w:val="00A35555"/>
    <w:rsid w:val="00A355E3"/>
    <w:rsid w:val="00A35A48"/>
    <w:rsid w:val="00A35BB0"/>
    <w:rsid w:val="00A35DB9"/>
    <w:rsid w:val="00A35E9B"/>
    <w:rsid w:val="00A364DB"/>
    <w:rsid w:val="00A36A11"/>
    <w:rsid w:val="00A36DAC"/>
    <w:rsid w:val="00A37329"/>
    <w:rsid w:val="00A37E06"/>
    <w:rsid w:val="00A37F89"/>
    <w:rsid w:val="00A40340"/>
    <w:rsid w:val="00A40714"/>
    <w:rsid w:val="00A407F5"/>
    <w:rsid w:val="00A40DC7"/>
    <w:rsid w:val="00A415CD"/>
    <w:rsid w:val="00A416E7"/>
    <w:rsid w:val="00A42815"/>
    <w:rsid w:val="00A42B93"/>
    <w:rsid w:val="00A43037"/>
    <w:rsid w:val="00A4305D"/>
    <w:rsid w:val="00A43830"/>
    <w:rsid w:val="00A43A9B"/>
    <w:rsid w:val="00A44096"/>
    <w:rsid w:val="00A44181"/>
    <w:rsid w:val="00A44485"/>
    <w:rsid w:val="00A44814"/>
    <w:rsid w:val="00A45327"/>
    <w:rsid w:val="00A45735"/>
    <w:rsid w:val="00A4575C"/>
    <w:rsid w:val="00A45912"/>
    <w:rsid w:val="00A462AB"/>
    <w:rsid w:val="00A463A5"/>
    <w:rsid w:val="00A46EFC"/>
    <w:rsid w:val="00A46F50"/>
    <w:rsid w:val="00A4730B"/>
    <w:rsid w:val="00A4735A"/>
    <w:rsid w:val="00A47445"/>
    <w:rsid w:val="00A47B92"/>
    <w:rsid w:val="00A47BBA"/>
    <w:rsid w:val="00A47BE6"/>
    <w:rsid w:val="00A505F5"/>
    <w:rsid w:val="00A50A89"/>
    <w:rsid w:val="00A51345"/>
    <w:rsid w:val="00A526B6"/>
    <w:rsid w:val="00A52B70"/>
    <w:rsid w:val="00A52B92"/>
    <w:rsid w:val="00A53356"/>
    <w:rsid w:val="00A53676"/>
    <w:rsid w:val="00A53BA2"/>
    <w:rsid w:val="00A53F55"/>
    <w:rsid w:val="00A543BE"/>
    <w:rsid w:val="00A54811"/>
    <w:rsid w:val="00A5533F"/>
    <w:rsid w:val="00A5570F"/>
    <w:rsid w:val="00A55C30"/>
    <w:rsid w:val="00A55C6D"/>
    <w:rsid w:val="00A56178"/>
    <w:rsid w:val="00A56449"/>
    <w:rsid w:val="00A56784"/>
    <w:rsid w:val="00A574EA"/>
    <w:rsid w:val="00A6022D"/>
    <w:rsid w:val="00A60381"/>
    <w:rsid w:val="00A61F81"/>
    <w:rsid w:val="00A6241B"/>
    <w:rsid w:val="00A628BB"/>
    <w:rsid w:val="00A63619"/>
    <w:rsid w:val="00A639D0"/>
    <w:rsid w:val="00A6455F"/>
    <w:rsid w:val="00A64644"/>
    <w:rsid w:val="00A64711"/>
    <w:rsid w:val="00A64A8A"/>
    <w:rsid w:val="00A64C59"/>
    <w:rsid w:val="00A650E1"/>
    <w:rsid w:val="00A65400"/>
    <w:rsid w:val="00A65D3D"/>
    <w:rsid w:val="00A6603C"/>
    <w:rsid w:val="00A660A6"/>
    <w:rsid w:val="00A660D6"/>
    <w:rsid w:val="00A66528"/>
    <w:rsid w:val="00A66875"/>
    <w:rsid w:val="00A668C7"/>
    <w:rsid w:val="00A67257"/>
    <w:rsid w:val="00A67747"/>
    <w:rsid w:val="00A677DE"/>
    <w:rsid w:val="00A67B3E"/>
    <w:rsid w:val="00A67E5B"/>
    <w:rsid w:val="00A67F0D"/>
    <w:rsid w:val="00A703A1"/>
    <w:rsid w:val="00A715C5"/>
    <w:rsid w:val="00A71C5E"/>
    <w:rsid w:val="00A71C75"/>
    <w:rsid w:val="00A72065"/>
    <w:rsid w:val="00A72F6B"/>
    <w:rsid w:val="00A73AEF"/>
    <w:rsid w:val="00A73C13"/>
    <w:rsid w:val="00A7423C"/>
    <w:rsid w:val="00A742D5"/>
    <w:rsid w:val="00A74AD9"/>
    <w:rsid w:val="00A7532B"/>
    <w:rsid w:val="00A75A02"/>
    <w:rsid w:val="00A75A98"/>
    <w:rsid w:val="00A75BEC"/>
    <w:rsid w:val="00A75ED5"/>
    <w:rsid w:val="00A761AD"/>
    <w:rsid w:val="00A7631D"/>
    <w:rsid w:val="00A76D67"/>
    <w:rsid w:val="00A77B5A"/>
    <w:rsid w:val="00A77C0D"/>
    <w:rsid w:val="00A77C20"/>
    <w:rsid w:val="00A803F7"/>
    <w:rsid w:val="00A805E4"/>
    <w:rsid w:val="00A806F6"/>
    <w:rsid w:val="00A80C7A"/>
    <w:rsid w:val="00A80E4F"/>
    <w:rsid w:val="00A80F00"/>
    <w:rsid w:val="00A80F5B"/>
    <w:rsid w:val="00A81D54"/>
    <w:rsid w:val="00A8253C"/>
    <w:rsid w:val="00A82C96"/>
    <w:rsid w:val="00A82EF6"/>
    <w:rsid w:val="00A82FF5"/>
    <w:rsid w:val="00A83696"/>
    <w:rsid w:val="00A83C18"/>
    <w:rsid w:val="00A83DCA"/>
    <w:rsid w:val="00A84187"/>
    <w:rsid w:val="00A841E2"/>
    <w:rsid w:val="00A84A2A"/>
    <w:rsid w:val="00A85432"/>
    <w:rsid w:val="00A85641"/>
    <w:rsid w:val="00A85FAF"/>
    <w:rsid w:val="00A90679"/>
    <w:rsid w:val="00A90951"/>
    <w:rsid w:val="00A90B19"/>
    <w:rsid w:val="00A90E8A"/>
    <w:rsid w:val="00A91285"/>
    <w:rsid w:val="00A91479"/>
    <w:rsid w:val="00A922D3"/>
    <w:rsid w:val="00A926F9"/>
    <w:rsid w:val="00A92A03"/>
    <w:rsid w:val="00A92DC2"/>
    <w:rsid w:val="00A94429"/>
    <w:rsid w:val="00A944E3"/>
    <w:rsid w:val="00A94545"/>
    <w:rsid w:val="00A9550C"/>
    <w:rsid w:val="00A95519"/>
    <w:rsid w:val="00A9629E"/>
    <w:rsid w:val="00A966B0"/>
    <w:rsid w:val="00A96CF5"/>
    <w:rsid w:val="00AA07E7"/>
    <w:rsid w:val="00AA0B8E"/>
    <w:rsid w:val="00AA1227"/>
    <w:rsid w:val="00AA13C8"/>
    <w:rsid w:val="00AA1A13"/>
    <w:rsid w:val="00AA27D7"/>
    <w:rsid w:val="00AA356D"/>
    <w:rsid w:val="00AA374D"/>
    <w:rsid w:val="00AA3FDC"/>
    <w:rsid w:val="00AA4372"/>
    <w:rsid w:val="00AA44FF"/>
    <w:rsid w:val="00AA4B21"/>
    <w:rsid w:val="00AA6040"/>
    <w:rsid w:val="00AA65A5"/>
    <w:rsid w:val="00AA7B7E"/>
    <w:rsid w:val="00AA7C4D"/>
    <w:rsid w:val="00AB07D4"/>
    <w:rsid w:val="00AB0A3F"/>
    <w:rsid w:val="00AB0FEE"/>
    <w:rsid w:val="00AB175D"/>
    <w:rsid w:val="00AB1D8E"/>
    <w:rsid w:val="00AB1F4E"/>
    <w:rsid w:val="00AB3385"/>
    <w:rsid w:val="00AB39C5"/>
    <w:rsid w:val="00AB3BFA"/>
    <w:rsid w:val="00AB3DC4"/>
    <w:rsid w:val="00AB3DEB"/>
    <w:rsid w:val="00AB44D3"/>
    <w:rsid w:val="00AB4650"/>
    <w:rsid w:val="00AB4711"/>
    <w:rsid w:val="00AB475C"/>
    <w:rsid w:val="00AB4CAB"/>
    <w:rsid w:val="00AB5099"/>
    <w:rsid w:val="00AB50E7"/>
    <w:rsid w:val="00AB567C"/>
    <w:rsid w:val="00AB5ACC"/>
    <w:rsid w:val="00AB5C83"/>
    <w:rsid w:val="00AB5F1F"/>
    <w:rsid w:val="00AB61AB"/>
    <w:rsid w:val="00AB6343"/>
    <w:rsid w:val="00AB6485"/>
    <w:rsid w:val="00AB6647"/>
    <w:rsid w:val="00AB6854"/>
    <w:rsid w:val="00AB710E"/>
    <w:rsid w:val="00AB71F1"/>
    <w:rsid w:val="00AB7A66"/>
    <w:rsid w:val="00AB7A84"/>
    <w:rsid w:val="00AB7B3C"/>
    <w:rsid w:val="00AB7E27"/>
    <w:rsid w:val="00AC0BAA"/>
    <w:rsid w:val="00AC119A"/>
    <w:rsid w:val="00AC121E"/>
    <w:rsid w:val="00AC144B"/>
    <w:rsid w:val="00AC194B"/>
    <w:rsid w:val="00AC2008"/>
    <w:rsid w:val="00AC213C"/>
    <w:rsid w:val="00AC2238"/>
    <w:rsid w:val="00AC2801"/>
    <w:rsid w:val="00AC3567"/>
    <w:rsid w:val="00AC36E6"/>
    <w:rsid w:val="00AC42F0"/>
    <w:rsid w:val="00AC43AE"/>
    <w:rsid w:val="00AC44F2"/>
    <w:rsid w:val="00AC56A1"/>
    <w:rsid w:val="00AC5F24"/>
    <w:rsid w:val="00AC6496"/>
    <w:rsid w:val="00AC6703"/>
    <w:rsid w:val="00AC72DF"/>
    <w:rsid w:val="00AC757C"/>
    <w:rsid w:val="00AC75E1"/>
    <w:rsid w:val="00AD0085"/>
    <w:rsid w:val="00AD0686"/>
    <w:rsid w:val="00AD0812"/>
    <w:rsid w:val="00AD0865"/>
    <w:rsid w:val="00AD0C31"/>
    <w:rsid w:val="00AD0DB8"/>
    <w:rsid w:val="00AD0EB5"/>
    <w:rsid w:val="00AD2074"/>
    <w:rsid w:val="00AD3739"/>
    <w:rsid w:val="00AD3BA4"/>
    <w:rsid w:val="00AD3C60"/>
    <w:rsid w:val="00AD3EBC"/>
    <w:rsid w:val="00AD3F80"/>
    <w:rsid w:val="00AD461E"/>
    <w:rsid w:val="00AD4F4F"/>
    <w:rsid w:val="00AD4FFA"/>
    <w:rsid w:val="00AD53BB"/>
    <w:rsid w:val="00AD5817"/>
    <w:rsid w:val="00AD625A"/>
    <w:rsid w:val="00AD6281"/>
    <w:rsid w:val="00AD6808"/>
    <w:rsid w:val="00AD73F2"/>
    <w:rsid w:val="00AD7676"/>
    <w:rsid w:val="00AD76B2"/>
    <w:rsid w:val="00AD7C78"/>
    <w:rsid w:val="00AE089E"/>
    <w:rsid w:val="00AE0CDE"/>
    <w:rsid w:val="00AE0D1B"/>
    <w:rsid w:val="00AE1199"/>
    <w:rsid w:val="00AE119D"/>
    <w:rsid w:val="00AE1DA8"/>
    <w:rsid w:val="00AE237C"/>
    <w:rsid w:val="00AE2580"/>
    <w:rsid w:val="00AE296D"/>
    <w:rsid w:val="00AE2FD4"/>
    <w:rsid w:val="00AE304E"/>
    <w:rsid w:val="00AE3AFE"/>
    <w:rsid w:val="00AE3EE2"/>
    <w:rsid w:val="00AE4EB6"/>
    <w:rsid w:val="00AE5894"/>
    <w:rsid w:val="00AE60E6"/>
    <w:rsid w:val="00AE67A8"/>
    <w:rsid w:val="00AE6823"/>
    <w:rsid w:val="00AE6ABD"/>
    <w:rsid w:val="00AE7977"/>
    <w:rsid w:val="00AE7B99"/>
    <w:rsid w:val="00AF03F2"/>
    <w:rsid w:val="00AF0448"/>
    <w:rsid w:val="00AF04AA"/>
    <w:rsid w:val="00AF059D"/>
    <w:rsid w:val="00AF0AFE"/>
    <w:rsid w:val="00AF165A"/>
    <w:rsid w:val="00AF1795"/>
    <w:rsid w:val="00AF181A"/>
    <w:rsid w:val="00AF1915"/>
    <w:rsid w:val="00AF1ECB"/>
    <w:rsid w:val="00AF25FB"/>
    <w:rsid w:val="00AF2ABB"/>
    <w:rsid w:val="00AF2AD0"/>
    <w:rsid w:val="00AF32EF"/>
    <w:rsid w:val="00AF374C"/>
    <w:rsid w:val="00AF393A"/>
    <w:rsid w:val="00AF3E8A"/>
    <w:rsid w:val="00AF3EE1"/>
    <w:rsid w:val="00AF44EB"/>
    <w:rsid w:val="00AF4792"/>
    <w:rsid w:val="00AF49CE"/>
    <w:rsid w:val="00AF4D36"/>
    <w:rsid w:val="00AF5FEA"/>
    <w:rsid w:val="00AF61EA"/>
    <w:rsid w:val="00AF626B"/>
    <w:rsid w:val="00AF6274"/>
    <w:rsid w:val="00AF6770"/>
    <w:rsid w:val="00AF69E2"/>
    <w:rsid w:val="00AF6C25"/>
    <w:rsid w:val="00AF71CB"/>
    <w:rsid w:val="00AF72E7"/>
    <w:rsid w:val="00AF7B82"/>
    <w:rsid w:val="00AF7E1D"/>
    <w:rsid w:val="00AF7EC5"/>
    <w:rsid w:val="00B00828"/>
    <w:rsid w:val="00B008DA"/>
    <w:rsid w:val="00B009A6"/>
    <w:rsid w:val="00B00B90"/>
    <w:rsid w:val="00B01077"/>
    <w:rsid w:val="00B0130D"/>
    <w:rsid w:val="00B01A2F"/>
    <w:rsid w:val="00B01F8F"/>
    <w:rsid w:val="00B04104"/>
    <w:rsid w:val="00B04A38"/>
    <w:rsid w:val="00B04CEC"/>
    <w:rsid w:val="00B04DB1"/>
    <w:rsid w:val="00B051AC"/>
    <w:rsid w:val="00B05772"/>
    <w:rsid w:val="00B058E3"/>
    <w:rsid w:val="00B05FA7"/>
    <w:rsid w:val="00B0661E"/>
    <w:rsid w:val="00B068F2"/>
    <w:rsid w:val="00B06E82"/>
    <w:rsid w:val="00B07152"/>
    <w:rsid w:val="00B07364"/>
    <w:rsid w:val="00B07478"/>
    <w:rsid w:val="00B075E9"/>
    <w:rsid w:val="00B078C7"/>
    <w:rsid w:val="00B07908"/>
    <w:rsid w:val="00B10395"/>
    <w:rsid w:val="00B105B5"/>
    <w:rsid w:val="00B10FC7"/>
    <w:rsid w:val="00B1169D"/>
    <w:rsid w:val="00B119BA"/>
    <w:rsid w:val="00B11D33"/>
    <w:rsid w:val="00B11E2A"/>
    <w:rsid w:val="00B1392C"/>
    <w:rsid w:val="00B13AFB"/>
    <w:rsid w:val="00B1407C"/>
    <w:rsid w:val="00B1437E"/>
    <w:rsid w:val="00B1637C"/>
    <w:rsid w:val="00B1649D"/>
    <w:rsid w:val="00B169FC"/>
    <w:rsid w:val="00B16AA2"/>
    <w:rsid w:val="00B1731A"/>
    <w:rsid w:val="00B1747B"/>
    <w:rsid w:val="00B17D24"/>
    <w:rsid w:val="00B17F46"/>
    <w:rsid w:val="00B202E0"/>
    <w:rsid w:val="00B2066D"/>
    <w:rsid w:val="00B20CAF"/>
    <w:rsid w:val="00B217F3"/>
    <w:rsid w:val="00B21995"/>
    <w:rsid w:val="00B2242F"/>
    <w:rsid w:val="00B22598"/>
    <w:rsid w:val="00B234D7"/>
    <w:rsid w:val="00B23657"/>
    <w:rsid w:val="00B23C82"/>
    <w:rsid w:val="00B23DA0"/>
    <w:rsid w:val="00B24009"/>
    <w:rsid w:val="00B2424C"/>
    <w:rsid w:val="00B247AF"/>
    <w:rsid w:val="00B24C21"/>
    <w:rsid w:val="00B24DA7"/>
    <w:rsid w:val="00B2514D"/>
    <w:rsid w:val="00B25207"/>
    <w:rsid w:val="00B2536E"/>
    <w:rsid w:val="00B256E6"/>
    <w:rsid w:val="00B2576D"/>
    <w:rsid w:val="00B25806"/>
    <w:rsid w:val="00B25892"/>
    <w:rsid w:val="00B26D13"/>
    <w:rsid w:val="00B277AD"/>
    <w:rsid w:val="00B27A48"/>
    <w:rsid w:val="00B27A70"/>
    <w:rsid w:val="00B27F78"/>
    <w:rsid w:val="00B27FC6"/>
    <w:rsid w:val="00B30708"/>
    <w:rsid w:val="00B30C83"/>
    <w:rsid w:val="00B30CFE"/>
    <w:rsid w:val="00B314B2"/>
    <w:rsid w:val="00B3209C"/>
    <w:rsid w:val="00B32102"/>
    <w:rsid w:val="00B3218E"/>
    <w:rsid w:val="00B3224A"/>
    <w:rsid w:val="00B32DE7"/>
    <w:rsid w:val="00B33EC6"/>
    <w:rsid w:val="00B33F83"/>
    <w:rsid w:val="00B340F5"/>
    <w:rsid w:val="00B35034"/>
    <w:rsid w:val="00B35492"/>
    <w:rsid w:val="00B35C21"/>
    <w:rsid w:val="00B35CE8"/>
    <w:rsid w:val="00B36139"/>
    <w:rsid w:val="00B364D3"/>
    <w:rsid w:val="00B368D3"/>
    <w:rsid w:val="00B36982"/>
    <w:rsid w:val="00B376C0"/>
    <w:rsid w:val="00B377B6"/>
    <w:rsid w:val="00B3792B"/>
    <w:rsid w:val="00B37D51"/>
    <w:rsid w:val="00B37EAF"/>
    <w:rsid w:val="00B402EF"/>
    <w:rsid w:val="00B40383"/>
    <w:rsid w:val="00B4093F"/>
    <w:rsid w:val="00B40CFA"/>
    <w:rsid w:val="00B41386"/>
    <w:rsid w:val="00B41403"/>
    <w:rsid w:val="00B422CA"/>
    <w:rsid w:val="00B42C5F"/>
    <w:rsid w:val="00B42F80"/>
    <w:rsid w:val="00B43375"/>
    <w:rsid w:val="00B4351D"/>
    <w:rsid w:val="00B43D8A"/>
    <w:rsid w:val="00B43DC6"/>
    <w:rsid w:val="00B44260"/>
    <w:rsid w:val="00B4472A"/>
    <w:rsid w:val="00B44F89"/>
    <w:rsid w:val="00B450D4"/>
    <w:rsid w:val="00B4512B"/>
    <w:rsid w:val="00B4594C"/>
    <w:rsid w:val="00B45EDC"/>
    <w:rsid w:val="00B46055"/>
    <w:rsid w:val="00B46514"/>
    <w:rsid w:val="00B466FA"/>
    <w:rsid w:val="00B46A80"/>
    <w:rsid w:val="00B46F4C"/>
    <w:rsid w:val="00B47798"/>
    <w:rsid w:val="00B47849"/>
    <w:rsid w:val="00B50737"/>
    <w:rsid w:val="00B50921"/>
    <w:rsid w:val="00B50BB2"/>
    <w:rsid w:val="00B50D33"/>
    <w:rsid w:val="00B50F67"/>
    <w:rsid w:val="00B51983"/>
    <w:rsid w:val="00B51C13"/>
    <w:rsid w:val="00B51E58"/>
    <w:rsid w:val="00B52257"/>
    <w:rsid w:val="00B52750"/>
    <w:rsid w:val="00B53429"/>
    <w:rsid w:val="00B539C3"/>
    <w:rsid w:val="00B53A56"/>
    <w:rsid w:val="00B53BE6"/>
    <w:rsid w:val="00B53E0A"/>
    <w:rsid w:val="00B5407A"/>
    <w:rsid w:val="00B5414A"/>
    <w:rsid w:val="00B54859"/>
    <w:rsid w:val="00B54A6B"/>
    <w:rsid w:val="00B54D8C"/>
    <w:rsid w:val="00B550CA"/>
    <w:rsid w:val="00B553CF"/>
    <w:rsid w:val="00B55726"/>
    <w:rsid w:val="00B56B8C"/>
    <w:rsid w:val="00B56D0A"/>
    <w:rsid w:val="00B57243"/>
    <w:rsid w:val="00B60410"/>
    <w:rsid w:val="00B6054F"/>
    <w:rsid w:val="00B608A6"/>
    <w:rsid w:val="00B60C93"/>
    <w:rsid w:val="00B611E9"/>
    <w:rsid w:val="00B6131A"/>
    <w:rsid w:val="00B620A0"/>
    <w:rsid w:val="00B621C2"/>
    <w:rsid w:val="00B621CC"/>
    <w:rsid w:val="00B625DF"/>
    <w:rsid w:val="00B62923"/>
    <w:rsid w:val="00B62E44"/>
    <w:rsid w:val="00B63186"/>
    <w:rsid w:val="00B63326"/>
    <w:rsid w:val="00B6386C"/>
    <w:rsid w:val="00B63B6C"/>
    <w:rsid w:val="00B63C20"/>
    <w:rsid w:val="00B64021"/>
    <w:rsid w:val="00B64120"/>
    <w:rsid w:val="00B6433D"/>
    <w:rsid w:val="00B64525"/>
    <w:rsid w:val="00B6463F"/>
    <w:rsid w:val="00B646AD"/>
    <w:rsid w:val="00B64A91"/>
    <w:rsid w:val="00B650D1"/>
    <w:rsid w:val="00B65B8D"/>
    <w:rsid w:val="00B65E9C"/>
    <w:rsid w:val="00B6618D"/>
    <w:rsid w:val="00B662B3"/>
    <w:rsid w:val="00B66D4E"/>
    <w:rsid w:val="00B674AC"/>
    <w:rsid w:val="00B6756E"/>
    <w:rsid w:val="00B67E7D"/>
    <w:rsid w:val="00B70535"/>
    <w:rsid w:val="00B70AE9"/>
    <w:rsid w:val="00B70D7A"/>
    <w:rsid w:val="00B71264"/>
    <w:rsid w:val="00B71E06"/>
    <w:rsid w:val="00B71E28"/>
    <w:rsid w:val="00B72366"/>
    <w:rsid w:val="00B726BA"/>
    <w:rsid w:val="00B72BB0"/>
    <w:rsid w:val="00B73954"/>
    <w:rsid w:val="00B73B98"/>
    <w:rsid w:val="00B73DC0"/>
    <w:rsid w:val="00B73DD7"/>
    <w:rsid w:val="00B748F3"/>
    <w:rsid w:val="00B749FB"/>
    <w:rsid w:val="00B74DCC"/>
    <w:rsid w:val="00B751CA"/>
    <w:rsid w:val="00B75245"/>
    <w:rsid w:val="00B75554"/>
    <w:rsid w:val="00B759ED"/>
    <w:rsid w:val="00B760B0"/>
    <w:rsid w:val="00B7687E"/>
    <w:rsid w:val="00B7688B"/>
    <w:rsid w:val="00B76C5E"/>
    <w:rsid w:val="00B779D8"/>
    <w:rsid w:val="00B77A15"/>
    <w:rsid w:val="00B77F59"/>
    <w:rsid w:val="00B80FE8"/>
    <w:rsid w:val="00B8154C"/>
    <w:rsid w:val="00B82841"/>
    <w:rsid w:val="00B82952"/>
    <w:rsid w:val="00B8384B"/>
    <w:rsid w:val="00B8403E"/>
    <w:rsid w:val="00B843EF"/>
    <w:rsid w:val="00B84780"/>
    <w:rsid w:val="00B84C3A"/>
    <w:rsid w:val="00B84D66"/>
    <w:rsid w:val="00B84D7E"/>
    <w:rsid w:val="00B85A1C"/>
    <w:rsid w:val="00B85BEF"/>
    <w:rsid w:val="00B86C6F"/>
    <w:rsid w:val="00B870D4"/>
    <w:rsid w:val="00B87410"/>
    <w:rsid w:val="00B87813"/>
    <w:rsid w:val="00B87A43"/>
    <w:rsid w:val="00B902ED"/>
    <w:rsid w:val="00B9089B"/>
    <w:rsid w:val="00B90BDC"/>
    <w:rsid w:val="00B91A60"/>
    <w:rsid w:val="00B91C9A"/>
    <w:rsid w:val="00B92009"/>
    <w:rsid w:val="00B9344A"/>
    <w:rsid w:val="00B93F23"/>
    <w:rsid w:val="00B940E3"/>
    <w:rsid w:val="00B95008"/>
    <w:rsid w:val="00B95157"/>
    <w:rsid w:val="00B95278"/>
    <w:rsid w:val="00B95744"/>
    <w:rsid w:val="00B957A0"/>
    <w:rsid w:val="00B95A36"/>
    <w:rsid w:val="00B95EF5"/>
    <w:rsid w:val="00B9622E"/>
    <w:rsid w:val="00B9684E"/>
    <w:rsid w:val="00B96B02"/>
    <w:rsid w:val="00B96B16"/>
    <w:rsid w:val="00B96F5E"/>
    <w:rsid w:val="00B97136"/>
    <w:rsid w:val="00B97F9D"/>
    <w:rsid w:val="00BA089D"/>
    <w:rsid w:val="00BA0977"/>
    <w:rsid w:val="00BA0D59"/>
    <w:rsid w:val="00BA0E11"/>
    <w:rsid w:val="00BA144C"/>
    <w:rsid w:val="00BA148E"/>
    <w:rsid w:val="00BA19D1"/>
    <w:rsid w:val="00BA2953"/>
    <w:rsid w:val="00BA30B4"/>
    <w:rsid w:val="00BA32BA"/>
    <w:rsid w:val="00BA3605"/>
    <w:rsid w:val="00BA3EAE"/>
    <w:rsid w:val="00BA4B59"/>
    <w:rsid w:val="00BA4EDD"/>
    <w:rsid w:val="00BA524E"/>
    <w:rsid w:val="00BA5651"/>
    <w:rsid w:val="00BA68E6"/>
    <w:rsid w:val="00BA706C"/>
    <w:rsid w:val="00BA7958"/>
    <w:rsid w:val="00BA7E97"/>
    <w:rsid w:val="00BB01AD"/>
    <w:rsid w:val="00BB02F3"/>
    <w:rsid w:val="00BB0899"/>
    <w:rsid w:val="00BB0DF5"/>
    <w:rsid w:val="00BB0E0C"/>
    <w:rsid w:val="00BB0F7C"/>
    <w:rsid w:val="00BB10F2"/>
    <w:rsid w:val="00BB1210"/>
    <w:rsid w:val="00BB1381"/>
    <w:rsid w:val="00BB2117"/>
    <w:rsid w:val="00BB2335"/>
    <w:rsid w:val="00BB266E"/>
    <w:rsid w:val="00BB2700"/>
    <w:rsid w:val="00BB292C"/>
    <w:rsid w:val="00BB2AD5"/>
    <w:rsid w:val="00BB30B7"/>
    <w:rsid w:val="00BB31D3"/>
    <w:rsid w:val="00BB3514"/>
    <w:rsid w:val="00BB38DB"/>
    <w:rsid w:val="00BB3B17"/>
    <w:rsid w:val="00BB3E24"/>
    <w:rsid w:val="00BB40BB"/>
    <w:rsid w:val="00BB40C5"/>
    <w:rsid w:val="00BB4614"/>
    <w:rsid w:val="00BB4C22"/>
    <w:rsid w:val="00BB4E99"/>
    <w:rsid w:val="00BB4EEA"/>
    <w:rsid w:val="00BB4F28"/>
    <w:rsid w:val="00BB5A2A"/>
    <w:rsid w:val="00BB5D9E"/>
    <w:rsid w:val="00BB68D5"/>
    <w:rsid w:val="00BB6B1D"/>
    <w:rsid w:val="00BB6F68"/>
    <w:rsid w:val="00BC0332"/>
    <w:rsid w:val="00BC066F"/>
    <w:rsid w:val="00BC0B28"/>
    <w:rsid w:val="00BC1107"/>
    <w:rsid w:val="00BC211C"/>
    <w:rsid w:val="00BC229C"/>
    <w:rsid w:val="00BC2658"/>
    <w:rsid w:val="00BC287A"/>
    <w:rsid w:val="00BC30BF"/>
    <w:rsid w:val="00BC337F"/>
    <w:rsid w:val="00BC34E6"/>
    <w:rsid w:val="00BC3781"/>
    <w:rsid w:val="00BC3B5D"/>
    <w:rsid w:val="00BC3C38"/>
    <w:rsid w:val="00BC4090"/>
    <w:rsid w:val="00BC4238"/>
    <w:rsid w:val="00BC516F"/>
    <w:rsid w:val="00BC51D8"/>
    <w:rsid w:val="00BC5384"/>
    <w:rsid w:val="00BC59FF"/>
    <w:rsid w:val="00BC62E0"/>
    <w:rsid w:val="00BC6351"/>
    <w:rsid w:val="00BC7180"/>
    <w:rsid w:val="00BC753C"/>
    <w:rsid w:val="00BC7A47"/>
    <w:rsid w:val="00BC7AEA"/>
    <w:rsid w:val="00BD006F"/>
    <w:rsid w:val="00BD03D4"/>
    <w:rsid w:val="00BD1506"/>
    <w:rsid w:val="00BD1EDD"/>
    <w:rsid w:val="00BD1EE4"/>
    <w:rsid w:val="00BD219F"/>
    <w:rsid w:val="00BD24AA"/>
    <w:rsid w:val="00BD2A9F"/>
    <w:rsid w:val="00BD2F32"/>
    <w:rsid w:val="00BD2FE4"/>
    <w:rsid w:val="00BD321B"/>
    <w:rsid w:val="00BD34BB"/>
    <w:rsid w:val="00BD391A"/>
    <w:rsid w:val="00BD3A38"/>
    <w:rsid w:val="00BD41B3"/>
    <w:rsid w:val="00BD41F2"/>
    <w:rsid w:val="00BD44BC"/>
    <w:rsid w:val="00BD48A4"/>
    <w:rsid w:val="00BD512E"/>
    <w:rsid w:val="00BD513B"/>
    <w:rsid w:val="00BD5D00"/>
    <w:rsid w:val="00BD6639"/>
    <w:rsid w:val="00BD681F"/>
    <w:rsid w:val="00BD6833"/>
    <w:rsid w:val="00BD6FA9"/>
    <w:rsid w:val="00BD70F4"/>
    <w:rsid w:val="00BD78E2"/>
    <w:rsid w:val="00BD7AC4"/>
    <w:rsid w:val="00BD7CCA"/>
    <w:rsid w:val="00BE0535"/>
    <w:rsid w:val="00BE074D"/>
    <w:rsid w:val="00BE077A"/>
    <w:rsid w:val="00BE1397"/>
    <w:rsid w:val="00BE16FE"/>
    <w:rsid w:val="00BE18ED"/>
    <w:rsid w:val="00BE1F0E"/>
    <w:rsid w:val="00BE1F89"/>
    <w:rsid w:val="00BE25CB"/>
    <w:rsid w:val="00BE34F7"/>
    <w:rsid w:val="00BE37D3"/>
    <w:rsid w:val="00BE3D77"/>
    <w:rsid w:val="00BE3E7D"/>
    <w:rsid w:val="00BE3FEB"/>
    <w:rsid w:val="00BE4B02"/>
    <w:rsid w:val="00BE4C5D"/>
    <w:rsid w:val="00BE4E69"/>
    <w:rsid w:val="00BE506F"/>
    <w:rsid w:val="00BE53A3"/>
    <w:rsid w:val="00BE560D"/>
    <w:rsid w:val="00BE59B0"/>
    <w:rsid w:val="00BE5B56"/>
    <w:rsid w:val="00BE5EB2"/>
    <w:rsid w:val="00BE7318"/>
    <w:rsid w:val="00BE75F6"/>
    <w:rsid w:val="00BE7A8C"/>
    <w:rsid w:val="00BE7B1E"/>
    <w:rsid w:val="00BE7CEA"/>
    <w:rsid w:val="00BF0138"/>
    <w:rsid w:val="00BF06AC"/>
    <w:rsid w:val="00BF0A49"/>
    <w:rsid w:val="00BF0DA3"/>
    <w:rsid w:val="00BF0DE7"/>
    <w:rsid w:val="00BF14B0"/>
    <w:rsid w:val="00BF14D7"/>
    <w:rsid w:val="00BF150D"/>
    <w:rsid w:val="00BF1A74"/>
    <w:rsid w:val="00BF1DCB"/>
    <w:rsid w:val="00BF27D3"/>
    <w:rsid w:val="00BF3049"/>
    <w:rsid w:val="00BF3386"/>
    <w:rsid w:val="00BF3479"/>
    <w:rsid w:val="00BF3630"/>
    <w:rsid w:val="00BF410D"/>
    <w:rsid w:val="00BF4402"/>
    <w:rsid w:val="00BF4687"/>
    <w:rsid w:val="00BF5881"/>
    <w:rsid w:val="00BF5D8B"/>
    <w:rsid w:val="00BF6178"/>
    <w:rsid w:val="00BF6348"/>
    <w:rsid w:val="00BF6480"/>
    <w:rsid w:val="00BF6641"/>
    <w:rsid w:val="00BF6AB1"/>
    <w:rsid w:val="00BF6E88"/>
    <w:rsid w:val="00BF6EA6"/>
    <w:rsid w:val="00BF7102"/>
    <w:rsid w:val="00BF760C"/>
    <w:rsid w:val="00BF7E1E"/>
    <w:rsid w:val="00BF7FF9"/>
    <w:rsid w:val="00C0240A"/>
    <w:rsid w:val="00C02B63"/>
    <w:rsid w:val="00C03188"/>
    <w:rsid w:val="00C031C8"/>
    <w:rsid w:val="00C0322B"/>
    <w:rsid w:val="00C0399A"/>
    <w:rsid w:val="00C039B7"/>
    <w:rsid w:val="00C03CFA"/>
    <w:rsid w:val="00C046B3"/>
    <w:rsid w:val="00C0488A"/>
    <w:rsid w:val="00C0491A"/>
    <w:rsid w:val="00C04F5E"/>
    <w:rsid w:val="00C04FA5"/>
    <w:rsid w:val="00C0534C"/>
    <w:rsid w:val="00C05FD0"/>
    <w:rsid w:val="00C06353"/>
    <w:rsid w:val="00C06CAF"/>
    <w:rsid w:val="00C07125"/>
    <w:rsid w:val="00C07A69"/>
    <w:rsid w:val="00C07DDD"/>
    <w:rsid w:val="00C10198"/>
    <w:rsid w:val="00C10728"/>
    <w:rsid w:val="00C10A9B"/>
    <w:rsid w:val="00C11630"/>
    <w:rsid w:val="00C11774"/>
    <w:rsid w:val="00C1180A"/>
    <w:rsid w:val="00C11D23"/>
    <w:rsid w:val="00C12096"/>
    <w:rsid w:val="00C121BB"/>
    <w:rsid w:val="00C1235A"/>
    <w:rsid w:val="00C1259A"/>
    <w:rsid w:val="00C1261A"/>
    <w:rsid w:val="00C12A15"/>
    <w:rsid w:val="00C131F6"/>
    <w:rsid w:val="00C1388F"/>
    <w:rsid w:val="00C13956"/>
    <w:rsid w:val="00C14036"/>
    <w:rsid w:val="00C1463C"/>
    <w:rsid w:val="00C150BE"/>
    <w:rsid w:val="00C15310"/>
    <w:rsid w:val="00C15AF6"/>
    <w:rsid w:val="00C15BC1"/>
    <w:rsid w:val="00C168A7"/>
    <w:rsid w:val="00C16D39"/>
    <w:rsid w:val="00C1771F"/>
    <w:rsid w:val="00C17F41"/>
    <w:rsid w:val="00C2039F"/>
    <w:rsid w:val="00C203AC"/>
    <w:rsid w:val="00C20501"/>
    <w:rsid w:val="00C20738"/>
    <w:rsid w:val="00C20A2D"/>
    <w:rsid w:val="00C20CF4"/>
    <w:rsid w:val="00C20FEF"/>
    <w:rsid w:val="00C218E8"/>
    <w:rsid w:val="00C21FD5"/>
    <w:rsid w:val="00C228A0"/>
    <w:rsid w:val="00C23C1A"/>
    <w:rsid w:val="00C24825"/>
    <w:rsid w:val="00C2528E"/>
    <w:rsid w:val="00C2624E"/>
    <w:rsid w:val="00C2625E"/>
    <w:rsid w:val="00C2741F"/>
    <w:rsid w:val="00C274AF"/>
    <w:rsid w:val="00C27D54"/>
    <w:rsid w:val="00C27E0E"/>
    <w:rsid w:val="00C302EB"/>
    <w:rsid w:val="00C309F6"/>
    <w:rsid w:val="00C30DD8"/>
    <w:rsid w:val="00C30E28"/>
    <w:rsid w:val="00C311DC"/>
    <w:rsid w:val="00C31309"/>
    <w:rsid w:val="00C31814"/>
    <w:rsid w:val="00C31D9D"/>
    <w:rsid w:val="00C31E54"/>
    <w:rsid w:val="00C328A8"/>
    <w:rsid w:val="00C3291C"/>
    <w:rsid w:val="00C32E67"/>
    <w:rsid w:val="00C32F5F"/>
    <w:rsid w:val="00C32FBB"/>
    <w:rsid w:val="00C330B5"/>
    <w:rsid w:val="00C3355D"/>
    <w:rsid w:val="00C337BF"/>
    <w:rsid w:val="00C3386B"/>
    <w:rsid w:val="00C3426E"/>
    <w:rsid w:val="00C34503"/>
    <w:rsid w:val="00C34913"/>
    <w:rsid w:val="00C349A5"/>
    <w:rsid w:val="00C34C24"/>
    <w:rsid w:val="00C34F8D"/>
    <w:rsid w:val="00C3559B"/>
    <w:rsid w:val="00C35DCC"/>
    <w:rsid w:val="00C36F19"/>
    <w:rsid w:val="00C376EF"/>
    <w:rsid w:val="00C37891"/>
    <w:rsid w:val="00C378F3"/>
    <w:rsid w:val="00C405B5"/>
    <w:rsid w:val="00C40B30"/>
    <w:rsid w:val="00C40F20"/>
    <w:rsid w:val="00C40FA1"/>
    <w:rsid w:val="00C423A0"/>
    <w:rsid w:val="00C439F7"/>
    <w:rsid w:val="00C43B36"/>
    <w:rsid w:val="00C44A6E"/>
    <w:rsid w:val="00C44F9D"/>
    <w:rsid w:val="00C453BD"/>
    <w:rsid w:val="00C4602B"/>
    <w:rsid w:val="00C46039"/>
    <w:rsid w:val="00C465DE"/>
    <w:rsid w:val="00C46814"/>
    <w:rsid w:val="00C46A10"/>
    <w:rsid w:val="00C46CCA"/>
    <w:rsid w:val="00C4767B"/>
    <w:rsid w:val="00C47E51"/>
    <w:rsid w:val="00C5000F"/>
    <w:rsid w:val="00C5014D"/>
    <w:rsid w:val="00C505D3"/>
    <w:rsid w:val="00C518C9"/>
    <w:rsid w:val="00C51D0C"/>
    <w:rsid w:val="00C51DDC"/>
    <w:rsid w:val="00C521B7"/>
    <w:rsid w:val="00C52342"/>
    <w:rsid w:val="00C524CC"/>
    <w:rsid w:val="00C52B73"/>
    <w:rsid w:val="00C531AF"/>
    <w:rsid w:val="00C53726"/>
    <w:rsid w:val="00C53851"/>
    <w:rsid w:val="00C545C4"/>
    <w:rsid w:val="00C559B4"/>
    <w:rsid w:val="00C55ADA"/>
    <w:rsid w:val="00C56605"/>
    <w:rsid w:val="00C5667F"/>
    <w:rsid w:val="00C56E62"/>
    <w:rsid w:val="00C5761F"/>
    <w:rsid w:val="00C57768"/>
    <w:rsid w:val="00C57B97"/>
    <w:rsid w:val="00C57E80"/>
    <w:rsid w:val="00C60148"/>
    <w:rsid w:val="00C602D6"/>
    <w:rsid w:val="00C60886"/>
    <w:rsid w:val="00C608B2"/>
    <w:rsid w:val="00C610BC"/>
    <w:rsid w:val="00C612F7"/>
    <w:rsid w:val="00C61C68"/>
    <w:rsid w:val="00C620B3"/>
    <w:rsid w:val="00C623C6"/>
    <w:rsid w:val="00C624DC"/>
    <w:rsid w:val="00C6296C"/>
    <w:rsid w:val="00C62B71"/>
    <w:rsid w:val="00C63479"/>
    <w:rsid w:val="00C63CBB"/>
    <w:rsid w:val="00C64792"/>
    <w:rsid w:val="00C64854"/>
    <w:rsid w:val="00C64B04"/>
    <w:rsid w:val="00C65263"/>
    <w:rsid w:val="00C6526D"/>
    <w:rsid w:val="00C6578D"/>
    <w:rsid w:val="00C65859"/>
    <w:rsid w:val="00C65A32"/>
    <w:rsid w:val="00C65A38"/>
    <w:rsid w:val="00C66347"/>
    <w:rsid w:val="00C66744"/>
    <w:rsid w:val="00C66CFE"/>
    <w:rsid w:val="00C67369"/>
    <w:rsid w:val="00C6771D"/>
    <w:rsid w:val="00C67D43"/>
    <w:rsid w:val="00C70827"/>
    <w:rsid w:val="00C70E9B"/>
    <w:rsid w:val="00C712B6"/>
    <w:rsid w:val="00C71453"/>
    <w:rsid w:val="00C715C9"/>
    <w:rsid w:val="00C715D6"/>
    <w:rsid w:val="00C71EBA"/>
    <w:rsid w:val="00C725F3"/>
    <w:rsid w:val="00C741D8"/>
    <w:rsid w:val="00C74745"/>
    <w:rsid w:val="00C74CBC"/>
    <w:rsid w:val="00C74CBF"/>
    <w:rsid w:val="00C750DD"/>
    <w:rsid w:val="00C75297"/>
    <w:rsid w:val="00C75315"/>
    <w:rsid w:val="00C754BC"/>
    <w:rsid w:val="00C7593B"/>
    <w:rsid w:val="00C76AED"/>
    <w:rsid w:val="00C76B44"/>
    <w:rsid w:val="00C76DC4"/>
    <w:rsid w:val="00C77679"/>
    <w:rsid w:val="00C77DCD"/>
    <w:rsid w:val="00C77EF9"/>
    <w:rsid w:val="00C80A59"/>
    <w:rsid w:val="00C8128A"/>
    <w:rsid w:val="00C81754"/>
    <w:rsid w:val="00C81CEF"/>
    <w:rsid w:val="00C8242E"/>
    <w:rsid w:val="00C82B5D"/>
    <w:rsid w:val="00C835F1"/>
    <w:rsid w:val="00C840B4"/>
    <w:rsid w:val="00C84759"/>
    <w:rsid w:val="00C84A01"/>
    <w:rsid w:val="00C84ED3"/>
    <w:rsid w:val="00C8512A"/>
    <w:rsid w:val="00C85A96"/>
    <w:rsid w:val="00C8621A"/>
    <w:rsid w:val="00C86780"/>
    <w:rsid w:val="00C86AA0"/>
    <w:rsid w:val="00C873ED"/>
    <w:rsid w:val="00C874E4"/>
    <w:rsid w:val="00C877E8"/>
    <w:rsid w:val="00C87BA8"/>
    <w:rsid w:val="00C903FB"/>
    <w:rsid w:val="00C904F8"/>
    <w:rsid w:val="00C90A66"/>
    <w:rsid w:val="00C90C11"/>
    <w:rsid w:val="00C90ECD"/>
    <w:rsid w:val="00C91559"/>
    <w:rsid w:val="00C92E12"/>
    <w:rsid w:val="00C93022"/>
    <w:rsid w:val="00C932A9"/>
    <w:rsid w:val="00C93429"/>
    <w:rsid w:val="00C9364B"/>
    <w:rsid w:val="00C93A9B"/>
    <w:rsid w:val="00C943E4"/>
    <w:rsid w:val="00C94ACB"/>
    <w:rsid w:val="00C94C2A"/>
    <w:rsid w:val="00C95228"/>
    <w:rsid w:val="00C96093"/>
    <w:rsid w:val="00C96E96"/>
    <w:rsid w:val="00C97701"/>
    <w:rsid w:val="00C97F2F"/>
    <w:rsid w:val="00CA071F"/>
    <w:rsid w:val="00CA09AA"/>
    <w:rsid w:val="00CA0C8C"/>
    <w:rsid w:val="00CA108D"/>
    <w:rsid w:val="00CA15D9"/>
    <w:rsid w:val="00CA1618"/>
    <w:rsid w:val="00CA20F6"/>
    <w:rsid w:val="00CA2475"/>
    <w:rsid w:val="00CA255A"/>
    <w:rsid w:val="00CA3105"/>
    <w:rsid w:val="00CA3A27"/>
    <w:rsid w:val="00CA3E4B"/>
    <w:rsid w:val="00CA412D"/>
    <w:rsid w:val="00CA4256"/>
    <w:rsid w:val="00CA4990"/>
    <w:rsid w:val="00CA4A9F"/>
    <w:rsid w:val="00CA4F60"/>
    <w:rsid w:val="00CA5AD9"/>
    <w:rsid w:val="00CA62A9"/>
    <w:rsid w:val="00CA66F4"/>
    <w:rsid w:val="00CA6B31"/>
    <w:rsid w:val="00CA7251"/>
    <w:rsid w:val="00CA7E5E"/>
    <w:rsid w:val="00CB07FB"/>
    <w:rsid w:val="00CB0DBD"/>
    <w:rsid w:val="00CB1222"/>
    <w:rsid w:val="00CB1BBB"/>
    <w:rsid w:val="00CB1CF3"/>
    <w:rsid w:val="00CB1E8D"/>
    <w:rsid w:val="00CB243F"/>
    <w:rsid w:val="00CB26CC"/>
    <w:rsid w:val="00CB2B8B"/>
    <w:rsid w:val="00CB3083"/>
    <w:rsid w:val="00CB31B5"/>
    <w:rsid w:val="00CB33CD"/>
    <w:rsid w:val="00CB36A0"/>
    <w:rsid w:val="00CB3D51"/>
    <w:rsid w:val="00CB3E63"/>
    <w:rsid w:val="00CB415F"/>
    <w:rsid w:val="00CB475E"/>
    <w:rsid w:val="00CB4B85"/>
    <w:rsid w:val="00CB5EA1"/>
    <w:rsid w:val="00CB60AA"/>
    <w:rsid w:val="00CB64FC"/>
    <w:rsid w:val="00CB7ADB"/>
    <w:rsid w:val="00CB7FD2"/>
    <w:rsid w:val="00CC0450"/>
    <w:rsid w:val="00CC0930"/>
    <w:rsid w:val="00CC0CB4"/>
    <w:rsid w:val="00CC0D13"/>
    <w:rsid w:val="00CC0FAF"/>
    <w:rsid w:val="00CC10EE"/>
    <w:rsid w:val="00CC163A"/>
    <w:rsid w:val="00CC1E92"/>
    <w:rsid w:val="00CC22A8"/>
    <w:rsid w:val="00CC2E67"/>
    <w:rsid w:val="00CC2E69"/>
    <w:rsid w:val="00CC3055"/>
    <w:rsid w:val="00CC3468"/>
    <w:rsid w:val="00CC37A0"/>
    <w:rsid w:val="00CC3FE1"/>
    <w:rsid w:val="00CC4268"/>
    <w:rsid w:val="00CC463F"/>
    <w:rsid w:val="00CC4765"/>
    <w:rsid w:val="00CC5604"/>
    <w:rsid w:val="00CC64F4"/>
    <w:rsid w:val="00CC66F9"/>
    <w:rsid w:val="00CC6CA5"/>
    <w:rsid w:val="00CC7810"/>
    <w:rsid w:val="00CC7AFD"/>
    <w:rsid w:val="00CD01F9"/>
    <w:rsid w:val="00CD042D"/>
    <w:rsid w:val="00CD07A9"/>
    <w:rsid w:val="00CD0A4B"/>
    <w:rsid w:val="00CD0F5E"/>
    <w:rsid w:val="00CD113A"/>
    <w:rsid w:val="00CD124B"/>
    <w:rsid w:val="00CD15F2"/>
    <w:rsid w:val="00CD1A66"/>
    <w:rsid w:val="00CD1FF5"/>
    <w:rsid w:val="00CD2807"/>
    <w:rsid w:val="00CD29F4"/>
    <w:rsid w:val="00CD38BC"/>
    <w:rsid w:val="00CD39D9"/>
    <w:rsid w:val="00CD4198"/>
    <w:rsid w:val="00CD4543"/>
    <w:rsid w:val="00CD4941"/>
    <w:rsid w:val="00CD4C64"/>
    <w:rsid w:val="00CD5234"/>
    <w:rsid w:val="00CD5520"/>
    <w:rsid w:val="00CD58E9"/>
    <w:rsid w:val="00CD59CF"/>
    <w:rsid w:val="00CD6226"/>
    <w:rsid w:val="00CD6831"/>
    <w:rsid w:val="00CD7405"/>
    <w:rsid w:val="00CD7448"/>
    <w:rsid w:val="00CD76CE"/>
    <w:rsid w:val="00CD7CE6"/>
    <w:rsid w:val="00CE0077"/>
    <w:rsid w:val="00CE01F7"/>
    <w:rsid w:val="00CE0512"/>
    <w:rsid w:val="00CE086A"/>
    <w:rsid w:val="00CE0965"/>
    <w:rsid w:val="00CE0F76"/>
    <w:rsid w:val="00CE1A60"/>
    <w:rsid w:val="00CE2510"/>
    <w:rsid w:val="00CE2853"/>
    <w:rsid w:val="00CE2A7C"/>
    <w:rsid w:val="00CE3967"/>
    <w:rsid w:val="00CE3AD4"/>
    <w:rsid w:val="00CE3ED5"/>
    <w:rsid w:val="00CE4129"/>
    <w:rsid w:val="00CE428E"/>
    <w:rsid w:val="00CE514D"/>
    <w:rsid w:val="00CE5220"/>
    <w:rsid w:val="00CE5583"/>
    <w:rsid w:val="00CE5621"/>
    <w:rsid w:val="00CE56CF"/>
    <w:rsid w:val="00CE5D8F"/>
    <w:rsid w:val="00CE608E"/>
    <w:rsid w:val="00CE6ADD"/>
    <w:rsid w:val="00CE6D52"/>
    <w:rsid w:val="00CE6EE4"/>
    <w:rsid w:val="00CE79BB"/>
    <w:rsid w:val="00CE7A5B"/>
    <w:rsid w:val="00CE7C40"/>
    <w:rsid w:val="00CF1622"/>
    <w:rsid w:val="00CF1966"/>
    <w:rsid w:val="00CF2001"/>
    <w:rsid w:val="00CF2183"/>
    <w:rsid w:val="00CF2667"/>
    <w:rsid w:val="00CF2817"/>
    <w:rsid w:val="00CF423D"/>
    <w:rsid w:val="00CF43E5"/>
    <w:rsid w:val="00CF4BD0"/>
    <w:rsid w:val="00CF517A"/>
    <w:rsid w:val="00CF526E"/>
    <w:rsid w:val="00CF5318"/>
    <w:rsid w:val="00CF5F99"/>
    <w:rsid w:val="00CF5FAC"/>
    <w:rsid w:val="00CF6344"/>
    <w:rsid w:val="00CF69EA"/>
    <w:rsid w:val="00CF6E7A"/>
    <w:rsid w:val="00CF7024"/>
    <w:rsid w:val="00CF744E"/>
    <w:rsid w:val="00CF7DF9"/>
    <w:rsid w:val="00CF7E64"/>
    <w:rsid w:val="00D0024D"/>
    <w:rsid w:val="00D006AD"/>
    <w:rsid w:val="00D01485"/>
    <w:rsid w:val="00D017DA"/>
    <w:rsid w:val="00D01BA3"/>
    <w:rsid w:val="00D01BFC"/>
    <w:rsid w:val="00D01C55"/>
    <w:rsid w:val="00D01F92"/>
    <w:rsid w:val="00D029CF"/>
    <w:rsid w:val="00D031EE"/>
    <w:rsid w:val="00D036FC"/>
    <w:rsid w:val="00D044C8"/>
    <w:rsid w:val="00D04819"/>
    <w:rsid w:val="00D04DEF"/>
    <w:rsid w:val="00D0529B"/>
    <w:rsid w:val="00D053E1"/>
    <w:rsid w:val="00D05615"/>
    <w:rsid w:val="00D057BD"/>
    <w:rsid w:val="00D05CC7"/>
    <w:rsid w:val="00D06237"/>
    <w:rsid w:val="00D06858"/>
    <w:rsid w:val="00D0755F"/>
    <w:rsid w:val="00D079A6"/>
    <w:rsid w:val="00D1064B"/>
    <w:rsid w:val="00D10714"/>
    <w:rsid w:val="00D10958"/>
    <w:rsid w:val="00D1141B"/>
    <w:rsid w:val="00D118BD"/>
    <w:rsid w:val="00D1193A"/>
    <w:rsid w:val="00D11BB1"/>
    <w:rsid w:val="00D11E4D"/>
    <w:rsid w:val="00D120A4"/>
    <w:rsid w:val="00D126FD"/>
    <w:rsid w:val="00D12D12"/>
    <w:rsid w:val="00D13A35"/>
    <w:rsid w:val="00D13A3B"/>
    <w:rsid w:val="00D13FC7"/>
    <w:rsid w:val="00D1454F"/>
    <w:rsid w:val="00D14F8B"/>
    <w:rsid w:val="00D15284"/>
    <w:rsid w:val="00D156C0"/>
    <w:rsid w:val="00D15A6E"/>
    <w:rsid w:val="00D1600E"/>
    <w:rsid w:val="00D16279"/>
    <w:rsid w:val="00D16871"/>
    <w:rsid w:val="00D16876"/>
    <w:rsid w:val="00D16B2D"/>
    <w:rsid w:val="00D16F8E"/>
    <w:rsid w:val="00D1710E"/>
    <w:rsid w:val="00D1746C"/>
    <w:rsid w:val="00D17D3D"/>
    <w:rsid w:val="00D17D51"/>
    <w:rsid w:val="00D17E64"/>
    <w:rsid w:val="00D2032C"/>
    <w:rsid w:val="00D206E3"/>
    <w:rsid w:val="00D20968"/>
    <w:rsid w:val="00D2098D"/>
    <w:rsid w:val="00D20A37"/>
    <w:rsid w:val="00D20CB6"/>
    <w:rsid w:val="00D210BF"/>
    <w:rsid w:val="00D21B56"/>
    <w:rsid w:val="00D22878"/>
    <w:rsid w:val="00D22BB0"/>
    <w:rsid w:val="00D23B4B"/>
    <w:rsid w:val="00D242FC"/>
    <w:rsid w:val="00D24C5C"/>
    <w:rsid w:val="00D250E9"/>
    <w:rsid w:val="00D25181"/>
    <w:rsid w:val="00D2542B"/>
    <w:rsid w:val="00D254F9"/>
    <w:rsid w:val="00D25C84"/>
    <w:rsid w:val="00D25C96"/>
    <w:rsid w:val="00D27034"/>
    <w:rsid w:val="00D2706D"/>
    <w:rsid w:val="00D27155"/>
    <w:rsid w:val="00D27469"/>
    <w:rsid w:val="00D2746A"/>
    <w:rsid w:val="00D2751C"/>
    <w:rsid w:val="00D2772F"/>
    <w:rsid w:val="00D27873"/>
    <w:rsid w:val="00D300A6"/>
    <w:rsid w:val="00D30498"/>
    <w:rsid w:val="00D30504"/>
    <w:rsid w:val="00D30CA3"/>
    <w:rsid w:val="00D30D42"/>
    <w:rsid w:val="00D30DA2"/>
    <w:rsid w:val="00D31151"/>
    <w:rsid w:val="00D3132A"/>
    <w:rsid w:val="00D3152E"/>
    <w:rsid w:val="00D316F2"/>
    <w:rsid w:val="00D31716"/>
    <w:rsid w:val="00D31C1C"/>
    <w:rsid w:val="00D32782"/>
    <w:rsid w:val="00D32BDF"/>
    <w:rsid w:val="00D32C58"/>
    <w:rsid w:val="00D340EF"/>
    <w:rsid w:val="00D34216"/>
    <w:rsid w:val="00D34252"/>
    <w:rsid w:val="00D3459A"/>
    <w:rsid w:val="00D349EB"/>
    <w:rsid w:val="00D34CFC"/>
    <w:rsid w:val="00D3539E"/>
    <w:rsid w:val="00D35552"/>
    <w:rsid w:val="00D357D9"/>
    <w:rsid w:val="00D35AFE"/>
    <w:rsid w:val="00D35E0E"/>
    <w:rsid w:val="00D368B5"/>
    <w:rsid w:val="00D36CF5"/>
    <w:rsid w:val="00D37648"/>
    <w:rsid w:val="00D37EF0"/>
    <w:rsid w:val="00D37F55"/>
    <w:rsid w:val="00D40B80"/>
    <w:rsid w:val="00D40C50"/>
    <w:rsid w:val="00D41552"/>
    <w:rsid w:val="00D41A6B"/>
    <w:rsid w:val="00D41AA5"/>
    <w:rsid w:val="00D42057"/>
    <w:rsid w:val="00D425A9"/>
    <w:rsid w:val="00D42957"/>
    <w:rsid w:val="00D429F6"/>
    <w:rsid w:val="00D43364"/>
    <w:rsid w:val="00D434D3"/>
    <w:rsid w:val="00D439CC"/>
    <w:rsid w:val="00D43D46"/>
    <w:rsid w:val="00D44100"/>
    <w:rsid w:val="00D44B88"/>
    <w:rsid w:val="00D45417"/>
    <w:rsid w:val="00D45523"/>
    <w:rsid w:val="00D456BE"/>
    <w:rsid w:val="00D4579B"/>
    <w:rsid w:val="00D45D79"/>
    <w:rsid w:val="00D4602F"/>
    <w:rsid w:val="00D473FC"/>
    <w:rsid w:val="00D474E5"/>
    <w:rsid w:val="00D474FE"/>
    <w:rsid w:val="00D508BC"/>
    <w:rsid w:val="00D50CBF"/>
    <w:rsid w:val="00D50EE8"/>
    <w:rsid w:val="00D512BF"/>
    <w:rsid w:val="00D5139C"/>
    <w:rsid w:val="00D525BD"/>
    <w:rsid w:val="00D52629"/>
    <w:rsid w:val="00D52669"/>
    <w:rsid w:val="00D52944"/>
    <w:rsid w:val="00D530B8"/>
    <w:rsid w:val="00D53718"/>
    <w:rsid w:val="00D538F4"/>
    <w:rsid w:val="00D5390F"/>
    <w:rsid w:val="00D54208"/>
    <w:rsid w:val="00D54CE1"/>
    <w:rsid w:val="00D54EFD"/>
    <w:rsid w:val="00D55B59"/>
    <w:rsid w:val="00D55C2E"/>
    <w:rsid w:val="00D56499"/>
    <w:rsid w:val="00D564BC"/>
    <w:rsid w:val="00D569F6"/>
    <w:rsid w:val="00D574D1"/>
    <w:rsid w:val="00D57C02"/>
    <w:rsid w:val="00D60654"/>
    <w:rsid w:val="00D60E22"/>
    <w:rsid w:val="00D611D7"/>
    <w:rsid w:val="00D61510"/>
    <w:rsid w:val="00D61625"/>
    <w:rsid w:val="00D616BC"/>
    <w:rsid w:val="00D61740"/>
    <w:rsid w:val="00D61E7E"/>
    <w:rsid w:val="00D61EF4"/>
    <w:rsid w:val="00D62189"/>
    <w:rsid w:val="00D6415F"/>
    <w:rsid w:val="00D64407"/>
    <w:rsid w:val="00D64413"/>
    <w:rsid w:val="00D6471A"/>
    <w:rsid w:val="00D648B5"/>
    <w:rsid w:val="00D64FF1"/>
    <w:rsid w:val="00D6511F"/>
    <w:rsid w:val="00D652E5"/>
    <w:rsid w:val="00D658DC"/>
    <w:rsid w:val="00D6593D"/>
    <w:rsid w:val="00D65FBA"/>
    <w:rsid w:val="00D66062"/>
    <w:rsid w:val="00D6640B"/>
    <w:rsid w:val="00D6716F"/>
    <w:rsid w:val="00D67431"/>
    <w:rsid w:val="00D678DF"/>
    <w:rsid w:val="00D7026E"/>
    <w:rsid w:val="00D7099C"/>
    <w:rsid w:val="00D709D4"/>
    <w:rsid w:val="00D70A35"/>
    <w:rsid w:val="00D70CC0"/>
    <w:rsid w:val="00D70F6D"/>
    <w:rsid w:val="00D71B7E"/>
    <w:rsid w:val="00D71F89"/>
    <w:rsid w:val="00D728DA"/>
    <w:rsid w:val="00D72A4C"/>
    <w:rsid w:val="00D72EF6"/>
    <w:rsid w:val="00D7341D"/>
    <w:rsid w:val="00D73DDF"/>
    <w:rsid w:val="00D74BD9"/>
    <w:rsid w:val="00D75742"/>
    <w:rsid w:val="00D75B64"/>
    <w:rsid w:val="00D760C7"/>
    <w:rsid w:val="00D76AFD"/>
    <w:rsid w:val="00D76BFA"/>
    <w:rsid w:val="00D76C53"/>
    <w:rsid w:val="00D774EC"/>
    <w:rsid w:val="00D77830"/>
    <w:rsid w:val="00D77C6A"/>
    <w:rsid w:val="00D80724"/>
    <w:rsid w:val="00D80E00"/>
    <w:rsid w:val="00D8109F"/>
    <w:rsid w:val="00D815E8"/>
    <w:rsid w:val="00D81F7E"/>
    <w:rsid w:val="00D825AC"/>
    <w:rsid w:val="00D82C3E"/>
    <w:rsid w:val="00D830DB"/>
    <w:rsid w:val="00D83FDE"/>
    <w:rsid w:val="00D84967"/>
    <w:rsid w:val="00D85806"/>
    <w:rsid w:val="00D85992"/>
    <w:rsid w:val="00D85C02"/>
    <w:rsid w:val="00D86366"/>
    <w:rsid w:val="00D86458"/>
    <w:rsid w:val="00D8661C"/>
    <w:rsid w:val="00D86B26"/>
    <w:rsid w:val="00D86B39"/>
    <w:rsid w:val="00D8708A"/>
    <w:rsid w:val="00D872A0"/>
    <w:rsid w:val="00D87561"/>
    <w:rsid w:val="00D8787E"/>
    <w:rsid w:val="00D87DE1"/>
    <w:rsid w:val="00D90BB9"/>
    <w:rsid w:val="00D918A9"/>
    <w:rsid w:val="00D91B30"/>
    <w:rsid w:val="00D91C32"/>
    <w:rsid w:val="00D91C63"/>
    <w:rsid w:val="00D91EA6"/>
    <w:rsid w:val="00D922C6"/>
    <w:rsid w:val="00D92582"/>
    <w:rsid w:val="00D936A9"/>
    <w:rsid w:val="00D93A9B"/>
    <w:rsid w:val="00D93BC7"/>
    <w:rsid w:val="00D94264"/>
    <w:rsid w:val="00D946AF"/>
    <w:rsid w:val="00D94719"/>
    <w:rsid w:val="00D94AEE"/>
    <w:rsid w:val="00D95212"/>
    <w:rsid w:val="00D963F5"/>
    <w:rsid w:val="00D96848"/>
    <w:rsid w:val="00D96854"/>
    <w:rsid w:val="00D96F5E"/>
    <w:rsid w:val="00D9797B"/>
    <w:rsid w:val="00DA000B"/>
    <w:rsid w:val="00DA00B2"/>
    <w:rsid w:val="00DA0F06"/>
    <w:rsid w:val="00DA10E9"/>
    <w:rsid w:val="00DA14D2"/>
    <w:rsid w:val="00DA1C9B"/>
    <w:rsid w:val="00DA1D7B"/>
    <w:rsid w:val="00DA248C"/>
    <w:rsid w:val="00DA2C04"/>
    <w:rsid w:val="00DA2F24"/>
    <w:rsid w:val="00DA3043"/>
    <w:rsid w:val="00DA3E88"/>
    <w:rsid w:val="00DA45E5"/>
    <w:rsid w:val="00DA5372"/>
    <w:rsid w:val="00DA59F7"/>
    <w:rsid w:val="00DA62F9"/>
    <w:rsid w:val="00DA64CA"/>
    <w:rsid w:val="00DA6A4F"/>
    <w:rsid w:val="00DA6D4E"/>
    <w:rsid w:val="00DA70C9"/>
    <w:rsid w:val="00DA71BE"/>
    <w:rsid w:val="00DA72D9"/>
    <w:rsid w:val="00DA7630"/>
    <w:rsid w:val="00DA77D8"/>
    <w:rsid w:val="00DA7BAE"/>
    <w:rsid w:val="00DB06D4"/>
    <w:rsid w:val="00DB29D4"/>
    <w:rsid w:val="00DB2A0F"/>
    <w:rsid w:val="00DB2BBA"/>
    <w:rsid w:val="00DB30C7"/>
    <w:rsid w:val="00DB3403"/>
    <w:rsid w:val="00DB3668"/>
    <w:rsid w:val="00DB3E2F"/>
    <w:rsid w:val="00DB472F"/>
    <w:rsid w:val="00DB55C5"/>
    <w:rsid w:val="00DB6FAA"/>
    <w:rsid w:val="00DB706D"/>
    <w:rsid w:val="00DB7356"/>
    <w:rsid w:val="00DB73A2"/>
    <w:rsid w:val="00DB73E6"/>
    <w:rsid w:val="00DB73F2"/>
    <w:rsid w:val="00DB7A40"/>
    <w:rsid w:val="00DB7EBB"/>
    <w:rsid w:val="00DC0210"/>
    <w:rsid w:val="00DC05EC"/>
    <w:rsid w:val="00DC1948"/>
    <w:rsid w:val="00DC1B0E"/>
    <w:rsid w:val="00DC1D65"/>
    <w:rsid w:val="00DC23B9"/>
    <w:rsid w:val="00DC23D5"/>
    <w:rsid w:val="00DC2D58"/>
    <w:rsid w:val="00DC3A94"/>
    <w:rsid w:val="00DC3C94"/>
    <w:rsid w:val="00DC3DBB"/>
    <w:rsid w:val="00DC44B4"/>
    <w:rsid w:val="00DC4702"/>
    <w:rsid w:val="00DC4E0A"/>
    <w:rsid w:val="00DC4F02"/>
    <w:rsid w:val="00DC52E4"/>
    <w:rsid w:val="00DC54F9"/>
    <w:rsid w:val="00DC6959"/>
    <w:rsid w:val="00DC742D"/>
    <w:rsid w:val="00DC7681"/>
    <w:rsid w:val="00DC77BB"/>
    <w:rsid w:val="00DC7835"/>
    <w:rsid w:val="00DD0664"/>
    <w:rsid w:val="00DD0983"/>
    <w:rsid w:val="00DD0DBE"/>
    <w:rsid w:val="00DD15C9"/>
    <w:rsid w:val="00DD1A9E"/>
    <w:rsid w:val="00DD203A"/>
    <w:rsid w:val="00DD2AF6"/>
    <w:rsid w:val="00DD32FA"/>
    <w:rsid w:val="00DD33B1"/>
    <w:rsid w:val="00DD3AD3"/>
    <w:rsid w:val="00DD3D1B"/>
    <w:rsid w:val="00DD4828"/>
    <w:rsid w:val="00DD48FF"/>
    <w:rsid w:val="00DD5270"/>
    <w:rsid w:val="00DD52DA"/>
    <w:rsid w:val="00DD5928"/>
    <w:rsid w:val="00DD5B9F"/>
    <w:rsid w:val="00DD5BCF"/>
    <w:rsid w:val="00DD6469"/>
    <w:rsid w:val="00DD7998"/>
    <w:rsid w:val="00DD7E37"/>
    <w:rsid w:val="00DE1289"/>
    <w:rsid w:val="00DE13D7"/>
    <w:rsid w:val="00DE152C"/>
    <w:rsid w:val="00DE17CB"/>
    <w:rsid w:val="00DE18C2"/>
    <w:rsid w:val="00DE1ED7"/>
    <w:rsid w:val="00DE1F0F"/>
    <w:rsid w:val="00DE2D5E"/>
    <w:rsid w:val="00DE3180"/>
    <w:rsid w:val="00DE3A22"/>
    <w:rsid w:val="00DE4372"/>
    <w:rsid w:val="00DE46E2"/>
    <w:rsid w:val="00DE53D1"/>
    <w:rsid w:val="00DE5C86"/>
    <w:rsid w:val="00DE5F9E"/>
    <w:rsid w:val="00DE61FB"/>
    <w:rsid w:val="00DE6C28"/>
    <w:rsid w:val="00DE76FD"/>
    <w:rsid w:val="00DE774B"/>
    <w:rsid w:val="00DE7910"/>
    <w:rsid w:val="00DE7AD0"/>
    <w:rsid w:val="00DF018E"/>
    <w:rsid w:val="00DF02B8"/>
    <w:rsid w:val="00DF0365"/>
    <w:rsid w:val="00DF0F5F"/>
    <w:rsid w:val="00DF1349"/>
    <w:rsid w:val="00DF1A54"/>
    <w:rsid w:val="00DF1AE1"/>
    <w:rsid w:val="00DF1BC0"/>
    <w:rsid w:val="00DF1FA2"/>
    <w:rsid w:val="00DF242E"/>
    <w:rsid w:val="00DF2C93"/>
    <w:rsid w:val="00DF3F38"/>
    <w:rsid w:val="00DF434A"/>
    <w:rsid w:val="00DF43DB"/>
    <w:rsid w:val="00DF48AB"/>
    <w:rsid w:val="00DF4994"/>
    <w:rsid w:val="00DF4BD0"/>
    <w:rsid w:val="00DF4E78"/>
    <w:rsid w:val="00DF4EA7"/>
    <w:rsid w:val="00DF51C9"/>
    <w:rsid w:val="00DF5213"/>
    <w:rsid w:val="00DF5556"/>
    <w:rsid w:val="00DF56A7"/>
    <w:rsid w:val="00DF59EF"/>
    <w:rsid w:val="00DF5E46"/>
    <w:rsid w:val="00DF621B"/>
    <w:rsid w:val="00DF744F"/>
    <w:rsid w:val="00DF772C"/>
    <w:rsid w:val="00DF7B20"/>
    <w:rsid w:val="00DF7F49"/>
    <w:rsid w:val="00E000BB"/>
    <w:rsid w:val="00E000D6"/>
    <w:rsid w:val="00E003B5"/>
    <w:rsid w:val="00E006C3"/>
    <w:rsid w:val="00E00A3C"/>
    <w:rsid w:val="00E00BAA"/>
    <w:rsid w:val="00E00CE3"/>
    <w:rsid w:val="00E01C3B"/>
    <w:rsid w:val="00E01EFA"/>
    <w:rsid w:val="00E02398"/>
    <w:rsid w:val="00E02DC9"/>
    <w:rsid w:val="00E035A4"/>
    <w:rsid w:val="00E038F3"/>
    <w:rsid w:val="00E03905"/>
    <w:rsid w:val="00E03CEF"/>
    <w:rsid w:val="00E040D8"/>
    <w:rsid w:val="00E042B6"/>
    <w:rsid w:val="00E048F5"/>
    <w:rsid w:val="00E04DA5"/>
    <w:rsid w:val="00E050F6"/>
    <w:rsid w:val="00E063C9"/>
    <w:rsid w:val="00E06B8A"/>
    <w:rsid w:val="00E06E7A"/>
    <w:rsid w:val="00E0756A"/>
    <w:rsid w:val="00E075C5"/>
    <w:rsid w:val="00E1093B"/>
    <w:rsid w:val="00E10F53"/>
    <w:rsid w:val="00E1154C"/>
    <w:rsid w:val="00E119B2"/>
    <w:rsid w:val="00E11E5C"/>
    <w:rsid w:val="00E12382"/>
    <w:rsid w:val="00E126F6"/>
    <w:rsid w:val="00E12775"/>
    <w:rsid w:val="00E12813"/>
    <w:rsid w:val="00E12851"/>
    <w:rsid w:val="00E12EED"/>
    <w:rsid w:val="00E12F25"/>
    <w:rsid w:val="00E12F46"/>
    <w:rsid w:val="00E13460"/>
    <w:rsid w:val="00E13674"/>
    <w:rsid w:val="00E142F3"/>
    <w:rsid w:val="00E14753"/>
    <w:rsid w:val="00E14F2A"/>
    <w:rsid w:val="00E15178"/>
    <w:rsid w:val="00E15374"/>
    <w:rsid w:val="00E16575"/>
    <w:rsid w:val="00E1678B"/>
    <w:rsid w:val="00E17072"/>
    <w:rsid w:val="00E17437"/>
    <w:rsid w:val="00E1764B"/>
    <w:rsid w:val="00E2051D"/>
    <w:rsid w:val="00E208D0"/>
    <w:rsid w:val="00E20ADA"/>
    <w:rsid w:val="00E20FD1"/>
    <w:rsid w:val="00E21127"/>
    <w:rsid w:val="00E211CB"/>
    <w:rsid w:val="00E21A17"/>
    <w:rsid w:val="00E21BDB"/>
    <w:rsid w:val="00E22501"/>
    <w:rsid w:val="00E2251E"/>
    <w:rsid w:val="00E22F01"/>
    <w:rsid w:val="00E238C3"/>
    <w:rsid w:val="00E24865"/>
    <w:rsid w:val="00E24BD0"/>
    <w:rsid w:val="00E25812"/>
    <w:rsid w:val="00E262E7"/>
    <w:rsid w:val="00E26555"/>
    <w:rsid w:val="00E268AC"/>
    <w:rsid w:val="00E26FE5"/>
    <w:rsid w:val="00E2719F"/>
    <w:rsid w:val="00E273B4"/>
    <w:rsid w:val="00E277C2"/>
    <w:rsid w:val="00E27A83"/>
    <w:rsid w:val="00E27D30"/>
    <w:rsid w:val="00E309DA"/>
    <w:rsid w:val="00E31443"/>
    <w:rsid w:val="00E31E2F"/>
    <w:rsid w:val="00E31EEE"/>
    <w:rsid w:val="00E320FA"/>
    <w:rsid w:val="00E323F5"/>
    <w:rsid w:val="00E32443"/>
    <w:rsid w:val="00E32A0D"/>
    <w:rsid w:val="00E32A7A"/>
    <w:rsid w:val="00E32A83"/>
    <w:rsid w:val="00E331F9"/>
    <w:rsid w:val="00E34483"/>
    <w:rsid w:val="00E34941"/>
    <w:rsid w:val="00E358FB"/>
    <w:rsid w:val="00E35A67"/>
    <w:rsid w:val="00E35CDD"/>
    <w:rsid w:val="00E36166"/>
    <w:rsid w:val="00E36EB2"/>
    <w:rsid w:val="00E371E2"/>
    <w:rsid w:val="00E3772C"/>
    <w:rsid w:val="00E37C6D"/>
    <w:rsid w:val="00E37D4B"/>
    <w:rsid w:val="00E4001C"/>
    <w:rsid w:val="00E40A0E"/>
    <w:rsid w:val="00E411D2"/>
    <w:rsid w:val="00E4125F"/>
    <w:rsid w:val="00E418E0"/>
    <w:rsid w:val="00E41E41"/>
    <w:rsid w:val="00E41E93"/>
    <w:rsid w:val="00E41E98"/>
    <w:rsid w:val="00E41EB3"/>
    <w:rsid w:val="00E41F4D"/>
    <w:rsid w:val="00E41F6E"/>
    <w:rsid w:val="00E423B8"/>
    <w:rsid w:val="00E423F0"/>
    <w:rsid w:val="00E42CE4"/>
    <w:rsid w:val="00E436B1"/>
    <w:rsid w:val="00E439FD"/>
    <w:rsid w:val="00E4443C"/>
    <w:rsid w:val="00E44A86"/>
    <w:rsid w:val="00E45601"/>
    <w:rsid w:val="00E45E53"/>
    <w:rsid w:val="00E46512"/>
    <w:rsid w:val="00E466FD"/>
    <w:rsid w:val="00E46C6C"/>
    <w:rsid w:val="00E47110"/>
    <w:rsid w:val="00E47590"/>
    <w:rsid w:val="00E477CF"/>
    <w:rsid w:val="00E50123"/>
    <w:rsid w:val="00E50A2B"/>
    <w:rsid w:val="00E50BD2"/>
    <w:rsid w:val="00E50C10"/>
    <w:rsid w:val="00E50E31"/>
    <w:rsid w:val="00E50E46"/>
    <w:rsid w:val="00E515BC"/>
    <w:rsid w:val="00E517BF"/>
    <w:rsid w:val="00E51806"/>
    <w:rsid w:val="00E51D26"/>
    <w:rsid w:val="00E51E76"/>
    <w:rsid w:val="00E52164"/>
    <w:rsid w:val="00E530FF"/>
    <w:rsid w:val="00E53406"/>
    <w:rsid w:val="00E538ED"/>
    <w:rsid w:val="00E53ED8"/>
    <w:rsid w:val="00E54278"/>
    <w:rsid w:val="00E543DF"/>
    <w:rsid w:val="00E54520"/>
    <w:rsid w:val="00E54929"/>
    <w:rsid w:val="00E54CBF"/>
    <w:rsid w:val="00E54FAC"/>
    <w:rsid w:val="00E5644A"/>
    <w:rsid w:val="00E567C6"/>
    <w:rsid w:val="00E569FA"/>
    <w:rsid w:val="00E56B41"/>
    <w:rsid w:val="00E577C7"/>
    <w:rsid w:val="00E609DF"/>
    <w:rsid w:val="00E60B29"/>
    <w:rsid w:val="00E60B54"/>
    <w:rsid w:val="00E60C80"/>
    <w:rsid w:val="00E60D71"/>
    <w:rsid w:val="00E60E5E"/>
    <w:rsid w:val="00E61103"/>
    <w:rsid w:val="00E61A47"/>
    <w:rsid w:val="00E61AE1"/>
    <w:rsid w:val="00E6229D"/>
    <w:rsid w:val="00E62AA1"/>
    <w:rsid w:val="00E63077"/>
    <w:rsid w:val="00E63268"/>
    <w:rsid w:val="00E63269"/>
    <w:rsid w:val="00E63399"/>
    <w:rsid w:val="00E635F4"/>
    <w:rsid w:val="00E638AA"/>
    <w:rsid w:val="00E63AF2"/>
    <w:rsid w:val="00E64060"/>
    <w:rsid w:val="00E640B2"/>
    <w:rsid w:val="00E648DA"/>
    <w:rsid w:val="00E64904"/>
    <w:rsid w:val="00E65092"/>
    <w:rsid w:val="00E65F22"/>
    <w:rsid w:val="00E65F36"/>
    <w:rsid w:val="00E67287"/>
    <w:rsid w:val="00E67C58"/>
    <w:rsid w:val="00E700C1"/>
    <w:rsid w:val="00E709F8"/>
    <w:rsid w:val="00E70DA3"/>
    <w:rsid w:val="00E7133B"/>
    <w:rsid w:val="00E71CDB"/>
    <w:rsid w:val="00E71DE4"/>
    <w:rsid w:val="00E71E20"/>
    <w:rsid w:val="00E72251"/>
    <w:rsid w:val="00E722C5"/>
    <w:rsid w:val="00E728D9"/>
    <w:rsid w:val="00E72A65"/>
    <w:rsid w:val="00E72C52"/>
    <w:rsid w:val="00E72F52"/>
    <w:rsid w:val="00E734F4"/>
    <w:rsid w:val="00E7368A"/>
    <w:rsid w:val="00E73776"/>
    <w:rsid w:val="00E73814"/>
    <w:rsid w:val="00E73C85"/>
    <w:rsid w:val="00E73CEA"/>
    <w:rsid w:val="00E7430D"/>
    <w:rsid w:val="00E744A5"/>
    <w:rsid w:val="00E7493A"/>
    <w:rsid w:val="00E75814"/>
    <w:rsid w:val="00E76073"/>
    <w:rsid w:val="00E76CA7"/>
    <w:rsid w:val="00E773D9"/>
    <w:rsid w:val="00E77988"/>
    <w:rsid w:val="00E77C83"/>
    <w:rsid w:val="00E8004B"/>
    <w:rsid w:val="00E80144"/>
    <w:rsid w:val="00E802D8"/>
    <w:rsid w:val="00E80C0E"/>
    <w:rsid w:val="00E813B0"/>
    <w:rsid w:val="00E81578"/>
    <w:rsid w:val="00E818A3"/>
    <w:rsid w:val="00E819DB"/>
    <w:rsid w:val="00E81EAB"/>
    <w:rsid w:val="00E82235"/>
    <w:rsid w:val="00E824F8"/>
    <w:rsid w:val="00E828B1"/>
    <w:rsid w:val="00E82C71"/>
    <w:rsid w:val="00E833D3"/>
    <w:rsid w:val="00E83869"/>
    <w:rsid w:val="00E83C40"/>
    <w:rsid w:val="00E8432E"/>
    <w:rsid w:val="00E84478"/>
    <w:rsid w:val="00E84687"/>
    <w:rsid w:val="00E854D1"/>
    <w:rsid w:val="00E8555D"/>
    <w:rsid w:val="00E85866"/>
    <w:rsid w:val="00E85A30"/>
    <w:rsid w:val="00E85BB3"/>
    <w:rsid w:val="00E860D7"/>
    <w:rsid w:val="00E8641F"/>
    <w:rsid w:val="00E869FB"/>
    <w:rsid w:val="00E8711D"/>
    <w:rsid w:val="00E87695"/>
    <w:rsid w:val="00E87F1D"/>
    <w:rsid w:val="00E90708"/>
    <w:rsid w:val="00E90733"/>
    <w:rsid w:val="00E90804"/>
    <w:rsid w:val="00E90C15"/>
    <w:rsid w:val="00E90E30"/>
    <w:rsid w:val="00E90F96"/>
    <w:rsid w:val="00E912A1"/>
    <w:rsid w:val="00E912A6"/>
    <w:rsid w:val="00E9158D"/>
    <w:rsid w:val="00E91BD2"/>
    <w:rsid w:val="00E91FF6"/>
    <w:rsid w:val="00E92014"/>
    <w:rsid w:val="00E9205E"/>
    <w:rsid w:val="00E92336"/>
    <w:rsid w:val="00E92426"/>
    <w:rsid w:val="00E92FC7"/>
    <w:rsid w:val="00E93E45"/>
    <w:rsid w:val="00E93FB9"/>
    <w:rsid w:val="00E94436"/>
    <w:rsid w:val="00E94711"/>
    <w:rsid w:val="00E94B15"/>
    <w:rsid w:val="00E94B8A"/>
    <w:rsid w:val="00E95A46"/>
    <w:rsid w:val="00E95CE1"/>
    <w:rsid w:val="00E95E17"/>
    <w:rsid w:val="00E96D21"/>
    <w:rsid w:val="00E96DF5"/>
    <w:rsid w:val="00E97178"/>
    <w:rsid w:val="00E97628"/>
    <w:rsid w:val="00E97930"/>
    <w:rsid w:val="00E97B7D"/>
    <w:rsid w:val="00EA0220"/>
    <w:rsid w:val="00EA03C3"/>
    <w:rsid w:val="00EA1707"/>
    <w:rsid w:val="00EA1F1D"/>
    <w:rsid w:val="00EA297B"/>
    <w:rsid w:val="00EA2D3A"/>
    <w:rsid w:val="00EA2DE8"/>
    <w:rsid w:val="00EA2E14"/>
    <w:rsid w:val="00EA31F2"/>
    <w:rsid w:val="00EA32D2"/>
    <w:rsid w:val="00EA3D64"/>
    <w:rsid w:val="00EA4037"/>
    <w:rsid w:val="00EA4115"/>
    <w:rsid w:val="00EA42DD"/>
    <w:rsid w:val="00EA442D"/>
    <w:rsid w:val="00EA4521"/>
    <w:rsid w:val="00EA4DE6"/>
    <w:rsid w:val="00EA569D"/>
    <w:rsid w:val="00EA5AE9"/>
    <w:rsid w:val="00EA5CD4"/>
    <w:rsid w:val="00EA65BC"/>
    <w:rsid w:val="00EA69A7"/>
    <w:rsid w:val="00EA6BE2"/>
    <w:rsid w:val="00EA6C77"/>
    <w:rsid w:val="00EA7283"/>
    <w:rsid w:val="00EA7591"/>
    <w:rsid w:val="00EB00A4"/>
    <w:rsid w:val="00EB02E6"/>
    <w:rsid w:val="00EB04FA"/>
    <w:rsid w:val="00EB07E6"/>
    <w:rsid w:val="00EB08BC"/>
    <w:rsid w:val="00EB09A8"/>
    <w:rsid w:val="00EB0B69"/>
    <w:rsid w:val="00EB222D"/>
    <w:rsid w:val="00EB26DB"/>
    <w:rsid w:val="00EB2B74"/>
    <w:rsid w:val="00EB2B83"/>
    <w:rsid w:val="00EB330D"/>
    <w:rsid w:val="00EB3346"/>
    <w:rsid w:val="00EB3615"/>
    <w:rsid w:val="00EB456C"/>
    <w:rsid w:val="00EB4FC0"/>
    <w:rsid w:val="00EB5ACD"/>
    <w:rsid w:val="00EB607D"/>
    <w:rsid w:val="00EB64C0"/>
    <w:rsid w:val="00EB6799"/>
    <w:rsid w:val="00EB6CFB"/>
    <w:rsid w:val="00EB778B"/>
    <w:rsid w:val="00EB7C02"/>
    <w:rsid w:val="00EB7D24"/>
    <w:rsid w:val="00EC0625"/>
    <w:rsid w:val="00EC0DA9"/>
    <w:rsid w:val="00EC0ED8"/>
    <w:rsid w:val="00EC0F5D"/>
    <w:rsid w:val="00EC1525"/>
    <w:rsid w:val="00EC162B"/>
    <w:rsid w:val="00EC1943"/>
    <w:rsid w:val="00EC2195"/>
    <w:rsid w:val="00EC22BE"/>
    <w:rsid w:val="00EC2339"/>
    <w:rsid w:val="00EC36B3"/>
    <w:rsid w:val="00EC423E"/>
    <w:rsid w:val="00EC4A9A"/>
    <w:rsid w:val="00EC4C53"/>
    <w:rsid w:val="00EC4DF2"/>
    <w:rsid w:val="00EC534F"/>
    <w:rsid w:val="00EC5358"/>
    <w:rsid w:val="00EC5B58"/>
    <w:rsid w:val="00EC5BE1"/>
    <w:rsid w:val="00EC6018"/>
    <w:rsid w:val="00EC66E9"/>
    <w:rsid w:val="00EC758D"/>
    <w:rsid w:val="00EC784B"/>
    <w:rsid w:val="00EC7D91"/>
    <w:rsid w:val="00ED02C2"/>
    <w:rsid w:val="00ED08F3"/>
    <w:rsid w:val="00ED0AF6"/>
    <w:rsid w:val="00ED1239"/>
    <w:rsid w:val="00ED17BC"/>
    <w:rsid w:val="00ED192B"/>
    <w:rsid w:val="00ED1B39"/>
    <w:rsid w:val="00ED1EF8"/>
    <w:rsid w:val="00ED22CA"/>
    <w:rsid w:val="00ED2395"/>
    <w:rsid w:val="00ED2751"/>
    <w:rsid w:val="00ED27DC"/>
    <w:rsid w:val="00ED2A5E"/>
    <w:rsid w:val="00ED2A9A"/>
    <w:rsid w:val="00ED2BEA"/>
    <w:rsid w:val="00ED2ED4"/>
    <w:rsid w:val="00ED2F44"/>
    <w:rsid w:val="00ED3918"/>
    <w:rsid w:val="00ED4197"/>
    <w:rsid w:val="00ED44E9"/>
    <w:rsid w:val="00ED54B3"/>
    <w:rsid w:val="00ED69E9"/>
    <w:rsid w:val="00ED6A41"/>
    <w:rsid w:val="00ED6CAC"/>
    <w:rsid w:val="00ED6F0E"/>
    <w:rsid w:val="00ED7386"/>
    <w:rsid w:val="00ED767B"/>
    <w:rsid w:val="00ED7A50"/>
    <w:rsid w:val="00EE0802"/>
    <w:rsid w:val="00EE098F"/>
    <w:rsid w:val="00EE0E58"/>
    <w:rsid w:val="00EE1694"/>
    <w:rsid w:val="00EE1EDC"/>
    <w:rsid w:val="00EE270B"/>
    <w:rsid w:val="00EE37FE"/>
    <w:rsid w:val="00EE3826"/>
    <w:rsid w:val="00EE38FD"/>
    <w:rsid w:val="00EE3F6A"/>
    <w:rsid w:val="00EE42CE"/>
    <w:rsid w:val="00EE4564"/>
    <w:rsid w:val="00EE48EF"/>
    <w:rsid w:val="00EE529E"/>
    <w:rsid w:val="00EE595C"/>
    <w:rsid w:val="00EE65F3"/>
    <w:rsid w:val="00EE69FE"/>
    <w:rsid w:val="00EE6C16"/>
    <w:rsid w:val="00EE6C3C"/>
    <w:rsid w:val="00EE70B0"/>
    <w:rsid w:val="00EE7418"/>
    <w:rsid w:val="00EE7548"/>
    <w:rsid w:val="00EE7F45"/>
    <w:rsid w:val="00EF08C9"/>
    <w:rsid w:val="00EF25AF"/>
    <w:rsid w:val="00EF323A"/>
    <w:rsid w:val="00EF3543"/>
    <w:rsid w:val="00EF35F3"/>
    <w:rsid w:val="00EF3751"/>
    <w:rsid w:val="00EF3793"/>
    <w:rsid w:val="00EF42F5"/>
    <w:rsid w:val="00EF4544"/>
    <w:rsid w:val="00EF47B6"/>
    <w:rsid w:val="00EF4B60"/>
    <w:rsid w:val="00EF51E4"/>
    <w:rsid w:val="00EF537F"/>
    <w:rsid w:val="00EF62CC"/>
    <w:rsid w:val="00EF64B3"/>
    <w:rsid w:val="00EF6533"/>
    <w:rsid w:val="00EF6584"/>
    <w:rsid w:val="00EF6C5B"/>
    <w:rsid w:val="00EF7AB6"/>
    <w:rsid w:val="00EF7FAB"/>
    <w:rsid w:val="00F0024C"/>
    <w:rsid w:val="00F0038E"/>
    <w:rsid w:val="00F02162"/>
    <w:rsid w:val="00F0259A"/>
    <w:rsid w:val="00F0273D"/>
    <w:rsid w:val="00F04262"/>
    <w:rsid w:val="00F047EC"/>
    <w:rsid w:val="00F04A85"/>
    <w:rsid w:val="00F04D71"/>
    <w:rsid w:val="00F04DAE"/>
    <w:rsid w:val="00F04E53"/>
    <w:rsid w:val="00F05279"/>
    <w:rsid w:val="00F05487"/>
    <w:rsid w:val="00F05986"/>
    <w:rsid w:val="00F05A6D"/>
    <w:rsid w:val="00F0655A"/>
    <w:rsid w:val="00F066CC"/>
    <w:rsid w:val="00F067CA"/>
    <w:rsid w:val="00F069BC"/>
    <w:rsid w:val="00F07156"/>
    <w:rsid w:val="00F072A3"/>
    <w:rsid w:val="00F0777F"/>
    <w:rsid w:val="00F07F07"/>
    <w:rsid w:val="00F102AA"/>
    <w:rsid w:val="00F1074F"/>
    <w:rsid w:val="00F1078C"/>
    <w:rsid w:val="00F109F4"/>
    <w:rsid w:val="00F10AB2"/>
    <w:rsid w:val="00F110CD"/>
    <w:rsid w:val="00F115AD"/>
    <w:rsid w:val="00F116A7"/>
    <w:rsid w:val="00F124FA"/>
    <w:rsid w:val="00F13094"/>
    <w:rsid w:val="00F130AF"/>
    <w:rsid w:val="00F13D7B"/>
    <w:rsid w:val="00F14CC7"/>
    <w:rsid w:val="00F15055"/>
    <w:rsid w:val="00F155C8"/>
    <w:rsid w:val="00F157BF"/>
    <w:rsid w:val="00F15AFC"/>
    <w:rsid w:val="00F16980"/>
    <w:rsid w:val="00F16B44"/>
    <w:rsid w:val="00F16BB4"/>
    <w:rsid w:val="00F16CAB"/>
    <w:rsid w:val="00F16E55"/>
    <w:rsid w:val="00F17958"/>
    <w:rsid w:val="00F20771"/>
    <w:rsid w:val="00F20D7D"/>
    <w:rsid w:val="00F20D9A"/>
    <w:rsid w:val="00F20E40"/>
    <w:rsid w:val="00F20F45"/>
    <w:rsid w:val="00F21015"/>
    <w:rsid w:val="00F21083"/>
    <w:rsid w:val="00F2132F"/>
    <w:rsid w:val="00F21474"/>
    <w:rsid w:val="00F21B42"/>
    <w:rsid w:val="00F228AF"/>
    <w:rsid w:val="00F23D44"/>
    <w:rsid w:val="00F23DCF"/>
    <w:rsid w:val="00F24051"/>
    <w:rsid w:val="00F240BB"/>
    <w:rsid w:val="00F253CE"/>
    <w:rsid w:val="00F25FEA"/>
    <w:rsid w:val="00F260B3"/>
    <w:rsid w:val="00F26467"/>
    <w:rsid w:val="00F272FF"/>
    <w:rsid w:val="00F2778C"/>
    <w:rsid w:val="00F278AF"/>
    <w:rsid w:val="00F27AD5"/>
    <w:rsid w:val="00F27DE8"/>
    <w:rsid w:val="00F27E9F"/>
    <w:rsid w:val="00F3023A"/>
    <w:rsid w:val="00F30448"/>
    <w:rsid w:val="00F3095F"/>
    <w:rsid w:val="00F30F46"/>
    <w:rsid w:val="00F30F9E"/>
    <w:rsid w:val="00F31654"/>
    <w:rsid w:val="00F32AF9"/>
    <w:rsid w:val="00F32D12"/>
    <w:rsid w:val="00F3355C"/>
    <w:rsid w:val="00F3369B"/>
    <w:rsid w:val="00F3371A"/>
    <w:rsid w:val="00F338F7"/>
    <w:rsid w:val="00F33AF3"/>
    <w:rsid w:val="00F33E12"/>
    <w:rsid w:val="00F33F1F"/>
    <w:rsid w:val="00F3427C"/>
    <w:rsid w:val="00F34414"/>
    <w:rsid w:val="00F3479C"/>
    <w:rsid w:val="00F358F5"/>
    <w:rsid w:val="00F359DB"/>
    <w:rsid w:val="00F35E80"/>
    <w:rsid w:val="00F361A3"/>
    <w:rsid w:val="00F362E8"/>
    <w:rsid w:val="00F3644E"/>
    <w:rsid w:val="00F369C3"/>
    <w:rsid w:val="00F36DC2"/>
    <w:rsid w:val="00F36F92"/>
    <w:rsid w:val="00F372EA"/>
    <w:rsid w:val="00F37CC6"/>
    <w:rsid w:val="00F408EE"/>
    <w:rsid w:val="00F4092B"/>
    <w:rsid w:val="00F4160B"/>
    <w:rsid w:val="00F41AB8"/>
    <w:rsid w:val="00F4273A"/>
    <w:rsid w:val="00F4289C"/>
    <w:rsid w:val="00F42AA3"/>
    <w:rsid w:val="00F42F5F"/>
    <w:rsid w:val="00F44A4B"/>
    <w:rsid w:val="00F44ADA"/>
    <w:rsid w:val="00F4519B"/>
    <w:rsid w:val="00F455DF"/>
    <w:rsid w:val="00F459F3"/>
    <w:rsid w:val="00F4636B"/>
    <w:rsid w:val="00F46587"/>
    <w:rsid w:val="00F4658F"/>
    <w:rsid w:val="00F469ED"/>
    <w:rsid w:val="00F46C73"/>
    <w:rsid w:val="00F46C93"/>
    <w:rsid w:val="00F47589"/>
    <w:rsid w:val="00F47931"/>
    <w:rsid w:val="00F47E42"/>
    <w:rsid w:val="00F50117"/>
    <w:rsid w:val="00F50EFC"/>
    <w:rsid w:val="00F51438"/>
    <w:rsid w:val="00F515A4"/>
    <w:rsid w:val="00F52040"/>
    <w:rsid w:val="00F52ED2"/>
    <w:rsid w:val="00F534B7"/>
    <w:rsid w:val="00F534CF"/>
    <w:rsid w:val="00F53CF6"/>
    <w:rsid w:val="00F54614"/>
    <w:rsid w:val="00F55200"/>
    <w:rsid w:val="00F552A3"/>
    <w:rsid w:val="00F557B5"/>
    <w:rsid w:val="00F55A74"/>
    <w:rsid w:val="00F55F97"/>
    <w:rsid w:val="00F56DAA"/>
    <w:rsid w:val="00F56ED4"/>
    <w:rsid w:val="00F57E28"/>
    <w:rsid w:val="00F60ACE"/>
    <w:rsid w:val="00F60F62"/>
    <w:rsid w:val="00F6122C"/>
    <w:rsid w:val="00F612D6"/>
    <w:rsid w:val="00F613A7"/>
    <w:rsid w:val="00F61BF5"/>
    <w:rsid w:val="00F62D69"/>
    <w:rsid w:val="00F6313C"/>
    <w:rsid w:val="00F6329E"/>
    <w:rsid w:val="00F6331B"/>
    <w:rsid w:val="00F63629"/>
    <w:rsid w:val="00F63AB6"/>
    <w:rsid w:val="00F63F9D"/>
    <w:rsid w:val="00F6503B"/>
    <w:rsid w:val="00F66D8F"/>
    <w:rsid w:val="00F67797"/>
    <w:rsid w:val="00F6791C"/>
    <w:rsid w:val="00F67D34"/>
    <w:rsid w:val="00F67DF9"/>
    <w:rsid w:val="00F707ED"/>
    <w:rsid w:val="00F70FDF"/>
    <w:rsid w:val="00F7140A"/>
    <w:rsid w:val="00F7153C"/>
    <w:rsid w:val="00F715D8"/>
    <w:rsid w:val="00F717F0"/>
    <w:rsid w:val="00F724A4"/>
    <w:rsid w:val="00F72898"/>
    <w:rsid w:val="00F72918"/>
    <w:rsid w:val="00F72F94"/>
    <w:rsid w:val="00F7383F"/>
    <w:rsid w:val="00F738E3"/>
    <w:rsid w:val="00F73B2E"/>
    <w:rsid w:val="00F73CC1"/>
    <w:rsid w:val="00F740E7"/>
    <w:rsid w:val="00F7421B"/>
    <w:rsid w:val="00F7429F"/>
    <w:rsid w:val="00F74B5C"/>
    <w:rsid w:val="00F752E9"/>
    <w:rsid w:val="00F75715"/>
    <w:rsid w:val="00F7587A"/>
    <w:rsid w:val="00F75A6C"/>
    <w:rsid w:val="00F75BC6"/>
    <w:rsid w:val="00F75CFD"/>
    <w:rsid w:val="00F75F0E"/>
    <w:rsid w:val="00F75FC5"/>
    <w:rsid w:val="00F762D5"/>
    <w:rsid w:val="00F762FE"/>
    <w:rsid w:val="00F76320"/>
    <w:rsid w:val="00F763A5"/>
    <w:rsid w:val="00F7646F"/>
    <w:rsid w:val="00F76DF7"/>
    <w:rsid w:val="00F7717A"/>
    <w:rsid w:val="00F774BE"/>
    <w:rsid w:val="00F779AE"/>
    <w:rsid w:val="00F77A33"/>
    <w:rsid w:val="00F8030D"/>
    <w:rsid w:val="00F8079D"/>
    <w:rsid w:val="00F80889"/>
    <w:rsid w:val="00F80B28"/>
    <w:rsid w:val="00F80BFF"/>
    <w:rsid w:val="00F820AA"/>
    <w:rsid w:val="00F8237E"/>
    <w:rsid w:val="00F8287A"/>
    <w:rsid w:val="00F83601"/>
    <w:rsid w:val="00F8540B"/>
    <w:rsid w:val="00F8562F"/>
    <w:rsid w:val="00F857B1"/>
    <w:rsid w:val="00F86038"/>
    <w:rsid w:val="00F862CE"/>
    <w:rsid w:val="00F8674D"/>
    <w:rsid w:val="00F86A73"/>
    <w:rsid w:val="00F87735"/>
    <w:rsid w:val="00F87FA2"/>
    <w:rsid w:val="00F90273"/>
    <w:rsid w:val="00F904DA"/>
    <w:rsid w:val="00F9084A"/>
    <w:rsid w:val="00F9104E"/>
    <w:rsid w:val="00F91081"/>
    <w:rsid w:val="00F910B8"/>
    <w:rsid w:val="00F910C2"/>
    <w:rsid w:val="00F91AA5"/>
    <w:rsid w:val="00F91EE5"/>
    <w:rsid w:val="00F9200D"/>
    <w:rsid w:val="00F92905"/>
    <w:rsid w:val="00F93441"/>
    <w:rsid w:val="00F937C2"/>
    <w:rsid w:val="00F93DB7"/>
    <w:rsid w:val="00F94E85"/>
    <w:rsid w:val="00F953A2"/>
    <w:rsid w:val="00F9559D"/>
    <w:rsid w:val="00F95658"/>
    <w:rsid w:val="00F956F6"/>
    <w:rsid w:val="00F95CD0"/>
    <w:rsid w:val="00F95E71"/>
    <w:rsid w:val="00F964AA"/>
    <w:rsid w:val="00F96724"/>
    <w:rsid w:val="00F967F3"/>
    <w:rsid w:val="00F97A7F"/>
    <w:rsid w:val="00FA0369"/>
    <w:rsid w:val="00FA067D"/>
    <w:rsid w:val="00FA0685"/>
    <w:rsid w:val="00FA1550"/>
    <w:rsid w:val="00FA1F01"/>
    <w:rsid w:val="00FA231F"/>
    <w:rsid w:val="00FA234A"/>
    <w:rsid w:val="00FA245B"/>
    <w:rsid w:val="00FA2B24"/>
    <w:rsid w:val="00FA3BD2"/>
    <w:rsid w:val="00FA4857"/>
    <w:rsid w:val="00FA4DDF"/>
    <w:rsid w:val="00FA5523"/>
    <w:rsid w:val="00FA581C"/>
    <w:rsid w:val="00FA5ABD"/>
    <w:rsid w:val="00FA5B43"/>
    <w:rsid w:val="00FA5BF3"/>
    <w:rsid w:val="00FA5C08"/>
    <w:rsid w:val="00FA68EF"/>
    <w:rsid w:val="00FA6CA1"/>
    <w:rsid w:val="00FA7562"/>
    <w:rsid w:val="00FA768E"/>
    <w:rsid w:val="00FA7755"/>
    <w:rsid w:val="00FA7A0E"/>
    <w:rsid w:val="00FA7E3A"/>
    <w:rsid w:val="00FA7E66"/>
    <w:rsid w:val="00FB07A3"/>
    <w:rsid w:val="00FB08C5"/>
    <w:rsid w:val="00FB093A"/>
    <w:rsid w:val="00FB0AAC"/>
    <w:rsid w:val="00FB1772"/>
    <w:rsid w:val="00FB17D9"/>
    <w:rsid w:val="00FB196F"/>
    <w:rsid w:val="00FB19F1"/>
    <w:rsid w:val="00FB1CE4"/>
    <w:rsid w:val="00FB1EDC"/>
    <w:rsid w:val="00FB2145"/>
    <w:rsid w:val="00FB22C6"/>
    <w:rsid w:val="00FB3160"/>
    <w:rsid w:val="00FB32EE"/>
    <w:rsid w:val="00FB35C2"/>
    <w:rsid w:val="00FB39E3"/>
    <w:rsid w:val="00FB3EB0"/>
    <w:rsid w:val="00FB423F"/>
    <w:rsid w:val="00FB42E6"/>
    <w:rsid w:val="00FB4336"/>
    <w:rsid w:val="00FB4378"/>
    <w:rsid w:val="00FB4451"/>
    <w:rsid w:val="00FB4499"/>
    <w:rsid w:val="00FB451E"/>
    <w:rsid w:val="00FB4688"/>
    <w:rsid w:val="00FB4B4D"/>
    <w:rsid w:val="00FB52EE"/>
    <w:rsid w:val="00FB5588"/>
    <w:rsid w:val="00FB57E9"/>
    <w:rsid w:val="00FB5D63"/>
    <w:rsid w:val="00FB5E6C"/>
    <w:rsid w:val="00FB5F7D"/>
    <w:rsid w:val="00FB64BA"/>
    <w:rsid w:val="00FB703C"/>
    <w:rsid w:val="00FB7753"/>
    <w:rsid w:val="00FC03FE"/>
    <w:rsid w:val="00FC043E"/>
    <w:rsid w:val="00FC10C1"/>
    <w:rsid w:val="00FC1509"/>
    <w:rsid w:val="00FC208F"/>
    <w:rsid w:val="00FC20D4"/>
    <w:rsid w:val="00FC2177"/>
    <w:rsid w:val="00FC236A"/>
    <w:rsid w:val="00FC269A"/>
    <w:rsid w:val="00FC2970"/>
    <w:rsid w:val="00FC2AB0"/>
    <w:rsid w:val="00FC2B06"/>
    <w:rsid w:val="00FC2EB5"/>
    <w:rsid w:val="00FC3843"/>
    <w:rsid w:val="00FC3AE0"/>
    <w:rsid w:val="00FC42A4"/>
    <w:rsid w:val="00FC473D"/>
    <w:rsid w:val="00FC4E10"/>
    <w:rsid w:val="00FC4E3E"/>
    <w:rsid w:val="00FC5943"/>
    <w:rsid w:val="00FC5F93"/>
    <w:rsid w:val="00FC5FF8"/>
    <w:rsid w:val="00FC6044"/>
    <w:rsid w:val="00FC6648"/>
    <w:rsid w:val="00FC69E0"/>
    <w:rsid w:val="00FC742D"/>
    <w:rsid w:val="00FC7670"/>
    <w:rsid w:val="00FC7700"/>
    <w:rsid w:val="00FC7BBE"/>
    <w:rsid w:val="00FC7F18"/>
    <w:rsid w:val="00FD0645"/>
    <w:rsid w:val="00FD0752"/>
    <w:rsid w:val="00FD0AB9"/>
    <w:rsid w:val="00FD0F47"/>
    <w:rsid w:val="00FD0F94"/>
    <w:rsid w:val="00FD136F"/>
    <w:rsid w:val="00FD13A6"/>
    <w:rsid w:val="00FD1A22"/>
    <w:rsid w:val="00FD1E62"/>
    <w:rsid w:val="00FD1F8A"/>
    <w:rsid w:val="00FD20A0"/>
    <w:rsid w:val="00FD2194"/>
    <w:rsid w:val="00FD2758"/>
    <w:rsid w:val="00FD364D"/>
    <w:rsid w:val="00FD36C3"/>
    <w:rsid w:val="00FD37EE"/>
    <w:rsid w:val="00FD37F7"/>
    <w:rsid w:val="00FD3A38"/>
    <w:rsid w:val="00FD416D"/>
    <w:rsid w:val="00FD4E7C"/>
    <w:rsid w:val="00FD5196"/>
    <w:rsid w:val="00FD57C6"/>
    <w:rsid w:val="00FD57E6"/>
    <w:rsid w:val="00FD5CC0"/>
    <w:rsid w:val="00FD5D03"/>
    <w:rsid w:val="00FD62F6"/>
    <w:rsid w:val="00FD6D63"/>
    <w:rsid w:val="00FD71EA"/>
    <w:rsid w:val="00FE01A0"/>
    <w:rsid w:val="00FE09CF"/>
    <w:rsid w:val="00FE0F85"/>
    <w:rsid w:val="00FE1CF0"/>
    <w:rsid w:val="00FE21B9"/>
    <w:rsid w:val="00FE2276"/>
    <w:rsid w:val="00FE23C0"/>
    <w:rsid w:val="00FE26DC"/>
    <w:rsid w:val="00FE28C8"/>
    <w:rsid w:val="00FE4076"/>
    <w:rsid w:val="00FE460D"/>
    <w:rsid w:val="00FE4CDB"/>
    <w:rsid w:val="00FE4FC1"/>
    <w:rsid w:val="00FE53EE"/>
    <w:rsid w:val="00FE54AB"/>
    <w:rsid w:val="00FE5679"/>
    <w:rsid w:val="00FE611E"/>
    <w:rsid w:val="00FE63E3"/>
    <w:rsid w:val="00FE6772"/>
    <w:rsid w:val="00FE7408"/>
    <w:rsid w:val="00FE7A6A"/>
    <w:rsid w:val="00FF0079"/>
    <w:rsid w:val="00FF0A48"/>
    <w:rsid w:val="00FF0D2D"/>
    <w:rsid w:val="00FF13C0"/>
    <w:rsid w:val="00FF14AE"/>
    <w:rsid w:val="00FF1818"/>
    <w:rsid w:val="00FF2257"/>
    <w:rsid w:val="00FF2832"/>
    <w:rsid w:val="00FF2C6D"/>
    <w:rsid w:val="00FF2E04"/>
    <w:rsid w:val="00FF33A2"/>
    <w:rsid w:val="00FF3D92"/>
    <w:rsid w:val="00FF4588"/>
    <w:rsid w:val="00FF5C00"/>
    <w:rsid w:val="00FF7545"/>
    <w:rsid w:val="00FF7892"/>
    <w:rsid w:val="00FF78ED"/>
    <w:rsid w:val="01972083"/>
    <w:rsid w:val="022D788A"/>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2D77A4"/>
    <w:rsid w:val="13A7597A"/>
    <w:rsid w:val="13FF2634"/>
    <w:rsid w:val="15391ABB"/>
    <w:rsid w:val="15593FDA"/>
    <w:rsid w:val="15AE4B87"/>
    <w:rsid w:val="179A6FD9"/>
    <w:rsid w:val="187C5B4E"/>
    <w:rsid w:val="18C74C95"/>
    <w:rsid w:val="19753E3E"/>
    <w:rsid w:val="19A02DAE"/>
    <w:rsid w:val="19C041EF"/>
    <w:rsid w:val="1A8341FD"/>
    <w:rsid w:val="1AD51017"/>
    <w:rsid w:val="1BD45386"/>
    <w:rsid w:val="1CC11438"/>
    <w:rsid w:val="1CE526E3"/>
    <w:rsid w:val="1D96126E"/>
    <w:rsid w:val="1E857F5E"/>
    <w:rsid w:val="1E871DFC"/>
    <w:rsid w:val="1EC10791"/>
    <w:rsid w:val="20B84283"/>
    <w:rsid w:val="20F075AA"/>
    <w:rsid w:val="257B5704"/>
    <w:rsid w:val="26A92FC0"/>
    <w:rsid w:val="26DC5A27"/>
    <w:rsid w:val="272B6B3D"/>
    <w:rsid w:val="278438D4"/>
    <w:rsid w:val="28E11D97"/>
    <w:rsid w:val="2B11400F"/>
    <w:rsid w:val="2B9C76A8"/>
    <w:rsid w:val="2C912600"/>
    <w:rsid w:val="2D3217E6"/>
    <w:rsid w:val="2D701E44"/>
    <w:rsid w:val="2DD94620"/>
    <w:rsid w:val="2E7C1E51"/>
    <w:rsid w:val="2EEE2968"/>
    <w:rsid w:val="2F4538CB"/>
    <w:rsid w:val="301C0D46"/>
    <w:rsid w:val="30FA0E87"/>
    <w:rsid w:val="31EE115B"/>
    <w:rsid w:val="32243E61"/>
    <w:rsid w:val="32434BB8"/>
    <w:rsid w:val="360E4AF9"/>
    <w:rsid w:val="364F01FD"/>
    <w:rsid w:val="376F1FA7"/>
    <w:rsid w:val="377F44C7"/>
    <w:rsid w:val="38F812E8"/>
    <w:rsid w:val="3A025CF3"/>
    <w:rsid w:val="3A637A6F"/>
    <w:rsid w:val="3A725C1A"/>
    <w:rsid w:val="3A9C2F14"/>
    <w:rsid w:val="3B0844E4"/>
    <w:rsid w:val="3BCB231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33D46"/>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4FF304A"/>
    <w:rsid w:val="7574524A"/>
    <w:rsid w:val="75E759DE"/>
    <w:rsid w:val="762131A1"/>
    <w:rsid w:val="768D00E3"/>
    <w:rsid w:val="773E4D48"/>
    <w:rsid w:val="77731CA2"/>
    <w:rsid w:val="780A11AD"/>
    <w:rsid w:val="78A046F1"/>
    <w:rsid w:val="79425CA6"/>
    <w:rsid w:val="7AD44587"/>
    <w:rsid w:val="7B205F79"/>
    <w:rsid w:val="7DD15933"/>
    <w:rsid w:val="7DFB40A3"/>
    <w:rsid w:val="7E7570C3"/>
    <w:rsid w:val="7E921764"/>
    <w:rsid w:val="7ECE194E"/>
    <w:rsid w:val="7EDA34EE"/>
    <w:rsid w:val="7FFD49ED"/>
    <w:rsid w:val="E5EE1B49"/>
    <w:rsid w:val="E74FB53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szCs w:val="20"/>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spacing w:before="260" w:after="260" w:line="413" w:lineRule="auto"/>
      <w:outlineLvl w:val="2"/>
    </w:pPr>
    <w:rPr>
      <w:b/>
      <w:sz w:val="32"/>
      <w:szCs w:val="20"/>
    </w:rPr>
  </w:style>
  <w:style w:type="character" w:default="1" w:styleId="25">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5">
    <w:name w:val="Document Map"/>
    <w:basedOn w:val="1"/>
    <w:qFormat/>
    <w:uiPriority w:val="0"/>
    <w:pPr>
      <w:shd w:val="clear" w:color="auto" w:fill="000080"/>
    </w:pPr>
    <w:rPr>
      <w:sz w:val="30"/>
      <w:szCs w:val="20"/>
    </w:rPr>
  </w:style>
  <w:style w:type="paragraph" w:styleId="6">
    <w:name w:val="annotation text"/>
    <w:basedOn w:val="1"/>
    <w:link w:val="33"/>
    <w:qFormat/>
    <w:uiPriority w:val="0"/>
    <w:pPr>
      <w:jc w:val="left"/>
    </w:pPr>
    <w:rPr>
      <w:rFonts w:ascii="Calibri" w:hAnsi="Calibri"/>
    </w:rPr>
  </w:style>
  <w:style w:type="paragraph" w:styleId="7">
    <w:name w:val="Body Text"/>
    <w:basedOn w:val="1"/>
    <w:qFormat/>
    <w:uiPriority w:val="0"/>
    <w:pPr>
      <w:spacing w:after="120"/>
    </w:pPr>
  </w:style>
  <w:style w:type="paragraph" w:styleId="8">
    <w:name w:val="Body Text Indent"/>
    <w:basedOn w:val="1"/>
    <w:link w:val="35"/>
    <w:qFormat/>
    <w:uiPriority w:val="0"/>
    <w:pPr>
      <w:spacing w:line="480" w:lineRule="exact"/>
      <w:ind w:firstLine="549" w:firstLineChars="196"/>
    </w:pPr>
    <w:rPr>
      <w:rFonts w:ascii="仿宋_GB2312" w:eastAsia="仿宋_GB2312" w:cs="Arial"/>
      <w:color w:val="000000"/>
      <w:sz w:val="28"/>
      <w:szCs w:val="24"/>
    </w:rPr>
  </w:style>
  <w:style w:type="paragraph" w:styleId="9">
    <w:name w:val="toc 3"/>
    <w:basedOn w:val="1"/>
    <w:next w:val="1"/>
    <w:qFormat/>
    <w:uiPriority w:val="39"/>
    <w:pPr>
      <w:tabs>
        <w:tab w:val="right" w:leader="dot" w:pos="9061"/>
      </w:tabs>
      <w:ind w:firstLine="602" w:firstLineChars="301"/>
      <w:jc w:val="left"/>
    </w:pPr>
    <w:rPr>
      <w:i/>
      <w:sz w:val="20"/>
      <w:szCs w:val="20"/>
    </w:rPr>
  </w:style>
  <w:style w:type="paragraph" w:styleId="10">
    <w:name w:val="Plain Text"/>
    <w:basedOn w:val="1"/>
    <w:link w:val="36"/>
    <w:qFormat/>
    <w:uiPriority w:val="0"/>
    <w:pPr>
      <w:adjustRightInd w:val="0"/>
      <w:spacing w:line="312" w:lineRule="atLeast"/>
      <w:textAlignment w:val="baseline"/>
    </w:pPr>
    <w:rPr>
      <w:rFonts w:ascii="宋体" w:hAnsi="Courier New"/>
      <w:kern w:val="0"/>
      <w:szCs w:val="20"/>
    </w:rPr>
  </w:style>
  <w:style w:type="paragraph" w:styleId="11">
    <w:name w:val="Date"/>
    <w:basedOn w:val="1"/>
    <w:next w:val="1"/>
    <w:qFormat/>
    <w:uiPriority w:val="0"/>
    <w:rPr>
      <w:rFonts w:ascii="宋体"/>
      <w:color w:val="000000"/>
      <w:kern w:val="0"/>
      <w:sz w:val="30"/>
      <w:szCs w:val="20"/>
    </w:rPr>
  </w:style>
  <w:style w:type="paragraph" w:styleId="12">
    <w:name w:val="Body Text Indent 2"/>
    <w:basedOn w:val="1"/>
    <w:qFormat/>
    <w:uiPriority w:val="0"/>
    <w:pPr>
      <w:autoSpaceDE w:val="0"/>
      <w:autoSpaceDN w:val="0"/>
      <w:adjustRightInd w:val="0"/>
      <w:ind w:left="1260" w:hanging="660"/>
      <w:jc w:val="left"/>
    </w:pPr>
    <w:rPr>
      <w:rFonts w:ascii="方正仿宋简体" w:eastAsia="方正仿宋简体"/>
      <w:color w:val="000000"/>
      <w:kern w:val="0"/>
      <w:sz w:val="30"/>
      <w:szCs w:val="20"/>
    </w:rPr>
  </w:style>
  <w:style w:type="paragraph" w:styleId="13">
    <w:name w:val="Balloon Text"/>
    <w:basedOn w:val="1"/>
    <w:qFormat/>
    <w:uiPriority w:val="0"/>
    <w:rPr>
      <w:sz w:val="18"/>
      <w:szCs w:val="20"/>
    </w:rPr>
  </w:style>
  <w:style w:type="paragraph" w:styleId="14">
    <w:name w:val="footer"/>
    <w:basedOn w:val="1"/>
    <w:link w:val="32"/>
    <w:qFormat/>
    <w:uiPriority w:val="99"/>
    <w:pPr>
      <w:tabs>
        <w:tab w:val="center" w:pos="4153"/>
        <w:tab w:val="right" w:pos="8306"/>
      </w:tabs>
      <w:snapToGrid w:val="0"/>
      <w:jc w:val="left"/>
    </w:pPr>
    <w:rPr>
      <w:sz w:val="18"/>
      <w:szCs w:val="20"/>
    </w:rPr>
  </w:style>
  <w:style w:type="paragraph" w:styleId="15">
    <w:name w:val="header"/>
    <w:basedOn w:val="1"/>
    <w:link w:val="31"/>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39"/>
    <w:pPr>
      <w:autoSpaceDE w:val="0"/>
      <w:autoSpaceDN w:val="0"/>
      <w:adjustRightInd w:val="0"/>
      <w:spacing w:line="420" w:lineRule="exact"/>
      <w:jc w:val="left"/>
    </w:pPr>
    <w:rPr>
      <w:rFonts w:ascii="宋体" w:hAnsi="宋体"/>
      <w:caps/>
      <w:kern w:val="0"/>
      <w:sz w:val="28"/>
      <w:szCs w:val="20"/>
    </w:rPr>
  </w:style>
  <w:style w:type="paragraph" w:styleId="17">
    <w:name w:val="Body Text Indent 3"/>
    <w:basedOn w:val="1"/>
    <w:qFormat/>
    <w:uiPriority w:val="0"/>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18">
    <w:name w:val="toc 2"/>
    <w:basedOn w:val="1"/>
    <w:next w:val="1"/>
    <w:qFormat/>
    <w:uiPriority w:val="39"/>
    <w:pPr>
      <w:tabs>
        <w:tab w:val="right" w:leader="dot" w:pos="9061"/>
      </w:tabs>
      <w:ind w:firstLine="601" w:firstLineChars="286"/>
      <w:jc w:val="left"/>
    </w:pPr>
    <w:rPr>
      <w:rFonts w:ascii="楷体_GB2312" w:eastAsia="楷体_GB2312"/>
      <w:smallCaps/>
      <w:kern w:val="0"/>
      <w:szCs w:val="20"/>
    </w:rPr>
  </w:style>
  <w:style w:type="paragraph" w:styleId="19">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link w:val="39"/>
    <w:qFormat/>
    <w:uiPriority w:val="0"/>
    <w:pPr>
      <w:spacing w:before="240" w:after="60"/>
      <w:jc w:val="center"/>
      <w:outlineLvl w:val="0"/>
    </w:pPr>
    <w:rPr>
      <w:rFonts w:ascii="Cambria" w:hAnsi="Cambria"/>
      <w:b/>
      <w:bCs/>
      <w:sz w:val="32"/>
      <w:szCs w:val="32"/>
    </w:rPr>
  </w:style>
  <w:style w:type="paragraph" w:styleId="22">
    <w:name w:val="annotation subject"/>
    <w:basedOn w:val="6"/>
    <w:next w:val="6"/>
    <w:link w:val="34"/>
    <w:qFormat/>
    <w:uiPriority w:val="0"/>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22"/>
    <w:rPr>
      <w:b/>
      <w:bCs/>
    </w:rPr>
  </w:style>
  <w:style w:type="character" w:styleId="27">
    <w:name w:val="page number"/>
    <w:basedOn w:val="25"/>
    <w:qFormat/>
    <w:uiPriority w:val="0"/>
  </w:style>
  <w:style w:type="character" w:styleId="28">
    <w:name w:val="Hyperlink"/>
    <w:uiPriority w:val="99"/>
    <w:rPr>
      <w:color w:val="0000FF"/>
      <w:u w:val="single"/>
    </w:rPr>
  </w:style>
  <w:style w:type="character" w:styleId="29">
    <w:name w:val="annotation reference"/>
    <w:qFormat/>
    <w:uiPriority w:val="0"/>
    <w:rPr>
      <w:sz w:val="21"/>
      <w:szCs w:val="21"/>
    </w:rPr>
  </w:style>
  <w:style w:type="character" w:customStyle="1" w:styleId="30">
    <w:name w:val="HTML 预设格式 Char"/>
    <w:link w:val="19"/>
    <w:qFormat/>
    <w:uiPriority w:val="99"/>
    <w:rPr>
      <w:rFonts w:ascii="宋体" w:hAnsi="宋体" w:cs="宋体"/>
      <w:sz w:val="24"/>
      <w:szCs w:val="24"/>
    </w:rPr>
  </w:style>
  <w:style w:type="character" w:customStyle="1" w:styleId="31">
    <w:name w:val="页眉 Char"/>
    <w:link w:val="15"/>
    <w:qFormat/>
    <w:uiPriority w:val="0"/>
    <w:rPr>
      <w:kern w:val="2"/>
      <w:sz w:val="18"/>
    </w:rPr>
  </w:style>
  <w:style w:type="character" w:customStyle="1" w:styleId="32">
    <w:name w:val="页脚 Char"/>
    <w:link w:val="14"/>
    <w:uiPriority w:val="99"/>
    <w:rPr>
      <w:kern w:val="2"/>
      <w:sz w:val="18"/>
    </w:rPr>
  </w:style>
  <w:style w:type="character" w:customStyle="1" w:styleId="33">
    <w:name w:val="批注文字 Char"/>
    <w:link w:val="6"/>
    <w:qFormat/>
    <w:uiPriority w:val="0"/>
    <w:rPr>
      <w:rFonts w:ascii="Calibri" w:hAnsi="Calibri"/>
      <w:kern w:val="2"/>
      <w:sz w:val="21"/>
      <w:szCs w:val="22"/>
    </w:rPr>
  </w:style>
  <w:style w:type="character" w:customStyle="1" w:styleId="34">
    <w:name w:val="批注主题 Char"/>
    <w:link w:val="22"/>
    <w:uiPriority w:val="0"/>
    <w:rPr>
      <w:rFonts w:ascii="Calibri" w:hAnsi="Calibri"/>
      <w:b/>
      <w:bCs/>
      <w:kern w:val="2"/>
      <w:sz w:val="21"/>
      <w:szCs w:val="22"/>
    </w:rPr>
  </w:style>
  <w:style w:type="character" w:customStyle="1" w:styleId="35">
    <w:name w:val="正文文本缩进 Char"/>
    <w:link w:val="8"/>
    <w:locked/>
    <w:uiPriority w:val="0"/>
    <w:rPr>
      <w:rFonts w:ascii="仿宋_GB2312" w:eastAsia="仿宋_GB2312" w:cs="Arial"/>
      <w:color w:val="000000"/>
      <w:kern w:val="2"/>
      <w:sz w:val="28"/>
      <w:szCs w:val="24"/>
      <w:lang w:val="en-US" w:eastAsia="zh-CN" w:bidi="ar-SA"/>
    </w:rPr>
  </w:style>
  <w:style w:type="character" w:customStyle="1" w:styleId="36">
    <w:name w:val="纯文本 Char"/>
    <w:link w:val="10"/>
    <w:qFormat/>
    <w:uiPriority w:val="0"/>
    <w:rPr>
      <w:rFonts w:ascii="宋体" w:hAnsi="Courier New" w:eastAsia="宋体"/>
      <w:sz w:val="21"/>
      <w:lang w:val="en-US" w:eastAsia="zh-CN" w:bidi="ar-SA"/>
    </w:rPr>
  </w:style>
  <w:style w:type="character" w:customStyle="1" w:styleId="37">
    <w:name w:val="普通文字1 Char1"/>
    <w:qFormat/>
    <w:uiPriority w:val="0"/>
    <w:rPr>
      <w:rFonts w:ascii="宋体" w:hAnsi="Courier New" w:eastAsia="宋体"/>
      <w:kern w:val="2"/>
      <w:sz w:val="21"/>
      <w:lang w:val="en-US" w:eastAsia="zh-CN" w:bidi="ar-SA"/>
    </w:rPr>
  </w:style>
  <w:style w:type="character" w:customStyle="1" w:styleId="38">
    <w:name w:val="纯文本 Char1"/>
    <w:qFormat/>
    <w:uiPriority w:val="0"/>
    <w:rPr>
      <w:rFonts w:ascii="宋体" w:hAnsi="Courier New" w:eastAsia="宋体"/>
      <w:sz w:val="21"/>
      <w:lang w:val="en-US" w:eastAsia="zh-CN" w:bidi="ar-SA"/>
    </w:rPr>
  </w:style>
  <w:style w:type="character" w:customStyle="1" w:styleId="39">
    <w:name w:val="标题 Char"/>
    <w:link w:val="21"/>
    <w:qFormat/>
    <w:uiPriority w:val="0"/>
    <w:rPr>
      <w:rFonts w:ascii="Cambria" w:hAnsi="Cambria" w:cs="Times New Roman"/>
      <w:b/>
      <w:bCs/>
      <w:kern w:val="2"/>
      <w:sz w:val="32"/>
      <w:szCs w:val="32"/>
    </w:rPr>
  </w:style>
  <w:style w:type="paragraph" w:customStyle="1" w:styleId="40">
    <w:name w:val="列出段落1"/>
    <w:basedOn w:val="1"/>
    <w:qFormat/>
    <w:uiPriority w:val="0"/>
    <w:pPr>
      <w:ind w:firstLine="420" w:firstLineChars="200"/>
    </w:pPr>
  </w:style>
  <w:style w:type="paragraph" w:customStyle="1" w:styleId="41">
    <w:name w:val="纯文本1"/>
    <w:basedOn w:val="1"/>
    <w:qFormat/>
    <w:uiPriority w:val="0"/>
    <w:rPr>
      <w:rFonts w:ascii="宋体" w:hAnsi="Courier New"/>
      <w:kern w:val="0"/>
      <w:sz w:val="20"/>
      <w:szCs w:val="20"/>
    </w:rPr>
  </w:style>
  <w:style w:type="paragraph" w:customStyle="1" w:styleId="42">
    <w:name w:val="Inside Address"/>
    <w:basedOn w:val="7"/>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43">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4">
    <w:name w:val="cST text"/>
    <w:basedOn w:val="1"/>
    <w:qFormat/>
    <w:uiPriority w:val="0"/>
    <w:pPr>
      <w:spacing w:beforeLines="50" w:line="360" w:lineRule="auto"/>
    </w:pPr>
    <w:rPr>
      <w:sz w:val="24"/>
      <w:szCs w:val="20"/>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paragraph" w:customStyle="1" w:styleId="47">
    <w:name w:val="Char Char Char Char Char Char Char Char Char Char"/>
    <w:basedOn w:val="1"/>
    <w:qFormat/>
    <w:uiPriority w:val="0"/>
    <w:pPr>
      <w:widowControl/>
      <w:spacing w:after="160" w:line="240" w:lineRule="exact"/>
      <w:jc w:val="left"/>
    </w:pPr>
    <w:rPr>
      <w:szCs w:val="20"/>
    </w:rPr>
  </w:style>
  <w:style w:type="paragraph" w:customStyle="1" w:styleId="48">
    <w:name w:val="Char"/>
    <w:basedOn w:val="5"/>
    <w:qFormat/>
    <w:uiPriority w:val="0"/>
    <w:pPr>
      <w:widowControl/>
      <w:ind w:firstLine="454"/>
      <w:jc w:val="left"/>
    </w:pPr>
    <w:rPr>
      <w:rFonts w:ascii="Tahoma" w:hAnsi="Tahoma"/>
      <w:kern w:val="0"/>
      <w:sz w:val="24"/>
    </w:rPr>
  </w:style>
  <w:style w:type="paragraph" w:customStyle="1" w:styleId="49">
    <w:name w:val="缺省文本"/>
    <w:basedOn w:val="1"/>
    <w:qFormat/>
    <w:uiPriority w:val="0"/>
    <w:pPr>
      <w:autoSpaceDE w:val="0"/>
      <w:autoSpaceDN w:val="0"/>
      <w:adjustRightInd w:val="0"/>
      <w:spacing w:before="20" w:after="20" w:line="400" w:lineRule="atLeast"/>
      <w:ind w:firstLine="504"/>
      <w:jc w:val="left"/>
    </w:pPr>
    <w:rPr>
      <w:kern w:val="0"/>
      <w:sz w:val="24"/>
      <w:szCs w:val="20"/>
    </w:rPr>
  </w:style>
  <w:style w:type="paragraph" w:customStyle="1" w:styleId="50">
    <w:name w:val="Char Char Char Char Char Char Char Char Char Char Char Char"/>
    <w:basedOn w:val="1"/>
    <w:uiPriority w:val="0"/>
    <w:rPr>
      <w:rFonts w:ascii="宋体" w:hAnsi="宋体" w:cs="Courier New"/>
      <w:sz w:val="32"/>
      <w:szCs w:val="32"/>
    </w:rPr>
  </w:style>
  <w:style w:type="paragraph" w:styleId="51">
    <w:name w:val="List Paragraph"/>
    <w:basedOn w:val="1"/>
    <w:qFormat/>
    <w:uiPriority w:val="34"/>
    <w:pPr>
      <w:ind w:firstLine="420" w:firstLineChars="200"/>
    </w:pPr>
  </w:style>
  <w:style w:type="paragraph" w:customStyle="1" w:styleId="52">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53">
    <w:name w:val="列出段落2"/>
    <w:basedOn w:val="1"/>
    <w:qFormat/>
    <w:uiPriority w:val="0"/>
    <w:pPr>
      <w:ind w:firstLine="420" w:firstLineChars="200"/>
    </w:pPr>
  </w:style>
  <w:style w:type="paragraph" w:customStyle="1" w:styleId="54">
    <w:name w:val="TOC 标题1"/>
    <w:basedOn w:val="2"/>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character" w:styleId="55">
    <w:name w:val="Placeholder Text"/>
    <w:basedOn w:val="25"/>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Version="6" StyleName="APA"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B7131-47D8-49FF-B3D7-03A6CF8FE09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4246</Words>
  <Characters>24206</Characters>
  <Lines>201</Lines>
  <Paragraphs>56</Paragraphs>
  <TotalTime>0</TotalTime>
  <ScaleCrop>false</ScaleCrop>
  <LinksUpToDate>false</LinksUpToDate>
  <CharactersWithSpaces>28396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2018-05-14T10:01:00Z</dcterms:created>
  <dc:creator>NNRT</dc:creator>
  <cp:lastModifiedBy>谭艳玲</cp:lastModifiedBy>
  <cp:lastPrinted>2023-11-14T10:56:00Z</cp:lastPrinted>
  <dcterms:modified xsi:type="dcterms:W3CDTF">2024-01-03T11:07:21Z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374FA65A1F254162A0A9C234E93650EF_12</vt:lpwstr>
  </property>
</Properties>
</file>