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right="-57" w:firstLine="0"/>
        <w:rPr>
          <w:rFonts w:ascii="宋体" w:hAnsi="宋体"/>
          <w:highlight w:val="none"/>
        </w:rPr>
      </w:pPr>
    </w:p>
    <w:p>
      <w:pPr>
        <w:shd w:val="clear"/>
        <w:spacing w:before="0"/>
        <w:ind w:left="0" w:right="-57" w:firstLine="0"/>
        <w:jc w:val="center"/>
        <w:outlineLvl w:val="0"/>
        <w:rPr>
          <w:rFonts w:hint="eastAsia" w:ascii="宋体" w:hAnsi="宋体" w:eastAsia="宋体" w:cs="宋体"/>
          <w:b/>
          <w:bCs w:val="0"/>
          <w:spacing w:val="-4"/>
          <w:sz w:val="44"/>
          <w:szCs w:val="44"/>
          <w:highlight w:val="none"/>
        </w:rPr>
      </w:pPr>
      <w:bookmarkStart w:id="0" w:name="_Toc3860"/>
      <w:bookmarkStart w:id="1" w:name="_Toc32766"/>
      <w:bookmarkStart w:id="2" w:name="_Toc25812"/>
      <w:bookmarkStart w:id="3" w:name="_Toc31617"/>
      <w:bookmarkStart w:id="4" w:name="_Toc9454"/>
      <w:bookmarkStart w:id="5" w:name="_Toc26203"/>
      <w:bookmarkStart w:id="6" w:name="_Toc32387"/>
      <w:bookmarkStart w:id="7" w:name="_Toc20586"/>
      <w:bookmarkStart w:id="8" w:name="_Toc6394"/>
      <w:bookmarkStart w:id="9" w:name="_Toc21382"/>
      <w:r>
        <w:rPr>
          <w:rFonts w:hint="eastAsia" w:ascii="宋体" w:hAnsi="宋体" w:eastAsia="宋体" w:cs="宋体"/>
          <w:b/>
          <w:bCs w:val="0"/>
          <w:spacing w:val="-4"/>
          <w:sz w:val="44"/>
          <w:szCs w:val="44"/>
          <w:highlight w:val="none"/>
        </w:rPr>
        <w:t>南宁轨道交通1-5号线叉车委外维保项目（2024-2027）</w:t>
      </w:r>
      <w:bookmarkEnd w:id="0"/>
      <w:bookmarkEnd w:id="1"/>
      <w:bookmarkEnd w:id="2"/>
      <w:bookmarkEnd w:id="3"/>
      <w:bookmarkEnd w:id="4"/>
      <w:bookmarkEnd w:id="5"/>
      <w:bookmarkEnd w:id="6"/>
      <w:bookmarkEnd w:id="7"/>
      <w:bookmarkEnd w:id="8"/>
      <w:bookmarkEnd w:id="9"/>
    </w:p>
    <w:p>
      <w:pPr>
        <w:shd w:val="clear"/>
        <w:spacing w:before="0"/>
        <w:ind w:left="0" w:right="-57" w:firstLine="0"/>
        <w:jc w:val="center"/>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比选文件</w:t>
      </w:r>
    </w:p>
    <w:p>
      <w:pPr>
        <w:shd w:val="clear"/>
        <w:spacing w:before="720"/>
        <w:ind w:left="1801" w:right="-57" w:hanging="180"/>
        <w:rPr>
          <w:rFonts w:hint="eastAsia" w:ascii="宋体" w:hAnsi="宋体" w:eastAsia="宋体" w:cs="宋体"/>
          <w:b/>
          <w:sz w:val="44"/>
          <w:szCs w:val="44"/>
          <w:highlight w:val="none"/>
        </w:rPr>
      </w:pPr>
    </w:p>
    <w:p>
      <w:pPr>
        <w:shd w:val="clear"/>
        <w:spacing w:before="0"/>
        <w:ind w:left="0" w:right="-57" w:firstLine="0"/>
        <w:rPr>
          <w:rFonts w:hint="eastAsia" w:ascii="宋体" w:hAnsi="宋体" w:eastAsia="宋体" w:cs="宋体"/>
          <w:sz w:val="44"/>
          <w:szCs w:val="44"/>
          <w:highlight w:val="none"/>
        </w:rPr>
      </w:pPr>
    </w:p>
    <w:p>
      <w:pPr>
        <w:shd w:val="clear"/>
        <w:spacing w:before="0"/>
        <w:ind w:left="1801" w:right="-57" w:hanging="180"/>
        <w:outlineLvl w:val="0"/>
        <w:rPr>
          <w:rFonts w:hint="eastAsia" w:ascii="宋体" w:hAnsi="宋体" w:eastAsia="宋体" w:cs="宋体"/>
          <w:b/>
          <w:sz w:val="44"/>
          <w:szCs w:val="44"/>
          <w:highlight w:val="none"/>
          <w:u w:val="single"/>
        </w:rPr>
      </w:pPr>
      <w:bookmarkStart w:id="10" w:name="_Toc25793"/>
      <w:bookmarkStart w:id="11" w:name="_Toc14945"/>
      <w:bookmarkStart w:id="12" w:name="_Toc6353"/>
      <w:bookmarkStart w:id="13" w:name="_Toc2099"/>
      <w:bookmarkStart w:id="14" w:name="_Toc23700"/>
      <w:bookmarkStart w:id="15" w:name="_Toc23661"/>
      <w:bookmarkStart w:id="16" w:name="_Toc27459"/>
      <w:bookmarkStart w:id="17" w:name="_Toc16264"/>
      <w:bookmarkStart w:id="18" w:name="_Toc20439"/>
      <w:bookmarkStart w:id="19" w:name="_Toc5508"/>
      <w:r>
        <w:rPr>
          <w:rFonts w:hint="eastAsia" w:ascii="宋体" w:hAnsi="宋体" w:eastAsia="宋体" w:cs="宋体"/>
          <w:b/>
          <w:sz w:val="44"/>
          <w:szCs w:val="44"/>
          <w:highlight w:val="none"/>
        </w:rPr>
        <w:t>项目编号：202311020012</w:t>
      </w:r>
      <w:bookmarkEnd w:id="10"/>
      <w:bookmarkEnd w:id="11"/>
      <w:bookmarkEnd w:id="12"/>
      <w:bookmarkEnd w:id="13"/>
      <w:bookmarkEnd w:id="14"/>
      <w:bookmarkEnd w:id="15"/>
      <w:bookmarkEnd w:id="16"/>
      <w:bookmarkEnd w:id="17"/>
      <w:bookmarkEnd w:id="18"/>
      <w:bookmarkEnd w:id="19"/>
    </w:p>
    <w:p>
      <w:pPr>
        <w:shd w:val="clear"/>
        <w:spacing w:before="0"/>
        <w:ind w:left="1801" w:right="-57" w:hanging="180"/>
        <w:outlineLvl w:val="0"/>
        <w:rPr>
          <w:rFonts w:hint="eastAsia" w:ascii="宋体" w:hAnsi="宋体" w:eastAsia="宋体" w:cs="宋体"/>
          <w:b/>
          <w:sz w:val="44"/>
          <w:szCs w:val="44"/>
          <w:highlight w:val="none"/>
          <w:u w:val="single"/>
        </w:rPr>
      </w:pPr>
      <w:bookmarkStart w:id="20" w:name="_Toc21340"/>
      <w:bookmarkStart w:id="21" w:name="_Toc27492"/>
      <w:bookmarkStart w:id="22" w:name="_Toc11809"/>
      <w:bookmarkStart w:id="23" w:name="_Toc24957"/>
      <w:bookmarkStart w:id="24" w:name="_Toc31753"/>
      <w:bookmarkStart w:id="25" w:name="_Toc4901"/>
      <w:bookmarkStart w:id="26" w:name="_Toc28577"/>
      <w:bookmarkStart w:id="27" w:name="_Toc15562"/>
      <w:bookmarkStart w:id="28" w:name="_Toc7635"/>
      <w:bookmarkStart w:id="29" w:name="_Toc2727"/>
      <w:r>
        <w:rPr>
          <w:rFonts w:hint="eastAsia" w:ascii="宋体" w:hAnsi="宋体" w:eastAsia="宋体" w:cs="宋体"/>
          <w:b/>
          <w:sz w:val="44"/>
          <w:szCs w:val="44"/>
          <w:highlight w:val="none"/>
        </w:rPr>
        <w:t>比选人：</w:t>
      </w:r>
      <w:r>
        <w:rPr>
          <w:rFonts w:hint="eastAsia" w:ascii="宋体" w:hAnsi="宋体" w:eastAsia="宋体" w:cs="宋体"/>
          <w:b/>
          <w:sz w:val="44"/>
          <w:szCs w:val="44"/>
          <w:highlight w:val="none"/>
          <w:u w:val="single"/>
        </w:rPr>
        <w:t>南宁轨道交通运营有限公司</w:t>
      </w:r>
      <w:bookmarkEnd w:id="20"/>
      <w:bookmarkEnd w:id="21"/>
      <w:bookmarkEnd w:id="22"/>
      <w:bookmarkEnd w:id="23"/>
      <w:bookmarkEnd w:id="24"/>
      <w:bookmarkEnd w:id="25"/>
      <w:bookmarkEnd w:id="26"/>
      <w:bookmarkEnd w:id="27"/>
      <w:bookmarkEnd w:id="28"/>
      <w:bookmarkEnd w:id="29"/>
    </w:p>
    <w:p>
      <w:pPr>
        <w:shd w:val="clear"/>
        <w:spacing w:before="0"/>
        <w:ind w:right="-57" w:firstLine="435"/>
        <w:jc w:val="center"/>
        <w:rPr>
          <w:rFonts w:hint="eastAsia" w:ascii="宋体" w:hAnsi="宋体" w:eastAsia="宋体" w:cs="宋体"/>
          <w:sz w:val="44"/>
          <w:szCs w:val="44"/>
          <w:highlight w:val="none"/>
        </w:rPr>
      </w:pPr>
    </w:p>
    <w:p>
      <w:pPr>
        <w:shd w:val="clear"/>
        <w:spacing w:before="0"/>
        <w:ind w:left="0" w:leftChars="0" w:right="-57" w:firstLine="0" w:firstLineChars="0"/>
        <w:jc w:val="center"/>
        <w:rPr>
          <w:rFonts w:hint="eastAsia" w:ascii="宋体" w:hAnsi="宋体" w:eastAsia="宋体" w:cs="宋体"/>
          <w:b/>
          <w:sz w:val="44"/>
          <w:szCs w:val="44"/>
          <w:highlight w:val="none"/>
        </w:rPr>
        <w:sectPr>
          <w:footerReference r:id="rId5" w:type="first"/>
          <w:headerReference r:id="rId3" w:type="default"/>
          <w:footerReference r:id="rId4" w:type="default"/>
          <w:pgSz w:w="11905" w:h="16838"/>
          <w:pgMar w:top="1417" w:right="1417" w:bottom="1417" w:left="1417" w:header="454" w:footer="567" w:gutter="0"/>
          <w:pgNumType w:fmt="decimal" w:start="1" w:chapStyle="1"/>
          <w:cols w:space="720" w:num="1"/>
          <w:docGrid w:linePitch="312" w:charSpace="0"/>
        </w:sectPr>
      </w:pPr>
      <w:r>
        <w:rPr>
          <w:rFonts w:hint="eastAsia" w:ascii="宋体" w:hAnsi="宋体" w:eastAsia="宋体" w:cs="宋体"/>
          <w:b/>
          <w:sz w:val="44"/>
          <w:szCs w:val="44"/>
          <w:highlight w:val="none"/>
        </w:rPr>
        <w:t>202</w:t>
      </w:r>
      <w:r>
        <w:rPr>
          <w:rFonts w:hint="eastAsia" w:ascii="宋体" w:hAnsi="宋体" w:cs="宋体"/>
          <w:b/>
          <w:sz w:val="44"/>
          <w:szCs w:val="44"/>
          <w:highlight w:val="none"/>
          <w:lang w:val="en-US" w:eastAsia="zh-CN"/>
        </w:rPr>
        <w:t>4</w:t>
      </w:r>
      <w:r>
        <w:rPr>
          <w:rFonts w:hint="eastAsia" w:ascii="宋体" w:hAnsi="宋体" w:eastAsia="宋体" w:cs="宋体"/>
          <w:b/>
          <w:sz w:val="44"/>
          <w:szCs w:val="44"/>
          <w:highlight w:val="none"/>
        </w:rPr>
        <w:t>年</w:t>
      </w:r>
      <w:r>
        <w:rPr>
          <w:rFonts w:hint="eastAsia" w:ascii="宋体" w:hAnsi="宋体" w:cs="宋体"/>
          <w:b/>
          <w:sz w:val="44"/>
          <w:szCs w:val="44"/>
          <w:highlight w:val="none"/>
          <w:lang w:val="en-US" w:eastAsia="zh-CN"/>
        </w:rPr>
        <w:t>2</w:t>
      </w:r>
      <w:r>
        <w:rPr>
          <w:rFonts w:hint="eastAsia" w:ascii="宋体" w:hAnsi="宋体" w:eastAsia="宋体" w:cs="宋体"/>
          <w:b/>
          <w:sz w:val="44"/>
          <w:szCs w:val="44"/>
          <w:highlight w:val="none"/>
        </w:rPr>
        <w:t>月</w:t>
      </w:r>
    </w:p>
    <w:sdt>
      <w:sdtPr>
        <w:rPr>
          <w:rFonts w:ascii="宋体" w:hAnsi="宋体" w:eastAsia="宋体" w:cs="Times New Roman"/>
          <w:sz w:val="21"/>
          <w:szCs w:val="21"/>
          <w:lang w:val="en-US" w:eastAsia="zh-CN" w:bidi="ar-SA"/>
        </w:rPr>
        <w:id w:val="147464944"/>
        <w15:color w:val="DBDBDB"/>
        <w:docPartObj>
          <w:docPartGallery w:val="Table of Contents"/>
          <w:docPartUnique/>
        </w:docPartObj>
      </w:sdtPr>
      <w:sdtEndPr>
        <w:rPr>
          <w:rFonts w:hint="eastAsia" w:ascii="Times New Roman" w:hAnsi="Times New Roman" w:eastAsia="宋体" w:cs="Times New Roman"/>
          <w:b/>
          <w:sz w:val="28"/>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28"/>
              <w:szCs w:val="28"/>
            </w:rPr>
          </w:pPr>
          <w:r>
            <w:rPr>
              <w:rFonts w:hint="eastAsia" w:ascii="仿宋" w:hAnsi="仿宋" w:eastAsia="仿宋" w:cs="仿宋"/>
              <w:sz w:val="28"/>
              <w:szCs w:val="28"/>
            </w:rPr>
            <w:t>目录</w:t>
          </w:r>
        </w:p>
        <w:p>
          <w:pPr>
            <w:pStyle w:val="20"/>
            <w:tabs>
              <w:tab w:val="right" w:leader="dot" w:pos="9071"/>
            </w:tabs>
            <w:spacing w:line="240" w:lineRule="auto"/>
            <w:ind w:left="0" w:firstLine="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rPr>
              <w:rFonts w:hint="eastAsia" w:ascii="仿宋" w:hAnsi="仿宋" w:eastAsia="仿宋" w:cs="仿宋"/>
              <w:szCs w:val="28"/>
            </w:rPr>
            <w:fldChar w:fldCharType="begin"/>
          </w:r>
          <w:r>
            <w:rPr>
              <w:rFonts w:hint="eastAsia" w:ascii="仿宋" w:hAnsi="仿宋" w:eastAsia="仿宋" w:cs="仿宋"/>
              <w:szCs w:val="28"/>
            </w:rPr>
            <w:instrText xml:space="preserve"> HYPERLINK \l _Toc2744 </w:instrText>
          </w:r>
          <w:r>
            <w:rPr>
              <w:rFonts w:hint="eastAsia" w:ascii="仿宋" w:hAnsi="仿宋" w:eastAsia="仿宋" w:cs="仿宋"/>
              <w:szCs w:val="28"/>
            </w:rPr>
            <w:fldChar w:fldCharType="separate"/>
          </w:r>
          <w:r>
            <w:rPr>
              <w:rFonts w:hint="eastAsia" w:ascii="宋体" w:hAnsi="宋体" w:eastAsia="宋体" w:cs="Times New Roman"/>
              <w:highlight w:val="none"/>
            </w:rPr>
            <w:t>第一章</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比选公告</w:t>
          </w:r>
          <w:r>
            <w:tab/>
          </w:r>
          <w:r>
            <w:fldChar w:fldCharType="begin"/>
          </w:r>
          <w:r>
            <w:instrText xml:space="preserve"> PAGEREF _Toc2744 \h </w:instrText>
          </w:r>
          <w:r>
            <w:fldChar w:fldCharType="separate"/>
          </w:r>
          <w:r>
            <w:t>1</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_Toc12380 </w:instrText>
          </w:r>
          <w:r>
            <w:rPr>
              <w:rFonts w:hint="eastAsia" w:ascii="仿宋" w:hAnsi="仿宋" w:eastAsia="仿宋" w:cs="仿宋"/>
              <w:szCs w:val="28"/>
            </w:rPr>
            <w:fldChar w:fldCharType="separate"/>
          </w:r>
          <w:r>
            <w:rPr>
              <w:rFonts w:hint="eastAsia" w:ascii="宋体" w:hAnsi="宋体" w:eastAsia="宋体"/>
              <w:highlight w:val="none"/>
            </w:rPr>
            <w:t>第二章</w:t>
          </w:r>
          <w:r>
            <w:rPr>
              <w:rFonts w:hint="eastAsia" w:hAnsi="宋体"/>
              <w:highlight w:val="none"/>
              <w:lang w:val="en-US" w:eastAsia="zh-CN"/>
            </w:rPr>
            <w:t xml:space="preserve"> </w:t>
          </w:r>
          <w:r>
            <w:rPr>
              <w:rFonts w:hint="eastAsia" w:ascii="宋体" w:hAnsi="宋体" w:eastAsia="宋体"/>
              <w:highlight w:val="none"/>
            </w:rPr>
            <w:t>比选申请须知</w:t>
          </w:r>
          <w:r>
            <w:tab/>
          </w:r>
          <w:r>
            <w:fldChar w:fldCharType="begin"/>
          </w:r>
          <w:r>
            <w:instrText xml:space="preserve"> PAGEREF _Toc12380 \h </w:instrText>
          </w:r>
          <w:r>
            <w:fldChar w:fldCharType="separate"/>
          </w:r>
          <w:r>
            <w:t>3</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_Toc13025 </w:instrText>
          </w:r>
          <w:r>
            <w:rPr>
              <w:rFonts w:hint="eastAsia" w:ascii="仿宋" w:hAnsi="仿宋" w:eastAsia="仿宋" w:cs="仿宋"/>
              <w:szCs w:val="28"/>
            </w:rPr>
            <w:fldChar w:fldCharType="separate"/>
          </w:r>
          <w:r>
            <w:rPr>
              <w:rFonts w:hint="eastAsia" w:ascii="宋体" w:hAnsi="宋体"/>
              <w:bCs/>
              <w:szCs w:val="24"/>
              <w:highlight w:val="none"/>
            </w:rPr>
            <w:t>一、</w:t>
          </w:r>
          <w:r>
            <w:rPr>
              <w:rFonts w:ascii="宋体" w:hAnsi="宋体"/>
              <w:bCs/>
              <w:szCs w:val="24"/>
              <w:highlight w:val="none"/>
            </w:rPr>
            <w:t>说明</w:t>
          </w:r>
          <w:r>
            <w:tab/>
          </w:r>
          <w:r>
            <w:fldChar w:fldCharType="begin"/>
          </w:r>
          <w:r>
            <w:instrText xml:space="preserve"> PAGEREF _Toc13025 \h </w:instrText>
          </w:r>
          <w:r>
            <w:fldChar w:fldCharType="separate"/>
          </w:r>
          <w:r>
            <w:t>7</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_Toc22678 </w:instrText>
          </w:r>
          <w:r>
            <w:rPr>
              <w:rFonts w:hint="eastAsia" w:ascii="仿宋" w:hAnsi="仿宋" w:eastAsia="仿宋" w:cs="仿宋"/>
              <w:szCs w:val="28"/>
            </w:rPr>
            <w:fldChar w:fldCharType="separate"/>
          </w:r>
          <w:r>
            <w:rPr>
              <w:rFonts w:hint="eastAsia" w:ascii="宋体" w:hAnsi="宋体" w:eastAsia="宋体"/>
              <w:bCs/>
              <w:szCs w:val="24"/>
              <w:highlight w:val="none"/>
            </w:rPr>
            <w:t>二、比选文件</w:t>
          </w:r>
          <w:r>
            <w:tab/>
          </w:r>
          <w:r>
            <w:fldChar w:fldCharType="begin"/>
          </w:r>
          <w:r>
            <w:instrText xml:space="preserve"> PAGEREF _Toc22678 \h </w:instrText>
          </w:r>
          <w:r>
            <w:fldChar w:fldCharType="separate"/>
          </w:r>
          <w:r>
            <w:t>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_Toc4506 </w:instrText>
          </w:r>
          <w:r>
            <w:rPr>
              <w:rFonts w:hint="eastAsia" w:ascii="仿宋" w:hAnsi="仿宋" w:eastAsia="仿宋" w:cs="仿宋"/>
              <w:szCs w:val="28"/>
            </w:rPr>
            <w:fldChar w:fldCharType="separate"/>
          </w:r>
          <w:r>
            <w:rPr>
              <w:rFonts w:hint="eastAsia" w:ascii="宋体" w:hAnsi="宋体"/>
              <w:bCs/>
              <w:szCs w:val="24"/>
              <w:highlight w:val="none"/>
            </w:rPr>
            <w:t>三、</w:t>
          </w:r>
          <w:r>
            <w:rPr>
              <w:rFonts w:ascii="宋体" w:hAnsi="宋体"/>
              <w:bCs/>
              <w:szCs w:val="24"/>
              <w:highlight w:val="none"/>
            </w:rPr>
            <w:t>比选申请文件的编制</w:t>
          </w:r>
          <w:r>
            <w:tab/>
          </w:r>
          <w:r>
            <w:fldChar w:fldCharType="begin"/>
          </w:r>
          <w:r>
            <w:instrText xml:space="preserve"> PAGEREF _Toc4506 \h </w:instrText>
          </w:r>
          <w:r>
            <w:fldChar w:fldCharType="separate"/>
          </w:r>
          <w:r>
            <w:t>9</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_Toc4689 </w:instrText>
          </w:r>
          <w:r>
            <w:rPr>
              <w:rFonts w:hint="eastAsia" w:ascii="仿宋" w:hAnsi="仿宋" w:eastAsia="仿宋" w:cs="仿宋"/>
              <w:szCs w:val="28"/>
            </w:rPr>
            <w:fldChar w:fldCharType="separate"/>
          </w:r>
          <w:r>
            <w:rPr>
              <w:rFonts w:hint="eastAsia" w:ascii="宋体" w:hAnsi="宋体"/>
              <w:bCs/>
              <w:szCs w:val="24"/>
              <w:highlight w:val="none"/>
            </w:rPr>
            <w:t>四、</w:t>
          </w:r>
          <w:r>
            <w:rPr>
              <w:rFonts w:ascii="宋体" w:hAnsi="宋体"/>
              <w:bCs/>
              <w:szCs w:val="24"/>
              <w:highlight w:val="none"/>
            </w:rPr>
            <w:t>比选申请文件</w:t>
          </w:r>
          <w:r>
            <w:rPr>
              <w:rFonts w:hint="eastAsia" w:ascii="宋体" w:hAnsi="宋体"/>
              <w:bCs/>
              <w:szCs w:val="24"/>
              <w:highlight w:val="none"/>
            </w:rPr>
            <w:t>的密封和递交</w:t>
          </w:r>
          <w:r>
            <w:tab/>
          </w:r>
          <w:r>
            <w:fldChar w:fldCharType="begin"/>
          </w:r>
          <w:r>
            <w:instrText xml:space="preserve"> PAGEREF _Toc4689 \h </w:instrText>
          </w:r>
          <w:r>
            <w:fldChar w:fldCharType="separate"/>
          </w:r>
          <w:r>
            <w:t>11</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_Toc20054 </w:instrText>
          </w:r>
          <w:r>
            <w:rPr>
              <w:rFonts w:hint="eastAsia" w:ascii="仿宋" w:hAnsi="仿宋" w:eastAsia="仿宋" w:cs="仿宋"/>
              <w:szCs w:val="28"/>
            </w:rPr>
            <w:fldChar w:fldCharType="separate"/>
          </w:r>
          <w:r>
            <w:rPr>
              <w:rFonts w:hint="eastAsia" w:ascii="宋体" w:hAnsi="宋体"/>
              <w:bCs/>
              <w:szCs w:val="24"/>
              <w:highlight w:val="none"/>
            </w:rPr>
            <w:t>五、比选申请文件递交与评审</w:t>
          </w:r>
          <w:r>
            <w:tab/>
          </w:r>
          <w:r>
            <w:fldChar w:fldCharType="begin"/>
          </w:r>
          <w:r>
            <w:instrText xml:space="preserve"> PAGEREF _Toc20054 \h </w:instrText>
          </w:r>
          <w:r>
            <w:fldChar w:fldCharType="separate"/>
          </w:r>
          <w:r>
            <w:t>12</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_Toc23413 </w:instrText>
          </w:r>
          <w:r>
            <w:rPr>
              <w:rFonts w:hint="eastAsia" w:ascii="仿宋" w:hAnsi="仿宋" w:eastAsia="仿宋" w:cs="仿宋"/>
              <w:szCs w:val="28"/>
            </w:rPr>
            <w:fldChar w:fldCharType="separate"/>
          </w:r>
          <w:r>
            <w:rPr>
              <w:rFonts w:hint="eastAsia" w:ascii="宋体" w:hAnsi="宋体"/>
              <w:bCs/>
              <w:szCs w:val="24"/>
              <w:highlight w:val="none"/>
            </w:rPr>
            <w:t>六、</w:t>
          </w:r>
          <w:r>
            <w:rPr>
              <w:rFonts w:ascii="宋体" w:hAnsi="宋体"/>
              <w:bCs/>
              <w:szCs w:val="24"/>
              <w:highlight w:val="none"/>
            </w:rPr>
            <w:t>授予合同</w:t>
          </w:r>
          <w:r>
            <w:tab/>
          </w:r>
          <w:r>
            <w:fldChar w:fldCharType="begin"/>
          </w:r>
          <w:r>
            <w:instrText xml:space="preserve"> PAGEREF _Toc23413 \h </w:instrText>
          </w:r>
          <w:r>
            <w:fldChar w:fldCharType="separate"/>
          </w:r>
          <w:r>
            <w:t>14</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_Toc15741 </w:instrText>
          </w:r>
          <w:r>
            <w:rPr>
              <w:rFonts w:hint="eastAsia" w:ascii="仿宋" w:hAnsi="仿宋" w:eastAsia="仿宋" w:cs="仿宋"/>
              <w:szCs w:val="28"/>
            </w:rPr>
            <w:fldChar w:fldCharType="separate"/>
          </w:r>
          <w:r>
            <w:rPr>
              <w:rFonts w:hint="eastAsia" w:ascii="宋体" w:hAnsi="宋体" w:eastAsia="宋体"/>
              <w:highlight w:val="none"/>
            </w:rPr>
            <w:t>第三章</w:t>
          </w:r>
          <w:r>
            <w:rPr>
              <w:rFonts w:hint="eastAsia" w:hAnsi="宋体"/>
              <w:highlight w:val="none"/>
              <w:lang w:val="en-US" w:eastAsia="zh-CN"/>
            </w:rPr>
            <w:t xml:space="preserve"> </w:t>
          </w:r>
          <w:r>
            <w:rPr>
              <w:rFonts w:hint="eastAsia" w:ascii="宋体" w:hAnsi="宋体" w:eastAsia="宋体"/>
              <w:highlight w:val="none"/>
            </w:rPr>
            <w:t>合同条款及格式</w:t>
          </w:r>
          <w:r>
            <w:tab/>
          </w:r>
          <w:r>
            <w:fldChar w:fldCharType="begin"/>
          </w:r>
          <w:r>
            <w:instrText xml:space="preserve"> PAGEREF _Toc15741 \h </w:instrText>
          </w:r>
          <w:r>
            <w:fldChar w:fldCharType="separate"/>
          </w:r>
          <w:r>
            <w:t>16</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_Toc3341 </w:instrText>
          </w:r>
          <w:r>
            <w:rPr>
              <w:rFonts w:hint="eastAsia" w:ascii="仿宋" w:hAnsi="仿宋" w:eastAsia="仿宋" w:cs="仿宋"/>
              <w:szCs w:val="28"/>
            </w:rPr>
            <w:fldChar w:fldCharType="separate"/>
          </w:r>
          <w:r>
            <w:rPr>
              <w:rFonts w:hint="eastAsia" w:ascii="宋体" w:hAnsi="宋体"/>
              <w:szCs w:val="24"/>
              <w:highlight w:val="none"/>
            </w:rPr>
            <w:t>一、合同协议书</w:t>
          </w:r>
          <w:r>
            <w:tab/>
          </w:r>
          <w:r>
            <w:fldChar w:fldCharType="begin"/>
          </w:r>
          <w:r>
            <w:instrText xml:space="preserve"> PAGEREF _Toc3341 \h </w:instrText>
          </w:r>
          <w:r>
            <w:fldChar w:fldCharType="separate"/>
          </w:r>
          <w:r>
            <w:t>16</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_Toc3480 </w:instrText>
          </w:r>
          <w:r>
            <w:rPr>
              <w:rFonts w:hint="eastAsia" w:ascii="仿宋" w:hAnsi="仿宋" w:eastAsia="仿宋" w:cs="仿宋"/>
              <w:szCs w:val="28"/>
            </w:rPr>
            <w:fldChar w:fldCharType="separate"/>
          </w:r>
          <w:r>
            <w:rPr>
              <w:rFonts w:hint="eastAsia" w:ascii="宋体" w:hAnsi="宋体"/>
              <w:szCs w:val="24"/>
              <w:lang w:val="en-US" w:eastAsia="zh-CN"/>
            </w:rPr>
            <w:t xml:space="preserve">二、 </w:t>
          </w:r>
          <w:r>
            <w:rPr>
              <w:rFonts w:hint="eastAsia" w:ascii="宋体" w:hAnsi="宋体"/>
              <w:szCs w:val="24"/>
              <w:highlight w:val="none"/>
              <w:lang w:val="en-US" w:eastAsia="zh-CN"/>
            </w:rPr>
            <w:t>中选通知书</w:t>
          </w:r>
          <w:r>
            <w:tab/>
          </w:r>
          <w:r>
            <w:fldChar w:fldCharType="begin"/>
          </w:r>
          <w:r>
            <w:instrText xml:space="preserve"> PAGEREF _Toc3480 \h </w:instrText>
          </w:r>
          <w:r>
            <w:fldChar w:fldCharType="separate"/>
          </w:r>
          <w:r>
            <w:t>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_Toc3643 </w:instrText>
          </w:r>
          <w:r>
            <w:rPr>
              <w:rFonts w:hint="eastAsia" w:ascii="仿宋" w:hAnsi="仿宋" w:eastAsia="仿宋" w:cs="仿宋"/>
              <w:szCs w:val="28"/>
            </w:rPr>
            <w:fldChar w:fldCharType="separate"/>
          </w:r>
          <w:r>
            <w:rPr>
              <w:rFonts w:hint="eastAsia" w:ascii="宋体" w:hAnsi="宋体"/>
              <w:szCs w:val="24"/>
            </w:rPr>
            <w:t xml:space="preserve">三、 </w:t>
          </w:r>
          <w:r>
            <w:rPr>
              <w:rFonts w:hint="eastAsia" w:ascii="宋体" w:hAnsi="宋体"/>
              <w:szCs w:val="24"/>
              <w:highlight w:val="none"/>
            </w:rPr>
            <w:t>合同条款</w:t>
          </w:r>
          <w:r>
            <w:tab/>
          </w:r>
          <w:r>
            <w:fldChar w:fldCharType="begin"/>
          </w:r>
          <w:r>
            <w:instrText xml:space="preserve"> PAGEREF _Toc3643 \h </w:instrText>
          </w:r>
          <w:r>
            <w:fldChar w:fldCharType="separate"/>
          </w:r>
          <w:r>
            <w:t>19</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_Toc18029 </w:instrText>
          </w:r>
          <w:r>
            <w:rPr>
              <w:rFonts w:hint="eastAsia" w:ascii="仿宋" w:hAnsi="仿宋" w:eastAsia="仿宋" w:cs="仿宋"/>
              <w:szCs w:val="28"/>
            </w:rPr>
            <w:fldChar w:fldCharType="separate"/>
          </w:r>
          <w:r>
            <w:rPr>
              <w:rFonts w:hint="eastAsia" w:ascii="宋体" w:hAnsi="宋体" w:eastAsia="宋体" w:cs="Courier New"/>
              <w:kern w:val="2"/>
              <w:szCs w:val="24"/>
              <w:highlight w:val="none"/>
            </w:rPr>
            <w:t>四、价格组成文件</w:t>
          </w:r>
          <w:r>
            <w:tab/>
          </w:r>
          <w:r>
            <w:fldChar w:fldCharType="begin"/>
          </w:r>
          <w:r>
            <w:instrText xml:space="preserve"> PAGEREF _Toc18029 \h </w:instrText>
          </w:r>
          <w:r>
            <w:fldChar w:fldCharType="separate"/>
          </w:r>
          <w:r>
            <w:t>33</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_Toc7098 </w:instrText>
          </w:r>
          <w:r>
            <w:rPr>
              <w:rFonts w:hint="eastAsia" w:ascii="仿宋" w:hAnsi="仿宋" w:eastAsia="仿宋" w:cs="仿宋"/>
              <w:szCs w:val="28"/>
            </w:rPr>
            <w:fldChar w:fldCharType="separate"/>
          </w:r>
          <w:r>
            <w:rPr>
              <w:rFonts w:hint="eastAsia" w:hAnsi="宋体"/>
              <w:szCs w:val="24"/>
              <w:highlight w:val="none"/>
            </w:rPr>
            <w:t>五、技术规格书</w:t>
          </w:r>
          <w:r>
            <w:tab/>
          </w:r>
          <w:r>
            <w:fldChar w:fldCharType="begin"/>
          </w:r>
          <w:r>
            <w:instrText xml:space="preserve"> PAGEREF _Toc7098 \h </w:instrText>
          </w:r>
          <w:r>
            <w:fldChar w:fldCharType="separate"/>
          </w:r>
          <w:r>
            <w:t>34</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_Toc28362 </w:instrText>
          </w:r>
          <w:r>
            <w:rPr>
              <w:rFonts w:hint="eastAsia" w:ascii="仿宋" w:hAnsi="仿宋" w:eastAsia="仿宋" w:cs="仿宋"/>
              <w:szCs w:val="28"/>
            </w:rPr>
            <w:fldChar w:fldCharType="separate"/>
          </w:r>
          <w:r>
            <w:rPr>
              <w:rFonts w:hint="eastAsia" w:hAnsi="宋体"/>
              <w:szCs w:val="32"/>
            </w:rPr>
            <w:t xml:space="preserve">六、 </w:t>
          </w:r>
          <w:r>
            <w:rPr>
              <w:rFonts w:hint="eastAsia" w:hAnsi="宋体"/>
              <w:szCs w:val="32"/>
              <w:highlight w:val="none"/>
            </w:rPr>
            <w:t>合同附件及格式</w:t>
          </w:r>
          <w:r>
            <w:tab/>
          </w:r>
          <w:r>
            <w:fldChar w:fldCharType="begin"/>
          </w:r>
          <w:r>
            <w:instrText xml:space="preserve"> PAGEREF _Toc28362 \h </w:instrText>
          </w:r>
          <w:r>
            <w:fldChar w:fldCharType="separate"/>
          </w:r>
          <w:r>
            <w:t>35</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_Toc10800 </w:instrText>
          </w:r>
          <w:r>
            <w:rPr>
              <w:rFonts w:hint="eastAsia" w:ascii="仿宋" w:hAnsi="仿宋" w:eastAsia="仿宋" w:cs="仿宋"/>
              <w:szCs w:val="28"/>
            </w:rPr>
            <w:fldChar w:fldCharType="separate"/>
          </w:r>
          <w:r>
            <w:rPr>
              <w:rFonts w:hint="eastAsia" w:ascii="宋体" w:hAnsi="宋体" w:eastAsia="宋体"/>
              <w:highlight w:val="none"/>
            </w:rPr>
            <w:t>第四章</w:t>
          </w:r>
          <w:r>
            <w:rPr>
              <w:rFonts w:hint="eastAsia" w:hAnsi="宋体"/>
              <w:highlight w:val="none"/>
              <w:lang w:val="en-US" w:eastAsia="zh-CN"/>
            </w:rPr>
            <w:t xml:space="preserve"> </w:t>
          </w:r>
          <w:r>
            <w:rPr>
              <w:rFonts w:hint="eastAsia" w:ascii="宋体" w:hAnsi="宋体" w:eastAsia="宋体"/>
              <w:highlight w:val="none"/>
            </w:rPr>
            <w:t>比选申请文件格式</w:t>
          </w:r>
          <w:r>
            <w:tab/>
          </w:r>
          <w:r>
            <w:fldChar w:fldCharType="begin"/>
          </w:r>
          <w:r>
            <w:instrText xml:space="preserve"> PAGEREF _Toc10800 \h </w:instrText>
          </w:r>
          <w:r>
            <w:fldChar w:fldCharType="separate"/>
          </w:r>
          <w:r>
            <w:t>41</w:t>
          </w:r>
          <w:r>
            <w:fldChar w:fldCharType="end"/>
          </w:r>
          <w:r>
            <w:rPr>
              <w:rFonts w:hint="eastAsia" w:ascii="仿宋" w:hAnsi="仿宋" w:eastAsia="仿宋" w:cs="仿宋"/>
              <w:szCs w:val="28"/>
            </w:rPr>
            <w:fldChar w:fldCharType="end"/>
          </w:r>
        </w:p>
        <w:p>
          <w:pPr>
            <w:pStyle w:val="20"/>
            <w:tabs>
              <w:tab w:val="right" w:leader="dot" w:pos="9071"/>
            </w:tabs>
            <w:spacing w:line="240" w:lineRule="auto"/>
            <w:ind w:left="694" w:leftChars="195" w:hanging="285" w:hangingChars="136"/>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_Toc6834 </w:instrText>
          </w:r>
          <w:r>
            <w:rPr>
              <w:rFonts w:hint="eastAsia" w:ascii="仿宋" w:hAnsi="仿宋" w:eastAsia="仿宋" w:cs="仿宋"/>
              <w:szCs w:val="28"/>
            </w:rPr>
            <w:fldChar w:fldCharType="separate"/>
          </w:r>
          <w:r>
            <w:rPr>
              <w:szCs w:val="24"/>
              <w:highlight w:val="none"/>
            </w:rPr>
            <w:t>A  资格审查</w:t>
          </w:r>
          <w:r>
            <w:rPr>
              <w:rFonts w:hint="eastAsia"/>
              <w:szCs w:val="24"/>
              <w:highlight w:val="none"/>
            </w:rPr>
            <w:t>文件</w:t>
          </w:r>
          <w:r>
            <w:tab/>
          </w:r>
          <w:r>
            <w:fldChar w:fldCharType="begin"/>
          </w:r>
          <w:r>
            <w:instrText xml:space="preserve"> PAGEREF _Toc6834 \h </w:instrText>
          </w:r>
          <w:r>
            <w:fldChar w:fldCharType="separate"/>
          </w:r>
          <w:r>
            <w:t>41</w:t>
          </w:r>
          <w:r>
            <w:fldChar w:fldCharType="end"/>
          </w:r>
          <w:r>
            <w:rPr>
              <w:rFonts w:hint="eastAsia" w:ascii="仿宋" w:hAnsi="仿宋" w:eastAsia="仿宋" w:cs="仿宋"/>
              <w:szCs w:val="28"/>
            </w:rPr>
            <w:fldChar w:fldCharType="end"/>
          </w:r>
        </w:p>
        <w:p>
          <w:pPr>
            <w:pStyle w:val="20"/>
            <w:tabs>
              <w:tab w:val="right" w:leader="dot" w:pos="9071"/>
            </w:tabs>
            <w:spacing w:line="240" w:lineRule="auto"/>
            <w:ind w:left="694" w:leftChars="195" w:hanging="285" w:hangingChars="136"/>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_Toc29338 </w:instrText>
          </w:r>
          <w:r>
            <w:rPr>
              <w:rFonts w:hint="eastAsia" w:ascii="仿宋" w:hAnsi="仿宋" w:eastAsia="仿宋" w:cs="仿宋"/>
              <w:szCs w:val="28"/>
            </w:rPr>
            <w:fldChar w:fldCharType="separate"/>
          </w:r>
          <w:r>
            <w:rPr>
              <w:rFonts w:ascii="Times New Roman" w:hAnsi="Times New Roman" w:eastAsia="宋体" w:cs="Times New Roman"/>
              <w:szCs w:val="24"/>
              <w:highlight w:val="none"/>
            </w:rPr>
            <w:t xml:space="preserve">B </w:t>
          </w:r>
          <w:r>
            <w:rPr>
              <w:rFonts w:hint="eastAsia" w:ascii="Times New Roman" w:hAnsi="Times New Roman" w:eastAsia="宋体" w:cs="Times New Roman"/>
              <w:szCs w:val="24"/>
              <w:highlight w:val="none"/>
              <w:lang w:val="en-US" w:eastAsia="zh-CN"/>
            </w:rPr>
            <w:t>资信文件</w:t>
          </w:r>
          <w:r>
            <w:tab/>
          </w:r>
          <w:r>
            <w:fldChar w:fldCharType="begin"/>
          </w:r>
          <w:r>
            <w:instrText xml:space="preserve"> PAGEREF _Toc29338 \h </w:instrText>
          </w:r>
          <w:r>
            <w:fldChar w:fldCharType="separate"/>
          </w:r>
          <w:r>
            <w:t>46</w:t>
          </w:r>
          <w:r>
            <w:fldChar w:fldCharType="end"/>
          </w:r>
          <w:r>
            <w:rPr>
              <w:rFonts w:hint="eastAsia" w:ascii="仿宋" w:hAnsi="仿宋" w:eastAsia="仿宋" w:cs="仿宋"/>
              <w:szCs w:val="28"/>
            </w:rPr>
            <w:fldChar w:fldCharType="end"/>
          </w:r>
        </w:p>
        <w:p>
          <w:pPr>
            <w:pStyle w:val="20"/>
            <w:tabs>
              <w:tab w:val="right" w:leader="dot" w:pos="9071"/>
            </w:tabs>
            <w:spacing w:line="240" w:lineRule="auto"/>
            <w:ind w:left="0" w:firstLine="420" w:firstLineChars="200"/>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_Toc3047 </w:instrText>
          </w:r>
          <w:r>
            <w:rPr>
              <w:rFonts w:hint="eastAsia" w:ascii="仿宋" w:hAnsi="仿宋" w:eastAsia="仿宋" w:cs="仿宋"/>
              <w:szCs w:val="28"/>
            </w:rPr>
            <w:fldChar w:fldCharType="separate"/>
          </w:r>
          <w:r>
            <w:rPr>
              <w:rFonts w:hint="eastAsia" w:ascii="Times New Roman" w:hAnsi="Times New Roman" w:eastAsia="宋体" w:cs="Times New Roman"/>
              <w:szCs w:val="24"/>
              <w:highlight w:val="none"/>
              <w:lang w:val="en-US" w:eastAsia="zh-CN"/>
            </w:rPr>
            <w:t xml:space="preserve">C </w:t>
          </w:r>
          <w:r>
            <w:rPr>
              <w:rFonts w:ascii="Times New Roman" w:hAnsi="Times New Roman" w:eastAsia="宋体" w:cs="Times New Roman"/>
              <w:szCs w:val="24"/>
              <w:highlight w:val="none"/>
            </w:rPr>
            <w:t>技术</w:t>
          </w:r>
          <w:r>
            <w:rPr>
              <w:rFonts w:hint="eastAsia" w:ascii="Times New Roman" w:hAnsi="Times New Roman" w:eastAsia="宋体" w:cs="Times New Roman"/>
              <w:szCs w:val="24"/>
              <w:highlight w:val="none"/>
            </w:rPr>
            <w:t>文件</w:t>
          </w:r>
          <w:r>
            <w:tab/>
          </w:r>
          <w:r>
            <w:fldChar w:fldCharType="begin"/>
          </w:r>
          <w:r>
            <w:instrText xml:space="preserve"> PAGEREF _Toc3047 \h </w:instrText>
          </w:r>
          <w:r>
            <w:fldChar w:fldCharType="separate"/>
          </w:r>
          <w:r>
            <w:t>51</w:t>
          </w:r>
          <w:r>
            <w:fldChar w:fldCharType="end"/>
          </w:r>
          <w:r>
            <w:rPr>
              <w:rFonts w:hint="eastAsia" w:ascii="仿宋" w:hAnsi="仿宋" w:eastAsia="仿宋" w:cs="仿宋"/>
              <w:szCs w:val="28"/>
            </w:rPr>
            <w:fldChar w:fldCharType="end"/>
          </w:r>
        </w:p>
        <w:p>
          <w:pPr>
            <w:pStyle w:val="20"/>
            <w:tabs>
              <w:tab w:val="right" w:leader="dot" w:pos="9071"/>
            </w:tabs>
            <w:spacing w:line="240" w:lineRule="auto"/>
            <w:ind w:left="694" w:leftChars="195" w:hanging="285" w:hangingChars="136"/>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_Toc1410 </w:instrText>
          </w:r>
          <w:r>
            <w:rPr>
              <w:rFonts w:hint="eastAsia" w:ascii="仿宋" w:hAnsi="仿宋" w:eastAsia="仿宋" w:cs="仿宋"/>
              <w:szCs w:val="28"/>
            </w:rPr>
            <w:fldChar w:fldCharType="separate"/>
          </w:r>
          <w:r>
            <w:rPr>
              <w:rFonts w:hint="eastAsia" w:ascii="Times New Roman" w:hAnsi="Times New Roman" w:eastAsia="宋体" w:cs="Times New Roman"/>
              <w:szCs w:val="24"/>
              <w:highlight w:val="none"/>
              <w:lang w:val="en-US" w:eastAsia="zh-CN"/>
            </w:rPr>
            <w:t>D 价格文件</w:t>
          </w:r>
          <w:r>
            <w:tab/>
          </w:r>
          <w:r>
            <w:fldChar w:fldCharType="begin"/>
          </w:r>
          <w:r>
            <w:instrText xml:space="preserve"> PAGEREF _Toc1410 \h </w:instrText>
          </w:r>
          <w:r>
            <w:fldChar w:fldCharType="separate"/>
          </w:r>
          <w:r>
            <w:t>56</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_Toc16913 </w:instrText>
          </w:r>
          <w:r>
            <w:rPr>
              <w:rFonts w:hint="eastAsia" w:ascii="仿宋" w:hAnsi="仿宋" w:eastAsia="仿宋" w:cs="仿宋"/>
              <w:szCs w:val="28"/>
            </w:rPr>
            <w:fldChar w:fldCharType="separate"/>
          </w:r>
          <w:r>
            <w:rPr>
              <w:rFonts w:hint="eastAsia" w:ascii="宋体" w:hAnsi="宋体" w:eastAsia="宋体" w:cs="Times New Roman"/>
              <w:highlight w:val="none"/>
              <w:lang w:val="en-US" w:eastAsia="zh-CN" w:bidi="ar-SA"/>
            </w:rPr>
            <w:t>第五章 用户需求书</w:t>
          </w:r>
          <w:r>
            <w:tab/>
          </w:r>
          <w:r>
            <w:fldChar w:fldCharType="begin"/>
          </w:r>
          <w:r>
            <w:instrText xml:space="preserve"> PAGEREF _Toc16913 \h </w:instrText>
          </w:r>
          <w:r>
            <w:fldChar w:fldCharType="separate"/>
          </w:r>
          <w:r>
            <w:t>70</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_Toc6314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1 </w:t>
          </w:r>
          <w:r>
            <w:rPr>
              <w:rFonts w:hint="eastAsia" w:ascii="Times New Roman" w:hAnsi="Times New Roman" w:eastAsia="黑体" w:cs="黑体"/>
              <w:bCs/>
              <w:szCs w:val="28"/>
              <w:highlight w:val="none"/>
              <w:lang w:val="en-US" w:eastAsia="zh-CN" w:bidi="ar-SA"/>
            </w:rPr>
            <w:t>委外项目概况</w:t>
          </w:r>
          <w:r>
            <w:tab/>
          </w:r>
          <w:r>
            <w:fldChar w:fldCharType="begin"/>
          </w:r>
          <w:r>
            <w:instrText xml:space="preserve"> PAGEREF _Toc6314 \h </w:instrText>
          </w:r>
          <w:r>
            <w:fldChar w:fldCharType="separate"/>
          </w:r>
          <w:r>
            <w:t>70</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_Toc4918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2 </w:t>
          </w:r>
          <w:r>
            <w:rPr>
              <w:rFonts w:hint="eastAsia" w:ascii="Times New Roman" w:hAnsi="Times New Roman" w:eastAsia="黑体" w:cs="黑体"/>
              <w:bCs/>
              <w:szCs w:val="28"/>
              <w:highlight w:val="none"/>
              <w:lang w:val="en-US" w:eastAsia="zh-CN" w:bidi="ar-SA"/>
            </w:rPr>
            <w:t>委外项目范围</w:t>
          </w:r>
          <w:r>
            <w:tab/>
          </w:r>
          <w:r>
            <w:fldChar w:fldCharType="begin"/>
          </w:r>
          <w:r>
            <w:instrText xml:space="preserve"> PAGEREF _Toc4918 \h </w:instrText>
          </w:r>
          <w:r>
            <w:fldChar w:fldCharType="separate"/>
          </w:r>
          <w:r>
            <w:t>72</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_Toc10175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3 </w:t>
          </w:r>
          <w:r>
            <w:rPr>
              <w:rFonts w:hint="eastAsia" w:ascii="Times New Roman" w:hAnsi="Times New Roman" w:eastAsia="黑体" w:cs="黑体"/>
              <w:bCs/>
              <w:szCs w:val="28"/>
              <w:highlight w:val="none"/>
              <w:lang w:val="en-US" w:eastAsia="zh-CN" w:bidi="ar-SA"/>
            </w:rPr>
            <w:t>委外项目承包方式及服务期</w:t>
          </w:r>
          <w:r>
            <w:tab/>
          </w:r>
          <w:r>
            <w:fldChar w:fldCharType="begin"/>
          </w:r>
          <w:r>
            <w:instrText xml:space="preserve"> PAGEREF _Toc10175 \h </w:instrText>
          </w:r>
          <w:r>
            <w:fldChar w:fldCharType="separate"/>
          </w:r>
          <w:r>
            <w:t>72</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_Toc8201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4 </w:t>
          </w:r>
          <w:r>
            <w:rPr>
              <w:rFonts w:hint="eastAsia" w:ascii="Times New Roman" w:hAnsi="Times New Roman" w:eastAsia="黑体" w:cs="黑体"/>
              <w:bCs/>
              <w:szCs w:val="28"/>
              <w:highlight w:val="none"/>
              <w:lang w:val="en-US" w:eastAsia="zh-CN" w:bidi="ar-SA"/>
            </w:rPr>
            <w:t>委外项目技术标准、规范</w:t>
          </w:r>
          <w:r>
            <w:tab/>
          </w:r>
          <w:r>
            <w:fldChar w:fldCharType="begin"/>
          </w:r>
          <w:r>
            <w:instrText xml:space="preserve"> PAGEREF _Toc8201 \h </w:instrText>
          </w:r>
          <w:r>
            <w:fldChar w:fldCharType="separate"/>
          </w:r>
          <w:r>
            <w:t>73</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_Toc3624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5 </w:t>
          </w:r>
          <w:r>
            <w:rPr>
              <w:rFonts w:hint="eastAsia" w:ascii="Times New Roman" w:hAnsi="Times New Roman" w:eastAsia="黑体" w:cs="黑体"/>
              <w:bCs/>
              <w:szCs w:val="28"/>
              <w:highlight w:val="none"/>
              <w:lang w:val="en-US" w:eastAsia="zh-CN" w:bidi="ar-SA"/>
            </w:rPr>
            <w:t>委外项目管理</w:t>
          </w:r>
          <w:r>
            <w:tab/>
          </w:r>
          <w:r>
            <w:fldChar w:fldCharType="begin"/>
          </w:r>
          <w:r>
            <w:instrText xml:space="preserve"> PAGEREF _Toc3624 \h </w:instrText>
          </w:r>
          <w:r>
            <w:fldChar w:fldCharType="separate"/>
          </w:r>
          <w:r>
            <w:t>76</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_Toc5316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6 </w:t>
          </w:r>
          <w:r>
            <w:rPr>
              <w:rFonts w:hint="eastAsia" w:ascii="Times New Roman" w:hAnsi="Times New Roman" w:eastAsia="黑体" w:cs="黑体"/>
              <w:bCs/>
              <w:szCs w:val="28"/>
              <w:highlight w:val="none"/>
              <w:lang w:val="en-US" w:eastAsia="zh-CN" w:bidi="ar-SA"/>
            </w:rPr>
            <w:t>委外维保作业管理</w:t>
          </w:r>
          <w:r>
            <w:tab/>
          </w:r>
          <w:r>
            <w:fldChar w:fldCharType="begin"/>
          </w:r>
          <w:r>
            <w:instrText xml:space="preserve"> PAGEREF _Toc5316 \h </w:instrText>
          </w:r>
          <w:r>
            <w:fldChar w:fldCharType="separate"/>
          </w:r>
          <w:r>
            <w:t>89</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_Toc19508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7 </w:t>
          </w:r>
          <w:r>
            <w:rPr>
              <w:rFonts w:hint="eastAsia" w:ascii="Times New Roman" w:hAnsi="Times New Roman" w:eastAsia="黑体" w:cs="黑体"/>
              <w:bCs/>
              <w:szCs w:val="28"/>
              <w:highlight w:val="none"/>
              <w:lang w:val="en-US" w:eastAsia="zh-CN" w:bidi="ar-SA"/>
            </w:rPr>
            <w:t>考核</w:t>
          </w:r>
          <w:r>
            <w:tab/>
          </w:r>
          <w:r>
            <w:fldChar w:fldCharType="begin"/>
          </w:r>
          <w:r>
            <w:instrText xml:space="preserve"> PAGEREF _Toc19508 \h </w:instrText>
          </w:r>
          <w:r>
            <w:fldChar w:fldCharType="separate"/>
          </w:r>
          <w:r>
            <w:t>100</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_Toc18827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8 </w:t>
          </w:r>
          <w:r>
            <w:rPr>
              <w:rFonts w:hint="eastAsia" w:ascii="Times New Roman" w:hAnsi="Times New Roman" w:eastAsia="黑体" w:cs="黑体"/>
              <w:bCs/>
              <w:szCs w:val="28"/>
              <w:highlight w:val="none"/>
              <w:lang w:val="en-US" w:eastAsia="zh-CN" w:bidi="ar-SA"/>
            </w:rPr>
            <w:t>验收</w:t>
          </w:r>
          <w:r>
            <w:tab/>
          </w:r>
          <w:r>
            <w:fldChar w:fldCharType="begin"/>
          </w:r>
          <w:r>
            <w:instrText xml:space="preserve"> PAGEREF _Toc18827 \h </w:instrText>
          </w:r>
          <w:r>
            <w:fldChar w:fldCharType="separate"/>
          </w:r>
          <w:r>
            <w:t>100</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_Toc5695 </w:instrText>
          </w:r>
          <w:r>
            <w:rPr>
              <w:rFonts w:hint="eastAsia" w:ascii="仿宋" w:hAnsi="仿宋" w:eastAsia="仿宋" w:cs="仿宋"/>
              <w:szCs w:val="28"/>
            </w:rPr>
            <w:fldChar w:fldCharType="separate"/>
          </w:r>
          <w:r>
            <w:rPr>
              <w:rFonts w:hint="default" w:ascii="Times New Roman" w:hAnsi="Times New Roman" w:eastAsia="黑体" w:cs="黑体"/>
              <w:bCs/>
              <w:i w:val="0"/>
              <w:szCs w:val="28"/>
              <w:lang w:val="en-US" w:eastAsia="zh-CN" w:bidi="ar-SA"/>
            </w:rPr>
            <w:t xml:space="preserve">9 </w:t>
          </w:r>
          <w:r>
            <w:rPr>
              <w:rFonts w:hint="eastAsia" w:ascii="Times New Roman" w:hAnsi="Times New Roman" w:eastAsia="黑体" w:cs="黑体"/>
              <w:bCs/>
              <w:szCs w:val="28"/>
              <w:highlight w:val="none"/>
              <w:lang w:val="en-US" w:eastAsia="zh-CN" w:bidi="ar-SA"/>
            </w:rPr>
            <w:t>附件</w:t>
          </w:r>
          <w:r>
            <w:tab/>
          </w:r>
          <w:r>
            <w:fldChar w:fldCharType="begin"/>
          </w:r>
          <w:r>
            <w:instrText xml:space="preserve"> PAGEREF _Toc5695 \h </w:instrText>
          </w:r>
          <w:r>
            <w:fldChar w:fldCharType="separate"/>
          </w:r>
          <w:r>
            <w:t>100</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_Toc21661 </w:instrText>
          </w:r>
          <w:r>
            <w:rPr>
              <w:rFonts w:hint="eastAsia" w:ascii="仿宋" w:hAnsi="仿宋" w:eastAsia="仿宋" w:cs="仿宋"/>
              <w:szCs w:val="28"/>
            </w:rPr>
            <w:fldChar w:fldCharType="separate"/>
          </w:r>
          <w:r>
            <w:rPr>
              <w:rFonts w:hint="eastAsia" w:ascii="宋体" w:hAnsi="宋体" w:eastAsia="宋体"/>
              <w:highlight w:val="none"/>
            </w:rPr>
            <w:t>第六章评分办法</w:t>
          </w:r>
          <w:r>
            <w:tab/>
          </w:r>
          <w:r>
            <w:fldChar w:fldCharType="begin"/>
          </w:r>
          <w:r>
            <w:instrText xml:space="preserve"> PAGEREF _Toc21661 \h </w:instrText>
          </w:r>
          <w:r>
            <w:fldChar w:fldCharType="separate"/>
          </w:r>
          <w:r>
            <w:t>118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_Toc15647 </w:instrText>
          </w:r>
          <w:r>
            <w:rPr>
              <w:rFonts w:hint="eastAsia" w:ascii="仿宋" w:hAnsi="仿宋" w:eastAsia="仿宋" w:cs="仿宋"/>
              <w:szCs w:val="28"/>
            </w:rPr>
            <w:fldChar w:fldCharType="separate"/>
          </w:r>
          <w:r>
            <w:rPr>
              <w:rFonts w:hint="eastAsia" w:ascii="宋体" w:hAnsi="宋体" w:cs="Arial"/>
              <w:bCs/>
              <w:szCs w:val="28"/>
              <w:highlight w:val="none"/>
              <w:lang w:val="en-US" w:eastAsia="zh-CN"/>
            </w:rPr>
            <w:t>1.</w:t>
          </w:r>
          <w:r>
            <w:rPr>
              <w:rFonts w:hint="eastAsia" w:ascii="宋体" w:hAnsi="宋体" w:cs="Arial"/>
              <w:bCs/>
              <w:szCs w:val="28"/>
              <w:highlight w:val="none"/>
            </w:rPr>
            <w:t>评审原则</w:t>
          </w:r>
          <w:r>
            <w:tab/>
          </w:r>
          <w:r>
            <w:fldChar w:fldCharType="begin"/>
          </w:r>
          <w:r>
            <w:instrText xml:space="preserve"> PAGEREF _Toc15647 \h </w:instrText>
          </w:r>
          <w:r>
            <w:fldChar w:fldCharType="separate"/>
          </w:r>
          <w:r>
            <w:t>118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_Toc5019 </w:instrText>
          </w:r>
          <w:r>
            <w:rPr>
              <w:rFonts w:hint="eastAsia" w:ascii="仿宋" w:hAnsi="仿宋" w:eastAsia="仿宋" w:cs="仿宋"/>
              <w:szCs w:val="28"/>
            </w:rPr>
            <w:fldChar w:fldCharType="separate"/>
          </w:r>
          <w:r>
            <w:rPr>
              <w:rFonts w:hint="eastAsia" w:ascii="宋体" w:hAnsi="宋体" w:cs="Arial"/>
              <w:bCs/>
              <w:szCs w:val="28"/>
              <w:highlight w:val="none"/>
              <w:lang w:val="en-US" w:eastAsia="zh-CN"/>
            </w:rPr>
            <w:t>2.</w:t>
          </w:r>
          <w:r>
            <w:rPr>
              <w:rFonts w:hint="eastAsia" w:ascii="宋体" w:hAnsi="宋体" w:cs="Arial"/>
              <w:bCs/>
              <w:szCs w:val="28"/>
              <w:highlight w:val="none"/>
            </w:rPr>
            <w:t>评定方法</w:t>
          </w:r>
          <w:r>
            <w:tab/>
          </w:r>
          <w:r>
            <w:fldChar w:fldCharType="begin"/>
          </w:r>
          <w:r>
            <w:instrText xml:space="preserve"> PAGEREF _Toc5019 \h </w:instrText>
          </w:r>
          <w:r>
            <w:fldChar w:fldCharType="separate"/>
          </w:r>
          <w:r>
            <w:t>118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_Toc5908 </w:instrText>
          </w:r>
          <w:r>
            <w:rPr>
              <w:rFonts w:hint="eastAsia" w:ascii="仿宋" w:hAnsi="仿宋" w:eastAsia="仿宋" w:cs="仿宋"/>
              <w:szCs w:val="28"/>
            </w:rPr>
            <w:fldChar w:fldCharType="separate"/>
          </w:r>
          <w:r>
            <w:rPr>
              <w:rFonts w:hint="eastAsia" w:ascii="宋体" w:hAnsi="宋体" w:cs="Arial"/>
              <w:bCs/>
              <w:szCs w:val="28"/>
              <w:highlight w:val="none"/>
              <w:lang w:val="en-US" w:eastAsia="zh-CN"/>
            </w:rPr>
            <w:t>3.</w:t>
          </w:r>
          <w:r>
            <w:rPr>
              <w:rFonts w:hint="eastAsia" w:ascii="宋体" w:hAnsi="宋体" w:cs="Arial"/>
              <w:bCs/>
              <w:szCs w:val="28"/>
              <w:highlight w:val="none"/>
            </w:rPr>
            <w:t>资格审查</w:t>
          </w:r>
          <w:r>
            <w:tab/>
          </w:r>
          <w:r>
            <w:fldChar w:fldCharType="begin"/>
          </w:r>
          <w:r>
            <w:instrText xml:space="preserve"> PAGEREF _Toc5908 \h </w:instrText>
          </w:r>
          <w:r>
            <w:fldChar w:fldCharType="separate"/>
          </w:r>
          <w:r>
            <w:t>118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_Toc4881 </w:instrText>
          </w:r>
          <w:r>
            <w:rPr>
              <w:rFonts w:hint="eastAsia" w:ascii="仿宋" w:hAnsi="仿宋" w:eastAsia="仿宋" w:cs="仿宋"/>
              <w:szCs w:val="28"/>
            </w:rPr>
            <w:fldChar w:fldCharType="separate"/>
          </w:r>
          <w:r>
            <w:rPr>
              <w:rFonts w:hint="default" w:ascii="宋体" w:hAnsi="宋体" w:cs="Arial"/>
              <w:bCs/>
              <w:szCs w:val="28"/>
              <w:highlight w:val="none"/>
              <w:lang w:eastAsia="zh-CN"/>
            </w:rPr>
            <w:t>4</w:t>
          </w:r>
          <w:r>
            <w:rPr>
              <w:rFonts w:hint="default" w:ascii="宋体" w:hAnsi="宋体" w:cs="Arial"/>
              <w:bCs/>
              <w:szCs w:val="28"/>
              <w:highlight w:val="none"/>
              <w:lang w:val="en-US" w:eastAsia="zh-CN"/>
            </w:rPr>
            <w:t>.</w:t>
          </w:r>
          <w:r>
            <w:rPr>
              <w:rFonts w:hint="default" w:ascii="宋体" w:hAnsi="宋体" w:cs="Arial"/>
              <w:bCs/>
              <w:szCs w:val="28"/>
              <w:highlight w:val="none"/>
            </w:rPr>
            <w:t>初步评审</w:t>
          </w:r>
          <w:r>
            <w:tab/>
          </w:r>
          <w:r>
            <w:fldChar w:fldCharType="begin"/>
          </w:r>
          <w:r>
            <w:instrText xml:space="preserve"> PAGEREF _Toc4881 \h </w:instrText>
          </w:r>
          <w:r>
            <w:fldChar w:fldCharType="separate"/>
          </w:r>
          <w:r>
            <w:t>118</w:t>
          </w:r>
          <w:r>
            <w:fldChar w:fldCharType="end"/>
          </w:r>
          <w:r>
            <w:rPr>
              <w:rFonts w:hint="eastAsia" w:ascii="仿宋" w:hAnsi="仿宋" w:eastAsia="仿宋" w:cs="仿宋"/>
              <w:szCs w:val="28"/>
            </w:rPr>
            <w:fldChar w:fldCharType="end"/>
          </w:r>
        </w:p>
        <w:p>
          <w:pPr>
            <w:pStyle w:val="25"/>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_Toc31312 </w:instrText>
          </w:r>
          <w:r>
            <w:rPr>
              <w:rFonts w:hint="eastAsia" w:ascii="仿宋" w:hAnsi="仿宋" w:eastAsia="仿宋" w:cs="仿宋"/>
              <w:szCs w:val="28"/>
            </w:rPr>
            <w:fldChar w:fldCharType="separate"/>
          </w:r>
          <w:r>
            <w:rPr>
              <w:rFonts w:hint="eastAsia" w:ascii="宋体" w:hAnsi="宋体" w:cs="Arial"/>
              <w:bCs/>
              <w:szCs w:val="28"/>
              <w:highlight w:val="none"/>
              <w:lang w:val="en-US" w:eastAsia="zh-CN"/>
            </w:rPr>
            <w:t>5.</w:t>
          </w:r>
          <w:r>
            <w:rPr>
              <w:rFonts w:hint="default" w:ascii="宋体" w:hAnsi="宋体" w:cs="Arial"/>
              <w:bCs/>
              <w:szCs w:val="28"/>
              <w:highlight w:val="none"/>
            </w:rPr>
            <w:t>详细评审</w:t>
          </w:r>
          <w:r>
            <w:tab/>
          </w:r>
          <w:r>
            <w:fldChar w:fldCharType="begin"/>
          </w:r>
          <w:r>
            <w:instrText xml:space="preserve"> PAGEREF _Toc31312 \h </w:instrText>
          </w:r>
          <w:r>
            <w:fldChar w:fldCharType="separate"/>
          </w:r>
          <w:r>
            <w:t>118</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_Toc10145 </w:instrText>
          </w:r>
          <w:r>
            <w:rPr>
              <w:rFonts w:hint="eastAsia" w:ascii="仿宋" w:hAnsi="仿宋" w:eastAsia="仿宋" w:cs="仿宋"/>
              <w:szCs w:val="28"/>
            </w:rPr>
            <w:fldChar w:fldCharType="separate"/>
          </w:r>
          <w:r>
            <w:rPr>
              <w:rFonts w:hint="eastAsia"/>
              <w:szCs w:val="21"/>
              <w:highlight w:val="none"/>
            </w:rPr>
            <w:t>附表一 资格审查表</w:t>
          </w:r>
          <w:r>
            <w:tab/>
          </w:r>
          <w:r>
            <w:fldChar w:fldCharType="begin"/>
          </w:r>
          <w:r>
            <w:instrText xml:space="preserve"> PAGEREF _Toc10145 \h </w:instrText>
          </w:r>
          <w:r>
            <w:fldChar w:fldCharType="separate"/>
          </w:r>
          <w:r>
            <w:t>121</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_Toc13810 </w:instrText>
          </w:r>
          <w:r>
            <w:rPr>
              <w:rFonts w:hint="eastAsia" w:ascii="仿宋" w:hAnsi="仿宋" w:eastAsia="仿宋" w:cs="仿宋"/>
              <w:szCs w:val="28"/>
            </w:rPr>
            <w:fldChar w:fldCharType="separate"/>
          </w:r>
          <w:r>
            <w:rPr>
              <w:szCs w:val="21"/>
              <w:highlight w:val="none"/>
            </w:rPr>
            <w:t>附表二</w:t>
          </w:r>
          <w:r>
            <w:rPr>
              <w:rFonts w:hint="eastAsia"/>
              <w:szCs w:val="21"/>
              <w:highlight w:val="none"/>
            </w:rPr>
            <w:t xml:space="preserve"> 符合性</w:t>
          </w:r>
          <w:r>
            <w:rPr>
              <w:szCs w:val="21"/>
              <w:highlight w:val="none"/>
            </w:rPr>
            <w:t>评审表</w:t>
          </w:r>
          <w:r>
            <w:tab/>
          </w:r>
          <w:r>
            <w:fldChar w:fldCharType="begin"/>
          </w:r>
          <w:r>
            <w:instrText xml:space="preserve"> PAGEREF _Toc13810 \h </w:instrText>
          </w:r>
          <w:r>
            <w:fldChar w:fldCharType="separate"/>
          </w:r>
          <w:r>
            <w:t>122</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_Toc10858 </w:instrText>
          </w:r>
          <w:r>
            <w:rPr>
              <w:rFonts w:hint="eastAsia" w:ascii="仿宋" w:hAnsi="仿宋" w:eastAsia="仿宋" w:cs="仿宋"/>
              <w:szCs w:val="28"/>
            </w:rPr>
            <w:fldChar w:fldCharType="separate"/>
          </w:r>
          <w:r>
            <w:rPr>
              <w:rFonts w:hint="eastAsia"/>
              <w:szCs w:val="21"/>
              <w:highlight w:val="none"/>
            </w:rPr>
            <w:t xml:space="preserve">附表三 </w:t>
          </w:r>
          <w:r>
            <w:rPr>
              <w:rFonts w:hint="eastAsia"/>
              <w:szCs w:val="21"/>
              <w:highlight w:val="none"/>
              <w:lang w:val="en-US" w:eastAsia="zh-CN"/>
            </w:rPr>
            <w:t>资信文件评分表</w:t>
          </w:r>
          <w:r>
            <w:tab/>
          </w:r>
          <w:r>
            <w:fldChar w:fldCharType="begin"/>
          </w:r>
          <w:r>
            <w:instrText xml:space="preserve"> PAGEREF _Toc10858 \h </w:instrText>
          </w:r>
          <w:r>
            <w:fldChar w:fldCharType="separate"/>
          </w:r>
          <w:r>
            <w:t>123</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_Toc20773 </w:instrText>
          </w:r>
          <w:r>
            <w:rPr>
              <w:rFonts w:hint="eastAsia" w:ascii="仿宋" w:hAnsi="仿宋" w:eastAsia="仿宋" w:cs="仿宋"/>
              <w:szCs w:val="28"/>
            </w:rPr>
            <w:fldChar w:fldCharType="separate"/>
          </w:r>
          <w:r>
            <w:rPr>
              <w:rFonts w:hint="eastAsia"/>
              <w:szCs w:val="21"/>
              <w:highlight w:val="none"/>
            </w:rPr>
            <w:t>附表</w:t>
          </w:r>
          <w:r>
            <w:rPr>
              <w:rFonts w:hint="eastAsia"/>
              <w:szCs w:val="21"/>
              <w:highlight w:val="none"/>
              <w:lang w:val="en-US" w:eastAsia="zh-CN"/>
            </w:rPr>
            <w:t xml:space="preserve">四 </w:t>
          </w:r>
          <w:r>
            <w:rPr>
              <w:rFonts w:hint="eastAsia"/>
              <w:szCs w:val="21"/>
              <w:highlight w:val="none"/>
            </w:rPr>
            <w:t>技术文件评分表</w:t>
          </w:r>
          <w:r>
            <w:tab/>
          </w:r>
          <w:r>
            <w:fldChar w:fldCharType="begin"/>
          </w:r>
          <w:r>
            <w:instrText xml:space="preserve"> PAGEREF _Toc20773 \h </w:instrText>
          </w:r>
          <w:r>
            <w:fldChar w:fldCharType="separate"/>
          </w:r>
          <w:r>
            <w:t>124</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_Toc27619 </w:instrText>
          </w:r>
          <w:r>
            <w:rPr>
              <w:rFonts w:hint="eastAsia" w:ascii="仿宋" w:hAnsi="仿宋" w:eastAsia="仿宋" w:cs="仿宋"/>
              <w:szCs w:val="28"/>
            </w:rPr>
            <w:fldChar w:fldCharType="separate"/>
          </w:r>
          <w:r>
            <w:rPr>
              <w:rFonts w:hint="eastAsia"/>
              <w:szCs w:val="21"/>
              <w:highlight w:val="none"/>
            </w:rPr>
            <w:t>附表</w:t>
          </w:r>
          <w:r>
            <w:rPr>
              <w:rFonts w:hint="eastAsia"/>
              <w:szCs w:val="21"/>
              <w:highlight w:val="none"/>
              <w:lang w:val="en-US" w:eastAsia="zh-CN"/>
            </w:rPr>
            <w:t>五</w:t>
          </w:r>
          <w:r>
            <w:rPr>
              <w:rFonts w:hint="eastAsia"/>
              <w:szCs w:val="21"/>
              <w:highlight w:val="none"/>
            </w:rPr>
            <w:t xml:space="preserve"> </w:t>
          </w:r>
          <w:r>
            <w:rPr>
              <w:szCs w:val="21"/>
              <w:highlight w:val="none"/>
            </w:rPr>
            <w:t xml:space="preserve"> </w:t>
          </w:r>
          <w:r>
            <w:rPr>
              <w:rFonts w:hint="eastAsia"/>
              <w:szCs w:val="21"/>
              <w:highlight w:val="none"/>
            </w:rPr>
            <w:t>比选报价评分表</w:t>
          </w:r>
          <w:r>
            <w:tab/>
          </w:r>
          <w:r>
            <w:fldChar w:fldCharType="begin"/>
          </w:r>
          <w:r>
            <w:instrText xml:space="preserve"> PAGEREF _Toc27619 \h </w:instrText>
          </w:r>
          <w:r>
            <w:fldChar w:fldCharType="separate"/>
          </w:r>
          <w:r>
            <w:t>126</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_Toc2254 </w:instrText>
          </w:r>
          <w:r>
            <w:rPr>
              <w:rFonts w:hint="eastAsia" w:ascii="仿宋" w:hAnsi="仿宋" w:eastAsia="仿宋" w:cs="仿宋"/>
              <w:szCs w:val="28"/>
            </w:rPr>
            <w:fldChar w:fldCharType="separate"/>
          </w:r>
          <w:r>
            <w:rPr>
              <w:szCs w:val="21"/>
              <w:highlight w:val="none"/>
            </w:rPr>
            <w:t>附表</w:t>
          </w:r>
          <w:r>
            <w:rPr>
              <w:rFonts w:hint="eastAsia"/>
              <w:szCs w:val="21"/>
              <w:highlight w:val="none"/>
              <w:lang w:val="en-US" w:eastAsia="zh-CN"/>
            </w:rPr>
            <w:t>六</w:t>
          </w:r>
          <w:r>
            <w:rPr>
              <w:rFonts w:hint="eastAsia"/>
              <w:szCs w:val="21"/>
              <w:highlight w:val="none"/>
            </w:rPr>
            <w:t xml:space="preserve"> </w:t>
          </w:r>
          <w:r>
            <w:rPr>
              <w:szCs w:val="21"/>
              <w:highlight w:val="none"/>
            </w:rPr>
            <w:t xml:space="preserve"> 综合</w:t>
          </w:r>
          <w:r>
            <w:rPr>
              <w:rFonts w:hint="eastAsia"/>
              <w:szCs w:val="21"/>
              <w:highlight w:val="none"/>
            </w:rPr>
            <w:t>评审</w:t>
          </w:r>
          <w:r>
            <w:rPr>
              <w:szCs w:val="21"/>
              <w:highlight w:val="none"/>
            </w:rPr>
            <w:t>得分表</w:t>
          </w:r>
          <w:r>
            <w:tab/>
          </w:r>
          <w:r>
            <w:fldChar w:fldCharType="begin"/>
          </w:r>
          <w:r>
            <w:instrText xml:space="preserve"> PAGEREF _Toc2254 \h </w:instrText>
          </w:r>
          <w:r>
            <w:fldChar w:fldCharType="separate"/>
          </w:r>
          <w:r>
            <w:t>127</w:t>
          </w:r>
          <w:r>
            <w:fldChar w:fldCharType="end"/>
          </w:r>
          <w:r>
            <w:rPr>
              <w:rFonts w:hint="eastAsia" w:ascii="仿宋" w:hAnsi="仿宋" w:eastAsia="仿宋" w:cs="仿宋"/>
              <w:szCs w:val="28"/>
            </w:rPr>
            <w:fldChar w:fldCharType="end"/>
          </w:r>
        </w:p>
        <w:p>
          <w:pPr>
            <w:pStyle w:val="20"/>
            <w:tabs>
              <w:tab w:val="right" w:leader="dot" w:pos="9071"/>
            </w:tabs>
            <w:spacing w:line="240" w:lineRule="auto"/>
          </w:pPr>
          <w:r>
            <w:rPr>
              <w:rFonts w:hint="eastAsia" w:ascii="仿宋" w:hAnsi="仿宋" w:eastAsia="仿宋" w:cs="仿宋"/>
              <w:szCs w:val="28"/>
            </w:rPr>
            <w:fldChar w:fldCharType="begin"/>
          </w:r>
          <w:r>
            <w:rPr>
              <w:rFonts w:hint="eastAsia" w:ascii="仿宋" w:hAnsi="仿宋" w:eastAsia="仿宋" w:cs="仿宋"/>
              <w:szCs w:val="28"/>
            </w:rPr>
            <w:instrText xml:space="preserve"> HYPERLINK \l _Toc11514 </w:instrText>
          </w:r>
          <w:r>
            <w:rPr>
              <w:rFonts w:hint="eastAsia" w:ascii="仿宋" w:hAnsi="仿宋" w:eastAsia="仿宋" w:cs="仿宋"/>
              <w:szCs w:val="28"/>
            </w:rPr>
            <w:fldChar w:fldCharType="separate"/>
          </w:r>
          <w:r>
            <w:rPr>
              <w:rFonts w:hint="eastAsia"/>
              <w:szCs w:val="21"/>
              <w:highlight w:val="none"/>
            </w:rPr>
            <w:t>附表</w:t>
          </w:r>
          <w:r>
            <w:rPr>
              <w:rFonts w:hint="eastAsia"/>
              <w:szCs w:val="21"/>
              <w:highlight w:val="none"/>
              <w:lang w:val="en-US" w:eastAsia="zh-CN"/>
            </w:rPr>
            <w:t xml:space="preserve">七 </w:t>
          </w:r>
          <w:r>
            <w:rPr>
              <w:rFonts w:hint="eastAsia"/>
              <w:szCs w:val="21"/>
              <w:highlight w:val="none"/>
            </w:rPr>
            <w:t>比选申请报价修正表</w:t>
          </w:r>
          <w:r>
            <w:tab/>
          </w:r>
          <w:r>
            <w:fldChar w:fldCharType="begin"/>
          </w:r>
          <w:r>
            <w:instrText xml:space="preserve"> PAGEREF _Toc11514 \h </w:instrText>
          </w:r>
          <w:r>
            <w:fldChar w:fldCharType="separate"/>
          </w:r>
          <w:r>
            <w:t>128</w:t>
          </w:r>
          <w:r>
            <w:fldChar w:fldCharType="end"/>
          </w:r>
          <w:r>
            <w:rPr>
              <w:rFonts w:hint="eastAsia" w:ascii="仿宋" w:hAnsi="仿宋" w:eastAsia="仿宋" w:cs="仿宋"/>
              <w:szCs w:val="28"/>
            </w:rPr>
            <w:fldChar w:fldCharType="end"/>
          </w:r>
        </w:p>
        <w:p>
          <w:pPr>
            <w:pStyle w:val="2"/>
            <w:spacing w:line="240" w:lineRule="auto"/>
            <w:ind w:left="0" w:leftChars="0" w:firstLine="0" w:firstLineChars="0"/>
            <w:rPr>
              <w:rFonts w:hint="eastAsia"/>
            </w:rPr>
          </w:pPr>
          <w:r>
            <w:rPr>
              <w:rFonts w:hint="eastAsia" w:ascii="仿宋" w:hAnsi="仿宋" w:eastAsia="仿宋" w:cs="仿宋"/>
              <w:b/>
              <w:sz w:val="28"/>
              <w:szCs w:val="28"/>
            </w:rPr>
            <w:fldChar w:fldCharType="end"/>
          </w:r>
        </w:p>
      </w:sdtContent>
    </w:sdt>
    <w:p>
      <w:pPr>
        <w:pStyle w:val="14"/>
        <w:pageBreakBefore/>
        <w:shd w:val="clear"/>
        <w:ind w:left="0" w:leftChars="0" w:right="-57" w:firstLine="0" w:firstLineChars="0"/>
        <w:jc w:val="center"/>
        <w:outlineLvl w:val="9"/>
        <w:rPr>
          <w:rStyle w:val="45"/>
          <w:rFonts w:hint="eastAsia" w:ascii="宋体" w:hAnsi="宋体" w:eastAsia="宋体" w:cs="Times New Roman"/>
          <w:highlight w:val="none"/>
        </w:rPr>
        <w:sectPr>
          <w:footerReference r:id="rId6" w:type="default"/>
          <w:pgSz w:w="11905" w:h="16838"/>
          <w:pgMar w:top="1417" w:right="1417" w:bottom="1417" w:left="1417" w:header="454" w:footer="567" w:gutter="0"/>
          <w:pgNumType w:fmt="decimal" w:start="1"/>
          <w:cols w:space="720" w:num="1"/>
          <w:docGrid w:linePitch="312" w:charSpace="0"/>
        </w:sectPr>
      </w:pPr>
      <w:bookmarkStart w:id="30" w:name="_Toc27169"/>
    </w:p>
    <w:p>
      <w:pPr>
        <w:pStyle w:val="14"/>
        <w:pageBreakBefore/>
        <w:shd w:val="clear"/>
        <w:ind w:left="0" w:leftChars="0" w:right="-57" w:firstLine="0" w:firstLineChars="0"/>
        <w:jc w:val="center"/>
        <w:outlineLvl w:val="0"/>
        <w:rPr>
          <w:rStyle w:val="45"/>
          <w:rFonts w:hint="eastAsia" w:ascii="宋体" w:hAnsi="宋体" w:eastAsia="宋体" w:cs="Times New Roman"/>
          <w:highlight w:val="none"/>
        </w:rPr>
      </w:pPr>
      <w:bookmarkStart w:id="31" w:name="_Toc1636"/>
      <w:bookmarkStart w:id="32" w:name="_Toc14458"/>
      <w:bookmarkStart w:id="33" w:name="_Toc26725"/>
      <w:bookmarkStart w:id="34" w:name="_Toc20243"/>
      <w:bookmarkStart w:id="35" w:name="_Toc2744"/>
      <w:r>
        <w:rPr>
          <w:rStyle w:val="45"/>
          <w:rFonts w:hint="eastAsia" w:ascii="宋体" w:hAnsi="宋体" w:eastAsia="宋体" w:cs="Times New Roman"/>
          <w:highlight w:val="none"/>
        </w:rPr>
        <w:t>第一章</w:t>
      </w:r>
      <w:r>
        <w:rPr>
          <w:rStyle w:val="45"/>
          <w:rFonts w:hint="eastAsia" w:ascii="宋体" w:hAnsi="宋体" w:eastAsia="宋体" w:cs="Times New Roman"/>
          <w:highlight w:val="none"/>
          <w:lang w:val="en-US" w:eastAsia="zh-CN"/>
        </w:rPr>
        <w:t xml:space="preserve"> </w:t>
      </w:r>
      <w:r>
        <w:rPr>
          <w:rStyle w:val="45"/>
          <w:rFonts w:hint="eastAsia" w:ascii="宋体" w:hAnsi="宋体" w:eastAsia="宋体" w:cs="Times New Roman"/>
          <w:highlight w:val="none"/>
        </w:rPr>
        <w:t>比选公告</w:t>
      </w:r>
      <w:bookmarkEnd w:id="30"/>
      <w:bookmarkEnd w:id="31"/>
      <w:bookmarkEnd w:id="32"/>
      <w:bookmarkEnd w:id="33"/>
      <w:bookmarkEnd w:id="34"/>
      <w:bookmarkEnd w:id="35"/>
    </w:p>
    <w:p>
      <w:pPr>
        <w:shd w:val="clear"/>
        <w:spacing w:before="0" w:after="0" w:afterAutospacing="0"/>
        <w:ind w:right="-57"/>
        <w:jc w:val="center"/>
        <w:rPr>
          <w:highlight w:val="none"/>
          <w:u w:val="none"/>
        </w:rPr>
      </w:pPr>
      <w:r>
        <w:rPr>
          <w:rFonts w:hint="eastAsia" w:ascii="宋体" w:hAnsi="宋体"/>
          <w:b/>
          <w:sz w:val="28"/>
          <w:szCs w:val="28"/>
          <w:highlight w:val="none"/>
          <w:u w:val="none"/>
        </w:rPr>
        <w:t>南宁轨道交通1-5号线叉车委外维保项目（2024-2027）比选公告</w:t>
      </w:r>
    </w:p>
    <w:p>
      <w:pPr>
        <w:shd w:val="clear"/>
        <w:spacing w:before="0" w:after="0" w:afterAutospacing="0"/>
        <w:ind w:left="0" w:right="0" w:firstLine="422" w:firstLineChars="200"/>
        <w:outlineLvl w:val="1"/>
        <w:rPr>
          <w:rFonts w:ascii="宋体" w:hAnsi="宋体"/>
          <w:b/>
          <w:highlight w:val="none"/>
          <w:u w:val="none"/>
        </w:rPr>
      </w:pPr>
      <w:bookmarkStart w:id="36" w:name="OLE_LINK4"/>
      <w:bookmarkEnd w:id="36"/>
      <w:bookmarkStart w:id="37" w:name="_Toc4829"/>
      <w:bookmarkStart w:id="38" w:name="_Toc6863"/>
      <w:bookmarkStart w:id="39" w:name="_Toc5684"/>
      <w:bookmarkStart w:id="40" w:name="_Toc28067"/>
      <w:bookmarkStart w:id="41" w:name="_Toc13368"/>
      <w:bookmarkStart w:id="42" w:name="_Toc8054"/>
      <w:bookmarkStart w:id="43" w:name="_Toc9457"/>
      <w:bookmarkStart w:id="44" w:name="_Toc3331"/>
      <w:r>
        <w:rPr>
          <w:rFonts w:hint="eastAsia" w:ascii="宋体" w:hAnsi="宋体"/>
          <w:b/>
          <w:highlight w:val="none"/>
          <w:u w:val="none"/>
        </w:rPr>
        <w:t>1.比选条件</w:t>
      </w:r>
      <w:bookmarkEnd w:id="37"/>
      <w:bookmarkEnd w:id="38"/>
      <w:bookmarkEnd w:id="39"/>
      <w:bookmarkEnd w:id="40"/>
      <w:bookmarkEnd w:id="41"/>
      <w:bookmarkEnd w:id="42"/>
      <w:bookmarkEnd w:id="43"/>
      <w:bookmarkEnd w:id="44"/>
    </w:p>
    <w:p>
      <w:pPr>
        <w:shd w:val="clear"/>
        <w:spacing w:before="0" w:after="0" w:afterAutospacing="0"/>
        <w:ind w:left="0" w:right="0" w:firstLine="420" w:firstLineChars="200"/>
        <w:rPr>
          <w:rFonts w:ascii="宋体" w:hAnsi="宋体"/>
          <w:color w:val="auto"/>
          <w:highlight w:val="none"/>
          <w:u w:val="none"/>
        </w:rPr>
      </w:pPr>
      <w:r>
        <w:rPr>
          <w:rFonts w:hint="eastAsia" w:ascii="宋体" w:hAnsi="宋体"/>
          <w:color w:val="auto"/>
          <w:highlight w:val="none"/>
          <w:u w:val="none"/>
        </w:rPr>
        <w:t>本比选项目南宁轨道交通1-5号线叉车委外维保项目（2024-2027）比选人为</w:t>
      </w:r>
      <w:r>
        <w:rPr>
          <w:rFonts w:ascii="宋体" w:hAnsi="宋体"/>
          <w:color w:val="auto"/>
          <w:highlight w:val="none"/>
          <w:u w:val="none"/>
        </w:rPr>
        <w:t>南宁轨道交通</w:t>
      </w:r>
      <w:r>
        <w:rPr>
          <w:rFonts w:hint="eastAsia" w:ascii="宋体" w:hAnsi="宋体"/>
          <w:color w:val="auto"/>
          <w:highlight w:val="none"/>
          <w:u w:val="none"/>
        </w:rPr>
        <w:t>运营有限</w:t>
      </w:r>
      <w:r>
        <w:rPr>
          <w:rFonts w:ascii="宋体" w:hAnsi="宋体"/>
          <w:color w:val="auto"/>
          <w:highlight w:val="none"/>
          <w:u w:val="none"/>
        </w:rPr>
        <w:t>公司</w:t>
      </w:r>
      <w:r>
        <w:rPr>
          <w:rFonts w:hint="eastAsia" w:ascii="宋体" w:hAnsi="宋体"/>
          <w:color w:val="auto"/>
          <w:highlight w:val="none"/>
          <w:u w:val="none"/>
        </w:rPr>
        <w:t>，比选项目资金来源为企业自筹资金。</w:t>
      </w:r>
    </w:p>
    <w:p>
      <w:pPr>
        <w:shd w:val="clear"/>
        <w:spacing w:before="0" w:after="0" w:afterAutospacing="0"/>
        <w:ind w:left="0" w:right="0" w:firstLine="422" w:firstLineChars="200"/>
        <w:outlineLvl w:val="1"/>
        <w:rPr>
          <w:rFonts w:ascii="宋体" w:hAnsi="宋体"/>
          <w:b/>
          <w:color w:val="auto"/>
          <w:highlight w:val="none"/>
          <w:u w:val="none"/>
        </w:rPr>
      </w:pPr>
      <w:bookmarkStart w:id="45" w:name="_Toc19888"/>
      <w:bookmarkStart w:id="46" w:name="_Toc7899"/>
      <w:bookmarkStart w:id="47" w:name="_Toc16570"/>
      <w:bookmarkStart w:id="48" w:name="_Toc2051"/>
      <w:bookmarkStart w:id="49" w:name="_Toc26643"/>
      <w:bookmarkStart w:id="50" w:name="_Toc3000"/>
      <w:bookmarkStart w:id="51" w:name="_Toc27537"/>
      <w:bookmarkStart w:id="52" w:name="_Toc18680"/>
      <w:r>
        <w:rPr>
          <w:rFonts w:hint="eastAsia" w:ascii="宋体" w:hAnsi="宋体"/>
          <w:b/>
          <w:color w:val="auto"/>
          <w:highlight w:val="none"/>
          <w:u w:val="none"/>
        </w:rPr>
        <w:t>2.项目概况与比选范围</w:t>
      </w:r>
      <w:bookmarkEnd w:id="45"/>
      <w:bookmarkEnd w:id="46"/>
      <w:bookmarkEnd w:id="47"/>
      <w:bookmarkEnd w:id="48"/>
      <w:bookmarkEnd w:id="49"/>
      <w:bookmarkEnd w:id="50"/>
      <w:bookmarkEnd w:id="51"/>
      <w:bookmarkEnd w:id="52"/>
    </w:p>
    <w:p>
      <w:pPr>
        <w:shd w:val="clear"/>
        <w:spacing w:before="0" w:after="0" w:afterAutospacing="0"/>
        <w:ind w:left="0" w:right="0" w:firstLine="420" w:firstLineChars="200"/>
        <w:outlineLvl w:val="2"/>
        <w:rPr>
          <w:rFonts w:ascii="宋体" w:hAnsi="宋体"/>
          <w:color w:val="auto"/>
          <w:highlight w:val="none"/>
          <w:u w:val="none"/>
        </w:rPr>
      </w:pPr>
      <w:r>
        <w:rPr>
          <w:rFonts w:hint="eastAsia" w:ascii="宋体" w:hAnsi="宋体"/>
          <w:color w:val="auto"/>
          <w:highlight w:val="none"/>
          <w:u w:val="none"/>
          <w:lang w:val="en-US" w:eastAsia="zh-CN"/>
        </w:rPr>
        <w:t>2.1</w:t>
      </w:r>
      <w:r>
        <w:rPr>
          <w:rFonts w:hint="eastAsia" w:ascii="宋体" w:hAnsi="宋体"/>
          <w:color w:val="auto"/>
          <w:highlight w:val="none"/>
          <w:u w:val="none"/>
        </w:rPr>
        <w:t>项目编号：202311020012</w:t>
      </w:r>
    </w:p>
    <w:p>
      <w:pPr>
        <w:shd w:val="clear"/>
        <w:spacing w:before="0" w:after="0" w:afterAutospacing="0"/>
        <w:ind w:left="0" w:right="0" w:firstLine="420" w:firstLineChars="200"/>
        <w:rPr>
          <w:rFonts w:ascii="宋体" w:hAnsi="宋体"/>
          <w:color w:val="auto"/>
          <w:highlight w:val="none"/>
          <w:u w:val="none"/>
        </w:rPr>
      </w:pPr>
      <w:r>
        <w:rPr>
          <w:rFonts w:hint="eastAsia" w:ascii="宋体" w:hAnsi="宋体"/>
          <w:color w:val="auto"/>
          <w:highlight w:val="none"/>
          <w:u w:val="none"/>
          <w:lang w:val="en-US" w:eastAsia="zh-CN"/>
        </w:rPr>
        <w:t>2.2</w:t>
      </w:r>
      <w:r>
        <w:rPr>
          <w:rFonts w:hint="eastAsia" w:ascii="宋体" w:hAnsi="宋体"/>
          <w:color w:val="auto"/>
          <w:highlight w:val="none"/>
          <w:u w:val="none"/>
        </w:rPr>
        <w:t>项目名称：南宁轨道交通1-5号线叉车委外维保项目（2024-2027）</w:t>
      </w:r>
    </w:p>
    <w:p>
      <w:pPr>
        <w:shd w:val="clear"/>
        <w:spacing w:before="0" w:after="0" w:afterAutospacing="0"/>
        <w:ind w:left="0" w:right="0" w:firstLine="420" w:firstLineChars="200"/>
        <w:rPr>
          <w:rFonts w:ascii="宋体" w:hAnsi="宋体"/>
          <w:color w:val="auto"/>
          <w:highlight w:val="none"/>
          <w:u w:val="none"/>
        </w:rPr>
      </w:pPr>
      <w:r>
        <w:rPr>
          <w:rFonts w:hint="eastAsia" w:ascii="宋体" w:hAnsi="宋体"/>
          <w:color w:val="auto"/>
          <w:highlight w:val="none"/>
          <w:u w:val="none"/>
          <w:lang w:val="en-US" w:eastAsia="zh-CN"/>
        </w:rPr>
        <w:t>2.3</w:t>
      </w:r>
      <w:r>
        <w:rPr>
          <w:rFonts w:hint="eastAsia" w:ascii="宋体" w:hAnsi="宋体"/>
          <w:color w:val="auto"/>
          <w:highlight w:val="none"/>
          <w:u w:val="none"/>
        </w:rPr>
        <w:t>上限控制价：本项目不含税上限控制价为人民币</w:t>
      </w:r>
      <w:r>
        <w:rPr>
          <w:rFonts w:hint="eastAsia" w:ascii="宋体" w:hAnsi="宋体" w:eastAsia="宋体" w:cs="Times New Roman"/>
          <w:color w:val="auto"/>
          <w:kern w:val="0"/>
          <w:szCs w:val="21"/>
          <w:highlight w:val="none"/>
          <w:u w:val="single"/>
        </w:rPr>
        <w:t>柒拾捌万肆仟元整</w:t>
      </w:r>
      <w:r>
        <w:rPr>
          <w:rFonts w:hint="eastAsia" w:ascii="宋体" w:hAnsi="宋体" w:eastAsia="宋体" w:cs="Times New Roman"/>
          <w:color w:val="auto"/>
          <w:kern w:val="0"/>
          <w:szCs w:val="21"/>
          <w:highlight w:val="none"/>
          <w:u w:val="single"/>
          <w:lang w:eastAsia="zh-CN"/>
        </w:rPr>
        <w:t>（</w:t>
      </w:r>
      <w:r>
        <w:rPr>
          <w:rFonts w:hint="eastAsia" w:ascii="Calibri" w:hAnsi="Calibri" w:eastAsia="宋体" w:cs="黑体"/>
          <w:szCs w:val="22"/>
          <w:u w:val="single"/>
        </w:rPr>
        <w:t>¥</w:t>
      </w:r>
      <w:r>
        <w:rPr>
          <w:rFonts w:hint="eastAsia" w:ascii="宋体" w:hAnsi="宋体" w:eastAsia="宋体" w:cs="Times New Roman"/>
          <w:color w:val="auto"/>
          <w:kern w:val="0"/>
          <w:szCs w:val="21"/>
          <w:highlight w:val="none"/>
          <w:u w:val="single"/>
          <w:lang w:val="en-US" w:eastAsia="zh-CN"/>
        </w:rPr>
        <w:t>7840</w:t>
      </w:r>
      <w:r>
        <w:rPr>
          <w:rFonts w:hint="eastAsia" w:ascii="宋体" w:hAnsi="宋体" w:eastAsia="宋体" w:cs="Times New Roman"/>
          <w:color w:val="auto"/>
          <w:kern w:val="0"/>
          <w:szCs w:val="21"/>
          <w:highlight w:val="none"/>
          <w:u w:val="single"/>
        </w:rPr>
        <w:t>00.00</w:t>
      </w:r>
      <w:r>
        <w:rPr>
          <w:rFonts w:hint="eastAsia" w:ascii="宋体" w:hAnsi="宋体" w:eastAsia="宋体" w:cs="Times New Roman"/>
          <w:color w:val="auto"/>
          <w:kern w:val="0"/>
          <w:szCs w:val="21"/>
          <w:highlight w:val="none"/>
          <w:u w:val="single"/>
          <w:lang w:eastAsia="zh-CN"/>
        </w:rPr>
        <w:t>）</w:t>
      </w:r>
      <w:r>
        <w:rPr>
          <w:rFonts w:hint="eastAsia" w:ascii="宋体" w:hAnsi="宋体"/>
          <w:color w:val="auto"/>
          <w:highlight w:val="none"/>
          <w:u w:val="none"/>
        </w:rPr>
        <w:t>元</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其中维保部分</w:t>
      </w:r>
      <w:r>
        <w:rPr>
          <w:rFonts w:hint="eastAsia" w:ascii="宋体" w:hAnsi="宋体"/>
          <w:color w:val="auto"/>
          <w:highlight w:val="none"/>
          <w:u w:val="none"/>
        </w:rPr>
        <w:t>不含税上限控制价为人民币</w:t>
      </w:r>
      <w:r>
        <w:rPr>
          <w:rFonts w:hint="eastAsia" w:ascii="宋体" w:hAnsi="宋体"/>
          <w:color w:val="auto"/>
          <w:highlight w:val="none"/>
          <w:u w:val="single"/>
        </w:rPr>
        <w:t>肆拾玖万伍仟柒佰贰拾元整</w:t>
      </w:r>
      <w:r>
        <w:rPr>
          <w:rFonts w:hint="eastAsia" w:ascii="宋体" w:hAnsi="宋体" w:eastAsia="宋体" w:cs="Times New Roman"/>
          <w:color w:val="auto"/>
          <w:kern w:val="0"/>
          <w:szCs w:val="21"/>
          <w:highlight w:val="none"/>
          <w:u w:val="single"/>
          <w:lang w:eastAsia="zh-CN"/>
        </w:rPr>
        <w:t>（</w:t>
      </w:r>
      <w:r>
        <w:rPr>
          <w:rFonts w:hint="eastAsia" w:ascii="Calibri" w:hAnsi="Calibri" w:eastAsia="宋体" w:cs="黑体"/>
          <w:szCs w:val="22"/>
          <w:u w:val="single"/>
        </w:rPr>
        <w:t>¥</w:t>
      </w:r>
      <w:r>
        <w:rPr>
          <w:rFonts w:hint="eastAsia" w:ascii="宋体" w:hAnsi="宋体" w:eastAsia="宋体" w:cs="Times New Roman"/>
          <w:color w:val="auto"/>
          <w:kern w:val="0"/>
          <w:szCs w:val="21"/>
          <w:highlight w:val="none"/>
          <w:u w:val="single"/>
          <w:lang w:val="en-US" w:eastAsia="zh-CN"/>
        </w:rPr>
        <w:t>495720.00</w:t>
      </w:r>
      <w:r>
        <w:rPr>
          <w:rFonts w:hint="eastAsia" w:ascii="宋体" w:hAnsi="宋体" w:eastAsia="宋体" w:cs="Times New Roman"/>
          <w:color w:val="auto"/>
          <w:kern w:val="0"/>
          <w:szCs w:val="21"/>
          <w:highlight w:val="none"/>
          <w:u w:val="single"/>
          <w:lang w:eastAsia="zh-CN"/>
        </w:rPr>
        <w:t>）</w:t>
      </w:r>
      <w:r>
        <w:rPr>
          <w:rFonts w:hint="eastAsia" w:ascii="宋体" w:hAnsi="宋体"/>
          <w:color w:val="auto"/>
          <w:highlight w:val="none"/>
          <w:u w:val="none"/>
        </w:rPr>
        <w:t>元</w:t>
      </w:r>
      <w:r>
        <w:rPr>
          <w:rFonts w:hint="eastAsia" w:ascii="宋体" w:hAnsi="宋体"/>
          <w:color w:val="auto"/>
          <w:highlight w:val="none"/>
          <w:u w:val="none"/>
          <w:lang w:eastAsia="zh-CN"/>
        </w:rPr>
        <w:t>，备品备件部分</w:t>
      </w:r>
      <w:r>
        <w:rPr>
          <w:rFonts w:hint="eastAsia" w:ascii="宋体" w:hAnsi="宋体"/>
          <w:color w:val="auto"/>
          <w:highlight w:val="none"/>
          <w:u w:val="none"/>
        </w:rPr>
        <w:t>不含税上限控制价为人民币</w:t>
      </w:r>
      <w:r>
        <w:rPr>
          <w:rFonts w:hint="eastAsia" w:ascii="宋体" w:hAnsi="宋体"/>
          <w:color w:val="auto"/>
          <w:highlight w:val="none"/>
          <w:u w:val="single"/>
        </w:rPr>
        <w:t>贰拾捌万捌仟贰佰捌拾元整</w:t>
      </w:r>
      <w:r>
        <w:rPr>
          <w:rFonts w:hint="eastAsia" w:ascii="宋体" w:hAnsi="宋体" w:eastAsia="宋体" w:cs="Times New Roman"/>
          <w:color w:val="auto"/>
          <w:kern w:val="0"/>
          <w:szCs w:val="21"/>
          <w:highlight w:val="none"/>
          <w:u w:val="single"/>
          <w:lang w:eastAsia="zh-CN"/>
        </w:rPr>
        <w:t>（</w:t>
      </w:r>
      <w:r>
        <w:rPr>
          <w:rFonts w:hint="eastAsia" w:ascii="Calibri" w:hAnsi="Calibri" w:eastAsia="宋体" w:cs="黑体"/>
          <w:szCs w:val="22"/>
          <w:u w:val="single"/>
        </w:rPr>
        <w:t>¥</w:t>
      </w:r>
      <w:r>
        <w:rPr>
          <w:rFonts w:hint="eastAsia" w:ascii="宋体" w:hAnsi="宋体" w:cs="Times New Roman"/>
          <w:color w:val="auto"/>
          <w:kern w:val="0"/>
          <w:szCs w:val="21"/>
          <w:highlight w:val="none"/>
          <w:u w:val="single"/>
          <w:lang w:val="en-US" w:eastAsia="zh-CN"/>
        </w:rPr>
        <w:t>288280.00</w:t>
      </w:r>
      <w:r>
        <w:rPr>
          <w:rFonts w:hint="eastAsia" w:ascii="宋体" w:hAnsi="宋体" w:eastAsia="宋体" w:cs="Times New Roman"/>
          <w:color w:val="auto"/>
          <w:kern w:val="0"/>
          <w:szCs w:val="21"/>
          <w:highlight w:val="none"/>
          <w:u w:val="single"/>
          <w:lang w:eastAsia="zh-CN"/>
        </w:rPr>
        <w:t>）</w:t>
      </w:r>
      <w:r>
        <w:rPr>
          <w:rFonts w:hint="eastAsia" w:ascii="宋体" w:hAnsi="宋体"/>
          <w:color w:val="auto"/>
          <w:highlight w:val="none"/>
          <w:u w:val="none"/>
        </w:rPr>
        <w:t>元。</w:t>
      </w:r>
    </w:p>
    <w:p>
      <w:pPr>
        <w:shd w:val="clear"/>
        <w:spacing w:before="0" w:after="0" w:afterAutospacing="0"/>
        <w:ind w:left="0" w:right="0" w:firstLine="420" w:firstLineChars="200"/>
        <w:rPr>
          <w:rFonts w:ascii="宋体" w:hAnsi="宋体"/>
          <w:color w:val="auto"/>
          <w:highlight w:val="none"/>
          <w:u w:val="none"/>
        </w:rPr>
      </w:pPr>
      <w:r>
        <w:rPr>
          <w:rFonts w:hint="eastAsia" w:ascii="宋体" w:hAnsi="宋体"/>
          <w:color w:val="auto"/>
          <w:highlight w:val="none"/>
          <w:u w:val="none"/>
          <w:lang w:val="en-US" w:eastAsia="zh-CN"/>
        </w:rPr>
        <w:t>2.4合同服务</w:t>
      </w:r>
      <w:r>
        <w:rPr>
          <w:rFonts w:hint="eastAsia" w:ascii="宋体" w:hAnsi="宋体"/>
          <w:color w:val="auto"/>
          <w:highlight w:val="none"/>
          <w:u w:val="none"/>
        </w:rPr>
        <w:t>期：</w:t>
      </w:r>
      <w:r>
        <w:rPr>
          <w:rFonts w:hint="eastAsia" w:eastAsia="宋体" w:cs="宋体"/>
          <w:bCs/>
          <w:snapToGrid w:val="0"/>
          <w:color w:val="auto"/>
          <w:sz w:val="21"/>
          <w:szCs w:val="21"/>
          <w:highlight w:val="none"/>
        </w:rPr>
        <w:t>本项目合同服务期为3年（具体开工时间以</w:t>
      </w:r>
      <w:r>
        <w:rPr>
          <w:rFonts w:hint="eastAsia" w:cs="宋体"/>
          <w:bCs/>
          <w:snapToGrid w:val="0"/>
          <w:color w:val="auto"/>
          <w:sz w:val="21"/>
          <w:szCs w:val="21"/>
          <w:highlight w:val="none"/>
          <w:lang w:val="en-US" w:eastAsia="zh-CN"/>
        </w:rPr>
        <w:t>比选人</w:t>
      </w:r>
      <w:r>
        <w:rPr>
          <w:rFonts w:hint="eastAsia" w:eastAsia="宋体" w:cs="宋体"/>
          <w:bCs/>
          <w:snapToGrid w:val="0"/>
          <w:color w:val="auto"/>
          <w:sz w:val="21"/>
          <w:szCs w:val="21"/>
          <w:highlight w:val="none"/>
        </w:rPr>
        <w:t>发出</w:t>
      </w:r>
      <w:r>
        <w:rPr>
          <w:rFonts w:hint="eastAsia" w:cs="宋体"/>
          <w:bCs/>
          <w:snapToGrid w:val="0"/>
          <w:color w:val="auto"/>
          <w:sz w:val="21"/>
          <w:szCs w:val="21"/>
          <w:highlight w:val="none"/>
          <w:lang w:eastAsia="zh-CN"/>
        </w:rPr>
        <w:t>委外项目进场通知书</w:t>
      </w:r>
      <w:r>
        <w:rPr>
          <w:rFonts w:hint="eastAsia" w:eastAsia="宋体" w:cs="宋体"/>
          <w:bCs/>
          <w:snapToGrid w:val="0"/>
          <w:color w:val="auto"/>
          <w:sz w:val="21"/>
          <w:szCs w:val="21"/>
          <w:highlight w:val="none"/>
        </w:rPr>
        <w:t>为准）</w:t>
      </w:r>
      <w:r>
        <w:rPr>
          <w:rFonts w:hint="eastAsia" w:ascii="宋体" w:hAnsi="宋体"/>
          <w:color w:val="auto"/>
          <w:highlight w:val="none"/>
          <w:u w:val="none"/>
        </w:rPr>
        <w:t>。</w:t>
      </w:r>
    </w:p>
    <w:p>
      <w:pPr>
        <w:shd w:val="clear"/>
        <w:spacing w:before="0" w:after="0" w:afterAutospacing="0"/>
        <w:ind w:left="0" w:right="0" w:firstLine="420" w:firstLineChars="200"/>
        <w:rPr>
          <w:rFonts w:ascii="宋体" w:hAnsi="宋体"/>
          <w:color w:val="auto"/>
          <w:highlight w:val="none"/>
          <w:u w:val="none"/>
        </w:rPr>
      </w:pPr>
      <w:r>
        <w:rPr>
          <w:rFonts w:hint="eastAsia" w:ascii="宋体" w:hAnsi="宋体"/>
          <w:color w:val="auto"/>
          <w:highlight w:val="none"/>
          <w:u w:val="none"/>
          <w:lang w:val="en-US" w:eastAsia="zh-CN"/>
        </w:rPr>
        <w:t>2.5</w:t>
      </w:r>
      <w:r>
        <w:rPr>
          <w:rFonts w:hint="eastAsia" w:ascii="宋体" w:hAnsi="宋体"/>
          <w:color w:val="auto"/>
          <w:highlight w:val="none"/>
          <w:u w:val="none"/>
        </w:rPr>
        <w:t>项目地点：</w:t>
      </w:r>
      <w:r>
        <w:rPr>
          <w:rFonts w:hint="eastAsia" w:eastAsia="宋体"/>
          <w:color w:val="auto"/>
          <w:sz w:val="21"/>
          <w:szCs w:val="21"/>
          <w:highlight w:val="none"/>
        </w:rPr>
        <w:t>南宁轨道交通1号线屯里车辆段，2号线安吉车辆段及综合基地，3号线心圩车辆段、新村停车场，4号线五象车辆段，5号线那洪车辆基地</w:t>
      </w:r>
      <w:r>
        <w:rPr>
          <w:rFonts w:hint="eastAsia" w:ascii="宋体" w:hAnsi="宋体"/>
          <w:color w:val="auto"/>
          <w:highlight w:val="none"/>
          <w:u w:val="none"/>
        </w:rPr>
        <w:t>。</w:t>
      </w:r>
    </w:p>
    <w:p>
      <w:pPr>
        <w:shd w:val="clear"/>
        <w:spacing w:before="0" w:after="0" w:afterAutospacing="0"/>
        <w:ind w:left="0" w:right="0" w:firstLine="420" w:firstLineChars="200"/>
        <w:rPr>
          <w:rFonts w:hint="eastAsia" w:ascii="宋体" w:hAnsi="宋体" w:eastAsia="宋体"/>
          <w:color w:val="auto"/>
          <w:highlight w:val="none"/>
          <w:u w:val="none"/>
          <w:lang w:eastAsia="zh-CN"/>
        </w:rPr>
      </w:pPr>
      <w:r>
        <w:rPr>
          <w:rFonts w:hint="eastAsia" w:ascii="宋体" w:hAnsi="宋体"/>
          <w:color w:val="auto"/>
          <w:highlight w:val="none"/>
          <w:u w:val="none"/>
          <w:lang w:val="en-US" w:eastAsia="zh-CN"/>
        </w:rPr>
        <w:t>2.6</w:t>
      </w:r>
      <w:r>
        <w:rPr>
          <w:rFonts w:hint="eastAsia" w:ascii="宋体" w:hAnsi="宋体"/>
          <w:color w:val="auto"/>
          <w:highlight w:val="none"/>
          <w:u w:val="none"/>
        </w:rPr>
        <w:t>比选范围：</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1</w:t>
      </w:r>
      <w:r>
        <w:rPr>
          <w:rFonts w:hint="eastAsia" w:ascii="宋体" w:hAnsi="宋体"/>
          <w:color w:val="auto"/>
          <w:highlight w:val="none"/>
          <w:u w:val="none"/>
          <w:lang w:eastAsia="zh-CN"/>
        </w:rPr>
        <w:t>）</w:t>
      </w:r>
      <w:r>
        <w:rPr>
          <w:rFonts w:hint="eastAsia" w:eastAsia="宋体"/>
          <w:color w:val="auto"/>
          <w:sz w:val="21"/>
          <w:szCs w:val="21"/>
          <w:highlight w:val="none"/>
        </w:rPr>
        <w:t>南宁轨道交通1-5号线</w:t>
      </w:r>
      <w:r>
        <w:rPr>
          <w:rFonts w:hint="eastAsia" w:eastAsia="宋体"/>
          <w:color w:val="auto"/>
          <w:sz w:val="21"/>
          <w:szCs w:val="21"/>
          <w:highlight w:val="none"/>
          <w:lang w:val="en-US" w:eastAsia="zh-CN"/>
        </w:rPr>
        <w:t>叉车</w:t>
      </w:r>
      <w:r>
        <w:rPr>
          <w:rFonts w:hint="eastAsia" w:eastAsia="宋体"/>
          <w:color w:val="auto"/>
          <w:sz w:val="21"/>
          <w:szCs w:val="21"/>
          <w:highlight w:val="none"/>
        </w:rPr>
        <w:t>需委外维保的数量共计</w:t>
      </w:r>
      <w:r>
        <w:rPr>
          <w:rFonts w:hint="eastAsia" w:eastAsia="宋体"/>
          <w:color w:val="auto"/>
          <w:sz w:val="21"/>
          <w:szCs w:val="21"/>
          <w:highlight w:val="none"/>
          <w:lang w:val="en-US" w:eastAsia="zh-CN"/>
        </w:rPr>
        <w:t>38</w:t>
      </w:r>
      <w:r>
        <w:rPr>
          <w:rFonts w:hint="eastAsia" w:eastAsia="宋体"/>
          <w:color w:val="auto"/>
          <w:sz w:val="21"/>
          <w:szCs w:val="21"/>
          <w:highlight w:val="none"/>
        </w:rPr>
        <w:t>台</w:t>
      </w:r>
      <w:r>
        <w:rPr>
          <w:rFonts w:hint="eastAsia" w:ascii="宋体" w:hAnsi="宋体"/>
          <w:color w:val="auto"/>
          <w:highlight w:val="none"/>
          <w:u w:val="none"/>
        </w:rPr>
        <w:t>,具体详见</w:t>
      </w:r>
      <w:r>
        <w:rPr>
          <w:rFonts w:hint="eastAsia" w:ascii="宋体" w:hAnsi="宋体"/>
          <w:color w:val="auto"/>
          <w:highlight w:val="none"/>
          <w:u w:val="none"/>
          <w:lang w:val="en-US" w:eastAsia="zh-CN"/>
        </w:rPr>
        <w:t>用户</w:t>
      </w:r>
      <w:r>
        <w:rPr>
          <w:rFonts w:hint="eastAsia" w:ascii="宋体" w:hAnsi="宋体"/>
          <w:color w:val="auto"/>
          <w:highlight w:val="none"/>
          <w:u w:val="none"/>
        </w:rPr>
        <w:t>需求书。</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2</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比选申请人</w:t>
      </w:r>
      <w:r>
        <w:rPr>
          <w:rFonts w:hint="eastAsia" w:ascii="宋体" w:hAnsi="宋体"/>
          <w:color w:val="auto"/>
          <w:highlight w:val="none"/>
          <w:u w:val="none"/>
          <w:lang w:eastAsia="zh-CN"/>
        </w:rPr>
        <w:t>根据南宁轨道交通运营有限公司叉车检修规程内容和有关规定要求，组织相关维保人员对南宁轨道交通1-5号线共计38台叉车进行定期维护保养、故障维修、零部件更换及定期检验工作。</w:t>
      </w:r>
    </w:p>
    <w:p>
      <w:pPr>
        <w:shd w:val="clear"/>
        <w:spacing w:before="0" w:after="0" w:afterAutospacing="0"/>
        <w:ind w:left="0" w:right="0" w:firstLine="422" w:firstLineChars="200"/>
        <w:outlineLvl w:val="1"/>
        <w:rPr>
          <w:rFonts w:hint="eastAsia" w:ascii="宋体" w:hAnsi="宋体" w:eastAsia="宋体"/>
          <w:highlight w:val="none"/>
          <w:lang w:val="en-US" w:eastAsia="zh-CN"/>
        </w:rPr>
      </w:pPr>
      <w:bookmarkStart w:id="53" w:name="_Toc1865"/>
      <w:bookmarkStart w:id="54" w:name="_Toc24676"/>
      <w:bookmarkStart w:id="55" w:name="_Toc22827"/>
      <w:bookmarkStart w:id="56" w:name="_Toc15470"/>
      <w:bookmarkStart w:id="57" w:name="_Toc1276"/>
      <w:bookmarkStart w:id="58" w:name="_Toc16399"/>
      <w:bookmarkStart w:id="59" w:name="_Toc19694"/>
      <w:bookmarkStart w:id="60" w:name="_Toc31516"/>
      <w:r>
        <w:rPr>
          <w:rFonts w:hint="eastAsia" w:ascii="宋体" w:hAnsi="宋体"/>
          <w:b/>
          <w:highlight w:val="none"/>
        </w:rPr>
        <w:t>3.比选申请人资格要求</w:t>
      </w:r>
      <w:bookmarkEnd w:id="53"/>
      <w:bookmarkEnd w:id="54"/>
      <w:bookmarkEnd w:id="55"/>
      <w:bookmarkEnd w:id="56"/>
      <w:bookmarkEnd w:id="57"/>
      <w:bookmarkEnd w:id="58"/>
      <w:bookmarkEnd w:id="59"/>
      <w:bookmarkEnd w:id="60"/>
    </w:p>
    <w:p>
      <w:pPr>
        <w:shd w:val="clear"/>
        <w:spacing w:before="0" w:after="0" w:afterAutospacing="0"/>
        <w:ind w:left="0" w:right="0" w:firstLine="420" w:firstLineChars="200"/>
        <w:rPr>
          <w:rFonts w:ascii="宋体" w:hAnsi="宋体"/>
          <w:highlight w:val="none"/>
        </w:rPr>
      </w:pPr>
      <w:r>
        <w:rPr>
          <w:rFonts w:hint="eastAsia" w:ascii="宋体" w:hAnsi="宋体"/>
          <w:highlight w:val="none"/>
        </w:rPr>
        <w:t>3.1比选申请人为中华人民共和国境内依法设立的法人或其他组织（若以分公司名义参与投标，必须出具总公司授权参与的证明）。</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2</w:t>
      </w:r>
      <w:r>
        <w:rPr>
          <w:rFonts w:hint="eastAsia" w:ascii="宋体" w:hAnsi="宋体"/>
          <w:highlight w:val="none"/>
        </w:rPr>
        <w:t>比选申请人</w:t>
      </w:r>
      <w:r>
        <w:rPr>
          <w:rFonts w:hint="eastAsia" w:ascii="宋体" w:hAnsi="宋体"/>
          <w:color w:val="auto"/>
          <w:highlight w:val="none"/>
        </w:rPr>
        <w:t>应取得叉车特种设备生产许可证</w:t>
      </w:r>
      <w:r>
        <w:rPr>
          <w:rFonts w:hint="eastAsia" w:ascii="宋体" w:hAnsi="宋体"/>
          <w:highlight w:val="none"/>
        </w:rPr>
        <w:t>，许可项目包括但不限于场（厂）内专用机动车辆制造（含修理、改造）。</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3</w:t>
      </w:r>
      <w:r>
        <w:rPr>
          <w:rFonts w:hint="eastAsia" w:ascii="宋体" w:hAnsi="宋体"/>
          <w:highlight w:val="none"/>
        </w:rPr>
        <w:t>业绩条件：</w:t>
      </w:r>
      <w:r>
        <w:rPr>
          <w:rFonts w:hint="eastAsia" w:eastAsia="宋体" w:cs="宋体"/>
          <w:color w:val="auto"/>
          <w:sz w:val="21"/>
          <w:szCs w:val="21"/>
          <w:highlight w:val="none"/>
        </w:rPr>
        <w:t>20</w:t>
      </w:r>
      <w:r>
        <w:rPr>
          <w:rFonts w:hint="eastAsia" w:eastAsia="宋体" w:cs="宋体"/>
          <w:color w:val="auto"/>
          <w:sz w:val="21"/>
          <w:szCs w:val="21"/>
          <w:highlight w:val="none"/>
          <w:lang w:val="en-US" w:eastAsia="zh-CN"/>
        </w:rPr>
        <w:t>19</w:t>
      </w:r>
      <w:r>
        <w:rPr>
          <w:rFonts w:hint="eastAsia" w:eastAsia="宋体" w:cs="宋体"/>
          <w:color w:val="auto"/>
          <w:sz w:val="21"/>
          <w:szCs w:val="21"/>
          <w:highlight w:val="none"/>
        </w:rPr>
        <w:t>年1月1日至今</w:t>
      </w:r>
      <w:r>
        <w:rPr>
          <w:rFonts w:hint="eastAsia" w:eastAsia="宋体" w:cs="宋体"/>
          <w:color w:val="auto"/>
          <w:sz w:val="21"/>
          <w:szCs w:val="21"/>
          <w:highlight w:val="none"/>
          <w:lang w:val="en-US" w:eastAsia="zh-CN"/>
        </w:rPr>
        <w:t>至少</w:t>
      </w:r>
      <w:r>
        <w:rPr>
          <w:rFonts w:hint="eastAsia" w:eastAsia="宋体" w:cs="宋体"/>
          <w:color w:val="auto"/>
          <w:sz w:val="21"/>
          <w:szCs w:val="21"/>
          <w:highlight w:val="none"/>
        </w:rPr>
        <w:t>承接过其中1个</w:t>
      </w:r>
      <w:r>
        <w:rPr>
          <w:rFonts w:hint="eastAsia" w:eastAsia="宋体" w:cs="宋体"/>
          <w:color w:val="auto"/>
          <w:sz w:val="21"/>
          <w:szCs w:val="21"/>
          <w:highlight w:val="none"/>
          <w:lang w:val="en-US" w:eastAsia="zh-CN"/>
        </w:rPr>
        <w:t>叉车</w:t>
      </w:r>
      <w:r>
        <w:rPr>
          <w:rFonts w:hint="eastAsia" w:eastAsia="宋体" w:cs="宋体"/>
          <w:color w:val="auto"/>
          <w:sz w:val="21"/>
          <w:szCs w:val="21"/>
          <w:highlight w:val="none"/>
        </w:rPr>
        <w:t>维保或维修项目，并提供项目业绩证明材料。证明材料能清晰反映类似项目特征（中标通知书、业绩合同关键页复印件或用户证明，否则评审时不予承认该业绩，时间以合同签定时间为准）</w:t>
      </w:r>
      <w:r>
        <w:rPr>
          <w:rFonts w:hint="eastAsia" w:ascii="宋体" w:hAnsi="宋体"/>
          <w:highlight w:val="none"/>
        </w:rPr>
        <w:t>。</w:t>
      </w:r>
    </w:p>
    <w:p>
      <w:pPr>
        <w:shd w:val="clea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highlight w:val="none"/>
        </w:rPr>
        <w:t>3.</w:t>
      </w:r>
      <w:r>
        <w:rPr>
          <w:rFonts w:hint="eastAsia" w:ascii="宋体" w:hAnsi="宋体"/>
          <w:highlight w:val="none"/>
          <w:lang w:val="en-US" w:eastAsia="zh-CN"/>
        </w:rPr>
        <w:t>4</w:t>
      </w:r>
      <w:r>
        <w:rPr>
          <w:rFonts w:hint="eastAsia" w:ascii="宋体" w:hAnsi="宋体"/>
          <w:highlight w:val="none"/>
        </w:rPr>
        <w:t>比选申请人</w:t>
      </w:r>
      <w:r>
        <w:rPr>
          <w:rFonts w:hint="eastAsia" w:eastAsia="宋体" w:cs="宋体"/>
          <w:color w:val="auto"/>
          <w:sz w:val="21"/>
          <w:szCs w:val="21"/>
          <w:highlight w:val="none"/>
        </w:rPr>
        <w:t>没有处于被责令停业，或投标资格被住建部、广西壮族自治区或南宁市建设行政主管部门取消，或财产被接管、破产状态；在</w:t>
      </w:r>
      <w:r>
        <w:rPr>
          <w:rFonts w:hint="eastAsia" w:cs="宋体"/>
          <w:color w:val="auto"/>
          <w:sz w:val="21"/>
          <w:szCs w:val="21"/>
          <w:highlight w:val="none"/>
          <w:lang w:val="en-US" w:eastAsia="zh-CN"/>
        </w:rPr>
        <w:t>比选申请</w:t>
      </w:r>
      <w:r>
        <w:rPr>
          <w:rFonts w:hint="eastAsia" w:eastAsia="宋体" w:cs="宋体"/>
          <w:color w:val="auto"/>
          <w:sz w:val="21"/>
          <w:szCs w:val="21"/>
          <w:highlight w:val="none"/>
        </w:rPr>
        <w:t>截止前3年内没有骗取中标、严重违约或重大安全质量事故行为</w:t>
      </w:r>
      <w:r>
        <w:rPr>
          <w:rFonts w:hint="eastAsia" w:ascii="宋体" w:hAnsi="宋体"/>
          <w:color w:val="auto"/>
          <w:highlight w:val="none"/>
        </w:rPr>
        <w:t>。</w:t>
      </w:r>
    </w:p>
    <w:p>
      <w:pPr>
        <w:shd w:val="clear"/>
        <w:spacing w:before="0" w:after="0" w:afterAutospacing="0"/>
        <w:ind w:left="0" w:right="0" w:firstLine="420" w:firstLineChars="200"/>
        <w:rPr>
          <w:rFonts w:hint="eastAsia" w:ascii="宋体" w:hAnsi="宋体" w:eastAsia="宋体"/>
          <w:highlight w:val="none"/>
          <w:lang w:val="en-US" w:eastAsia="zh-CN"/>
        </w:rPr>
      </w:pPr>
      <w:r>
        <w:rPr>
          <w:rFonts w:hint="eastAsia" w:ascii="宋体" w:hAnsi="宋体"/>
          <w:highlight w:val="none"/>
        </w:rPr>
        <w:t>3.</w:t>
      </w:r>
      <w:r>
        <w:rPr>
          <w:rFonts w:hint="eastAsia" w:ascii="宋体" w:hAnsi="宋体"/>
          <w:highlight w:val="none"/>
          <w:lang w:val="en-US" w:eastAsia="zh-CN"/>
        </w:rPr>
        <w:t>5</w:t>
      </w:r>
      <w:r>
        <w:rPr>
          <w:rFonts w:hint="eastAsia" w:ascii="宋体" w:hAnsi="宋体"/>
          <w:highlight w:val="none"/>
        </w:rPr>
        <w:t>本项目</w:t>
      </w:r>
      <w:r>
        <w:rPr>
          <w:rFonts w:hint="eastAsia" w:eastAsia="宋体" w:cs="宋体"/>
          <w:bCs/>
          <w:snapToGrid w:val="0"/>
          <w:color w:val="auto"/>
          <w:sz w:val="21"/>
          <w:szCs w:val="21"/>
          <w:highlight w:val="none"/>
        </w:rPr>
        <w:t>不允许联合体</w:t>
      </w:r>
      <w:r>
        <w:rPr>
          <w:rFonts w:hint="eastAsia" w:ascii="宋体" w:hAnsi="宋体"/>
          <w:highlight w:val="none"/>
        </w:rPr>
        <w:t>比选申请</w:t>
      </w:r>
      <w:r>
        <w:rPr>
          <w:rFonts w:hint="eastAsia" w:eastAsia="宋体" w:cs="宋体"/>
          <w:bCs/>
          <w:snapToGrid w:val="0"/>
          <w:color w:val="auto"/>
          <w:sz w:val="21"/>
          <w:szCs w:val="21"/>
          <w:highlight w:val="none"/>
        </w:rPr>
        <w:t>，不允许任何形式的转包或分包</w:t>
      </w:r>
      <w:r>
        <w:rPr>
          <w:rFonts w:hint="eastAsia" w:ascii="宋体" w:hAnsi="宋体"/>
          <w:highlight w:val="none"/>
        </w:rPr>
        <w:t>。</w:t>
      </w:r>
    </w:p>
    <w:p>
      <w:pPr>
        <w:shd w:val="clear"/>
        <w:spacing w:before="0" w:after="0" w:afterAutospacing="0"/>
        <w:ind w:left="842" w:leftChars="200" w:right="0" w:hanging="422" w:hangingChars="200"/>
        <w:outlineLvl w:val="1"/>
        <w:rPr>
          <w:rFonts w:ascii="宋体" w:hAnsi="宋体"/>
          <w:b/>
          <w:highlight w:val="none"/>
        </w:rPr>
      </w:pPr>
      <w:bookmarkStart w:id="61" w:name="_Toc15578"/>
      <w:bookmarkStart w:id="62" w:name="_Toc2854"/>
      <w:bookmarkStart w:id="63" w:name="_Toc11459"/>
      <w:bookmarkStart w:id="64" w:name="_Toc9746"/>
      <w:bookmarkStart w:id="65" w:name="_Toc2673"/>
      <w:bookmarkStart w:id="66" w:name="_Toc11427"/>
      <w:bookmarkStart w:id="67" w:name="_Toc19994"/>
      <w:bookmarkStart w:id="68" w:name="_Toc14072"/>
      <w:r>
        <w:rPr>
          <w:rFonts w:hint="eastAsia" w:ascii="宋体" w:hAnsi="宋体"/>
          <w:b/>
          <w:highlight w:val="none"/>
        </w:rPr>
        <w:t>4.资格审查方式</w:t>
      </w:r>
      <w:bookmarkEnd w:id="61"/>
      <w:bookmarkEnd w:id="62"/>
      <w:bookmarkEnd w:id="63"/>
      <w:bookmarkEnd w:id="64"/>
      <w:bookmarkEnd w:id="65"/>
      <w:bookmarkEnd w:id="66"/>
      <w:bookmarkEnd w:id="67"/>
      <w:bookmarkEnd w:id="68"/>
    </w:p>
    <w:p>
      <w:pPr>
        <w:shd w:val="clear"/>
        <w:spacing w:before="0" w:after="0" w:afterAutospacing="0"/>
        <w:ind w:left="0" w:right="0" w:firstLine="420" w:firstLineChars="200"/>
        <w:rPr>
          <w:rFonts w:ascii="宋体" w:hAnsi="宋体"/>
          <w:color w:val="FF0000"/>
          <w:highlight w:val="none"/>
        </w:rPr>
      </w:pPr>
      <w:r>
        <w:rPr>
          <w:rFonts w:hint="eastAsia" w:ascii="宋体" w:hAnsi="宋体"/>
          <w:highlight w:val="none"/>
        </w:rPr>
        <w:t>本项目对比选申请人的资格审查采用资格后审方式，只有资格审查合格的比选申请人才有可能被授予合同。</w:t>
      </w:r>
    </w:p>
    <w:p>
      <w:pPr>
        <w:shd w:val="clear"/>
        <w:spacing w:before="0" w:after="0" w:afterAutospacing="0"/>
        <w:ind w:left="0" w:right="0" w:firstLine="422" w:firstLineChars="200"/>
        <w:outlineLvl w:val="1"/>
        <w:rPr>
          <w:rFonts w:ascii="宋体" w:hAnsi="宋体"/>
          <w:b/>
          <w:highlight w:val="none"/>
        </w:rPr>
      </w:pPr>
      <w:bookmarkStart w:id="69" w:name="_Toc31411"/>
      <w:bookmarkStart w:id="70" w:name="_Toc26104"/>
      <w:bookmarkStart w:id="71" w:name="_Toc27453"/>
      <w:bookmarkStart w:id="72" w:name="_Toc31316"/>
      <w:bookmarkStart w:id="73" w:name="_Toc29856"/>
      <w:bookmarkStart w:id="74" w:name="_Toc30381"/>
      <w:bookmarkStart w:id="75" w:name="_Toc14555"/>
      <w:bookmarkStart w:id="76" w:name="_Toc12028"/>
      <w:r>
        <w:rPr>
          <w:rFonts w:hint="eastAsia" w:ascii="宋体" w:hAnsi="宋体"/>
          <w:b/>
          <w:highlight w:val="none"/>
        </w:rPr>
        <w:t>5.比选文件的获取</w:t>
      </w:r>
      <w:bookmarkEnd w:id="69"/>
      <w:bookmarkEnd w:id="70"/>
      <w:bookmarkEnd w:id="71"/>
      <w:bookmarkEnd w:id="72"/>
      <w:bookmarkEnd w:id="73"/>
      <w:bookmarkEnd w:id="74"/>
      <w:bookmarkEnd w:id="75"/>
      <w:bookmarkEnd w:id="76"/>
    </w:p>
    <w:p>
      <w:pPr>
        <w:shd w:val="clear"/>
        <w:spacing w:before="0" w:after="0" w:afterAutospacing="0"/>
        <w:ind w:left="0" w:right="0" w:firstLine="420" w:firstLineChars="200"/>
        <w:outlineLvl w:val="2"/>
        <w:rPr>
          <w:rFonts w:hint="eastAsia" w:ascii="宋体" w:hAnsi="宋体"/>
          <w:highlight w:val="none"/>
        </w:rPr>
      </w:pPr>
      <w:r>
        <w:rPr>
          <w:rFonts w:hint="eastAsia" w:ascii="宋体" w:hAnsi="宋体"/>
          <w:highlight w:val="none"/>
        </w:rPr>
        <w:t>5.1比选文件获取</w:t>
      </w:r>
    </w:p>
    <w:p>
      <w:pPr>
        <w:shd w:val="clear"/>
        <w:spacing w:before="0" w:after="0" w:afterAutospacing="0"/>
        <w:ind w:left="0" w:leftChars="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hd w:val="clea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hd w:val="clear"/>
        <w:spacing w:before="0" w:after="0" w:afterAutospacing="0"/>
        <w:ind w:left="0" w:right="0" w:firstLine="422" w:firstLineChars="200"/>
        <w:outlineLvl w:val="1"/>
        <w:rPr>
          <w:rFonts w:ascii="宋体" w:hAnsi="宋体"/>
          <w:b/>
          <w:highlight w:val="none"/>
        </w:rPr>
      </w:pPr>
      <w:bookmarkStart w:id="77" w:name="_Toc31235"/>
      <w:bookmarkStart w:id="78" w:name="_Toc8011"/>
      <w:bookmarkStart w:id="79" w:name="_Toc24674"/>
      <w:bookmarkStart w:id="80" w:name="_Toc26315"/>
      <w:bookmarkStart w:id="81" w:name="_Toc23536"/>
      <w:bookmarkStart w:id="82" w:name="_Toc32177"/>
      <w:bookmarkStart w:id="83" w:name="_Toc638"/>
      <w:bookmarkStart w:id="84" w:name="_Toc31046"/>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77"/>
      <w:bookmarkEnd w:id="78"/>
      <w:bookmarkEnd w:id="79"/>
      <w:bookmarkEnd w:id="80"/>
      <w:bookmarkEnd w:id="81"/>
      <w:bookmarkEnd w:id="82"/>
      <w:bookmarkEnd w:id="83"/>
      <w:bookmarkEnd w:id="84"/>
    </w:p>
    <w:p>
      <w:pPr>
        <w:shd w:val="clea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lang w:val="en-US" w:eastAsia="zh-CN"/>
        </w:rPr>
        <w:t>2024</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u w:val="single"/>
          <w:lang w:val="en-US" w:eastAsia="zh-CN"/>
        </w:rPr>
        <w:t>3</w:t>
      </w:r>
      <w:r>
        <w:rPr>
          <w:rFonts w:hint="eastAsia"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u w:val="single"/>
          <w:lang w:val="en-US" w:eastAsia="zh-CN"/>
        </w:rPr>
        <w:t>8</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8</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u w:val="single"/>
          <w:lang w:val="en-US" w:eastAsia="zh-CN"/>
        </w:rPr>
        <w:t>30</w:t>
      </w:r>
      <w:r>
        <w:rPr>
          <w:rFonts w:hint="eastAsia" w:ascii="宋体" w:hAnsi="宋体"/>
          <w:highlight w:val="none"/>
          <w:u w:val="single"/>
        </w:rPr>
        <w:t xml:space="preserve"> </w:t>
      </w:r>
      <w:r>
        <w:rPr>
          <w:rFonts w:hint="eastAsia" w:ascii="宋体" w:hAnsi="宋体"/>
          <w:highlight w:val="none"/>
        </w:rPr>
        <w:t>分</w:t>
      </w:r>
      <w:r>
        <w:rPr>
          <w:rFonts w:hint="eastAsia" w:ascii="宋体" w:hAnsi="宋体"/>
          <w:highlight w:val="none"/>
          <w:lang w:val="en-US" w:eastAsia="zh-CN"/>
        </w:rPr>
        <w:t>-</w:t>
      </w:r>
      <w:r>
        <w:rPr>
          <w:rFonts w:hint="eastAsia" w:ascii="宋体" w:hAnsi="宋体"/>
          <w:highlight w:val="none"/>
          <w:u w:val="single"/>
        </w:rPr>
        <w:t xml:space="preserve"> </w:t>
      </w:r>
      <w:r>
        <w:rPr>
          <w:rFonts w:hint="eastAsia" w:ascii="宋体" w:hAnsi="宋体"/>
          <w:highlight w:val="none"/>
          <w:u w:val="single"/>
          <w:lang w:val="en-US" w:eastAsia="zh-CN"/>
        </w:rPr>
        <w:t>9</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u w:val="single"/>
          <w:lang w:val="en-US" w:eastAsia="zh-CN"/>
        </w:rPr>
        <w:t>00</w:t>
      </w:r>
      <w:r>
        <w:rPr>
          <w:rFonts w:hint="eastAsia" w:ascii="宋体" w:hAnsi="宋体"/>
          <w:highlight w:val="none"/>
          <w:u w:val="single"/>
        </w:rPr>
        <w:t xml:space="preserve"> </w:t>
      </w:r>
      <w:r>
        <w:rPr>
          <w:rFonts w:hint="eastAsia" w:ascii="宋体" w:hAnsi="宋体"/>
          <w:highlight w:val="none"/>
        </w:rPr>
        <w:t>分（北京时间）递交，递交地点在广西南宁市青秀区云景路 83 号 屯里车辆段综合楼</w:t>
      </w:r>
      <w:r>
        <w:rPr>
          <w:rFonts w:hint="eastAsia" w:ascii="宋体" w:hAnsi="宋体"/>
          <w:highlight w:val="none"/>
          <w:u w:val="single"/>
          <w:lang w:val="en-US" w:eastAsia="zh-CN"/>
        </w:rPr>
        <w:t>205</w:t>
      </w:r>
      <w:r>
        <w:rPr>
          <w:rFonts w:hint="eastAsia" w:ascii="宋体" w:hAnsi="宋体"/>
          <w:highlight w:val="none"/>
        </w:rPr>
        <w:t>会议室，递交现场联系人：莫</w:t>
      </w:r>
      <w:r>
        <w:rPr>
          <w:rFonts w:hint="eastAsia" w:ascii="宋体" w:hAnsi="宋体"/>
          <w:highlight w:val="none"/>
          <w:lang w:val="en-US" w:eastAsia="zh-CN"/>
        </w:rPr>
        <w:t>工</w:t>
      </w:r>
      <w:r>
        <w:rPr>
          <w:rFonts w:hint="eastAsia" w:ascii="宋体" w:hAnsi="宋体"/>
          <w:highlight w:val="none"/>
        </w:rPr>
        <w:t xml:space="preserve"> 电话0771-2778312。</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6.3请比选申请人法定代表人或其授权代表携法人委托书原件准时参加。</w:t>
      </w:r>
      <w:r>
        <w:rPr>
          <w:rFonts w:ascii="宋体" w:hAnsi="宋体"/>
          <w:highlight w:val="none"/>
        </w:rPr>
        <w:t>比选申请文件必须由</w:t>
      </w:r>
      <w:r>
        <w:rPr>
          <w:rFonts w:hint="eastAsia" w:ascii="宋体" w:hAnsi="宋体"/>
          <w:highlight w:val="none"/>
        </w:rPr>
        <w:t>比选申请人</w:t>
      </w:r>
      <w:r>
        <w:rPr>
          <w:rFonts w:ascii="宋体" w:hAnsi="宋体"/>
          <w:highlight w:val="none"/>
        </w:rPr>
        <w:t>法定代表人或其授权代表递交，否则比选人不予受理。</w:t>
      </w:r>
    </w:p>
    <w:p>
      <w:pPr>
        <w:shd w:val="clear"/>
        <w:spacing w:before="0" w:after="0" w:afterAutospacing="0" w:line="360" w:lineRule="auto"/>
        <w:ind w:left="0" w:right="0" w:firstLine="422" w:firstLineChars="200"/>
        <w:outlineLvl w:val="1"/>
        <w:rPr>
          <w:rFonts w:hint="eastAsia" w:ascii="宋体" w:hAnsi="宋体"/>
          <w:b/>
          <w:highlight w:val="none"/>
        </w:rPr>
      </w:pPr>
      <w:bookmarkStart w:id="85" w:name="_Toc29293"/>
      <w:bookmarkStart w:id="86" w:name="_Toc17262"/>
      <w:bookmarkStart w:id="87" w:name="_Toc20221"/>
      <w:bookmarkStart w:id="88" w:name="_Toc26235"/>
      <w:bookmarkStart w:id="89" w:name="_Toc489"/>
      <w:bookmarkStart w:id="90" w:name="_Toc24097"/>
      <w:bookmarkStart w:id="91" w:name="_Toc26263"/>
      <w:bookmarkStart w:id="92" w:name="_Toc19992"/>
      <w:r>
        <w:rPr>
          <w:rFonts w:hint="eastAsia" w:ascii="宋体" w:hAnsi="宋体"/>
          <w:b/>
          <w:highlight w:val="none"/>
        </w:rPr>
        <w:t>7.发布公告的媒介</w:t>
      </w:r>
      <w:bookmarkEnd w:id="85"/>
      <w:bookmarkEnd w:id="86"/>
      <w:bookmarkEnd w:id="87"/>
      <w:bookmarkEnd w:id="88"/>
      <w:bookmarkEnd w:id="89"/>
      <w:bookmarkEnd w:id="90"/>
      <w:bookmarkEnd w:id="91"/>
      <w:bookmarkEnd w:id="92"/>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本次比选公告在南宁轨道交通集团有限责任公司官网(http://www.nngdjt.com)</w:t>
      </w:r>
      <w:r>
        <w:rPr>
          <w:rFonts w:hint="eastAsia" w:ascii="宋体" w:hAnsi="宋体"/>
          <w:highlight w:val="none"/>
          <w:lang w:eastAsia="zh-CN"/>
        </w:rPr>
        <w:t>、</w:t>
      </w:r>
      <w:r>
        <w:rPr>
          <w:rFonts w:hint="eastAsia" w:ascii="宋体" w:hAnsi="宋体"/>
          <w:highlight w:val="none"/>
        </w:rPr>
        <w:t>中国e车网(http://www.ecrrc.com)发布。</w:t>
      </w:r>
    </w:p>
    <w:p>
      <w:pPr>
        <w:shd w:val="clear"/>
        <w:spacing w:before="0" w:after="0" w:afterAutospacing="0"/>
        <w:ind w:left="0" w:right="0" w:firstLine="422" w:firstLineChars="200"/>
        <w:outlineLvl w:val="1"/>
        <w:rPr>
          <w:rFonts w:hint="eastAsia" w:ascii="宋体" w:hAnsi="宋体"/>
          <w:b/>
          <w:bCs w:val="0"/>
          <w:highlight w:val="none"/>
        </w:rPr>
      </w:pPr>
      <w:bookmarkStart w:id="93" w:name="_Toc14746"/>
      <w:bookmarkStart w:id="94" w:name="_Toc25013"/>
      <w:bookmarkStart w:id="95" w:name="_Toc22065"/>
      <w:bookmarkStart w:id="96" w:name="_Toc22055"/>
      <w:bookmarkStart w:id="97" w:name="_Toc9870"/>
      <w:r>
        <w:rPr>
          <w:rFonts w:hint="eastAsia" w:ascii="宋体" w:hAnsi="宋体"/>
          <w:b/>
          <w:bCs w:val="0"/>
          <w:highlight w:val="none"/>
          <w:lang w:val="en-US" w:eastAsia="zh-CN"/>
        </w:rPr>
        <w:t>8.</w:t>
      </w:r>
      <w:r>
        <w:rPr>
          <w:rFonts w:hint="eastAsia" w:ascii="宋体" w:hAnsi="宋体"/>
          <w:b/>
          <w:bCs w:val="0"/>
          <w:highlight w:val="none"/>
        </w:rPr>
        <w:t>比选</w:t>
      </w:r>
      <w:r>
        <w:rPr>
          <w:rFonts w:hint="eastAsia" w:ascii="宋体" w:hAnsi="宋体"/>
          <w:b/>
          <w:highlight w:val="none"/>
        </w:rPr>
        <w:t>纪律监督部门及电话</w:t>
      </w:r>
      <w:bookmarkEnd w:id="93"/>
      <w:bookmarkEnd w:id="94"/>
      <w:bookmarkEnd w:id="95"/>
      <w:bookmarkEnd w:id="96"/>
      <w:bookmarkEnd w:id="97"/>
    </w:p>
    <w:p>
      <w:pPr>
        <w:shd w:val="clear"/>
        <w:spacing w:before="0" w:after="0" w:afterAutospacing="0"/>
        <w:ind w:left="0" w:right="0" w:firstLine="420" w:firstLineChars="200"/>
        <w:outlineLvl w:val="2"/>
        <w:rPr>
          <w:rFonts w:hint="eastAsia" w:ascii="宋体" w:hAnsi="宋体" w:eastAsia="宋体"/>
          <w:b/>
          <w:bCs/>
          <w:highlight w:val="none"/>
          <w:lang w:val="en-US" w:eastAsia="zh-CN"/>
        </w:rPr>
      </w:pPr>
      <w:bookmarkStart w:id="98" w:name="_Toc29266"/>
      <w:r>
        <w:rPr>
          <w:rFonts w:hint="eastAsia" w:ascii="宋体" w:hAnsi="宋体"/>
          <w:b w:val="0"/>
          <w:bCs w:val="0"/>
          <w:color w:val="auto"/>
          <w:highlight w:val="none"/>
        </w:rPr>
        <w:t>南宁轨道交通运营有限公司纪检监察室0771-2778084。</w:t>
      </w:r>
      <w:bookmarkEnd w:id="98"/>
      <w:bookmarkStart w:id="99" w:name="_Toc31034"/>
      <w:bookmarkStart w:id="100" w:name="_Toc7844"/>
      <w:bookmarkStart w:id="101" w:name="_Toc3371"/>
    </w:p>
    <w:p>
      <w:pPr>
        <w:shd w:val="clear"/>
        <w:spacing w:before="0" w:after="0" w:afterAutospacing="0"/>
        <w:ind w:left="0" w:right="0" w:firstLine="422" w:firstLineChars="200"/>
        <w:outlineLvl w:val="1"/>
        <w:rPr>
          <w:rFonts w:hint="eastAsia" w:ascii="宋体" w:hAnsi="宋体"/>
          <w:b/>
          <w:bCs/>
          <w:highlight w:val="none"/>
        </w:rPr>
      </w:pPr>
      <w:bookmarkStart w:id="102" w:name="_Toc23573"/>
      <w:bookmarkStart w:id="103" w:name="_Toc26085"/>
      <w:bookmarkStart w:id="104" w:name="_Toc14242"/>
      <w:bookmarkStart w:id="105" w:name="_Toc28004"/>
      <w:bookmarkStart w:id="106" w:name="_Toc2826"/>
      <w:r>
        <w:rPr>
          <w:rFonts w:hint="eastAsia" w:ascii="宋体" w:hAnsi="宋体"/>
          <w:b/>
          <w:bCs/>
          <w:highlight w:val="none"/>
          <w:lang w:val="en-US" w:eastAsia="zh-CN"/>
        </w:rPr>
        <w:t>9</w:t>
      </w:r>
      <w:r>
        <w:rPr>
          <w:rFonts w:hint="eastAsia" w:ascii="宋体" w:hAnsi="宋体"/>
          <w:b/>
          <w:bCs/>
          <w:highlight w:val="none"/>
        </w:rPr>
        <w:t>.联系方式</w:t>
      </w:r>
      <w:bookmarkEnd w:id="99"/>
      <w:bookmarkEnd w:id="100"/>
      <w:bookmarkEnd w:id="101"/>
      <w:bookmarkEnd w:id="102"/>
      <w:bookmarkEnd w:id="103"/>
      <w:bookmarkEnd w:id="104"/>
      <w:bookmarkEnd w:id="105"/>
      <w:bookmarkEnd w:id="106"/>
    </w:p>
    <w:p>
      <w:pPr>
        <w:shd w:val="clear"/>
        <w:spacing w:before="0" w:after="0" w:afterAutospacing="0"/>
        <w:ind w:left="0" w:right="0" w:firstLine="420" w:firstLineChars="200"/>
        <w:rPr>
          <w:rFonts w:ascii="宋体" w:hAnsi="宋体"/>
          <w:highlight w:val="none"/>
          <w:u w:val="single"/>
        </w:rPr>
      </w:pPr>
      <w:r>
        <w:rPr>
          <w:rFonts w:hint="eastAsia" w:ascii="宋体" w:hAnsi="宋体"/>
          <w:highlight w:val="none"/>
        </w:rPr>
        <w:t>比</w:t>
      </w:r>
      <w:r>
        <w:rPr>
          <w:rFonts w:hint="eastAsia" w:ascii="宋体" w:hAnsi="宋体"/>
          <w:highlight w:val="none"/>
          <w:lang w:val="en-US" w:eastAsia="zh-CN"/>
        </w:rPr>
        <w:t xml:space="preserve"> </w:t>
      </w:r>
      <w:r>
        <w:rPr>
          <w:rFonts w:hint="eastAsia" w:ascii="宋体" w:hAnsi="宋体"/>
          <w:highlight w:val="none"/>
        </w:rPr>
        <w:t>选 人：</w:t>
      </w:r>
      <w:r>
        <w:rPr>
          <w:rFonts w:ascii="宋体" w:hAnsi="宋体"/>
          <w:highlight w:val="none"/>
          <w:u w:val="single"/>
        </w:rPr>
        <w:t>南宁轨道交通</w:t>
      </w:r>
      <w:r>
        <w:rPr>
          <w:rFonts w:hint="eastAsia" w:ascii="宋体" w:hAnsi="宋体"/>
          <w:highlight w:val="none"/>
          <w:u w:val="single"/>
        </w:rPr>
        <w:t>运营有限</w:t>
      </w:r>
      <w:r>
        <w:rPr>
          <w:rFonts w:ascii="宋体" w:hAnsi="宋体"/>
          <w:highlight w:val="none"/>
          <w:u w:val="single"/>
        </w:rPr>
        <w:t>公司</w:t>
      </w:r>
      <w:r>
        <w:rPr>
          <w:rFonts w:hint="eastAsia" w:ascii="宋体" w:hAnsi="宋体"/>
          <w:highlight w:val="none"/>
        </w:rPr>
        <w:t xml:space="preserve">     </w:t>
      </w:r>
    </w:p>
    <w:p>
      <w:pPr>
        <w:shd w:val="clear"/>
        <w:spacing w:before="0" w:after="0" w:afterAutospacing="0"/>
        <w:ind w:left="0" w:right="0" w:firstLine="420" w:firstLineChars="200"/>
        <w:rPr>
          <w:rFonts w:ascii="宋体" w:hAnsi="宋体"/>
          <w:highlight w:val="none"/>
          <w:u w:val="single"/>
        </w:rPr>
      </w:pPr>
      <w:r>
        <w:rPr>
          <w:rFonts w:hint="eastAsia" w:ascii="宋体" w:hAnsi="宋体"/>
          <w:highlight w:val="none"/>
        </w:rPr>
        <w:t>地    址：</w:t>
      </w:r>
      <w:r>
        <w:rPr>
          <w:rFonts w:hint="eastAsia" w:ascii="宋体" w:hAnsi="宋体"/>
          <w:highlight w:val="none"/>
          <w:u w:val="single"/>
        </w:rPr>
        <w:t xml:space="preserve">南宁市青秀区云景路83号 </w:t>
      </w:r>
      <w:r>
        <w:rPr>
          <w:rFonts w:hint="eastAsia" w:ascii="宋体" w:hAnsi="宋体"/>
          <w:highlight w:val="none"/>
        </w:rPr>
        <w:t xml:space="preserve">        </w:t>
      </w:r>
    </w:p>
    <w:p>
      <w:pPr>
        <w:shd w:val="clear"/>
        <w:spacing w:before="0" w:after="0" w:afterAutospacing="0"/>
        <w:ind w:left="0" w:right="0" w:firstLine="420" w:firstLineChars="200"/>
        <w:rPr>
          <w:rFonts w:ascii="宋体" w:hAnsi="宋体"/>
          <w:highlight w:val="none"/>
          <w:u w:val="single"/>
        </w:rPr>
      </w:pPr>
      <w:r>
        <w:rPr>
          <w:rFonts w:hint="eastAsia" w:ascii="宋体" w:hAnsi="宋体"/>
          <w:highlight w:val="none"/>
        </w:rPr>
        <w:t>邮    编：</w:t>
      </w:r>
      <w:r>
        <w:rPr>
          <w:rFonts w:hint="eastAsia" w:ascii="宋体" w:hAnsi="宋体"/>
          <w:highlight w:val="none"/>
          <w:u w:val="single"/>
        </w:rPr>
        <w:t xml:space="preserve">530022 </w:t>
      </w:r>
      <w:r>
        <w:rPr>
          <w:rFonts w:hint="eastAsia" w:ascii="宋体" w:hAnsi="宋体"/>
          <w:highlight w:val="none"/>
        </w:rPr>
        <w:t xml:space="preserve">                        </w:t>
      </w:r>
    </w:p>
    <w:p>
      <w:pPr>
        <w:shd w:val="clear"/>
        <w:spacing w:before="0" w:after="0" w:afterAutospacing="0"/>
        <w:ind w:left="0" w:right="0" w:firstLine="420" w:firstLineChars="200"/>
        <w:rPr>
          <w:rFonts w:hint="default" w:ascii="宋体" w:hAnsi="宋体" w:eastAsia="宋体"/>
          <w:highlight w:val="none"/>
          <w:u w:val="single"/>
          <w:lang w:val="en-US" w:eastAsia="zh-CN"/>
        </w:rPr>
      </w:pPr>
      <w:r>
        <w:rPr>
          <w:rFonts w:hint="eastAsia" w:ascii="宋体" w:hAnsi="宋体"/>
          <w:highlight w:val="none"/>
        </w:rPr>
        <w:t>联 系 人：</w:t>
      </w:r>
      <w:r>
        <w:rPr>
          <w:rFonts w:hint="eastAsia" w:ascii="宋体" w:hAnsi="宋体"/>
          <w:highlight w:val="none"/>
          <w:u w:val="single"/>
          <w:lang w:val="en-US" w:eastAsia="zh-CN"/>
        </w:rPr>
        <w:t>莫</w:t>
      </w:r>
      <w:r>
        <w:rPr>
          <w:rFonts w:hint="eastAsia" w:ascii="宋体" w:hAnsi="宋体"/>
          <w:highlight w:val="none"/>
          <w:u w:val="single"/>
        </w:rPr>
        <w:t>工</w:t>
      </w:r>
      <w:r>
        <w:rPr>
          <w:rFonts w:hint="eastAsia" w:ascii="宋体" w:hAnsi="宋体"/>
          <w:highlight w:val="none"/>
          <w:u w:val="single"/>
          <w:lang w:eastAsia="zh-CN"/>
        </w:rPr>
        <w:t>、</w:t>
      </w:r>
      <w:r>
        <w:rPr>
          <w:rFonts w:hint="eastAsia" w:ascii="宋体" w:hAnsi="宋体"/>
          <w:highlight w:val="none"/>
          <w:u w:val="single"/>
          <w:lang w:val="en-US" w:eastAsia="zh-CN"/>
        </w:rPr>
        <w:t>陈工</w:t>
      </w:r>
    </w:p>
    <w:p>
      <w:pPr>
        <w:shd w:val="clea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0771-2778</w:t>
      </w:r>
      <w:r>
        <w:rPr>
          <w:rFonts w:ascii="宋体" w:hAnsi="宋体"/>
          <w:highlight w:val="none"/>
          <w:u w:val="single"/>
        </w:rPr>
        <w:t>3</w:t>
      </w:r>
      <w:r>
        <w:rPr>
          <w:rFonts w:hint="eastAsia" w:ascii="宋体" w:hAnsi="宋体"/>
          <w:highlight w:val="none"/>
          <w:u w:val="single"/>
          <w:lang w:val="en-US" w:eastAsia="zh-CN"/>
        </w:rPr>
        <w:t>12、</w:t>
      </w:r>
      <w:r>
        <w:rPr>
          <w:rFonts w:hint="eastAsia" w:ascii="宋体" w:hAnsi="宋体"/>
          <w:highlight w:val="none"/>
          <w:u w:val="single"/>
        </w:rPr>
        <w:t>0771-2778973</w:t>
      </w:r>
    </w:p>
    <w:p>
      <w:pPr>
        <w:shd w:val="clear"/>
        <w:spacing w:before="0" w:after="0" w:afterAutospacing="0"/>
        <w:ind w:left="0" w:right="0" w:firstLine="420" w:firstLineChars="200"/>
        <w:rPr>
          <w:rFonts w:ascii="宋体" w:hAnsi="宋体"/>
          <w:highlight w:val="none"/>
          <w:u w:val="single"/>
        </w:rPr>
      </w:pPr>
      <w:r>
        <w:rPr>
          <w:rFonts w:hint="eastAsia" w:ascii="宋体" w:hAnsi="宋体"/>
          <w:highlight w:val="none"/>
        </w:rPr>
        <w:t>传    真：</w:t>
      </w:r>
      <w:r>
        <w:rPr>
          <w:rFonts w:hint="eastAsia" w:ascii="宋体" w:hAnsi="宋体"/>
          <w:highlight w:val="none"/>
          <w:u w:val="single"/>
        </w:rPr>
        <w:t xml:space="preserve">                          </w:t>
      </w:r>
    </w:p>
    <w:p>
      <w:pPr>
        <w:shd w:val="clear"/>
        <w:spacing w:before="0" w:after="0" w:afterAutospacing="0"/>
        <w:ind w:left="0" w:right="0" w:firstLine="420" w:firstLineChars="200"/>
        <w:sectPr>
          <w:footerReference r:id="rId7" w:type="default"/>
          <w:pgSz w:w="11905" w:h="16838"/>
          <w:pgMar w:top="1417" w:right="1417" w:bottom="1417" w:left="1417" w:header="454" w:footer="567" w:gutter="0"/>
          <w:pgNumType w:fmt="decimal" w:start="1"/>
          <w:cols w:space="720" w:num="1"/>
          <w:docGrid w:linePitch="312" w:charSpace="0"/>
        </w:sectPr>
      </w:pPr>
      <w:r>
        <w:rPr>
          <w:rFonts w:hint="eastAsia" w:ascii="宋体" w:hAnsi="宋体"/>
          <w:highlight w:val="none"/>
        </w:rPr>
        <w:t>电子邮件：</w:t>
      </w:r>
      <w:r>
        <w:rPr>
          <w:rFonts w:hint="eastAsia" w:ascii="宋体" w:hAnsi="宋体"/>
          <w:highlight w:val="none"/>
          <w:u w:val="single"/>
        </w:rPr>
        <w:t xml:space="preserve">                          </w:t>
      </w:r>
    </w:p>
    <w:p>
      <w:pPr>
        <w:pStyle w:val="14"/>
        <w:pageBreakBefore/>
        <w:shd w:val="clear"/>
        <w:ind w:right="-57" w:firstLine="0"/>
        <w:jc w:val="center"/>
        <w:outlineLvl w:val="0"/>
        <w:rPr>
          <w:rStyle w:val="45"/>
          <w:rFonts w:ascii="宋体" w:hAnsi="宋体" w:eastAsia="宋体"/>
          <w:highlight w:val="none"/>
        </w:rPr>
      </w:pPr>
      <w:bookmarkStart w:id="107" w:name="_Toc322528192"/>
      <w:bookmarkEnd w:id="107"/>
      <w:bookmarkStart w:id="108" w:name="_Toc512357502"/>
      <w:bookmarkStart w:id="109" w:name="_Toc17594"/>
      <w:bookmarkStart w:id="110" w:name="_Toc30950"/>
      <w:bookmarkStart w:id="111" w:name="_Toc29836"/>
      <w:bookmarkStart w:id="112" w:name="_Toc1236"/>
      <w:bookmarkStart w:id="113" w:name="_Toc18758"/>
      <w:bookmarkStart w:id="114" w:name="_Toc29851"/>
      <w:bookmarkStart w:id="115" w:name="_Toc3495"/>
      <w:bookmarkStart w:id="116" w:name="_Toc24972"/>
      <w:bookmarkStart w:id="117" w:name="_Toc1230"/>
      <w:bookmarkStart w:id="118" w:name="_Toc21830"/>
      <w:bookmarkStart w:id="119" w:name="_Toc4364"/>
      <w:bookmarkStart w:id="120" w:name="_Toc15824"/>
      <w:bookmarkStart w:id="121" w:name="_Toc18454"/>
      <w:bookmarkStart w:id="122" w:name="_Toc30725"/>
      <w:bookmarkStart w:id="123" w:name="_Toc24390"/>
      <w:bookmarkStart w:id="124" w:name="_Toc22273"/>
      <w:bookmarkStart w:id="125" w:name="_Toc12380"/>
      <w:bookmarkStart w:id="126" w:name="_Toc12635"/>
      <w:bookmarkStart w:id="127" w:name="_Toc15976"/>
      <w:bookmarkStart w:id="128" w:name="_Toc15420"/>
      <w:bookmarkStart w:id="129" w:name="_Toc17735"/>
      <w:bookmarkStart w:id="130" w:name="_Toc20201"/>
      <w:bookmarkStart w:id="131" w:name="_Toc30883"/>
      <w:bookmarkStart w:id="132" w:name="_Toc17240"/>
      <w:r>
        <w:rPr>
          <w:rStyle w:val="45"/>
          <w:rFonts w:hint="eastAsia" w:ascii="宋体" w:hAnsi="宋体" w:eastAsia="宋体"/>
          <w:highlight w:val="none"/>
        </w:rPr>
        <w:t>第二章</w:t>
      </w:r>
      <w:bookmarkEnd w:id="108"/>
      <w:r>
        <w:rPr>
          <w:rStyle w:val="45"/>
          <w:rFonts w:hint="eastAsia" w:hAnsi="宋体"/>
          <w:highlight w:val="none"/>
          <w:lang w:val="en-US" w:eastAsia="zh-CN"/>
        </w:rPr>
        <w:t xml:space="preserve"> </w:t>
      </w:r>
      <w:r>
        <w:rPr>
          <w:rStyle w:val="45"/>
          <w:rFonts w:hint="eastAsia" w:ascii="宋体" w:hAnsi="宋体" w:eastAsia="宋体"/>
          <w:highlight w:val="none"/>
        </w:rPr>
        <w:t>比选申请须知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14"/>
        <w:shd w:val="clear"/>
        <w:spacing w:before="0" w:after="0"/>
        <w:ind w:right="0" w:firstLine="0"/>
        <w:jc w:val="center"/>
        <w:rPr>
          <w:rFonts w:hAnsi="宋体"/>
          <w:b/>
          <w:sz w:val="30"/>
          <w:szCs w:val="30"/>
          <w:highlight w:val="none"/>
        </w:rPr>
      </w:pPr>
      <w:r>
        <w:rPr>
          <w:rFonts w:hint="eastAsia" w:hAnsi="宋体"/>
          <w:b/>
          <w:sz w:val="30"/>
          <w:szCs w:val="30"/>
          <w:highlight w:val="none"/>
        </w:rPr>
        <w:t>比选申请须知前附表</w:t>
      </w:r>
    </w:p>
    <w:tbl>
      <w:tblPr>
        <w:tblStyle w:val="31"/>
        <w:tblW w:w="9117" w:type="dxa"/>
        <w:tblInd w:w="112" w:type="dxa"/>
        <w:tblLayout w:type="fixed"/>
        <w:tblCellMar>
          <w:top w:w="0" w:type="dxa"/>
          <w:left w:w="108" w:type="dxa"/>
          <w:bottom w:w="0" w:type="dxa"/>
          <w:right w:w="108" w:type="dxa"/>
        </w:tblCellMar>
      </w:tblPr>
      <w:tblGrid>
        <w:gridCol w:w="902"/>
        <w:gridCol w:w="1290"/>
        <w:gridCol w:w="6925"/>
      </w:tblGrid>
      <w:tr>
        <w:tblPrEx>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jc w:val="center"/>
              <w:rPr>
                <w:rFonts w:ascii="宋体" w:hAnsi="宋体"/>
                <w:highlight w:val="none"/>
              </w:rPr>
            </w:pPr>
            <w:r>
              <w:rPr>
                <w:rFonts w:hint="eastAsia" w:ascii="宋体" w:hAnsi="宋体"/>
                <w:highlight w:val="none"/>
              </w:rPr>
              <w:t>条款号</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jc w:val="center"/>
              <w:rPr>
                <w:rFonts w:ascii="宋体" w:hAnsi="宋体"/>
                <w:highlight w:val="none"/>
              </w:rPr>
            </w:pPr>
            <w:r>
              <w:rPr>
                <w:rFonts w:hint="eastAsia" w:ascii="宋体" w:hAnsi="宋体"/>
                <w:highlight w:val="none"/>
              </w:rPr>
              <w:t>条款名称</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jc w:val="center"/>
              <w:rPr>
                <w:rFonts w:ascii="宋体" w:hAnsi="宋体"/>
                <w:highlight w:val="none"/>
              </w:rPr>
            </w:pPr>
            <w:r>
              <w:rPr>
                <w:rFonts w:hint="eastAsia" w:ascii="宋体" w:hAnsi="宋体"/>
                <w:highlight w:val="none"/>
              </w:rPr>
              <w:t>详细内容</w:t>
            </w:r>
          </w:p>
        </w:tc>
      </w:tr>
      <w:tr>
        <w:tblPrEx>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比选人</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名称：南宁轨道交通运营有限公司</w:t>
            </w:r>
          </w:p>
          <w:p>
            <w:pPr>
              <w:shd w:val="clear"/>
              <w:spacing w:before="0" w:after="0" w:afterAutospacing="0"/>
              <w:ind w:left="0" w:right="0" w:firstLine="0"/>
              <w:rPr>
                <w:rFonts w:ascii="宋体" w:hAnsi="宋体"/>
                <w:highlight w:val="none"/>
              </w:rPr>
            </w:pPr>
            <w:r>
              <w:rPr>
                <w:rFonts w:hint="eastAsia" w:ascii="宋体" w:hAnsi="宋体"/>
                <w:highlight w:val="none"/>
              </w:rPr>
              <w:t>地址：南宁市青秀区云景路83号</w:t>
            </w:r>
          </w:p>
          <w:p>
            <w:pPr>
              <w:shd w:val="clear"/>
              <w:spacing w:before="0" w:after="0" w:afterAutospacing="0"/>
              <w:ind w:left="0" w:right="0" w:firstLine="0"/>
              <w:rPr>
                <w:rFonts w:ascii="宋体" w:hAnsi="宋体"/>
                <w:highlight w:val="none"/>
              </w:rPr>
            </w:pPr>
            <w:r>
              <w:rPr>
                <w:rFonts w:hint="eastAsia" w:ascii="宋体" w:hAnsi="宋体"/>
                <w:highlight w:val="none"/>
              </w:rPr>
              <w:t>联系人：</w:t>
            </w:r>
            <w:r>
              <w:rPr>
                <w:rFonts w:hint="eastAsia" w:ascii="宋体" w:hAnsi="宋体"/>
                <w:highlight w:val="none"/>
                <w:u w:val="none"/>
                <w:lang w:val="en-US" w:eastAsia="zh-CN"/>
              </w:rPr>
              <w:t>莫</w:t>
            </w:r>
            <w:r>
              <w:rPr>
                <w:rFonts w:hint="eastAsia" w:ascii="宋体" w:hAnsi="宋体"/>
                <w:highlight w:val="none"/>
                <w:u w:val="none"/>
              </w:rPr>
              <w:t>工</w:t>
            </w:r>
            <w:r>
              <w:rPr>
                <w:rFonts w:hint="eastAsia" w:ascii="宋体" w:hAnsi="宋体"/>
                <w:highlight w:val="none"/>
                <w:u w:val="none"/>
                <w:lang w:eastAsia="zh-CN"/>
              </w:rPr>
              <w:t>、</w:t>
            </w:r>
            <w:r>
              <w:rPr>
                <w:rFonts w:hint="eastAsia" w:ascii="宋体" w:hAnsi="宋体"/>
                <w:highlight w:val="none"/>
                <w:lang w:val="en-US" w:eastAsia="zh-CN"/>
              </w:rPr>
              <w:t>陈工</w:t>
            </w:r>
          </w:p>
          <w:p>
            <w:pPr>
              <w:shd w:val="clea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rPr>
              <w:t>联系电话：</w:t>
            </w:r>
            <w:r>
              <w:rPr>
                <w:rFonts w:ascii="宋体" w:hAnsi="宋体"/>
                <w:highlight w:val="none"/>
                <w:u w:val="none"/>
              </w:rPr>
              <w:t>0771-27783</w:t>
            </w:r>
            <w:r>
              <w:rPr>
                <w:rFonts w:hint="eastAsia" w:ascii="宋体" w:hAnsi="宋体"/>
                <w:highlight w:val="none"/>
                <w:u w:val="none"/>
                <w:lang w:val="en-US" w:eastAsia="zh-CN"/>
              </w:rPr>
              <w:t>12、</w:t>
            </w:r>
            <w:r>
              <w:rPr>
                <w:rFonts w:hint="eastAsia" w:ascii="宋体" w:hAnsi="宋体"/>
                <w:highlight w:val="none"/>
                <w:u w:val="none"/>
              </w:rPr>
              <w:t>0771-2778973</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1.2</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u w:val="none"/>
              </w:rPr>
              <w:t>南宁轨道交通1-5号线叉车委外维保项目（2024-2027）</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1.3</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u w:val="none"/>
              </w:rPr>
              <w:t>202311020012</w:t>
            </w:r>
          </w:p>
        </w:tc>
      </w:tr>
      <w:tr>
        <w:tblPrEx>
          <w:tblCellMar>
            <w:top w:w="0" w:type="dxa"/>
            <w:left w:w="108" w:type="dxa"/>
            <w:bottom w:w="0" w:type="dxa"/>
            <w:right w:w="108" w:type="dxa"/>
          </w:tblCellMar>
        </w:tblPrEx>
        <w:trPr>
          <w:trHeight w:val="1744"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1.4</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925" w:type="dxa"/>
            <w:tcBorders>
              <w:top w:val="single" w:color="auto" w:sz="4" w:space="0"/>
              <w:left w:val="nil"/>
              <w:bottom w:val="single" w:color="auto" w:sz="4" w:space="0"/>
              <w:right w:val="single" w:color="auto" w:sz="4" w:space="0"/>
            </w:tcBorders>
            <w:vAlign w:val="top"/>
          </w:tcPr>
          <w:p>
            <w:pPr>
              <w:shd w:val="clear"/>
              <w:spacing w:before="0" w:after="0" w:afterAutospacing="0"/>
              <w:ind w:left="755" w:leftChars="23" w:right="0" w:hanging="707" w:hangingChars="337"/>
              <w:jc w:val="both"/>
              <w:rPr>
                <w:rFonts w:hint="eastAsia" w:ascii="宋体" w:hAnsi="宋体"/>
                <w:color w:val="auto"/>
                <w:highlight w:val="none"/>
              </w:rPr>
            </w:pPr>
            <w:r>
              <w:rPr>
                <w:rFonts w:hint="eastAsia" w:ascii="宋体" w:hAnsi="宋体"/>
                <w:color w:val="auto"/>
                <w:highlight w:val="none"/>
              </w:rPr>
              <w:t>（1）南宁轨道交通1-5号线叉车需委外维保的数量共计38台,具体详见</w:t>
            </w:r>
          </w:p>
          <w:p>
            <w:pPr>
              <w:shd w:val="clear"/>
              <w:spacing w:before="0" w:after="0" w:afterAutospacing="0"/>
              <w:ind w:left="755" w:leftChars="23" w:right="0" w:hanging="707" w:hangingChars="337"/>
              <w:jc w:val="both"/>
              <w:rPr>
                <w:rFonts w:hint="eastAsia" w:ascii="宋体" w:hAnsi="宋体"/>
                <w:color w:val="auto"/>
                <w:highlight w:val="none"/>
              </w:rPr>
            </w:pPr>
            <w:r>
              <w:rPr>
                <w:rFonts w:hint="eastAsia" w:ascii="宋体" w:hAnsi="宋体"/>
                <w:color w:val="auto"/>
                <w:highlight w:val="none"/>
              </w:rPr>
              <w:t>用户需求书。（2）比选申请人根据南宁轨道交通运营有限公司叉车检修</w:t>
            </w:r>
          </w:p>
          <w:p>
            <w:pPr>
              <w:shd w:val="clear"/>
              <w:spacing w:before="0" w:after="0" w:afterAutospacing="0"/>
              <w:ind w:left="755" w:leftChars="23" w:right="0" w:hanging="707" w:hangingChars="337"/>
              <w:jc w:val="both"/>
              <w:rPr>
                <w:rFonts w:hint="eastAsia" w:ascii="宋体" w:hAnsi="宋体"/>
                <w:color w:val="auto"/>
                <w:highlight w:val="none"/>
              </w:rPr>
            </w:pPr>
            <w:r>
              <w:rPr>
                <w:rFonts w:hint="eastAsia" w:ascii="宋体" w:hAnsi="宋体"/>
                <w:color w:val="auto"/>
                <w:highlight w:val="none"/>
              </w:rPr>
              <w:t>规程内容和有关规定要求，组织相关维保人员对南宁轨道交通1-5号线共</w:t>
            </w:r>
          </w:p>
          <w:p>
            <w:pPr>
              <w:shd w:val="clear"/>
              <w:spacing w:before="0" w:after="0" w:afterAutospacing="0"/>
              <w:ind w:left="755" w:leftChars="23" w:right="0" w:hanging="707" w:hangingChars="337"/>
              <w:jc w:val="both"/>
              <w:rPr>
                <w:rFonts w:ascii="宋体" w:hAnsi="宋体"/>
                <w:color w:val="auto"/>
                <w:highlight w:val="none"/>
              </w:rPr>
            </w:pPr>
            <w:r>
              <w:rPr>
                <w:rFonts w:hint="eastAsia" w:ascii="宋体" w:hAnsi="宋体"/>
                <w:color w:val="auto"/>
                <w:highlight w:val="none"/>
              </w:rPr>
              <w:t>计38台叉车进行定期维护保养、故障维修、零部件更换及定期检验工作。</w:t>
            </w:r>
          </w:p>
        </w:tc>
      </w:tr>
      <w:tr>
        <w:tblPrEx>
          <w:tblCellMar>
            <w:top w:w="0" w:type="dxa"/>
            <w:left w:w="108" w:type="dxa"/>
            <w:bottom w:w="0" w:type="dxa"/>
            <w:right w:w="108" w:type="dxa"/>
          </w:tblCellMar>
        </w:tblPrEx>
        <w:trPr>
          <w:trHeight w:val="942"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1.5</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合同服务期</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jc w:val="left"/>
              <w:rPr>
                <w:rFonts w:ascii="宋体" w:hAnsi="宋体"/>
                <w:color w:val="auto"/>
                <w:highlight w:val="none"/>
              </w:rPr>
            </w:pPr>
            <w:r>
              <w:rPr>
                <w:rFonts w:hint="eastAsia" w:ascii="宋体" w:hAnsi="宋体"/>
                <w:color w:val="auto"/>
                <w:highlight w:val="none"/>
              </w:rPr>
              <w:t>本项目合同服务期为3年（具体开工时间以</w:t>
            </w:r>
            <w:r>
              <w:rPr>
                <w:rFonts w:hint="eastAsia" w:ascii="宋体" w:hAnsi="宋体"/>
                <w:color w:val="auto"/>
                <w:highlight w:val="none"/>
                <w:lang w:val="en-US" w:eastAsia="zh-CN"/>
              </w:rPr>
              <w:t>比选人</w:t>
            </w:r>
            <w:r>
              <w:rPr>
                <w:rFonts w:hint="eastAsia" w:ascii="宋体" w:hAnsi="宋体"/>
                <w:color w:val="auto"/>
                <w:highlight w:val="none"/>
              </w:rPr>
              <w:t>发出</w:t>
            </w:r>
            <w:r>
              <w:rPr>
                <w:rFonts w:hint="eastAsia" w:ascii="宋体" w:hAnsi="宋体"/>
                <w:color w:val="auto"/>
                <w:highlight w:val="none"/>
                <w:lang w:eastAsia="zh-CN"/>
              </w:rPr>
              <w:t>委外项目进场通知书</w:t>
            </w:r>
            <w:r>
              <w:rPr>
                <w:rFonts w:hint="eastAsia" w:ascii="宋体" w:hAnsi="宋体"/>
                <w:color w:val="auto"/>
                <w:highlight w:val="none"/>
              </w:rPr>
              <w:t>为准）。</w:t>
            </w:r>
          </w:p>
        </w:tc>
      </w:tr>
      <w:tr>
        <w:tblPrEx>
          <w:tblCellMar>
            <w:top w:w="0" w:type="dxa"/>
            <w:left w:w="108" w:type="dxa"/>
            <w:bottom w:w="0" w:type="dxa"/>
            <w:right w:w="108" w:type="dxa"/>
          </w:tblCellMar>
        </w:tblPrEx>
        <w:trPr>
          <w:trHeight w:val="578"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1.6</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u w:val="none"/>
              </w:rPr>
              <w:t>企业自筹资金</w:t>
            </w:r>
          </w:p>
        </w:tc>
      </w:tr>
      <w:tr>
        <w:tblPrEx>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1.7</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上限控制价：本项目不含税上限控制价为人民币</w:t>
            </w:r>
            <w:r>
              <w:rPr>
                <w:rFonts w:hint="eastAsia" w:ascii="宋体" w:hAnsi="宋体"/>
                <w:color w:val="auto"/>
                <w:highlight w:val="none"/>
                <w:u w:val="single"/>
                <w:lang w:val="en-US" w:eastAsia="zh-CN"/>
              </w:rPr>
              <w:t>7840</w:t>
            </w:r>
            <w:r>
              <w:rPr>
                <w:rFonts w:hint="eastAsia" w:ascii="宋体" w:hAnsi="宋体"/>
                <w:color w:val="auto"/>
                <w:highlight w:val="none"/>
                <w:u w:val="single"/>
              </w:rPr>
              <w:t>00.00</w:t>
            </w:r>
            <w:r>
              <w:rPr>
                <w:rFonts w:hint="eastAsia" w:ascii="宋体" w:hAnsi="宋体"/>
                <w:color w:val="auto"/>
                <w:highlight w:val="none"/>
              </w:rPr>
              <w:t>元</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其中维保部分</w:t>
            </w:r>
            <w:r>
              <w:rPr>
                <w:rFonts w:hint="eastAsia" w:ascii="宋体" w:hAnsi="宋体"/>
                <w:color w:val="auto"/>
                <w:highlight w:val="none"/>
                <w:u w:val="none"/>
              </w:rPr>
              <w:t>不含税上限控制价为人民币</w:t>
            </w:r>
            <w:r>
              <w:rPr>
                <w:rFonts w:hint="eastAsia" w:ascii="宋体" w:hAnsi="宋体"/>
                <w:color w:val="auto"/>
                <w:highlight w:val="none"/>
                <w:u w:val="single"/>
              </w:rPr>
              <w:t>肆拾玖万伍仟柒佰贰拾元整</w:t>
            </w:r>
            <w:r>
              <w:rPr>
                <w:rFonts w:hint="eastAsia" w:ascii="宋体" w:hAnsi="宋体" w:eastAsia="宋体" w:cs="Times New Roman"/>
                <w:color w:val="auto"/>
                <w:kern w:val="0"/>
                <w:szCs w:val="21"/>
                <w:highlight w:val="none"/>
                <w:u w:val="single"/>
                <w:lang w:eastAsia="zh-CN"/>
              </w:rPr>
              <w:t>（</w:t>
            </w:r>
            <w:r>
              <w:rPr>
                <w:rFonts w:hint="eastAsia" w:ascii="Calibri" w:hAnsi="Calibri" w:eastAsia="宋体" w:cs="黑体"/>
                <w:szCs w:val="22"/>
                <w:u w:val="single"/>
              </w:rPr>
              <w:t>¥</w:t>
            </w:r>
            <w:r>
              <w:rPr>
                <w:rFonts w:hint="eastAsia" w:ascii="宋体" w:hAnsi="宋体" w:eastAsia="宋体" w:cs="Times New Roman"/>
                <w:color w:val="auto"/>
                <w:kern w:val="0"/>
                <w:szCs w:val="21"/>
                <w:highlight w:val="none"/>
                <w:u w:val="single"/>
                <w:lang w:val="en-US" w:eastAsia="zh-CN"/>
              </w:rPr>
              <w:t>495720.00</w:t>
            </w:r>
            <w:r>
              <w:rPr>
                <w:rFonts w:hint="eastAsia" w:ascii="宋体" w:hAnsi="宋体" w:eastAsia="宋体" w:cs="Times New Roman"/>
                <w:color w:val="auto"/>
                <w:kern w:val="0"/>
                <w:szCs w:val="21"/>
                <w:highlight w:val="none"/>
                <w:u w:val="single"/>
                <w:lang w:eastAsia="zh-CN"/>
              </w:rPr>
              <w:t>）</w:t>
            </w:r>
            <w:r>
              <w:rPr>
                <w:rFonts w:hint="eastAsia" w:ascii="宋体" w:hAnsi="宋体"/>
                <w:color w:val="auto"/>
                <w:highlight w:val="none"/>
                <w:u w:val="none"/>
              </w:rPr>
              <w:t>元</w:t>
            </w:r>
            <w:r>
              <w:rPr>
                <w:rFonts w:hint="eastAsia" w:ascii="宋体" w:hAnsi="宋体"/>
                <w:color w:val="auto"/>
                <w:highlight w:val="none"/>
                <w:u w:val="none"/>
                <w:lang w:eastAsia="zh-CN"/>
              </w:rPr>
              <w:t>，备品备件部分</w:t>
            </w:r>
            <w:r>
              <w:rPr>
                <w:rFonts w:hint="eastAsia" w:ascii="宋体" w:hAnsi="宋体"/>
                <w:color w:val="auto"/>
                <w:highlight w:val="none"/>
                <w:u w:val="none"/>
              </w:rPr>
              <w:t>不含税上限控制价为人民币</w:t>
            </w:r>
            <w:r>
              <w:rPr>
                <w:rFonts w:hint="eastAsia" w:ascii="宋体" w:hAnsi="宋体"/>
                <w:color w:val="auto"/>
                <w:highlight w:val="none"/>
                <w:u w:val="single"/>
              </w:rPr>
              <w:t>贰拾捌万捌仟贰佰捌拾元整</w:t>
            </w:r>
            <w:r>
              <w:rPr>
                <w:rFonts w:hint="eastAsia" w:ascii="宋体" w:hAnsi="宋体" w:eastAsia="宋体" w:cs="Times New Roman"/>
                <w:color w:val="auto"/>
                <w:kern w:val="0"/>
                <w:szCs w:val="21"/>
                <w:highlight w:val="none"/>
                <w:u w:val="single"/>
                <w:lang w:eastAsia="zh-CN"/>
              </w:rPr>
              <w:t>（</w:t>
            </w:r>
            <w:r>
              <w:rPr>
                <w:rFonts w:hint="eastAsia" w:ascii="Calibri" w:hAnsi="Calibri" w:eastAsia="宋体" w:cs="黑体"/>
                <w:szCs w:val="22"/>
                <w:u w:val="single"/>
              </w:rPr>
              <w:t>¥</w:t>
            </w:r>
            <w:r>
              <w:rPr>
                <w:rFonts w:hint="eastAsia" w:ascii="宋体" w:hAnsi="宋体" w:cs="Times New Roman"/>
                <w:color w:val="auto"/>
                <w:kern w:val="0"/>
                <w:szCs w:val="21"/>
                <w:highlight w:val="none"/>
                <w:u w:val="single"/>
                <w:lang w:val="en-US" w:eastAsia="zh-CN"/>
              </w:rPr>
              <w:t>288280.00</w:t>
            </w:r>
            <w:r>
              <w:rPr>
                <w:rFonts w:hint="eastAsia" w:ascii="宋体" w:hAnsi="宋体" w:eastAsia="宋体" w:cs="Times New Roman"/>
                <w:color w:val="auto"/>
                <w:kern w:val="0"/>
                <w:szCs w:val="21"/>
                <w:highlight w:val="none"/>
                <w:u w:val="single"/>
                <w:lang w:eastAsia="zh-CN"/>
              </w:rPr>
              <w:t>）</w:t>
            </w:r>
            <w:r>
              <w:rPr>
                <w:rFonts w:hint="eastAsia" w:ascii="宋体" w:hAnsi="宋体"/>
                <w:color w:val="auto"/>
                <w:highlight w:val="none"/>
                <w:u w:val="none"/>
              </w:rPr>
              <w:t>元</w:t>
            </w:r>
            <w:r>
              <w:rPr>
                <w:rFonts w:hint="eastAsia" w:ascii="宋体" w:hAnsi="宋体"/>
                <w:color w:val="auto"/>
                <w:highlight w:val="none"/>
              </w:rPr>
              <w:t>。比选申请不含税报价高于上限控制价的比选申请文件将按否决比选申请处理。</w:t>
            </w:r>
          </w:p>
        </w:tc>
      </w:tr>
      <w:tr>
        <w:tblPrEx>
          <w:tblCellMar>
            <w:top w:w="0" w:type="dxa"/>
            <w:left w:w="108" w:type="dxa"/>
            <w:bottom w:w="0" w:type="dxa"/>
            <w:right w:w="108" w:type="dxa"/>
          </w:tblCellMar>
        </w:tblPrEx>
        <w:trPr>
          <w:trHeight w:val="397"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3</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line="360" w:lineRule="auto"/>
              <w:ind w:left="0" w:right="0" w:firstLine="0"/>
              <w:rPr>
                <w:rFonts w:hint="eastAsia" w:ascii="宋体" w:hAnsi="宋体" w:eastAsia="宋体" w:cs="Times New Roman"/>
                <w:sz w:val="21"/>
                <w:szCs w:val="21"/>
                <w:highlight w:val="none"/>
                <w:lang w:val="en-US" w:eastAsia="zh-CN" w:bidi="ar-SA"/>
              </w:rPr>
            </w:pPr>
            <w:r>
              <w:rPr>
                <w:rFonts w:hint="eastAsia" w:ascii="宋体" w:hAnsi="宋体" w:eastAsia="宋体" w:cs="Times New Roman"/>
                <w:sz w:val="21"/>
                <w:szCs w:val="21"/>
                <w:highlight w:val="none"/>
                <w:lang w:val="en-US" w:eastAsia="zh-CN" w:bidi="ar-SA"/>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line="360" w:lineRule="auto"/>
              <w:ind w:left="0" w:right="0" w:firstLine="0"/>
              <w:rPr>
                <w:rFonts w:hint="eastAsia"/>
                <w:lang w:val="en-US" w:eastAsia="zh-CN"/>
              </w:rPr>
            </w:pPr>
            <w:r>
              <w:rPr>
                <w:rFonts w:hint="eastAsia"/>
                <w:lang w:val="en-US" w:eastAsia="zh-CN"/>
              </w:rPr>
              <w:t>（1）</w:t>
            </w:r>
            <w:r>
              <w:rPr>
                <w:rFonts w:hint="eastAsia"/>
              </w:rPr>
              <w:t>比选申请人为中华人民共和国境内依法设立的法人或其他组织（若以分公司名义参与投标，必须出具总公司授权参与的证明）。</w:t>
            </w:r>
          </w:p>
          <w:p>
            <w:pPr>
              <w:shd w:val="clear"/>
              <w:spacing w:before="0" w:after="0" w:afterAutospacing="0" w:line="360" w:lineRule="auto"/>
              <w:ind w:left="0" w:right="0" w:firstLine="0"/>
              <w:rPr>
                <w:rFonts w:hint="eastAsia"/>
                <w:lang w:val="en-US" w:eastAsia="zh-CN"/>
              </w:rPr>
            </w:pPr>
            <w:r>
              <w:rPr>
                <w:rFonts w:hint="eastAsia"/>
                <w:lang w:val="en-US" w:eastAsia="zh-CN"/>
              </w:rPr>
              <w:t>（2）比选申请人应取得叉车特种设备生产许可证，许可项目包括但不限于场（厂）内专用机动车辆制造（含修理、改造）。</w:t>
            </w:r>
          </w:p>
          <w:p>
            <w:pPr>
              <w:shd w:val="clear"/>
              <w:spacing w:before="0" w:after="0" w:afterAutospacing="0" w:line="360" w:lineRule="auto"/>
              <w:ind w:left="0" w:right="0" w:firstLine="0"/>
              <w:rPr>
                <w:rFonts w:hint="eastAsia"/>
                <w:lang w:val="en-US" w:eastAsia="zh-CN"/>
              </w:rPr>
            </w:pPr>
            <w:r>
              <w:rPr>
                <w:rFonts w:hint="eastAsia"/>
                <w:lang w:val="en-US" w:eastAsia="zh-CN"/>
              </w:rPr>
              <w:t>（3）业绩条件：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shd w:val="clear"/>
              <w:spacing w:before="0" w:after="0" w:afterAutospacing="0" w:line="360" w:lineRule="auto"/>
              <w:ind w:left="0" w:right="0" w:firstLine="0"/>
              <w:rPr>
                <w:rFonts w:hint="eastAsia"/>
                <w:lang w:val="en-US" w:eastAsia="zh-CN"/>
              </w:rPr>
            </w:pPr>
            <w:r>
              <w:rPr>
                <w:rFonts w:hint="eastAsia"/>
                <w:lang w:val="en-US" w:eastAsia="zh-CN"/>
              </w:rPr>
              <w:t>（4）比选申请人没有处于被责令停业，或投标资格被住建部、广西壮族自治区或南宁市建设行政主管部门取消，或财产被接管、破产状态；在比选申请截止前3年内没有骗取中标、严重违约或重大安全质量事故行为。</w:t>
            </w:r>
          </w:p>
          <w:p>
            <w:pPr>
              <w:spacing w:before="0" w:after="0" w:afterAutospacing="0"/>
              <w:ind w:left="0" w:right="0" w:firstLine="0"/>
              <w:rPr>
                <w:rFonts w:hint="eastAsia" w:ascii="Times New Roman" w:hAnsi="Times New Roman" w:eastAsia="宋体" w:cs="Times New Roman"/>
                <w:sz w:val="21"/>
                <w:szCs w:val="21"/>
                <w:lang w:val="en-US" w:eastAsia="zh-CN" w:bidi="ar-SA"/>
              </w:rPr>
            </w:pPr>
            <w:r>
              <w:rPr>
                <w:rFonts w:hint="eastAsia"/>
                <w:lang w:val="en-US" w:eastAsia="zh-CN"/>
              </w:rPr>
              <w:t>（5）本项目不允许联合体比选申请，不允许任何形式的转包或分包。</w:t>
            </w:r>
          </w:p>
        </w:tc>
      </w:tr>
      <w:tr>
        <w:tblPrEx>
          <w:tblCellMar>
            <w:top w:w="0" w:type="dxa"/>
            <w:left w:w="108" w:type="dxa"/>
            <w:bottom w:w="0" w:type="dxa"/>
            <w:right w:w="108" w:type="dxa"/>
          </w:tblCellMar>
        </w:tblPrEx>
        <w:trPr>
          <w:trHeight w:val="657"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6.1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lang w:val="en-US" w:eastAsia="zh-CN"/>
              </w:rPr>
              <w:t xml:space="preserve">2024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29 </w:t>
            </w:r>
            <w:r>
              <w:rPr>
                <w:rFonts w:hint="eastAsia" w:ascii="宋体" w:hAnsi="宋体"/>
                <w:color w:val="auto"/>
                <w:highlight w:val="none"/>
              </w:rPr>
              <w:t>日</w:t>
            </w:r>
            <w:bookmarkStart w:id="2991" w:name="_GoBack"/>
            <w:bookmarkEnd w:id="2991"/>
            <w:r>
              <w:rPr>
                <w:rFonts w:hint="eastAsia" w:ascii="宋体" w:hAnsi="宋体"/>
                <w:color w:val="auto"/>
                <w:highlight w:val="none"/>
              </w:rPr>
              <w:t>前。比选申请人不在规定期限内提出，比选人有权不予答复，或答复后比选申请截止时间由比选人确定是否顺延。</w:t>
            </w:r>
          </w:p>
          <w:p>
            <w:pPr>
              <w:shd w:val="clea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340"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hint="eastAsia" w:ascii="宋体" w:hAnsi="宋体" w:eastAsia="宋体"/>
                <w:highlight w:val="none"/>
                <w:lang w:eastAsia="zh-CN"/>
              </w:rPr>
            </w:pPr>
            <w:r>
              <w:rPr>
                <w:rFonts w:hint="eastAsia" w:ascii="宋体" w:hAnsi="宋体"/>
                <w:kern w:val="2"/>
                <w:highlight w:val="none"/>
              </w:rPr>
              <w:t>南宁轨道交通集团有限责任公司官网发布(http://www.nngdjt.com)</w:t>
            </w:r>
            <w:r>
              <w:rPr>
                <w:rFonts w:hint="eastAsia" w:ascii="宋体" w:hAnsi="宋体"/>
                <w:kern w:val="2"/>
                <w:highlight w:val="none"/>
                <w:lang w:eastAsia="zh-CN"/>
              </w:rPr>
              <w:t>、</w:t>
            </w:r>
            <w:r>
              <w:rPr>
                <w:rFonts w:hint="eastAsia" w:ascii="宋体" w:hAnsi="宋体"/>
                <w:highlight w:val="none"/>
              </w:rPr>
              <w:t>中国e车网(http://www.ecrrc.com)</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453"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lang w:val="en-US" w:eastAsia="zh-CN"/>
              </w:rPr>
              <w:t>10</w:t>
            </w:r>
            <w:r>
              <w:rPr>
                <w:rFonts w:hint="eastAsia" w:ascii="宋体" w:hAnsi="宋体"/>
                <w:highlight w:val="none"/>
              </w:rPr>
              <w:t>.1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比选申请文件组成部分：</w:t>
            </w:r>
            <w:r>
              <w:rPr>
                <w:rFonts w:hint="eastAsia"/>
                <w:highlight w:val="none"/>
              </w:rPr>
              <w:t>资格审查文件、</w:t>
            </w:r>
            <w:r>
              <w:rPr>
                <w:rFonts w:hint="eastAsia"/>
                <w:highlight w:val="none"/>
                <w:lang w:val="en-US" w:eastAsia="zh-CN"/>
              </w:rPr>
              <w:t>资信文件、</w:t>
            </w:r>
            <w:r>
              <w:rPr>
                <w:rFonts w:hint="eastAsia"/>
                <w:highlight w:val="none"/>
              </w:rPr>
              <w:t>技术文件、价格文件</w:t>
            </w:r>
          </w:p>
          <w:p>
            <w:pPr>
              <w:shd w:val="clear"/>
              <w:spacing w:before="0" w:after="0" w:afterAutospacing="0" w:line="276" w:lineRule="auto"/>
              <w:ind w:left="0" w:right="0" w:firstLine="0"/>
              <w:rPr>
                <w:b/>
                <w:highlight w:val="none"/>
              </w:rPr>
            </w:pPr>
            <w:r>
              <w:rPr>
                <w:rFonts w:hint="eastAsia"/>
                <w:b/>
                <w:highlight w:val="none"/>
              </w:rPr>
              <w:t>资格审查文件</w:t>
            </w:r>
          </w:p>
          <w:p>
            <w:pPr>
              <w:shd w:val="clear"/>
              <w:spacing w:before="0" w:after="0" w:afterAutospacing="0" w:line="276" w:lineRule="auto"/>
              <w:ind w:left="0" w:right="0" w:firstLine="0"/>
              <w:rPr>
                <w:rFonts w:hint="eastAsia"/>
                <w:highlight w:val="none"/>
              </w:rPr>
            </w:pPr>
            <w:r>
              <w:rPr>
                <w:rFonts w:hint="eastAsia"/>
                <w:highlight w:val="none"/>
              </w:rPr>
              <w:t>（1）法定代表人授权书（格式见A1）及法定代表人资格证明书（如无授权时，只需提供法定代表人资格证明书，格式见A2），法定代表人及被授权人身份证复印件；</w:t>
            </w:r>
          </w:p>
          <w:p>
            <w:pPr>
              <w:shd w:val="clear"/>
              <w:spacing w:before="0" w:after="0" w:afterAutospacing="0" w:line="276" w:lineRule="auto"/>
              <w:ind w:left="0" w:right="0" w:firstLine="0"/>
              <w:rPr>
                <w:rFonts w:hint="eastAsia"/>
                <w:highlight w:val="none"/>
              </w:rPr>
            </w:pPr>
            <w:r>
              <w:rPr>
                <w:rFonts w:hint="eastAsia"/>
                <w:highlight w:val="none"/>
              </w:rPr>
              <w:t>（2）比选申请人有效的营业执照副本复印件；</w:t>
            </w:r>
          </w:p>
          <w:p>
            <w:pPr>
              <w:shd w:val="clear"/>
              <w:spacing w:before="0" w:after="0" w:afterAutospacing="0" w:line="276" w:lineRule="auto"/>
              <w:ind w:left="0" w:right="0" w:firstLine="0"/>
              <w:rPr>
                <w:rFonts w:hint="eastAsia"/>
                <w:highlight w:val="none"/>
              </w:rPr>
            </w:pPr>
            <w:r>
              <w:rPr>
                <w:rFonts w:hint="eastAsia"/>
                <w:highlight w:val="none"/>
              </w:rPr>
              <w:t>（3）符合比选文件要求的有效期内的资质证书等证明材料复印件；</w:t>
            </w:r>
          </w:p>
          <w:p>
            <w:pPr>
              <w:shd w:val="clear"/>
              <w:spacing w:before="0" w:after="0" w:afterAutospacing="0" w:line="276" w:lineRule="auto"/>
              <w:ind w:left="0" w:right="0" w:firstLine="0"/>
              <w:rPr>
                <w:rFonts w:hint="eastAsia"/>
                <w:highlight w:val="none"/>
              </w:rPr>
            </w:pPr>
            <w:r>
              <w:rPr>
                <w:rFonts w:hint="eastAsia"/>
                <w:highlight w:val="none"/>
              </w:rPr>
              <w:t>（4）承诺书（格式见A3）；</w:t>
            </w:r>
          </w:p>
          <w:p>
            <w:pPr>
              <w:shd w:val="clear"/>
              <w:spacing w:before="0" w:after="0" w:afterAutospacing="0" w:line="276" w:lineRule="auto"/>
              <w:ind w:left="0" w:right="0" w:firstLine="0"/>
              <w:rPr>
                <w:rFonts w:hint="eastAsia"/>
                <w:highlight w:val="none"/>
              </w:rPr>
            </w:pPr>
            <w:r>
              <w:rPr>
                <w:rFonts w:hint="eastAsia"/>
                <w:highlight w:val="none"/>
              </w:rPr>
              <w:t>（5）类似项目业绩表（A4）；</w:t>
            </w:r>
          </w:p>
          <w:p>
            <w:pPr>
              <w:shd w:val="clear"/>
              <w:spacing w:before="0" w:after="0" w:afterAutospacing="0" w:line="276" w:lineRule="auto"/>
              <w:ind w:left="0" w:right="0" w:firstLine="0"/>
              <w:rPr>
                <w:rFonts w:hint="eastAsia"/>
                <w:highlight w:val="none"/>
              </w:rPr>
            </w:pPr>
            <w:r>
              <w:rPr>
                <w:rFonts w:hint="eastAsia"/>
                <w:highlight w:val="none"/>
              </w:rPr>
              <w:t>（6）比选申请人认为应提交的其他比选申请资料。</w:t>
            </w:r>
          </w:p>
          <w:p>
            <w:pPr>
              <w:shd w:val="clear"/>
              <w:spacing w:before="0" w:after="0" w:afterAutospacing="0" w:line="276" w:lineRule="auto"/>
              <w:ind w:left="0" w:right="0" w:firstLine="0"/>
              <w:rPr>
                <w:rFonts w:hint="eastAsia"/>
                <w:b/>
                <w:bCs/>
                <w:highlight w:val="none"/>
                <w:lang w:val="en-US" w:eastAsia="zh-CN"/>
              </w:rPr>
            </w:pPr>
            <w:r>
              <w:rPr>
                <w:rFonts w:hint="eastAsia"/>
                <w:b/>
                <w:bCs/>
                <w:highlight w:val="none"/>
                <w:lang w:val="en-US" w:eastAsia="zh-CN"/>
              </w:rPr>
              <w:t>资信文件</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（1）比选申请人基本情况一览表（详见格式 B1）；</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（2）项目经理简历表（详见格式 B2），提供项目经理的身份证、学历证、职称证等身份证明材料和项目经理类似项目经验的业绩证明材料。业绩证明材料为维保合同复印件，业绩证明材料须能 体现类似项目特征和承担项目经理的职位，否则不予认可；</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（3）类似项目业绩表（详见格式B3），同时比选申请人须提供业绩证明文件；</w:t>
            </w:r>
          </w:p>
          <w:p>
            <w:pPr>
              <w:shd w:val="clear"/>
              <w:spacing w:before="0" w:after="0" w:afterAutospacing="0" w:line="276" w:lineRule="auto"/>
              <w:ind w:left="0" w:right="0" w:firstLine="0"/>
              <w:rPr>
                <w:rFonts w:hint="eastAsia"/>
                <w:highlight w:val="none"/>
              </w:rPr>
            </w:pPr>
            <w:r>
              <w:rPr>
                <w:rFonts w:hint="eastAsia"/>
                <w:highlight w:val="none"/>
                <w:lang w:eastAsia="zh-CN"/>
              </w:rPr>
              <w:t>（</w:t>
            </w:r>
            <w:r>
              <w:rPr>
                <w:rFonts w:hint="eastAsia"/>
                <w:highlight w:val="none"/>
                <w:lang w:val="en-US" w:eastAsia="zh-CN"/>
              </w:rPr>
              <w:t>4</w:t>
            </w:r>
            <w:r>
              <w:rPr>
                <w:rFonts w:hint="eastAsia"/>
                <w:highlight w:val="none"/>
                <w:lang w:eastAsia="zh-CN"/>
              </w:rPr>
              <w:t>）</w:t>
            </w:r>
            <w:r>
              <w:rPr>
                <w:rFonts w:hint="eastAsia"/>
                <w:highlight w:val="none"/>
              </w:rPr>
              <w:t>由会计师事务所出具的投标人202</w:t>
            </w:r>
            <w:r>
              <w:rPr>
                <w:rFonts w:hint="eastAsia"/>
                <w:highlight w:val="none"/>
                <w:lang w:val="en-US" w:eastAsia="zh-CN"/>
              </w:rPr>
              <w:t>2</w:t>
            </w:r>
            <w:r>
              <w:rPr>
                <w:rFonts w:hint="eastAsia"/>
                <w:highlight w:val="none"/>
              </w:rPr>
              <w:t>年度财务审计报告（应包含资产负债表、利润表、现金流量表等主要财务报表及附注）；（如有）</w:t>
            </w:r>
          </w:p>
          <w:p>
            <w:pPr>
              <w:shd w:val="clear"/>
              <w:spacing w:before="0" w:after="0" w:afterAutospacing="0" w:line="276" w:lineRule="auto"/>
              <w:ind w:left="0" w:right="0" w:firstLine="0"/>
              <w:rPr>
                <w:rFonts w:hint="eastAsia"/>
                <w:highlight w:val="none"/>
              </w:rPr>
            </w:pPr>
            <w:r>
              <w:rPr>
                <w:rFonts w:hint="eastAsia"/>
                <w:highlight w:val="none"/>
                <w:lang w:eastAsia="zh-CN"/>
              </w:rPr>
              <w:t>（</w:t>
            </w:r>
            <w:r>
              <w:rPr>
                <w:rFonts w:hint="eastAsia"/>
                <w:highlight w:val="none"/>
              </w:rPr>
              <w:t>5</w:t>
            </w:r>
            <w:r>
              <w:rPr>
                <w:rFonts w:hint="eastAsia"/>
                <w:highlight w:val="none"/>
                <w:lang w:eastAsia="zh-CN"/>
              </w:rPr>
              <w:t>）</w:t>
            </w:r>
            <w:r>
              <w:rPr>
                <w:rFonts w:hint="eastAsia"/>
                <w:highlight w:val="none"/>
              </w:rPr>
              <w:t>商务响应表（详见格式B4）；</w:t>
            </w:r>
          </w:p>
          <w:p>
            <w:pPr>
              <w:shd w:val="clear"/>
              <w:spacing w:before="0" w:after="0" w:afterAutospacing="0" w:line="276" w:lineRule="auto"/>
              <w:ind w:left="0" w:right="0" w:firstLine="0"/>
              <w:rPr>
                <w:rFonts w:hint="eastAsia"/>
                <w:highlight w:val="none"/>
              </w:rPr>
            </w:pPr>
            <w:r>
              <w:rPr>
                <w:rFonts w:hint="eastAsia"/>
                <w:highlight w:val="none"/>
                <w:lang w:eastAsia="zh-CN"/>
              </w:rPr>
              <w:t>（</w:t>
            </w:r>
            <w:r>
              <w:rPr>
                <w:rFonts w:hint="eastAsia"/>
                <w:highlight w:val="none"/>
              </w:rPr>
              <w:t>6</w:t>
            </w:r>
            <w:r>
              <w:rPr>
                <w:rFonts w:hint="eastAsia"/>
                <w:highlight w:val="none"/>
                <w:lang w:eastAsia="zh-CN"/>
              </w:rPr>
              <w:t>）</w:t>
            </w:r>
            <w:r>
              <w:rPr>
                <w:rFonts w:hint="eastAsia"/>
                <w:highlight w:val="none"/>
              </w:rPr>
              <w:t>比选申请人有效期内的 ISO9001 质量管理体系认证证书复印件；</w:t>
            </w:r>
          </w:p>
          <w:p>
            <w:pPr>
              <w:shd w:val="clear"/>
              <w:spacing w:before="0" w:after="0" w:afterAutospacing="0" w:line="276" w:lineRule="auto"/>
              <w:ind w:left="0" w:right="0" w:firstLine="0"/>
              <w:rPr>
                <w:rFonts w:hint="eastAsia"/>
                <w:b/>
                <w:highlight w:val="none"/>
                <w:lang w:val="en-US" w:eastAsia="zh-CN"/>
              </w:rPr>
            </w:pPr>
            <w:r>
              <w:rPr>
                <w:rFonts w:hint="eastAsia"/>
                <w:highlight w:val="none"/>
                <w:lang w:eastAsia="zh-CN"/>
              </w:rPr>
              <w:t>（</w:t>
            </w:r>
            <w:r>
              <w:rPr>
                <w:rFonts w:hint="eastAsia"/>
                <w:highlight w:val="none"/>
              </w:rPr>
              <w:t>7</w:t>
            </w:r>
            <w:r>
              <w:rPr>
                <w:rFonts w:hint="eastAsia"/>
                <w:highlight w:val="none"/>
                <w:lang w:eastAsia="zh-CN"/>
              </w:rPr>
              <w:t>）</w:t>
            </w:r>
            <w:r>
              <w:rPr>
                <w:rFonts w:hint="eastAsia"/>
                <w:highlight w:val="none"/>
              </w:rPr>
              <w:t>比选申请人认为需要提交的其他资料（格式自拟）。（如有）</w:t>
            </w:r>
          </w:p>
          <w:p>
            <w:pPr>
              <w:shd w:val="clear"/>
              <w:spacing w:before="0" w:after="0" w:afterAutospacing="0" w:line="276" w:lineRule="auto"/>
              <w:ind w:left="0" w:right="0" w:firstLine="0"/>
              <w:rPr>
                <w:b/>
                <w:highlight w:val="none"/>
              </w:rPr>
            </w:pPr>
            <w:r>
              <w:rPr>
                <w:rFonts w:hint="eastAsia"/>
                <w:b/>
                <w:highlight w:val="none"/>
                <w:lang w:val="en-US" w:eastAsia="zh-CN"/>
              </w:rPr>
              <w:t>技术</w:t>
            </w:r>
            <w:r>
              <w:rPr>
                <w:rFonts w:hint="eastAsia"/>
                <w:b/>
                <w:highlight w:val="none"/>
              </w:rPr>
              <w:t>文件</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（1）维保方案及保障措施（格式自拟）；</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（2）重点、难点分析及安全控制措施（格式自拟）；</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 xml:space="preserve">（3）拟投入人员情况及项目部建设：比选申请人组织机构框图（详见格式 C1）、拟投入本项目主要人员情况汇总表（详见格式C2），提供主要人员相关证明材料； </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（4）技术条款响应表（格式见C3）。</w:t>
            </w:r>
          </w:p>
          <w:p>
            <w:pPr>
              <w:numPr>
                <w:ilvl w:val="0"/>
                <w:numId w:val="0"/>
              </w:numPr>
              <w:shd w:val="clear"/>
              <w:spacing w:before="0" w:after="0" w:afterAutospacing="0" w:line="276" w:lineRule="auto"/>
              <w:ind w:leftChars="0" w:right="0" w:rightChars="0"/>
              <w:rPr>
                <w:b/>
                <w:highlight w:val="none"/>
              </w:rPr>
            </w:pPr>
            <w:r>
              <w:rPr>
                <w:rFonts w:hint="eastAsia"/>
                <w:b/>
                <w:highlight w:val="none"/>
                <w:lang w:val="en-US" w:eastAsia="zh-CN"/>
              </w:rPr>
              <w:t>价格</w:t>
            </w:r>
            <w:r>
              <w:rPr>
                <w:rFonts w:hint="eastAsia"/>
                <w:b/>
                <w:highlight w:val="none"/>
              </w:rPr>
              <w:t>文件</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（1）比选申请报价一览表（格式见D1）；</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（2）比选申请函（格式见D2）；</w:t>
            </w:r>
          </w:p>
          <w:p>
            <w:pPr>
              <w:shd w:val="clear"/>
              <w:spacing w:before="0" w:after="0" w:afterAutospacing="0" w:line="276" w:lineRule="auto"/>
              <w:ind w:left="0" w:right="0" w:firstLine="0"/>
              <w:rPr>
                <w:rFonts w:hint="eastAsia"/>
                <w:highlight w:val="none"/>
                <w:lang w:val="en-US" w:eastAsia="zh-CN"/>
              </w:rPr>
            </w:pPr>
            <w:r>
              <w:rPr>
                <w:rFonts w:hint="eastAsia"/>
                <w:highlight w:val="none"/>
                <w:lang w:val="en-US" w:eastAsia="zh-CN"/>
              </w:rPr>
              <w:t>（3）比选申请报价表（格式见D3）；</w:t>
            </w:r>
          </w:p>
          <w:p>
            <w:pPr>
              <w:shd w:val="clear"/>
              <w:spacing w:before="0" w:after="0" w:afterAutospacing="0" w:line="276" w:lineRule="auto"/>
              <w:ind w:left="0" w:right="0" w:firstLine="0"/>
              <w:rPr>
                <w:rFonts w:hint="eastAsia" w:ascii="宋体" w:hAnsi="宋体" w:eastAsia="宋体"/>
                <w:highlight w:val="none"/>
                <w:lang w:eastAsia="zh-CN"/>
              </w:rPr>
            </w:pPr>
            <w:r>
              <w:rPr>
                <w:rFonts w:hint="eastAsia"/>
                <w:highlight w:val="none"/>
                <w:lang w:val="en-US" w:eastAsia="zh-CN"/>
              </w:rPr>
              <w:t>（4）比选申请人认为应提交的其他比选申请资料。</w:t>
            </w:r>
          </w:p>
        </w:tc>
      </w:tr>
      <w:tr>
        <w:tblPrEx>
          <w:tblCellMar>
            <w:top w:w="0" w:type="dxa"/>
            <w:left w:w="108" w:type="dxa"/>
            <w:bottom w:w="0" w:type="dxa"/>
            <w:right w:w="108" w:type="dxa"/>
          </w:tblCellMar>
        </w:tblPrEx>
        <w:trPr>
          <w:trHeight w:val="708"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12.1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比选申请报价</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b/>
                <w:bCs/>
                <w:highlight w:val="none"/>
              </w:rPr>
              <w:t>（</w:t>
            </w:r>
            <w:r>
              <w:rPr>
                <w:rFonts w:ascii="宋体" w:hAnsi="宋体"/>
                <w:b/>
                <w:bCs/>
                <w:highlight w:val="none"/>
              </w:rPr>
              <w:t>1</w:t>
            </w:r>
            <w:r>
              <w:rPr>
                <w:rFonts w:hint="eastAsia" w:ascii="宋体" w:hAnsi="宋体"/>
                <w:b/>
                <w:bCs/>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hd w:val="clear"/>
              <w:spacing w:before="0" w:after="0" w:afterAutospacing="0"/>
              <w:ind w:left="0" w:right="0" w:firstLine="0"/>
              <w:rPr>
                <w:rFonts w:ascii="宋体" w:hAnsi="宋体"/>
                <w:highlight w:val="none"/>
              </w:rPr>
            </w:pPr>
            <w:r>
              <w:rPr>
                <w:rFonts w:hint="eastAsia" w:ascii="宋体" w:hAnsi="宋体"/>
                <w:b/>
                <w:bCs/>
                <w:highlight w:val="none"/>
              </w:rPr>
              <w:t>（</w:t>
            </w:r>
            <w:r>
              <w:rPr>
                <w:rFonts w:ascii="宋体" w:hAnsi="宋体"/>
                <w:b/>
                <w:bCs/>
                <w:highlight w:val="none"/>
              </w:rPr>
              <w:t>2</w:t>
            </w:r>
            <w:r>
              <w:rPr>
                <w:rFonts w:hint="eastAsia" w:ascii="宋体" w:hAnsi="宋体"/>
                <w:b/>
                <w:bCs/>
                <w:highlight w:val="none"/>
              </w:rPr>
              <w:t>）比选申请人须按第四章《比选申请文件格式》中“维保部分报价表”及“备品备件部分报价表”的顺序填报比选申请报价表，不允许打乱顺序。</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14</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比选申请保证金</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不要求递交比选申请保证金</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hint="eastAsia" w:ascii="宋体" w:hAnsi="宋体"/>
                <w:highlight w:val="none"/>
              </w:rPr>
            </w:pPr>
            <w:r>
              <w:rPr>
                <w:rFonts w:hint="eastAsia" w:ascii="宋体" w:hAnsi="宋体"/>
              </w:rPr>
              <w:t>1</w:t>
            </w:r>
            <w:r>
              <w:rPr>
                <w:rFonts w:ascii="宋体" w:hAnsi="宋体"/>
              </w:rPr>
              <w:t>5</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hint="eastAsia" w:ascii="宋体" w:hAnsi="宋体"/>
                <w:highlight w:val="none"/>
              </w:rPr>
            </w:pPr>
            <w:r>
              <w:rPr>
                <w:rFonts w:hint="eastAsia" w:ascii="宋体" w:hAnsi="宋体"/>
              </w:rPr>
              <w:t>履约担保</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hint="eastAsia" w:ascii="宋体" w:hAnsi="宋体"/>
                <w:highlight w:val="none"/>
              </w:rPr>
            </w:pPr>
            <w:r>
              <w:rPr>
                <w:rFonts w:hint="eastAsia" w:ascii="宋体" w:hAnsi="宋体"/>
                <w:highlight w:val="none"/>
              </w:rPr>
              <w:t>履约担保的金额: 中选金额的</w:t>
            </w:r>
            <w:r>
              <w:rPr>
                <w:rFonts w:hint="eastAsia" w:ascii="宋体" w:hAnsi="宋体"/>
                <w:highlight w:val="none"/>
                <w:lang w:val="en-US" w:eastAsia="zh-CN"/>
              </w:rPr>
              <w:t>2.5</w:t>
            </w:r>
            <w:r>
              <w:rPr>
                <w:rFonts w:hint="eastAsia" w:ascii="宋体" w:hAnsi="宋体"/>
                <w:highlight w:val="none"/>
              </w:rPr>
              <w:t>%</w:t>
            </w:r>
          </w:p>
          <w:p>
            <w:pPr>
              <w:shd w:val="clear"/>
              <w:spacing w:before="0" w:after="0" w:afterAutospacing="0"/>
              <w:ind w:left="0" w:right="0" w:firstLine="0"/>
              <w:rPr>
                <w:rFonts w:hint="eastAsia" w:ascii="宋体" w:hAnsi="宋体"/>
                <w:highlight w:val="none"/>
              </w:rPr>
            </w:pPr>
            <w:r>
              <w:rPr>
                <w:rFonts w:hint="eastAsia" w:ascii="宋体" w:hAnsi="宋体"/>
                <w:highlight w:val="none"/>
              </w:rPr>
              <w:t>履约保证金的形式：转账或电汇或银行保函；</w:t>
            </w:r>
          </w:p>
          <w:p>
            <w:pPr>
              <w:shd w:val="clear"/>
              <w:spacing w:before="0" w:after="0" w:afterAutospacing="0"/>
              <w:ind w:left="0" w:right="0" w:firstLine="0"/>
              <w:rPr>
                <w:rFonts w:hint="eastAsia" w:ascii="宋体" w:hAnsi="宋体"/>
                <w:highlight w:val="none"/>
              </w:rPr>
            </w:pPr>
            <w:r>
              <w:rPr>
                <w:rFonts w:hint="eastAsia" w:ascii="宋体" w:hAnsi="宋体"/>
                <w:highlight w:val="none"/>
              </w:rPr>
              <w:t>递交地点：南宁市青秀区云景路83号；</w:t>
            </w:r>
          </w:p>
          <w:p>
            <w:pPr>
              <w:shd w:val="clear"/>
              <w:spacing w:before="0" w:after="0" w:afterAutospacing="0"/>
              <w:ind w:left="0" w:right="0" w:firstLine="0"/>
              <w:rPr>
                <w:rFonts w:hint="eastAsia" w:ascii="宋体" w:hAnsi="宋体"/>
                <w:highlight w:val="none"/>
              </w:rPr>
            </w:pPr>
            <w:r>
              <w:rPr>
                <w:rFonts w:hint="eastAsia" w:ascii="宋体" w:hAnsi="宋体"/>
                <w:highlight w:val="none"/>
              </w:rPr>
              <w:t>备注：</w:t>
            </w:r>
          </w:p>
          <w:p>
            <w:pPr>
              <w:shd w:val="clear"/>
              <w:spacing w:before="0" w:after="0" w:afterAutospacing="0"/>
              <w:ind w:left="0" w:right="0" w:firstLine="0"/>
              <w:rPr>
                <w:rFonts w:hint="eastAsia" w:ascii="宋体" w:hAnsi="宋体"/>
                <w:highlight w:val="none"/>
              </w:rPr>
            </w:pPr>
            <w:r>
              <w:rPr>
                <w:rFonts w:hint="eastAsia" w:ascii="宋体" w:hAnsi="宋体"/>
                <w:highlight w:val="none"/>
              </w:rPr>
              <w:t>1.提交履约保证金的时间：应在合同签订前且最迟应在中</w:t>
            </w:r>
            <w:r>
              <w:rPr>
                <w:rFonts w:hint="eastAsia" w:ascii="宋体" w:hAnsi="宋体"/>
                <w:highlight w:val="none"/>
                <w:lang w:val="en-US" w:eastAsia="zh-CN"/>
              </w:rPr>
              <w:t>选</w:t>
            </w:r>
            <w:r>
              <w:rPr>
                <w:rFonts w:hint="eastAsia" w:ascii="宋体" w:hAnsi="宋体"/>
                <w:highlight w:val="none"/>
              </w:rPr>
              <w:t>通知书发出之日起20日内。</w:t>
            </w:r>
          </w:p>
          <w:p>
            <w:pPr>
              <w:shd w:val="clear"/>
              <w:spacing w:before="0" w:after="0" w:afterAutospacing="0"/>
              <w:ind w:left="0" w:right="0" w:firstLine="0"/>
              <w:rPr>
                <w:rFonts w:hint="eastAsia" w:ascii="宋体" w:hAnsi="宋体"/>
                <w:highlight w:val="none"/>
              </w:rPr>
            </w:pPr>
            <w:r>
              <w:rPr>
                <w:rFonts w:hint="eastAsia" w:ascii="宋体" w:hAnsi="宋体"/>
                <w:highlight w:val="none"/>
              </w:rPr>
              <w:t>2.若中</w:t>
            </w:r>
            <w:r>
              <w:rPr>
                <w:rFonts w:hint="eastAsia" w:ascii="宋体" w:hAnsi="宋体"/>
                <w:highlight w:val="none"/>
                <w:lang w:val="en-US" w:eastAsia="zh-CN"/>
              </w:rPr>
              <w:t>选</w:t>
            </w:r>
            <w:r>
              <w:rPr>
                <w:rFonts w:hint="eastAsia" w:ascii="宋体" w:hAnsi="宋体"/>
                <w:highlight w:val="none"/>
              </w:rPr>
              <w:t>人未在规定时间内足额缴纳履约保证金，比选人有权取消其</w:t>
            </w:r>
            <w:r>
              <w:rPr>
                <w:rFonts w:hint="eastAsia" w:ascii="宋体" w:hAnsi="宋体"/>
                <w:highlight w:val="none"/>
                <w:lang w:val="en-US" w:eastAsia="zh-CN"/>
              </w:rPr>
              <w:t>中选</w:t>
            </w:r>
            <w:r>
              <w:rPr>
                <w:rFonts w:hint="eastAsia" w:ascii="宋体" w:hAnsi="宋体"/>
                <w:highlight w:val="none"/>
              </w:rPr>
              <w:t>资格。</w:t>
            </w:r>
          </w:p>
          <w:p>
            <w:pPr>
              <w:shd w:val="clear"/>
              <w:spacing w:before="0" w:after="0" w:afterAutospacing="0"/>
              <w:ind w:left="0" w:right="0" w:firstLine="0"/>
              <w:rPr>
                <w:rFonts w:hint="eastAsia" w:ascii="宋体" w:hAnsi="宋体"/>
                <w:highlight w:val="none"/>
              </w:rPr>
            </w:pPr>
            <w:r>
              <w:rPr>
                <w:rFonts w:hint="eastAsia" w:ascii="宋体" w:hAnsi="宋体"/>
                <w:highlight w:val="none"/>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551" w:hRule="atLeast"/>
        </w:trPr>
        <w:tc>
          <w:tcPr>
            <w:tcW w:w="902" w:type="dxa"/>
            <w:tcBorders>
              <w:top w:val="single" w:color="auto" w:sz="4" w:space="0"/>
              <w:left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w:t>
            </w:r>
            <w:r>
              <w:rPr>
                <w:rFonts w:hint="eastAsia" w:ascii="宋体" w:hAnsi="宋体"/>
                <w:highlight w:val="none"/>
                <w:lang w:val="en-US" w:eastAsia="zh-CN"/>
              </w:rPr>
              <w:t>6</w:t>
            </w:r>
            <w:r>
              <w:rPr>
                <w:rFonts w:hint="eastAsia" w:ascii="宋体" w:hAnsi="宋体"/>
                <w:highlight w:val="none"/>
              </w:rPr>
              <w:t>.1</w:t>
            </w:r>
          </w:p>
        </w:tc>
        <w:tc>
          <w:tcPr>
            <w:tcW w:w="1290" w:type="dxa"/>
            <w:tcBorders>
              <w:top w:val="single" w:color="auto" w:sz="4" w:space="0"/>
              <w:left w:val="nil"/>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比选申请有效期</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自比选申请截止时间起90天</w:t>
            </w:r>
          </w:p>
        </w:tc>
      </w:tr>
      <w:tr>
        <w:tblPrEx>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w:t>
            </w:r>
            <w:r>
              <w:rPr>
                <w:rFonts w:hint="eastAsia" w:ascii="宋体" w:hAnsi="宋体"/>
                <w:highlight w:val="none"/>
                <w:lang w:val="en-US" w:eastAsia="zh-CN"/>
              </w:rPr>
              <w:t>7</w:t>
            </w:r>
            <w:r>
              <w:rPr>
                <w:rFonts w:hint="eastAsia" w:ascii="宋体" w:hAnsi="宋体"/>
                <w:highlight w:val="none"/>
              </w:rPr>
              <w:t>.1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比选申请文件副本份数</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正本1份，副本4份。</w:t>
            </w:r>
          </w:p>
        </w:tc>
      </w:tr>
      <w:tr>
        <w:tblPrEx>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lang w:val="en-US" w:eastAsia="zh-CN"/>
              </w:rPr>
              <w:t>19</w:t>
            </w:r>
            <w:r>
              <w:rPr>
                <w:rFonts w:hint="eastAsia" w:ascii="宋体" w:hAnsi="宋体"/>
                <w:highlight w:val="none"/>
              </w:rPr>
              <w:t>.1</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比选申请截止时间</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210" w:firstLineChars="100"/>
              <w:rPr>
                <w:rFonts w:ascii="宋体" w:hAnsi="宋体"/>
                <w:highlight w:val="none"/>
              </w:rPr>
            </w:pPr>
            <w:bookmarkStart w:id="133" w:name="CgwjmbEntity：KBSJ3_0"/>
            <w:r>
              <w:rPr>
                <w:rFonts w:hint="eastAsia" w:ascii="宋体" w:hAnsi="宋体"/>
                <w:highlight w:val="none"/>
              </w:rPr>
              <w:t>202</w:t>
            </w:r>
            <w:r>
              <w:rPr>
                <w:rFonts w:hint="eastAsia" w:ascii="宋体" w:hAnsi="宋体"/>
                <w:highlight w:val="none"/>
                <w:lang w:val="en-US" w:eastAsia="zh-CN"/>
              </w:rPr>
              <w:t>4</w:t>
            </w:r>
            <w:r>
              <w:rPr>
                <w:rFonts w:hint="eastAsia" w:ascii="宋体" w:hAnsi="宋体"/>
                <w:highlight w:val="none"/>
              </w:rPr>
              <w:t xml:space="preserve"> 年</w:t>
            </w:r>
            <w:bookmarkEnd w:id="133"/>
            <w:r>
              <w:rPr>
                <w:rFonts w:hint="eastAsia" w:ascii="宋体" w:hAnsi="宋体"/>
                <w:highlight w:val="none"/>
                <w:lang w:val="en-US" w:eastAsia="zh-CN"/>
              </w:rPr>
              <w:t xml:space="preserve"> 3 </w:t>
            </w:r>
            <w:r>
              <w:rPr>
                <w:rFonts w:hint="eastAsia" w:ascii="宋体" w:hAnsi="宋体"/>
                <w:highlight w:val="none"/>
              </w:rPr>
              <w:t>月</w:t>
            </w:r>
            <w:r>
              <w:rPr>
                <w:rFonts w:ascii="宋体" w:hAnsi="宋体"/>
                <w:highlight w:val="none"/>
              </w:rPr>
              <w:t xml:space="preserve"> </w:t>
            </w:r>
            <w:r>
              <w:rPr>
                <w:rFonts w:hint="eastAsia" w:ascii="宋体" w:hAnsi="宋体"/>
                <w:highlight w:val="none"/>
                <w:lang w:val="en-US" w:eastAsia="zh-CN"/>
              </w:rPr>
              <w:t xml:space="preserve">8 </w:t>
            </w:r>
            <w:r>
              <w:rPr>
                <w:rFonts w:hint="eastAsia" w:ascii="宋体" w:hAnsi="宋体"/>
                <w:highlight w:val="none"/>
              </w:rPr>
              <w:t>日</w:t>
            </w:r>
            <w:r>
              <w:rPr>
                <w:rFonts w:ascii="宋体" w:hAnsi="宋体"/>
                <w:highlight w:val="none"/>
              </w:rPr>
              <w:t xml:space="preserve"> </w:t>
            </w:r>
            <w:r>
              <w:rPr>
                <w:rFonts w:hint="eastAsia" w:ascii="宋体" w:hAnsi="宋体"/>
                <w:highlight w:val="none"/>
                <w:lang w:val="en-US" w:eastAsia="zh-CN"/>
              </w:rPr>
              <w:t xml:space="preserve">9 </w:t>
            </w:r>
            <w:r>
              <w:rPr>
                <w:rFonts w:hint="eastAsia" w:ascii="宋体" w:hAnsi="宋体"/>
                <w:highlight w:val="none"/>
              </w:rPr>
              <w:t xml:space="preserve">时 </w:t>
            </w:r>
            <w:r>
              <w:rPr>
                <w:rFonts w:hint="eastAsia" w:ascii="宋体" w:hAnsi="宋体"/>
                <w:highlight w:val="none"/>
                <w:lang w:val="en-US" w:eastAsia="zh-CN"/>
              </w:rPr>
              <w:t>00</w:t>
            </w:r>
            <w:r>
              <w:rPr>
                <w:rFonts w:hint="eastAsia" w:ascii="宋体" w:hAnsi="宋体"/>
                <w:highlight w:val="none"/>
              </w:rPr>
              <w:t>分</w:t>
            </w:r>
          </w:p>
        </w:tc>
      </w:tr>
      <w:tr>
        <w:tblPrEx>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递交比选申请文件地点</w:t>
            </w:r>
          </w:p>
        </w:tc>
        <w:tc>
          <w:tcPr>
            <w:tcW w:w="6925" w:type="dxa"/>
            <w:tcBorders>
              <w:top w:val="single" w:color="auto" w:sz="4" w:space="0"/>
              <w:left w:val="nil"/>
              <w:bottom w:val="single" w:color="auto" w:sz="4" w:space="0"/>
              <w:right w:val="single" w:color="auto" w:sz="4" w:space="0"/>
            </w:tcBorders>
            <w:vAlign w:val="center"/>
          </w:tcPr>
          <w:p>
            <w:pPr>
              <w:widowControl w:val="0"/>
              <w:shd w:val="clear" w:color="auto"/>
              <w:spacing w:before="0" w:after="0" w:afterAutospacing="0" w:line="240" w:lineRule="auto"/>
              <w:ind w:left="0" w:right="0" w:firstLine="0"/>
              <w:rPr>
                <w:rFonts w:hint="eastAsia" w:ascii="宋体" w:hAnsi="宋体" w:eastAsia="宋体" w:cs="黑体"/>
                <w:kern w:val="2"/>
                <w:szCs w:val="22"/>
                <w:highlight w:val="none"/>
              </w:rPr>
            </w:pPr>
            <w:r>
              <w:rPr>
                <w:rFonts w:hint="eastAsia" w:ascii="宋体" w:hAnsi="宋体" w:eastAsia="宋体" w:cs="黑体"/>
                <w:kern w:val="2"/>
                <w:szCs w:val="22"/>
                <w:highlight w:val="none"/>
              </w:rPr>
              <w:t>单位：南宁轨道交通运营有限公司</w:t>
            </w:r>
          </w:p>
          <w:p>
            <w:pPr>
              <w:widowControl w:val="0"/>
              <w:shd w:val="clear" w:color="auto"/>
              <w:spacing w:before="0" w:after="0" w:afterAutospacing="0" w:line="240" w:lineRule="auto"/>
              <w:ind w:left="0" w:right="0" w:firstLine="0"/>
              <w:rPr>
                <w:rFonts w:hint="eastAsia" w:ascii="宋体" w:hAnsi="宋体" w:eastAsia="宋体" w:cs="黑体"/>
                <w:kern w:val="2"/>
                <w:szCs w:val="22"/>
                <w:highlight w:val="none"/>
              </w:rPr>
            </w:pPr>
            <w:r>
              <w:rPr>
                <w:rFonts w:hint="eastAsia" w:ascii="宋体" w:hAnsi="宋体" w:eastAsia="宋体" w:cs="黑体"/>
                <w:kern w:val="2"/>
                <w:szCs w:val="22"/>
                <w:highlight w:val="none"/>
              </w:rPr>
              <w:t>地址：南宁市青秀区云景路83号屯里车辆段综合楼</w:t>
            </w:r>
            <w:r>
              <w:rPr>
                <w:rFonts w:hint="eastAsia" w:ascii="宋体" w:hAnsi="宋体" w:cs="黑体"/>
                <w:kern w:val="2"/>
                <w:szCs w:val="22"/>
                <w:highlight w:val="none"/>
                <w:lang w:val="en-US" w:eastAsia="zh-CN"/>
              </w:rPr>
              <w:t>205</w:t>
            </w:r>
            <w:r>
              <w:rPr>
                <w:rFonts w:hint="eastAsia" w:ascii="宋体" w:hAnsi="宋体" w:eastAsia="宋体" w:cs="黑体"/>
                <w:kern w:val="2"/>
                <w:szCs w:val="22"/>
                <w:highlight w:val="none"/>
              </w:rPr>
              <w:t xml:space="preserve">会议室 </w:t>
            </w:r>
          </w:p>
          <w:p>
            <w:pPr>
              <w:shd w:val="clear"/>
              <w:spacing w:before="0" w:after="0" w:afterAutospacing="0"/>
              <w:ind w:left="0" w:right="0" w:firstLine="0"/>
              <w:rPr>
                <w:rFonts w:hint="eastAsia" w:ascii="宋体" w:hAnsi="宋体" w:eastAsia="宋体"/>
                <w:highlight w:val="none"/>
                <w:lang w:val="en-US" w:eastAsia="zh-CN"/>
              </w:rPr>
            </w:pPr>
            <w:r>
              <w:rPr>
                <w:rFonts w:hint="eastAsia" w:ascii="宋体" w:hAnsi="宋体"/>
                <w:highlight w:val="none"/>
              </w:rPr>
              <w:t>递交现场联系人：</w:t>
            </w:r>
            <w:r>
              <w:rPr>
                <w:rFonts w:hint="eastAsia" w:ascii="宋体" w:hAnsi="宋体"/>
                <w:color w:val="auto"/>
                <w:highlight w:val="none"/>
                <w:lang w:val="en-US" w:eastAsia="zh-CN"/>
              </w:rPr>
              <w:t>莫程</w:t>
            </w:r>
            <w:r>
              <w:rPr>
                <w:rFonts w:hint="eastAsia" w:ascii="宋体" w:hAnsi="宋体"/>
                <w:color w:val="auto"/>
                <w:highlight w:val="none"/>
              </w:rPr>
              <w:t xml:space="preserve"> </w:t>
            </w:r>
            <w:r>
              <w:rPr>
                <w:rFonts w:hint="eastAsia" w:ascii="Arial" w:hAnsi="Arial" w:cs="Arial"/>
                <w:color w:val="auto"/>
                <w:highlight w:val="none"/>
              </w:rPr>
              <w:t>电话0771-277831</w:t>
            </w:r>
            <w:r>
              <w:rPr>
                <w:rFonts w:hint="eastAsia" w:ascii="Arial" w:hAnsi="Arial" w:cs="Arial"/>
                <w:color w:val="auto"/>
                <w:highlight w:val="none"/>
                <w:lang w:val="en-US" w:eastAsia="zh-CN"/>
              </w:rPr>
              <w:t>2</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hint="eastAsia" w:ascii="宋体" w:hAnsi="宋体" w:eastAsia="宋体"/>
                <w:highlight w:val="none"/>
                <w:lang w:eastAsia="zh-CN"/>
              </w:rPr>
            </w:pPr>
            <w:r>
              <w:rPr>
                <w:rFonts w:hint="eastAsia" w:ascii="宋体" w:hAnsi="宋体"/>
                <w:highlight w:val="none"/>
              </w:rPr>
              <w:t>2</w:t>
            </w:r>
            <w:r>
              <w:rPr>
                <w:rFonts w:hint="eastAsia" w:ascii="宋体" w:hAnsi="宋体"/>
                <w:highlight w:val="none"/>
                <w:lang w:val="en-US" w:eastAsia="zh-CN"/>
              </w:rPr>
              <w:t>2</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评审方法</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综合评估法（</w:t>
            </w:r>
            <w:r>
              <w:rPr>
                <w:rFonts w:hint="eastAsia" w:hAnsi="宋体"/>
                <w:highlight w:val="none"/>
              </w:rPr>
              <w:t>评比总价以不含税比选报价为基准</w:t>
            </w:r>
            <w:r>
              <w:rPr>
                <w:rFonts w:hint="eastAsia" w:ascii="宋体" w:hAnsi="宋体"/>
                <w:highlight w:val="none"/>
              </w:rPr>
              <w:t>）</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3</w:t>
            </w:r>
            <w:r>
              <w:rPr>
                <w:rFonts w:hint="eastAsia" w:ascii="宋体" w:hAnsi="宋体"/>
                <w:highlight w:val="none"/>
                <w:lang w:val="en-US" w:eastAsia="zh-CN"/>
              </w:rPr>
              <w:t>4</w:t>
            </w:r>
            <w:r>
              <w:rPr>
                <w:rFonts w:hint="eastAsia" w:ascii="宋体" w:hAnsi="宋体"/>
                <w:highlight w:val="none"/>
              </w:rPr>
              <w:t>.4</w:t>
            </w:r>
          </w:p>
        </w:tc>
        <w:tc>
          <w:tcPr>
            <w:tcW w:w="1290"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放弃中选人资格</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3</w:t>
            </w:r>
            <w:r>
              <w:rPr>
                <w:rFonts w:hint="eastAsia" w:ascii="宋体" w:hAnsi="宋体"/>
                <w:highlight w:val="none"/>
                <w:lang w:val="en-US" w:eastAsia="zh-CN"/>
              </w:rPr>
              <w:t>6</w:t>
            </w:r>
            <w:r>
              <w:rPr>
                <w:rFonts w:hint="eastAsia" w:ascii="宋体" w:hAnsi="宋体"/>
                <w:highlight w:val="none"/>
              </w:rPr>
              <w:t>.5</w:t>
            </w:r>
          </w:p>
        </w:tc>
        <w:tc>
          <w:tcPr>
            <w:tcW w:w="1290" w:type="dxa"/>
            <w:vMerge w:val="restart"/>
            <w:tcBorders>
              <w:top w:val="single" w:color="auto" w:sz="4" w:space="0"/>
              <w:left w:val="nil"/>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需要补充的其他内容</w:t>
            </w: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1.比选申请人在递交比选申请文件时，同时递交比选申请文件电子版。</w:t>
            </w:r>
          </w:p>
          <w:p>
            <w:pPr>
              <w:shd w:val="clear"/>
              <w:spacing w:before="0" w:after="0" w:afterAutospacing="0"/>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资格审查文件、资信文件</w:t>
            </w:r>
            <w:r>
              <w:rPr>
                <w:rFonts w:hint="eastAsia" w:ascii="宋体" w:hAnsi="宋体" w:cs="Arial"/>
                <w:highlight w:val="none"/>
                <w:lang w:eastAsia="zh-CN"/>
              </w:rPr>
              <w:t>、</w:t>
            </w:r>
            <w:r>
              <w:rPr>
                <w:rFonts w:hint="eastAsia" w:ascii="宋体" w:hAnsi="宋体" w:cs="Arial"/>
                <w:highlight w:val="none"/>
              </w:rPr>
              <w:t>技术文件和价格文件</w:t>
            </w:r>
          </w:p>
          <w:p>
            <w:pPr>
              <w:shd w:val="clea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hd w:val="clear"/>
              <w:spacing w:before="0" w:after="0" w:afterAutospacing="0"/>
              <w:ind w:left="0" w:right="0" w:firstLine="0"/>
              <w:rPr>
                <w:rFonts w:ascii="宋体" w:hAnsi="宋体"/>
                <w:highlight w:val="none"/>
              </w:rPr>
            </w:pPr>
            <w:r>
              <w:rPr>
                <w:rFonts w:ascii="宋体" w:hAnsi="宋体"/>
                <w:highlight w:val="none"/>
              </w:rPr>
              <w:t>4.</w:t>
            </w:r>
            <w:r>
              <w:rPr>
                <w:rFonts w:hint="eastAsia" w:ascii="宋体" w:hAnsi="宋体"/>
                <w:highlight w:val="none"/>
              </w:rPr>
              <w:t>比选申请文件电子版形式：每份包括</w:t>
            </w:r>
            <w:r>
              <w:rPr>
                <w:rFonts w:ascii="宋体" w:hAnsi="宋体"/>
                <w:highlight w:val="none"/>
              </w:rPr>
              <w:t>office</w:t>
            </w:r>
            <w:r>
              <w:rPr>
                <w:rFonts w:hint="eastAsia" w:ascii="宋体" w:hAnsi="宋体"/>
                <w:highlight w:val="none"/>
              </w:rPr>
              <w:t>版本（文本内容为</w:t>
            </w:r>
            <w:r>
              <w:rPr>
                <w:rFonts w:ascii="宋体" w:hAnsi="宋体"/>
                <w:highlight w:val="none"/>
              </w:rPr>
              <w:t>Word</w:t>
            </w:r>
            <w:r>
              <w:rPr>
                <w:rFonts w:hint="eastAsia" w:ascii="宋体" w:hAnsi="宋体"/>
                <w:highlight w:val="none"/>
              </w:rPr>
              <w:t>格式，工程量清单为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格式）的全套比选申请文件</w:t>
            </w:r>
            <w:r>
              <w:rPr>
                <w:rFonts w:ascii="宋体" w:hAnsi="宋体"/>
                <w:highlight w:val="none"/>
              </w:rPr>
              <w:t>(</w:t>
            </w:r>
            <w:r>
              <w:rPr>
                <w:rFonts w:hint="eastAsia" w:ascii="宋体" w:hAnsi="宋体" w:cs="Arial"/>
                <w:highlight w:val="none"/>
              </w:rPr>
              <w:t>资格审查文件、资信文件</w:t>
            </w:r>
            <w:r>
              <w:rPr>
                <w:rFonts w:hint="eastAsia" w:ascii="宋体" w:hAnsi="宋体" w:cs="Arial"/>
                <w:highlight w:val="none"/>
                <w:lang w:eastAsia="zh-CN"/>
              </w:rPr>
              <w:t>、</w:t>
            </w:r>
            <w:r>
              <w:rPr>
                <w:rFonts w:hint="eastAsia" w:ascii="宋体" w:hAnsi="宋体" w:cs="Arial"/>
                <w:highlight w:val="none"/>
              </w:rPr>
              <w:t>技术文件和价格文件</w:t>
            </w:r>
            <w:r>
              <w:rPr>
                <w:rFonts w:ascii="宋体" w:hAnsi="宋体"/>
                <w:highlight w:val="none"/>
              </w:rPr>
              <w:t>)</w:t>
            </w:r>
            <w:r>
              <w:rPr>
                <w:rFonts w:hint="eastAsia" w:ascii="宋体" w:hAnsi="宋体"/>
                <w:highlight w:val="none"/>
              </w:rPr>
              <w:t>和盖章后的全套比选申请文件</w:t>
            </w:r>
            <w:r>
              <w:rPr>
                <w:rFonts w:ascii="宋体" w:hAnsi="宋体"/>
                <w:highlight w:val="none"/>
              </w:rPr>
              <w:t>(</w:t>
            </w:r>
            <w:r>
              <w:rPr>
                <w:rFonts w:hint="eastAsia" w:ascii="宋体" w:hAnsi="宋体" w:cs="Arial"/>
                <w:highlight w:val="none"/>
              </w:rPr>
              <w:t>资格审查文件、资信文件</w:t>
            </w:r>
            <w:r>
              <w:rPr>
                <w:rFonts w:hint="eastAsia" w:ascii="宋体" w:hAnsi="宋体" w:cs="Arial"/>
                <w:highlight w:val="none"/>
                <w:lang w:eastAsia="zh-CN"/>
              </w:rPr>
              <w:t>、</w:t>
            </w:r>
            <w:r>
              <w:rPr>
                <w:rFonts w:hint="eastAsia" w:ascii="宋体" w:hAnsi="宋体" w:cs="Arial"/>
                <w:highlight w:val="none"/>
              </w:rPr>
              <w:t>技术文件和价格文件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p>
          <w:p>
            <w:pPr>
              <w:shd w:val="clear"/>
              <w:spacing w:before="0" w:after="0" w:afterAutospacing="0"/>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hd w:val="clear"/>
              <w:spacing w:before="0" w:after="0" w:afterAutospacing="0"/>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1290" w:type="dxa"/>
            <w:vMerge w:val="continue"/>
            <w:tcBorders>
              <w:left w:val="nil"/>
              <w:right w:val="single" w:color="auto" w:sz="4" w:space="0"/>
            </w:tcBorders>
            <w:vAlign w:val="center"/>
          </w:tcPr>
          <w:p>
            <w:pPr>
              <w:shd w:val="clear"/>
              <w:spacing w:before="0" w:after="0" w:afterAutospacing="0"/>
              <w:ind w:left="0" w:right="0" w:firstLine="0"/>
              <w:rPr>
                <w:rFonts w:ascii="宋体" w:hAnsi="宋体"/>
                <w:highlight w:val="none"/>
              </w:rPr>
            </w:pP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hd w:val="clear"/>
              <w:spacing w:before="0" w:after="0" w:afterAutospacing="0"/>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1290" w:type="dxa"/>
            <w:vMerge w:val="continue"/>
            <w:tcBorders>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p>
        </w:tc>
        <w:tc>
          <w:tcPr>
            <w:tcW w:w="6925" w:type="dxa"/>
            <w:tcBorders>
              <w:top w:val="single" w:color="auto" w:sz="4" w:space="0"/>
              <w:left w:val="nil"/>
              <w:bottom w:val="single" w:color="auto" w:sz="4" w:space="0"/>
              <w:right w:val="single" w:color="auto" w:sz="4" w:space="0"/>
            </w:tcBorders>
            <w:vAlign w:val="center"/>
          </w:tcPr>
          <w:p>
            <w:pPr>
              <w:shd w:val="clear"/>
              <w:spacing w:before="0" w:after="0" w:afterAutospacing="0"/>
              <w:ind w:left="0" w:right="0" w:firstLine="0"/>
              <w:rPr>
                <w:rFonts w:ascii="宋体" w:hAnsi="宋体"/>
                <w:highlight w:val="none"/>
              </w:rPr>
            </w:pPr>
            <w:r>
              <w:rPr>
                <w:rFonts w:hint="eastAsia" w:ascii="宋体" w:hAnsi="宋体"/>
                <w:highlight w:val="none"/>
              </w:rPr>
              <w:t>本项目比选文件的最终解释权归比选人。</w:t>
            </w:r>
          </w:p>
        </w:tc>
      </w:tr>
    </w:tbl>
    <w:p>
      <w:pPr>
        <w:shd w:val="clear"/>
        <w:spacing w:after="0" w:afterAutospacing="0"/>
        <w:ind w:right="0"/>
        <w:outlineLvl w:val="1"/>
        <w:rPr>
          <w:rFonts w:ascii="宋体" w:hAnsi="宋体"/>
          <w:b/>
          <w:bCs/>
          <w:sz w:val="24"/>
          <w:szCs w:val="24"/>
          <w:highlight w:val="none"/>
        </w:rPr>
      </w:pPr>
      <w:r>
        <w:rPr>
          <w:rFonts w:ascii="宋体" w:hAnsi="宋体"/>
          <w:highlight w:val="none"/>
        </w:rPr>
        <w:br w:type="page"/>
      </w:r>
      <w:bookmarkStart w:id="134" w:name="_Toc322528193"/>
      <w:bookmarkEnd w:id="134"/>
      <w:bookmarkStart w:id="135" w:name="_Toc29908"/>
      <w:bookmarkStart w:id="136" w:name="_Toc30784"/>
      <w:r>
        <w:rPr>
          <w:rFonts w:hint="eastAsia" w:ascii="宋体" w:hAnsi="宋体"/>
          <w:highlight w:val="none"/>
          <w:lang w:val="en-US" w:eastAsia="zh-CN"/>
        </w:rPr>
        <w:t xml:space="preserve">    </w:t>
      </w:r>
      <w:bookmarkStart w:id="137" w:name="_Toc30818"/>
      <w:bookmarkStart w:id="138" w:name="_Toc13025"/>
      <w:bookmarkStart w:id="139" w:name="_Toc12665"/>
      <w:bookmarkStart w:id="140" w:name="_Toc1203"/>
      <w:bookmarkStart w:id="141" w:name="_Toc16153"/>
      <w:r>
        <w:rPr>
          <w:rFonts w:hint="eastAsia" w:ascii="宋体" w:hAnsi="宋体"/>
          <w:b/>
          <w:bCs/>
          <w:sz w:val="24"/>
          <w:szCs w:val="24"/>
          <w:highlight w:val="none"/>
        </w:rPr>
        <w:t>一、</w:t>
      </w:r>
      <w:r>
        <w:rPr>
          <w:rFonts w:ascii="宋体" w:hAnsi="宋体"/>
          <w:b/>
          <w:bCs/>
          <w:sz w:val="24"/>
          <w:szCs w:val="24"/>
          <w:highlight w:val="none"/>
        </w:rPr>
        <w:t>说明</w:t>
      </w:r>
      <w:bookmarkEnd w:id="135"/>
      <w:bookmarkEnd w:id="136"/>
      <w:bookmarkEnd w:id="137"/>
      <w:bookmarkEnd w:id="138"/>
      <w:bookmarkEnd w:id="139"/>
      <w:bookmarkEnd w:id="140"/>
      <w:bookmarkEnd w:id="141"/>
    </w:p>
    <w:p>
      <w:pPr>
        <w:shd w:val="clear"/>
        <w:spacing w:before="0" w:after="0" w:afterAutospacing="0"/>
        <w:ind w:left="0" w:right="0" w:firstLine="422" w:firstLineChars="200"/>
        <w:outlineLvl w:val="2"/>
        <w:rPr>
          <w:rFonts w:ascii="宋体" w:hAnsi="宋体"/>
          <w:b/>
          <w:bCs/>
          <w:highlight w:val="none"/>
        </w:rPr>
      </w:pPr>
      <w:bookmarkStart w:id="142" w:name="_Toc21139"/>
      <w:bookmarkStart w:id="143" w:name="_Toc7778"/>
      <w:bookmarkStart w:id="144" w:name="_Toc463"/>
      <w:bookmarkStart w:id="145" w:name="_Toc385427793"/>
      <w:bookmarkStart w:id="146" w:name="_Toc30570"/>
      <w:bookmarkStart w:id="147" w:name="_Toc12526"/>
      <w:bookmarkStart w:id="148" w:name="_Toc8166"/>
      <w:bookmarkStart w:id="149" w:name="_Toc17845"/>
      <w:bookmarkStart w:id="150" w:name="_Toc12983505"/>
      <w:bookmarkStart w:id="151" w:name="_Toc25750591"/>
      <w:bookmarkStart w:id="152" w:name="_Toc5495"/>
      <w:bookmarkStart w:id="153" w:name="_Toc390098419"/>
      <w:bookmarkStart w:id="154" w:name="_Toc492478718"/>
      <w:bookmarkStart w:id="155" w:name="_Toc28326"/>
      <w:bookmarkStart w:id="156" w:name="_Toc3804"/>
      <w:bookmarkStart w:id="157" w:name="_Toc6861"/>
      <w:bookmarkStart w:id="158" w:name="_Toc375039064"/>
      <w:bookmarkStart w:id="159" w:name="_Toc11224"/>
      <w:bookmarkStart w:id="160" w:name="_Toc9366"/>
      <w:bookmarkStart w:id="161" w:name="_Toc383891168"/>
      <w:bookmarkStart w:id="162" w:name="_Toc14066"/>
      <w:bookmarkStart w:id="163" w:name="_Toc3364"/>
      <w:bookmarkStart w:id="164" w:name="_Toc27079"/>
      <w:bookmarkStart w:id="165" w:name="_Toc31563"/>
      <w:r>
        <w:rPr>
          <w:rFonts w:hint="eastAsia" w:ascii="宋体" w:hAnsi="宋体"/>
          <w:b/>
          <w:bCs/>
          <w:highlight w:val="none"/>
        </w:rPr>
        <w:t xml:space="preserve">1. </w:t>
      </w:r>
      <w:r>
        <w:rPr>
          <w:rFonts w:ascii="宋体" w:hAnsi="宋体"/>
          <w:b/>
          <w:bCs/>
          <w:highlight w:val="none"/>
        </w:rPr>
        <w:t>项目说明</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hd w:val="clea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1.4比选范围：</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合同服务期</w:t>
      </w:r>
      <w:r>
        <w:rPr>
          <w:rFonts w:hint="eastAsia" w:ascii="宋体" w:hAnsi="宋体"/>
          <w:highlight w:val="none"/>
        </w:rPr>
        <w:t>：</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1.6 资金来源：</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1.7上限控制价</w:t>
      </w:r>
      <w:r>
        <w:rPr>
          <w:rFonts w:ascii="宋体" w:hAnsi="宋体"/>
          <w:highlight w:val="none"/>
        </w:rPr>
        <w:t>：详见比选申请须知前附表。</w:t>
      </w:r>
    </w:p>
    <w:p>
      <w:pPr>
        <w:shd w:val="clear"/>
        <w:spacing w:before="0" w:after="0" w:afterAutospacing="0"/>
        <w:ind w:left="0" w:right="0" w:firstLine="422" w:firstLineChars="200"/>
        <w:outlineLvl w:val="2"/>
        <w:rPr>
          <w:rFonts w:ascii="宋体" w:hAnsi="宋体"/>
          <w:highlight w:val="none"/>
        </w:rPr>
      </w:pPr>
      <w:bookmarkStart w:id="166" w:name="_Toc27845"/>
      <w:bookmarkStart w:id="167" w:name="_Toc31314"/>
      <w:bookmarkStart w:id="168" w:name="_Toc6985"/>
      <w:bookmarkStart w:id="169" w:name="_Toc25750592"/>
      <w:bookmarkStart w:id="170" w:name="_Toc27847"/>
      <w:bookmarkStart w:id="171" w:name="_Toc383891169"/>
      <w:bookmarkStart w:id="172" w:name="_Toc21874"/>
      <w:bookmarkStart w:id="173" w:name="_Toc6038"/>
      <w:bookmarkStart w:id="174" w:name="_Toc8052"/>
      <w:bookmarkStart w:id="175" w:name="_Toc390098420"/>
      <w:bookmarkStart w:id="176" w:name="_Toc10907"/>
      <w:bookmarkStart w:id="177" w:name="_Toc492478719"/>
      <w:bookmarkStart w:id="178" w:name="_Toc16860"/>
      <w:bookmarkStart w:id="179" w:name="_Toc375039065"/>
      <w:bookmarkStart w:id="180" w:name="_Toc12983506"/>
      <w:bookmarkStart w:id="181" w:name="_Toc385427794"/>
      <w:bookmarkStart w:id="182" w:name="_Toc22987"/>
      <w:bookmarkStart w:id="183" w:name="_Toc1552"/>
      <w:bookmarkStart w:id="184" w:name="_Toc4780"/>
      <w:bookmarkStart w:id="185" w:name="_Toc24429"/>
      <w:r>
        <w:rPr>
          <w:rFonts w:hint="eastAsia" w:ascii="宋体" w:hAnsi="宋体"/>
          <w:b/>
          <w:bCs/>
          <w:highlight w:val="none"/>
        </w:rPr>
        <w:t>2. 定义</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hd w:val="clea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“比选人”系指提出</w:t>
      </w:r>
      <w:r>
        <w:rPr>
          <w:rFonts w:hint="eastAsia" w:ascii="宋体" w:hAnsi="宋体"/>
          <w:highlight w:val="none"/>
        </w:rPr>
        <w:t>比选</w:t>
      </w:r>
      <w:r>
        <w:rPr>
          <w:rFonts w:ascii="宋体" w:hAnsi="宋体"/>
          <w:highlight w:val="none"/>
        </w:rPr>
        <w:t>采购</w:t>
      </w:r>
      <w:r>
        <w:rPr>
          <w:rFonts w:hint="eastAsia" w:ascii="宋体" w:hAnsi="宋体"/>
          <w:highlight w:val="none"/>
        </w:rPr>
        <w:t>项目</w:t>
      </w:r>
      <w:r>
        <w:rPr>
          <w:rFonts w:ascii="宋体" w:hAnsi="宋体"/>
          <w:highlight w:val="none"/>
        </w:rPr>
        <w:t>的国家机关、企业、事业单位或其它组织。本比选文件中比选人是指</w:t>
      </w:r>
      <w:r>
        <w:rPr>
          <w:rFonts w:hint="eastAsia" w:ascii="宋体" w:hAnsi="宋体"/>
          <w:highlight w:val="none"/>
        </w:rPr>
        <w:t>南宁轨道交通运营有限公司</w:t>
      </w:r>
      <w:r>
        <w:rPr>
          <w:rFonts w:ascii="宋体" w:hAnsi="宋体"/>
          <w:highlight w:val="none"/>
        </w:rPr>
        <w:t>。如无特别说明本比选文件中的“发包人、业主、甲方和比选人”均指：</w:t>
      </w:r>
      <w:r>
        <w:rPr>
          <w:rFonts w:hint="eastAsia" w:ascii="宋体" w:hAnsi="宋体"/>
          <w:highlight w:val="none"/>
        </w:rPr>
        <w:t>南宁轨道交通运营有限公司</w:t>
      </w:r>
      <w:r>
        <w:rPr>
          <w:rFonts w:ascii="宋体" w:hAnsi="宋体"/>
          <w:highlight w:val="none"/>
        </w:rPr>
        <w:t>。</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系指响应比选、参加比选申请竞争的法人或其他组织</w:t>
      </w:r>
      <w:r>
        <w:rPr>
          <w:rFonts w:ascii="宋体" w:hAnsi="宋体"/>
          <w:highlight w:val="none"/>
        </w:rPr>
        <w:t>。</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3</w:t>
      </w:r>
      <w:r>
        <w:rPr>
          <w:rFonts w:ascii="宋体" w:hAnsi="宋体"/>
          <w:highlight w:val="none"/>
        </w:rPr>
        <w:t xml:space="preserve"> “货物”系指比选申请人按比选文件规定向比选人提供的</w:t>
      </w:r>
      <w:r>
        <w:rPr>
          <w:rFonts w:hint="eastAsia" w:ascii="宋体" w:hAnsi="宋体"/>
          <w:highlight w:val="none"/>
        </w:rPr>
        <w:t>设备、材料、机械、仪器仪表、备品备件、工具、软件、手册及其它有关技术文件和资料等</w:t>
      </w:r>
      <w:r>
        <w:rPr>
          <w:rFonts w:ascii="宋体" w:hAnsi="宋体"/>
          <w:highlight w:val="none"/>
        </w:rPr>
        <w:t>。</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4“备品备件”系指比选申请人须向比选人提供的用于系统维护、更换、修复的零部件、材料。</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5“专用工具及仪器仪表”系指比选申请人须向比选人提供的用于系统维护、更换、修复的专用工具及仪器仪表。</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2.6</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系指比选文件规定比选申请人须承担的与项目有关的辅助服务，包括但不限于软硬件开发与制造、</w:t>
      </w:r>
      <w:r>
        <w:rPr>
          <w:rFonts w:hint="eastAsia" w:ascii="宋体" w:hAnsi="宋体" w:cs="Arial"/>
          <w:highlight w:val="none"/>
        </w:rPr>
        <w:t>系统集成、</w:t>
      </w:r>
      <w:r>
        <w:rPr>
          <w:rFonts w:hint="eastAsia" w:ascii="宋体" w:hAnsi="宋体"/>
          <w:highlight w:val="none"/>
        </w:rPr>
        <w:t>采购、供货</w:t>
      </w:r>
      <w:r>
        <w:rPr>
          <w:rFonts w:hint="eastAsia" w:ascii="宋体" w:hAnsi="宋体" w:cs="宋体"/>
          <w:highlight w:val="none"/>
        </w:rPr>
        <w:t>、</w:t>
      </w:r>
      <w:r>
        <w:rPr>
          <w:rFonts w:hint="eastAsia" w:ascii="宋体" w:hAnsi="宋体" w:cs="Arial"/>
          <w:highlight w:val="none"/>
        </w:rPr>
        <w:t>出厂检验</w:t>
      </w:r>
      <w:r>
        <w:rPr>
          <w:rFonts w:hint="eastAsia" w:ascii="宋体" w:hAnsi="宋体"/>
          <w:highlight w:val="none"/>
        </w:rPr>
        <w:t>、包装</w:t>
      </w:r>
      <w:r>
        <w:rPr>
          <w:rFonts w:hint="eastAsia" w:ascii="宋体" w:hAnsi="宋体" w:cs="宋体"/>
          <w:highlight w:val="none"/>
        </w:rPr>
        <w:t>、</w:t>
      </w:r>
      <w:r>
        <w:rPr>
          <w:rFonts w:hint="eastAsia" w:ascii="宋体" w:hAnsi="宋体"/>
          <w:highlight w:val="none"/>
        </w:rPr>
        <w:t>运输、保险、装卸、</w:t>
      </w:r>
      <w:r>
        <w:rPr>
          <w:rFonts w:hint="eastAsia" w:ascii="宋体" w:hAnsi="宋体" w:cs="宋体"/>
          <w:highlight w:val="none"/>
        </w:rPr>
        <w:t>到货检查</w:t>
      </w:r>
      <w:r>
        <w:rPr>
          <w:rFonts w:hint="eastAsia" w:ascii="宋体" w:hAnsi="宋体"/>
          <w:highlight w:val="none"/>
        </w:rPr>
        <w:t>、设备安装</w:t>
      </w:r>
      <w:r>
        <w:rPr>
          <w:rFonts w:ascii="宋体" w:hAnsi="宋体"/>
          <w:highlight w:val="none"/>
        </w:rPr>
        <w:t>/</w:t>
      </w:r>
      <w:r>
        <w:rPr>
          <w:rFonts w:hint="eastAsia" w:ascii="宋体" w:hAnsi="宋体"/>
          <w:highlight w:val="none"/>
        </w:rPr>
        <w:t>安装督导、</w:t>
      </w:r>
      <w:r>
        <w:rPr>
          <w:rFonts w:hint="eastAsia" w:ascii="宋体" w:hAnsi="宋体" w:cs="宋体"/>
          <w:highlight w:val="none"/>
        </w:rPr>
        <w:t>系统及设备的单体调试、系统接口调试、</w:t>
      </w:r>
      <w:r>
        <w:rPr>
          <w:rFonts w:hint="eastAsia" w:ascii="宋体" w:hAnsi="宋体"/>
          <w:highlight w:val="none"/>
        </w:rPr>
        <w:t>综合联调、预验收</w:t>
      </w:r>
      <w:r>
        <w:rPr>
          <w:rFonts w:hint="eastAsia" w:ascii="宋体" w:hAnsi="宋体" w:cs="宋体"/>
          <w:highlight w:val="none"/>
        </w:rPr>
        <w:t>、</w:t>
      </w:r>
      <w:r>
        <w:rPr>
          <w:rFonts w:hint="eastAsia" w:ascii="宋体" w:hAnsi="宋体"/>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highlight w:val="none"/>
        </w:rPr>
        <w:t>、</w:t>
      </w:r>
      <w:r>
        <w:rPr>
          <w:rFonts w:hint="eastAsia" w:ascii="宋体" w:hAnsi="宋体"/>
          <w:highlight w:val="none"/>
        </w:rPr>
        <w:t>其他伴随服务和比选申请人应承担的其它义务。</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2.7</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w:t>
      </w:r>
      <w:r>
        <w:rPr>
          <w:rFonts w:ascii="宋体" w:hAnsi="宋体"/>
          <w:highlight w:val="none"/>
        </w:rPr>
        <w:t>“书面形式”系指打字或印刷的函件，包括传真、电报等。</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w:t>
      </w:r>
      <w:r>
        <w:rPr>
          <w:rFonts w:ascii="宋体" w:hAnsi="宋体"/>
          <w:highlight w:val="none"/>
        </w:rPr>
        <w:t>“日”、“天”系指日历天。</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2.9“保质期”系指质量三包的期限。</w:t>
      </w:r>
    </w:p>
    <w:p>
      <w:pPr>
        <w:shd w:val="clear"/>
        <w:spacing w:before="0" w:after="0" w:afterAutospacing="0"/>
        <w:ind w:left="0" w:right="0" w:firstLine="422" w:firstLineChars="200"/>
        <w:outlineLvl w:val="2"/>
        <w:rPr>
          <w:rFonts w:ascii="宋体" w:hAnsi="宋体"/>
          <w:b/>
          <w:bCs/>
          <w:highlight w:val="none"/>
        </w:rPr>
      </w:pPr>
      <w:bookmarkStart w:id="186" w:name="_Toc375039066"/>
      <w:bookmarkStart w:id="187" w:name="_Toc492478720"/>
      <w:bookmarkStart w:id="188" w:name="_Toc383891170"/>
      <w:bookmarkStart w:id="189" w:name="_Toc390098421"/>
      <w:bookmarkStart w:id="190" w:name="_Toc385427795"/>
      <w:bookmarkStart w:id="191" w:name="_Toc12983507"/>
      <w:bookmarkStart w:id="192" w:name="_Toc22845"/>
      <w:bookmarkStart w:id="193" w:name="_Toc7797"/>
      <w:bookmarkStart w:id="194" w:name="_Toc29859"/>
      <w:bookmarkStart w:id="195" w:name="_Toc12940"/>
      <w:bookmarkStart w:id="196" w:name="_Toc9929"/>
      <w:bookmarkStart w:id="197" w:name="_Toc22115"/>
      <w:bookmarkStart w:id="198" w:name="_Toc307"/>
      <w:bookmarkStart w:id="199" w:name="_Toc30498"/>
      <w:bookmarkStart w:id="200" w:name="_Toc8288"/>
      <w:bookmarkStart w:id="201" w:name="_Toc31477"/>
      <w:bookmarkStart w:id="202" w:name="_Toc25786"/>
      <w:bookmarkStart w:id="203" w:name="_Toc25750593"/>
      <w:bookmarkStart w:id="204" w:name="_Toc7306"/>
      <w:bookmarkStart w:id="205" w:name="_Toc29401"/>
      <w:bookmarkStart w:id="206" w:name="_Toc10653"/>
      <w:bookmarkStart w:id="207" w:name="_Toc17568"/>
      <w:bookmarkStart w:id="208" w:name="_Toc17075"/>
      <w:bookmarkStart w:id="209" w:name="_Toc24844"/>
      <w:r>
        <w:rPr>
          <w:rFonts w:ascii="宋体" w:hAnsi="宋体"/>
          <w:b/>
          <w:bCs/>
          <w:highlight w:val="none"/>
        </w:rPr>
        <w:t>3. 比选申请人</w:t>
      </w:r>
      <w:bookmarkEnd w:id="186"/>
      <w:bookmarkEnd w:id="187"/>
      <w:bookmarkEnd w:id="188"/>
      <w:bookmarkEnd w:id="189"/>
      <w:bookmarkEnd w:id="190"/>
      <w:r>
        <w:rPr>
          <w:rFonts w:hint="eastAsia" w:ascii="宋体" w:hAnsi="宋体"/>
          <w:b/>
          <w:bCs/>
          <w:highlight w:val="none"/>
        </w:rPr>
        <w:t>应具备的资格条件</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hd w:val="clea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hd w:val="clea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（2）处于被责令停业，或比选申请资格被住建部、广西区或南宁市建设行政主管部门取消，或财产被接管、破产状态；</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（7）在比选申请文件中提供虚假文件或资料的。</w:t>
      </w:r>
    </w:p>
    <w:p>
      <w:pPr>
        <w:shd w:val="clear"/>
        <w:spacing w:before="0" w:after="0" w:afterAutospacing="0"/>
        <w:ind w:left="0" w:right="0" w:firstLine="422" w:firstLineChars="200"/>
        <w:outlineLvl w:val="2"/>
        <w:rPr>
          <w:rFonts w:ascii="宋体" w:hAnsi="宋体"/>
          <w:b/>
          <w:bCs/>
          <w:highlight w:val="none"/>
        </w:rPr>
      </w:pPr>
      <w:bookmarkStart w:id="210" w:name="_Toc492478721"/>
      <w:bookmarkStart w:id="211" w:name="_Toc383891171"/>
      <w:bookmarkStart w:id="212" w:name="_Toc4438"/>
      <w:bookmarkStart w:id="213" w:name="_Toc7103"/>
      <w:bookmarkStart w:id="214" w:name="_Toc616"/>
      <w:bookmarkStart w:id="215" w:name="_Toc3292"/>
      <w:bookmarkStart w:id="216" w:name="_Toc25914"/>
      <w:bookmarkStart w:id="217" w:name="_Toc25750594"/>
      <w:bookmarkStart w:id="218" w:name="_Toc21602"/>
      <w:bookmarkStart w:id="219" w:name="_Toc18668"/>
      <w:bookmarkStart w:id="220" w:name="_Toc7832"/>
      <w:bookmarkStart w:id="221" w:name="_Toc19709"/>
      <w:bookmarkStart w:id="222" w:name="_Toc390098422"/>
      <w:bookmarkStart w:id="223" w:name="_Toc1737"/>
      <w:bookmarkStart w:id="224" w:name="_Toc12983508"/>
      <w:bookmarkStart w:id="225" w:name="_Toc31789"/>
      <w:bookmarkStart w:id="226" w:name="_Toc375039067"/>
      <w:bookmarkStart w:id="227" w:name="_Toc23146"/>
      <w:bookmarkStart w:id="228" w:name="_Toc385427796"/>
      <w:bookmarkStart w:id="229" w:name="_Toc21215"/>
      <w:bookmarkStart w:id="230" w:name="_Toc1125"/>
      <w:bookmarkStart w:id="231" w:name="_Toc30752"/>
      <w:bookmarkStart w:id="232" w:name="_Toc19081"/>
      <w:bookmarkStart w:id="233" w:name="_Toc24103"/>
      <w:r>
        <w:rPr>
          <w:rFonts w:hint="eastAsia" w:ascii="宋体" w:hAnsi="宋体"/>
          <w:b/>
          <w:bCs/>
          <w:highlight w:val="none"/>
        </w:rPr>
        <w:t xml:space="preserve">4. </w:t>
      </w:r>
      <w:r>
        <w:rPr>
          <w:rFonts w:ascii="宋体" w:hAnsi="宋体"/>
          <w:b/>
          <w:bCs/>
          <w:highlight w:val="none"/>
        </w:rPr>
        <w:t>比选申请费用</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shd w:val="clear"/>
        <w:spacing w:after="0" w:afterAutospacing="0"/>
        <w:ind w:left="0" w:right="0" w:firstLine="482" w:firstLineChars="200"/>
        <w:outlineLvl w:val="1"/>
        <w:rPr>
          <w:rFonts w:hint="eastAsia" w:ascii="宋体" w:hAnsi="宋体" w:eastAsia="宋体"/>
          <w:b/>
          <w:bCs/>
          <w:sz w:val="24"/>
          <w:szCs w:val="24"/>
          <w:highlight w:val="none"/>
        </w:rPr>
      </w:pPr>
      <w:bookmarkStart w:id="234" w:name="_Toc18528"/>
      <w:bookmarkStart w:id="235" w:name="_Toc385427797"/>
      <w:bookmarkStart w:id="236" w:name="_Toc16131"/>
      <w:bookmarkStart w:id="237" w:name="_Toc3854"/>
      <w:bookmarkStart w:id="238" w:name="_Toc2986"/>
      <w:bookmarkStart w:id="239" w:name="_Toc6528"/>
      <w:bookmarkStart w:id="240" w:name="_Toc390098423"/>
      <w:bookmarkStart w:id="241" w:name="_Toc5160"/>
      <w:bookmarkStart w:id="242" w:name="_Toc9677"/>
      <w:bookmarkStart w:id="243" w:name="_Toc383891172"/>
      <w:bookmarkStart w:id="244" w:name="_Toc16608"/>
      <w:bookmarkStart w:id="245" w:name="_Toc5487"/>
      <w:bookmarkStart w:id="246" w:name="_Toc2609"/>
      <w:bookmarkStart w:id="247" w:name="_Toc7339"/>
      <w:bookmarkStart w:id="248" w:name="_Toc22678"/>
      <w:bookmarkStart w:id="249" w:name="_Toc8562"/>
      <w:bookmarkStart w:id="250" w:name="_Toc13678"/>
      <w:bookmarkStart w:id="251" w:name="_Toc8944"/>
      <w:bookmarkStart w:id="252" w:name="_Toc22775"/>
      <w:bookmarkStart w:id="253" w:name="_Toc492478722"/>
      <w:bookmarkStart w:id="254" w:name="_Toc12983509"/>
      <w:bookmarkStart w:id="255" w:name="_Toc28817"/>
      <w:bookmarkStart w:id="256" w:name="_Toc19617"/>
      <w:bookmarkStart w:id="257" w:name="_Toc28220"/>
      <w:bookmarkStart w:id="258" w:name="_Toc26356"/>
      <w:bookmarkStart w:id="259" w:name="_Toc375039068"/>
      <w:bookmarkStart w:id="260" w:name="_Toc5758"/>
      <w:bookmarkStart w:id="261" w:name="_Toc15763"/>
      <w:bookmarkStart w:id="262" w:name="_Toc29160"/>
      <w:bookmarkStart w:id="263" w:name="_Toc16530"/>
      <w:r>
        <w:rPr>
          <w:rFonts w:hint="eastAsia" w:ascii="宋体" w:hAnsi="宋体" w:eastAsia="宋体"/>
          <w:b/>
          <w:bCs/>
          <w:sz w:val="24"/>
          <w:szCs w:val="24"/>
          <w:highlight w:val="none"/>
        </w:rPr>
        <w:t>二、比选文件</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shd w:val="clear"/>
        <w:spacing w:before="0" w:after="0" w:afterAutospacing="0"/>
        <w:ind w:left="0" w:right="0" w:firstLine="422" w:firstLineChars="200"/>
        <w:outlineLvl w:val="2"/>
        <w:rPr>
          <w:rFonts w:ascii="宋体" w:hAnsi="宋体"/>
          <w:b/>
          <w:bCs/>
          <w:highlight w:val="none"/>
        </w:rPr>
      </w:pPr>
      <w:bookmarkStart w:id="264" w:name="_Toc839"/>
      <w:bookmarkStart w:id="265" w:name="_Toc385427798"/>
      <w:bookmarkStart w:id="266" w:name="_Toc6637"/>
      <w:bookmarkStart w:id="267" w:name="_Toc25750596"/>
      <w:bookmarkStart w:id="268" w:name="_Toc5877"/>
      <w:bookmarkStart w:id="269" w:name="_Toc30401"/>
      <w:bookmarkStart w:id="270" w:name="_Toc21811"/>
      <w:bookmarkStart w:id="271" w:name="_Toc383891173"/>
      <w:bookmarkStart w:id="272" w:name="_Toc12983510"/>
      <w:bookmarkStart w:id="273" w:name="_Toc27870"/>
      <w:bookmarkStart w:id="274" w:name="_Toc19561"/>
      <w:bookmarkStart w:id="275" w:name="_Toc9756"/>
      <w:bookmarkStart w:id="276" w:name="_Toc390098424"/>
      <w:bookmarkStart w:id="277" w:name="_Toc375039069"/>
      <w:bookmarkStart w:id="278" w:name="_Toc18436"/>
      <w:bookmarkStart w:id="279" w:name="_Toc13114"/>
      <w:bookmarkStart w:id="280" w:name="_Toc6764"/>
      <w:bookmarkStart w:id="281" w:name="_Toc26333"/>
      <w:bookmarkStart w:id="282" w:name="_Toc25378"/>
      <w:bookmarkStart w:id="283" w:name="_Toc29472"/>
      <w:bookmarkStart w:id="284" w:name="_Toc29225"/>
      <w:bookmarkStart w:id="285" w:name="_Toc4157"/>
      <w:bookmarkStart w:id="286" w:name="_Toc32710"/>
      <w:bookmarkStart w:id="287" w:name="_Toc492478723"/>
      <w:r>
        <w:rPr>
          <w:rFonts w:hint="eastAsia" w:ascii="宋体" w:hAnsi="宋体"/>
          <w:b/>
          <w:bCs/>
          <w:highlight w:val="none"/>
        </w:rPr>
        <w:t xml:space="preserve">5. </w:t>
      </w:r>
      <w:r>
        <w:rPr>
          <w:rFonts w:ascii="宋体" w:hAnsi="宋体"/>
          <w:b/>
          <w:bCs/>
          <w:highlight w:val="none"/>
        </w:rPr>
        <w:t>比选文件构成</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hd w:val="clear"/>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2"/>
        </w:numPr>
        <w:shd w:val="clear"/>
        <w:spacing w:before="0"/>
        <w:ind w:left="0" w:right="0" w:firstLine="420" w:firstLineChars="200"/>
        <w:rPr>
          <w:rFonts w:ascii="宋体" w:hAnsi="宋体"/>
          <w:highlight w:val="none"/>
        </w:rPr>
      </w:pPr>
      <w:r>
        <w:rPr>
          <w:rFonts w:ascii="宋体" w:hAnsi="宋体"/>
          <w:highlight w:val="none"/>
        </w:rPr>
        <w:t>比选公告</w:t>
      </w:r>
    </w:p>
    <w:p>
      <w:pPr>
        <w:numPr>
          <w:ilvl w:val="0"/>
          <w:numId w:val="2"/>
        </w:numPr>
        <w:shd w:val="clear"/>
        <w:spacing w:before="0"/>
        <w:ind w:left="0" w:right="0" w:firstLine="420" w:firstLineChars="200"/>
        <w:rPr>
          <w:rFonts w:ascii="宋体" w:hAnsi="宋体"/>
          <w:highlight w:val="none"/>
        </w:rPr>
      </w:pPr>
      <w:r>
        <w:rPr>
          <w:rFonts w:ascii="宋体" w:hAnsi="宋体"/>
          <w:highlight w:val="none"/>
        </w:rPr>
        <w:t>比选申请须知</w:t>
      </w:r>
    </w:p>
    <w:p>
      <w:pPr>
        <w:numPr>
          <w:ilvl w:val="0"/>
          <w:numId w:val="2"/>
        </w:numPr>
        <w:shd w:val="clear"/>
        <w:spacing w:before="0"/>
        <w:ind w:left="0" w:right="0" w:firstLine="420" w:firstLineChars="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2"/>
        </w:numPr>
        <w:shd w:val="clear"/>
        <w:spacing w:before="0"/>
        <w:ind w:left="0" w:right="0" w:firstLine="420" w:firstLineChars="200"/>
        <w:rPr>
          <w:rFonts w:ascii="宋体" w:hAnsi="宋体"/>
          <w:highlight w:val="none"/>
        </w:rPr>
      </w:pPr>
      <w:r>
        <w:rPr>
          <w:rFonts w:ascii="宋体" w:hAnsi="宋体"/>
          <w:highlight w:val="none"/>
        </w:rPr>
        <w:t>比选申请文件格式</w:t>
      </w:r>
    </w:p>
    <w:p>
      <w:pPr>
        <w:numPr>
          <w:ilvl w:val="0"/>
          <w:numId w:val="2"/>
        </w:numPr>
        <w:shd w:val="clear"/>
        <w:spacing w:before="0"/>
        <w:ind w:left="0" w:right="0" w:firstLine="420" w:firstLineChars="200"/>
        <w:rPr>
          <w:rFonts w:ascii="宋体" w:hAnsi="宋体"/>
          <w:highlight w:val="none"/>
        </w:rPr>
      </w:pPr>
      <w:r>
        <w:rPr>
          <w:rFonts w:ascii="宋体" w:hAnsi="宋体"/>
          <w:highlight w:val="none"/>
        </w:rPr>
        <w:t>用户需求书</w:t>
      </w:r>
    </w:p>
    <w:p>
      <w:pPr>
        <w:numPr>
          <w:ilvl w:val="0"/>
          <w:numId w:val="2"/>
        </w:numPr>
        <w:shd w:val="clear"/>
        <w:spacing w:before="0" w:after="0" w:afterAutospacing="0"/>
        <w:ind w:left="0" w:right="0" w:firstLine="420" w:firstLineChars="200"/>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hd w:val="clear"/>
        <w:spacing w:before="0" w:after="0" w:afterAutospacing="0"/>
        <w:ind w:left="0" w:right="0" w:firstLine="422" w:firstLineChars="200"/>
        <w:outlineLvl w:val="2"/>
        <w:rPr>
          <w:rFonts w:ascii="宋体" w:hAnsi="宋体"/>
          <w:b/>
          <w:bCs/>
          <w:highlight w:val="none"/>
        </w:rPr>
      </w:pPr>
      <w:bookmarkStart w:id="288" w:name="_Toc31848"/>
      <w:bookmarkStart w:id="289" w:name="_Toc2789"/>
      <w:bookmarkStart w:id="290" w:name="_Toc29001"/>
      <w:bookmarkStart w:id="291" w:name="_Toc26811"/>
      <w:bookmarkStart w:id="292" w:name="_Toc14426"/>
      <w:bookmarkStart w:id="293" w:name="_Toc21365"/>
      <w:bookmarkStart w:id="294" w:name="_Toc383891174"/>
      <w:bookmarkStart w:id="295" w:name="_Toc2489"/>
      <w:bookmarkStart w:id="296" w:name="_Toc10162"/>
      <w:bookmarkStart w:id="297" w:name="_Toc17279"/>
      <w:bookmarkStart w:id="298" w:name="_Toc28270"/>
      <w:bookmarkStart w:id="299" w:name="_Toc390098425"/>
      <w:bookmarkStart w:id="300" w:name="_Toc492478724"/>
      <w:bookmarkStart w:id="301" w:name="_Toc385427799"/>
      <w:bookmarkStart w:id="302" w:name="_Toc2664"/>
      <w:bookmarkStart w:id="303" w:name="_Toc26909"/>
      <w:bookmarkStart w:id="304" w:name="_Toc18631"/>
      <w:bookmarkStart w:id="305" w:name="_Toc20903"/>
      <w:bookmarkStart w:id="306" w:name="_Toc31386"/>
      <w:bookmarkStart w:id="307" w:name="_Toc15154"/>
      <w:bookmarkStart w:id="308" w:name="_Toc12983511"/>
      <w:bookmarkStart w:id="309" w:name="_Toc25750597"/>
      <w:bookmarkStart w:id="310" w:name="_Toc11896"/>
      <w:bookmarkStart w:id="311" w:name="_Toc375039070"/>
      <w:r>
        <w:rPr>
          <w:rFonts w:hint="eastAsia" w:ascii="宋体" w:hAnsi="宋体"/>
          <w:b/>
          <w:bCs/>
          <w:highlight w:val="none"/>
        </w:rPr>
        <w:t>6.</w:t>
      </w:r>
      <w:r>
        <w:rPr>
          <w:rFonts w:ascii="宋体" w:hAnsi="宋体"/>
          <w:b/>
          <w:bCs/>
          <w:highlight w:val="none"/>
        </w:rPr>
        <w:t>比选文件的澄清</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shd w:val="clear"/>
        <w:spacing w:before="0" w:after="0" w:afterAutospacing="0"/>
        <w:ind w:left="0" w:right="0" w:firstLine="422" w:firstLineChars="200"/>
        <w:outlineLvl w:val="2"/>
        <w:rPr>
          <w:rFonts w:ascii="宋体" w:hAnsi="宋体"/>
          <w:b/>
          <w:bCs/>
          <w:highlight w:val="none"/>
        </w:rPr>
      </w:pPr>
      <w:bookmarkStart w:id="312" w:name="_Toc492478725"/>
      <w:bookmarkStart w:id="313" w:name="_Toc14181"/>
      <w:bookmarkStart w:id="314" w:name="_Toc5364"/>
      <w:bookmarkStart w:id="315" w:name="_Toc375039071"/>
      <w:bookmarkStart w:id="316" w:name="_Toc390098426"/>
      <w:bookmarkStart w:id="317" w:name="_Toc24191"/>
      <w:bookmarkStart w:id="318" w:name="_Toc24583"/>
      <w:bookmarkStart w:id="319" w:name="_Toc7063"/>
      <w:bookmarkStart w:id="320" w:name="_Toc27124"/>
      <w:bookmarkStart w:id="321" w:name="_Toc15674"/>
      <w:bookmarkStart w:id="322" w:name="_Toc30378"/>
      <w:bookmarkStart w:id="323" w:name="_Toc19345"/>
      <w:bookmarkStart w:id="324" w:name="_Toc22529"/>
      <w:bookmarkStart w:id="325" w:name="_Toc12983512"/>
      <w:bookmarkStart w:id="326" w:name="_Toc26952"/>
      <w:bookmarkStart w:id="327" w:name="_Toc15137"/>
      <w:bookmarkStart w:id="328" w:name="_Toc15498"/>
      <w:bookmarkStart w:id="329" w:name="_Toc383891175"/>
      <w:bookmarkStart w:id="330" w:name="_Toc2072"/>
      <w:bookmarkStart w:id="331" w:name="_Toc25750598"/>
      <w:bookmarkStart w:id="332" w:name="_Toc24128"/>
      <w:bookmarkStart w:id="333" w:name="_Toc385427800"/>
      <w:bookmarkStart w:id="334" w:name="_Toc29795"/>
      <w:bookmarkStart w:id="335" w:name="_Toc2976"/>
      <w:r>
        <w:rPr>
          <w:rFonts w:hint="eastAsia" w:ascii="宋体" w:hAnsi="宋体"/>
          <w:b/>
          <w:bCs/>
          <w:highlight w:val="none"/>
        </w:rPr>
        <w:t xml:space="preserve">7. </w:t>
      </w:r>
      <w:r>
        <w:rPr>
          <w:rFonts w:ascii="宋体" w:hAnsi="宋体"/>
          <w:b/>
          <w:bCs/>
          <w:highlight w:val="none"/>
        </w:rPr>
        <w:t>比选文件的补遗或修改</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rPr>
        <w:t>南宁轨道交通集团有限责任公司官网</w:t>
      </w:r>
      <w:r>
        <w:rPr>
          <w:rFonts w:ascii="宋体" w:hAnsi="宋体"/>
          <w:highlight w:val="none"/>
        </w:rPr>
        <w:t>上发布之日起，视为比选申请人已收到该补充比选文件。比选申请人未及时关注</w:t>
      </w:r>
      <w:r>
        <w:rPr>
          <w:rFonts w:hint="eastAsia" w:ascii="宋体" w:hAnsi="宋体"/>
          <w:highlight w:val="none"/>
        </w:rPr>
        <w:t>南宁轨道交通集团有限责任公司官网</w:t>
      </w:r>
      <w:r>
        <w:rPr>
          <w:rFonts w:ascii="宋体" w:hAnsi="宋体"/>
          <w:highlight w:val="none"/>
        </w:rPr>
        <w:t>上发布的补充比选文件造成的损失，由比选申请人自行负责。</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shd w:val="clear"/>
        <w:spacing w:after="0" w:afterAutospacing="0"/>
        <w:ind w:left="0" w:right="0" w:firstLine="482" w:firstLineChars="200"/>
        <w:outlineLvl w:val="1"/>
        <w:rPr>
          <w:rFonts w:ascii="宋体" w:hAnsi="宋体"/>
          <w:b/>
          <w:bCs/>
          <w:sz w:val="24"/>
          <w:szCs w:val="24"/>
          <w:highlight w:val="none"/>
        </w:rPr>
      </w:pPr>
      <w:bookmarkStart w:id="336" w:name="_Toc10869"/>
      <w:bookmarkStart w:id="337" w:name="_Toc28044"/>
      <w:bookmarkStart w:id="338" w:name="_Toc4506"/>
      <w:bookmarkStart w:id="339" w:name="_Toc383891176"/>
      <w:bookmarkStart w:id="340" w:name="_Toc492478726"/>
      <w:bookmarkStart w:id="341" w:name="_Toc16406"/>
      <w:bookmarkStart w:id="342" w:name="_Toc25361"/>
      <w:bookmarkStart w:id="343" w:name="_Toc24759"/>
      <w:bookmarkStart w:id="344" w:name="_Toc9919"/>
      <w:bookmarkStart w:id="345" w:name="_Toc30497"/>
      <w:bookmarkStart w:id="346" w:name="_Toc14185"/>
      <w:bookmarkStart w:id="347" w:name="_Toc30363"/>
      <w:bookmarkStart w:id="348" w:name="_Toc30698"/>
      <w:bookmarkStart w:id="349" w:name="_Toc7604"/>
      <w:bookmarkStart w:id="350" w:name="_Toc27913"/>
      <w:bookmarkStart w:id="351" w:name="_Toc17692"/>
      <w:bookmarkStart w:id="352" w:name="_Toc5805"/>
      <w:bookmarkStart w:id="353" w:name="_Toc375039072"/>
      <w:bookmarkStart w:id="354" w:name="_Toc2902"/>
      <w:bookmarkStart w:id="355" w:name="_Toc4718"/>
      <w:bookmarkStart w:id="356" w:name="_Toc17335"/>
      <w:bookmarkStart w:id="357" w:name="_Toc6909"/>
      <w:bookmarkStart w:id="358" w:name="_Toc468"/>
      <w:bookmarkStart w:id="359" w:name="_Toc24557"/>
      <w:bookmarkStart w:id="360" w:name="_Toc95"/>
      <w:bookmarkStart w:id="361" w:name="_Toc18679"/>
      <w:bookmarkStart w:id="362" w:name="_Toc21204"/>
      <w:bookmarkStart w:id="363" w:name="_Toc390098427"/>
      <w:bookmarkStart w:id="364" w:name="_Toc385427801"/>
      <w:bookmarkStart w:id="365" w:name="_Toc12983513"/>
      <w:r>
        <w:rPr>
          <w:rFonts w:hint="eastAsia" w:ascii="宋体" w:hAnsi="宋体"/>
          <w:b/>
          <w:bCs/>
          <w:sz w:val="24"/>
          <w:szCs w:val="24"/>
          <w:highlight w:val="none"/>
        </w:rPr>
        <w:t>三、</w:t>
      </w:r>
      <w:r>
        <w:rPr>
          <w:rFonts w:ascii="宋体" w:hAnsi="宋体"/>
          <w:b/>
          <w:bCs/>
          <w:sz w:val="24"/>
          <w:szCs w:val="24"/>
          <w:highlight w:val="none"/>
        </w:rPr>
        <w:t>比选申请文件的编制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hd w:val="clear"/>
        <w:spacing w:before="0" w:after="0" w:afterAutospacing="0"/>
        <w:ind w:left="0" w:right="0" w:firstLine="422" w:firstLineChars="200"/>
        <w:outlineLvl w:val="2"/>
        <w:rPr>
          <w:rFonts w:ascii="宋体" w:hAnsi="宋体"/>
          <w:b/>
          <w:bCs/>
          <w:highlight w:val="none"/>
        </w:rPr>
      </w:pPr>
      <w:bookmarkStart w:id="366" w:name="_Toc11259"/>
      <w:bookmarkStart w:id="367" w:name="_Toc26150"/>
      <w:bookmarkStart w:id="368" w:name="_Toc383891177"/>
      <w:bookmarkStart w:id="369" w:name="_Toc2819"/>
      <w:bookmarkStart w:id="370" w:name="_Toc390098428"/>
      <w:bookmarkStart w:id="371" w:name="_Toc21673"/>
      <w:bookmarkStart w:id="372" w:name="_Toc12456"/>
      <w:bookmarkStart w:id="373" w:name="_Toc18350"/>
      <w:bookmarkStart w:id="374" w:name="_Toc25750600"/>
      <w:bookmarkStart w:id="375" w:name="_Toc12074"/>
      <w:bookmarkStart w:id="376" w:name="_Toc1733"/>
      <w:bookmarkStart w:id="377" w:name="_Toc13418"/>
      <w:bookmarkStart w:id="378" w:name="_Toc9592"/>
      <w:bookmarkStart w:id="379" w:name="_Toc29862"/>
      <w:bookmarkStart w:id="380" w:name="_Toc16435"/>
      <w:bookmarkStart w:id="381" w:name="_Toc385427802"/>
      <w:bookmarkStart w:id="382" w:name="_Toc20025"/>
      <w:bookmarkStart w:id="383" w:name="_Toc16186"/>
      <w:bookmarkStart w:id="384" w:name="_Toc4384"/>
      <w:bookmarkStart w:id="385" w:name="_Toc492478727"/>
      <w:bookmarkStart w:id="386" w:name="_Toc375039073"/>
      <w:bookmarkStart w:id="387" w:name="_Toc12983514"/>
      <w:bookmarkStart w:id="388" w:name="_Toc23794"/>
      <w:bookmarkStart w:id="389" w:name="_Toc26680"/>
      <w:r>
        <w:rPr>
          <w:rFonts w:hint="eastAsia" w:ascii="宋体" w:hAnsi="宋体"/>
          <w:b/>
          <w:bCs/>
          <w:highlight w:val="none"/>
        </w:rPr>
        <w:t xml:space="preserve">8. </w:t>
      </w:r>
      <w:r>
        <w:rPr>
          <w:rFonts w:ascii="宋体" w:hAnsi="宋体"/>
          <w:b/>
          <w:bCs/>
          <w:highlight w:val="none"/>
        </w:rPr>
        <w:t>编制要求</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shd w:val="clea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390" w:name="_Toc385427803"/>
      <w:bookmarkStart w:id="391" w:name="_Toc375039074"/>
      <w:bookmarkStart w:id="392" w:name="_Toc24935"/>
      <w:bookmarkStart w:id="393" w:name="_Toc12207"/>
      <w:bookmarkStart w:id="394" w:name="_Toc11040"/>
      <w:bookmarkStart w:id="395" w:name="_Toc19885"/>
      <w:bookmarkStart w:id="396" w:name="_Toc22026"/>
      <w:bookmarkStart w:id="397" w:name="_Toc6261"/>
      <w:bookmarkStart w:id="398" w:name="_Toc28065"/>
      <w:bookmarkStart w:id="399" w:name="_Toc3492"/>
      <w:bookmarkStart w:id="400" w:name="_Toc383891178"/>
      <w:bookmarkStart w:id="401" w:name="_Toc24857"/>
      <w:bookmarkStart w:id="402" w:name="_Toc15570"/>
      <w:bookmarkStart w:id="403" w:name="_Toc9887"/>
      <w:bookmarkStart w:id="404" w:name="_Toc25770"/>
      <w:bookmarkStart w:id="405" w:name="_Toc26753"/>
      <w:bookmarkStart w:id="406" w:name="_Toc12983515"/>
      <w:bookmarkStart w:id="407" w:name="_Toc390098429"/>
      <w:bookmarkStart w:id="408" w:name="_Toc28296"/>
      <w:bookmarkStart w:id="409" w:name="_Toc11161"/>
      <w:bookmarkStart w:id="410" w:name="_Toc16237"/>
      <w:bookmarkStart w:id="411" w:name="_Toc492478728"/>
      <w:bookmarkStart w:id="412" w:name="_Toc1047"/>
      <w:bookmarkStart w:id="413" w:name="_Toc25750601"/>
      <w:r>
        <w:rPr>
          <w:rFonts w:ascii="宋体" w:hAnsi="宋体" w:eastAsia="宋体" w:cs="Times New Roman"/>
          <w:b/>
          <w:bCs/>
          <w:sz w:val="21"/>
          <w:szCs w:val="21"/>
          <w:lang w:val="en-US" w:eastAsia="zh-CN" w:bidi="ar-SA"/>
        </w:rPr>
        <w:t>9.</w:t>
      </w:r>
      <w:r>
        <w:rPr>
          <w:rFonts w:ascii="宋体" w:hAnsi="宋体"/>
          <w:b/>
          <w:bCs/>
          <w:highlight w:val="none"/>
        </w:rPr>
        <w:t>比选申请语言及计量单位</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414" w:name="_Toc12983516"/>
      <w:bookmarkStart w:id="415" w:name="_Toc15809"/>
      <w:bookmarkStart w:id="416" w:name="_Toc14323"/>
      <w:bookmarkStart w:id="417" w:name="_Toc23229"/>
      <w:bookmarkStart w:id="418" w:name="_Toc30356"/>
      <w:bookmarkStart w:id="419" w:name="_Toc16307"/>
      <w:bookmarkStart w:id="420" w:name="_Toc22476"/>
      <w:bookmarkStart w:id="421" w:name="_Toc3877"/>
      <w:bookmarkStart w:id="422" w:name="_Toc375039075"/>
      <w:bookmarkStart w:id="423" w:name="_Toc23364"/>
      <w:bookmarkStart w:id="424" w:name="_Toc385427804"/>
      <w:bookmarkStart w:id="425" w:name="_Toc18149"/>
      <w:bookmarkStart w:id="426" w:name="_Toc3464"/>
      <w:bookmarkStart w:id="427" w:name="_Toc19681"/>
      <w:bookmarkStart w:id="428" w:name="_Toc492478729"/>
      <w:bookmarkStart w:id="429" w:name="_Toc24760"/>
      <w:bookmarkStart w:id="430" w:name="_Toc30991"/>
      <w:bookmarkStart w:id="431" w:name="_Toc25750602"/>
      <w:bookmarkStart w:id="432" w:name="_Toc28164"/>
      <w:bookmarkStart w:id="433" w:name="_Toc53"/>
      <w:bookmarkStart w:id="434" w:name="_Toc383891179"/>
      <w:bookmarkStart w:id="435" w:name="_Toc3411"/>
      <w:bookmarkStart w:id="436" w:name="_Toc29881"/>
      <w:bookmarkStart w:id="437" w:name="_Toc390098430"/>
      <w:r>
        <w:rPr>
          <w:rFonts w:ascii="宋体" w:hAnsi="宋体" w:eastAsia="宋体" w:cs="Times New Roman"/>
          <w:b/>
          <w:bCs/>
          <w:sz w:val="21"/>
          <w:szCs w:val="21"/>
          <w:lang w:val="en-US" w:eastAsia="zh-CN" w:bidi="ar-SA"/>
        </w:rPr>
        <w:t>10.</w:t>
      </w:r>
      <w:r>
        <w:rPr>
          <w:rFonts w:ascii="宋体" w:hAnsi="宋体"/>
          <w:b/>
          <w:bCs/>
          <w:highlight w:val="none"/>
        </w:rPr>
        <w:t>比选申请文件组成</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hd w:val="clea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shd w:val="clear"/>
        <w:tabs>
          <w:tab w:val="left" w:pos="1134"/>
          <w:tab w:val="left" w:pos="1701"/>
          <w:tab w:val="left" w:pos="1843"/>
        </w:tabs>
        <w:spacing w:before="0" w:after="0" w:afterAutospacing="0"/>
        <w:ind w:left="0" w:right="0" w:firstLine="420" w:firstLineChars="200"/>
        <w:rPr>
          <w:rFonts w:ascii="宋体" w:hAnsi="宋体"/>
          <w:bCs/>
          <w:highlight w:val="none"/>
        </w:rPr>
      </w:pPr>
      <w:r>
        <w:rPr>
          <w:rFonts w:hint="eastAsia" w:ascii="宋体" w:hAnsi="宋体"/>
          <w:b w:val="0"/>
          <w:bCs/>
          <w:highlight w:val="none"/>
        </w:rPr>
        <w:t>10.2资格审查文件</w:t>
      </w:r>
      <w:r>
        <w:rPr>
          <w:rFonts w:hint="eastAsia" w:ascii="宋体" w:hAnsi="宋体"/>
          <w:b w:val="0"/>
          <w:bCs/>
          <w:highlight w:val="none"/>
          <w:lang w:eastAsia="zh-CN"/>
        </w:rPr>
        <w:t>、</w:t>
      </w:r>
      <w:r>
        <w:rPr>
          <w:rFonts w:hint="eastAsia" w:ascii="宋体" w:hAnsi="宋体"/>
          <w:b w:val="0"/>
          <w:bCs/>
          <w:highlight w:val="none"/>
          <w:lang w:val="en-US" w:eastAsia="zh-CN"/>
        </w:rPr>
        <w:t>资信文件</w:t>
      </w:r>
      <w:r>
        <w:rPr>
          <w:rFonts w:hint="eastAsia" w:ascii="宋体" w:hAnsi="宋体"/>
          <w:b w:val="0"/>
          <w:bCs/>
          <w:highlight w:val="none"/>
        </w:rPr>
        <w:t>和技术文件不得透露有关报价的任何信息，否则其比选申请将被否决。</w:t>
      </w:r>
    </w:p>
    <w:p>
      <w:pPr>
        <w:shd w:val="clear"/>
        <w:spacing w:before="0" w:after="0" w:afterAutospacing="0"/>
        <w:ind w:left="0" w:right="0" w:firstLine="422" w:firstLineChars="200"/>
        <w:outlineLvl w:val="2"/>
        <w:rPr>
          <w:rFonts w:ascii="宋体" w:hAnsi="宋体"/>
          <w:b/>
          <w:bCs/>
          <w:highlight w:val="none"/>
        </w:rPr>
      </w:pPr>
      <w:bookmarkStart w:id="438" w:name="_Toc385427805"/>
      <w:bookmarkStart w:id="439" w:name="_Toc16783"/>
      <w:bookmarkStart w:id="440" w:name="_Toc390098431"/>
      <w:bookmarkStart w:id="441" w:name="_Toc675"/>
      <w:bookmarkStart w:id="442" w:name="_Toc14308"/>
      <w:bookmarkStart w:id="443" w:name="_Toc375039076"/>
      <w:bookmarkStart w:id="444" w:name="_Toc20248"/>
      <w:bookmarkStart w:id="445" w:name="_Toc23002"/>
      <w:bookmarkStart w:id="446" w:name="_Toc8151"/>
      <w:bookmarkStart w:id="447" w:name="_Toc21144"/>
      <w:bookmarkStart w:id="448" w:name="_Toc3670"/>
      <w:bookmarkStart w:id="449" w:name="_Toc2395"/>
      <w:bookmarkStart w:id="450" w:name="_Toc383891180"/>
      <w:bookmarkStart w:id="451" w:name="_Toc27019"/>
      <w:bookmarkStart w:id="452" w:name="_Toc14630"/>
      <w:bookmarkStart w:id="453" w:name="_Toc12983517"/>
      <w:bookmarkStart w:id="454" w:name="_Toc7608"/>
      <w:bookmarkStart w:id="455" w:name="_Toc11211"/>
      <w:bookmarkStart w:id="456" w:name="_Toc25750603"/>
      <w:bookmarkStart w:id="457" w:name="_Toc27194"/>
      <w:bookmarkStart w:id="458" w:name="_Toc15919"/>
      <w:bookmarkStart w:id="459" w:name="_Toc15448"/>
      <w:bookmarkStart w:id="460" w:name="_Toc492478730"/>
      <w:bookmarkStart w:id="461" w:name="_Toc20490"/>
      <w:r>
        <w:rPr>
          <w:rFonts w:hint="eastAsia" w:ascii="宋体" w:hAnsi="宋体"/>
          <w:b/>
          <w:bCs/>
          <w:highlight w:val="none"/>
        </w:rPr>
        <w:t xml:space="preserve">11. </w:t>
      </w:r>
      <w:r>
        <w:rPr>
          <w:rFonts w:ascii="宋体" w:hAnsi="宋体"/>
          <w:b/>
          <w:bCs/>
          <w:highlight w:val="none"/>
        </w:rPr>
        <w:t>比选申请文件格式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w:t>
      </w:r>
      <w:r>
        <w:rPr>
          <w:rFonts w:hint="eastAsia" w:ascii="宋体" w:hAnsi="宋体"/>
          <w:highlight w:val="none"/>
          <w:lang w:val="en-US" w:eastAsia="zh-CN"/>
        </w:rPr>
        <w:t>10</w:t>
      </w:r>
      <w:r>
        <w:rPr>
          <w:rFonts w:ascii="宋体" w:hAnsi="宋体"/>
          <w:highlight w:val="none"/>
        </w:rPr>
        <w:t>条的内容与要求和提供的格式编写其比选申请文件，比选申请人不得缺少或留空任何比选文件要求填写的表格或提交的资料。</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w:t>
      </w:r>
      <w:r>
        <w:rPr>
          <w:rFonts w:hint="eastAsia" w:ascii="宋体" w:hAnsi="宋体"/>
          <w:highlight w:val="none"/>
          <w:lang w:val="en-US" w:eastAsia="zh-CN"/>
        </w:rPr>
        <w:t>10</w:t>
      </w:r>
      <w:r>
        <w:rPr>
          <w:rFonts w:ascii="宋体" w:hAnsi="宋体"/>
          <w:highlight w:val="none"/>
        </w:rPr>
        <w:t>条规定的顺序编排、编制目录、逐页标注连续页码、并装订成册，各分册前须有分册目录。</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shd w:val="clear"/>
        <w:spacing w:before="0" w:after="0" w:afterAutospacing="0"/>
        <w:ind w:left="0" w:right="0" w:firstLine="422" w:firstLineChars="200"/>
        <w:outlineLvl w:val="2"/>
        <w:rPr>
          <w:rFonts w:ascii="宋体" w:hAnsi="宋体"/>
          <w:b/>
          <w:bCs/>
          <w:highlight w:val="none"/>
        </w:rPr>
      </w:pPr>
      <w:bookmarkStart w:id="462" w:name="_Toc17379"/>
      <w:bookmarkStart w:id="463" w:name="_Toc6671"/>
      <w:bookmarkStart w:id="464" w:name="_Toc17526"/>
      <w:bookmarkStart w:id="465" w:name="_Toc385427806"/>
      <w:bookmarkStart w:id="466" w:name="_Toc14123"/>
      <w:bookmarkStart w:id="467" w:name="_Toc383891181"/>
      <w:bookmarkStart w:id="468" w:name="_Toc12983518"/>
      <w:bookmarkStart w:id="469" w:name="_Toc492478731"/>
      <w:bookmarkStart w:id="470" w:name="_Toc390098432"/>
      <w:bookmarkStart w:id="471" w:name="_Toc22295"/>
      <w:bookmarkStart w:id="472" w:name="_Toc16653"/>
      <w:bookmarkStart w:id="473" w:name="_Toc26482"/>
      <w:bookmarkStart w:id="474" w:name="_Toc3799"/>
      <w:bookmarkStart w:id="475" w:name="_Toc31743"/>
      <w:bookmarkStart w:id="476" w:name="_Toc26974"/>
      <w:bookmarkStart w:id="477" w:name="_Toc24264"/>
      <w:bookmarkStart w:id="478" w:name="_Toc3813"/>
      <w:bookmarkStart w:id="479" w:name="_Toc9416"/>
      <w:bookmarkStart w:id="480" w:name="_Toc25750604"/>
      <w:bookmarkStart w:id="481" w:name="_Toc21084"/>
      <w:bookmarkStart w:id="482" w:name="_Toc20685"/>
      <w:bookmarkStart w:id="483" w:name="_Toc375039077"/>
      <w:bookmarkStart w:id="484" w:name="_Toc17338"/>
      <w:bookmarkStart w:id="485" w:name="_Toc7857"/>
      <w:r>
        <w:rPr>
          <w:rFonts w:hint="eastAsia" w:ascii="宋体" w:hAnsi="宋体"/>
          <w:b/>
          <w:bCs/>
          <w:highlight w:val="none"/>
        </w:rPr>
        <w:t xml:space="preserve">12. </w:t>
      </w:r>
      <w:r>
        <w:rPr>
          <w:rFonts w:ascii="宋体" w:hAnsi="宋体"/>
          <w:b/>
          <w:bCs/>
          <w:highlight w:val="none"/>
        </w:rPr>
        <w:t>比选申请报价</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w:t>
      </w:r>
      <w:r>
        <w:rPr>
          <w:rFonts w:hint="eastAsia" w:ascii="宋体" w:hAnsi="宋体"/>
          <w:b w:val="0"/>
          <w:bCs w:val="0"/>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highlight w:val="none"/>
        </w:rPr>
        <w:t>比选申请人须按第</w:t>
      </w:r>
      <w:r>
        <w:rPr>
          <w:rFonts w:hint="eastAsia" w:ascii="宋体" w:hAnsi="宋体"/>
          <w:highlight w:val="none"/>
          <w:lang w:val="en-US" w:eastAsia="zh-CN"/>
        </w:rPr>
        <w:t>四</w:t>
      </w:r>
      <w:r>
        <w:rPr>
          <w:rFonts w:hint="eastAsia" w:ascii="宋体" w:hAnsi="宋体"/>
          <w:highlight w:val="none"/>
        </w:rPr>
        <w:t>章《比选申请文件格式》中“维保部分报价表”及“备品备件部分报价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比选申请报价应包括完成所有项目内容及质量保证期服务等履行合同标的全过程产生的所有成本、利润及其他费用等全部费用以及比选申请人应承担的费用。</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12.4同一规格、型号、标准、内容的项目在各分项报价中应为同一单价。比选申请人对同类项目只允许有一个报价，如有不同报价，则以最低报价为准。</w:t>
      </w:r>
    </w:p>
    <w:p>
      <w:pPr>
        <w:shd w:val="clea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5</w:t>
      </w:r>
      <w:r>
        <w:rPr>
          <w:rFonts w:ascii="宋体" w:hAnsi="宋体"/>
          <w:highlight w:val="none"/>
        </w:rPr>
        <w:t xml:space="preserve"> </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w:t>
      </w:r>
      <w:r>
        <w:rPr>
          <w:rFonts w:ascii="宋体" w:hAnsi="宋体"/>
          <w:highlight w:val="none"/>
        </w:rPr>
        <w:t>产品、部件</w:t>
      </w:r>
      <w:r>
        <w:rPr>
          <w:rFonts w:hint="eastAsia" w:ascii="宋体" w:hAnsi="宋体"/>
          <w:highlight w:val="none"/>
        </w:rPr>
        <w:t>和服务。</w:t>
      </w:r>
    </w:p>
    <w:p>
      <w:pPr>
        <w:shd w:val="clea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6</w:t>
      </w:r>
      <w:r>
        <w:rPr>
          <w:rFonts w:ascii="宋体" w:hAnsi="宋体"/>
          <w:highlight w:val="none"/>
        </w:rPr>
        <w:t xml:space="preserve"> </w:t>
      </w:r>
      <w:r>
        <w:rPr>
          <w:rFonts w:ascii="宋体" w:hAnsi="宋体" w:cs="宋体"/>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shd w:val="clear"/>
        <w:tabs>
          <w:tab w:val="left" w:pos="8364"/>
        </w:tabs>
        <w:spacing w:before="0" w:after="0" w:afterAutospacing="0"/>
        <w:ind w:left="0" w:right="0" w:firstLine="420" w:firstLineChars="200"/>
        <w:rPr>
          <w:rFonts w:ascii="宋体" w:hAnsi="宋体"/>
          <w:b w:val="0"/>
          <w:bCs/>
          <w:highlight w:val="none"/>
        </w:rPr>
      </w:pPr>
      <w:r>
        <w:rPr>
          <w:rFonts w:ascii="宋体" w:hAnsi="宋体"/>
          <w:highlight w:val="none"/>
        </w:rPr>
        <w:t>12.</w:t>
      </w:r>
      <w:r>
        <w:rPr>
          <w:rFonts w:hint="eastAsia" w:ascii="宋体" w:hAnsi="宋体"/>
          <w:highlight w:val="none"/>
        </w:rPr>
        <w:t>7</w:t>
      </w:r>
      <w:r>
        <w:rPr>
          <w:rFonts w:ascii="宋体" w:hAnsi="宋体"/>
          <w:highlight w:val="none"/>
        </w:rPr>
        <w:t xml:space="preserve"> </w:t>
      </w:r>
      <w:r>
        <w:rPr>
          <w:rFonts w:hint="eastAsia" w:ascii="宋体" w:hAnsi="宋体"/>
          <w:b w:val="0"/>
          <w:bCs/>
          <w:highlight w:val="none"/>
        </w:rPr>
        <w:t>比选申请人不得以低于成本的报价竞标，也不得以他人名义比选申请或者以其他方式弄虚作假，骗取中选。</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12.9 比选人不接受比选申请人对任何未办理正常进口手续的非中华人民共和国境内生产的货物的比选申请报价。</w:t>
      </w:r>
    </w:p>
    <w:p>
      <w:pPr>
        <w:shd w:val="clea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12.10 比选申请人不得在价格文件之外的比选申请文件中出现任何有关本项目的报价信息。</w:t>
      </w:r>
    </w:p>
    <w:p>
      <w:pPr>
        <w:numPr>
          <w:ilvl w:val="0"/>
          <w:numId w:val="0"/>
        </w:numPr>
        <w:shd w:val="clear"/>
        <w:spacing w:before="0" w:after="0" w:afterAutospacing="0"/>
        <w:ind w:left="0" w:leftChars="0" w:right="0" w:rightChars="0" w:firstLine="422" w:firstLineChars="200"/>
        <w:outlineLvl w:val="2"/>
        <w:rPr>
          <w:rFonts w:ascii="宋体" w:hAnsi="宋体"/>
          <w:b/>
          <w:bCs/>
          <w:highlight w:val="none"/>
        </w:rPr>
      </w:pPr>
      <w:bookmarkStart w:id="486" w:name="_Toc15940"/>
      <w:bookmarkStart w:id="487" w:name="_Toc28476"/>
      <w:bookmarkStart w:id="488" w:name="_Toc385427807"/>
      <w:bookmarkStart w:id="489" w:name="_Toc5836"/>
      <w:bookmarkStart w:id="490" w:name="_Toc21448"/>
      <w:bookmarkStart w:id="491" w:name="_Toc25750605"/>
      <w:bookmarkStart w:id="492" w:name="_Toc375039078"/>
      <w:bookmarkStart w:id="493" w:name="_Toc7428"/>
      <w:bookmarkStart w:id="494" w:name="_Toc21430"/>
      <w:bookmarkStart w:id="495" w:name="_Toc12762"/>
      <w:bookmarkStart w:id="496" w:name="_Toc390098433"/>
      <w:bookmarkStart w:id="497" w:name="_Toc492478732"/>
      <w:bookmarkStart w:id="498" w:name="_Toc26064"/>
      <w:bookmarkStart w:id="499" w:name="_Toc1664"/>
      <w:bookmarkStart w:id="500" w:name="_Toc10220"/>
      <w:bookmarkStart w:id="501" w:name="_Toc21706"/>
      <w:bookmarkStart w:id="502" w:name="_Toc383891182"/>
      <w:bookmarkStart w:id="503" w:name="_Toc18875"/>
      <w:bookmarkStart w:id="504" w:name="_Toc20156"/>
      <w:bookmarkStart w:id="505" w:name="_Toc12947"/>
      <w:bookmarkStart w:id="506" w:name="_Toc2710"/>
      <w:bookmarkStart w:id="507" w:name="_Toc28880"/>
      <w:bookmarkStart w:id="508" w:name="_Toc12983519"/>
      <w:bookmarkStart w:id="509" w:name="_Toc25459"/>
      <w:r>
        <w:rPr>
          <w:rFonts w:ascii="宋体" w:hAnsi="宋体" w:eastAsia="宋体" w:cs="Times New Roman"/>
          <w:b/>
          <w:bCs/>
          <w:sz w:val="21"/>
          <w:szCs w:val="21"/>
          <w:lang w:val="en-US" w:eastAsia="zh-CN" w:bidi="ar-SA"/>
        </w:rPr>
        <w:t>13.</w:t>
      </w:r>
      <w:r>
        <w:rPr>
          <w:rFonts w:ascii="宋体" w:hAnsi="宋体"/>
          <w:b/>
          <w:bCs/>
          <w:highlight w:val="none"/>
        </w:rPr>
        <w:t>比选申请货币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shd w:val="clea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比选申请人提供的货物和服务用人民币报价。在比选申请文件中的报价一律用人民币币种填报，比选人不接受任何非人民币币种的比选申请报价。</w:t>
      </w:r>
    </w:p>
    <w:p>
      <w:pPr>
        <w:shd w:val="clear"/>
        <w:spacing w:before="0" w:after="0" w:afterAutospacing="0"/>
        <w:ind w:left="0" w:right="0" w:firstLine="420" w:firstLineChars="200"/>
        <w:outlineLvl w:val="3"/>
        <w:rPr>
          <w:rFonts w:ascii="宋体" w:hAnsi="宋体"/>
          <w:highlight w:val="none"/>
        </w:rPr>
      </w:pPr>
      <w:r>
        <w:rPr>
          <w:rFonts w:hint="eastAsia" w:ascii="宋体" w:hAnsi="宋体"/>
          <w:highlight w:val="none"/>
        </w:rPr>
        <w:t>13.2</w:t>
      </w:r>
      <w:r>
        <w:rPr>
          <w:rFonts w:ascii="宋体" w:hAnsi="宋体"/>
          <w:highlight w:val="none"/>
        </w:rPr>
        <w:t>比选人将以人民币与中选的比选申请人签订合同。</w:t>
      </w:r>
    </w:p>
    <w:p>
      <w:pPr>
        <w:numPr>
          <w:ilvl w:val="0"/>
          <w:numId w:val="0"/>
        </w:numPr>
        <w:shd w:val="clear"/>
        <w:spacing w:before="0" w:after="0" w:afterAutospacing="0"/>
        <w:ind w:left="0" w:leftChars="0" w:right="0" w:rightChars="0" w:firstLine="422" w:firstLineChars="200"/>
        <w:outlineLvl w:val="2"/>
        <w:rPr>
          <w:rFonts w:ascii="宋体" w:hAnsi="宋体"/>
          <w:b/>
          <w:bCs/>
          <w:highlight w:val="none"/>
        </w:rPr>
      </w:pPr>
      <w:bookmarkStart w:id="510" w:name="_Toc24199"/>
      <w:bookmarkStart w:id="511" w:name="_Toc1530"/>
      <w:bookmarkStart w:id="512" w:name="_Toc492478735"/>
      <w:bookmarkStart w:id="513" w:name="_Toc11690"/>
      <w:bookmarkStart w:id="514" w:name="_Toc22051"/>
      <w:bookmarkStart w:id="515" w:name="_Toc30606"/>
      <w:bookmarkStart w:id="516" w:name="_Toc27508"/>
      <w:bookmarkStart w:id="517" w:name="_Toc390098436"/>
      <w:bookmarkStart w:id="518" w:name="_Toc16314"/>
      <w:bookmarkStart w:id="519" w:name="_Toc9237"/>
      <w:bookmarkStart w:id="520" w:name="_Toc385427810"/>
      <w:bookmarkStart w:id="521" w:name="_Toc1624"/>
      <w:bookmarkStart w:id="522" w:name="_Toc375039081"/>
      <w:bookmarkStart w:id="523" w:name="_Toc14309"/>
      <w:bookmarkStart w:id="524" w:name="_Toc5974"/>
      <w:bookmarkStart w:id="525" w:name="_Toc12049"/>
      <w:bookmarkStart w:id="526" w:name="_Toc28665"/>
      <w:bookmarkStart w:id="527" w:name="_Toc14922"/>
      <w:bookmarkStart w:id="528" w:name="_Toc30040"/>
      <w:bookmarkStart w:id="529" w:name="_Toc383891185"/>
      <w:bookmarkStart w:id="530" w:name="_Toc25750606"/>
      <w:bookmarkStart w:id="531" w:name="_Toc12983520"/>
      <w:bookmarkStart w:id="532" w:name="_Toc30848"/>
      <w:bookmarkStart w:id="533" w:name="_Toc7417"/>
      <w:r>
        <w:rPr>
          <w:rFonts w:ascii="宋体" w:hAnsi="宋体" w:eastAsia="宋体" w:cs="Times New Roman"/>
          <w:b/>
          <w:bCs/>
          <w:sz w:val="21"/>
          <w:szCs w:val="21"/>
          <w:lang w:val="en-US" w:eastAsia="zh-CN" w:bidi="ar-SA"/>
        </w:rPr>
        <w:t>14.</w:t>
      </w:r>
      <w:r>
        <w:rPr>
          <w:rFonts w:ascii="宋体" w:hAnsi="宋体"/>
          <w:b/>
          <w:bCs/>
          <w:highlight w:val="none"/>
        </w:rPr>
        <w:t>比选保证金</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14"/>
        <w:shd w:val="clear"/>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shd w:val="clear"/>
        <w:spacing w:before="0" w:after="0" w:afterAutospacing="0"/>
        <w:ind w:left="0" w:right="0" w:firstLine="422" w:firstLineChars="200"/>
        <w:outlineLvl w:val="2"/>
        <w:rPr>
          <w:rFonts w:hint="eastAsia" w:ascii="宋体" w:hAnsi="宋体"/>
          <w:b/>
          <w:bCs/>
          <w:highlight w:val="none"/>
        </w:rPr>
      </w:pPr>
      <w:bookmarkStart w:id="534" w:name="_Toc20070"/>
      <w:bookmarkStart w:id="535" w:name="_Toc390098437"/>
      <w:bookmarkStart w:id="536" w:name="_Toc20493"/>
      <w:bookmarkStart w:id="537" w:name="_Toc845"/>
      <w:bookmarkStart w:id="538" w:name="_Toc30499"/>
      <w:bookmarkStart w:id="539" w:name="_Toc28997"/>
      <w:bookmarkStart w:id="540" w:name="_Toc383891186"/>
      <w:bookmarkStart w:id="541" w:name="_Toc375039082"/>
      <w:bookmarkStart w:id="542" w:name="_Toc5690"/>
      <w:bookmarkStart w:id="543" w:name="_Toc1604"/>
      <w:bookmarkStart w:id="544" w:name="_Toc9117"/>
      <w:bookmarkStart w:id="545" w:name="_Toc691"/>
      <w:bookmarkStart w:id="546" w:name="_Toc2268"/>
      <w:bookmarkStart w:id="547" w:name="_Toc25750607"/>
      <w:bookmarkStart w:id="548" w:name="_Toc385427811"/>
      <w:bookmarkStart w:id="549" w:name="_Toc492478736"/>
      <w:bookmarkStart w:id="550" w:name="_Toc12983521"/>
      <w:bookmarkStart w:id="551" w:name="_Toc10918"/>
      <w:bookmarkStart w:id="552" w:name="_Toc4433"/>
      <w:bookmarkStart w:id="553" w:name="_Toc7808"/>
      <w:bookmarkStart w:id="554" w:name="_Toc23114"/>
      <w:bookmarkStart w:id="555" w:name="_Toc20643"/>
      <w:bookmarkStart w:id="556" w:name="_Toc24656"/>
      <w:bookmarkStart w:id="557" w:name="_Toc28555"/>
      <w:r>
        <w:rPr>
          <w:rFonts w:hint="eastAsia" w:ascii="宋体" w:hAnsi="宋体"/>
          <w:b/>
          <w:bCs/>
          <w:highlight w:val="none"/>
        </w:rPr>
        <w:t>15.履约担保</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15.1履约担保的金额：中选金额的2.5%。</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15.2履约担保的形式：转账或电汇或银行保函。</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15.3 履约担保金转账账号信息：</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账户名称：南宁轨道交通运营有限公司</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开户行：中国建设银行股份有限公司南宁云景东路支行</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账号：45050110920400000519</w:t>
      </w:r>
    </w:p>
    <w:p>
      <w:pPr>
        <w:shd w:val="clear"/>
        <w:spacing w:before="0" w:after="0" w:afterAutospacing="0"/>
        <w:ind w:left="0" w:right="0" w:firstLine="420" w:firstLineChars="200"/>
        <w:outlineLvl w:val="3"/>
        <w:rPr>
          <w:rFonts w:hint="eastAsia" w:ascii="宋体" w:hAnsi="宋体"/>
          <w:highlight w:val="none"/>
        </w:rPr>
      </w:pPr>
      <w:r>
        <w:rPr>
          <w:rFonts w:hint="eastAsia" w:ascii="宋体" w:hAnsi="宋体"/>
          <w:highlight w:val="none"/>
        </w:rPr>
        <w:t>15.4递交地点：南宁市青秀区云景路83号屯里车辆段；</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15.5提交履约担保的时间：应在合同签订前、且最迟应在中选通知书发出之日起20日内。</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15.6若中选人未在规定时间内足额缴纳履约担保，比选人有权取消其中选资格。</w:t>
      </w:r>
    </w:p>
    <w:p>
      <w:pPr>
        <w:shd w:val="clea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rPr>
        <w:t>15.7履约保函应采用合同规定格式，其开具银行应为中国境内商业银行地市级以上支行（含地市级支行），并须是以比选人为受益人，见索即付无条件付款的、不可撤销的银行保函。</w:t>
      </w:r>
    </w:p>
    <w:p>
      <w:pPr>
        <w:shd w:val="clear"/>
        <w:spacing w:before="0" w:after="0" w:afterAutospacing="0"/>
        <w:ind w:left="0" w:right="0" w:firstLine="422" w:firstLineChars="200"/>
        <w:outlineLvl w:val="2"/>
        <w:rPr>
          <w:rFonts w:ascii="宋体" w:hAnsi="宋体"/>
          <w:b/>
          <w:bCs/>
          <w:highlight w:val="none"/>
        </w:rPr>
      </w:pPr>
      <w:r>
        <w:rPr>
          <w:rFonts w:hint="eastAsia" w:ascii="宋体" w:hAnsi="宋体"/>
          <w:b/>
          <w:bCs/>
          <w:highlight w:val="none"/>
          <w:lang w:val="en-US" w:eastAsia="zh-CN"/>
        </w:rPr>
        <w:t>16.</w:t>
      </w:r>
      <w:r>
        <w:rPr>
          <w:rFonts w:ascii="宋体" w:hAnsi="宋体"/>
          <w:b/>
          <w:bCs/>
          <w:highlight w:val="none"/>
        </w:rPr>
        <w:t>比选申请有效期</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6</w:t>
      </w:r>
      <w:r>
        <w:rPr>
          <w:rFonts w:hint="eastAsia" w:ascii="宋体" w:hAnsi="宋体"/>
          <w:highlight w:val="none"/>
        </w:rPr>
        <w:t xml:space="preserve">.1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6</w:t>
      </w:r>
      <w:r>
        <w:rPr>
          <w:rFonts w:hint="eastAsia" w:ascii="宋体" w:hAnsi="宋体"/>
          <w:highlight w:val="none"/>
        </w:rPr>
        <w:t xml:space="preserve">.2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shd w:val="clear"/>
        <w:tabs>
          <w:tab w:val="left" w:pos="1134"/>
          <w:tab w:val="left" w:pos="8364"/>
        </w:tabs>
        <w:spacing w:before="0" w:after="0" w:afterAutospacing="0"/>
        <w:ind w:left="0" w:right="0" w:firstLine="422" w:firstLineChars="200"/>
        <w:outlineLvl w:val="2"/>
        <w:rPr>
          <w:rFonts w:ascii="宋体" w:hAnsi="宋体"/>
          <w:b/>
          <w:bCs/>
          <w:highlight w:val="none"/>
        </w:rPr>
      </w:pPr>
      <w:bookmarkStart w:id="558" w:name="_Toc24922"/>
      <w:bookmarkStart w:id="559" w:name="_Toc25684"/>
      <w:bookmarkStart w:id="560" w:name="_Toc29108"/>
      <w:bookmarkStart w:id="561" w:name="_Toc12435"/>
      <w:bookmarkStart w:id="562" w:name="_Toc383891187"/>
      <w:bookmarkStart w:id="563" w:name="_Toc12983522"/>
      <w:bookmarkStart w:id="564" w:name="_Toc8100"/>
      <w:bookmarkStart w:id="565" w:name="_Toc19603"/>
      <w:bookmarkStart w:id="566" w:name="_Toc301"/>
      <w:bookmarkStart w:id="567" w:name="_Toc25468"/>
      <w:bookmarkStart w:id="568" w:name="_Toc19044"/>
      <w:bookmarkStart w:id="569" w:name="_Toc32020"/>
      <w:bookmarkStart w:id="570" w:name="_Toc492478737"/>
      <w:bookmarkStart w:id="571" w:name="_Toc14672"/>
      <w:bookmarkStart w:id="572" w:name="_Toc32525"/>
      <w:bookmarkStart w:id="573" w:name="_Toc27730"/>
      <w:bookmarkStart w:id="574" w:name="_Toc6065"/>
      <w:bookmarkStart w:id="575" w:name="_Toc3414"/>
      <w:bookmarkStart w:id="576" w:name="_Toc385427812"/>
      <w:bookmarkStart w:id="577" w:name="_Toc4216"/>
      <w:bookmarkStart w:id="578" w:name="_Toc375039083"/>
      <w:bookmarkStart w:id="579" w:name="_Toc390098438"/>
      <w:bookmarkStart w:id="580" w:name="_Toc12506"/>
      <w:r>
        <w:rPr>
          <w:rFonts w:hint="eastAsia" w:ascii="宋体" w:hAnsi="宋体"/>
          <w:b/>
          <w:bCs/>
          <w:highlight w:val="none"/>
        </w:rPr>
        <w:t>1</w:t>
      </w:r>
      <w:r>
        <w:rPr>
          <w:rFonts w:hint="eastAsia" w:ascii="宋体" w:hAnsi="宋体"/>
          <w:b/>
          <w:bCs/>
          <w:highlight w:val="none"/>
          <w:lang w:val="en-US" w:eastAsia="zh-CN"/>
        </w:rPr>
        <w:t>7</w:t>
      </w:r>
      <w:r>
        <w:rPr>
          <w:rFonts w:hint="eastAsia" w:ascii="宋体" w:hAnsi="宋体"/>
          <w:b/>
          <w:bCs/>
          <w:highlight w:val="none"/>
        </w:rPr>
        <w:t xml:space="preserve">. </w:t>
      </w:r>
      <w:r>
        <w:rPr>
          <w:rFonts w:ascii="宋体" w:hAnsi="宋体"/>
          <w:b/>
          <w:bCs/>
          <w:highlight w:val="none"/>
        </w:rPr>
        <w:t>比选申请文件的制作和签署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hd w:val="clear"/>
        <w:tabs>
          <w:tab w:val="left" w:pos="1134"/>
          <w:tab w:val="left" w:pos="8364"/>
        </w:tabs>
        <w:spacing w:before="0" w:after="0" w:afterAutospacing="0"/>
        <w:ind w:left="0" w:right="0" w:firstLine="420" w:firstLineChars="200"/>
        <w:rPr>
          <w:rFonts w:ascii="宋体" w:hAnsi="宋体"/>
          <w:b w:val="0"/>
          <w:bCs w:val="0"/>
          <w:highlight w:val="none"/>
        </w:rPr>
      </w:pPr>
      <w:r>
        <w:rPr>
          <w:rFonts w:hint="eastAsia" w:ascii="宋体" w:hAnsi="宋体"/>
          <w:highlight w:val="none"/>
        </w:rPr>
        <w:t>1</w:t>
      </w:r>
      <w:r>
        <w:rPr>
          <w:rFonts w:hint="eastAsia" w:ascii="宋体" w:hAnsi="宋体"/>
          <w:highlight w:val="none"/>
          <w:lang w:val="en-US" w:eastAsia="zh-CN"/>
        </w:rPr>
        <w:t>7</w:t>
      </w:r>
      <w:r>
        <w:rPr>
          <w:rFonts w:hint="eastAsia" w:ascii="宋体" w:hAnsi="宋体"/>
          <w:highlight w:val="none"/>
        </w:rPr>
        <w:t xml:space="preserve">.1 </w:t>
      </w:r>
      <w:r>
        <w:rPr>
          <w:rFonts w:ascii="宋体" w:hAnsi="宋体"/>
          <w:highlight w:val="none"/>
        </w:rPr>
        <w:t>比选申请人应按比选申请须知前附表所示套数准备比选申请文件。每套比选申请文件封面上应</w:t>
      </w:r>
      <w:r>
        <w:rPr>
          <w:rFonts w:ascii="宋体" w:hAnsi="宋体"/>
          <w:b w:val="0"/>
          <w:bCs w:val="0"/>
          <w:highlight w:val="none"/>
        </w:rPr>
        <w:t>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b w:val="0"/>
          <w:bCs w:val="0"/>
          <w:highlight w:val="none"/>
        </w:rPr>
        <w:t>质</w:t>
      </w:r>
      <w:r>
        <w:rPr>
          <w:rFonts w:ascii="宋体" w:hAnsi="宋体"/>
          <w:b w:val="0"/>
          <w:bCs w:val="0"/>
          <w:highlight w:val="none"/>
        </w:rPr>
        <w:t>文件不符以纸</w:t>
      </w:r>
      <w:r>
        <w:rPr>
          <w:rFonts w:hint="eastAsia" w:ascii="宋体" w:hAnsi="宋体"/>
          <w:b w:val="0"/>
          <w:bCs w:val="0"/>
          <w:highlight w:val="none"/>
        </w:rPr>
        <w:t>质</w:t>
      </w:r>
      <w:r>
        <w:rPr>
          <w:rFonts w:ascii="宋体" w:hAnsi="宋体"/>
          <w:b w:val="0"/>
          <w:bCs w:val="0"/>
          <w:highlight w:val="none"/>
        </w:rPr>
        <w:t>文件为准。</w:t>
      </w:r>
      <w:r>
        <w:rPr>
          <w:rFonts w:hint="eastAsia" w:ascii="宋体" w:hAnsi="宋体"/>
          <w:b w:val="0"/>
          <w:bCs w:val="0"/>
          <w:highlight w:val="none"/>
        </w:rPr>
        <w:t>比选申请文件要按照资格审查文件、</w:t>
      </w:r>
      <w:r>
        <w:rPr>
          <w:rFonts w:hint="eastAsia" w:ascii="宋体" w:hAnsi="宋体"/>
          <w:b w:val="0"/>
          <w:bCs w:val="0"/>
          <w:highlight w:val="none"/>
          <w:lang w:val="en-US" w:eastAsia="zh-CN"/>
        </w:rPr>
        <w:t>资信文件、</w:t>
      </w:r>
      <w:r>
        <w:rPr>
          <w:rFonts w:hint="eastAsia" w:ascii="宋体" w:hAnsi="宋体"/>
          <w:b w:val="0"/>
          <w:bCs w:val="0"/>
          <w:highlight w:val="none"/>
        </w:rPr>
        <w:t>技术文件和价格文件</w:t>
      </w:r>
      <w:r>
        <w:rPr>
          <w:rFonts w:hint="eastAsia" w:ascii="宋体" w:hAnsi="宋体"/>
          <w:b w:val="0"/>
          <w:bCs w:val="0"/>
          <w:highlight w:val="none"/>
          <w:lang w:val="en-US" w:eastAsia="zh-CN"/>
        </w:rPr>
        <w:t>四</w:t>
      </w:r>
      <w:r>
        <w:rPr>
          <w:rFonts w:hint="eastAsia" w:ascii="宋体" w:hAnsi="宋体"/>
          <w:b w:val="0"/>
          <w:bCs w:val="0"/>
          <w:highlight w:val="none"/>
        </w:rPr>
        <w:t>部分文件单独装订成册。并按照比选申请须知规定的式样、密封和标记、时间和地点递交。</w:t>
      </w:r>
    </w:p>
    <w:p>
      <w:pPr>
        <w:shd w:val="clear"/>
        <w:tabs>
          <w:tab w:val="left" w:pos="1134"/>
          <w:tab w:val="left" w:pos="8364"/>
        </w:tabs>
        <w:spacing w:before="0" w:after="0" w:afterAutospacing="0"/>
        <w:ind w:left="0" w:right="0" w:firstLine="420" w:firstLineChars="200"/>
        <w:rPr>
          <w:rFonts w:ascii="宋体" w:hAnsi="宋体"/>
          <w:b w:val="0"/>
          <w:bCs w:val="0"/>
          <w:highlight w:val="none"/>
        </w:rPr>
      </w:pPr>
      <w:r>
        <w:rPr>
          <w:rFonts w:hint="eastAsia" w:ascii="宋体" w:hAnsi="宋体"/>
          <w:b w:val="0"/>
          <w:bCs w:val="0"/>
          <w:highlight w:val="none"/>
        </w:rPr>
        <w:t>1</w:t>
      </w:r>
      <w:r>
        <w:rPr>
          <w:rFonts w:hint="eastAsia" w:ascii="宋体" w:hAnsi="宋体"/>
          <w:b w:val="0"/>
          <w:bCs w:val="0"/>
          <w:highlight w:val="none"/>
          <w:lang w:val="en-US" w:eastAsia="zh-CN"/>
        </w:rPr>
        <w:t>7</w:t>
      </w:r>
      <w:r>
        <w:rPr>
          <w:rFonts w:hint="eastAsia" w:ascii="宋体" w:hAnsi="宋体"/>
          <w:b w:val="0"/>
          <w:bCs w:val="0"/>
          <w:highlight w:val="none"/>
        </w:rPr>
        <w:t xml:space="preserve">.2 </w:t>
      </w:r>
      <w:r>
        <w:rPr>
          <w:rFonts w:ascii="宋体" w:hAnsi="宋体"/>
          <w:b w:val="0"/>
          <w:bCs w:val="0"/>
          <w:highlight w:val="none"/>
        </w:rPr>
        <w:t>比选申请文件的正本需打印，并由比选申请人法定代表人或其授权委托人</w:t>
      </w:r>
      <w:r>
        <w:rPr>
          <w:rFonts w:hint="eastAsia" w:ascii="宋体" w:hAnsi="宋体"/>
          <w:b w:val="0"/>
          <w:bCs w:val="0"/>
          <w:highlight w:val="none"/>
        </w:rPr>
        <w:t>在比选文件规定的相关位置</w:t>
      </w:r>
      <w:r>
        <w:rPr>
          <w:rFonts w:ascii="宋体" w:hAnsi="宋体"/>
          <w:b w:val="0"/>
          <w:bCs w:val="0"/>
          <w:highlight w:val="none"/>
        </w:rPr>
        <w:t>签字并加盖公章。授权委托人应将以书面形式出具的“法定代表人授权书”附在比选申请文件中。</w:t>
      </w:r>
      <w:r>
        <w:rPr>
          <w:rFonts w:hint="eastAsia" w:ascii="宋体" w:hAnsi="宋体"/>
          <w:b w:val="0"/>
          <w:bCs w:val="0"/>
          <w:highlight w:val="none"/>
        </w:rPr>
        <w:t>比选申请文件正本需</w:t>
      </w:r>
      <w:r>
        <w:rPr>
          <w:rFonts w:ascii="宋体" w:hAnsi="宋体"/>
          <w:b w:val="0"/>
          <w:bCs w:val="0"/>
          <w:highlight w:val="none"/>
        </w:rPr>
        <w:t>骑缝加盖比选申请人单位公章</w:t>
      </w:r>
      <w:r>
        <w:rPr>
          <w:rFonts w:hint="eastAsia" w:ascii="宋体" w:hAnsi="宋体"/>
          <w:b w:val="0"/>
          <w:bCs w:val="0"/>
          <w:highlight w:val="none"/>
        </w:rPr>
        <w:t>，</w:t>
      </w:r>
      <w:r>
        <w:rPr>
          <w:rFonts w:ascii="宋体" w:hAnsi="宋体"/>
          <w:b w:val="0"/>
          <w:bCs w:val="0"/>
          <w:highlight w:val="none"/>
        </w:rPr>
        <w:t>比选申请文件的副本可采用正本的复印件</w:t>
      </w:r>
      <w:r>
        <w:rPr>
          <w:rFonts w:hint="eastAsia" w:ascii="宋体" w:hAnsi="宋体"/>
          <w:b w:val="0"/>
          <w:bCs w:val="0"/>
          <w:highlight w:val="none"/>
        </w:rPr>
        <w:t>（需</w:t>
      </w:r>
      <w:r>
        <w:rPr>
          <w:rFonts w:ascii="宋体" w:hAnsi="宋体"/>
          <w:b w:val="0"/>
          <w:bCs w:val="0"/>
          <w:highlight w:val="none"/>
        </w:rPr>
        <w:t>骑缝加盖比选申请人单位公章</w:t>
      </w:r>
      <w:r>
        <w:rPr>
          <w:rFonts w:hint="eastAsia" w:ascii="宋体" w:hAnsi="宋体"/>
          <w:b w:val="0"/>
          <w:bCs w:val="0"/>
          <w:highlight w:val="none"/>
        </w:rPr>
        <w:t>）</w:t>
      </w:r>
      <w:r>
        <w:rPr>
          <w:rFonts w:ascii="宋体" w:hAnsi="宋体"/>
          <w:b w:val="0"/>
          <w:bCs w:val="0"/>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7</w:t>
      </w:r>
      <w:r>
        <w:rPr>
          <w:rFonts w:hint="eastAsia" w:ascii="宋体" w:hAnsi="宋体"/>
          <w:highlight w:val="none"/>
        </w:rPr>
        <w:t xml:space="preserve">.3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7</w:t>
      </w:r>
      <w:r>
        <w:rPr>
          <w:rFonts w:hint="eastAsia" w:ascii="宋体" w:hAnsi="宋体"/>
          <w:highlight w:val="none"/>
        </w:rPr>
        <w:t xml:space="preserve">.4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shd w:val="clear"/>
        <w:spacing w:after="0" w:afterAutospacing="0"/>
        <w:ind w:left="0" w:right="0" w:firstLine="482" w:firstLineChars="200"/>
        <w:outlineLvl w:val="1"/>
        <w:rPr>
          <w:rFonts w:ascii="宋体" w:hAnsi="宋体"/>
          <w:b/>
          <w:bCs/>
          <w:sz w:val="24"/>
          <w:szCs w:val="24"/>
          <w:highlight w:val="none"/>
        </w:rPr>
      </w:pPr>
      <w:bookmarkStart w:id="581" w:name="_Toc390098439"/>
      <w:bookmarkStart w:id="582" w:name="_Toc385427813"/>
      <w:bookmarkStart w:id="583" w:name="_Toc383891188"/>
      <w:bookmarkStart w:id="584" w:name="_Toc375039084"/>
      <w:bookmarkStart w:id="585" w:name="_Toc492478738"/>
      <w:bookmarkStart w:id="586" w:name="_Toc12983523"/>
      <w:bookmarkStart w:id="587" w:name="_Toc7962"/>
      <w:bookmarkStart w:id="588" w:name="_Toc32054"/>
      <w:bookmarkStart w:id="589" w:name="_Toc30452"/>
      <w:bookmarkStart w:id="590" w:name="_Toc4689"/>
      <w:bookmarkStart w:id="591" w:name="_Toc30962"/>
      <w:bookmarkStart w:id="592" w:name="_Toc26551"/>
      <w:bookmarkStart w:id="593" w:name="_Toc22570"/>
      <w:bookmarkStart w:id="594" w:name="_Toc6101"/>
      <w:bookmarkStart w:id="595" w:name="_Toc16409"/>
      <w:bookmarkStart w:id="596" w:name="_Toc29940"/>
      <w:bookmarkStart w:id="597" w:name="_Toc2113"/>
      <w:bookmarkStart w:id="598" w:name="_Toc10234"/>
      <w:bookmarkStart w:id="599" w:name="_Toc1952"/>
      <w:bookmarkStart w:id="600" w:name="_Toc18322"/>
      <w:bookmarkStart w:id="601" w:name="_Toc2975"/>
      <w:bookmarkStart w:id="602" w:name="_Toc30187"/>
      <w:bookmarkStart w:id="603" w:name="_Toc759"/>
      <w:bookmarkStart w:id="604" w:name="_Toc23177"/>
      <w:bookmarkStart w:id="605" w:name="_Toc1315"/>
      <w:bookmarkStart w:id="606" w:name="_Toc25945"/>
      <w:bookmarkStart w:id="607" w:name="_Toc26776"/>
      <w:bookmarkStart w:id="608" w:name="_Toc15116"/>
      <w:bookmarkStart w:id="609" w:name="_Toc28371"/>
      <w:bookmarkStart w:id="610" w:name="_Toc5283"/>
      <w:r>
        <w:rPr>
          <w:rFonts w:hint="eastAsia" w:ascii="宋体" w:hAnsi="宋体"/>
          <w:b/>
          <w:bCs/>
          <w:sz w:val="24"/>
          <w:szCs w:val="24"/>
          <w:highlight w:val="none"/>
        </w:rPr>
        <w:t>四、</w:t>
      </w:r>
      <w:r>
        <w:rPr>
          <w:rFonts w:ascii="宋体" w:hAnsi="宋体"/>
          <w:b/>
          <w:bCs/>
          <w:sz w:val="24"/>
          <w:szCs w:val="24"/>
          <w:highlight w:val="none"/>
        </w:rPr>
        <w:t>比选申请文件</w:t>
      </w:r>
      <w:bookmarkEnd w:id="581"/>
      <w:bookmarkEnd w:id="582"/>
      <w:bookmarkEnd w:id="583"/>
      <w:bookmarkEnd w:id="584"/>
      <w:r>
        <w:rPr>
          <w:rFonts w:hint="eastAsia" w:ascii="宋体" w:hAnsi="宋体"/>
          <w:b/>
          <w:bCs/>
          <w:sz w:val="24"/>
          <w:szCs w:val="24"/>
          <w:highlight w:val="none"/>
        </w:rPr>
        <w:t>的密封和递交</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shd w:val="clear"/>
        <w:spacing w:before="0" w:after="0" w:afterAutospacing="0"/>
        <w:ind w:left="0" w:right="0" w:firstLine="422" w:firstLineChars="200"/>
        <w:outlineLvl w:val="2"/>
        <w:rPr>
          <w:rFonts w:ascii="宋体" w:hAnsi="宋体"/>
          <w:b/>
          <w:bCs/>
          <w:highlight w:val="none"/>
        </w:rPr>
      </w:pPr>
      <w:bookmarkStart w:id="611" w:name="_Toc375039085"/>
      <w:bookmarkStart w:id="612" w:name="_Toc24648"/>
      <w:bookmarkStart w:id="613" w:name="_Toc12329"/>
      <w:bookmarkStart w:id="614" w:name="_Toc383891189"/>
      <w:bookmarkStart w:id="615" w:name="_Toc17200"/>
      <w:bookmarkStart w:id="616" w:name="_Toc390098440"/>
      <w:bookmarkStart w:id="617" w:name="_Toc385427814"/>
      <w:bookmarkStart w:id="618" w:name="_Toc492478739"/>
      <w:bookmarkStart w:id="619" w:name="_Toc12983524"/>
      <w:bookmarkStart w:id="620" w:name="_Toc26249"/>
      <w:bookmarkStart w:id="621" w:name="_Toc9307"/>
      <w:bookmarkStart w:id="622" w:name="_Toc30196"/>
      <w:bookmarkStart w:id="623" w:name="_Toc12117"/>
      <w:bookmarkStart w:id="624" w:name="_Toc13829"/>
      <w:bookmarkStart w:id="625" w:name="_Toc19495"/>
      <w:bookmarkStart w:id="626" w:name="_Toc15650"/>
      <w:bookmarkStart w:id="627" w:name="_Toc15735"/>
      <w:bookmarkStart w:id="628" w:name="_Toc25750609"/>
      <w:bookmarkStart w:id="629" w:name="_Toc5922"/>
      <w:bookmarkStart w:id="630" w:name="_Toc15071"/>
      <w:bookmarkStart w:id="631" w:name="_Toc13875"/>
      <w:bookmarkStart w:id="632" w:name="_Toc15663"/>
      <w:bookmarkStart w:id="633" w:name="_Toc13621"/>
      <w:bookmarkStart w:id="634" w:name="_Toc18616"/>
      <w:r>
        <w:rPr>
          <w:rFonts w:hint="eastAsia" w:ascii="宋体" w:hAnsi="宋体"/>
          <w:b/>
          <w:bCs/>
          <w:highlight w:val="none"/>
        </w:rPr>
        <w:t>1</w:t>
      </w:r>
      <w:r>
        <w:rPr>
          <w:rFonts w:hint="eastAsia" w:ascii="宋体" w:hAnsi="宋体"/>
          <w:b/>
          <w:bCs/>
          <w:highlight w:val="none"/>
          <w:lang w:val="en-US" w:eastAsia="zh-CN"/>
        </w:rPr>
        <w:t>8</w:t>
      </w:r>
      <w:r>
        <w:rPr>
          <w:rFonts w:hint="eastAsia" w:ascii="宋体" w:hAnsi="宋体"/>
          <w:b/>
          <w:bCs/>
          <w:highlight w:val="none"/>
        </w:rPr>
        <w:t xml:space="preserve">. </w:t>
      </w:r>
      <w:r>
        <w:rPr>
          <w:rFonts w:ascii="宋体" w:hAnsi="宋体"/>
          <w:b/>
          <w:bCs/>
          <w:highlight w:val="none"/>
        </w:rPr>
        <w:t>比选申请文件</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shd w:val="clear"/>
        <w:tabs>
          <w:tab w:val="left" w:pos="1134"/>
          <w:tab w:val="left" w:pos="8364"/>
        </w:tabs>
        <w:spacing w:before="0" w:after="0" w:afterAutospacing="0"/>
        <w:ind w:left="0" w:right="0" w:firstLine="420" w:firstLineChars="200"/>
        <w:outlineLvl w:val="3"/>
        <w:rPr>
          <w:rFonts w:ascii="宋体" w:hAnsi="宋体"/>
          <w:highlight w:val="none"/>
        </w:rPr>
      </w:pPr>
      <w:bookmarkStart w:id="635" w:name="_Toc385427815"/>
      <w:bookmarkStart w:id="636" w:name="_Toc375039086"/>
      <w:bookmarkStart w:id="637" w:name="_Toc383891190"/>
      <w:bookmarkStart w:id="638" w:name="_Toc390098441"/>
      <w:r>
        <w:rPr>
          <w:rFonts w:hint="eastAsia" w:ascii="宋体" w:hAnsi="宋体"/>
          <w:highlight w:val="none"/>
        </w:rPr>
        <w:t>1</w:t>
      </w:r>
      <w:r>
        <w:rPr>
          <w:rFonts w:hint="eastAsia" w:ascii="宋体" w:hAnsi="宋体"/>
          <w:highlight w:val="none"/>
          <w:lang w:val="en-US" w:eastAsia="zh-CN"/>
        </w:rPr>
        <w:t>8</w:t>
      </w:r>
      <w:r>
        <w:rPr>
          <w:rFonts w:hint="eastAsia" w:ascii="宋体" w:hAnsi="宋体"/>
          <w:highlight w:val="none"/>
        </w:rPr>
        <w:t xml:space="preserve">.1 </w:t>
      </w:r>
      <w:r>
        <w:rPr>
          <w:rFonts w:ascii="宋体" w:hAnsi="宋体"/>
          <w:highlight w:val="none"/>
        </w:rPr>
        <w:t>封装方式</w:t>
      </w:r>
    </w:p>
    <w:p>
      <w:pPr>
        <w:shd w:val="clea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shd w:val="clea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个包，其中价格文件还需独立密封成包。</w:t>
      </w:r>
    </w:p>
    <w:p>
      <w:pPr>
        <w:shd w:val="clea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shd w:val="clea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1</w:t>
      </w:r>
      <w:r>
        <w:rPr>
          <w:rFonts w:hint="eastAsia" w:ascii="宋体" w:hAnsi="宋体"/>
          <w:highlight w:val="none"/>
          <w:lang w:val="en-US" w:eastAsia="zh-CN"/>
        </w:rPr>
        <w:t>8</w:t>
      </w:r>
      <w:r>
        <w:rPr>
          <w:rFonts w:hint="eastAsia" w:ascii="宋体" w:hAnsi="宋体"/>
          <w:highlight w:val="none"/>
        </w:rPr>
        <w:t xml:space="preserve">.2 </w:t>
      </w:r>
      <w:r>
        <w:rPr>
          <w:rFonts w:ascii="宋体" w:hAnsi="宋体"/>
          <w:highlight w:val="none"/>
        </w:rPr>
        <w:t>所有密封箱/袋都应具有下列识别标志：</w:t>
      </w:r>
    </w:p>
    <w:p>
      <w:pPr>
        <w:shd w:val="clear"/>
        <w:tabs>
          <w:tab w:val="left" w:pos="1155"/>
        </w:tabs>
        <w:spacing w:before="0" w:after="0" w:afterAutospacing="0"/>
        <w:ind w:left="0" w:right="0" w:firstLine="420" w:firstLineChars="200"/>
        <w:rPr>
          <w:rFonts w:ascii="宋体" w:hAnsi="宋体"/>
          <w:color w:val="auto"/>
          <w:highlight w:val="none"/>
        </w:rPr>
      </w:pPr>
      <w:r>
        <w:rPr>
          <w:rFonts w:hint="eastAsia" w:ascii="宋体" w:hAnsi="宋体"/>
          <w:highlight w:val="none"/>
        </w:rPr>
        <w:t>（1）</w:t>
      </w:r>
      <w:r>
        <w:rPr>
          <w:rFonts w:ascii="宋体" w:hAnsi="宋体"/>
          <w:highlight w:val="none"/>
        </w:rPr>
        <w:t>项目名称</w:t>
      </w:r>
      <w:r>
        <w:rPr>
          <w:rFonts w:ascii="宋体" w:hAnsi="宋体"/>
          <w:color w:val="auto"/>
          <w:highlight w:val="none"/>
        </w:rPr>
        <w:t>：</w:t>
      </w:r>
      <w:r>
        <w:rPr>
          <w:rFonts w:hint="eastAsia" w:ascii="宋体" w:hAnsi="宋体"/>
          <w:color w:val="auto"/>
          <w:highlight w:val="none"/>
          <w:u w:val="none"/>
        </w:rPr>
        <w:t>南宁轨道交通1-5号线叉车委外维保项目（2024-2027）</w:t>
      </w:r>
      <w:r>
        <w:rPr>
          <w:rFonts w:ascii="宋体" w:hAnsi="宋体"/>
          <w:color w:val="auto"/>
          <w:highlight w:val="none"/>
        </w:rPr>
        <w:t>；</w:t>
      </w:r>
    </w:p>
    <w:p>
      <w:pPr>
        <w:shd w:val="clea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none"/>
        </w:rPr>
        <w:t>202311020012</w:t>
      </w:r>
      <w:r>
        <w:rPr>
          <w:rFonts w:ascii="宋体" w:hAnsi="宋体"/>
          <w:color w:val="auto"/>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8</w:t>
      </w:r>
      <w:r>
        <w:rPr>
          <w:rFonts w:hint="eastAsia" w:ascii="宋体" w:hAnsi="宋体"/>
          <w:highlight w:val="none"/>
        </w:rPr>
        <w:t xml:space="preserve">.3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8</w:t>
      </w:r>
      <w:r>
        <w:rPr>
          <w:rFonts w:hint="eastAsia" w:ascii="宋体" w:hAnsi="宋体"/>
          <w:highlight w:val="none"/>
        </w:rPr>
        <w:t xml:space="preserve">.4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639" w:name="_Toc16818"/>
      <w:bookmarkStart w:id="640" w:name="_Toc28071"/>
      <w:bookmarkStart w:id="641" w:name="_Toc32760"/>
      <w:bookmarkStart w:id="642" w:name="_Toc16266"/>
      <w:bookmarkStart w:id="643" w:name="_Toc23859"/>
      <w:bookmarkStart w:id="644" w:name="_Toc22445"/>
      <w:bookmarkStart w:id="645" w:name="_Toc11255"/>
      <w:bookmarkStart w:id="646" w:name="_Toc13883"/>
      <w:bookmarkStart w:id="647" w:name="_Toc12983525"/>
      <w:bookmarkStart w:id="648" w:name="_Toc16755"/>
      <w:bookmarkStart w:id="649" w:name="_Toc2337"/>
      <w:bookmarkStart w:id="650" w:name="_Toc492478740"/>
      <w:bookmarkStart w:id="651" w:name="_Toc11039"/>
      <w:bookmarkStart w:id="652" w:name="_Toc25750610"/>
      <w:bookmarkStart w:id="653" w:name="_Toc6339"/>
      <w:bookmarkStart w:id="654" w:name="_Toc22180"/>
      <w:bookmarkStart w:id="655" w:name="_Toc11096"/>
      <w:bookmarkStart w:id="656" w:name="_Toc4735"/>
      <w:bookmarkStart w:id="657" w:name="_Toc6482"/>
      <w:bookmarkStart w:id="658" w:name="_Toc642"/>
      <w:r>
        <w:rPr>
          <w:rFonts w:ascii="宋体" w:hAnsi="宋体" w:eastAsia="宋体" w:cs="Times New Roman"/>
          <w:b/>
          <w:bCs/>
          <w:sz w:val="21"/>
          <w:szCs w:val="21"/>
          <w:lang w:val="en-US" w:eastAsia="zh-CN" w:bidi="ar-SA"/>
        </w:rPr>
        <w:t>1</w:t>
      </w:r>
      <w:r>
        <w:rPr>
          <w:rFonts w:hint="eastAsia" w:ascii="宋体" w:hAnsi="宋体" w:cs="Times New Roman"/>
          <w:b/>
          <w:bCs/>
          <w:sz w:val="21"/>
          <w:szCs w:val="21"/>
          <w:lang w:val="en-US" w:eastAsia="zh-CN" w:bidi="ar-SA"/>
        </w:rPr>
        <w:t>9</w:t>
      </w:r>
      <w:r>
        <w:rPr>
          <w:rFonts w:ascii="宋体" w:hAnsi="宋体" w:eastAsia="宋体" w:cs="Times New Roman"/>
          <w:b/>
          <w:bCs/>
          <w:sz w:val="21"/>
          <w:szCs w:val="21"/>
          <w:lang w:val="en-US" w:eastAsia="zh-CN" w:bidi="ar-SA"/>
        </w:rPr>
        <w:t>.</w:t>
      </w:r>
      <w:r>
        <w:rPr>
          <w:rFonts w:ascii="宋体" w:hAnsi="宋体"/>
          <w:b/>
          <w:bCs/>
          <w:highlight w:val="none"/>
        </w:rPr>
        <w:t>比选申请截止期</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9</w:t>
      </w:r>
      <w:r>
        <w:rPr>
          <w:rFonts w:hint="eastAsia" w:ascii="宋体" w:hAnsi="宋体"/>
          <w:highlight w:val="none"/>
        </w:rPr>
        <w:t xml:space="preserve">.1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b w:val="0"/>
          <w:bCs/>
          <w:highlight w:val="none"/>
        </w:rPr>
        <w:t>1</w:t>
      </w:r>
      <w:r>
        <w:rPr>
          <w:rFonts w:hint="eastAsia" w:ascii="宋体" w:hAnsi="宋体"/>
          <w:b w:val="0"/>
          <w:bCs/>
          <w:highlight w:val="none"/>
          <w:lang w:val="en-US" w:eastAsia="zh-CN"/>
        </w:rPr>
        <w:t>9</w:t>
      </w:r>
      <w:r>
        <w:rPr>
          <w:rFonts w:hint="eastAsia" w:ascii="宋体" w:hAnsi="宋体"/>
          <w:b w:val="0"/>
          <w:bCs/>
          <w:highlight w:val="none"/>
        </w:rPr>
        <w:t xml:space="preserve">.2 </w:t>
      </w:r>
      <w:r>
        <w:rPr>
          <w:rFonts w:ascii="宋体" w:hAnsi="宋体"/>
          <w:b w:val="0"/>
          <w:bCs/>
          <w:highlight w:val="none"/>
        </w:rPr>
        <w:t>比选申请人在递交比选申请文件时必须签到，否则</w:t>
      </w:r>
      <w:r>
        <w:rPr>
          <w:rFonts w:hint="eastAsia" w:ascii="宋体" w:hAnsi="宋体"/>
          <w:b w:val="0"/>
          <w:bCs/>
          <w:highlight w:val="none"/>
          <w:lang w:val="en-US" w:eastAsia="zh-CN"/>
        </w:rPr>
        <w:t>拒收文件</w:t>
      </w:r>
      <w:r>
        <w:rPr>
          <w:rFonts w:ascii="宋体" w:hAnsi="宋体"/>
          <w:b w:val="0"/>
          <w:bCs/>
          <w:highlight w:val="none"/>
        </w:rPr>
        <w:t>。</w:t>
      </w:r>
      <w:r>
        <w:rPr>
          <w:rFonts w:hint="eastAsia" w:ascii="宋体" w:hAnsi="宋体"/>
          <w:bCs/>
          <w:highlight w:val="none"/>
        </w:rPr>
        <w:t>递交比选申请文件的时间晚于比选申请截止时间时，比选申请文件将</w:t>
      </w:r>
      <w:r>
        <w:rPr>
          <w:rFonts w:hint="eastAsia" w:ascii="宋体" w:hAnsi="宋体"/>
          <w:bCs/>
          <w:highlight w:val="none"/>
          <w:lang w:val="en-US" w:eastAsia="zh-CN"/>
        </w:rPr>
        <w:t>拒收。</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9</w:t>
      </w:r>
      <w:r>
        <w:rPr>
          <w:rFonts w:hint="eastAsia" w:ascii="宋体" w:hAnsi="宋体"/>
          <w:highlight w:val="none"/>
        </w:rPr>
        <w:t xml:space="preserve">.3 </w:t>
      </w:r>
      <w:r>
        <w:rPr>
          <w:rFonts w:ascii="宋体" w:hAnsi="宋体"/>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659" w:name="_Toc385427817"/>
      <w:bookmarkStart w:id="660" w:name="_Toc25750612"/>
      <w:bookmarkStart w:id="661" w:name="_Toc383891192"/>
      <w:bookmarkStart w:id="662" w:name="_Toc390098443"/>
      <w:bookmarkStart w:id="663" w:name="_Toc12682"/>
      <w:bookmarkStart w:id="664" w:name="_Toc14411"/>
      <w:bookmarkStart w:id="665" w:name="_Toc25427"/>
      <w:bookmarkStart w:id="666" w:name="_Toc31033"/>
      <w:bookmarkStart w:id="667" w:name="_Toc29208"/>
      <w:bookmarkStart w:id="668" w:name="_Toc24030"/>
      <w:bookmarkStart w:id="669" w:name="_Toc21796"/>
      <w:bookmarkStart w:id="670" w:name="_Toc375039088"/>
      <w:bookmarkStart w:id="671" w:name="_Toc4605"/>
      <w:bookmarkStart w:id="672" w:name="_Toc243"/>
      <w:bookmarkStart w:id="673" w:name="_Toc23449"/>
      <w:bookmarkStart w:id="674" w:name="_Toc9706"/>
      <w:bookmarkStart w:id="675" w:name="_Toc492478742"/>
      <w:bookmarkStart w:id="676" w:name="_Toc26282"/>
      <w:bookmarkStart w:id="677" w:name="_Toc8636"/>
      <w:bookmarkStart w:id="678" w:name="_Toc27195"/>
      <w:bookmarkStart w:id="679" w:name="_Toc28452"/>
      <w:bookmarkStart w:id="680" w:name="_Toc12983527"/>
      <w:bookmarkStart w:id="681" w:name="_Toc17797"/>
      <w:bookmarkStart w:id="682" w:name="_Toc14522"/>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0</w:t>
      </w:r>
      <w:r>
        <w:rPr>
          <w:rFonts w:ascii="宋体" w:hAnsi="宋体" w:eastAsia="宋体" w:cs="Times New Roman"/>
          <w:b/>
          <w:bCs/>
          <w:sz w:val="21"/>
          <w:szCs w:val="21"/>
          <w:lang w:val="en-US" w:eastAsia="zh-CN" w:bidi="ar-SA"/>
        </w:rPr>
        <w:t>.</w:t>
      </w:r>
      <w:r>
        <w:rPr>
          <w:rFonts w:ascii="宋体" w:hAnsi="宋体"/>
          <w:b/>
          <w:bCs/>
          <w:highlight w:val="none"/>
        </w:rPr>
        <w:t>比选申请文件的修改和撤回</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 xml:space="preserve">.1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 xml:space="preserve">.2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 xml:space="preserve">.3 </w:t>
      </w:r>
      <w:r>
        <w:rPr>
          <w:rFonts w:ascii="宋体" w:hAnsi="宋体"/>
          <w:highlight w:val="none"/>
        </w:rPr>
        <w:t>比选申请截止时间以后比选申请人不得修改比选申请文件。</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 xml:space="preserve">.4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shd w:val="clear"/>
        <w:spacing w:after="0" w:afterAutospacing="0"/>
        <w:ind w:left="0" w:right="0" w:firstLine="482" w:firstLineChars="200"/>
        <w:outlineLvl w:val="1"/>
        <w:rPr>
          <w:rFonts w:ascii="宋体" w:hAnsi="宋体"/>
          <w:b/>
          <w:bCs/>
          <w:sz w:val="24"/>
          <w:szCs w:val="24"/>
          <w:highlight w:val="none"/>
        </w:rPr>
      </w:pPr>
      <w:bookmarkStart w:id="683" w:name="_Toc5592"/>
      <w:bookmarkStart w:id="684" w:name="_Toc22587"/>
      <w:bookmarkStart w:id="685" w:name="_Toc492478743"/>
      <w:bookmarkStart w:id="686" w:name="_Toc29264"/>
      <w:bookmarkStart w:id="687" w:name="_Toc385427818"/>
      <w:bookmarkStart w:id="688" w:name="_Toc3006"/>
      <w:bookmarkStart w:id="689" w:name="_Toc9549"/>
      <w:bookmarkStart w:id="690" w:name="_Toc2306"/>
      <w:bookmarkStart w:id="691" w:name="_Toc10325"/>
      <w:bookmarkStart w:id="692" w:name="_Toc25433"/>
      <w:bookmarkStart w:id="693" w:name="_Toc12182"/>
      <w:bookmarkStart w:id="694" w:name="_Toc24485"/>
      <w:bookmarkStart w:id="695" w:name="_Toc375039089"/>
      <w:bookmarkStart w:id="696" w:name="_Toc18076"/>
      <w:bookmarkStart w:id="697" w:name="_Toc383891193"/>
      <w:bookmarkStart w:id="698" w:name="_Toc11529"/>
      <w:bookmarkStart w:id="699" w:name="_Toc31978"/>
      <w:bookmarkStart w:id="700" w:name="_Toc9728"/>
      <w:bookmarkStart w:id="701" w:name="_Toc28694"/>
      <w:bookmarkStart w:id="702" w:name="_Toc12983528"/>
      <w:bookmarkStart w:id="703" w:name="_Toc390098444"/>
      <w:bookmarkStart w:id="704" w:name="_Toc4291"/>
      <w:bookmarkStart w:id="705" w:name="_Toc16856"/>
      <w:bookmarkStart w:id="706" w:name="_Toc30298"/>
      <w:bookmarkStart w:id="707" w:name="_Toc7848"/>
      <w:bookmarkStart w:id="708" w:name="_Toc9539"/>
      <w:bookmarkStart w:id="709" w:name="_Toc25039"/>
      <w:bookmarkStart w:id="710" w:name="_Toc14285"/>
      <w:bookmarkStart w:id="711" w:name="_Toc20054"/>
      <w:bookmarkStart w:id="712" w:name="_Toc13276"/>
      <w:r>
        <w:rPr>
          <w:rFonts w:hint="eastAsia" w:ascii="宋体" w:hAnsi="宋体"/>
          <w:b/>
          <w:bCs/>
          <w:sz w:val="24"/>
          <w:szCs w:val="24"/>
          <w:highlight w:val="none"/>
        </w:rPr>
        <w:t>五、</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ascii="宋体" w:hAnsi="宋体"/>
          <w:b/>
          <w:bCs/>
          <w:sz w:val="24"/>
          <w:szCs w:val="24"/>
          <w:highlight w:val="none"/>
        </w:rPr>
        <w:t>比选申请文件递交与评审</w:t>
      </w:r>
      <w:bookmarkEnd w:id="706"/>
      <w:bookmarkEnd w:id="707"/>
      <w:bookmarkEnd w:id="708"/>
      <w:bookmarkEnd w:id="709"/>
      <w:bookmarkEnd w:id="710"/>
      <w:bookmarkEnd w:id="711"/>
      <w:bookmarkEnd w:id="712"/>
    </w:p>
    <w:p>
      <w:pPr>
        <w:shd w:val="clear"/>
        <w:spacing w:before="0" w:after="0" w:afterAutospacing="0"/>
        <w:ind w:left="0" w:right="0" w:firstLine="422" w:firstLineChars="200"/>
        <w:outlineLvl w:val="2"/>
        <w:rPr>
          <w:rFonts w:ascii="宋体" w:hAnsi="宋体"/>
          <w:b/>
          <w:bCs/>
          <w:highlight w:val="none"/>
        </w:rPr>
      </w:pPr>
      <w:bookmarkStart w:id="713" w:name="_Toc18919"/>
      <w:bookmarkStart w:id="714" w:name="_Toc4638"/>
      <w:bookmarkStart w:id="715" w:name="_Toc390098445"/>
      <w:bookmarkStart w:id="716" w:name="_Toc25116"/>
      <w:bookmarkStart w:id="717" w:name="_Toc10292"/>
      <w:bookmarkStart w:id="718" w:name="_Toc895"/>
      <w:bookmarkStart w:id="719" w:name="_Toc24196"/>
      <w:bookmarkStart w:id="720" w:name="_Toc23705"/>
      <w:bookmarkStart w:id="721" w:name="_Toc6839"/>
      <w:bookmarkStart w:id="722" w:name="_Toc5182"/>
      <w:bookmarkStart w:id="723" w:name="_Toc9309"/>
      <w:bookmarkStart w:id="724" w:name="_Toc385427819"/>
      <w:bookmarkStart w:id="725" w:name="_Toc10883"/>
      <w:bookmarkStart w:id="726" w:name="_Toc492478744"/>
      <w:bookmarkStart w:id="727" w:name="_Toc6377"/>
      <w:bookmarkStart w:id="728" w:name="_Toc4365"/>
      <w:bookmarkStart w:id="729" w:name="_Toc4825"/>
      <w:bookmarkStart w:id="730" w:name="_Toc375039090"/>
      <w:bookmarkStart w:id="731" w:name="_Toc383891194"/>
      <w:bookmarkStart w:id="732" w:name="_Toc12983529"/>
      <w:bookmarkStart w:id="733" w:name="_Toc6974"/>
      <w:bookmarkStart w:id="734" w:name="_Toc4674"/>
      <w:bookmarkStart w:id="735" w:name="_Toc9264"/>
      <w:bookmarkStart w:id="736" w:name="_Toc25750614"/>
      <w:r>
        <w:rPr>
          <w:rFonts w:hint="eastAsia" w:ascii="宋体" w:hAnsi="宋体"/>
          <w:b/>
          <w:bCs/>
          <w:highlight w:val="none"/>
        </w:rPr>
        <w:t>2</w:t>
      </w:r>
      <w:r>
        <w:rPr>
          <w:rFonts w:hint="eastAsia" w:ascii="宋体" w:hAnsi="宋体"/>
          <w:b/>
          <w:bCs/>
          <w:highlight w:val="none"/>
          <w:lang w:val="en-US" w:eastAsia="zh-CN"/>
        </w:rPr>
        <w:t>1</w:t>
      </w:r>
      <w:r>
        <w:rPr>
          <w:rFonts w:hint="eastAsia" w:ascii="宋体" w:hAnsi="宋体"/>
          <w:b/>
          <w:bCs/>
          <w:highlight w:val="none"/>
        </w:rPr>
        <w:t xml:space="preserve">.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Fonts w:hint="eastAsia" w:ascii="宋体" w:hAnsi="宋体"/>
          <w:b/>
          <w:bCs/>
          <w:highlight w:val="none"/>
        </w:rPr>
        <w:t>比选申请文件递交</w:t>
      </w:r>
      <w:bookmarkEnd w:id="736"/>
    </w:p>
    <w:p>
      <w:pPr>
        <w:shd w:val="clea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1</w:t>
      </w:r>
      <w:r>
        <w:rPr>
          <w:rFonts w:hint="eastAsia" w:ascii="宋体" w:hAnsi="宋体"/>
          <w:highlight w:val="none"/>
        </w:rPr>
        <w:t>.1 比选人将按本须知</w:t>
      </w:r>
      <w:r>
        <w:rPr>
          <w:rFonts w:ascii="宋体" w:hAnsi="宋体"/>
          <w:highlight w:val="none"/>
        </w:rPr>
        <w:t>1</w:t>
      </w:r>
      <w:r>
        <w:rPr>
          <w:rFonts w:hint="eastAsia" w:ascii="宋体" w:hAnsi="宋体"/>
          <w:highlight w:val="none"/>
          <w:lang w:val="en-US" w:eastAsia="zh-CN"/>
        </w:rPr>
        <w:t>9</w:t>
      </w:r>
      <w:r>
        <w:rPr>
          <w:rFonts w:ascii="宋体" w:hAnsi="宋体"/>
          <w:highlight w:val="none"/>
        </w:rPr>
        <w:t>.1</w:t>
      </w:r>
      <w:r>
        <w:rPr>
          <w:rFonts w:hint="eastAsia" w:ascii="宋体" w:hAnsi="宋体"/>
          <w:highlight w:val="none"/>
        </w:rPr>
        <w:t>条项规定的时间和地址，对所有按时递交并已签收达三个或以上比选申请人的比选申请文件进行核查。</w:t>
      </w:r>
    </w:p>
    <w:p>
      <w:pPr>
        <w:shd w:val="clea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hd w:val="clear"/>
        <w:snapToGrid w:val="0"/>
        <w:spacing w:before="0" w:after="0" w:afterAutospacing="0"/>
        <w:ind w:left="0" w:right="0" w:firstLine="420" w:firstLineChars="200"/>
        <w:jc w:val="left"/>
        <w:rPr>
          <w:rFonts w:ascii="宋体" w:hAnsi="宋体"/>
          <w:b w:val="0"/>
          <w:bCs/>
          <w:highlight w:val="none"/>
        </w:rPr>
      </w:pPr>
      <w:r>
        <w:rPr>
          <w:rFonts w:ascii="宋体" w:hAnsi="宋体"/>
          <w:b w:val="0"/>
          <w:bCs/>
          <w:highlight w:val="none"/>
        </w:rPr>
        <w:t>2</w:t>
      </w:r>
      <w:r>
        <w:rPr>
          <w:rFonts w:hint="eastAsia" w:ascii="宋体" w:hAnsi="宋体"/>
          <w:b w:val="0"/>
          <w:bCs/>
          <w:highlight w:val="none"/>
          <w:lang w:val="en-US" w:eastAsia="zh-CN"/>
        </w:rPr>
        <w:t>1</w:t>
      </w:r>
      <w:r>
        <w:rPr>
          <w:rFonts w:ascii="宋体" w:hAnsi="宋体"/>
          <w:b w:val="0"/>
          <w:bCs/>
          <w:highlight w:val="none"/>
        </w:rPr>
        <w:t>.1.1逾期送达的或者未送达指定地点的比选申请文件</w:t>
      </w:r>
      <w:r>
        <w:rPr>
          <w:rFonts w:hint="eastAsia" w:ascii="宋体" w:hAnsi="宋体"/>
          <w:b w:val="0"/>
          <w:bCs/>
          <w:highlight w:val="none"/>
        </w:rPr>
        <w:t>；</w:t>
      </w:r>
    </w:p>
    <w:p>
      <w:pPr>
        <w:shd w:val="clear"/>
        <w:snapToGrid w:val="0"/>
        <w:spacing w:before="0" w:after="0" w:afterAutospacing="0"/>
        <w:ind w:left="0" w:right="0" w:firstLine="420" w:firstLineChars="200"/>
        <w:jc w:val="left"/>
        <w:rPr>
          <w:rFonts w:ascii="宋体" w:hAnsi="宋体"/>
          <w:b w:val="0"/>
          <w:bCs/>
          <w:highlight w:val="none"/>
        </w:rPr>
      </w:pPr>
      <w:r>
        <w:rPr>
          <w:rFonts w:ascii="宋体" w:hAnsi="宋体"/>
          <w:b w:val="0"/>
          <w:bCs/>
          <w:highlight w:val="none"/>
        </w:rPr>
        <w:t>2</w:t>
      </w:r>
      <w:r>
        <w:rPr>
          <w:rFonts w:hint="eastAsia" w:ascii="宋体" w:hAnsi="宋体"/>
          <w:b w:val="0"/>
          <w:bCs/>
          <w:highlight w:val="none"/>
          <w:lang w:val="en-US" w:eastAsia="zh-CN"/>
        </w:rPr>
        <w:t>1</w:t>
      </w:r>
      <w:r>
        <w:rPr>
          <w:rFonts w:ascii="宋体" w:hAnsi="宋体"/>
          <w:b w:val="0"/>
          <w:bCs/>
          <w:highlight w:val="none"/>
        </w:rPr>
        <w:t>.1.2</w:t>
      </w:r>
      <w:r>
        <w:rPr>
          <w:rFonts w:hint="eastAsia" w:ascii="宋体" w:hAnsi="宋体"/>
          <w:b w:val="0"/>
          <w:bCs/>
          <w:highlight w:val="none"/>
        </w:rPr>
        <w:t>比选申请文件外包封</w:t>
      </w:r>
      <w:r>
        <w:rPr>
          <w:rFonts w:ascii="宋体" w:hAnsi="宋体"/>
          <w:b w:val="0"/>
          <w:bCs/>
          <w:highlight w:val="none"/>
        </w:rPr>
        <w:t>未按比选文件要求密封的</w:t>
      </w:r>
      <w:r>
        <w:rPr>
          <w:rFonts w:hint="eastAsia" w:ascii="宋体" w:hAnsi="宋体"/>
          <w:b w:val="0"/>
          <w:bCs/>
          <w:highlight w:val="none"/>
        </w:rPr>
        <w:t>。</w:t>
      </w:r>
    </w:p>
    <w:p>
      <w:pPr>
        <w:shd w:val="clear"/>
        <w:tabs>
          <w:tab w:val="left" w:pos="945"/>
          <w:tab w:val="left" w:pos="1134"/>
          <w:tab w:val="left" w:pos="8364"/>
        </w:tabs>
        <w:spacing w:before="0" w:after="0" w:afterAutospacing="0"/>
        <w:ind w:left="0" w:right="0" w:firstLine="420" w:firstLineChars="200"/>
        <w:rPr>
          <w:rFonts w:ascii="宋体" w:hAnsi="宋体"/>
          <w:b w:val="0"/>
          <w:bCs/>
          <w:highlight w:val="none"/>
        </w:rPr>
      </w:pPr>
      <w:r>
        <w:rPr>
          <w:rFonts w:hint="eastAsia" w:ascii="宋体" w:hAnsi="宋体"/>
          <w:b w:val="0"/>
          <w:bCs/>
          <w:highlight w:val="none"/>
        </w:rPr>
        <w:t>2</w:t>
      </w:r>
      <w:r>
        <w:rPr>
          <w:rFonts w:hint="eastAsia" w:ascii="宋体" w:hAnsi="宋体"/>
          <w:b w:val="0"/>
          <w:bCs/>
          <w:highlight w:val="none"/>
          <w:lang w:val="en-US" w:eastAsia="zh-CN"/>
        </w:rPr>
        <w:t>1</w:t>
      </w:r>
      <w:r>
        <w:rPr>
          <w:rFonts w:hint="eastAsia" w:ascii="宋体" w:hAnsi="宋体"/>
          <w:b w:val="0"/>
          <w:bCs/>
          <w:highlight w:val="none"/>
        </w:rPr>
        <w:t xml:space="preserve">.2 </w:t>
      </w:r>
      <w:r>
        <w:rPr>
          <w:rFonts w:ascii="宋体" w:hAnsi="宋体"/>
          <w:b w:val="0"/>
          <w:bCs/>
          <w:highlight w:val="none"/>
        </w:rPr>
        <w:t>比选申请人的法定代表人或其授权代表（以下统称</w:t>
      </w:r>
      <w:r>
        <w:rPr>
          <w:rFonts w:hint="eastAsia" w:ascii="宋体" w:hAnsi="宋体"/>
          <w:b w:val="0"/>
          <w:bCs/>
          <w:highlight w:val="none"/>
        </w:rPr>
        <w:t>“</w:t>
      </w:r>
      <w:r>
        <w:rPr>
          <w:rFonts w:ascii="宋体" w:hAnsi="宋体"/>
          <w:b w:val="0"/>
          <w:bCs/>
          <w:highlight w:val="none"/>
        </w:rPr>
        <w:t>比选申请人代表</w:t>
      </w:r>
      <w:r>
        <w:rPr>
          <w:rFonts w:hint="eastAsia" w:ascii="宋体" w:hAnsi="宋体"/>
          <w:b w:val="0"/>
          <w:bCs/>
          <w:highlight w:val="none"/>
        </w:rPr>
        <w:t>”</w:t>
      </w:r>
      <w:r>
        <w:rPr>
          <w:rFonts w:ascii="宋体" w:hAnsi="宋体"/>
          <w:b w:val="0"/>
          <w:bCs/>
          <w:highlight w:val="none"/>
        </w:rPr>
        <w:t>）必须在出示本人有效身份证（</w:t>
      </w:r>
      <w:r>
        <w:rPr>
          <w:rFonts w:hint="eastAsia" w:ascii="宋体" w:hAnsi="宋体"/>
          <w:b w:val="0"/>
          <w:bCs/>
          <w:highlight w:val="none"/>
        </w:rPr>
        <w:t>限中国公民居民身份证、外籍有效护照</w:t>
      </w:r>
      <w:r>
        <w:rPr>
          <w:rFonts w:ascii="宋体" w:hAnsi="宋体"/>
          <w:b w:val="0"/>
          <w:bCs/>
          <w:highlight w:val="none"/>
        </w:rPr>
        <w:t>，下同）的原件，比选申请人授权代表还必须同时出示比选申请授权书原件，以证明授权代表的身份和被授权范围，并由比选人验证确认。</w:t>
      </w:r>
      <w:bookmarkStart w:id="737" w:name="_Toc251051540"/>
      <w:r>
        <w:rPr>
          <w:rFonts w:ascii="宋体" w:hAnsi="宋体"/>
          <w:b w:val="0"/>
          <w:bCs/>
          <w:highlight w:val="none"/>
        </w:rPr>
        <w:t>否则作</w:t>
      </w:r>
      <w:r>
        <w:rPr>
          <w:rFonts w:hint="eastAsia" w:ascii="宋体" w:hAnsi="宋体"/>
          <w:b w:val="0"/>
          <w:bCs/>
          <w:highlight w:val="none"/>
          <w:lang w:val="en-US" w:eastAsia="zh-CN"/>
        </w:rPr>
        <w:t>拒收</w:t>
      </w:r>
      <w:r>
        <w:rPr>
          <w:rFonts w:hint="eastAsia" w:ascii="宋体" w:hAnsi="宋体"/>
          <w:b w:val="0"/>
          <w:bCs/>
          <w:highlight w:val="none"/>
        </w:rPr>
        <w:t>比选文件处理</w:t>
      </w:r>
      <w:bookmarkEnd w:id="737"/>
      <w:r>
        <w:rPr>
          <w:rFonts w:hint="eastAsia" w:ascii="宋体" w:hAnsi="宋体"/>
          <w:b w:val="0"/>
          <w:bCs/>
          <w:highlight w:val="none"/>
        </w:rPr>
        <w:t>。</w:t>
      </w:r>
    </w:p>
    <w:p>
      <w:pPr>
        <w:shd w:val="clear"/>
        <w:spacing w:before="0" w:after="0" w:afterAutospacing="0"/>
        <w:ind w:left="0" w:right="0" w:firstLine="422" w:firstLineChars="200"/>
        <w:outlineLvl w:val="2"/>
        <w:rPr>
          <w:rFonts w:ascii="宋体" w:hAnsi="宋体"/>
          <w:b/>
          <w:bCs/>
          <w:highlight w:val="none"/>
        </w:rPr>
      </w:pPr>
      <w:bookmarkStart w:id="738" w:name="_Toc375039091"/>
      <w:bookmarkStart w:id="739" w:name="_Toc390098446"/>
      <w:bookmarkStart w:id="740" w:name="_Toc383891195"/>
      <w:bookmarkStart w:id="741" w:name="_Toc385427820"/>
      <w:bookmarkStart w:id="742" w:name="_Toc16601"/>
      <w:bookmarkStart w:id="743" w:name="_Toc5267"/>
      <w:bookmarkStart w:id="744" w:name="_Toc24687"/>
      <w:bookmarkStart w:id="745" w:name="_Toc12983530"/>
      <w:bookmarkStart w:id="746" w:name="_Toc15466"/>
      <w:bookmarkStart w:id="747" w:name="_Toc25750615"/>
      <w:bookmarkStart w:id="748" w:name="_Toc13202"/>
      <w:bookmarkStart w:id="749" w:name="_Toc11263"/>
      <w:bookmarkStart w:id="750" w:name="_Toc27636"/>
      <w:bookmarkStart w:id="751" w:name="_Toc21819"/>
      <w:bookmarkStart w:id="752" w:name="_Toc11013"/>
      <w:bookmarkStart w:id="753" w:name="_Toc17785"/>
      <w:bookmarkStart w:id="754" w:name="_Toc16068"/>
      <w:bookmarkStart w:id="755" w:name="_Toc9391"/>
      <w:bookmarkStart w:id="756" w:name="_Toc25270"/>
      <w:bookmarkStart w:id="757" w:name="_Toc23699"/>
      <w:bookmarkStart w:id="758" w:name="_Toc24630"/>
      <w:bookmarkStart w:id="759" w:name="_Toc1920"/>
      <w:bookmarkStart w:id="760" w:name="_Toc492478745"/>
      <w:bookmarkStart w:id="761" w:name="_Toc30671"/>
      <w:r>
        <w:rPr>
          <w:rFonts w:hint="eastAsia" w:ascii="宋体" w:hAnsi="宋体"/>
          <w:b/>
          <w:bCs/>
          <w:highlight w:val="none"/>
        </w:rPr>
        <w:t>2</w:t>
      </w:r>
      <w:r>
        <w:rPr>
          <w:rFonts w:hint="eastAsia" w:ascii="宋体" w:hAnsi="宋体"/>
          <w:b/>
          <w:bCs/>
          <w:highlight w:val="none"/>
          <w:lang w:val="en-US" w:eastAsia="zh-CN"/>
        </w:rPr>
        <w:t>2</w:t>
      </w:r>
      <w:r>
        <w:rPr>
          <w:rFonts w:hint="eastAsia" w:ascii="宋体" w:hAnsi="宋体"/>
          <w:b/>
          <w:bCs/>
          <w:highlight w:val="none"/>
        </w:rPr>
        <w:t>.</w:t>
      </w:r>
      <w:r>
        <w:rPr>
          <w:rFonts w:ascii="宋体" w:hAnsi="宋体"/>
          <w:b/>
          <w:bCs/>
          <w:highlight w:val="none"/>
        </w:rPr>
        <w:t>评审</w:t>
      </w:r>
      <w:bookmarkEnd w:id="738"/>
      <w:bookmarkEnd w:id="739"/>
      <w:bookmarkEnd w:id="740"/>
      <w:bookmarkEnd w:id="741"/>
      <w:r>
        <w:rPr>
          <w:rFonts w:ascii="宋体" w:hAnsi="宋体"/>
          <w:b/>
          <w:bCs/>
          <w:highlight w:val="none"/>
        </w:rPr>
        <w:t>程序</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shd w:val="clear"/>
        <w:tabs>
          <w:tab w:val="left" w:pos="8364"/>
        </w:tabs>
        <w:spacing w:before="0" w:after="0" w:afterAutospacing="0"/>
        <w:ind w:left="0" w:right="0" w:firstLine="420" w:firstLineChars="200"/>
        <w:rPr>
          <w:rFonts w:ascii="宋体" w:hAnsi="宋体"/>
          <w:b/>
          <w:highlight w:val="none"/>
        </w:rPr>
      </w:pPr>
      <w:bookmarkStart w:id="762" w:name="_Toc375039092"/>
      <w:r>
        <w:rPr>
          <w:rFonts w:hint="eastAsia" w:ascii="宋体" w:hAnsi="宋体"/>
          <w:highlight w:val="none"/>
        </w:rPr>
        <w:t>详见第六章《评分办法》。</w:t>
      </w:r>
      <w:bookmarkEnd w:id="762"/>
    </w:p>
    <w:p>
      <w:pPr>
        <w:numPr>
          <w:ilvl w:val="0"/>
          <w:numId w:val="0"/>
        </w:numPr>
        <w:shd w:val="clear"/>
        <w:spacing w:before="0" w:after="0" w:afterAutospacing="0"/>
        <w:ind w:left="0" w:right="0" w:firstLine="422" w:firstLineChars="200"/>
        <w:outlineLvl w:val="2"/>
        <w:rPr>
          <w:rFonts w:ascii="宋体" w:hAnsi="宋体"/>
          <w:b/>
          <w:bCs/>
          <w:highlight w:val="none"/>
        </w:rPr>
      </w:pPr>
      <w:bookmarkStart w:id="763" w:name="_Toc8295"/>
      <w:bookmarkStart w:id="764" w:name="_Toc25750616"/>
      <w:bookmarkStart w:id="765" w:name="_Toc18803"/>
      <w:bookmarkStart w:id="766" w:name="_Toc14719"/>
      <w:bookmarkStart w:id="767" w:name="_Toc26137"/>
      <w:bookmarkStart w:id="768" w:name="_Toc17980"/>
      <w:bookmarkStart w:id="769" w:name="_Toc13421"/>
      <w:bookmarkStart w:id="770" w:name="_Toc24755"/>
      <w:bookmarkStart w:id="771" w:name="_Toc27570"/>
      <w:bookmarkStart w:id="772" w:name="_Toc390098447"/>
      <w:bookmarkStart w:id="773" w:name="_Toc15"/>
      <w:bookmarkStart w:id="774" w:name="_Toc375039093"/>
      <w:bookmarkStart w:id="775" w:name="_Toc18063"/>
      <w:bookmarkStart w:id="776" w:name="_Toc11716"/>
      <w:bookmarkStart w:id="777" w:name="_Toc833"/>
      <w:bookmarkStart w:id="778" w:name="_Toc29929"/>
      <w:bookmarkStart w:id="779" w:name="_Toc12983531"/>
      <w:bookmarkStart w:id="780" w:name="_Toc383891196"/>
      <w:bookmarkStart w:id="781" w:name="_Toc492478746"/>
      <w:bookmarkStart w:id="782" w:name="_Toc5386"/>
      <w:bookmarkStart w:id="783" w:name="_Toc385427821"/>
      <w:bookmarkStart w:id="784" w:name="_Toc1456"/>
      <w:bookmarkStart w:id="785" w:name="_Toc16072"/>
      <w:bookmarkStart w:id="786" w:name="_Toc25047"/>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3</w:t>
      </w:r>
      <w:r>
        <w:rPr>
          <w:rFonts w:ascii="宋体" w:hAnsi="宋体" w:eastAsia="宋体" w:cs="Times New Roman"/>
          <w:b/>
          <w:bCs/>
          <w:sz w:val="21"/>
          <w:szCs w:val="21"/>
          <w:lang w:val="en-US" w:eastAsia="zh-CN" w:bidi="ar-SA"/>
        </w:rPr>
        <w:t>.</w:t>
      </w:r>
      <w:r>
        <w:rPr>
          <w:rFonts w:ascii="宋体" w:hAnsi="宋体"/>
          <w:b/>
          <w:bCs/>
          <w:highlight w:val="none"/>
        </w:rPr>
        <w:t>与比选人和评审委员会的接触</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highlight w:val="none"/>
        </w:rPr>
        <w:t xml:space="preserve">.1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highlight w:val="none"/>
        </w:rPr>
        <w:t xml:space="preserve">.2 </w:t>
      </w:r>
      <w:r>
        <w:rPr>
          <w:rFonts w:ascii="宋体" w:hAnsi="宋体" w:cs="Arial"/>
          <w:highlight w:val="none"/>
        </w:rPr>
        <w:t>比选申请人试图对评审委员会的评审、比较或授予合同的决定进行影响，都可能导致其比选申请文件被否决。</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highlight w:val="none"/>
        </w:rPr>
        <w:t xml:space="preserve">.3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highlight w:val="none"/>
        </w:rPr>
        <w:t xml:space="preserve">.4 </w:t>
      </w:r>
      <w:r>
        <w:rPr>
          <w:rFonts w:ascii="宋体" w:hAnsi="宋体" w:cs="Arial"/>
          <w:highlight w:val="none"/>
        </w:rPr>
        <w:t>有关比选申请文件的审查、澄清、评估和比较以及有关授予合同的意向的一切情况都不得透露给任一比选申请人。</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787" w:name="_Toc12555"/>
      <w:bookmarkStart w:id="788" w:name="_Toc9602"/>
      <w:bookmarkStart w:id="789" w:name="_Toc15988"/>
      <w:bookmarkStart w:id="790" w:name="_Toc390098448"/>
      <w:bookmarkStart w:id="791" w:name="_Toc9941"/>
      <w:bookmarkStart w:id="792" w:name="_Toc385427822"/>
      <w:bookmarkStart w:id="793" w:name="_Toc383891197"/>
      <w:bookmarkStart w:id="794" w:name="_Toc7858"/>
      <w:bookmarkStart w:id="795" w:name="_Toc12983532"/>
      <w:bookmarkStart w:id="796" w:name="_Toc16963"/>
      <w:bookmarkStart w:id="797" w:name="_Toc25734"/>
      <w:bookmarkStart w:id="798" w:name="_Toc29504"/>
      <w:bookmarkStart w:id="799" w:name="_Toc654"/>
      <w:bookmarkStart w:id="800" w:name="_Toc12909"/>
      <w:bookmarkStart w:id="801" w:name="_Toc12960"/>
      <w:bookmarkStart w:id="802" w:name="_Toc25750617"/>
      <w:bookmarkStart w:id="803" w:name="_Toc21167"/>
      <w:bookmarkStart w:id="804" w:name="_Toc19810"/>
      <w:bookmarkStart w:id="805" w:name="_Toc12671"/>
      <w:bookmarkStart w:id="806" w:name="_Toc18515"/>
      <w:bookmarkStart w:id="807" w:name="_Toc492478747"/>
      <w:bookmarkStart w:id="808" w:name="_Toc20523"/>
      <w:bookmarkStart w:id="809" w:name="_Toc30207"/>
      <w:bookmarkStart w:id="810" w:name="_Toc378514937"/>
      <w:bookmarkStart w:id="811" w:name="_Toc375039094"/>
      <w:bookmarkStart w:id="812" w:name="_Toc294723156"/>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4</w:t>
      </w:r>
      <w:r>
        <w:rPr>
          <w:rFonts w:ascii="宋体" w:hAnsi="宋体" w:eastAsia="宋体" w:cs="Times New Roman"/>
          <w:b/>
          <w:bCs/>
          <w:sz w:val="21"/>
          <w:szCs w:val="21"/>
          <w:lang w:val="en-US" w:eastAsia="zh-CN" w:bidi="ar-SA"/>
        </w:rPr>
        <w:t>.</w:t>
      </w:r>
      <w:r>
        <w:rPr>
          <w:rFonts w:hint="eastAsia" w:ascii="宋体" w:hAnsi="宋体"/>
          <w:b/>
          <w:bCs/>
          <w:highlight w:val="none"/>
        </w:rPr>
        <w:t>评审过程保密</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4</w:t>
      </w:r>
      <w:r>
        <w:rPr>
          <w:rFonts w:hint="eastAsia" w:ascii="宋体" w:hAnsi="宋体" w:cs="Arial"/>
          <w:highlight w:val="none"/>
        </w:rPr>
        <w:t>.1 递交比选文件后，直到宣布授予中选人且签订合同为止，凡属于审查、澄清、评价和比较比选申请的有关资料且与授予合同有关的信息，都不应向比选申请人或与该过程无关的其他人泄露。</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4</w:t>
      </w:r>
      <w:r>
        <w:rPr>
          <w:rFonts w:hint="eastAsia" w:ascii="宋体" w:hAnsi="宋体" w:cs="Arial"/>
          <w:highlight w:val="none"/>
        </w:rPr>
        <w:t>.2 比选申请人在比选申请文件的审查、澄清、评价和比较以及授予合同的过程中，对比选人和评审专家施加影响的任何行为，都将导致取消比选申请资格。</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813" w:name="_Toc6624"/>
      <w:bookmarkStart w:id="814" w:name="_Toc1983"/>
      <w:bookmarkStart w:id="815" w:name="_Toc25750618"/>
      <w:bookmarkStart w:id="816" w:name="_Toc13743"/>
      <w:bookmarkStart w:id="817" w:name="_Toc12983533"/>
      <w:bookmarkStart w:id="818" w:name="_Toc28701"/>
      <w:bookmarkStart w:id="819" w:name="_Toc8827"/>
      <w:bookmarkStart w:id="820" w:name="_Toc14860"/>
      <w:bookmarkStart w:id="821" w:name="_Toc14799"/>
      <w:bookmarkStart w:id="822" w:name="_Toc13768"/>
      <w:bookmarkStart w:id="823" w:name="_Toc385427823"/>
      <w:bookmarkStart w:id="824" w:name="_Toc22510"/>
      <w:bookmarkStart w:id="825" w:name="_Toc28843"/>
      <w:bookmarkStart w:id="826" w:name="_Toc27670"/>
      <w:bookmarkStart w:id="827" w:name="_Toc11077"/>
      <w:bookmarkStart w:id="828" w:name="_Toc23267"/>
      <w:bookmarkStart w:id="829" w:name="_Toc28898"/>
      <w:bookmarkStart w:id="830" w:name="_Toc24327"/>
      <w:bookmarkStart w:id="831" w:name="_Toc390098449"/>
      <w:bookmarkStart w:id="832" w:name="_Toc30429"/>
      <w:bookmarkStart w:id="833" w:name="_Toc5983"/>
      <w:bookmarkStart w:id="834" w:name="_Toc383891198"/>
      <w:bookmarkStart w:id="835" w:name="_Toc492478748"/>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5</w:t>
      </w:r>
      <w:r>
        <w:rPr>
          <w:rFonts w:ascii="宋体" w:hAnsi="宋体" w:eastAsia="宋体" w:cs="Times New Roman"/>
          <w:b/>
          <w:bCs/>
          <w:sz w:val="21"/>
          <w:szCs w:val="21"/>
          <w:lang w:val="en-US" w:eastAsia="zh-CN" w:bidi="ar-SA"/>
        </w:rPr>
        <w:t>.</w:t>
      </w:r>
      <w:r>
        <w:rPr>
          <w:rFonts w:hint="eastAsia" w:ascii="宋体" w:hAnsi="宋体"/>
          <w:b/>
          <w:bCs/>
          <w:highlight w:val="none"/>
        </w:rPr>
        <w:t>比选申请文件的澄清</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5</w:t>
      </w:r>
      <w:r>
        <w:rPr>
          <w:rFonts w:hint="eastAsia" w:ascii="宋体" w:hAnsi="宋体" w:cs="Arial"/>
          <w:highlight w:val="none"/>
        </w:rPr>
        <w:t>.1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836" w:name="_Toc22681"/>
      <w:bookmarkStart w:id="837" w:name="_Toc9040"/>
      <w:bookmarkStart w:id="838" w:name="_Toc5437"/>
      <w:bookmarkStart w:id="839" w:name="_Toc5926"/>
      <w:bookmarkStart w:id="840" w:name="_Toc1915"/>
      <w:bookmarkStart w:id="841" w:name="_Toc492478749"/>
      <w:bookmarkStart w:id="842" w:name="_Toc25750619"/>
      <w:bookmarkStart w:id="843" w:name="_Toc30017"/>
      <w:bookmarkStart w:id="844" w:name="_Toc4397"/>
      <w:bookmarkStart w:id="845" w:name="_Toc5607"/>
      <w:bookmarkStart w:id="846" w:name="_Toc12983534"/>
      <w:bookmarkStart w:id="847" w:name="_Toc26070"/>
      <w:bookmarkStart w:id="848" w:name="_Toc16884"/>
      <w:bookmarkStart w:id="849" w:name="_Toc20519"/>
      <w:bookmarkStart w:id="850" w:name="_Toc383891199"/>
      <w:bookmarkStart w:id="851" w:name="_Toc6908"/>
      <w:bookmarkStart w:id="852" w:name="_Toc18093"/>
      <w:bookmarkStart w:id="853" w:name="_Toc26318"/>
      <w:bookmarkStart w:id="854" w:name="_Toc28992"/>
      <w:bookmarkStart w:id="855" w:name="_Toc390098450"/>
      <w:bookmarkStart w:id="856" w:name="_Toc385427824"/>
      <w:bookmarkStart w:id="857" w:name="_Toc29146"/>
      <w:bookmarkStart w:id="858" w:name="_Toc12795"/>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6</w:t>
      </w:r>
      <w:r>
        <w:rPr>
          <w:rFonts w:ascii="宋体" w:hAnsi="宋体" w:eastAsia="宋体" w:cs="Times New Roman"/>
          <w:b/>
          <w:bCs/>
          <w:sz w:val="21"/>
          <w:szCs w:val="21"/>
          <w:lang w:val="en-US" w:eastAsia="zh-CN" w:bidi="ar-SA"/>
        </w:rPr>
        <w:t>.</w:t>
      </w:r>
      <w:r>
        <w:rPr>
          <w:rFonts w:hint="eastAsia" w:ascii="宋体" w:hAnsi="宋体"/>
          <w:b/>
          <w:bCs/>
          <w:highlight w:val="none"/>
        </w:rPr>
        <w:t>比选申请文件响应性的确定</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6</w:t>
      </w:r>
      <w:r>
        <w:rPr>
          <w:rFonts w:hint="eastAsia" w:ascii="宋体" w:hAnsi="宋体" w:cs="Arial"/>
          <w:highlight w:val="none"/>
        </w:rPr>
        <w:t>.1 在详细评审之前，评审委员会将首先审定每份比选申请文件是否在实质上响应了比选文件的要求和规定。</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6</w:t>
      </w:r>
      <w:r>
        <w:rPr>
          <w:rFonts w:hint="eastAsia" w:ascii="宋体" w:hAnsi="宋体" w:cs="Arial"/>
          <w:highlight w:val="none"/>
        </w:rPr>
        <w:t>.2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6</w:t>
      </w:r>
      <w:r>
        <w:rPr>
          <w:rFonts w:hint="eastAsia" w:ascii="宋体" w:hAnsi="宋体" w:cs="Arial"/>
          <w:highlight w:val="none"/>
        </w:rPr>
        <w:t>.3 如果比选申请文件实质上不响应比选文件的要求，比选人将予以拒绝，并且不允许比选申请人通过修正或撤销其不符要求的差异或保留使之成为具有响应性的比选申请。</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859" w:name="_Toc21468"/>
      <w:bookmarkStart w:id="860" w:name="_Toc17236"/>
      <w:bookmarkStart w:id="861" w:name="_Toc26239"/>
      <w:bookmarkStart w:id="862" w:name="_Toc20912"/>
      <w:bookmarkStart w:id="863" w:name="_Toc22063"/>
      <w:bookmarkStart w:id="864" w:name="_Toc23956"/>
      <w:bookmarkStart w:id="865" w:name="_Toc23999"/>
      <w:bookmarkStart w:id="866" w:name="_Toc492478750"/>
      <w:bookmarkStart w:id="867" w:name="_Toc390098451"/>
      <w:bookmarkStart w:id="868" w:name="_Toc12983535"/>
      <w:bookmarkStart w:id="869" w:name="_Toc22146"/>
      <w:bookmarkStart w:id="870" w:name="_Toc19477"/>
      <w:bookmarkStart w:id="871" w:name="_Toc29398"/>
      <w:bookmarkStart w:id="872" w:name="_Toc12167"/>
      <w:bookmarkStart w:id="873" w:name="_Toc23808"/>
      <w:bookmarkStart w:id="874" w:name="_Toc25750620"/>
      <w:bookmarkStart w:id="875" w:name="_Toc1027"/>
      <w:bookmarkStart w:id="876" w:name="_Toc20874"/>
      <w:bookmarkStart w:id="877" w:name="_Toc31646"/>
      <w:bookmarkStart w:id="878" w:name="_Toc15051"/>
      <w:bookmarkStart w:id="879" w:name="_Toc385427825"/>
      <w:bookmarkStart w:id="880" w:name="_Toc20810"/>
      <w:bookmarkStart w:id="881" w:name="_Toc383891200"/>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7</w:t>
      </w:r>
      <w:r>
        <w:rPr>
          <w:rFonts w:ascii="宋体" w:hAnsi="宋体" w:eastAsia="宋体" w:cs="Times New Roman"/>
          <w:b/>
          <w:bCs/>
          <w:sz w:val="21"/>
          <w:szCs w:val="21"/>
          <w:lang w:val="en-US" w:eastAsia="zh-CN" w:bidi="ar-SA"/>
        </w:rPr>
        <w:t>.</w:t>
      </w:r>
      <w:r>
        <w:rPr>
          <w:rFonts w:hint="eastAsia" w:ascii="宋体" w:hAnsi="宋体"/>
          <w:b/>
          <w:bCs/>
          <w:highlight w:val="none"/>
        </w:rPr>
        <w:t>比选申请文件计算错误的修正</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7</w:t>
      </w:r>
      <w:r>
        <w:rPr>
          <w:rFonts w:hint="eastAsia" w:ascii="宋体" w:hAnsi="宋体" w:cs="Arial"/>
          <w:highlight w:val="none"/>
        </w:rPr>
        <w:t>.1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7</w:t>
      </w:r>
      <w:r>
        <w:rPr>
          <w:rFonts w:hint="eastAsia" w:ascii="宋体" w:hAnsi="宋体" w:cs="Arial"/>
          <w:highlight w:val="none"/>
        </w:rPr>
        <w:t>.2 按上述修正错误的原则及方法修正后的总价经比选申请人书面确认后作为评审价，比选申请人不接受修正价格的，其比选申请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882" w:name="_Toc29276"/>
      <w:bookmarkStart w:id="883" w:name="_Toc20444"/>
      <w:bookmarkStart w:id="884" w:name="_Toc16418"/>
      <w:bookmarkStart w:id="885" w:name="_Toc23907"/>
      <w:bookmarkStart w:id="886" w:name="_Toc383891201"/>
      <w:bookmarkStart w:id="887" w:name="_Toc8959"/>
      <w:bookmarkStart w:id="888" w:name="_Toc20881"/>
      <w:bookmarkStart w:id="889" w:name="_Toc5319"/>
      <w:bookmarkStart w:id="890" w:name="_Toc25750621"/>
      <w:bookmarkStart w:id="891" w:name="_Toc22994"/>
      <w:bookmarkStart w:id="892" w:name="_Toc3258"/>
      <w:bookmarkStart w:id="893" w:name="_Toc24176"/>
      <w:bookmarkStart w:id="894" w:name="_Toc385427826"/>
      <w:bookmarkStart w:id="895" w:name="_Toc390098452"/>
      <w:bookmarkStart w:id="896" w:name="_Toc12983536"/>
      <w:bookmarkStart w:id="897" w:name="_Toc1004"/>
      <w:bookmarkStart w:id="898" w:name="_Toc19936"/>
      <w:bookmarkStart w:id="899" w:name="_Toc9737"/>
      <w:bookmarkStart w:id="900" w:name="_Toc9812"/>
      <w:bookmarkStart w:id="901" w:name="_Toc4958"/>
      <w:bookmarkStart w:id="902" w:name="_Toc492478751"/>
      <w:bookmarkStart w:id="903" w:name="_Toc20854"/>
      <w:bookmarkStart w:id="904" w:name="_Toc27112"/>
      <w:r>
        <w:rPr>
          <w:rFonts w:ascii="宋体" w:hAnsi="宋体" w:eastAsia="宋体" w:cs="Times New Roman"/>
          <w:b/>
          <w:bCs/>
          <w:sz w:val="21"/>
          <w:szCs w:val="21"/>
          <w:lang w:val="en-US" w:eastAsia="zh-CN" w:bidi="ar-SA"/>
        </w:rPr>
        <w:t>2</w:t>
      </w:r>
      <w:r>
        <w:rPr>
          <w:rFonts w:hint="eastAsia" w:ascii="宋体" w:hAnsi="宋体" w:cs="Times New Roman"/>
          <w:b/>
          <w:bCs/>
          <w:sz w:val="21"/>
          <w:szCs w:val="21"/>
          <w:lang w:val="en-US" w:eastAsia="zh-CN" w:bidi="ar-SA"/>
        </w:rPr>
        <w:t>8</w:t>
      </w:r>
      <w:r>
        <w:rPr>
          <w:rFonts w:ascii="宋体" w:hAnsi="宋体" w:eastAsia="宋体" w:cs="Times New Roman"/>
          <w:b/>
          <w:bCs/>
          <w:sz w:val="21"/>
          <w:szCs w:val="21"/>
          <w:lang w:val="en-US" w:eastAsia="zh-CN" w:bidi="ar-SA"/>
        </w:rPr>
        <w:t>.</w:t>
      </w:r>
      <w:r>
        <w:rPr>
          <w:rFonts w:hint="eastAsia" w:ascii="宋体" w:hAnsi="宋体"/>
          <w:b/>
          <w:bCs/>
          <w:highlight w:val="none"/>
        </w:rPr>
        <w:t>比选申请文件的评价与比较</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shd w:val="clea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8</w:t>
      </w:r>
      <w:r>
        <w:rPr>
          <w:rFonts w:hint="eastAsia" w:ascii="宋体" w:hAnsi="宋体" w:cs="Arial"/>
          <w:highlight w:val="none"/>
        </w:rPr>
        <w:t>.1 《</w:t>
      </w:r>
      <w:r>
        <w:rPr>
          <w:rFonts w:hint="eastAsia" w:ascii="宋体" w:hAnsi="宋体" w:cs="Arial"/>
          <w:highlight w:val="none"/>
          <w:lang w:eastAsia="zh-CN"/>
        </w:rPr>
        <w:t>评分办法</w:t>
      </w:r>
      <w:r>
        <w:rPr>
          <w:rFonts w:hint="eastAsia" w:ascii="宋体" w:hAnsi="宋体" w:cs="Arial"/>
          <w:highlight w:val="none"/>
        </w:rPr>
        <w:t>》详见比选文件第六章，比选人将按照《</w:t>
      </w:r>
      <w:r>
        <w:rPr>
          <w:rFonts w:hint="eastAsia" w:ascii="宋体" w:hAnsi="宋体" w:cs="Arial"/>
          <w:highlight w:val="none"/>
          <w:lang w:eastAsia="zh-CN"/>
        </w:rPr>
        <w:t>评分办法</w:t>
      </w:r>
      <w:r>
        <w:rPr>
          <w:rFonts w:hint="eastAsia" w:ascii="宋体" w:hAnsi="宋体" w:cs="Arial"/>
          <w:highlight w:val="none"/>
        </w:rPr>
        <w:t>》对本须知第26条确定为实质上响应比选文件要求的比选申请文件进行评价与比较。</w:t>
      </w:r>
    </w:p>
    <w:p>
      <w:pPr>
        <w:shd w:val="clear"/>
        <w:tabs>
          <w:tab w:val="left" w:pos="420"/>
          <w:tab w:val="left" w:pos="1134"/>
        </w:tabs>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rPr>
        <w:t>2</w:t>
      </w:r>
      <w:r>
        <w:rPr>
          <w:rFonts w:hint="eastAsia" w:ascii="宋体" w:hAnsi="宋体" w:cs="Arial"/>
          <w:highlight w:val="none"/>
          <w:lang w:val="en-US" w:eastAsia="zh-CN"/>
        </w:rPr>
        <w:t>8</w:t>
      </w:r>
      <w:r>
        <w:rPr>
          <w:rFonts w:hint="eastAsia" w:ascii="宋体" w:hAnsi="宋体" w:cs="Arial"/>
          <w:highlight w:val="none"/>
        </w:rPr>
        <w:t>.2 评审将按《</w:t>
      </w:r>
      <w:r>
        <w:rPr>
          <w:rFonts w:hint="eastAsia" w:ascii="宋体" w:hAnsi="宋体" w:cs="Arial"/>
          <w:highlight w:val="none"/>
          <w:lang w:eastAsia="zh-CN"/>
        </w:rPr>
        <w:t>评分办法</w:t>
      </w:r>
      <w:r>
        <w:rPr>
          <w:rFonts w:hint="eastAsia" w:ascii="宋体" w:hAnsi="宋体" w:cs="Arial"/>
          <w:highlight w:val="none"/>
        </w:rPr>
        <w:t>》规定执行。</w:t>
      </w:r>
      <w:bookmarkEnd w:id="810"/>
    </w:p>
    <w:p>
      <w:pPr>
        <w:numPr>
          <w:ilvl w:val="0"/>
          <w:numId w:val="0"/>
        </w:numPr>
        <w:shd w:val="clear"/>
        <w:spacing w:before="0" w:after="0" w:afterAutospacing="0"/>
        <w:ind w:left="0" w:right="0" w:firstLine="422" w:firstLineChars="200"/>
        <w:outlineLvl w:val="2"/>
        <w:rPr>
          <w:rFonts w:ascii="宋体" w:hAnsi="宋体"/>
          <w:b/>
          <w:bCs/>
          <w:highlight w:val="none"/>
        </w:rPr>
      </w:pPr>
      <w:bookmarkStart w:id="905" w:name="_Toc507"/>
      <w:bookmarkStart w:id="906" w:name="_Toc383891202"/>
      <w:bookmarkStart w:id="907" w:name="_Toc31774"/>
      <w:bookmarkStart w:id="908" w:name="_Toc28489"/>
      <w:bookmarkStart w:id="909" w:name="_Toc3358"/>
      <w:bookmarkStart w:id="910" w:name="_Toc385427827"/>
      <w:bookmarkStart w:id="911" w:name="_Toc8074"/>
      <w:bookmarkStart w:id="912" w:name="_Toc12983537"/>
      <w:bookmarkStart w:id="913" w:name="_Toc492478752"/>
      <w:bookmarkStart w:id="914" w:name="_Toc11657"/>
      <w:bookmarkStart w:id="915" w:name="_Toc8845"/>
      <w:bookmarkStart w:id="916" w:name="_Toc27289"/>
      <w:bookmarkStart w:id="917" w:name="_Toc14300"/>
      <w:bookmarkStart w:id="918" w:name="_Toc15146"/>
      <w:bookmarkStart w:id="919" w:name="_Toc22500"/>
      <w:bookmarkStart w:id="920" w:name="_Toc17460"/>
      <w:bookmarkStart w:id="921" w:name="_Toc27803"/>
      <w:bookmarkStart w:id="922" w:name="_Toc19322"/>
      <w:bookmarkStart w:id="923" w:name="_Toc11010"/>
      <w:bookmarkStart w:id="924" w:name="_Toc32344"/>
      <w:bookmarkStart w:id="925" w:name="_Toc1450"/>
      <w:bookmarkStart w:id="926" w:name="_Toc25750622"/>
      <w:bookmarkStart w:id="927" w:name="_Toc390098453"/>
      <w:r>
        <w:rPr>
          <w:rFonts w:hint="eastAsia" w:ascii="宋体" w:hAnsi="宋体" w:cs="Times New Roman"/>
          <w:b/>
          <w:bCs/>
          <w:sz w:val="21"/>
          <w:szCs w:val="21"/>
          <w:lang w:val="en-US" w:eastAsia="zh-CN" w:bidi="ar-SA"/>
        </w:rPr>
        <w:t>29</w:t>
      </w:r>
      <w:r>
        <w:rPr>
          <w:rFonts w:ascii="宋体" w:hAnsi="宋体" w:eastAsia="宋体" w:cs="Times New Roman"/>
          <w:b/>
          <w:bCs/>
          <w:sz w:val="21"/>
          <w:szCs w:val="21"/>
          <w:lang w:val="en-US" w:eastAsia="zh-CN" w:bidi="ar-SA"/>
        </w:rPr>
        <w:t>.</w:t>
      </w:r>
      <w:r>
        <w:rPr>
          <w:rFonts w:hint="eastAsia" w:ascii="宋体" w:hAnsi="宋体"/>
          <w:b/>
          <w:bCs/>
          <w:highlight w:val="none"/>
        </w:rPr>
        <w:t>定标</w:t>
      </w:r>
      <w:bookmarkEnd w:id="811"/>
      <w:bookmarkEnd w:id="812"/>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shd w:val="clea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29</w:t>
      </w:r>
      <w:r>
        <w:rPr>
          <w:rFonts w:ascii="宋体" w:hAnsi="宋体" w:cs="Arial"/>
          <w:highlight w:val="none"/>
        </w:rPr>
        <w:t>.1</w:t>
      </w:r>
      <w:r>
        <w:rPr>
          <w:rFonts w:hint="eastAsia" w:ascii="宋体" w:hAnsi="宋体" w:cs="Arial"/>
          <w:highlight w:val="none"/>
        </w:rPr>
        <w:t xml:space="preserve"> 经评审后，评审委员会将报价最低的比选申请人推荐为中选候选人。价格相同的，以评审委员会以记名投票的方式按少数服从多数的原则决定其排名顺序。</w:t>
      </w:r>
    </w:p>
    <w:p>
      <w:pPr>
        <w:shd w:val="clea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29</w:t>
      </w:r>
      <w:r>
        <w:rPr>
          <w:rFonts w:ascii="宋体" w:hAnsi="宋体" w:cs="Arial"/>
          <w:highlight w:val="none"/>
        </w:rPr>
        <w:t>.2</w:t>
      </w:r>
      <w:r>
        <w:rPr>
          <w:rFonts w:hint="eastAsia" w:ascii="宋体" w:hAnsi="宋体" w:cs="Arial"/>
          <w:highlight w:val="none"/>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shd w:val="clea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29</w:t>
      </w:r>
      <w:r>
        <w:rPr>
          <w:rFonts w:ascii="宋体" w:hAnsi="宋体" w:cs="Arial"/>
          <w:highlight w:val="none"/>
        </w:rPr>
        <w:t>.3</w:t>
      </w:r>
      <w:r>
        <w:rPr>
          <w:rFonts w:hint="eastAsia" w:ascii="宋体" w:hAnsi="宋体" w:cs="Arial"/>
          <w:highlight w:val="none"/>
        </w:rPr>
        <w:t>比选申请人应确保提供的资料真实无误，如有弄虚作假的情况，一经查实，取消比选申请资格，已经中选的取消中选资格。</w:t>
      </w:r>
    </w:p>
    <w:p>
      <w:pPr>
        <w:shd w:val="clear"/>
        <w:tabs>
          <w:tab w:val="left" w:pos="1134"/>
          <w:tab w:val="left" w:pos="8364"/>
        </w:tabs>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lang w:val="en-US" w:eastAsia="zh-CN"/>
        </w:rPr>
        <w:t>29</w:t>
      </w:r>
      <w:r>
        <w:rPr>
          <w:rFonts w:ascii="宋体" w:hAnsi="宋体" w:cs="Arial"/>
          <w:highlight w:val="none"/>
        </w:rPr>
        <w:t>.4</w:t>
      </w:r>
      <w:r>
        <w:rPr>
          <w:rFonts w:hint="eastAsia" w:ascii="宋体" w:hAnsi="宋体" w:cs="Arial"/>
          <w:highlight w:val="none"/>
        </w:rPr>
        <w:t>比选人确定的中选人必须按有关规定进行公示。</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highlight w:val="none"/>
          <w:lang w:val="en-US" w:eastAsia="zh-CN"/>
        </w:rPr>
        <w:t>29</w:t>
      </w:r>
      <w:r>
        <w:rPr>
          <w:rFonts w:ascii="宋体" w:hAnsi="宋体" w:cs="Arial"/>
          <w:highlight w:val="none"/>
        </w:rPr>
        <w:t>.5</w:t>
      </w:r>
      <w:r>
        <w:rPr>
          <w:rFonts w:hint="eastAsia" w:ascii="宋体" w:hAnsi="宋体" w:cs="Arial"/>
          <w:highlight w:val="none"/>
        </w:rPr>
        <w:t>评审委员会评审结束后，比选人经审查发现评审过程中有明显错误，可以组织原评审委员会进行复评。</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928" w:name="_Toc3761"/>
      <w:bookmarkStart w:id="929" w:name="_Toc37"/>
      <w:bookmarkStart w:id="930" w:name="_Toc5257"/>
      <w:bookmarkStart w:id="931" w:name="_Toc13986"/>
      <w:bookmarkStart w:id="932" w:name="_Toc5172"/>
      <w:bookmarkStart w:id="933" w:name="_Toc14042"/>
      <w:bookmarkStart w:id="934" w:name="_Toc22182"/>
      <w:bookmarkStart w:id="935" w:name="_Toc1215"/>
      <w:bookmarkStart w:id="936" w:name="_Toc17823"/>
      <w:bookmarkStart w:id="937" w:name="_Toc27664"/>
      <w:bookmarkStart w:id="938" w:name="_Toc18192"/>
      <w:bookmarkStart w:id="939" w:name="_Toc26470"/>
      <w:bookmarkStart w:id="940" w:name="_Toc19634"/>
      <w:bookmarkStart w:id="941" w:name="_Toc383891203"/>
      <w:bookmarkStart w:id="942" w:name="_Toc15932"/>
      <w:bookmarkStart w:id="943" w:name="_Toc21142"/>
      <w:bookmarkStart w:id="944" w:name="_Toc385427828"/>
      <w:bookmarkStart w:id="945" w:name="_Toc21947"/>
      <w:bookmarkStart w:id="946" w:name="_Toc375039095"/>
      <w:bookmarkStart w:id="947" w:name="_Toc492478753"/>
      <w:bookmarkStart w:id="948" w:name="_Toc390098454"/>
      <w:bookmarkStart w:id="949" w:name="_Toc16732"/>
      <w:bookmarkStart w:id="950" w:name="_Toc12983538"/>
      <w:bookmarkStart w:id="951" w:name="_Toc25750623"/>
      <w:r>
        <w:rPr>
          <w:rFonts w:hint="eastAsia" w:ascii="宋体" w:hAnsi="宋体" w:cs="Times New Roman"/>
          <w:b/>
          <w:bCs/>
          <w:sz w:val="21"/>
          <w:szCs w:val="21"/>
          <w:lang w:val="en-US" w:eastAsia="zh-CN" w:bidi="ar-SA"/>
        </w:rPr>
        <w:t>30</w:t>
      </w:r>
      <w:r>
        <w:rPr>
          <w:rFonts w:ascii="宋体" w:hAnsi="宋体" w:eastAsia="宋体" w:cs="Times New Roman"/>
          <w:b/>
          <w:bCs/>
          <w:sz w:val="21"/>
          <w:szCs w:val="21"/>
          <w:lang w:val="en-US" w:eastAsia="zh-CN" w:bidi="ar-SA"/>
        </w:rPr>
        <w:t>.</w:t>
      </w:r>
      <w:r>
        <w:rPr>
          <w:rFonts w:hint="eastAsia" w:ascii="宋体" w:hAnsi="宋体"/>
          <w:b/>
          <w:bCs/>
          <w:highlight w:val="none"/>
        </w:rPr>
        <w:t>重新</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hint="eastAsia" w:ascii="宋体" w:hAnsi="宋体"/>
          <w:b/>
          <w:bCs/>
          <w:highlight w:val="none"/>
        </w:rPr>
        <w:t>比选</w:t>
      </w:r>
      <w:bookmarkEnd w:id="951"/>
    </w:p>
    <w:p>
      <w:pPr>
        <w:shd w:val="clea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eastAsia="宋体" w:cs="Times New Roman"/>
          <w:sz w:val="21"/>
          <w:szCs w:val="21"/>
          <w:lang w:val="en-US" w:eastAsia="zh-CN" w:bidi="ar-SA"/>
        </w:rPr>
        <w:t>30</w:t>
      </w:r>
      <w:r>
        <w:rPr>
          <w:rFonts w:hint="eastAsia" w:ascii="宋体" w:hAnsi="宋体"/>
          <w:highlight w:val="none"/>
        </w:rPr>
        <w:t>.1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eastAsia="宋体" w:cs="Times New Roman"/>
          <w:sz w:val="21"/>
          <w:szCs w:val="21"/>
          <w:lang w:val="en-US" w:eastAsia="zh-CN" w:bidi="ar-SA"/>
        </w:rPr>
        <w:t>30</w:t>
      </w:r>
      <w:r>
        <w:rPr>
          <w:rFonts w:hint="eastAsia" w:ascii="宋体" w:hAnsi="宋体"/>
          <w:highlight w:val="none"/>
        </w:rPr>
        <w:t>.2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w:t>
      </w:r>
      <w:r>
        <w:rPr>
          <w:rFonts w:hint="eastAsia" w:ascii="宋体" w:hAnsi="宋体"/>
          <w:highlight w:val="none"/>
        </w:rPr>
        <w:t>只剩余两家</w:t>
      </w:r>
      <w:r>
        <w:rPr>
          <w:rFonts w:ascii="宋体" w:hAnsi="宋体"/>
          <w:highlight w:val="none"/>
        </w:rPr>
        <w:t>时，评审委员会认为剩余的比选申请文件仍具有竞争性的，应继续评审）；</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eastAsia="宋体" w:cs="Times New Roman"/>
          <w:sz w:val="21"/>
          <w:szCs w:val="21"/>
          <w:lang w:val="en-US" w:eastAsia="zh-CN" w:bidi="ar-SA"/>
        </w:rPr>
        <w:t>30</w:t>
      </w:r>
      <w:r>
        <w:rPr>
          <w:rFonts w:ascii="宋体" w:hAnsi="宋体"/>
          <w:highlight w:val="none"/>
        </w:rPr>
        <w:t>.</w:t>
      </w:r>
      <w:r>
        <w:rPr>
          <w:rFonts w:hint="eastAsia" w:ascii="宋体" w:hAnsi="宋体"/>
          <w:highlight w:val="none"/>
        </w:rPr>
        <w:t>3</w:t>
      </w:r>
      <w:r>
        <w:rPr>
          <w:rFonts w:ascii="宋体" w:hAnsi="宋体"/>
          <w:highlight w:val="none"/>
        </w:rPr>
        <w:t>评审委员会决定否决全部比选申请的；</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eastAsia="宋体" w:cs="Times New Roman"/>
          <w:sz w:val="21"/>
          <w:szCs w:val="21"/>
          <w:lang w:val="en-US" w:eastAsia="zh-CN" w:bidi="ar-SA"/>
        </w:rPr>
        <w:t>30</w:t>
      </w:r>
      <w:r>
        <w:rPr>
          <w:rFonts w:hint="eastAsia" w:ascii="宋体" w:hAnsi="宋体"/>
          <w:highlight w:val="none"/>
        </w:rPr>
        <w:t>.4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eastAsia="宋体" w:cs="Times New Roman"/>
          <w:sz w:val="21"/>
          <w:szCs w:val="21"/>
          <w:lang w:val="en-US" w:eastAsia="zh-CN" w:bidi="ar-SA"/>
        </w:rPr>
        <w:t>30</w:t>
      </w:r>
      <w:r>
        <w:rPr>
          <w:rFonts w:hint="eastAsia" w:ascii="宋体" w:hAnsi="宋体"/>
          <w:highlight w:val="none"/>
        </w:rPr>
        <w:t>.5</w:t>
      </w:r>
      <w:r>
        <w:rPr>
          <w:rFonts w:ascii="宋体" w:hAnsi="宋体"/>
          <w:highlight w:val="none"/>
        </w:rPr>
        <w:t>根据本须知15</w:t>
      </w:r>
      <w:r>
        <w:rPr>
          <w:rFonts w:hint="eastAsia" w:ascii="宋体" w:hAnsi="宋体"/>
          <w:highlight w:val="none"/>
        </w:rPr>
        <w:t>.2</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shd w:val="clea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eastAsia="宋体" w:cs="Times New Roman"/>
          <w:sz w:val="21"/>
          <w:szCs w:val="21"/>
          <w:lang w:val="en-US" w:eastAsia="zh-CN" w:bidi="ar-SA"/>
        </w:rPr>
        <w:t>30</w:t>
      </w:r>
      <w:r>
        <w:rPr>
          <w:rFonts w:hint="eastAsia" w:ascii="宋体" w:hAnsi="宋体"/>
          <w:highlight w:val="none"/>
        </w:rPr>
        <w:t>.6比选文件中规定的其他情况。</w:t>
      </w:r>
    </w:p>
    <w:p>
      <w:pPr>
        <w:numPr>
          <w:ilvl w:val="0"/>
          <w:numId w:val="0"/>
        </w:numPr>
        <w:shd w:val="clear"/>
        <w:spacing w:before="0" w:after="0" w:afterAutospacing="0"/>
        <w:ind w:left="0" w:right="0" w:firstLine="422" w:firstLineChars="200"/>
        <w:outlineLvl w:val="2"/>
        <w:rPr>
          <w:rFonts w:ascii="宋体" w:hAnsi="宋体"/>
          <w:b/>
          <w:bCs/>
          <w:color w:val="auto"/>
          <w:highlight w:val="none"/>
        </w:rPr>
      </w:pPr>
      <w:bookmarkStart w:id="952" w:name="_Toc492478754"/>
      <w:bookmarkStart w:id="953" w:name="_Toc12983539"/>
      <w:bookmarkStart w:id="954" w:name="_Toc1116"/>
      <w:bookmarkStart w:id="955" w:name="_Toc26954"/>
      <w:bookmarkStart w:id="956" w:name="_Toc14454"/>
      <w:bookmarkStart w:id="957" w:name="_Toc20979"/>
      <w:bookmarkStart w:id="958" w:name="_Toc375039096"/>
      <w:bookmarkStart w:id="959" w:name="_Toc17042"/>
      <w:bookmarkStart w:id="960" w:name="_Toc1945"/>
      <w:bookmarkStart w:id="961" w:name="_Toc6886"/>
      <w:bookmarkStart w:id="962" w:name="_Toc390098455"/>
      <w:bookmarkStart w:id="963" w:name="_Toc31757"/>
      <w:bookmarkStart w:id="964" w:name="_Toc11126"/>
      <w:bookmarkStart w:id="965" w:name="_Toc25257"/>
      <w:bookmarkStart w:id="966" w:name="_Toc12031"/>
      <w:bookmarkStart w:id="967" w:name="_Toc26919"/>
      <w:bookmarkStart w:id="968" w:name="_Toc385427829"/>
      <w:bookmarkStart w:id="969" w:name="_Toc5959"/>
      <w:bookmarkStart w:id="970" w:name="_Toc2422"/>
      <w:bookmarkStart w:id="971" w:name="_Toc383891204"/>
      <w:bookmarkStart w:id="972" w:name="_Toc3769"/>
      <w:bookmarkStart w:id="973" w:name="_Toc14235"/>
      <w:bookmarkStart w:id="974" w:name="_Toc10962"/>
      <w:bookmarkStart w:id="975" w:name="_Toc25750624"/>
      <w:r>
        <w:rPr>
          <w:rFonts w:ascii="宋体" w:hAnsi="宋体" w:eastAsia="宋体" w:cs="Times New Roman"/>
          <w:b/>
          <w:bCs/>
          <w:color w:val="auto"/>
          <w:sz w:val="21"/>
          <w:szCs w:val="21"/>
          <w:highlight w:val="none"/>
          <w:lang w:val="en-US" w:eastAsia="zh-CN" w:bidi="ar-SA"/>
        </w:rPr>
        <w:t>3</w:t>
      </w:r>
      <w:r>
        <w:rPr>
          <w:rFonts w:hint="eastAsia" w:ascii="宋体" w:hAnsi="宋体" w:cs="Times New Roman"/>
          <w:b/>
          <w:bCs/>
          <w:color w:val="auto"/>
          <w:sz w:val="21"/>
          <w:szCs w:val="21"/>
          <w:highlight w:val="none"/>
          <w:lang w:val="en-US" w:eastAsia="zh-CN" w:bidi="ar-SA"/>
        </w:rPr>
        <w:t>1</w:t>
      </w:r>
      <w:r>
        <w:rPr>
          <w:rFonts w:ascii="宋体" w:hAnsi="宋体" w:eastAsia="宋体" w:cs="Times New Roman"/>
          <w:b/>
          <w:bCs/>
          <w:color w:val="auto"/>
          <w:sz w:val="21"/>
          <w:szCs w:val="21"/>
          <w:highlight w:val="none"/>
          <w:lang w:val="en-US" w:eastAsia="zh-CN" w:bidi="ar-SA"/>
        </w:rPr>
        <w:t>.</w:t>
      </w:r>
      <w:r>
        <w:rPr>
          <w:rFonts w:hint="eastAsia" w:ascii="宋体" w:hAnsi="宋体"/>
          <w:b/>
          <w:bCs/>
          <w:color w:val="auto"/>
          <w:highlight w:val="none"/>
        </w:rPr>
        <w:t>不再</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Fonts w:hint="eastAsia" w:ascii="宋体" w:hAnsi="宋体"/>
          <w:b/>
          <w:bCs/>
          <w:color w:val="auto"/>
          <w:highlight w:val="none"/>
        </w:rPr>
        <w:t>比选</w:t>
      </w:r>
      <w:bookmarkEnd w:id="975"/>
    </w:p>
    <w:p>
      <w:pPr>
        <w:shd w:val="clea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w:t>
      </w:r>
      <w:r>
        <w:rPr>
          <w:rFonts w:hint="eastAsia" w:ascii="宋体" w:hAnsi="宋体"/>
          <w:color w:val="auto"/>
          <w:highlight w:val="none"/>
          <w:lang w:val="en-US" w:eastAsia="zh-CN"/>
        </w:rPr>
        <w:t>一</w:t>
      </w:r>
      <w:r>
        <w:rPr>
          <w:rFonts w:ascii="宋体" w:hAnsi="宋体"/>
          <w:color w:val="auto"/>
          <w:highlight w:val="none"/>
        </w:rPr>
        <w:t>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shd w:val="clear"/>
        <w:spacing w:after="0" w:afterAutospacing="0"/>
        <w:ind w:left="0" w:right="0" w:firstLine="482" w:firstLineChars="200"/>
        <w:outlineLvl w:val="1"/>
        <w:rPr>
          <w:rFonts w:ascii="宋体" w:hAnsi="宋体"/>
          <w:b/>
          <w:bCs/>
          <w:sz w:val="24"/>
          <w:szCs w:val="24"/>
          <w:highlight w:val="none"/>
        </w:rPr>
      </w:pPr>
      <w:bookmarkStart w:id="976" w:name="_Toc27900"/>
      <w:bookmarkStart w:id="977" w:name="_Toc9113"/>
      <w:bookmarkStart w:id="978" w:name="_Toc23413"/>
      <w:bookmarkStart w:id="979" w:name="_Toc30278"/>
      <w:bookmarkStart w:id="980" w:name="_Toc4743"/>
      <w:bookmarkStart w:id="981" w:name="_Toc12983540"/>
      <w:bookmarkStart w:id="982" w:name="_Toc492478755"/>
      <w:bookmarkStart w:id="983" w:name="_Toc31958"/>
      <w:bookmarkStart w:id="984" w:name="_Toc383891205"/>
      <w:bookmarkStart w:id="985" w:name="_Toc31300"/>
      <w:bookmarkStart w:id="986" w:name="_Toc24580"/>
      <w:bookmarkStart w:id="987" w:name="_Toc12421"/>
      <w:bookmarkStart w:id="988" w:name="_Toc18800"/>
      <w:bookmarkStart w:id="989" w:name="_Toc10842"/>
      <w:bookmarkStart w:id="990" w:name="_Toc385427830"/>
      <w:bookmarkStart w:id="991" w:name="_Toc22975"/>
      <w:bookmarkStart w:id="992" w:name="_Toc24681"/>
      <w:bookmarkStart w:id="993" w:name="_Toc20530"/>
      <w:bookmarkStart w:id="994" w:name="_Toc26653"/>
      <w:bookmarkStart w:id="995" w:name="_Toc19952"/>
      <w:bookmarkStart w:id="996" w:name="_Toc2326"/>
      <w:bookmarkStart w:id="997" w:name="_Toc375039097"/>
      <w:bookmarkStart w:id="998" w:name="_Toc6000"/>
      <w:bookmarkStart w:id="999" w:name="_Toc8834"/>
      <w:bookmarkStart w:id="1000" w:name="_Toc13827"/>
      <w:bookmarkStart w:id="1001" w:name="_Toc25431"/>
      <w:bookmarkStart w:id="1002" w:name="_Toc27839"/>
      <w:bookmarkStart w:id="1003" w:name="_Toc32233"/>
      <w:bookmarkStart w:id="1004" w:name="_Toc21516"/>
      <w:bookmarkStart w:id="1005" w:name="_Toc390098456"/>
      <w:r>
        <w:rPr>
          <w:rFonts w:hint="eastAsia" w:ascii="宋体" w:hAnsi="宋体"/>
          <w:b/>
          <w:bCs/>
          <w:sz w:val="24"/>
          <w:szCs w:val="24"/>
          <w:highlight w:val="none"/>
        </w:rPr>
        <w:t>六、</w:t>
      </w:r>
      <w:r>
        <w:rPr>
          <w:rFonts w:ascii="宋体" w:hAnsi="宋体"/>
          <w:b/>
          <w:bCs/>
          <w:sz w:val="24"/>
          <w:szCs w:val="24"/>
          <w:highlight w:val="none"/>
        </w:rPr>
        <w:t>授予合同</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shd w:val="clear"/>
        <w:spacing w:before="0" w:after="0" w:afterAutospacing="0"/>
        <w:ind w:left="0" w:right="0" w:firstLine="422" w:firstLineChars="200"/>
        <w:outlineLvl w:val="2"/>
        <w:rPr>
          <w:rFonts w:ascii="宋体" w:hAnsi="宋体"/>
          <w:b/>
          <w:bCs/>
          <w:highlight w:val="none"/>
        </w:rPr>
      </w:pPr>
      <w:bookmarkStart w:id="1006" w:name="_Toc8938"/>
      <w:bookmarkStart w:id="1007" w:name="_Toc12983541"/>
      <w:bookmarkStart w:id="1008" w:name="_Toc390098457"/>
      <w:bookmarkStart w:id="1009" w:name="_Toc25750626"/>
      <w:bookmarkStart w:id="1010" w:name="_Toc28661"/>
      <w:bookmarkStart w:id="1011" w:name="_Toc383891206"/>
      <w:bookmarkStart w:id="1012" w:name="_Toc30743"/>
      <w:bookmarkStart w:id="1013" w:name="_Toc21975"/>
      <w:bookmarkStart w:id="1014" w:name="_Toc22688"/>
      <w:bookmarkStart w:id="1015" w:name="_Toc22323"/>
      <w:bookmarkStart w:id="1016" w:name="_Toc492478756"/>
      <w:bookmarkStart w:id="1017" w:name="_Toc10522"/>
      <w:bookmarkStart w:id="1018" w:name="_Toc375039098"/>
      <w:bookmarkStart w:id="1019" w:name="_Toc13914"/>
      <w:bookmarkStart w:id="1020" w:name="_Toc20642"/>
      <w:bookmarkStart w:id="1021" w:name="_Toc30026"/>
      <w:bookmarkStart w:id="1022" w:name="_Toc18878"/>
      <w:bookmarkStart w:id="1023" w:name="_Toc21728"/>
      <w:bookmarkStart w:id="1024" w:name="_Toc26143"/>
      <w:bookmarkStart w:id="1025" w:name="_Toc385427831"/>
      <w:bookmarkStart w:id="1026" w:name="_Toc1269"/>
      <w:bookmarkStart w:id="1027" w:name="_Toc31011"/>
      <w:bookmarkStart w:id="1028" w:name="_Toc11795"/>
      <w:bookmarkStart w:id="1029" w:name="_Toc26525"/>
      <w:r>
        <w:rPr>
          <w:rFonts w:hint="eastAsia" w:ascii="宋体" w:hAnsi="宋体"/>
          <w:b/>
          <w:bCs/>
          <w:highlight w:val="none"/>
        </w:rPr>
        <w:t>3</w:t>
      </w:r>
      <w:r>
        <w:rPr>
          <w:rFonts w:hint="eastAsia" w:ascii="宋体" w:hAnsi="宋体"/>
          <w:b/>
          <w:bCs/>
          <w:highlight w:val="none"/>
          <w:lang w:val="en-US" w:eastAsia="zh-CN"/>
        </w:rPr>
        <w:t>2</w:t>
      </w:r>
      <w:r>
        <w:rPr>
          <w:rFonts w:hint="eastAsia" w:ascii="宋体" w:hAnsi="宋体"/>
          <w:b/>
          <w:bCs/>
          <w:highlight w:val="none"/>
        </w:rPr>
        <w:t>. 合同授予标准</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2</w:t>
      </w:r>
      <w:r>
        <w:rPr>
          <w:rFonts w:hint="eastAsia" w:ascii="宋体" w:hAnsi="宋体"/>
          <w:highlight w:val="none"/>
        </w:rPr>
        <w:t xml:space="preserve">.1 </w:t>
      </w:r>
      <w:r>
        <w:rPr>
          <w:rFonts w:ascii="宋体" w:hAnsi="宋体"/>
          <w:highlight w:val="none"/>
        </w:rPr>
        <w:t>根据本须知规定，比选人将把合同授予收到中选通知书，并提供了履约担保的比选申请人，该比选申请人必须具有有效实施本合同的能力和资源。</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2</w:t>
      </w:r>
      <w:r>
        <w:rPr>
          <w:rFonts w:hint="eastAsia" w:ascii="宋体" w:hAnsi="宋体"/>
          <w:highlight w:val="none"/>
        </w:rPr>
        <w:t xml:space="preserve">.2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shd w:val="clear"/>
        <w:spacing w:before="0" w:after="0" w:afterAutospacing="0"/>
        <w:ind w:left="0" w:right="0" w:firstLine="422" w:firstLineChars="200"/>
        <w:outlineLvl w:val="2"/>
        <w:rPr>
          <w:rFonts w:ascii="宋体" w:hAnsi="宋体"/>
          <w:b/>
          <w:bCs/>
          <w:highlight w:val="none"/>
        </w:rPr>
      </w:pPr>
      <w:bookmarkStart w:id="1030" w:name="_Toc13417"/>
      <w:bookmarkStart w:id="1031" w:name="_Toc25797"/>
      <w:bookmarkStart w:id="1032" w:name="_Toc24183"/>
      <w:bookmarkStart w:id="1033" w:name="_Toc375039099"/>
      <w:bookmarkStart w:id="1034" w:name="_Toc17153"/>
      <w:bookmarkStart w:id="1035" w:name="_Toc31336"/>
      <w:bookmarkStart w:id="1036" w:name="_Toc377"/>
      <w:bookmarkStart w:id="1037" w:name="_Toc19774"/>
      <w:bookmarkStart w:id="1038" w:name="_Toc390098458"/>
      <w:bookmarkStart w:id="1039" w:name="_Toc14325"/>
      <w:bookmarkStart w:id="1040" w:name="_Toc385427832"/>
      <w:bookmarkStart w:id="1041" w:name="_Toc14301"/>
      <w:bookmarkStart w:id="1042" w:name="_Toc25750627"/>
      <w:bookmarkStart w:id="1043" w:name="_Toc1873"/>
      <w:bookmarkStart w:id="1044" w:name="_Toc23649"/>
      <w:bookmarkStart w:id="1045" w:name="_Toc383891207"/>
      <w:bookmarkStart w:id="1046" w:name="_Toc11913"/>
      <w:bookmarkStart w:id="1047" w:name="_Toc14832"/>
      <w:bookmarkStart w:id="1048" w:name="_Toc17818"/>
      <w:bookmarkStart w:id="1049" w:name="_Toc492478757"/>
      <w:bookmarkStart w:id="1050" w:name="_Toc18977"/>
      <w:bookmarkStart w:id="1051" w:name="_Toc16111"/>
      <w:bookmarkStart w:id="1052" w:name="_Toc19128"/>
      <w:bookmarkStart w:id="1053" w:name="_Toc12983542"/>
      <w:r>
        <w:rPr>
          <w:rFonts w:hint="eastAsia" w:ascii="宋体" w:hAnsi="宋体"/>
          <w:b/>
          <w:bCs/>
          <w:highlight w:val="none"/>
        </w:rPr>
        <w:t>3</w:t>
      </w:r>
      <w:r>
        <w:rPr>
          <w:rFonts w:hint="eastAsia" w:ascii="宋体" w:hAnsi="宋体"/>
          <w:b/>
          <w:bCs/>
          <w:highlight w:val="none"/>
          <w:lang w:val="en-US" w:eastAsia="zh-CN"/>
        </w:rPr>
        <w:t>3</w:t>
      </w:r>
      <w:r>
        <w:rPr>
          <w:rFonts w:hint="eastAsia" w:ascii="宋体" w:hAnsi="宋体"/>
          <w:b/>
          <w:bCs/>
          <w:highlight w:val="none"/>
        </w:rPr>
        <w:t>. 接受和否决任何或所有比选申请的权力</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1054" w:name="_Toc25750628"/>
      <w:bookmarkStart w:id="1055" w:name="_Toc12065"/>
      <w:bookmarkStart w:id="1056" w:name="_Toc383891208"/>
      <w:bookmarkStart w:id="1057" w:name="_Toc32424"/>
      <w:bookmarkStart w:id="1058" w:name="_Toc19943"/>
      <w:bookmarkStart w:id="1059" w:name="_Toc10348"/>
      <w:bookmarkStart w:id="1060" w:name="_Toc9636"/>
      <w:bookmarkStart w:id="1061" w:name="_Toc492478758"/>
      <w:bookmarkStart w:id="1062" w:name="_Toc673"/>
      <w:bookmarkStart w:id="1063" w:name="_Toc390098459"/>
      <w:bookmarkStart w:id="1064" w:name="_Toc27683"/>
      <w:bookmarkStart w:id="1065" w:name="_Toc22657"/>
      <w:bookmarkStart w:id="1066" w:name="_Toc2061"/>
      <w:bookmarkStart w:id="1067" w:name="_Toc12983543"/>
      <w:bookmarkStart w:id="1068" w:name="_Toc385427833"/>
      <w:bookmarkStart w:id="1069" w:name="_Toc21798"/>
      <w:bookmarkStart w:id="1070" w:name="_Toc921"/>
      <w:bookmarkStart w:id="1071" w:name="_Toc13596"/>
      <w:bookmarkStart w:id="1072" w:name="_Toc375039100"/>
      <w:bookmarkStart w:id="1073" w:name="_Toc20680"/>
      <w:bookmarkStart w:id="1074" w:name="_Toc17953"/>
      <w:bookmarkStart w:id="1075" w:name="_Toc13605"/>
      <w:bookmarkStart w:id="1076" w:name="_Toc5061"/>
      <w:bookmarkStart w:id="1077" w:name="_Toc19556"/>
      <w:r>
        <w:rPr>
          <w:rFonts w:hint="eastAsia" w:ascii="宋体" w:hAnsi="宋体" w:cs="Times New Roman"/>
          <w:b/>
          <w:bCs/>
          <w:sz w:val="21"/>
          <w:szCs w:val="21"/>
          <w:lang w:val="en-US" w:eastAsia="zh-CN" w:bidi="ar-SA"/>
        </w:rPr>
        <w:t>34</w:t>
      </w:r>
      <w:r>
        <w:rPr>
          <w:rFonts w:ascii="宋体" w:hAnsi="宋体" w:eastAsia="宋体" w:cs="Times New Roman"/>
          <w:b/>
          <w:bCs/>
          <w:sz w:val="21"/>
          <w:szCs w:val="21"/>
          <w:lang w:val="en-US" w:eastAsia="zh-CN" w:bidi="ar-SA"/>
        </w:rPr>
        <w:t>.</w:t>
      </w:r>
      <w:r>
        <w:rPr>
          <w:rFonts w:hint="eastAsia" w:ascii="宋体" w:hAnsi="宋体"/>
          <w:b/>
          <w:bCs/>
          <w:highlight w:val="none"/>
        </w:rPr>
        <w:t>中选通知书</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shd w:val="clea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34</w:t>
      </w:r>
      <w:r>
        <w:rPr>
          <w:rFonts w:hint="eastAsia" w:ascii="宋体" w:hAnsi="宋体"/>
          <w:highlight w:val="none"/>
        </w:rPr>
        <w:t xml:space="preserve">.1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shd w:val="clea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34</w:t>
      </w:r>
      <w:r>
        <w:rPr>
          <w:rFonts w:hint="eastAsia" w:ascii="宋体" w:hAnsi="宋体"/>
          <w:highlight w:val="none"/>
        </w:rPr>
        <w:t xml:space="preserve">.2 </w:t>
      </w:r>
      <w:r>
        <w:rPr>
          <w:rFonts w:ascii="宋体" w:hAnsi="宋体"/>
          <w:highlight w:val="none"/>
        </w:rPr>
        <w:t>中选通知书将作为签订合同的依据，并是合同的一个组成部分。</w:t>
      </w:r>
    </w:p>
    <w:p>
      <w:pPr>
        <w:shd w:val="clea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34</w:t>
      </w:r>
      <w:r>
        <w:rPr>
          <w:rFonts w:hint="eastAsia" w:ascii="宋体" w:hAnsi="宋体"/>
          <w:highlight w:val="none"/>
        </w:rPr>
        <w:t xml:space="preserve">.3 </w:t>
      </w:r>
      <w:r>
        <w:rPr>
          <w:rFonts w:ascii="宋体" w:hAnsi="宋体"/>
          <w:highlight w:val="none"/>
        </w:rPr>
        <w:t>对未中选者，比选人不对未中选原因做出解释，同时亦不退还比选申请文件。</w:t>
      </w:r>
    </w:p>
    <w:p>
      <w:pPr>
        <w:shd w:val="clear"/>
        <w:tabs>
          <w:tab w:val="left" w:pos="450"/>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lang w:eastAsia="zh-CN"/>
        </w:rPr>
        <w:t>34</w:t>
      </w:r>
      <w:r>
        <w:rPr>
          <w:rFonts w:hint="eastAsia" w:ascii="宋体" w:hAnsi="宋体"/>
          <w:highlight w:val="none"/>
        </w:rPr>
        <w:t>.4放弃中选人资格的处罚详见前附表。</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1078" w:name="_Toc385427834"/>
      <w:bookmarkStart w:id="1079" w:name="_Toc4190"/>
      <w:bookmarkStart w:id="1080" w:name="_Toc383891209"/>
      <w:bookmarkStart w:id="1081" w:name="_Toc21217"/>
      <w:bookmarkStart w:id="1082" w:name="_Toc28815"/>
      <w:bookmarkStart w:id="1083" w:name="_Toc18694"/>
      <w:bookmarkStart w:id="1084" w:name="_Toc22442"/>
      <w:bookmarkStart w:id="1085" w:name="_Toc390098460"/>
      <w:bookmarkStart w:id="1086" w:name="_Toc24885"/>
      <w:bookmarkStart w:id="1087" w:name="_Toc1780"/>
      <w:bookmarkStart w:id="1088" w:name="_Toc375039101"/>
      <w:bookmarkStart w:id="1089" w:name="_Toc29993"/>
      <w:bookmarkStart w:id="1090" w:name="_Toc492478759"/>
      <w:bookmarkStart w:id="1091" w:name="_Toc24240"/>
      <w:bookmarkStart w:id="1092" w:name="_Toc5617"/>
      <w:bookmarkStart w:id="1093" w:name="_Toc5767"/>
      <w:bookmarkStart w:id="1094" w:name="_Toc25750629"/>
      <w:bookmarkStart w:id="1095" w:name="_Toc1862"/>
      <w:bookmarkStart w:id="1096" w:name="_Toc15048"/>
      <w:bookmarkStart w:id="1097" w:name="_Toc8628"/>
      <w:bookmarkStart w:id="1098" w:name="_Toc12983544"/>
      <w:bookmarkStart w:id="1099" w:name="_Toc30862"/>
      <w:bookmarkStart w:id="1100" w:name="_Toc21570"/>
      <w:bookmarkStart w:id="1101" w:name="_Toc25208"/>
      <w:r>
        <w:rPr>
          <w:rFonts w:hint="eastAsia" w:ascii="宋体" w:hAnsi="宋体" w:cs="Times New Roman"/>
          <w:b/>
          <w:bCs/>
          <w:sz w:val="21"/>
          <w:szCs w:val="21"/>
          <w:lang w:val="en-US" w:eastAsia="zh-CN" w:bidi="ar-SA"/>
        </w:rPr>
        <w:t>35</w:t>
      </w:r>
      <w:r>
        <w:rPr>
          <w:rFonts w:ascii="宋体" w:hAnsi="宋体" w:eastAsia="宋体" w:cs="Times New Roman"/>
          <w:b/>
          <w:bCs/>
          <w:sz w:val="21"/>
          <w:szCs w:val="21"/>
          <w:lang w:val="en-US" w:eastAsia="zh-CN" w:bidi="ar-SA"/>
        </w:rPr>
        <w:t>.</w:t>
      </w:r>
      <w:r>
        <w:rPr>
          <w:rFonts w:hint="eastAsia" w:ascii="宋体" w:hAnsi="宋体"/>
          <w:b/>
          <w:bCs/>
          <w:highlight w:val="none"/>
        </w:rPr>
        <w:t>签订合同</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35</w:t>
      </w:r>
      <w:r>
        <w:rPr>
          <w:rFonts w:hint="eastAsia" w:ascii="宋体" w:hAnsi="宋体"/>
          <w:highlight w:val="none"/>
        </w:rPr>
        <w:t>.1 中选人在收到中选通知书后，按比选文件的要求与比选人签订合同</w:t>
      </w:r>
      <w:r>
        <w:rPr>
          <w:rFonts w:ascii="宋体" w:hAnsi="宋体"/>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35</w:t>
      </w:r>
      <w:r>
        <w:rPr>
          <w:rFonts w:hint="eastAsia" w:ascii="宋体" w:hAnsi="宋体"/>
          <w:highlight w:val="none"/>
        </w:rPr>
        <w:t xml:space="preserve">.2 </w:t>
      </w:r>
      <w:r>
        <w:rPr>
          <w:rFonts w:ascii="宋体" w:hAnsi="宋体"/>
          <w:highlight w:val="none"/>
        </w:rPr>
        <w:t>比选文件、中选通知书、中选人的比选申请文件及双方确认的澄清文件等，均为有法律约束力的合同的组成部分。</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35</w:t>
      </w:r>
      <w:r>
        <w:rPr>
          <w:rFonts w:hint="eastAsia" w:ascii="宋体" w:hAnsi="宋体"/>
          <w:highlight w:val="none"/>
        </w:rPr>
        <w:t xml:space="preserve">.3 </w:t>
      </w:r>
      <w:r>
        <w:rPr>
          <w:rFonts w:ascii="宋体" w:hAnsi="宋体"/>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35</w:t>
      </w:r>
      <w:r>
        <w:rPr>
          <w:rFonts w:hint="eastAsia" w:ascii="宋体" w:hAnsi="宋体"/>
          <w:highlight w:val="none"/>
        </w:rPr>
        <w:t xml:space="preserve">.4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numPr>
          <w:ilvl w:val="0"/>
          <w:numId w:val="0"/>
        </w:numPr>
        <w:shd w:val="clear"/>
        <w:spacing w:before="0" w:after="0" w:afterAutospacing="0"/>
        <w:ind w:left="0" w:right="0" w:firstLine="422" w:firstLineChars="200"/>
        <w:outlineLvl w:val="2"/>
        <w:rPr>
          <w:rFonts w:ascii="宋体" w:hAnsi="宋体"/>
          <w:b/>
          <w:bCs/>
          <w:highlight w:val="none"/>
        </w:rPr>
      </w:pPr>
      <w:bookmarkStart w:id="1102" w:name="_Toc12983546"/>
      <w:bookmarkStart w:id="1103" w:name="_Toc10399"/>
      <w:bookmarkStart w:id="1104" w:name="_Toc375039103"/>
      <w:bookmarkStart w:id="1105" w:name="_Toc10480"/>
      <w:bookmarkStart w:id="1106" w:name="_Toc383891211"/>
      <w:bookmarkStart w:id="1107" w:name="_Toc26808"/>
      <w:bookmarkStart w:id="1108" w:name="_Toc385427836"/>
      <w:bookmarkStart w:id="1109" w:name="_Toc20351"/>
      <w:bookmarkStart w:id="1110" w:name="_Toc11354"/>
      <w:bookmarkStart w:id="1111" w:name="_Toc23115"/>
      <w:bookmarkStart w:id="1112" w:name="_Toc30169"/>
      <w:bookmarkStart w:id="1113" w:name="_Toc25990"/>
      <w:bookmarkStart w:id="1114" w:name="_Toc8178"/>
      <w:bookmarkStart w:id="1115" w:name="_Toc21294"/>
      <w:bookmarkStart w:id="1116" w:name="_Toc25988"/>
      <w:bookmarkStart w:id="1117" w:name="_Toc13615"/>
      <w:bookmarkStart w:id="1118" w:name="_Toc492478761"/>
      <w:bookmarkStart w:id="1119" w:name="_Toc16212"/>
      <w:bookmarkStart w:id="1120" w:name="_Toc2637"/>
      <w:bookmarkStart w:id="1121" w:name="_Toc25750631"/>
      <w:bookmarkStart w:id="1122" w:name="_Toc390098462"/>
      <w:bookmarkStart w:id="1123" w:name="_Toc19122"/>
      <w:bookmarkStart w:id="1124" w:name="_Toc24400"/>
      <w:bookmarkStart w:id="1125" w:name="_Toc16584"/>
      <w:r>
        <w:rPr>
          <w:rFonts w:hint="eastAsia" w:ascii="宋体" w:hAnsi="宋体" w:cs="Times New Roman"/>
          <w:b/>
          <w:bCs/>
          <w:sz w:val="21"/>
          <w:szCs w:val="21"/>
          <w:lang w:val="en-US" w:eastAsia="zh-CN" w:bidi="ar-SA"/>
        </w:rPr>
        <w:t>36</w:t>
      </w:r>
      <w:r>
        <w:rPr>
          <w:rFonts w:ascii="宋体" w:hAnsi="宋体" w:eastAsia="宋体" w:cs="Times New Roman"/>
          <w:b/>
          <w:bCs/>
          <w:sz w:val="21"/>
          <w:szCs w:val="21"/>
          <w:lang w:val="en-US" w:eastAsia="zh-CN" w:bidi="ar-SA"/>
        </w:rPr>
        <w:t>.</w:t>
      </w:r>
      <w:r>
        <w:rPr>
          <w:rFonts w:hint="eastAsia" w:ascii="宋体" w:hAnsi="宋体"/>
          <w:b/>
          <w:bCs/>
          <w:highlight w:val="none"/>
        </w:rPr>
        <w:t>其他</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shd w:val="clea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.1 </w:t>
      </w:r>
      <w:r>
        <w:rPr>
          <w:rFonts w:ascii="宋体" w:hAnsi="宋体"/>
          <w:highlight w:val="none"/>
        </w:rPr>
        <w:t>知识产权和专利权</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.1.1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.1.2 </w:t>
      </w:r>
      <w:r>
        <w:rPr>
          <w:rFonts w:ascii="宋体" w:hAnsi="宋体"/>
          <w:highlight w:val="none"/>
        </w:rPr>
        <w:t>比选申请报价已包括所有应支付的，对专利权、著作权、注册商标专有使用权、计算机软件登记或其他知识产权而需要向其他方支付各项等费用。</w:t>
      </w:r>
    </w:p>
    <w:p>
      <w:pPr>
        <w:shd w:val="clear"/>
        <w:tabs>
          <w:tab w:val="left" w:pos="425"/>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.2 </w:t>
      </w:r>
      <w:r>
        <w:rPr>
          <w:rFonts w:ascii="宋体" w:hAnsi="宋体"/>
          <w:highlight w:val="none"/>
        </w:rPr>
        <w:t>保密</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.2.1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.2.2 </w:t>
      </w:r>
      <w:r>
        <w:rPr>
          <w:rFonts w:ascii="宋体" w:hAnsi="宋体"/>
          <w:highlight w:val="none"/>
        </w:rPr>
        <w:t>在比选申请文件完成后，应比选人要求，比选申请人应归还所有从比选人获得的保密资料，以及所有的无论从任何媒介获得的复印件和摘录。</w:t>
      </w:r>
    </w:p>
    <w:p>
      <w:pPr>
        <w:shd w:val="clear"/>
        <w:tabs>
          <w:tab w:val="left" w:pos="425"/>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.3 </w:t>
      </w:r>
      <w:r>
        <w:rPr>
          <w:rFonts w:ascii="宋体" w:hAnsi="宋体"/>
          <w:highlight w:val="none"/>
        </w:rPr>
        <w:t>比选申请人知悉</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shd w:val="clea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 xml:space="preserve">.3.2 </w:t>
      </w:r>
      <w:r>
        <w:rPr>
          <w:rFonts w:ascii="宋体" w:hAnsi="宋体"/>
          <w:highlight w:val="none"/>
        </w:rPr>
        <w:t>如果比选申请人在比选申请过程中有欺诈行为，则比选人有权否决比选申请人的比选申请。</w:t>
      </w:r>
    </w:p>
    <w:p>
      <w:pPr>
        <w:shd w:val="clea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.4 分包：本项目不允许分包、禁止转包。</w:t>
      </w:r>
    </w:p>
    <w:p>
      <w:pPr>
        <w:shd w:val="clea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36</w:t>
      </w:r>
      <w:r>
        <w:rPr>
          <w:rFonts w:hint="eastAsia" w:ascii="宋体" w:hAnsi="宋体"/>
          <w:highlight w:val="none"/>
        </w:rPr>
        <w:t>.5 需要补充的其他内容：详见比选申请须知前附表</w:t>
      </w:r>
    </w:p>
    <w:p>
      <w:pPr>
        <w:pStyle w:val="14"/>
        <w:pageBreakBefore/>
        <w:shd w:val="clear"/>
        <w:ind w:right="-57"/>
        <w:jc w:val="center"/>
        <w:outlineLvl w:val="0"/>
        <w:rPr>
          <w:rStyle w:val="45"/>
          <w:rFonts w:ascii="宋体" w:hAnsi="宋体" w:eastAsia="宋体"/>
          <w:highlight w:val="none"/>
        </w:rPr>
      </w:pPr>
      <w:bookmarkStart w:id="1126" w:name="_Toc1179"/>
      <w:bookmarkStart w:id="1127" w:name="_Toc25920"/>
      <w:bookmarkStart w:id="1128" w:name="_Toc23292"/>
      <w:bookmarkStart w:id="1129" w:name="_Toc7547"/>
      <w:bookmarkStart w:id="1130" w:name="_Toc16340"/>
      <w:bookmarkStart w:id="1131" w:name="_Toc4003"/>
      <w:bookmarkStart w:id="1132" w:name="_Toc17022"/>
      <w:bookmarkStart w:id="1133" w:name="_Toc22154"/>
      <w:bookmarkStart w:id="1134" w:name="_Toc12281"/>
      <w:bookmarkStart w:id="1135" w:name="_Toc9458"/>
      <w:bookmarkStart w:id="1136" w:name="_Toc21919"/>
      <w:bookmarkStart w:id="1137" w:name="_Toc20535"/>
      <w:bookmarkStart w:id="1138" w:name="_Toc9991"/>
      <w:bookmarkStart w:id="1139" w:name="_Toc11424"/>
      <w:bookmarkStart w:id="1140" w:name="_Toc2772"/>
      <w:bookmarkStart w:id="1141" w:name="_Toc28464"/>
      <w:bookmarkStart w:id="1142" w:name="_Toc15741"/>
      <w:bookmarkStart w:id="1143" w:name="_Toc28393"/>
      <w:bookmarkStart w:id="1144" w:name="_Toc9725"/>
      <w:bookmarkStart w:id="1145" w:name="_Toc14991"/>
      <w:bookmarkStart w:id="1146" w:name="_Toc20657"/>
      <w:bookmarkStart w:id="1147" w:name="_Toc13323"/>
      <w:bookmarkStart w:id="1148" w:name="_Toc15740"/>
      <w:bookmarkStart w:id="1149" w:name="_Toc2552"/>
      <w:r>
        <w:rPr>
          <w:rStyle w:val="45"/>
          <w:rFonts w:hint="eastAsia" w:ascii="宋体" w:hAnsi="宋体" w:eastAsia="宋体"/>
          <w:highlight w:val="none"/>
        </w:rPr>
        <w:t>第三章</w:t>
      </w:r>
      <w:r>
        <w:rPr>
          <w:rStyle w:val="45"/>
          <w:rFonts w:hint="eastAsia" w:hAnsi="宋体"/>
          <w:highlight w:val="none"/>
          <w:lang w:val="en-US" w:eastAsia="zh-CN"/>
        </w:rPr>
        <w:t xml:space="preserve"> </w:t>
      </w:r>
      <w:r>
        <w:rPr>
          <w:rStyle w:val="45"/>
          <w:rFonts w:hint="eastAsia" w:ascii="宋体" w:hAnsi="宋体" w:eastAsia="宋体"/>
          <w:highlight w:val="none"/>
        </w:rPr>
        <w:t>合同条款及格式</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shd w:val="clear"/>
        <w:spacing w:before="0"/>
        <w:ind w:right="0"/>
        <w:jc w:val="center"/>
        <w:outlineLvl w:val="1"/>
        <w:rPr>
          <w:rFonts w:ascii="宋体" w:hAnsi="宋体"/>
          <w:b/>
          <w:sz w:val="24"/>
          <w:szCs w:val="24"/>
          <w:highlight w:val="none"/>
        </w:rPr>
      </w:pPr>
      <w:bookmarkStart w:id="1150" w:name="_Toc7587"/>
      <w:bookmarkStart w:id="1151" w:name="_Toc6950"/>
      <w:bookmarkStart w:id="1152" w:name="_Toc3488"/>
      <w:bookmarkStart w:id="1153" w:name="_Toc7236"/>
      <w:bookmarkStart w:id="1154" w:name="_Toc1289"/>
      <w:bookmarkStart w:id="1155" w:name="_Toc12983547"/>
      <w:bookmarkStart w:id="1156" w:name="_Toc14463"/>
      <w:bookmarkStart w:id="1157" w:name="_Toc13761"/>
      <w:bookmarkStart w:id="1158" w:name="_Toc17645"/>
      <w:bookmarkStart w:id="1159" w:name="_Toc25828"/>
      <w:bookmarkStart w:id="1160" w:name="_Toc29797"/>
      <w:bookmarkStart w:id="1161" w:name="_Toc32403"/>
      <w:bookmarkStart w:id="1162" w:name="_Toc8999"/>
      <w:bookmarkStart w:id="1163" w:name="_Toc25174"/>
      <w:bookmarkStart w:id="1164" w:name="_Toc31368"/>
      <w:bookmarkStart w:id="1165" w:name="_Toc3341"/>
      <w:bookmarkStart w:id="1166" w:name="_Toc4026"/>
      <w:bookmarkStart w:id="1167" w:name="_Toc6190"/>
      <w:bookmarkStart w:id="1168" w:name="_Toc4431"/>
      <w:bookmarkStart w:id="1169" w:name="_Toc25177"/>
      <w:bookmarkStart w:id="1170" w:name="_Toc20060"/>
      <w:bookmarkStart w:id="1171" w:name="_Toc15840"/>
      <w:bookmarkStart w:id="1172" w:name="_Toc8022"/>
      <w:bookmarkStart w:id="1173" w:name="_Toc2618"/>
      <w:bookmarkStart w:id="1174" w:name="_Toc21059"/>
      <w:r>
        <w:rPr>
          <w:rFonts w:hint="eastAsia" w:ascii="宋体" w:hAnsi="宋体"/>
          <w:b/>
          <w:sz w:val="24"/>
          <w:szCs w:val="24"/>
          <w:highlight w:val="none"/>
        </w:rPr>
        <w:t>一、合同协议书</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shd w:val="clear"/>
        <w:spacing w:before="0" w:after="0" w:afterAutospacing="0"/>
        <w:ind w:left="0" w:right="0" w:firstLine="420" w:firstLineChars="200"/>
        <w:jc w:val="left"/>
        <w:rPr>
          <w:rFonts w:ascii="宋体" w:hAnsi="宋体"/>
          <w:highlight w:val="none"/>
          <w:u w:val="single"/>
        </w:rPr>
      </w:pPr>
      <w:r>
        <w:rPr>
          <w:rFonts w:hint="eastAsia" w:ascii="宋体" w:hAnsi="宋体"/>
          <w:highlight w:val="none"/>
        </w:rPr>
        <w:t>甲方（全称）：</w:t>
      </w:r>
      <w:r>
        <w:rPr>
          <w:rFonts w:hint="eastAsia" w:ascii="宋体" w:hAnsi="宋体"/>
          <w:color w:val="auto"/>
          <w:highlight w:val="none"/>
        </w:rPr>
        <w:t>南宁轨道交通运营有限公司</w:t>
      </w:r>
    </w:p>
    <w:p>
      <w:pPr>
        <w:shd w:val="clear"/>
        <w:spacing w:before="0" w:after="0" w:afterAutospacing="0"/>
        <w:ind w:left="0" w:right="0" w:firstLine="420" w:firstLineChars="200"/>
        <w:jc w:val="left"/>
        <w:rPr>
          <w:rFonts w:ascii="宋体" w:hAnsi="宋体"/>
          <w:color w:val="auto"/>
          <w:highlight w:val="none"/>
        </w:rPr>
      </w:pPr>
      <w:r>
        <w:rPr>
          <w:rFonts w:hint="eastAsia" w:ascii="宋体" w:hAnsi="宋体"/>
          <w:highlight w:val="none"/>
        </w:rPr>
        <w:t>乙方（全称）：</w:t>
      </w:r>
    </w:p>
    <w:p>
      <w:pPr>
        <w:shd w:val="clear"/>
        <w:spacing w:before="0" w:after="0" w:afterAutospacing="0"/>
        <w:ind w:left="0" w:right="0" w:firstLine="420" w:firstLineChars="200"/>
        <w:jc w:val="left"/>
        <w:rPr>
          <w:rFonts w:ascii="宋体" w:hAnsi="宋体"/>
          <w:highlight w:val="none"/>
        </w:rPr>
      </w:pPr>
      <w:r>
        <w:rPr>
          <w:rFonts w:hint="eastAsia" w:ascii="宋体" w:hAnsi="宋体"/>
          <w:color w:val="auto"/>
          <w:highlight w:val="none"/>
        </w:rPr>
        <w:t>本协议由南宁轨道交通运营有限公司（下称“甲方”或业主）与（下称“乙方”），双方根据</w:t>
      </w:r>
      <w:r>
        <w:rPr>
          <w:rFonts w:hint="eastAsia" w:ascii="宋体" w:hAnsi="宋体"/>
          <w:color w:val="auto"/>
          <w:highlight w:val="none"/>
          <w:u w:val="single"/>
        </w:rPr>
        <w:t>南宁轨道交通1-5号线叉车委外维保项目（2024-2027）</w:t>
      </w:r>
      <w:r>
        <w:rPr>
          <w:rFonts w:hint="eastAsia" w:ascii="宋体" w:hAnsi="宋体"/>
          <w:color w:val="auto"/>
          <w:highlight w:val="none"/>
        </w:rPr>
        <w:t>（项目编号：</w:t>
      </w:r>
      <w:r>
        <w:rPr>
          <w:rFonts w:hint="eastAsia" w:ascii="宋体" w:hAnsi="宋体"/>
          <w:color w:val="auto"/>
          <w:highlight w:val="none"/>
          <w:u w:val="single"/>
        </w:rPr>
        <w:t>202311020012</w:t>
      </w:r>
      <w:r>
        <w:rPr>
          <w:rFonts w:hint="eastAsia" w:ascii="宋体" w:hAnsi="宋体"/>
          <w:color w:val="auto"/>
          <w:highlight w:val="none"/>
        </w:rPr>
        <w:t>）</w:t>
      </w:r>
      <w:r>
        <w:rPr>
          <w:rFonts w:hint="eastAsia" w:ascii="宋体" w:hAnsi="宋体"/>
          <w:highlight w:val="none"/>
        </w:rPr>
        <w:t>比选结果，依据《中华人民共和国民法典》的规定，签订协议。具体内容如下：</w:t>
      </w:r>
    </w:p>
    <w:p>
      <w:pPr>
        <w:shd w:val="clear"/>
        <w:tabs>
          <w:tab w:val="left" w:pos="1134"/>
          <w:tab w:val="left" w:pos="1680"/>
        </w:tabs>
        <w:spacing w:before="0" w:after="0" w:afterAutospacing="0"/>
        <w:ind w:left="0" w:right="0" w:firstLine="422"/>
        <w:outlineLvl w:val="2"/>
        <w:rPr>
          <w:rFonts w:ascii="宋体" w:hAnsi="宋体" w:cs="Arial"/>
          <w:b/>
          <w:highlight w:val="none"/>
        </w:rPr>
      </w:pPr>
      <w:r>
        <w:rPr>
          <w:rFonts w:ascii="宋体" w:hAnsi="宋体" w:cs="Arial"/>
          <w:b/>
          <w:highlight w:val="none"/>
        </w:rPr>
        <w:t>1、</w:t>
      </w:r>
      <w:r>
        <w:rPr>
          <w:rFonts w:hint="eastAsia" w:ascii="宋体" w:hAnsi="宋体" w:cs="Arial"/>
          <w:b/>
          <w:highlight w:val="none"/>
        </w:rPr>
        <w:t>项目概况</w:t>
      </w:r>
    </w:p>
    <w:p>
      <w:pPr>
        <w:shd w:val="clear"/>
        <w:tabs>
          <w:tab w:val="left" w:pos="1134"/>
          <w:tab w:val="left" w:pos="1680"/>
        </w:tabs>
        <w:spacing w:before="0" w:after="0" w:afterAutospacing="0"/>
        <w:ind w:left="0" w:right="0" w:firstLine="420"/>
        <w:rPr>
          <w:rFonts w:ascii="宋体" w:hAnsi="宋体" w:cs="Arial"/>
          <w:highlight w:val="none"/>
        </w:rPr>
      </w:pPr>
      <w:r>
        <w:rPr>
          <w:rFonts w:hint="eastAsia" w:ascii="宋体" w:hAnsi="宋体" w:cs="Arial"/>
          <w:highlight w:val="none"/>
        </w:rPr>
        <w:t>1.1 项目名称</w:t>
      </w:r>
      <w:r>
        <w:rPr>
          <w:rFonts w:hint="eastAsia" w:ascii="宋体" w:hAnsi="宋体" w:cs="Arial"/>
          <w:color w:val="auto"/>
          <w:highlight w:val="none"/>
        </w:rPr>
        <w:t>：</w:t>
      </w:r>
      <w:r>
        <w:rPr>
          <w:rFonts w:hint="eastAsia" w:ascii="宋体" w:hAnsi="宋体"/>
          <w:color w:val="auto"/>
          <w:highlight w:val="none"/>
          <w:u w:val="single"/>
        </w:rPr>
        <w:t>南宁轨道交通1-5号线叉车委外维保项目（2024-2027）</w:t>
      </w:r>
      <w:r>
        <w:rPr>
          <w:rFonts w:hint="eastAsia" w:ascii="宋体" w:hAnsi="宋体"/>
          <w:color w:val="auto"/>
          <w:highlight w:val="none"/>
        </w:rPr>
        <w:t>。</w:t>
      </w:r>
    </w:p>
    <w:p>
      <w:pPr>
        <w:shd w:val="clear"/>
        <w:tabs>
          <w:tab w:val="left" w:pos="1134"/>
          <w:tab w:val="left" w:pos="1680"/>
        </w:tabs>
        <w:spacing w:before="0" w:after="0" w:afterAutospacing="0"/>
        <w:ind w:left="0" w:right="0" w:firstLine="420"/>
        <w:rPr>
          <w:rFonts w:ascii="宋体" w:hAnsi="宋体"/>
          <w:highlight w:val="none"/>
        </w:rPr>
      </w:pPr>
      <w:r>
        <w:rPr>
          <w:rFonts w:hint="eastAsia" w:ascii="宋体" w:hAnsi="宋体" w:cs="Arial"/>
          <w:highlight w:val="none"/>
        </w:rPr>
        <w:t>1.2 项目实施地点：</w:t>
      </w:r>
      <w:r>
        <w:rPr>
          <w:rFonts w:hint="eastAsia" w:eastAsia="宋体"/>
          <w:color w:val="auto"/>
          <w:sz w:val="21"/>
          <w:szCs w:val="21"/>
          <w:highlight w:val="none"/>
        </w:rPr>
        <w:t>南宁轨道交通1号线屯里车辆段，2号线安吉车辆段及综合基地，3号线心圩车辆段、新村停车场，4号线五象车辆段，5号线那洪车辆基地</w:t>
      </w:r>
      <w:r>
        <w:rPr>
          <w:rFonts w:hint="eastAsia" w:ascii="宋体" w:hAnsi="宋体"/>
          <w:color w:val="auto"/>
          <w:highlight w:val="none"/>
          <w:u w:val="none"/>
        </w:rPr>
        <w:t>。</w:t>
      </w:r>
    </w:p>
    <w:p>
      <w:pPr>
        <w:shd w:val="clear"/>
        <w:tabs>
          <w:tab w:val="left" w:pos="1134"/>
          <w:tab w:val="left" w:pos="1680"/>
        </w:tabs>
        <w:spacing w:before="0" w:after="0" w:afterAutospacing="0"/>
        <w:ind w:left="0" w:right="0" w:firstLine="420"/>
        <w:rPr>
          <w:rFonts w:hint="eastAsia" w:ascii="宋体" w:hAnsi="宋体" w:cs="Arial"/>
          <w:highlight w:val="none"/>
        </w:rPr>
      </w:pPr>
      <w:r>
        <w:rPr>
          <w:rFonts w:hint="eastAsia" w:ascii="宋体" w:hAnsi="宋体" w:cs="Arial"/>
          <w:highlight w:val="none"/>
        </w:rPr>
        <w:t>1.3 项目范围：</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1</w:t>
      </w:r>
      <w:r>
        <w:rPr>
          <w:rFonts w:hint="eastAsia" w:ascii="宋体" w:hAnsi="宋体"/>
          <w:color w:val="auto"/>
          <w:highlight w:val="none"/>
          <w:u w:val="none"/>
          <w:lang w:eastAsia="zh-CN"/>
        </w:rPr>
        <w:t>）</w:t>
      </w:r>
      <w:r>
        <w:rPr>
          <w:rFonts w:hint="eastAsia" w:eastAsia="宋体"/>
          <w:color w:val="auto"/>
          <w:sz w:val="21"/>
          <w:szCs w:val="21"/>
          <w:highlight w:val="none"/>
        </w:rPr>
        <w:t>南宁轨道交通1-5号线</w:t>
      </w:r>
      <w:r>
        <w:rPr>
          <w:rFonts w:hint="eastAsia" w:eastAsia="宋体"/>
          <w:color w:val="auto"/>
          <w:sz w:val="21"/>
          <w:szCs w:val="21"/>
          <w:highlight w:val="none"/>
          <w:lang w:val="en-US" w:eastAsia="zh-CN"/>
        </w:rPr>
        <w:t>叉车</w:t>
      </w:r>
      <w:r>
        <w:rPr>
          <w:rFonts w:hint="eastAsia" w:eastAsia="宋体"/>
          <w:color w:val="auto"/>
          <w:sz w:val="21"/>
          <w:szCs w:val="21"/>
          <w:highlight w:val="none"/>
        </w:rPr>
        <w:t>需委外维保的数量共计</w:t>
      </w:r>
      <w:r>
        <w:rPr>
          <w:rFonts w:hint="eastAsia" w:eastAsia="宋体"/>
          <w:color w:val="auto"/>
          <w:sz w:val="21"/>
          <w:szCs w:val="21"/>
          <w:highlight w:val="none"/>
          <w:lang w:val="en-US" w:eastAsia="zh-CN"/>
        </w:rPr>
        <w:t>38</w:t>
      </w:r>
      <w:r>
        <w:rPr>
          <w:rFonts w:hint="eastAsia" w:eastAsia="宋体"/>
          <w:color w:val="auto"/>
          <w:sz w:val="21"/>
          <w:szCs w:val="21"/>
          <w:highlight w:val="none"/>
        </w:rPr>
        <w:t>台</w:t>
      </w:r>
      <w:r>
        <w:rPr>
          <w:rFonts w:hint="eastAsia" w:ascii="宋体" w:hAnsi="宋体"/>
          <w:color w:val="auto"/>
          <w:highlight w:val="none"/>
          <w:u w:val="none"/>
        </w:rPr>
        <w:t>,具体详见</w:t>
      </w:r>
      <w:r>
        <w:rPr>
          <w:rFonts w:hint="eastAsia" w:ascii="宋体" w:hAnsi="宋体"/>
          <w:color w:val="auto"/>
          <w:highlight w:val="none"/>
          <w:u w:val="none"/>
          <w:lang w:val="en-US" w:eastAsia="zh-CN"/>
        </w:rPr>
        <w:t>用户</w:t>
      </w:r>
      <w:r>
        <w:rPr>
          <w:rFonts w:hint="eastAsia" w:ascii="宋体" w:hAnsi="宋体"/>
          <w:color w:val="auto"/>
          <w:highlight w:val="none"/>
          <w:u w:val="none"/>
        </w:rPr>
        <w:t>需求书。</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2</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比选申请人</w:t>
      </w:r>
      <w:r>
        <w:rPr>
          <w:rFonts w:hint="eastAsia" w:ascii="宋体" w:hAnsi="宋体"/>
          <w:color w:val="auto"/>
          <w:highlight w:val="none"/>
          <w:u w:val="none"/>
          <w:lang w:eastAsia="zh-CN"/>
        </w:rPr>
        <w:t>根据南宁轨道交通运营有限公司叉车检修规程内容和有关规定要求，组织相关维保人员对南宁轨道交通1-5号线共计38台叉车进行定期维护保养、故障维修、零部件更换及定期检验工作。</w:t>
      </w:r>
    </w:p>
    <w:p>
      <w:pPr>
        <w:shd w:val="clear"/>
        <w:tabs>
          <w:tab w:val="left" w:pos="1134"/>
          <w:tab w:val="left" w:pos="1680"/>
        </w:tabs>
        <w:spacing w:before="0" w:after="0" w:afterAutospacing="0"/>
        <w:ind w:left="0" w:right="0" w:firstLine="422"/>
        <w:outlineLvl w:val="2"/>
        <w:rPr>
          <w:rFonts w:ascii="宋体" w:hAnsi="宋体" w:cs="Arial"/>
          <w:b/>
          <w:highlight w:val="none"/>
        </w:rPr>
      </w:pPr>
      <w:r>
        <w:rPr>
          <w:rFonts w:ascii="宋体" w:hAnsi="宋体" w:cs="Arial"/>
          <w:b/>
          <w:highlight w:val="none"/>
        </w:rPr>
        <w:t>2、</w:t>
      </w:r>
      <w:r>
        <w:rPr>
          <w:rFonts w:hint="eastAsia" w:ascii="宋体" w:hAnsi="宋体" w:cs="Arial"/>
          <w:b/>
          <w:highlight w:val="none"/>
        </w:rPr>
        <w:t>合同标的</w:t>
      </w:r>
    </w:p>
    <w:p>
      <w:pPr>
        <w:shd w:val="clear"/>
        <w:tabs>
          <w:tab w:val="left" w:pos="1134"/>
          <w:tab w:val="left" w:pos="1680"/>
        </w:tabs>
        <w:spacing w:before="0" w:after="0" w:afterAutospacing="0"/>
        <w:ind w:left="0" w:right="0" w:firstLine="420"/>
        <w:rPr>
          <w:highlight w:val="none"/>
        </w:rPr>
      </w:pPr>
      <w:r>
        <w:rPr>
          <w:rFonts w:hint="eastAsia"/>
          <w:highlight w:val="none"/>
        </w:rPr>
        <w:t>甲方同意接受，乙方同意作为中选方并以下列第3条所述价</w:t>
      </w:r>
      <w:r>
        <w:rPr>
          <w:rFonts w:hint="eastAsia"/>
          <w:color w:val="auto"/>
          <w:highlight w:val="none"/>
        </w:rPr>
        <w:t>格提供</w:t>
      </w:r>
      <w:r>
        <w:rPr>
          <w:rFonts w:hint="eastAsia" w:ascii="宋体" w:hAnsi="宋体"/>
          <w:color w:val="auto"/>
          <w:highlight w:val="none"/>
          <w:u w:val="single"/>
        </w:rPr>
        <w:t>南宁轨道交通1-5号线叉车委外维保项目（2024-2027）</w:t>
      </w:r>
      <w:r>
        <w:rPr>
          <w:rFonts w:hint="eastAsia"/>
          <w:highlight w:val="none"/>
        </w:rPr>
        <w:t>项下的</w:t>
      </w:r>
      <w:r>
        <w:rPr>
          <w:rFonts w:hint="eastAsia"/>
          <w:highlight w:val="none"/>
          <w:u w:val="single"/>
        </w:rPr>
        <w:t xml:space="preserve"> </w:t>
      </w:r>
      <w:r>
        <w:rPr>
          <w:rFonts w:hint="eastAsia" w:ascii="宋体" w:hAnsi="宋体"/>
          <w:color w:val="auto"/>
          <w:highlight w:val="none"/>
          <w:u w:val="single"/>
        </w:rPr>
        <w:t>南宁轨道交通</w:t>
      </w:r>
      <w:r>
        <w:rPr>
          <w:rFonts w:hint="eastAsia" w:ascii="宋体" w:hAnsi="宋体" w:cs="Arial"/>
          <w:highlight w:val="none"/>
          <w:u w:val="single"/>
        </w:rPr>
        <w:t>1-5号线38台叉车</w:t>
      </w:r>
      <w:r>
        <w:rPr>
          <w:rFonts w:hint="eastAsia" w:ascii="宋体" w:hAnsi="宋体" w:cs="Arial"/>
          <w:highlight w:val="none"/>
          <w:u w:val="single"/>
          <w:lang w:val="en-US" w:eastAsia="zh-CN"/>
        </w:rPr>
        <w:t>的</w:t>
      </w:r>
      <w:r>
        <w:rPr>
          <w:rFonts w:hint="eastAsia" w:ascii="宋体" w:hAnsi="宋体" w:cs="Arial"/>
          <w:highlight w:val="none"/>
          <w:u w:val="single"/>
        </w:rPr>
        <w:t>委外维保</w:t>
      </w:r>
      <w:r>
        <w:rPr>
          <w:rFonts w:hint="eastAsia"/>
          <w:highlight w:val="none"/>
          <w:u w:val="single"/>
        </w:rPr>
        <w:t>服务（包括但不限于</w:t>
      </w:r>
      <w:r>
        <w:rPr>
          <w:rFonts w:hint="eastAsia"/>
          <w:highlight w:val="none"/>
          <w:u w:val="single"/>
          <w:lang w:val="en-US" w:eastAsia="zh-CN"/>
        </w:rPr>
        <w:t>叉车定期维保</w:t>
      </w:r>
      <w:r>
        <w:rPr>
          <w:rFonts w:hint="eastAsia"/>
          <w:highlight w:val="none"/>
          <w:u w:val="single"/>
        </w:rPr>
        <w:t>、</w:t>
      </w:r>
      <w:r>
        <w:rPr>
          <w:rFonts w:hint="eastAsia"/>
          <w:highlight w:val="none"/>
          <w:u w:val="single"/>
          <w:lang w:val="en-US" w:eastAsia="zh-CN"/>
        </w:rPr>
        <w:t>定期检验、更换故障备件</w:t>
      </w:r>
      <w:r>
        <w:rPr>
          <w:rFonts w:hint="eastAsia"/>
          <w:highlight w:val="none"/>
          <w:u w:val="single"/>
        </w:rPr>
        <w:t>等）。</w:t>
      </w:r>
    </w:p>
    <w:p>
      <w:pPr>
        <w:shd w:val="clear"/>
        <w:tabs>
          <w:tab w:val="left" w:pos="567"/>
        </w:tabs>
        <w:spacing w:before="0" w:after="0" w:afterAutospacing="0"/>
        <w:ind w:left="0" w:right="0" w:firstLine="422" w:firstLineChars="200"/>
        <w:outlineLvl w:val="2"/>
        <w:rPr>
          <w:rFonts w:ascii="宋体" w:hAnsi="宋体"/>
          <w:b/>
          <w:highlight w:val="none"/>
        </w:rPr>
      </w:pPr>
      <w:r>
        <w:rPr>
          <w:rFonts w:ascii="宋体" w:hAnsi="宋体"/>
          <w:b/>
          <w:highlight w:val="none"/>
        </w:rPr>
        <w:t>3、合同</w:t>
      </w:r>
      <w:r>
        <w:rPr>
          <w:rFonts w:hint="eastAsia" w:ascii="宋体" w:hAnsi="宋体"/>
          <w:b/>
          <w:highlight w:val="none"/>
        </w:rPr>
        <w:t>价格</w:t>
      </w:r>
    </w:p>
    <w:p>
      <w:pPr>
        <w:shd w:val="clear"/>
        <w:tabs>
          <w:tab w:val="left" w:pos="960"/>
          <w:tab w:val="left" w:pos="1418"/>
          <w:tab w:val="left" w:pos="8364"/>
        </w:tabs>
        <w:spacing w:before="0" w:after="0" w:afterAutospacing="0"/>
        <w:ind w:left="420" w:right="0" w:firstLine="0"/>
        <w:rPr>
          <w:rFonts w:hint="eastAsia" w:ascii="宋体" w:hAnsi="宋体"/>
          <w:highlight w:val="none"/>
          <w:lang w:val="en-US" w:eastAsia="zh-CN"/>
        </w:rPr>
      </w:pPr>
      <w:r>
        <w:rPr>
          <w:rFonts w:hint="eastAsia" w:ascii="宋体" w:hAnsi="宋体"/>
          <w:highlight w:val="none"/>
          <w:lang w:val="en-US" w:eastAsia="zh-CN"/>
        </w:rPr>
        <w:t>本合同为</w:t>
      </w:r>
      <w:r>
        <w:rPr>
          <w:rFonts w:hint="eastAsia" w:ascii="宋体" w:hAnsi="宋体"/>
          <w:highlight w:val="none"/>
        </w:rPr>
        <w:t>固定综合单价</w:t>
      </w:r>
      <w:r>
        <w:rPr>
          <w:rFonts w:hint="eastAsia" w:ascii="宋体" w:hAnsi="宋体"/>
          <w:highlight w:val="none"/>
          <w:lang w:val="en-US" w:eastAsia="zh-CN"/>
        </w:rPr>
        <w:t>合同，不含增值税总价为（大写）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，增值税率为：</w:t>
      </w:r>
      <w:r>
        <w:rPr>
          <w:rFonts w:hint="eastAsia" w:ascii="宋体" w:hAnsi="宋体"/>
          <w:highlight w:val="none"/>
          <w:u w:val="single"/>
          <w:lang w:val="en-US" w:eastAsia="zh-CN"/>
        </w:rPr>
        <w:t xml:space="preserve">       </w:t>
      </w:r>
      <w:r>
        <w:rPr>
          <w:rFonts w:hint="eastAsia" w:ascii="宋体" w:hAnsi="宋体"/>
          <w:highlight w:val="none"/>
          <w:lang w:val="en-US" w:eastAsia="zh-CN"/>
        </w:rPr>
        <w:t>；</w:t>
      </w:r>
    </w:p>
    <w:p>
      <w:pPr>
        <w:shd w:val="clear"/>
        <w:tabs>
          <w:tab w:val="left" w:pos="960"/>
          <w:tab w:val="left" w:pos="1418"/>
          <w:tab w:val="left" w:pos="8364"/>
        </w:tabs>
        <w:spacing w:before="0" w:after="0" w:afterAutospacing="0"/>
        <w:ind w:left="0" w:right="0" w:firstLine="0"/>
        <w:rPr>
          <w:rFonts w:hint="eastAsia" w:ascii="宋体" w:hAnsi="宋体"/>
          <w:highlight w:val="none"/>
          <w:lang w:val="en-US" w:eastAsia="zh-CN"/>
        </w:rPr>
      </w:pPr>
      <w:r>
        <w:rPr>
          <w:rFonts w:hint="eastAsia" w:ascii="宋体" w:hAnsi="宋体"/>
          <w:highlight w:val="none"/>
        </w:rPr>
        <w:t>增值税额</w:t>
      </w:r>
      <w:r>
        <w:rPr>
          <w:rFonts w:hint="eastAsia" w:ascii="宋体" w:hAnsi="宋体"/>
          <w:highlight w:val="none"/>
          <w:lang w:val="en-US" w:eastAsia="zh-CN"/>
        </w:rPr>
        <w:t>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rPr>
        <w:t>（下文称“合同价格”)</w:t>
      </w:r>
      <w:r>
        <w:rPr>
          <w:rFonts w:hint="eastAsia" w:ascii="宋体" w:hAnsi="宋体"/>
          <w:highlight w:val="none"/>
          <w:lang w:eastAsia="zh-CN"/>
        </w:rPr>
        <w:t>。</w:t>
      </w:r>
      <w:r>
        <w:rPr>
          <w:rFonts w:hint="eastAsia" w:ascii="宋体" w:hAnsi="宋体"/>
          <w:highlight w:val="none"/>
          <w:lang w:val="en-US" w:eastAsia="zh-CN"/>
        </w:rPr>
        <w:t>其中：</w:t>
      </w:r>
    </w:p>
    <w:p>
      <w:pPr>
        <w:shd w:val="clear"/>
        <w:tabs>
          <w:tab w:val="left" w:pos="960"/>
          <w:tab w:val="left" w:pos="1418"/>
          <w:tab w:val="left" w:pos="8364"/>
        </w:tabs>
        <w:spacing w:before="0" w:after="0" w:afterAutospacing="0"/>
        <w:ind w:left="420" w:right="0" w:firstLine="0"/>
        <w:rPr>
          <w:rFonts w:hint="eastAsia" w:ascii="宋体" w:hAnsi="宋体"/>
          <w:highlight w:val="none"/>
          <w:lang w:val="en-US" w:eastAsia="zh-CN"/>
        </w:rPr>
      </w:pPr>
      <w:r>
        <w:rPr>
          <w:rFonts w:hint="eastAsia" w:ascii="宋体" w:hAnsi="宋体" w:eastAsia="宋体"/>
          <w:highlight w:val="none"/>
          <w:lang w:val="en-US" w:eastAsia="zh-CN"/>
        </w:rPr>
        <w:t>维保部分</w:t>
      </w:r>
      <w:r>
        <w:rPr>
          <w:rFonts w:hint="eastAsia" w:ascii="宋体" w:hAnsi="宋体"/>
          <w:highlight w:val="none"/>
          <w:lang w:val="en-US" w:eastAsia="zh-CN"/>
        </w:rPr>
        <w:t>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，增值税率为：</w:t>
      </w:r>
      <w:r>
        <w:rPr>
          <w:rFonts w:hint="eastAsia" w:ascii="宋体" w:hAnsi="宋体"/>
          <w:highlight w:val="none"/>
          <w:u w:val="single"/>
          <w:lang w:val="en-US" w:eastAsia="zh-CN"/>
        </w:rPr>
        <w:t xml:space="preserve">       </w:t>
      </w:r>
      <w:r>
        <w:rPr>
          <w:rFonts w:hint="eastAsia" w:ascii="宋体" w:hAnsi="宋体"/>
          <w:highlight w:val="none"/>
          <w:lang w:val="en-US" w:eastAsia="zh-CN"/>
        </w:rPr>
        <w:t>；</w:t>
      </w:r>
      <w:r>
        <w:rPr>
          <w:rFonts w:hint="eastAsia" w:ascii="宋体" w:hAnsi="宋体"/>
          <w:highlight w:val="none"/>
        </w:rPr>
        <w:t>增值税额</w:t>
      </w:r>
      <w:r>
        <w:rPr>
          <w:rFonts w:hint="eastAsia" w:ascii="宋体" w:hAnsi="宋体"/>
          <w:highlight w:val="none"/>
          <w:lang w:val="en-US" w:eastAsia="zh-CN"/>
        </w:rPr>
        <w:t>为</w:t>
      </w:r>
    </w:p>
    <w:p>
      <w:pPr>
        <w:shd w:val="clear"/>
        <w:tabs>
          <w:tab w:val="left" w:pos="960"/>
          <w:tab w:val="left" w:pos="1418"/>
          <w:tab w:val="left" w:pos="8364"/>
        </w:tabs>
        <w:spacing w:before="0" w:after="0" w:afterAutospacing="0"/>
        <w:ind w:left="0" w:right="0" w:firstLine="0"/>
        <w:rPr>
          <w:rFonts w:hint="eastAsia" w:ascii="宋体" w:hAnsi="宋体" w:eastAsia="宋体"/>
          <w:highlight w:val="none"/>
          <w:lang w:val="en-US" w:eastAsia="zh-CN"/>
        </w:rPr>
      </w:pPr>
      <w:r>
        <w:rPr>
          <w:rFonts w:hint="eastAsia" w:ascii="宋体" w:hAnsi="宋体"/>
          <w:highlight w:val="none"/>
          <w:lang w:val="en-US" w:eastAsia="zh-CN"/>
        </w:rPr>
        <w:t>（大写）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eastAsia="宋体"/>
          <w:highlight w:val="none"/>
          <w:lang w:val="en-US" w:eastAsia="zh-CN"/>
        </w:rPr>
        <w:t>；</w:t>
      </w:r>
    </w:p>
    <w:p>
      <w:pPr>
        <w:shd w:val="clear"/>
        <w:tabs>
          <w:tab w:val="left" w:pos="960"/>
          <w:tab w:val="left" w:pos="1418"/>
          <w:tab w:val="left" w:pos="8364"/>
        </w:tabs>
        <w:spacing w:before="0" w:after="0" w:afterAutospacing="0"/>
        <w:ind w:right="0"/>
        <w:rPr>
          <w:rFonts w:hint="eastAsia" w:ascii="宋体" w:hAnsi="宋体"/>
          <w:highlight w:val="none"/>
          <w:lang w:val="en-US" w:eastAsia="zh-CN"/>
        </w:rPr>
      </w:pPr>
      <w:r>
        <w:rPr>
          <w:rFonts w:hint="eastAsia" w:ascii="宋体" w:hAnsi="宋体"/>
          <w:highlight w:val="none"/>
          <w:lang w:val="en-US" w:eastAsia="zh-CN"/>
        </w:rPr>
        <w:t xml:space="preserve">    备品备件部分不含增值税总价为（大写）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，增值税率为：</w:t>
      </w:r>
      <w:r>
        <w:rPr>
          <w:rFonts w:hint="eastAsia" w:ascii="宋体" w:hAnsi="宋体"/>
          <w:highlight w:val="none"/>
          <w:u w:val="single"/>
          <w:lang w:val="en-US" w:eastAsia="zh-CN"/>
        </w:rPr>
        <w:t xml:space="preserve">       </w:t>
      </w:r>
      <w:r>
        <w:rPr>
          <w:rFonts w:hint="eastAsia" w:ascii="宋体" w:hAnsi="宋体"/>
          <w:highlight w:val="none"/>
          <w:lang w:val="en-US" w:eastAsia="zh-CN"/>
        </w:rPr>
        <w:t>；增值税</w:t>
      </w:r>
    </w:p>
    <w:p>
      <w:pPr>
        <w:shd w:val="clear"/>
        <w:tabs>
          <w:tab w:val="left" w:pos="960"/>
          <w:tab w:val="left" w:pos="1418"/>
          <w:tab w:val="left" w:pos="8364"/>
        </w:tabs>
        <w:spacing w:before="0" w:after="0" w:afterAutospacing="0"/>
        <w:ind w:right="0"/>
        <w:rPr>
          <w:rFonts w:hint="default" w:ascii="宋体" w:hAnsi="宋体" w:eastAsia="宋体"/>
          <w:highlight w:val="none"/>
          <w:lang w:val="en-US" w:eastAsia="zh-CN"/>
        </w:rPr>
      </w:pPr>
      <w:r>
        <w:rPr>
          <w:rFonts w:hint="eastAsia" w:ascii="宋体" w:hAnsi="宋体"/>
          <w:highlight w:val="none"/>
          <w:lang w:val="en-US" w:eastAsia="zh-CN"/>
        </w:rPr>
        <w:t>额为（大写）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p>
    <w:p>
      <w:pPr>
        <w:shd w:val="clear"/>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本合同价格为暂定价，</w:t>
      </w:r>
      <w:r>
        <w:rPr>
          <w:rFonts w:hint="eastAsia" w:ascii="宋体" w:hAnsi="宋体"/>
          <w:b/>
          <w:highlight w:val="none"/>
        </w:rPr>
        <w:t>在合同履约过程中，本合同税率将遵照国家现行税法执行。本合同最终税金在结算阶段，按实际产生的税金进行核算，但合同不含税价格不因国家税率调整而调整。</w:t>
      </w:r>
    </w:p>
    <w:p>
      <w:pPr>
        <w:shd w:val="clear"/>
        <w:spacing w:before="0" w:after="0" w:afterAutospacing="0"/>
        <w:ind w:left="0" w:right="0" w:firstLine="422" w:firstLineChars="200"/>
        <w:outlineLvl w:val="2"/>
        <w:rPr>
          <w:rFonts w:ascii="宋体" w:hAnsi="宋体"/>
          <w:highlight w:val="none"/>
        </w:rPr>
      </w:pPr>
      <w:r>
        <w:rPr>
          <w:rFonts w:ascii="宋体" w:hAnsi="宋体"/>
          <w:b/>
          <w:highlight w:val="none"/>
        </w:rPr>
        <w:t>4.本合同由下列文件构成</w:t>
      </w:r>
      <w:r>
        <w:rPr>
          <w:rFonts w:hint="eastAsia" w:ascii="宋体" w:hAnsi="宋体"/>
          <w:highlight w:val="none"/>
        </w:rPr>
        <w:t>：</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（5）用户需求书/技术规格书；</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（7）比选文件（含比选补充文件）；</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hd w:val="clear"/>
        <w:spacing w:before="0" w:after="0" w:afterAutospacing="0"/>
        <w:ind w:left="0" w:right="0" w:firstLine="420" w:firstLineChars="200"/>
        <w:rPr>
          <w:rFonts w:ascii="宋体" w:hAnsi="宋体" w:cs="Arial"/>
          <w:highlight w:val="none"/>
        </w:rPr>
      </w:pPr>
      <w:r>
        <w:rPr>
          <w:rFonts w:hint="eastAsia" w:cs="宋体"/>
          <w:highlight w:val="none"/>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highlight w:val="none"/>
        </w:rPr>
        <w:t>。</w:t>
      </w:r>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rPr>
        <w:t>5.</w:t>
      </w:r>
      <w:r>
        <w:rPr>
          <w:rFonts w:hint="eastAsia"/>
          <w:highlight w:val="none"/>
        </w:rPr>
        <w:t xml:space="preserve"> 乙方向甲方承诺严格履行合同条款义务，按合同约定承担本合同责任</w:t>
      </w:r>
      <w:r>
        <w:rPr>
          <w:rFonts w:hint="eastAsia" w:ascii="宋体" w:hAnsi="宋体" w:cs="Arial"/>
          <w:highlight w:val="none"/>
        </w:rPr>
        <w:t>。</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6. 双方依据本次比选文件中的用户需求书，通过合同澄清最终形成技术规格书，并经双方正式签署后构成本合同的有效组成部分。在本合同执行中以技术规格书为准。</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7. 甲方向乙方承诺按合同条款约定的条件、时间和方式支付合同价款。</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8. 甲方、乙方承诺按照合同条款约定的违约责任和解决争议方式履行合同。</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9. 本合同协议书中有关词语含义与本合同《合同条款》中分别赋予它们的定义相同，合同协议书与《合同条款》共同组成完整的合同文本。</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10.本合同用中文书写，正本2份，甲乙方各1份；副本12份，甲方持10份，乙方持2份。</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11.本合同协议书经双方法定代表人或授权代表在合同协议书上签字并加盖单位公章后生效。</w:t>
      </w:r>
    </w:p>
    <w:p>
      <w:pPr>
        <w:shd w:val="clear"/>
        <w:spacing w:before="0" w:after="0" w:afterAutospacing="0"/>
        <w:ind w:left="0" w:right="0" w:firstLine="420" w:firstLineChars="200"/>
        <w:outlineLvl w:val="2"/>
        <w:rPr>
          <w:rFonts w:hint="eastAsia" w:ascii="宋体" w:hAnsi="宋体" w:cs="Arial"/>
          <w:highlight w:val="none"/>
        </w:rPr>
      </w:pPr>
      <w:r>
        <w:rPr>
          <w:rFonts w:hint="eastAsia" w:ascii="宋体" w:hAnsi="宋体" w:cs="Arial"/>
          <w:highlight w:val="none"/>
        </w:rPr>
        <w:t>12. 合同未尽事宜，双方另行签订补充协议。</w:t>
      </w:r>
    </w:p>
    <w:tbl>
      <w:tblPr>
        <w:tblStyle w:val="31"/>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4"/>
              <w:shd w:val="clear"/>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南宁轨道交通运营有限公司</w:t>
            </w:r>
          </w:p>
          <w:p>
            <w:pPr>
              <w:pStyle w:val="14"/>
              <w:shd w:val="clear"/>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p>
          <w:p>
            <w:pPr>
              <w:pStyle w:val="14"/>
              <w:shd w:val="clear"/>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w:t>
            </w:r>
            <w:r>
              <w:rPr>
                <w:rFonts w:hint="eastAsia" w:hAnsi="宋体" w:cs="Courier New"/>
                <w:sz w:val="21"/>
                <w:szCs w:val="21"/>
                <w:highlight w:val="none"/>
                <w:u w:val="single"/>
                <w:lang w:val="en-US" w:eastAsia="zh-CN"/>
              </w:rPr>
              <w:t>83</w:t>
            </w:r>
            <w:r>
              <w:rPr>
                <w:rFonts w:hint="eastAsia" w:hAnsi="宋体" w:cs="Courier New"/>
                <w:sz w:val="21"/>
                <w:szCs w:val="21"/>
                <w:highlight w:val="none"/>
                <w:u w:val="single"/>
              </w:rPr>
              <w:t>号</w:t>
            </w:r>
          </w:p>
          <w:p>
            <w:pPr>
              <w:pStyle w:val="14"/>
              <w:shd w:val="clear"/>
              <w:spacing w:before="0" w:after="0"/>
              <w:ind w:right="0"/>
              <w:rPr>
                <w:rFonts w:hAnsi="宋体" w:cs="Courier New"/>
                <w:sz w:val="21"/>
                <w:szCs w:val="21"/>
                <w:highlight w:val="none"/>
              </w:rPr>
            </w:pPr>
            <w:r>
              <w:rPr>
                <w:rFonts w:hint="eastAsia" w:hAnsi="宋体" w:cs="Courier New"/>
                <w:sz w:val="21"/>
                <w:szCs w:val="21"/>
                <w:highlight w:val="none"/>
              </w:rPr>
              <w:t>邮政编码：</w:t>
            </w:r>
          </w:p>
          <w:p>
            <w:pPr>
              <w:pStyle w:val="14"/>
              <w:shd w:val="clear"/>
              <w:spacing w:before="0" w:after="0"/>
              <w:ind w:right="0"/>
              <w:rPr>
                <w:rFonts w:hAnsi="宋体" w:cs="Courier New"/>
                <w:sz w:val="21"/>
                <w:szCs w:val="21"/>
                <w:highlight w:val="none"/>
              </w:rPr>
            </w:pPr>
            <w:r>
              <w:rPr>
                <w:rFonts w:hint="eastAsia" w:hAnsi="宋体" w:cs="Courier New"/>
                <w:sz w:val="21"/>
                <w:szCs w:val="21"/>
                <w:highlight w:val="none"/>
              </w:rPr>
              <w:t>联系人：</w:t>
            </w:r>
          </w:p>
          <w:p>
            <w:pPr>
              <w:pStyle w:val="14"/>
              <w:shd w:val="clear"/>
              <w:spacing w:before="0" w:after="0"/>
              <w:ind w:right="0"/>
              <w:rPr>
                <w:rFonts w:hAnsi="宋体" w:cs="Courier New"/>
                <w:sz w:val="21"/>
                <w:szCs w:val="21"/>
                <w:highlight w:val="none"/>
                <w:u w:val="single"/>
              </w:rPr>
            </w:pPr>
            <w:r>
              <w:rPr>
                <w:rFonts w:hint="eastAsia" w:hAnsi="宋体" w:cs="Courier New"/>
                <w:sz w:val="21"/>
                <w:szCs w:val="21"/>
                <w:highlight w:val="none"/>
              </w:rPr>
              <w:t xml:space="preserve">联系电话： </w:t>
            </w:r>
          </w:p>
          <w:p>
            <w:pPr>
              <w:pStyle w:val="14"/>
              <w:shd w:val="clear"/>
              <w:spacing w:before="0" w:after="0"/>
              <w:ind w:right="0"/>
              <w:rPr>
                <w:rFonts w:hAnsi="宋体" w:cs="Courier New"/>
                <w:sz w:val="21"/>
                <w:szCs w:val="21"/>
                <w:highlight w:val="none"/>
                <w:u w:val="single"/>
              </w:rPr>
            </w:pPr>
            <w:r>
              <w:rPr>
                <w:rFonts w:hint="eastAsia" w:hAnsi="宋体" w:cs="Courier New"/>
                <w:sz w:val="21"/>
                <w:szCs w:val="21"/>
                <w:highlight w:val="none"/>
              </w:rPr>
              <w:t>传真：</w:t>
            </w:r>
          </w:p>
          <w:p>
            <w:pPr>
              <w:pStyle w:val="14"/>
              <w:shd w:val="clear"/>
              <w:spacing w:before="0" w:after="0"/>
              <w:ind w:right="0"/>
              <w:rPr>
                <w:rFonts w:hAnsi="宋体" w:cs="Courier New"/>
                <w:sz w:val="21"/>
                <w:szCs w:val="21"/>
                <w:highlight w:val="none"/>
              </w:rPr>
            </w:pPr>
            <w:r>
              <w:rPr>
                <w:rFonts w:hint="eastAsia" w:hAnsi="宋体" w:cs="Courier New"/>
                <w:sz w:val="21"/>
                <w:szCs w:val="21"/>
                <w:highlight w:val="none"/>
              </w:rPr>
              <w:t>开户银行：</w:t>
            </w:r>
          </w:p>
          <w:p>
            <w:pPr>
              <w:pStyle w:val="14"/>
              <w:shd w:val="clear"/>
              <w:spacing w:before="0" w:after="0"/>
              <w:ind w:right="0"/>
              <w:rPr>
                <w:rFonts w:hAnsi="宋体" w:cs="Courier New"/>
                <w:sz w:val="21"/>
                <w:szCs w:val="21"/>
                <w:highlight w:val="none"/>
              </w:rPr>
            </w:pPr>
            <w:r>
              <w:rPr>
                <w:rFonts w:hint="eastAsia" w:hAnsi="宋体" w:cs="Courier New"/>
                <w:sz w:val="21"/>
                <w:szCs w:val="21"/>
                <w:highlight w:val="none"/>
              </w:rPr>
              <w:t>纳税人识别号：</w:t>
            </w:r>
          </w:p>
        </w:tc>
        <w:tc>
          <w:tcPr>
            <w:tcW w:w="4261" w:type="dxa"/>
          </w:tcPr>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乙方：</w:t>
            </w:r>
          </w:p>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法定代表人或授权人：</w:t>
            </w:r>
          </w:p>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地址：</w:t>
            </w:r>
          </w:p>
          <w:p>
            <w:pPr>
              <w:pStyle w:val="14"/>
              <w:shd w:val="clear"/>
              <w:spacing w:before="0" w:after="0"/>
              <w:ind w:right="0" w:firstLine="200"/>
              <w:rPr>
                <w:rFonts w:hAnsi="宋体" w:cs="Courier New"/>
                <w:sz w:val="21"/>
                <w:szCs w:val="21"/>
                <w:highlight w:val="none"/>
              </w:rPr>
            </w:pPr>
            <w:r>
              <w:rPr>
                <w:rFonts w:hint="eastAsia" w:hAnsi="宋体" w:cs="Courier New"/>
                <w:sz w:val="21"/>
                <w:szCs w:val="21"/>
                <w:highlight w:val="none"/>
              </w:rPr>
              <w:t>邮政编码：</w:t>
            </w:r>
          </w:p>
          <w:p>
            <w:pPr>
              <w:pStyle w:val="14"/>
              <w:shd w:val="clear"/>
              <w:spacing w:before="0" w:after="0"/>
              <w:ind w:right="0" w:firstLine="200"/>
              <w:rPr>
                <w:rFonts w:hAnsi="宋体" w:cs="Courier New"/>
                <w:sz w:val="21"/>
                <w:szCs w:val="21"/>
                <w:highlight w:val="none"/>
              </w:rPr>
            </w:pPr>
            <w:r>
              <w:rPr>
                <w:rFonts w:hint="eastAsia" w:hAnsi="宋体" w:cs="Courier New"/>
                <w:sz w:val="21"/>
                <w:szCs w:val="21"/>
                <w:highlight w:val="none"/>
              </w:rPr>
              <w:t>联系人：</w:t>
            </w:r>
          </w:p>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联系电话：</w:t>
            </w:r>
          </w:p>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传真：</w:t>
            </w:r>
          </w:p>
          <w:p>
            <w:pPr>
              <w:pStyle w:val="14"/>
              <w:shd w:val="clear"/>
              <w:spacing w:before="0" w:after="0"/>
              <w:ind w:right="0" w:firstLine="200"/>
              <w:rPr>
                <w:rFonts w:hAnsi="宋体" w:cs="Courier New"/>
                <w:sz w:val="21"/>
                <w:szCs w:val="21"/>
                <w:highlight w:val="none"/>
                <w:u w:val="single"/>
              </w:rPr>
            </w:pPr>
            <w:r>
              <w:rPr>
                <w:rFonts w:hint="eastAsia" w:hAnsi="宋体" w:cs="Courier New"/>
                <w:sz w:val="21"/>
                <w:szCs w:val="21"/>
                <w:highlight w:val="none"/>
              </w:rPr>
              <w:t>开户银行：</w:t>
            </w:r>
          </w:p>
          <w:p>
            <w:pPr>
              <w:pStyle w:val="14"/>
              <w:shd w:val="clear"/>
              <w:spacing w:before="0" w:after="0"/>
              <w:ind w:left="708" w:right="0" w:hanging="707"/>
              <w:rPr>
                <w:rFonts w:hAnsi="宋体" w:cs="Courier New"/>
                <w:sz w:val="21"/>
                <w:szCs w:val="21"/>
                <w:highlight w:val="none"/>
              </w:rPr>
            </w:pPr>
            <w:r>
              <w:rPr>
                <w:rFonts w:hint="eastAsia" w:hAnsi="宋体" w:cs="Courier New"/>
                <w:sz w:val="21"/>
                <w:szCs w:val="21"/>
                <w:highlight w:val="none"/>
              </w:rPr>
              <w:t xml:space="preserve">    纳税人识别号：</w:t>
            </w:r>
          </w:p>
        </w:tc>
      </w:tr>
    </w:tbl>
    <w:p>
      <w:pPr>
        <w:shd w:val="clear"/>
        <w:spacing w:before="0" w:after="0"/>
        <w:ind w:left="699" w:leftChars="333" w:right="0" w:firstLine="1560" w:firstLineChars="740"/>
        <w:rPr>
          <w:rFonts w:ascii="宋体" w:hAnsi="宋体"/>
          <w:b/>
          <w:highlight w:val="none"/>
          <w:u w:val="single"/>
        </w:rPr>
      </w:pPr>
      <w:r>
        <w:rPr>
          <w:rFonts w:hint="eastAsia" w:ascii="宋体" w:hAnsi="宋体"/>
          <w:b/>
          <w:highlight w:val="none"/>
        </w:rPr>
        <w:t>签订时间：     年   月   日</w:t>
      </w:r>
    </w:p>
    <w:p>
      <w:pPr>
        <w:pStyle w:val="14"/>
        <w:shd w:val="clear"/>
        <w:ind w:left="0" w:leftChars="0" w:firstLine="0" w:firstLineChars="0"/>
        <w:rPr>
          <w:highlight w:val="none"/>
        </w:rPr>
      </w:pPr>
      <w:bookmarkStart w:id="1175" w:name="_Toc9438"/>
      <w:bookmarkStart w:id="1176" w:name="_Toc7689"/>
      <w:bookmarkStart w:id="1177" w:name="_Toc24098"/>
      <w:bookmarkStart w:id="1178" w:name="_Toc7529"/>
      <w:bookmarkStart w:id="1179" w:name="_Toc12155"/>
      <w:bookmarkStart w:id="1180" w:name="_Toc4133"/>
      <w:bookmarkStart w:id="1181" w:name="_Toc9188"/>
      <w:bookmarkStart w:id="1182" w:name="_Toc29876"/>
      <w:bookmarkStart w:id="1183" w:name="_Toc18460"/>
      <w:bookmarkStart w:id="1184" w:name="_Toc24973"/>
      <w:bookmarkStart w:id="1185" w:name="_Toc10196"/>
      <w:bookmarkStart w:id="1186" w:name="_Toc997"/>
      <w:bookmarkStart w:id="1187" w:name="_Toc16743"/>
      <w:bookmarkStart w:id="1188" w:name="_Toc11253"/>
      <w:bookmarkStart w:id="1189" w:name="_Toc14469"/>
      <w:bookmarkStart w:id="1190" w:name="_Toc258"/>
      <w:bookmarkStart w:id="1191" w:name="_Toc25942"/>
    </w:p>
    <w:p>
      <w:pPr>
        <w:numPr>
          <w:ilvl w:val="0"/>
          <w:numId w:val="3"/>
        </w:numPr>
        <w:shd w:val="clear"/>
        <w:spacing w:before="0"/>
        <w:ind w:right="0"/>
        <w:jc w:val="center"/>
        <w:outlineLvl w:val="1"/>
        <w:rPr>
          <w:rFonts w:hint="eastAsia" w:ascii="宋体" w:hAnsi="宋体"/>
          <w:b/>
          <w:sz w:val="24"/>
          <w:szCs w:val="24"/>
          <w:highlight w:val="none"/>
          <w:lang w:val="en-US" w:eastAsia="zh-CN"/>
        </w:rPr>
      </w:pPr>
      <w:bookmarkStart w:id="1192" w:name="_Toc23812"/>
      <w:bookmarkStart w:id="1193" w:name="_Toc30217"/>
      <w:bookmarkStart w:id="1194" w:name="_Toc31810"/>
      <w:bookmarkStart w:id="1195" w:name="_Toc23694"/>
      <w:bookmarkStart w:id="1196" w:name="_Toc3480"/>
      <w:bookmarkStart w:id="1197" w:name="_Toc28782"/>
      <w:bookmarkStart w:id="1198" w:name="_Toc17801"/>
      <w:r>
        <w:rPr>
          <w:rFonts w:hint="eastAsia" w:ascii="宋体" w:hAnsi="宋体"/>
          <w:b/>
          <w:sz w:val="24"/>
          <w:szCs w:val="24"/>
          <w:highlight w:val="none"/>
          <w:lang w:val="en-US" w:eastAsia="zh-CN"/>
        </w:rPr>
        <w:t>中选通知书</w:t>
      </w:r>
      <w:bookmarkEnd w:id="1192"/>
      <w:bookmarkEnd w:id="1193"/>
      <w:bookmarkEnd w:id="1194"/>
      <w:bookmarkEnd w:id="1195"/>
      <w:bookmarkEnd w:id="1196"/>
      <w:bookmarkEnd w:id="1197"/>
      <w:bookmarkEnd w:id="1198"/>
    </w:p>
    <w:p>
      <w:pPr>
        <w:numPr>
          <w:ilvl w:val="0"/>
          <w:numId w:val="0"/>
        </w:numPr>
        <w:shd w:val="clear"/>
        <w:spacing w:before="0"/>
        <w:ind w:leftChars="0" w:right="0" w:rightChars="0"/>
        <w:jc w:val="both"/>
        <w:outlineLvl w:val="9"/>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rPr>
          <w:rFonts w:ascii="宋体" w:hAnsi="宋体"/>
          <w:b/>
          <w:sz w:val="24"/>
          <w:szCs w:val="24"/>
          <w:highlight w:val="none"/>
        </w:rPr>
      </w:pPr>
    </w:p>
    <w:p>
      <w:pPr>
        <w:pStyle w:val="14"/>
        <w:shd w:val="clear"/>
        <w:ind w:left="0" w:leftChars="0" w:firstLine="0" w:firstLineChars="0"/>
        <w:rPr>
          <w:highlight w:val="none"/>
        </w:rPr>
      </w:pPr>
    </w:p>
    <w:p>
      <w:pPr>
        <w:pStyle w:val="7"/>
        <w:numPr>
          <w:ilvl w:val="-1"/>
          <w:numId w:val="0"/>
        </w:numPr>
        <w:ind w:left="0" w:firstLine="0"/>
      </w:pPr>
    </w:p>
    <w:p>
      <w:pPr>
        <w:rPr>
          <w:highlight w:val="none"/>
        </w:rPr>
      </w:pPr>
    </w:p>
    <w:p>
      <w:pPr>
        <w:pStyle w:val="2"/>
      </w:pPr>
    </w:p>
    <w:p>
      <w:pPr>
        <w:numPr>
          <w:ilvl w:val="0"/>
          <w:numId w:val="3"/>
        </w:numPr>
        <w:shd w:val="clear"/>
        <w:spacing w:before="0"/>
        <w:ind w:right="0"/>
        <w:jc w:val="center"/>
        <w:outlineLvl w:val="1"/>
        <w:rPr>
          <w:rFonts w:ascii="宋体" w:hAnsi="宋体"/>
          <w:b/>
          <w:sz w:val="24"/>
          <w:szCs w:val="24"/>
          <w:highlight w:val="none"/>
        </w:rPr>
      </w:pPr>
      <w:bookmarkStart w:id="1199" w:name="_Toc3643"/>
      <w:bookmarkStart w:id="1200" w:name="_Toc14760"/>
      <w:bookmarkStart w:id="1201" w:name="_Toc14621"/>
      <w:bookmarkStart w:id="1202" w:name="_Toc7658"/>
      <w:bookmarkStart w:id="1203" w:name="_Toc16771"/>
      <w:bookmarkStart w:id="1204" w:name="_Toc1"/>
      <w:bookmarkStart w:id="1205" w:name="_Toc18163"/>
      <w:r>
        <w:rPr>
          <w:rFonts w:hint="eastAsia" w:ascii="宋体" w:hAnsi="宋体"/>
          <w:b/>
          <w:sz w:val="24"/>
          <w:szCs w:val="24"/>
          <w:highlight w:val="none"/>
        </w:rPr>
        <w:t>合同条款</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9"/>
      <w:bookmarkEnd w:id="1200"/>
      <w:bookmarkEnd w:id="1201"/>
      <w:bookmarkEnd w:id="1202"/>
      <w:bookmarkEnd w:id="1203"/>
      <w:bookmarkEnd w:id="1204"/>
      <w:bookmarkEnd w:id="1205"/>
    </w:p>
    <w:p>
      <w:pPr>
        <w:shd w:val="clear"/>
        <w:tabs>
          <w:tab w:val="left" w:pos="640"/>
          <w:tab w:val="left" w:pos="1843"/>
        </w:tabs>
        <w:spacing w:before="0" w:after="0" w:afterAutospacing="0"/>
        <w:ind w:left="422" w:right="0" w:firstLine="0"/>
        <w:outlineLvl w:val="2"/>
        <w:rPr>
          <w:rFonts w:ascii="宋体" w:hAnsi="宋体"/>
          <w:b/>
          <w:highlight w:val="none"/>
        </w:rPr>
      </w:pPr>
      <w:bookmarkStart w:id="1206" w:name="_Toc1703"/>
      <w:bookmarkStart w:id="1207" w:name="_Toc7961"/>
      <w:bookmarkStart w:id="1208" w:name="_Toc28024"/>
      <w:bookmarkStart w:id="1209" w:name="_Toc1249"/>
      <w:bookmarkStart w:id="1210" w:name="_Toc2614"/>
      <w:bookmarkStart w:id="1211" w:name="_Toc25750635"/>
      <w:bookmarkStart w:id="1212" w:name="_Toc20484"/>
      <w:bookmarkStart w:id="1213" w:name="_Toc14287"/>
      <w:bookmarkStart w:id="1214" w:name="_Toc31906"/>
      <w:bookmarkStart w:id="1215" w:name="_Toc43"/>
      <w:bookmarkStart w:id="1216" w:name="_Toc23597"/>
      <w:bookmarkStart w:id="1217" w:name="_Toc29932"/>
      <w:bookmarkStart w:id="1218" w:name="_Toc12256"/>
      <w:bookmarkStart w:id="1219" w:name="_Toc10730"/>
      <w:bookmarkStart w:id="1220" w:name="_Toc18727"/>
      <w:bookmarkStart w:id="1221" w:name="_Toc390098464"/>
      <w:bookmarkStart w:id="1222" w:name="_Toc492478763"/>
      <w:bookmarkStart w:id="1223" w:name="_Toc574"/>
      <w:bookmarkStart w:id="1224" w:name="_Toc22880"/>
      <w:bookmarkStart w:id="1225" w:name="_Toc19920"/>
      <w:bookmarkStart w:id="1226" w:name="_Toc31691"/>
      <w:bookmarkStart w:id="1227" w:name="_Toc15707"/>
      <w:bookmarkStart w:id="1228" w:name="_Toc25643"/>
      <w:bookmarkStart w:id="1229" w:name="_Toc4032"/>
      <w:bookmarkStart w:id="1230" w:name="_Toc12080"/>
      <w:bookmarkStart w:id="1231" w:name="_Toc385427838"/>
      <w:bookmarkStart w:id="1232" w:name="_Toc378514952"/>
      <w:bookmarkStart w:id="1233" w:name="_Toc6054"/>
      <w:bookmarkStart w:id="1234" w:name="_Toc370933855"/>
      <w:r>
        <w:rPr>
          <w:rFonts w:hint="eastAsia" w:ascii="宋体" w:hAnsi="宋体"/>
          <w:b/>
          <w:highlight w:val="none"/>
        </w:rPr>
        <w:t>1.定义及解释</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numPr>
          <w:ilvl w:val="1"/>
          <w:numId w:val="4"/>
        </w:numPr>
        <w:shd w:val="clear"/>
        <w:tabs>
          <w:tab w:val="left" w:pos="840"/>
          <w:tab w:val="clear" w:pos="1134"/>
        </w:tabs>
        <w:spacing w:before="0" w:after="0" w:afterAutospacing="0"/>
        <w:ind w:left="0" w:right="0" w:firstLine="420" w:firstLineChars="200"/>
        <w:outlineLvl w:val="3"/>
        <w:rPr>
          <w:rFonts w:ascii="宋体" w:hAnsi="宋体"/>
          <w:highlight w:val="none"/>
        </w:rPr>
      </w:pPr>
      <w:r>
        <w:rPr>
          <w:rFonts w:hint="eastAsia" w:ascii="宋体" w:hAnsi="宋体"/>
          <w:highlight w:val="none"/>
        </w:rPr>
        <w:t>定义</w:t>
      </w:r>
    </w:p>
    <w:p>
      <w:pPr>
        <w:shd w:val="clear"/>
        <w:tabs>
          <w:tab w:val="left" w:pos="540"/>
          <w:tab w:val="left" w:pos="840"/>
        </w:tabs>
        <w:spacing w:before="0" w:after="0" w:afterAutospacing="0"/>
        <w:ind w:left="420" w:right="0" w:firstLine="0"/>
        <w:rPr>
          <w:rFonts w:ascii="宋体" w:hAnsi="宋体"/>
          <w:highlight w:val="none"/>
        </w:rPr>
      </w:pPr>
      <w:r>
        <w:rPr>
          <w:rFonts w:hint="eastAsia" w:ascii="宋体" w:hAnsi="宋体"/>
          <w:highlight w:val="none"/>
        </w:rPr>
        <w:t>在合同中，下列措辞和用语具有此处所赋予的他们的含义：</w:t>
      </w:r>
    </w:p>
    <w:p>
      <w:pPr>
        <w:numPr>
          <w:ilvl w:val="2"/>
          <w:numId w:val="5"/>
        </w:numPr>
        <w:shd w:val="clear"/>
        <w:tabs>
          <w:tab w:val="left" w:pos="1060"/>
          <w:tab w:val="left" w:pos="1134"/>
        </w:tabs>
        <w:spacing w:before="0" w:after="0" w:afterAutospacing="0"/>
        <w:ind w:left="0" w:right="0" w:firstLine="420" w:firstLineChars="200"/>
        <w:rPr>
          <w:rFonts w:ascii="宋体" w:hAnsi="宋体"/>
          <w:highlight w:val="none"/>
        </w:rPr>
      </w:pPr>
      <w:r>
        <w:rPr>
          <w:rFonts w:hint="eastAsia"/>
          <w:highlight w:val="none"/>
        </w:rPr>
        <w:t>合同文件（或称合同）：指合同协议书、中标通知书、合同条款、合同附件、用户需求书、</w:t>
      </w:r>
      <w:r>
        <w:rPr>
          <w:rFonts w:hint="eastAsia"/>
          <w:highlight w:val="none"/>
          <w:lang w:val="en-US" w:eastAsia="zh-CN"/>
        </w:rPr>
        <w:t>比选</w:t>
      </w:r>
      <w:r>
        <w:rPr>
          <w:rFonts w:hint="eastAsia"/>
          <w:highlight w:val="none"/>
        </w:rPr>
        <w:t>投标文件和澄清文件及甲方对项目开展的有关规定等。</w:t>
      </w:r>
    </w:p>
    <w:p>
      <w:pPr>
        <w:numPr>
          <w:ilvl w:val="2"/>
          <w:numId w:val="5"/>
        </w:numPr>
        <w:shd w:val="clear"/>
        <w:tabs>
          <w:tab w:val="left" w:pos="106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“合同价格”指合同规定乙方在正确地完全履行合同义务后甲方应支付给乙方的金额。</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“合同条款”系指本合同条款。</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w:t>
      </w:r>
      <w:r>
        <w:rPr>
          <w:rFonts w:ascii="宋体" w:hAnsi="宋体"/>
          <w:highlight w:val="none"/>
        </w:rPr>
        <w:t>或“业主”</w:t>
      </w:r>
      <w:r>
        <w:rPr>
          <w:rFonts w:hint="eastAsia" w:ascii="宋体" w:hAnsi="宋体"/>
          <w:highlight w:val="none"/>
        </w:rPr>
        <w:t>系指南宁轨道交通运营有限公司。</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“乙方”系指受甲方委托，负责本项目提供</w:t>
      </w:r>
      <w:r>
        <w:rPr>
          <w:rFonts w:hint="eastAsia"/>
          <w:highlight w:val="none"/>
          <w:u w:val="none"/>
          <w:lang w:val="en-US" w:eastAsia="zh-CN"/>
        </w:rPr>
        <w:t>合同项下服务</w:t>
      </w:r>
      <w:r>
        <w:rPr>
          <w:rFonts w:hint="eastAsia" w:ascii="宋体" w:hAnsi="宋体"/>
          <w:highlight w:val="none"/>
        </w:rPr>
        <w:t>的法人和</w:t>
      </w:r>
      <w:r>
        <w:rPr>
          <w:rFonts w:ascii="宋体" w:hAnsi="宋体"/>
          <w:highlight w:val="none"/>
        </w:rPr>
        <w:t>/</w:t>
      </w:r>
      <w:r>
        <w:rPr>
          <w:rFonts w:hint="eastAsia" w:ascii="宋体" w:hAnsi="宋体"/>
          <w:highlight w:val="none"/>
        </w:rPr>
        <w:t>或其他组织。</w:t>
      </w:r>
    </w:p>
    <w:p>
      <w:pPr>
        <w:numPr>
          <w:ilvl w:val="2"/>
          <w:numId w:val="4"/>
        </w:numPr>
        <w:shd w:val="clear"/>
        <w:tabs>
          <w:tab w:val="left" w:pos="1060"/>
          <w:tab w:val="clear" w:pos="1134"/>
        </w:tabs>
        <w:spacing w:before="0" w:after="0" w:afterAutospacing="0"/>
        <w:ind w:left="0" w:right="0" w:firstLine="420" w:firstLineChars="200"/>
        <w:outlineLvl w:val="4"/>
        <w:rPr>
          <w:rFonts w:ascii="宋体" w:hAnsi="宋体"/>
          <w:highlight w:val="none"/>
        </w:rPr>
      </w:pPr>
      <w:r>
        <w:rPr>
          <w:rFonts w:hint="eastAsia" w:ascii="宋体" w:hAnsi="宋体"/>
          <w:highlight w:val="none"/>
        </w:rPr>
        <w:t>“双方”系指甲方和乙方。</w:t>
      </w:r>
    </w:p>
    <w:p>
      <w:pPr>
        <w:numPr>
          <w:ilvl w:val="2"/>
          <w:numId w:val="4"/>
        </w:numPr>
        <w:shd w:val="clear"/>
        <w:spacing w:before="0" w:after="0" w:afterAutospacing="0"/>
        <w:ind w:left="0" w:right="0" w:firstLine="420" w:firstLineChars="200"/>
        <w:rPr>
          <w:rFonts w:ascii="宋体" w:hAnsi="宋体" w:cs="Arial"/>
          <w:highlight w:val="none"/>
        </w:rPr>
      </w:pPr>
      <w:r>
        <w:rPr>
          <w:rFonts w:hint="eastAsia"/>
          <w:highlight w:val="none"/>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highlight w:val="none"/>
        </w:rPr>
        <w:t>。</w:t>
      </w:r>
    </w:p>
    <w:p>
      <w:pPr>
        <w:numPr>
          <w:ilvl w:val="1"/>
          <w:numId w:val="4"/>
        </w:numPr>
        <w:shd w:val="clear"/>
        <w:tabs>
          <w:tab w:val="left" w:pos="840"/>
          <w:tab w:val="clear" w:pos="1134"/>
        </w:tabs>
        <w:spacing w:before="0" w:after="0" w:afterAutospacing="0"/>
        <w:ind w:left="0" w:right="0" w:firstLine="420" w:firstLineChars="200"/>
        <w:outlineLvl w:val="3"/>
        <w:rPr>
          <w:rFonts w:ascii="宋体" w:hAnsi="宋体"/>
          <w:highlight w:val="none"/>
        </w:rPr>
      </w:pPr>
      <w:r>
        <w:rPr>
          <w:rFonts w:hint="eastAsia" w:ascii="宋体" w:hAnsi="宋体"/>
          <w:highlight w:val="none"/>
        </w:rPr>
        <w:t>解释</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凡指当事人或各方的措辞应包括商行、公司以及具有法人资格的任何组织。仅表明单数形式的词也包括复数含义，视上下文需要而定，反之亦然。</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凡合同规定任何人发出通知、同意或确认时，该通知、同意或确认不得被无故扣押。除非另有规定，该通知、同意或确认应是书面的并应对“通知”一词做出相应解释。</w:t>
      </w:r>
    </w:p>
    <w:p>
      <w:pPr>
        <w:numPr>
          <w:ilvl w:val="2"/>
          <w:numId w:val="4"/>
        </w:numPr>
        <w:shd w:val="clea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可分割性：如果合同的某一条款被禁止或定为是无效的、不可实施的，那么，如此的禁止，无效性或不可实施性不会影响到合同其他条款的有效性或可实施性。</w:t>
      </w:r>
    </w:p>
    <w:p>
      <w:pPr>
        <w:shd w:val="clear"/>
        <w:tabs>
          <w:tab w:val="left" w:pos="640"/>
          <w:tab w:val="left" w:pos="1843"/>
        </w:tabs>
        <w:spacing w:before="0" w:after="0" w:afterAutospacing="0"/>
        <w:ind w:left="422" w:right="0" w:firstLine="0"/>
        <w:outlineLvl w:val="2"/>
        <w:rPr>
          <w:rFonts w:ascii="宋体" w:hAnsi="宋体"/>
          <w:b/>
          <w:highlight w:val="none"/>
        </w:rPr>
      </w:pPr>
      <w:bookmarkStart w:id="1235" w:name="_Toc23247"/>
      <w:bookmarkStart w:id="1236" w:name="_Toc385427839"/>
      <w:bookmarkStart w:id="1237" w:name="_Toc23112"/>
      <w:bookmarkStart w:id="1238" w:name="_Toc378514953"/>
      <w:bookmarkStart w:id="1239" w:name="_Toc7813"/>
      <w:bookmarkStart w:id="1240" w:name="_Toc23305"/>
      <w:bookmarkStart w:id="1241" w:name="_Toc4301"/>
      <w:bookmarkStart w:id="1242" w:name="_Toc20421"/>
      <w:bookmarkStart w:id="1243" w:name="_Toc25750636"/>
      <w:bookmarkStart w:id="1244" w:name="_Toc7059"/>
      <w:bookmarkStart w:id="1245" w:name="_Toc10463"/>
      <w:bookmarkStart w:id="1246" w:name="_Toc2332"/>
      <w:bookmarkStart w:id="1247" w:name="_Toc19899"/>
      <w:bookmarkStart w:id="1248" w:name="_Toc30815"/>
      <w:bookmarkStart w:id="1249" w:name="_Toc15944"/>
      <w:bookmarkStart w:id="1250" w:name="_Toc4255"/>
      <w:bookmarkStart w:id="1251" w:name="_Toc20518"/>
      <w:bookmarkStart w:id="1252" w:name="_Toc13835"/>
      <w:bookmarkStart w:id="1253" w:name="_Toc4212"/>
      <w:bookmarkStart w:id="1254" w:name="_Toc492478764"/>
      <w:bookmarkStart w:id="1255" w:name="_Toc1169"/>
      <w:bookmarkStart w:id="1256" w:name="_Toc25826"/>
      <w:bookmarkStart w:id="1257" w:name="_Toc5955"/>
      <w:bookmarkStart w:id="1258" w:name="_Toc3180"/>
      <w:bookmarkStart w:id="1259" w:name="_Toc370933856"/>
      <w:bookmarkStart w:id="1260" w:name="_Toc8477"/>
      <w:bookmarkStart w:id="1261" w:name="_Toc18178"/>
      <w:bookmarkStart w:id="1262" w:name="_Toc28777"/>
      <w:bookmarkStart w:id="1263" w:name="_Toc390098465"/>
      <w:r>
        <w:rPr>
          <w:rFonts w:hint="eastAsia" w:ascii="宋体" w:hAnsi="宋体"/>
          <w:b/>
          <w:highlight w:val="none"/>
        </w:rPr>
        <w:t>2.适用性</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shd w:val="clear"/>
        <w:tabs>
          <w:tab w:val="left" w:pos="540"/>
          <w:tab w:val="left" w:pos="840"/>
        </w:tabs>
        <w:spacing w:before="0" w:after="0" w:afterAutospacing="0"/>
        <w:ind w:left="420" w:right="0" w:firstLine="0"/>
        <w:rPr>
          <w:rFonts w:ascii="宋体" w:hAnsi="宋体"/>
          <w:highlight w:val="none"/>
        </w:rPr>
      </w:pPr>
      <w:r>
        <w:rPr>
          <w:rFonts w:hint="eastAsia" w:ascii="宋体" w:hAnsi="宋体"/>
          <w:highlight w:val="none"/>
        </w:rPr>
        <w:t>本合同条款适用于本合同其它部分未有规定或未被替代的范围。</w:t>
      </w:r>
    </w:p>
    <w:p>
      <w:pPr>
        <w:shd w:val="clear"/>
        <w:tabs>
          <w:tab w:val="left" w:pos="640"/>
          <w:tab w:val="left" w:pos="1843"/>
        </w:tabs>
        <w:spacing w:before="0" w:after="0" w:afterAutospacing="0"/>
        <w:ind w:left="422" w:right="0" w:firstLine="0"/>
        <w:outlineLvl w:val="2"/>
        <w:rPr>
          <w:rFonts w:ascii="宋体" w:hAnsi="宋体"/>
          <w:highlight w:val="none"/>
        </w:rPr>
      </w:pPr>
      <w:bookmarkStart w:id="1264" w:name="_Toc3131"/>
      <w:bookmarkStart w:id="1265" w:name="_Toc15308"/>
      <w:bookmarkStart w:id="1266" w:name="_Toc14771"/>
      <w:bookmarkStart w:id="1267" w:name="_Toc18092"/>
      <w:bookmarkStart w:id="1268" w:name="_Toc25750637"/>
      <w:bookmarkStart w:id="1269" w:name="_Toc4969"/>
      <w:bookmarkStart w:id="1270" w:name="_Toc14437"/>
      <w:bookmarkStart w:id="1271" w:name="_Toc21603"/>
      <w:bookmarkStart w:id="1272" w:name="_Toc4898"/>
      <w:bookmarkStart w:id="1273" w:name="_Toc3397"/>
      <w:bookmarkStart w:id="1274" w:name="_Toc15645"/>
      <w:bookmarkStart w:id="1275" w:name="_Toc370933857"/>
      <w:bookmarkStart w:id="1276" w:name="_Toc4413"/>
      <w:bookmarkStart w:id="1277" w:name="_Toc11803"/>
      <w:bookmarkStart w:id="1278" w:name="_Toc21065"/>
      <w:bookmarkStart w:id="1279" w:name="_Toc9864"/>
      <w:bookmarkStart w:id="1280" w:name="_Toc12248"/>
      <w:bookmarkStart w:id="1281" w:name="_Toc9306"/>
      <w:bookmarkStart w:id="1282" w:name="_Toc4738"/>
      <w:bookmarkStart w:id="1283" w:name="_Toc378514954"/>
      <w:bookmarkStart w:id="1284" w:name="_Toc26983"/>
      <w:bookmarkStart w:id="1285" w:name="_Toc15478"/>
      <w:bookmarkStart w:id="1286" w:name="_Toc390098466"/>
      <w:bookmarkStart w:id="1287" w:name="_Toc13801"/>
      <w:bookmarkStart w:id="1288" w:name="_Toc385427840"/>
      <w:bookmarkStart w:id="1289" w:name="_Toc3674"/>
      <w:bookmarkStart w:id="1290" w:name="_Toc4529"/>
      <w:bookmarkStart w:id="1291" w:name="_Toc492478765"/>
      <w:bookmarkStart w:id="1292" w:name="_Toc5253"/>
      <w:r>
        <w:rPr>
          <w:rFonts w:hint="eastAsia" w:ascii="宋体" w:hAnsi="宋体"/>
          <w:b/>
          <w:highlight w:val="none"/>
        </w:rPr>
        <w:t>3.</w:t>
      </w:r>
      <w:r>
        <w:rPr>
          <w:rFonts w:hint="eastAsia" w:cs="宋体"/>
          <w:b/>
          <w:bCs/>
          <w:highlight w:val="none"/>
        </w:rPr>
        <w:t xml:space="preserve"> 语言文字</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shd w:val="clear"/>
        <w:ind w:left="105" w:leftChars="50" w:firstLine="315" w:firstLineChars="150"/>
        <w:rPr>
          <w:rFonts w:ascii="宋体" w:hAnsi="宋体"/>
          <w:highlight w:val="none"/>
        </w:rPr>
      </w:pPr>
      <w:r>
        <w:rPr>
          <w:rFonts w:hint="eastAsia"/>
          <w:highlight w:val="none"/>
        </w:rPr>
        <w:t>除专用术语外，合同使用的语言文字为中文。专用术语在使用其他语种文字应附有中文注释。</w:t>
      </w:r>
    </w:p>
    <w:p>
      <w:pPr>
        <w:shd w:val="clear"/>
        <w:tabs>
          <w:tab w:val="left" w:pos="640"/>
          <w:tab w:val="left" w:pos="1843"/>
        </w:tabs>
        <w:spacing w:before="0" w:after="0" w:afterAutospacing="0"/>
        <w:ind w:left="422" w:right="0" w:firstLine="0"/>
        <w:outlineLvl w:val="2"/>
        <w:rPr>
          <w:rFonts w:ascii="宋体" w:hAnsi="宋体"/>
          <w:highlight w:val="none"/>
        </w:rPr>
      </w:pPr>
      <w:bookmarkStart w:id="1293" w:name="_Toc385427841"/>
      <w:bookmarkStart w:id="1294" w:name="_Toc22161"/>
      <w:bookmarkStart w:id="1295" w:name="_Toc21356"/>
      <w:bookmarkStart w:id="1296" w:name="_Toc5268"/>
      <w:bookmarkStart w:id="1297" w:name="_Toc25750638"/>
      <w:bookmarkStart w:id="1298" w:name="_Toc25328"/>
      <w:bookmarkStart w:id="1299" w:name="_Toc11524"/>
      <w:bookmarkStart w:id="1300" w:name="_Toc14713"/>
      <w:bookmarkStart w:id="1301" w:name="_Toc4253"/>
      <w:bookmarkStart w:id="1302" w:name="_Toc492478766"/>
      <w:bookmarkStart w:id="1303" w:name="_Toc23249"/>
      <w:bookmarkStart w:id="1304" w:name="_Toc18548"/>
      <w:bookmarkStart w:id="1305" w:name="_Toc23258"/>
      <w:bookmarkStart w:id="1306" w:name="_Toc370933858"/>
      <w:bookmarkStart w:id="1307" w:name="_Toc21289"/>
      <w:bookmarkStart w:id="1308" w:name="_Toc378514955"/>
      <w:bookmarkStart w:id="1309" w:name="_Toc10807"/>
      <w:bookmarkStart w:id="1310" w:name="_Toc3318"/>
      <w:bookmarkStart w:id="1311" w:name="_Toc27450"/>
      <w:bookmarkStart w:id="1312" w:name="_Toc19514"/>
      <w:bookmarkStart w:id="1313" w:name="_Toc14273"/>
      <w:bookmarkStart w:id="1314" w:name="_Toc16646"/>
      <w:bookmarkStart w:id="1315" w:name="_Toc25311"/>
      <w:bookmarkStart w:id="1316" w:name="_Toc31163"/>
      <w:bookmarkStart w:id="1317" w:name="_Toc390098467"/>
      <w:bookmarkStart w:id="1318" w:name="_Toc11626"/>
      <w:bookmarkStart w:id="1319" w:name="_Toc12180"/>
      <w:bookmarkStart w:id="1320" w:name="_Toc2708"/>
      <w:bookmarkStart w:id="1321" w:name="_Toc21641"/>
      <w:r>
        <w:rPr>
          <w:rFonts w:hint="eastAsia" w:ascii="宋体" w:hAnsi="宋体"/>
          <w:b/>
          <w:highlight w:val="none"/>
        </w:rPr>
        <w:t>4.</w:t>
      </w:r>
      <w:r>
        <w:rPr>
          <w:rFonts w:hint="eastAsia" w:cs="宋体"/>
          <w:b/>
          <w:bCs/>
          <w:highlight w:val="none"/>
        </w:rPr>
        <w:t xml:space="preserve"> 适用法律、标准和规范</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numPr>
          <w:ilvl w:val="1"/>
          <w:numId w:val="6"/>
        </w:numPr>
        <w:shd w:val="clear"/>
        <w:tabs>
          <w:tab w:val="left" w:pos="840"/>
        </w:tabs>
        <w:spacing w:before="0" w:after="0" w:afterAutospacing="0"/>
        <w:ind w:left="0" w:right="0" w:firstLine="420" w:firstLineChars="200"/>
        <w:rPr>
          <w:rFonts w:ascii="宋体" w:hAnsi="宋体"/>
          <w:highlight w:val="none"/>
        </w:rPr>
      </w:pPr>
      <w:r>
        <w:rPr>
          <w:rFonts w:hint="eastAsia"/>
          <w:highlight w:val="none"/>
        </w:rPr>
        <w:t>适用于合同的法律包括国家现行法律、行政法规、部门规章，以及广西壮族自治区和南宁市的地方法规、地方政府规章。</w:t>
      </w:r>
    </w:p>
    <w:p>
      <w:pPr>
        <w:numPr>
          <w:ilvl w:val="1"/>
          <w:numId w:val="6"/>
        </w:numPr>
        <w:shd w:val="clear"/>
        <w:tabs>
          <w:tab w:val="left" w:pos="840"/>
        </w:tabs>
        <w:spacing w:before="0" w:after="0" w:afterAutospacing="0"/>
        <w:ind w:left="0" w:right="0" w:firstLine="420" w:firstLineChars="200"/>
        <w:outlineLvl w:val="3"/>
        <w:rPr>
          <w:rFonts w:ascii="宋体" w:hAnsi="宋体"/>
          <w:highlight w:val="none"/>
        </w:rPr>
      </w:pPr>
      <w:r>
        <w:rPr>
          <w:rFonts w:hint="eastAsia"/>
          <w:highlight w:val="none"/>
        </w:rPr>
        <w:t>适用标准、规范。</w:t>
      </w:r>
    </w:p>
    <w:p>
      <w:pPr>
        <w:numPr>
          <w:ilvl w:val="1"/>
          <w:numId w:val="6"/>
        </w:numPr>
        <w:shd w:val="clear"/>
        <w:tabs>
          <w:tab w:val="left" w:pos="840"/>
        </w:tabs>
        <w:spacing w:before="0" w:after="0" w:afterAutospacing="0"/>
        <w:ind w:left="0" w:right="0" w:firstLine="420" w:firstLineChars="200"/>
        <w:rPr>
          <w:rFonts w:ascii="宋体" w:hAnsi="宋体"/>
          <w:highlight w:val="none"/>
        </w:rPr>
      </w:pPr>
      <w:r>
        <w:rPr>
          <w:rFonts w:hint="eastAsia"/>
          <w:highlight w:val="none"/>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shd w:val="clear"/>
        <w:tabs>
          <w:tab w:val="left" w:pos="640"/>
          <w:tab w:val="left" w:pos="1843"/>
        </w:tabs>
        <w:spacing w:before="0" w:after="0" w:afterAutospacing="0"/>
        <w:ind w:left="422" w:right="0" w:firstLine="0"/>
        <w:outlineLvl w:val="2"/>
        <w:rPr>
          <w:rFonts w:ascii="宋体" w:hAnsi="宋体"/>
          <w:b/>
          <w:highlight w:val="none"/>
        </w:rPr>
      </w:pPr>
      <w:bookmarkStart w:id="1322" w:name="_Toc18813"/>
      <w:bookmarkStart w:id="1323" w:name="_Toc2352"/>
      <w:bookmarkStart w:id="1324" w:name="_Toc17081"/>
      <w:bookmarkStart w:id="1325" w:name="_Toc22040"/>
      <w:bookmarkStart w:id="1326" w:name="_Toc4113"/>
      <w:bookmarkStart w:id="1327" w:name="_Toc370933859"/>
      <w:bookmarkStart w:id="1328" w:name="_Toc31289"/>
      <w:bookmarkStart w:id="1329" w:name="_Toc31912"/>
      <w:bookmarkStart w:id="1330" w:name="_Toc27620"/>
      <w:bookmarkStart w:id="1331" w:name="_Toc20372"/>
      <w:bookmarkStart w:id="1332" w:name="_Toc23539"/>
      <w:bookmarkStart w:id="1333" w:name="_Toc24783"/>
      <w:bookmarkStart w:id="1334" w:name="_Toc11439"/>
      <w:bookmarkStart w:id="1335" w:name="_Toc378514956"/>
      <w:bookmarkStart w:id="1336" w:name="_Toc16039"/>
      <w:bookmarkStart w:id="1337" w:name="_Toc6518"/>
      <w:bookmarkStart w:id="1338" w:name="_Toc19358"/>
      <w:bookmarkStart w:id="1339" w:name="_Toc13516"/>
      <w:bookmarkStart w:id="1340" w:name="_Toc10995"/>
      <w:bookmarkStart w:id="1341" w:name="_Toc14089"/>
      <w:bookmarkStart w:id="1342" w:name="_Toc4048"/>
      <w:bookmarkStart w:id="1343" w:name="_Toc390098468"/>
      <w:bookmarkStart w:id="1344" w:name="_Toc2304"/>
      <w:bookmarkStart w:id="1345" w:name="_Toc18617"/>
      <w:bookmarkStart w:id="1346" w:name="_Toc492478767"/>
      <w:bookmarkStart w:id="1347" w:name="_Toc11487"/>
      <w:bookmarkStart w:id="1348" w:name="_Toc3165"/>
      <w:bookmarkStart w:id="1349" w:name="_Toc25750639"/>
      <w:bookmarkStart w:id="1350" w:name="_Toc385427842"/>
      <w:r>
        <w:rPr>
          <w:rFonts w:hint="eastAsia" w:ascii="宋体" w:hAnsi="宋体"/>
          <w:b/>
          <w:highlight w:val="none"/>
        </w:rPr>
        <w:t>5.合同文件、资料及使用</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numPr>
          <w:ilvl w:val="1"/>
          <w:numId w:val="7"/>
        </w:numPr>
        <w:shd w:val="clea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shd w:val="clea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没有甲方事先书面同意，除了履行本合同之外，乙方不得允许他人使用条款第</w:t>
      </w:r>
      <w:r>
        <w:rPr>
          <w:rFonts w:ascii="宋体" w:hAnsi="宋体"/>
          <w:highlight w:val="none"/>
        </w:rPr>
        <w:t>5.1</w:t>
      </w:r>
      <w:r>
        <w:rPr>
          <w:rFonts w:hint="eastAsia" w:ascii="宋体" w:hAnsi="宋体"/>
          <w:highlight w:val="none"/>
        </w:rPr>
        <w:t>条所列举的任何文件和资料。</w:t>
      </w:r>
    </w:p>
    <w:p>
      <w:pPr>
        <w:numPr>
          <w:ilvl w:val="1"/>
          <w:numId w:val="7"/>
        </w:numPr>
        <w:shd w:val="clea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除了合同本身以外，条款第</w:t>
      </w:r>
      <w:r>
        <w:rPr>
          <w:rFonts w:ascii="宋体" w:hAnsi="宋体"/>
          <w:highlight w:val="none"/>
        </w:rPr>
        <w:t>5.1</w:t>
      </w:r>
      <w:r>
        <w:rPr>
          <w:rFonts w:hint="eastAsia" w:ascii="宋体" w:hAnsi="宋体"/>
          <w:highlight w:val="none"/>
        </w:rPr>
        <w:t>条所列举的任何文件均视为甲方的财产。如果甲方有要求，乙方在完成合同后或合同终止时应将上述文件及全部复印件还交给甲方，或按甲方需求予以销毁。</w:t>
      </w:r>
    </w:p>
    <w:p>
      <w:pPr>
        <w:numPr>
          <w:ilvl w:val="1"/>
          <w:numId w:val="7"/>
        </w:numPr>
        <w:shd w:val="clea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甲方项目档案管理的规定（各类项目文件资料档案的移交份数，详见南宁轨道交通运营有限公司有关部门立卷的规定文件）。</w:t>
      </w:r>
    </w:p>
    <w:p>
      <w:pPr>
        <w:shd w:val="clea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5.5</w:t>
      </w:r>
      <w:r>
        <w:rPr>
          <w:rFonts w:hint="eastAsia" w:ascii="宋体" w:hAnsi="宋体"/>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hd w:val="clea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5.6</w:t>
      </w:r>
      <w:r>
        <w:rPr>
          <w:rFonts w:hint="eastAsia" w:ascii="宋体" w:hAnsi="宋体"/>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shd w:val="clear"/>
        <w:tabs>
          <w:tab w:val="left" w:pos="640"/>
          <w:tab w:val="left" w:pos="1843"/>
        </w:tabs>
        <w:spacing w:before="0" w:after="0" w:afterAutospacing="0"/>
        <w:ind w:left="422" w:right="0" w:firstLine="0"/>
        <w:outlineLvl w:val="2"/>
        <w:rPr>
          <w:rFonts w:hint="eastAsia" w:ascii="宋体" w:hAnsi="宋体"/>
          <w:b/>
          <w:highlight w:val="none"/>
          <w:lang w:val="en-US" w:eastAsia="zh-CN"/>
        </w:rPr>
      </w:pPr>
      <w:bookmarkStart w:id="1351" w:name="_Toc1478"/>
      <w:bookmarkStart w:id="1352" w:name="_Toc4069"/>
      <w:bookmarkStart w:id="1353" w:name="_Toc10119"/>
      <w:bookmarkStart w:id="1354" w:name="_Toc30691"/>
      <w:bookmarkStart w:id="1355" w:name="_Toc28271"/>
      <w:bookmarkStart w:id="1356" w:name="_Toc15801"/>
      <w:bookmarkStart w:id="1357" w:name="_Toc12048"/>
      <w:bookmarkStart w:id="1358" w:name="_Toc24189"/>
      <w:bookmarkStart w:id="1359" w:name="_Toc25750640"/>
      <w:bookmarkStart w:id="1360" w:name="_Toc17908"/>
      <w:bookmarkStart w:id="1361" w:name="_Toc17100"/>
      <w:bookmarkStart w:id="1362" w:name="_Toc25049"/>
      <w:bookmarkStart w:id="1363" w:name="_Toc23274"/>
      <w:bookmarkStart w:id="1364" w:name="_Toc2096"/>
      <w:bookmarkStart w:id="1365" w:name="_Toc16891"/>
      <w:bookmarkStart w:id="1366" w:name="_Toc18946"/>
      <w:bookmarkStart w:id="1367" w:name="_Toc390098469"/>
      <w:bookmarkStart w:id="1368" w:name="_Toc8848"/>
      <w:bookmarkStart w:id="1369" w:name="_Toc385427843"/>
      <w:bookmarkStart w:id="1370" w:name="_Toc23542"/>
      <w:bookmarkStart w:id="1371" w:name="_Toc370933860"/>
      <w:bookmarkStart w:id="1372" w:name="_Toc5930"/>
      <w:bookmarkStart w:id="1373" w:name="_Toc4739"/>
      <w:bookmarkStart w:id="1374" w:name="_Toc16793"/>
      <w:bookmarkStart w:id="1375" w:name="_Toc2340"/>
      <w:bookmarkStart w:id="1376" w:name="_Toc492478768"/>
      <w:bookmarkStart w:id="1377" w:name="_Toc378514957"/>
      <w:bookmarkStart w:id="1378" w:name="_Toc17102"/>
      <w:bookmarkStart w:id="1379" w:name="_Toc25104"/>
      <w:r>
        <w:rPr>
          <w:rFonts w:hint="eastAsia" w:ascii="宋体" w:hAnsi="宋体"/>
          <w:b/>
          <w:highlight w:val="none"/>
          <w:lang w:val="en-US" w:eastAsia="zh-CN"/>
        </w:rPr>
        <w:t>6.甲乙方权利与义务</w:t>
      </w:r>
      <w:bookmarkEnd w:id="1351"/>
      <w:bookmarkEnd w:id="1352"/>
      <w:bookmarkEnd w:id="1353"/>
      <w:bookmarkEnd w:id="1354"/>
      <w:bookmarkEnd w:id="1355"/>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3"/>
        <w:rPr>
          <w:rFonts w:hint="eastAsia" w:ascii="宋体" w:hAnsi="宋体"/>
          <w:highlight w:val="none"/>
          <w:lang w:val="en-US" w:eastAsia="zh-CN"/>
        </w:rPr>
      </w:pPr>
      <w:r>
        <w:rPr>
          <w:rFonts w:hint="eastAsia" w:ascii="宋体" w:hAnsi="宋体"/>
          <w:highlight w:val="none"/>
          <w:lang w:val="en-US" w:eastAsia="zh-CN"/>
        </w:rPr>
        <w:t xml:space="preserve">6.1 甲方的权利与义务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4"/>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1.1 </w:t>
      </w:r>
      <w:r>
        <w:rPr>
          <w:rFonts w:hint="eastAsia" w:ascii="宋体" w:hAnsi="宋体"/>
          <w:highlight w:val="none"/>
          <w:lang w:val="en-US" w:eastAsia="zh-CN"/>
        </w:rPr>
        <w:t xml:space="preserve">对乙方维保工作进行指导、监督、考评的权利。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1.2 </w:t>
      </w:r>
      <w:r>
        <w:rPr>
          <w:rFonts w:hint="eastAsia" w:ascii="宋体" w:hAnsi="宋体"/>
          <w:highlight w:val="none"/>
          <w:lang w:val="en-US" w:eastAsia="zh-CN"/>
        </w:rPr>
        <w:t xml:space="preserve">有依法或依本合同约定解除与乙方的合同关系的权利。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4"/>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1.3 </w:t>
      </w:r>
      <w:r>
        <w:rPr>
          <w:rFonts w:hint="eastAsia" w:ascii="宋体" w:hAnsi="宋体"/>
          <w:highlight w:val="none"/>
          <w:lang w:val="en-US" w:eastAsia="zh-CN"/>
        </w:rPr>
        <w:t xml:space="preserve">根据本合同和相关规定向乙方支付委外项目费用。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1.4 </w:t>
      </w:r>
      <w:r>
        <w:rPr>
          <w:rFonts w:hint="eastAsia" w:ascii="宋体" w:hAnsi="宋体"/>
          <w:highlight w:val="none"/>
          <w:lang w:val="en-US" w:eastAsia="zh-CN"/>
        </w:rPr>
        <w:t xml:space="preserve">审核乙方的风险管理工作计划和工作量，督促乙方按时提交的各项工作成果报告。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1.5 </w:t>
      </w:r>
      <w:r>
        <w:rPr>
          <w:rFonts w:hint="eastAsia" w:ascii="宋体" w:hAnsi="宋体"/>
          <w:highlight w:val="none"/>
          <w:lang w:val="en-US" w:eastAsia="zh-CN"/>
        </w:rPr>
        <w:t xml:space="preserve">提供本委外维保项目工作开展所必须的技术标准与要求资料等。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1.6 </w:t>
      </w:r>
      <w:r>
        <w:rPr>
          <w:rFonts w:hint="eastAsia" w:ascii="宋体" w:hAnsi="宋体"/>
          <w:highlight w:val="none"/>
          <w:lang w:val="en-US" w:eastAsia="zh-CN"/>
        </w:rPr>
        <w:t xml:space="preserve">对工期、质量、人员、设备及系统建设进行监督检查，对不符合技术要求的工作， 有权要求乙方无条件进行返工，所需费用由乙方承担。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1.7 </w:t>
      </w:r>
      <w:r>
        <w:rPr>
          <w:rFonts w:hint="eastAsia" w:ascii="宋体" w:hAnsi="宋体"/>
          <w:highlight w:val="none"/>
          <w:lang w:val="en-US" w:eastAsia="zh-CN"/>
        </w:rPr>
        <w:t xml:space="preserve">有权根据设计、施工的需要适当调整工作内容和工作计划，乙方不得对此有异议。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1.8 </w:t>
      </w:r>
      <w:r>
        <w:rPr>
          <w:rFonts w:hint="eastAsia" w:ascii="宋体" w:hAnsi="宋体"/>
          <w:highlight w:val="none"/>
          <w:lang w:val="en-US" w:eastAsia="zh-CN"/>
        </w:rPr>
        <w:t xml:space="preserve">甲方有权在任何时间查阅有关乙方工作的全部记录和其它有关数据。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1.9 </w:t>
      </w:r>
      <w:r>
        <w:rPr>
          <w:rFonts w:hint="eastAsia" w:ascii="宋体" w:hAnsi="宋体"/>
          <w:highlight w:val="none"/>
          <w:lang w:val="en-US" w:eastAsia="zh-CN"/>
        </w:rPr>
        <w:t xml:space="preserve">乙方不能以承诺的服务方案履行其合同义务时，甲方可以将存在的问题通知乙方。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4"/>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1.10 </w:t>
      </w:r>
      <w:r>
        <w:rPr>
          <w:rFonts w:hint="eastAsia" w:ascii="宋体" w:hAnsi="宋体"/>
          <w:highlight w:val="none"/>
          <w:lang w:val="en-US" w:eastAsia="zh-CN"/>
        </w:rPr>
        <w:t xml:space="preserve">对依据本合同所研发的技术成果归甲方所有。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1.11 </w:t>
      </w:r>
      <w:r>
        <w:rPr>
          <w:rFonts w:hint="eastAsia" w:ascii="宋体" w:hAnsi="宋体"/>
          <w:highlight w:val="none"/>
          <w:lang w:val="en-US" w:eastAsia="zh-CN"/>
        </w:rPr>
        <w:t xml:space="preserve">乙方应对人员进行内部安全、技能培训。同时如甲方安排有安全培训和基本技能培训，乙方应接受培训。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3"/>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 </w:t>
      </w:r>
      <w:r>
        <w:rPr>
          <w:rFonts w:hint="eastAsia" w:ascii="宋体" w:hAnsi="宋体"/>
          <w:highlight w:val="none"/>
          <w:lang w:val="en-US" w:eastAsia="zh-CN"/>
        </w:rPr>
        <w:t xml:space="preserve">乙方的权利与义务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 </w:t>
      </w:r>
      <w:r>
        <w:rPr>
          <w:rFonts w:hint="eastAsia" w:ascii="宋体" w:hAnsi="宋体"/>
          <w:highlight w:val="none"/>
          <w:lang w:val="en-US" w:eastAsia="zh-CN"/>
        </w:rPr>
        <w:t xml:space="preserve">乙方须按照技术规格书的要求完成所有服务工作。享有按照本合同约定和相关规定向甲方收取委外项目费用的权利。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2.2 </w:t>
      </w:r>
      <w:r>
        <w:rPr>
          <w:rFonts w:hint="eastAsia" w:ascii="宋体" w:hAnsi="宋体"/>
          <w:highlight w:val="none"/>
          <w:lang w:val="en-US" w:eastAsia="zh-CN"/>
        </w:rPr>
        <w:t xml:space="preserve">享有在遵守国家法律、法规、行业规范的前提下，开展维保工作的权利。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4"/>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2.3 </w:t>
      </w:r>
      <w:r>
        <w:rPr>
          <w:rFonts w:hint="eastAsia" w:ascii="宋体" w:hAnsi="宋体"/>
          <w:highlight w:val="none"/>
          <w:lang w:val="en-US" w:eastAsia="zh-CN"/>
        </w:rPr>
        <w:t xml:space="preserve">按合同要求参与项目验收。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2.4 </w:t>
      </w:r>
      <w:r>
        <w:rPr>
          <w:rFonts w:hint="eastAsia" w:ascii="宋体" w:hAnsi="宋体"/>
          <w:highlight w:val="none"/>
          <w:lang w:val="en-US" w:eastAsia="zh-CN"/>
        </w:rPr>
        <w:t xml:space="preserve">乙方应按照甲方委外项目管理的有关规定，做好本项目维保工作，及时处理设备故障，确保设备安全可靠运行。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2.5 </w:t>
      </w:r>
      <w:r>
        <w:rPr>
          <w:rFonts w:hint="eastAsia" w:ascii="宋体" w:hAnsi="宋体"/>
          <w:highlight w:val="none"/>
          <w:lang w:val="en-US" w:eastAsia="zh-CN"/>
        </w:rPr>
        <w:t xml:space="preserve">应全面贯彻执行国家法律、法规、行业规范的相关规章制度和甲方的有关管理规范。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2.6 </w:t>
      </w:r>
      <w:r>
        <w:rPr>
          <w:rFonts w:hint="eastAsia" w:ascii="宋体" w:hAnsi="宋体"/>
          <w:highlight w:val="none"/>
          <w:lang w:val="en-US" w:eastAsia="zh-CN"/>
        </w:rPr>
        <w:t xml:space="preserve">在整个服务期间，乙方为本项目服务的人员、进场设备等缴纳各类保险费用。乙方采取有效措施保证自身人员、设备安全，如发生安全事故所引起的一切损失由乙方承担。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2.7 </w:t>
      </w:r>
      <w:r>
        <w:rPr>
          <w:rFonts w:hint="eastAsia" w:ascii="宋体" w:hAnsi="宋体"/>
          <w:highlight w:val="none"/>
          <w:lang w:val="en-US" w:eastAsia="zh-CN"/>
        </w:rPr>
        <w:t xml:space="preserve">比选文件承诺的拟投入本项目的所有人员应满足服务承诺要求。如果乙方不能以承诺的服务要求履行其合同义务，甲方将按照合同期服务质量考核条款对乙方进行考核。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2.8 </w:t>
      </w:r>
      <w:r>
        <w:rPr>
          <w:rFonts w:hint="eastAsia" w:ascii="宋体" w:hAnsi="宋体"/>
          <w:highlight w:val="none"/>
          <w:lang w:val="en-US" w:eastAsia="zh-CN"/>
        </w:rPr>
        <w:t xml:space="preserve">乙方负责按照甲方安全生产的有关规定，落实安全生产责任制，做好维保工作并承担安全责任，包含项目维保期间非甲方原因造成的乙方人员人身安全所有责任。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2.9 </w:t>
      </w:r>
      <w:r>
        <w:rPr>
          <w:rFonts w:hint="eastAsia" w:ascii="宋体" w:hAnsi="宋体"/>
          <w:highlight w:val="none"/>
          <w:lang w:val="en-US" w:eastAsia="zh-CN"/>
        </w:rPr>
        <w:t xml:space="preserve">乙方工作的全部记录和其它有关数据在交付甲方之前应由乙方加以整理和编排。乙方原则上须向甲方交付本项目所涉及备品备件相关资料（包括但不限于品牌型号、规格、产合格证明文件、参数、图纸、技术文件、手册等），因特殊原因无法提供的，须向甲方提交相关说明文件并经甲方认可。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2.10 </w:t>
      </w:r>
      <w:r>
        <w:rPr>
          <w:rFonts w:hint="eastAsia" w:ascii="宋体" w:hAnsi="宋体"/>
          <w:highlight w:val="none"/>
          <w:lang w:val="en-US" w:eastAsia="zh-CN"/>
        </w:rPr>
        <w:t>乙方可以保存文件的备份，但除非得到甲方事先的书面同意</w:t>
      </w:r>
      <w:r>
        <w:rPr>
          <w:rFonts w:hint="default" w:ascii="宋体" w:hAnsi="宋体"/>
          <w:highlight w:val="none"/>
          <w:lang w:val="en-US" w:eastAsia="zh-CN"/>
        </w:rPr>
        <w:t>,</w:t>
      </w:r>
      <w:r>
        <w:rPr>
          <w:rFonts w:hint="eastAsia" w:ascii="宋体" w:hAnsi="宋体"/>
          <w:highlight w:val="none"/>
          <w:lang w:val="en-US" w:eastAsia="zh-CN"/>
        </w:rPr>
        <w:t xml:space="preserve">该文件不能用于同项目无关的其他用途。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2.11 </w:t>
      </w:r>
      <w:r>
        <w:rPr>
          <w:rFonts w:hint="eastAsia" w:ascii="宋体" w:hAnsi="宋体"/>
          <w:highlight w:val="none"/>
          <w:lang w:val="en-US" w:eastAsia="zh-CN"/>
        </w:rPr>
        <w:t xml:space="preserve">乙方应接受甲方的安排的安全培训和基本技能培训，同时乙方应对人员进行内部安全、技能培训。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2.12 </w:t>
      </w:r>
      <w:r>
        <w:rPr>
          <w:rFonts w:hint="eastAsia" w:ascii="宋体" w:hAnsi="宋体"/>
          <w:highlight w:val="none"/>
          <w:lang w:val="en-US" w:eastAsia="zh-CN"/>
        </w:rPr>
        <w:t xml:space="preserve">乙方根据甲方相关工作计划管理办法编制维保工作计划并执行。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2.13 </w:t>
      </w:r>
      <w:r>
        <w:rPr>
          <w:rFonts w:hint="eastAsia" w:ascii="宋体" w:hAnsi="宋体"/>
          <w:highlight w:val="none"/>
          <w:lang w:val="en-US" w:eastAsia="zh-CN"/>
        </w:rPr>
        <w:t xml:space="preserve">为规范文明生产作业行为，乙方须统一着装、配置合格的劳保用品。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2.14 </w:t>
      </w:r>
      <w:r>
        <w:rPr>
          <w:rFonts w:hint="eastAsia" w:ascii="宋体" w:hAnsi="宋体"/>
          <w:highlight w:val="none"/>
          <w:lang w:val="en-US" w:eastAsia="zh-CN"/>
        </w:rPr>
        <w:t xml:space="preserve">项目维保期间乙方建立的设备台帐、所有工作表格、所有工作记录及工作所需资料（除规章制度外）的所有权归甲方所有，乙方应无条件地接受甲方检查，并按照甲方需要随时提交甲方。 </w:t>
      </w:r>
    </w:p>
    <w:p>
      <w:pPr>
        <w:keepNext w:val="0"/>
        <w:keepLines w:val="0"/>
        <w:pageBreakBefore w:val="0"/>
        <w:widowControl/>
        <w:shd w:val="clear"/>
        <w:kinsoku/>
        <w:wordWrap/>
        <w:overflowPunct/>
        <w:topLinePunct w:val="0"/>
        <w:autoSpaceDE/>
        <w:autoSpaceDN/>
        <w:bidi w:val="0"/>
        <w:adjustRightInd/>
        <w:snapToGrid/>
        <w:spacing w:before="0" w:after="0" w:afterAutospacing="0"/>
        <w:ind w:left="0" w:right="0" w:firstLine="420" w:firstLineChars="200"/>
        <w:textAlignment w:val="auto"/>
        <w:outlineLvl w:val="4"/>
        <w:rPr>
          <w:rFonts w:hint="eastAsia"/>
          <w:lang w:val="en-US" w:eastAsia="zh-CN"/>
        </w:rPr>
      </w:pPr>
      <w:r>
        <w:rPr>
          <w:rFonts w:hint="eastAsia" w:ascii="宋体" w:hAnsi="宋体"/>
          <w:highlight w:val="none"/>
          <w:lang w:val="en-US" w:eastAsia="zh-CN"/>
        </w:rPr>
        <w:t>6.</w:t>
      </w:r>
      <w:r>
        <w:rPr>
          <w:rFonts w:hint="default" w:ascii="宋体" w:hAnsi="宋体"/>
          <w:highlight w:val="none"/>
          <w:lang w:val="en-US" w:eastAsia="zh-CN"/>
        </w:rPr>
        <w:t xml:space="preserve">2.15 </w:t>
      </w:r>
      <w:r>
        <w:rPr>
          <w:rFonts w:hint="eastAsia" w:ascii="宋体" w:hAnsi="宋体"/>
          <w:highlight w:val="none"/>
          <w:lang w:val="en-US" w:eastAsia="zh-CN"/>
        </w:rPr>
        <w:t>其他详见技术规格书的要求。</w:t>
      </w:r>
    </w:p>
    <w:p>
      <w:pPr>
        <w:shd w:val="clear"/>
        <w:tabs>
          <w:tab w:val="left" w:pos="640"/>
          <w:tab w:val="left" w:pos="1843"/>
        </w:tabs>
        <w:spacing w:before="0" w:after="0" w:afterAutospacing="0"/>
        <w:ind w:left="422" w:right="0" w:firstLine="0"/>
        <w:outlineLvl w:val="2"/>
        <w:rPr>
          <w:rFonts w:ascii="宋体" w:hAnsi="宋体"/>
          <w:b/>
          <w:highlight w:val="none"/>
        </w:rPr>
      </w:pPr>
      <w:bookmarkStart w:id="1380" w:name="_Toc24628"/>
      <w:bookmarkStart w:id="1381" w:name="_Toc3709"/>
      <w:bookmarkStart w:id="1382" w:name="_Toc16371"/>
      <w:bookmarkStart w:id="1383" w:name="_Toc15673"/>
      <w:bookmarkStart w:id="1384" w:name="_Toc5202"/>
      <w:r>
        <w:rPr>
          <w:rFonts w:hint="eastAsia" w:ascii="宋体" w:hAnsi="宋体"/>
          <w:b/>
          <w:highlight w:val="none"/>
          <w:lang w:val="en-US" w:eastAsia="zh-CN"/>
        </w:rPr>
        <w:t>7.</w:t>
      </w:r>
      <w:r>
        <w:rPr>
          <w:rFonts w:hint="eastAsia" w:ascii="宋体" w:hAnsi="宋体"/>
          <w:b/>
          <w:highlight w:val="none"/>
        </w:rPr>
        <w:t>知识产权</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shd w:val="clea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lang w:val="en-US" w:eastAsia="zh-CN"/>
        </w:rPr>
        <w:t>7.1乙方保证依据本合同所提供的任何产品、资料、物件及服务均不构成对第三方合法权益的侵犯，包括但不限于知识产权，即甲方在中国使用乙方提供的产品及产品的任何一部分、资料或服务无产权纠纷。</w:t>
      </w:r>
    </w:p>
    <w:p>
      <w:pPr>
        <w:shd w:val="clea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lang w:val="en-US" w:eastAsia="zh-CN"/>
        </w:rPr>
        <w:t>7.2在乙方履行合同过程中，需使用第三人专利、专有技术、技术秘密、商业秘密、著作权、商标权等知识产权的，乙方应取得甲方同意，所使用的知识产权应支付的费用由乙方承担。</w:t>
      </w:r>
    </w:p>
    <w:p>
      <w:pPr>
        <w:shd w:val="clea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lang w:val="en-US" w:eastAsia="zh-CN"/>
        </w:rPr>
        <w:t>7.3因乙方提供的任何产品、资料、物件及服务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shd w:val="clea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lang w:val="en-US" w:eastAsia="zh-CN"/>
        </w:rPr>
        <w:t>7.4如乙方拒绝、怠于履行上述义务或出现知识产权纠纷，甲方有权解除合同。甲方被第三方起诉或以其它方式追究责任，乙方应赔偿因甲方被第三方索赔所引起的一切损失，包括但不限于甲方所支付的侵权损害赔偿费、律师费、诉讼费、仲裁费、办案差旅费等因应诉、沟通协调所引起的一切费用。</w:t>
      </w:r>
    </w:p>
    <w:p>
      <w:pPr>
        <w:shd w:val="clear"/>
        <w:tabs>
          <w:tab w:val="left" w:pos="640"/>
          <w:tab w:val="left" w:pos="1843"/>
        </w:tabs>
        <w:spacing w:before="0" w:after="0" w:afterAutospacing="0"/>
        <w:ind w:left="422" w:right="0" w:firstLine="0"/>
        <w:outlineLvl w:val="2"/>
        <w:rPr>
          <w:rFonts w:hint="eastAsia" w:ascii="宋体" w:hAnsi="宋体" w:eastAsia="宋体" w:cs="Times New Roman"/>
          <w:b/>
          <w:highlight w:val="none"/>
        </w:rPr>
      </w:pPr>
      <w:bookmarkStart w:id="1385" w:name="_Toc23313"/>
      <w:bookmarkStart w:id="1386" w:name="_Toc24805"/>
      <w:bookmarkStart w:id="1387" w:name="_Toc14887"/>
      <w:bookmarkStart w:id="1388" w:name="_Toc12097"/>
      <w:bookmarkStart w:id="1389" w:name="_Toc12290"/>
      <w:r>
        <w:rPr>
          <w:rFonts w:hint="eastAsia" w:ascii="宋体" w:hAnsi="宋体" w:cs="Times New Roman"/>
          <w:b/>
          <w:highlight w:val="none"/>
          <w:lang w:val="en-US" w:eastAsia="zh-CN"/>
        </w:rPr>
        <w:t>8</w:t>
      </w:r>
      <w:r>
        <w:rPr>
          <w:rFonts w:hint="eastAsia" w:ascii="宋体" w:hAnsi="宋体" w:eastAsia="宋体" w:cs="Times New Roman"/>
          <w:b/>
          <w:highlight w:val="none"/>
          <w:lang w:val="en-US" w:eastAsia="zh-CN"/>
        </w:rPr>
        <w:t>. 履约保证金</w:t>
      </w:r>
      <w:bookmarkEnd w:id="1385"/>
      <w:bookmarkEnd w:id="1386"/>
      <w:bookmarkEnd w:id="1387"/>
      <w:bookmarkEnd w:id="1388"/>
      <w:bookmarkEnd w:id="1389"/>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2"/>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1在合同签订前，乙方应向甲方提供履约保证</w:t>
      </w:r>
      <w:r>
        <w:rPr>
          <w:rFonts w:hint="eastAsia" w:ascii="宋体" w:hAnsi="宋体" w:eastAsia="宋体" w:cs="宋体"/>
          <w:kern w:val="2"/>
          <w:sz w:val="21"/>
          <w:szCs w:val="21"/>
          <w:highlight w:val="none"/>
          <w:lang w:val="en-US" w:eastAsia="zh-CN" w:bidi="ar"/>
        </w:rPr>
        <w:t>金</w:t>
      </w:r>
      <w:r>
        <w:rPr>
          <w:rFonts w:hint="eastAsia" w:ascii="宋体" w:hAnsi="宋体" w:eastAsia="宋体" w:cs="宋体"/>
          <w:kern w:val="0"/>
          <w:sz w:val="21"/>
          <w:szCs w:val="21"/>
          <w:highlight w:val="none"/>
          <w:lang w:val="en-US" w:eastAsia="zh-CN" w:bidi="ar"/>
        </w:rPr>
        <w:t>，履约保证金的金额为中选金额的</w:t>
      </w:r>
      <w:r>
        <w:rPr>
          <w:rFonts w:hint="eastAsia" w:ascii="宋体" w:hAnsi="宋体" w:cs="宋体"/>
          <w:kern w:val="0"/>
          <w:sz w:val="21"/>
          <w:szCs w:val="21"/>
          <w:highlight w:val="none"/>
          <w:lang w:val="en-US" w:eastAsia="zh-CN" w:bidi="ar"/>
        </w:rPr>
        <w:t>2.5</w:t>
      </w:r>
      <w:r>
        <w:rPr>
          <w:rFonts w:hint="eastAsia" w:ascii="宋体" w:hAnsi="宋体" w:eastAsia="宋体" w:cs="宋体"/>
          <w:kern w:val="0"/>
          <w:sz w:val="21"/>
          <w:szCs w:val="21"/>
          <w:highlight w:val="none"/>
          <w:lang w:val="en-US" w:eastAsia="zh-CN" w:bidi="ar"/>
        </w:rPr>
        <w:t>%，币种应为人民币。</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2"/>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2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2"/>
          <w:sz w:val="21"/>
          <w:szCs w:val="21"/>
          <w:highlight w:val="none"/>
        </w:rPr>
      </w:pPr>
      <w:r>
        <w:rPr>
          <w:rFonts w:hint="eastAsia" w:ascii="宋体" w:hAnsi="宋体" w:cs="宋体"/>
          <w:kern w:val="0"/>
          <w:sz w:val="21"/>
          <w:szCs w:val="21"/>
          <w:highlight w:val="none"/>
          <w:lang w:val="en-US" w:eastAsia="zh-CN" w:bidi="ar"/>
        </w:rPr>
        <w:t>8.3</w:t>
      </w:r>
      <w:r>
        <w:rPr>
          <w:rFonts w:hint="eastAsia" w:ascii="宋体" w:hAnsi="宋体" w:eastAsia="宋体" w:cs="宋体"/>
          <w:kern w:val="0"/>
          <w:sz w:val="21"/>
          <w:szCs w:val="21"/>
          <w:highlight w:val="none"/>
          <w:lang w:val="en-US" w:eastAsia="zh-CN" w:bidi="ar"/>
        </w:rPr>
        <w:t>履约担保应从生效之日起至项目完成结算之日后四十五（45）天一直有效。如本项目实际验收合格日期超出该履约担保写明的日期，则乙方应相应延长履约担保的日期，当出现逾期验收而未及时办理保函续费手续时，甲方有权暂停剩余费用的支付，并收取违约金。</w:t>
      </w:r>
    </w:p>
    <w:p>
      <w:pPr>
        <w:keepNext w:val="0"/>
        <w:keepLines w:val="0"/>
        <w:widowControl w:val="0"/>
        <w:suppressLineNumbers w:val="0"/>
        <w:shd w:val="clear"/>
        <w:spacing w:before="0" w:beforeAutospacing="0" w:after="0" w:afterAutospacing="0" w:line="360" w:lineRule="auto"/>
        <w:ind w:left="0" w:right="0" w:firstLine="420" w:firstLineChars="200"/>
        <w:jc w:val="both"/>
        <w:outlineLvl w:val="3"/>
        <w:rPr>
          <w:rFonts w:hint="eastAsia" w:ascii="宋体" w:hAnsi="宋体" w:eastAsia="宋体" w:cs="Arial"/>
          <w:kern w:val="2"/>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4乙方提交履约担保所产生的费用由乙方承担。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2"/>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5如果在有效期内乙方不能履行其在合同项下的义务，则乙方应承担相应的违约责任，同时甲方有权用履约保证金的资金补偿其任何损失或有权通过银行保函追索，但其剩余的履约保证金仍应满足中选金额的</w:t>
      </w:r>
      <w:r>
        <w:rPr>
          <w:rFonts w:hint="eastAsia" w:ascii="宋体" w:hAnsi="宋体" w:eastAsia="宋体" w:cs="Arial"/>
          <w:kern w:val="0"/>
          <w:sz w:val="21"/>
          <w:szCs w:val="21"/>
          <w:highlight w:val="none"/>
          <w:lang w:val="en-US" w:eastAsia="zh-CN" w:bidi="ar"/>
        </w:rPr>
        <w:t xml:space="preserve"> </w:t>
      </w:r>
      <w:r>
        <w:rPr>
          <w:rFonts w:hint="eastAsia" w:ascii="宋体" w:hAnsi="宋体" w:cs="宋体"/>
          <w:kern w:val="0"/>
          <w:sz w:val="21"/>
          <w:szCs w:val="21"/>
          <w:highlight w:val="none"/>
          <w:lang w:val="en-US" w:eastAsia="zh-CN" w:bidi="ar"/>
        </w:rPr>
        <w:t>2.5</w:t>
      </w:r>
      <w:r>
        <w:rPr>
          <w:rFonts w:hint="eastAsia" w:ascii="宋体" w:hAnsi="宋体" w:eastAsia="宋体" w:cs="宋体"/>
          <w:kern w:val="0"/>
          <w:sz w:val="21"/>
          <w:szCs w:val="21"/>
          <w:highlight w:val="none"/>
          <w:lang w:val="en-US" w:eastAsia="zh-CN" w:bidi="ar"/>
        </w:rPr>
        <w:t>%，乙方应在期限内及时补足担保金额，每逾期一天，按照应补未补部分的万分之五向向甲方支付违约金，甲方有权在货款中扣留。</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0"/>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6履约保证金在本合同项目完成结算之日起四十五（45）天后，根据履约期间甲方的索赔情况，将剩余履约保证金款项无息退还乙方。</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outlineLvl w:val="3"/>
        <w:rPr>
          <w:rFonts w:hint="eastAsia" w:ascii="宋体" w:hAnsi="宋体" w:eastAsia="宋体" w:cs="Arial"/>
          <w:kern w:val="0"/>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.7 若发生以下行为，甲方将不退还履约保证金：</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0"/>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.7.1在合同履行期间，乙方明确表示或者以自己的行为表明不履行主要义务的；</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0"/>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.7.2乙方迟延履行主要义务，经催告后在合理期限内仍未履行的；</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Arial"/>
          <w:kern w:val="0"/>
          <w:sz w:val="21"/>
          <w:szCs w:val="21"/>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.7.3乙方履行的义务不符合合同约定，经甲方催告后未在合理期限内整改完毕的；</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outlineLvl w:val="4"/>
        <w:rPr>
          <w:highlight w:val="none"/>
        </w:rPr>
      </w:pPr>
      <w:r>
        <w:rPr>
          <w:rFonts w:hint="eastAsia" w:ascii="宋体" w:hAnsi="宋体" w:cs="宋体"/>
          <w:kern w:val="0"/>
          <w:sz w:val="21"/>
          <w:szCs w:val="21"/>
          <w:highlight w:val="none"/>
          <w:lang w:val="en-US" w:eastAsia="zh-CN" w:bidi="ar"/>
        </w:rPr>
        <w:t>8</w:t>
      </w:r>
      <w:r>
        <w:rPr>
          <w:rFonts w:hint="eastAsia" w:ascii="宋体" w:hAnsi="宋体" w:eastAsia="宋体" w:cs="宋体"/>
          <w:kern w:val="0"/>
          <w:sz w:val="21"/>
          <w:szCs w:val="21"/>
          <w:highlight w:val="none"/>
          <w:lang w:val="en-US" w:eastAsia="zh-CN" w:bidi="ar"/>
        </w:rPr>
        <w:t>.7.4乙方其他违约行为导致合同解除或终止的。</w:t>
      </w:r>
    </w:p>
    <w:p>
      <w:pPr>
        <w:shd w:val="clear"/>
        <w:tabs>
          <w:tab w:val="left" w:pos="840"/>
          <w:tab w:val="left" w:pos="1843"/>
        </w:tabs>
        <w:spacing w:before="0" w:after="0" w:afterAutospacing="0"/>
        <w:ind w:left="422" w:right="0" w:firstLine="0"/>
        <w:outlineLvl w:val="2"/>
        <w:rPr>
          <w:rFonts w:ascii="宋体" w:hAnsi="宋体"/>
          <w:b/>
          <w:highlight w:val="none"/>
        </w:rPr>
      </w:pPr>
      <w:bookmarkStart w:id="1390" w:name="_Toc459797496"/>
      <w:bookmarkEnd w:id="1390"/>
      <w:bookmarkStart w:id="1391" w:name="_Toc459730452"/>
      <w:bookmarkEnd w:id="1391"/>
      <w:bookmarkStart w:id="1392" w:name="_Toc459730447"/>
      <w:bookmarkEnd w:id="1392"/>
      <w:bookmarkStart w:id="1393" w:name="_Toc459797509"/>
      <w:bookmarkEnd w:id="1393"/>
      <w:bookmarkStart w:id="1394" w:name="_Toc459730446"/>
      <w:bookmarkEnd w:id="1394"/>
      <w:bookmarkStart w:id="1395" w:name="_Toc459730453"/>
      <w:bookmarkEnd w:id="1395"/>
      <w:bookmarkStart w:id="1396" w:name="_Toc459730455"/>
      <w:bookmarkEnd w:id="1396"/>
      <w:bookmarkStart w:id="1397" w:name="_Toc459797511"/>
      <w:bookmarkEnd w:id="1397"/>
      <w:bookmarkStart w:id="1398" w:name="_Toc459797507"/>
      <w:bookmarkEnd w:id="1398"/>
      <w:bookmarkStart w:id="1399" w:name="_Toc459730456"/>
      <w:bookmarkEnd w:id="1399"/>
      <w:bookmarkStart w:id="1400" w:name="_Toc459730458"/>
      <w:bookmarkEnd w:id="1400"/>
      <w:bookmarkStart w:id="1401" w:name="_Toc459730449"/>
      <w:bookmarkEnd w:id="1401"/>
      <w:bookmarkStart w:id="1402" w:name="_Toc459797500"/>
      <w:bookmarkEnd w:id="1402"/>
      <w:bookmarkStart w:id="1403" w:name="_Toc459797508"/>
      <w:bookmarkEnd w:id="1403"/>
      <w:bookmarkStart w:id="1404" w:name="_Toc459797498"/>
      <w:bookmarkEnd w:id="1404"/>
      <w:bookmarkStart w:id="1405" w:name="_Toc459797510"/>
      <w:bookmarkEnd w:id="1405"/>
      <w:bookmarkStart w:id="1406" w:name="_Toc459730450"/>
      <w:bookmarkEnd w:id="1406"/>
      <w:bookmarkStart w:id="1407" w:name="_Toc459797504"/>
      <w:bookmarkEnd w:id="1407"/>
      <w:bookmarkStart w:id="1408" w:name="_Toc459730451"/>
      <w:bookmarkEnd w:id="1408"/>
      <w:bookmarkStart w:id="1409" w:name="_Toc459730448"/>
      <w:bookmarkEnd w:id="1409"/>
      <w:bookmarkStart w:id="1410" w:name="_Toc459730459"/>
      <w:bookmarkEnd w:id="1410"/>
      <w:bookmarkStart w:id="1411" w:name="_Toc459730443"/>
      <w:bookmarkEnd w:id="1411"/>
      <w:bookmarkStart w:id="1412" w:name="_Toc459797499"/>
      <w:bookmarkEnd w:id="1412"/>
      <w:bookmarkStart w:id="1413" w:name="_Toc459730445"/>
      <w:bookmarkEnd w:id="1413"/>
      <w:bookmarkStart w:id="1414" w:name="_Toc459797495"/>
      <w:bookmarkEnd w:id="1414"/>
      <w:bookmarkStart w:id="1415" w:name="_Toc459797506"/>
      <w:bookmarkEnd w:id="1415"/>
      <w:bookmarkStart w:id="1416" w:name="_Toc459797501"/>
      <w:bookmarkEnd w:id="1416"/>
      <w:bookmarkStart w:id="1417" w:name="_Toc459797512"/>
      <w:bookmarkEnd w:id="1417"/>
      <w:bookmarkStart w:id="1418" w:name="_Toc459797497"/>
      <w:bookmarkEnd w:id="1418"/>
      <w:bookmarkStart w:id="1419" w:name="_Toc459797503"/>
      <w:bookmarkEnd w:id="1419"/>
      <w:bookmarkStart w:id="1420" w:name="_Toc459730444"/>
      <w:bookmarkEnd w:id="1420"/>
      <w:bookmarkStart w:id="1421" w:name="_Toc459730442"/>
      <w:bookmarkEnd w:id="1421"/>
      <w:bookmarkStart w:id="1422" w:name="_Toc459797502"/>
      <w:bookmarkEnd w:id="1422"/>
      <w:bookmarkStart w:id="1423" w:name="_Toc459730457"/>
      <w:bookmarkEnd w:id="1423"/>
      <w:bookmarkStart w:id="1424" w:name="_Toc459730454"/>
      <w:bookmarkEnd w:id="1424"/>
      <w:bookmarkStart w:id="1425" w:name="_Toc459797505"/>
      <w:bookmarkEnd w:id="1425"/>
      <w:bookmarkStart w:id="1426" w:name="_Toc11179"/>
      <w:bookmarkStart w:id="1427" w:name="_Toc10530"/>
      <w:bookmarkStart w:id="1428" w:name="_Toc28188"/>
      <w:bookmarkStart w:id="1429" w:name="_Toc22013"/>
      <w:bookmarkStart w:id="1430" w:name="_Toc29994"/>
      <w:r>
        <w:rPr>
          <w:rFonts w:hint="eastAsia" w:ascii="宋体" w:hAnsi="宋体"/>
          <w:b/>
          <w:highlight w:val="none"/>
          <w:lang w:val="en-US" w:eastAsia="zh-CN"/>
        </w:rPr>
        <w:t>9</w:t>
      </w:r>
      <w:r>
        <w:rPr>
          <w:rFonts w:hint="eastAsia" w:ascii="宋体" w:hAnsi="宋体"/>
          <w:b/>
          <w:highlight w:val="none"/>
          <w:lang w:eastAsia="zh-CN"/>
        </w:rPr>
        <w:t>.</w:t>
      </w:r>
      <w:r>
        <w:rPr>
          <w:rFonts w:hint="eastAsia" w:ascii="宋体" w:hAnsi="宋体"/>
          <w:b/>
          <w:highlight w:val="none"/>
        </w:rPr>
        <w:t>支付方式</w:t>
      </w:r>
      <w:bookmarkEnd w:id="1426"/>
      <w:bookmarkEnd w:id="1427"/>
      <w:bookmarkEnd w:id="1428"/>
      <w:bookmarkEnd w:id="1429"/>
      <w:bookmarkEnd w:id="1430"/>
    </w:p>
    <w:p>
      <w:pPr>
        <w:keepNext w:val="0"/>
        <w:keepLines w:val="0"/>
        <w:widowControl w:val="0"/>
        <w:suppressLineNumbers w:val="0"/>
        <w:shd w:val="clear"/>
        <w:spacing w:before="0" w:beforeAutospacing="0" w:after="0" w:afterAutospacing="0" w:line="360" w:lineRule="auto"/>
        <w:ind w:left="0" w:right="0" w:firstLine="420" w:firstLineChars="200"/>
        <w:jc w:val="both"/>
        <w:outlineLvl w:val="3"/>
        <w:rPr>
          <w:rFonts w:hint="eastAsia" w:ascii="宋体" w:hAnsi="宋体" w:cs="宋体"/>
          <w:kern w:val="0"/>
          <w:sz w:val="21"/>
          <w:szCs w:val="21"/>
          <w:highlight w:val="none"/>
          <w:lang w:val="en-US" w:eastAsia="zh-CN" w:bidi="ar"/>
        </w:rPr>
      </w:pPr>
      <w:bookmarkStart w:id="1431" w:name="_Toc370933872"/>
      <w:bookmarkStart w:id="1432" w:name="_Toc378514969"/>
      <w:r>
        <w:rPr>
          <w:rFonts w:hint="eastAsia" w:ascii="宋体" w:hAnsi="宋体" w:cs="宋体"/>
          <w:kern w:val="0"/>
          <w:sz w:val="21"/>
          <w:szCs w:val="21"/>
          <w:highlight w:val="none"/>
          <w:lang w:val="en-US" w:eastAsia="zh-CN" w:bidi="ar"/>
        </w:rPr>
        <w:t>9.1进度款计量计价和支付</w:t>
      </w:r>
    </w:p>
    <w:p>
      <w:pPr>
        <w:keepNext w:val="0"/>
        <w:keepLines w:val="0"/>
        <w:widowControl w:val="0"/>
        <w:suppressLineNumbers w:val="0"/>
        <w:shd w:val="clear"/>
        <w:spacing w:before="0" w:beforeAutospacing="0" w:after="0" w:afterAutospacing="0" w:line="360" w:lineRule="auto"/>
        <w:ind w:left="705" w:leftChars="200" w:right="0" w:hanging="285" w:hangingChars="136"/>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合同维保部分和备品备件部分均采用固定综合单价形式，计量支付周期为12个月。</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9.1.1每个服务周期期末乙方的服务工作满足本合同要求及以下条件后，，甲方在60个工作日内向乙方支付当期合同款。</w:t>
      </w:r>
    </w:p>
    <w:p>
      <w:pPr>
        <w:pStyle w:val="28"/>
        <w:keepNext w:val="0"/>
        <w:keepLines w:val="0"/>
        <w:widowControl w:val="0"/>
        <w:numPr>
          <w:ilvl w:val="0"/>
          <w:numId w:val="8"/>
        </w:numPr>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乙方完成当期工作且经甲方验收合格。</w:t>
      </w:r>
    </w:p>
    <w:p>
      <w:pPr>
        <w:pStyle w:val="28"/>
        <w:keepNext w:val="0"/>
        <w:keepLines w:val="0"/>
        <w:widowControl w:val="0"/>
        <w:numPr>
          <w:ilvl w:val="0"/>
          <w:numId w:val="0"/>
        </w:numPr>
        <w:suppressLineNumbers w:val="0"/>
        <w:shd w:val="clear"/>
        <w:spacing w:before="0" w:beforeAutospacing="0" w:after="0" w:afterAutospacing="0" w:line="360" w:lineRule="auto"/>
        <w:ind w:leftChars="200" w:right="0" w:rightChars="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（2）乙方向甲方提交计量支付申请并经审核无误。</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（3）乙方向甲方提供以下合格材料，并经甲方审核无误：</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①乙方开具相应金额的增值税专用发票。</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②乙方出具的支付申请书。</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③乙方完成当期工作且经甲方验收合格的证明材料。</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④货物到货验收清单（如有）。</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⑤合同违约处罚通知单（如有）。</w:t>
      </w:r>
    </w:p>
    <w:p>
      <w:pPr>
        <w:pStyle w:val="28"/>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⑥乙方出具的产品合格证明（如有）。</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9.1.2 维保部分支付方式：本合同生效，从乙方进场各号线服务之日起算，乙方完成 1个计量支付周期的委外维保工作后向</w:t>
      </w:r>
      <w:r>
        <w:rPr>
          <w:rFonts w:hint="eastAsia" w:ascii="宋体" w:hAnsi="宋体"/>
          <w:szCs w:val="21"/>
          <w:highlight w:val="none"/>
        </w:rPr>
        <w:t>甲方申</w:t>
      </w:r>
      <w:r>
        <w:rPr>
          <w:rFonts w:hint="eastAsia" w:ascii="宋体" w:hAnsi="宋体" w:eastAsia="宋体" w:cs="宋体"/>
          <w:kern w:val="0"/>
          <w:sz w:val="21"/>
          <w:szCs w:val="21"/>
          <w:highlight w:val="none"/>
          <w:lang w:val="en-US" w:eastAsia="zh-CN" w:bidi="ar"/>
        </w:rPr>
        <w:t xml:space="preserve">请当期计量价款，且满足 </w:t>
      </w: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.1.1条款要求后支付当期维保费用，支付金额=∑固定单价×服务月份×台数×90%-</w:t>
      </w:r>
      <w:r>
        <w:rPr>
          <w:rFonts w:hint="eastAsia" w:ascii="宋体" w:hAnsi="宋体"/>
          <w:szCs w:val="21"/>
          <w:highlight w:val="none"/>
        </w:rPr>
        <w:t>违约考核金额</w:t>
      </w:r>
      <w:r>
        <w:rPr>
          <w:rFonts w:hint="eastAsia" w:ascii="宋体" w:hAnsi="宋体" w:cs="宋体"/>
          <w:kern w:val="0"/>
          <w:sz w:val="21"/>
          <w:szCs w:val="21"/>
          <w:highlight w:val="none"/>
          <w:lang w:val="en-US" w:eastAsia="zh-CN" w:bidi="ar"/>
        </w:rPr>
        <w:t>，甲方有权根据本项目的实际进展情况对支付时间和金额作适当调整。</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.1.</w:t>
      </w:r>
      <w:r>
        <w:rPr>
          <w:rFonts w:hint="eastAsia" w:ascii="宋体" w:hAnsi="宋体" w:cs="宋体"/>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备品备件部分支付方式：每 1 个计量支付周期支付一次主要备品备件费用，满足</w:t>
      </w:r>
      <w:r>
        <w:rPr>
          <w:rFonts w:hint="eastAsia" w:ascii="宋体" w:hAnsi="宋体" w:cs="宋体"/>
          <w:kern w:val="0"/>
          <w:sz w:val="21"/>
          <w:szCs w:val="21"/>
          <w:highlight w:val="none"/>
          <w:lang w:val="en-US" w:eastAsia="zh-CN" w:bidi="ar"/>
        </w:rPr>
        <w:t xml:space="preserve"> 9.1.1</w:t>
      </w:r>
      <w:r>
        <w:rPr>
          <w:rFonts w:hint="eastAsia" w:ascii="宋体" w:hAnsi="宋体" w:eastAsia="宋体" w:cs="宋体"/>
          <w:kern w:val="0"/>
          <w:sz w:val="21"/>
          <w:szCs w:val="21"/>
          <w:highlight w:val="none"/>
          <w:lang w:val="en-US" w:eastAsia="zh-CN" w:bidi="ar"/>
        </w:rPr>
        <w:t>条款要求后，按当期委外服务内实际更换的主要备品备件数量（必须经甲乙双方确认产品质量）乘以相应单价计算并支付至该批主要备品备件的 9</w:t>
      </w:r>
      <w:r>
        <w:rPr>
          <w:rFonts w:hint="eastAsia" w:ascii="宋体" w:hAnsi="宋体" w:cs="宋体"/>
          <w:kern w:val="0"/>
          <w:sz w:val="21"/>
          <w:szCs w:val="21"/>
          <w:highlight w:val="none"/>
          <w:lang w:val="en-US" w:eastAsia="zh-CN" w:bidi="ar"/>
        </w:rPr>
        <w:t>0</w:t>
      </w:r>
      <w:r>
        <w:rPr>
          <w:rFonts w:hint="eastAsia" w:ascii="宋体" w:hAnsi="宋体" w:eastAsia="宋体" w:cs="宋体"/>
          <w:kern w:val="0"/>
          <w:sz w:val="21"/>
          <w:szCs w:val="21"/>
          <w:highlight w:val="none"/>
          <w:lang w:val="en-US" w:eastAsia="zh-CN" w:bidi="ar"/>
        </w:rPr>
        <w:t>%费用。此部分按需供应，据实结算，全部主要备品备件质保期满，经甲方确认所有批次产品均无质量问题或乙方已更换有质量问题产品经甲方确认合格后，甲方支付结算审定金额的剩余价款。</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2 服务期内，如有发生违约考核，甲方可在当期的支付款中直接扣除违约金，如当期支付款不足，可在下期支付款项中扣除。</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3甲方在收到乙方提供合格资料后60个工作日内支付相应合同价款。</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4 上述费用支付时，由乙方提供经甲方审定金额 100%的增值税发票方可办理支付手续。</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5 乙方未按时提供计量支付、结算资料的，甲方有权暂停支付手续直至乙方递交齐全为止，暂停支付期间乙方还须继续履行合同义务，因暂停支付所造成损失的由乙方承担。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6变更项目价款的支付比例同进度款，支付流程按甲方制定的相关规定执行。</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w:t>
      </w:r>
      <w:r>
        <w:rPr>
          <w:rFonts w:hint="eastAsia" w:ascii="宋体" w:hAnsi="宋体" w:eastAsia="宋体" w:cs="宋体"/>
          <w:kern w:val="0"/>
          <w:sz w:val="21"/>
          <w:szCs w:val="21"/>
          <w:highlight w:val="none"/>
          <w:lang w:val="en-US" w:eastAsia="zh-CN" w:bidi="ar"/>
        </w:rPr>
        <w:t>7合同服务期满，乙方完成合同所有工作任务后向甲方提出结算申请，甲方接到乙方提出的结算申请后按甲方的结算相关管理办法办理结算。</w:t>
      </w:r>
    </w:p>
    <w:p>
      <w:pPr>
        <w:keepNext w:val="0"/>
        <w:keepLines w:val="0"/>
        <w:widowControl w:val="0"/>
        <w:suppressLineNumbers w:val="0"/>
        <w:shd w:val="clear"/>
        <w:spacing w:before="0" w:beforeAutospacing="0" w:after="0" w:afterAutospacing="0" w:line="360" w:lineRule="auto"/>
        <w:ind w:left="0" w:leftChars="0" w:right="0" w:firstLine="420" w:firstLineChars="200"/>
        <w:jc w:val="both"/>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9.8 支付的货币应以人民币支付，支付形式包括但不限于银行转账、汇票、国内信用证、供应链金融产品等。</w:t>
      </w:r>
    </w:p>
    <w:p>
      <w:pPr>
        <w:shd w:val="clear"/>
        <w:tabs>
          <w:tab w:val="left" w:pos="840"/>
          <w:tab w:val="left" w:pos="1134"/>
        </w:tabs>
        <w:spacing w:before="0" w:after="0" w:afterAutospacing="0"/>
        <w:ind w:left="426" w:right="0" w:firstLine="0"/>
        <w:outlineLvl w:val="2"/>
        <w:rPr>
          <w:rFonts w:ascii="宋体" w:hAnsi="宋体"/>
          <w:highlight w:val="none"/>
        </w:rPr>
      </w:pPr>
      <w:bookmarkStart w:id="1433" w:name="_Toc13490"/>
      <w:bookmarkStart w:id="1434" w:name="_Toc30094"/>
      <w:bookmarkStart w:id="1435" w:name="_Toc18890"/>
      <w:bookmarkStart w:id="1436" w:name="_Toc390098481"/>
      <w:bookmarkStart w:id="1437" w:name="_Toc27798"/>
      <w:bookmarkStart w:id="1438" w:name="_Toc18054"/>
      <w:bookmarkStart w:id="1439" w:name="_Toc19387"/>
      <w:bookmarkStart w:id="1440" w:name="_Toc16313"/>
      <w:bookmarkStart w:id="1441" w:name="_Toc15875"/>
      <w:bookmarkStart w:id="1442" w:name="_Toc25750650"/>
      <w:bookmarkStart w:id="1443" w:name="_Toc9642"/>
      <w:bookmarkStart w:id="1444" w:name="_Toc22179"/>
      <w:bookmarkStart w:id="1445" w:name="_Toc2957"/>
      <w:bookmarkStart w:id="1446" w:name="_Toc492478779"/>
      <w:bookmarkStart w:id="1447" w:name="_Toc16641"/>
      <w:bookmarkStart w:id="1448" w:name="_Toc26222"/>
      <w:bookmarkStart w:id="1449" w:name="_Toc24080"/>
      <w:bookmarkStart w:id="1450" w:name="_Toc24274"/>
      <w:bookmarkStart w:id="1451" w:name="_Toc9852"/>
      <w:bookmarkStart w:id="1452" w:name="_Toc12979"/>
      <w:bookmarkStart w:id="1453" w:name="_Toc23351"/>
      <w:bookmarkStart w:id="1454" w:name="_Toc4697"/>
      <w:bookmarkStart w:id="1455" w:name="_Toc13281"/>
      <w:bookmarkStart w:id="1456" w:name="_Toc2069"/>
      <w:bookmarkStart w:id="1457" w:name="_Toc12729"/>
      <w:bookmarkStart w:id="1458" w:name="_Toc28757"/>
      <w:bookmarkStart w:id="1459" w:name="_Toc385427855"/>
      <w:r>
        <w:rPr>
          <w:rFonts w:hint="eastAsia" w:ascii="宋体" w:hAnsi="宋体"/>
          <w:b/>
          <w:highlight w:val="none"/>
          <w:lang w:val="en-US" w:eastAsia="zh-CN"/>
        </w:rPr>
        <w:t>10</w:t>
      </w:r>
      <w:r>
        <w:rPr>
          <w:rFonts w:hint="eastAsia" w:ascii="宋体" w:hAnsi="宋体"/>
          <w:b/>
          <w:highlight w:val="none"/>
        </w:rPr>
        <w:t>.合同价格</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shd w:val="clear"/>
        <w:tabs>
          <w:tab w:val="left" w:pos="960"/>
          <w:tab w:val="left" w:pos="1418"/>
          <w:tab w:val="left" w:pos="8364"/>
        </w:tabs>
        <w:spacing w:before="0" w:after="0" w:afterAutospacing="0"/>
        <w:ind w:left="420" w:right="0" w:firstLine="0"/>
        <w:rPr>
          <w:rFonts w:hint="eastAsia" w:ascii="宋体" w:hAnsi="宋体"/>
          <w:highlight w:val="none"/>
          <w:lang w:val="en-US" w:eastAsia="zh-CN"/>
        </w:rPr>
      </w:pPr>
      <w:r>
        <w:rPr>
          <w:rFonts w:hint="eastAsia" w:ascii="宋体" w:hAnsi="宋体"/>
          <w:highlight w:val="none"/>
          <w:lang w:val="en-US" w:eastAsia="zh-CN"/>
        </w:rPr>
        <w:t>10</w:t>
      </w:r>
      <w:r>
        <w:rPr>
          <w:rFonts w:hint="eastAsia" w:ascii="宋体" w:hAnsi="宋体"/>
          <w:highlight w:val="none"/>
        </w:rPr>
        <w:t>.</w:t>
      </w:r>
      <w:r>
        <w:rPr>
          <w:rFonts w:hint="eastAsia" w:ascii="宋体" w:hAnsi="宋体"/>
          <w:highlight w:val="none"/>
          <w:lang w:val="en-US" w:eastAsia="zh-CN"/>
        </w:rPr>
        <w:t>1本合同为</w:t>
      </w:r>
      <w:r>
        <w:rPr>
          <w:rFonts w:hint="eastAsia" w:ascii="宋体" w:hAnsi="宋体"/>
          <w:highlight w:val="none"/>
        </w:rPr>
        <w:t>固定综合单价</w:t>
      </w:r>
      <w:r>
        <w:rPr>
          <w:rFonts w:hint="eastAsia" w:ascii="宋体" w:hAnsi="宋体"/>
          <w:highlight w:val="none"/>
          <w:lang w:val="en-US" w:eastAsia="zh-CN"/>
        </w:rPr>
        <w:t>合同，不含增值税总价为（大写）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w:t>
      </w:r>
    </w:p>
    <w:p>
      <w:pPr>
        <w:shd w:val="clear"/>
        <w:tabs>
          <w:tab w:val="left" w:pos="960"/>
          <w:tab w:val="left" w:pos="1418"/>
          <w:tab w:val="left" w:pos="8364"/>
        </w:tabs>
        <w:spacing w:before="0" w:after="0" w:afterAutospacing="0"/>
        <w:ind w:left="0" w:right="0" w:firstLine="0"/>
        <w:rPr>
          <w:rFonts w:hint="eastAsia" w:ascii="宋体" w:hAnsi="宋体"/>
          <w:highlight w:val="none"/>
          <w:lang w:val="en-US" w:eastAsia="zh-CN"/>
        </w:rPr>
      </w:pPr>
      <w:r>
        <w:rPr>
          <w:rFonts w:hint="eastAsia" w:ascii="宋体" w:hAnsi="宋体"/>
          <w:highlight w:val="none"/>
          <w:lang w:val="en-US" w:eastAsia="zh-CN"/>
        </w:rPr>
        <w:t>为：</w:t>
      </w:r>
      <w:r>
        <w:rPr>
          <w:rFonts w:hint="eastAsia" w:ascii="宋体" w:hAnsi="宋体"/>
          <w:highlight w:val="none"/>
          <w:u w:val="single"/>
          <w:lang w:val="en-US" w:eastAsia="zh-CN"/>
        </w:rPr>
        <w:t xml:space="preserve">       </w:t>
      </w:r>
      <w:r>
        <w:rPr>
          <w:rFonts w:hint="eastAsia" w:ascii="宋体" w:hAnsi="宋体"/>
          <w:highlight w:val="none"/>
          <w:lang w:val="en-US" w:eastAsia="zh-CN"/>
        </w:rPr>
        <w:t>；</w:t>
      </w:r>
      <w:r>
        <w:rPr>
          <w:rFonts w:hint="eastAsia" w:ascii="宋体" w:hAnsi="宋体"/>
          <w:highlight w:val="none"/>
        </w:rPr>
        <w:t>增值税额</w:t>
      </w:r>
      <w:r>
        <w:rPr>
          <w:rFonts w:hint="eastAsia" w:ascii="宋体" w:hAnsi="宋体"/>
          <w:highlight w:val="none"/>
          <w:lang w:val="en-US" w:eastAsia="zh-CN"/>
        </w:rPr>
        <w:t>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rPr>
        <w:t>（下文称“合同价格”)</w:t>
      </w:r>
      <w:r>
        <w:rPr>
          <w:rFonts w:hint="eastAsia" w:ascii="宋体" w:hAnsi="宋体"/>
          <w:highlight w:val="none"/>
          <w:lang w:eastAsia="zh-CN"/>
        </w:rPr>
        <w:t>。</w:t>
      </w:r>
      <w:r>
        <w:rPr>
          <w:rFonts w:hint="eastAsia" w:ascii="宋体" w:hAnsi="宋体"/>
          <w:highlight w:val="none"/>
          <w:lang w:val="en-US" w:eastAsia="zh-CN"/>
        </w:rPr>
        <w:t>其中：</w:t>
      </w:r>
    </w:p>
    <w:p>
      <w:pPr>
        <w:shd w:val="clear"/>
        <w:tabs>
          <w:tab w:val="left" w:pos="960"/>
          <w:tab w:val="left" w:pos="1418"/>
          <w:tab w:val="left" w:pos="8364"/>
        </w:tabs>
        <w:spacing w:before="0" w:after="0" w:afterAutospacing="0"/>
        <w:ind w:left="420" w:right="0" w:firstLine="0"/>
        <w:rPr>
          <w:rFonts w:hint="eastAsia" w:ascii="宋体" w:hAnsi="宋体"/>
          <w:highlight w:val="none"/>
        </w:rPr>
      </w:pPr>
      <w:r>
        <w:rPr>
          <w:rFonts w:hint="eastAsia" w:ascii="宋体" w:hAnsi="宋体" w:eastAsia="宋体"/>
          <w:highlight w:val="none"/>
          <w:lang w:val="en-US" w:eastAsia="zh-CN"/>
        </w:rPr>
        <w:t>维保部分</w:t>
      </w:r>
      <w:r>
        <w:rPr>
          <w:rFonts w:hint="eastAsia" w:ascii="宋体" w:hAnsi="宋体"/>
          <w:highlight w:val="none"/>
          <w:lang w:val="en-US" w:eastAsia="zh-CN"/>
        </w:rPr>
        <w:t>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，增值税率为：</w:t>
      </w:r>
      <w:r>
        <w:rPr>
          <w:rFonts w:hint="eastAsia" w:ascii="宋体" w:hAnsi="宋体"/>
          <w:highlight w:val="none"/>
          <w:u w:val="single"/>
          <w:lang w:val="en-US" w:eastAsia="zh-CN"/>
        </w:rPr>
        <w:t xml:space="preserve">       </w:t>
      </w:r>
      <w:r>
        <w:rPr>
          <w:rFonts w:hint="eastAsia" w:ascii="宋体" w:hAnsi="宋体"/>
          <w:highlight w:val="none"/>
          <w:lang w:val="en-US" w:eastAsia="zh-CN"/>
        </w:rPr>
        <w:t>；</w:t>
      </w:r>
      <w:r>
        <w:rPr>
          <w:rFonts w:hint="eastAsia" w:ascii="宋体" w:hAnsi="宋体"/>
          <w:highlight w:val="none"/>
        </w:rPr>
        <w:t>增值税</w:t>
      </w:r>
    </w:p>
    <w:p>
      <w:pPr>
        <w:shd w:val="clear"/>
        <w:tabs>
          <w:tab w:val="left" w:pos="960"/>
          <w:tab w:val="left" w:pos="1418"/>
          <w:tab w:val="left" w:pos="8364"/>
        </w:tabs>
        <w:spacing w:before="0" w:after="0" w:afterAutospacing="0"/>
        <w:ind w:right="0"/>
        <w:rPr>
          <w:rFonts w:hint="eastAsia" w:ascii="宋体" w:hAnsi="宋体" w:eastAsia="宋体"/>
          <w:highlight w:val="none"/>
          <w:lang w:val="en-US" w:eastAsia="zh-CN"/>
        </w:rPr>
      </w:pPr>
      <w:r>
        <w:rPr>
          <w:rFonts w:hint="eastAsia" w:ascii="宋体" w:hAnsi="宋体"/>
          <w:highlight w:val="none"/>
        </w:rPr>
        <w:t>额</w:t>
      </w:r>
      <w:r>
        <w:rPr>
          <w:rFonts w:hint="eastAsia" w:ascii="宋体" w:hAnsi="宋体"/>
          <w:highlight w:val="none"/>
          <w:lang w:val="en-US" w:eastAsia="zh-CN"/>
        </w:rPr>
        <w:t>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highlight w:val="none"/>
          <w:u w:val="single"/>
          <w:lang w:val="en-US" w:eastAsia="zh-CN"/>
        </w:rPr>
        <w:t>     </w:t>
      </w:r>
      <w:r>
        <w:rPr>
          <w:rFonts w:hint="eastAsia" w:ascii="宋体" w:hAnsi="宋体"/>
          <w:highlight w:val="none"/>
          <w:lang w:val="en-US" w:eastAsia="zh-CN"/>
        </w:rPr>
        <w:t>）</w:t>
      </w:r>
      <w:r>
        <w:rPr>
          <w:rFonts w:hint="eastAsia" w:ascii="宋体" w:hAnsi="宋体" w:eastAsia="宋体"/>
          <w:highlight w:val="none"/>
          <w:lang w:val="en-US" w:eastAsia="zh-CN"/>
        </w:rPr>
        <w:t>；</w:t>
      </w:r>
    </w:p>
    <w:p>
      <w:pPr>
        <w:shd w:val="clear"/>
        <w:tabs>
          <w:tab w:val="left" w:pos="960"/>
          <w:tab w:val="left" w:pos="1418"/>
          <w:tab w:val="left" w:pos="8364"/>
        </w:tabs>
        <w:spacing w:before="0" w:after="0" w:afterAutospacing="0"/>
        <w:ind w:right="0"/>
        <w:rPr>
          <w:rFonts w:hint="eastAsia" w:ascii="宋体" w:hAnsi="宋体"/>
          <w:highlight w:val="none"/>
          <w:lang w:val="en-US" w:eastAsia="zh-CN"/>
        </w:rPr>
      </w:pPr>
      <w:r>
        <w:rPr>
          <w:rFonts w:hint="eastAsia" w:ascii="宋体" w:hAnsi="宋体"/>
          <w:highlight w:val="none"/>
          <w:lang w:val="en-US" w:eastAsia="zh-CN"/>
        </w:rPr>
        <w:t xml:space="preserve">    备品备件部分不含增值税总价为（大写）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w:t>
      </w:r>
      <w:r>
        <w:rPr>
          <w:rFonts w:hint="eastAsia" w:ascii="宋体" w:hAnsi="宋体"/>
          <w:highlight w:val="none"/>
          <w:lang w:val="en-US" w:eastAsia="zh-CN"/>
        </w:rPr>
        <w:t>，增值税率为：</w:t>
      </w:r>
      <w:r>
        <w:rPr>
          <w:rFonts w:hint="eastAsia" w:ascii="宋体" w:hAnsi="宋体"/>
          <w:highlight w:val="none"/>
          <w:u w:val="single"/>
          <w:lang w:val="en-US" w:eastAsia="zh-CN"/>
        </w:rPr>
        <w:t xml:space="preserve">       </w:t>
      </w:r>
      <w:r>
        <w:rPr>
          <w:rFonts w:hint="eastAsia" w:ascii="宋体" w:hAnsi="宋体"/>
          <w:highlight w:val="none"/>
          <w:lang w:val="en-US" w:eastAsia="zh-CN"/>
        </w:rPr>
        <w:t>；增值税</w:t>
      </w:r>
    </w:p>
    <w:p>
      <w:pPr>
        <w:shd w:val="clear"/>
        <w:tabs>
          <w:tab w:val="left" w:pos="960"/>
          <w:tab w:val="left" w:pos="1418"/>
          <w:tab w:val="left" w:pos="8364"/>
        </w:tabs>
        <w:spacing w:before="0" w:after="0" w:afterAutospacing="0"/>
        <w:ind w:right="0"/>
        <w:rPr>
          <w:rFonts w:hint="default" w:ascii="宋体" w:hAnsi="宋体" w:eastAsia="宋体"/>
          <w:highlight w:val="none"/>
          <w:lang w:val="en-US" w:eastAsia="zh-CN"/>
        </w:rPr>
      </w:pPr>
      <w:r>
        <w:rPr>
          <w:rFonts w:hint="eastAsia" w:ascii="宋体" w:hAnsi="宋体"/>
          <w:highlight w:val="none"/>
          <w:lang w:val="en-US" w:eastAsia="zh-CN"/>
        </w:rPr>
        <w:t>额为（大写）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r>
        <w:rPr>
          <w:rFonts w:hint="eastAsia" w:ascii="宋体" w:hAnsi="宋体"/>
          <w:highlight w:val="none"/>
          <w:lang w:val="en-US" w:eastAsia="zh-CN"/>
        </w:rPr>
        <w:t>，含税总价为（大写）</w:t>
      </w:r>
      <w:r>
        <w:rPr>
          <w:rFonts w:hint="eastAsia" w:ascii="宋体" w:hAnsi="宋体"/>
          <w:highlight w:val="none"/>
          <w:u w:val="single"/>
          <w:lang w:val="en-US" w:eastAsia="zh-CN"/>
        </w:rPr>
        <w:t>     （¥     </w:t>
      </w:r>
      <w:r>
        <w:rPr>
          <w:rFonts w:hint="eastAsia" w:ascii="宋体" w:hAnsi="宋体"/>
          <w:highlight w:val="none"/>
          <w:u w:val="none"/>
          <w:lang w:val="en-US" w:eastAsia="zh-CN"/>
        </w:rPr>
        <w:t>）。</w:t>
      </w:r>
    </w:p>
    <w:p>
      <w:pPr>
        <w:widowControl w:val="0"/>
        <w:shd w:val="clear"/>
        <w:tabs>
          <w:tab w:val="left" w:pos="567"/>
        </w:tabs>
        <w:spacing w:before="0" w:after="0" w:afterAutospacing="0" w:line="360" w:lineRule="auto"/>
        <w:ind w:left="0" w:right="0" w:firstLine="422" w:firstLineChars="200"/>
        <w:rPr>
          <w:rFonts w:hint="eastAsia" w:ascii="宋体" w:hAnsi="宋体" w:cs="黑体"/>
          <w:b/>
          <w:kern w:val="2"/>
          <w:szCs w:val="22"/>
          <w:highlight w:val="none"/>
        </w:rPr>
      </w:pPr>
      <w:r>
        <w:rPr>
          <w:rFonts w:hint="eastAsia" w:ascii="宋体" w:hAnsi="宋体" w:cs="黑体"/>
          <w:b/>
          <w:kern w:val="2"/>
          <w:szCs w:val="22"/>
          <w:highlight w:val="none"/>
        </w:rPr>
        <w:t>在合同履约过程中，本合同税率将遵照国家现行税法执行。本合同最终税金在结算阶段，按实际产生的税金进行核算，但合同不含税价格不因国家税率调整而调整。</w:t>
      </w:r>
    </w:p>
    <w:p>
      <w:pPr>
        <w:shd w:val="clear"/>
        <w:tabs>
          <w:tab w:val="left" w:pos="960"/>
          <w:tab w:val="left" w:pos="1418"/>
          <w:tab w:val="left" w:pos="8364"/>
        </w:tabs>
        <w:spacing w:before="0" w:after="0" w:afterAutospacing="0"/>
        <w:ind w:left="0" w:right="0" w:firstLine="420" w:firstLineChars="200"/>
        <w:rPr>
          <w:rFonts w:hint="eastAsia"/>
        </w:rPr>
      </w:pPr>
      <w:r>
        <w:rPr>
          <w:rFonts w:hint="eastAsia" w:ascii="宋体" w:hAnsi="宋体"/>
          <w:highlight w:val="none"/>
          <w:lang w:val="en-US" w:eastAsia="zh-CN"/>
        </w:rPr>
        <w:t>10</w:t>
      </w:r>
      <w:r>
        <w:rPr>
          <w:rFonts w:hint="eastAsia" w:ascii="宋体" w:hAnsi="宋体"/>
          <w:highlight w:val="none"/>
        </w:rPr>
        <w:t>.</w:t>
      </w:r>
      <w:r>
        <w:rPr>
          <w:rFonts w:hint="eastAsia" w:ascii="宋体" w:hAnsi="宋体"/>
          <w:highlight w:val="none"/>
          <w:lang w:val="en-US" w:eastAsia="zh-CN"/>
        </w:rPr>
        <w:t>2</w:t>
      </w:r>
      <w:r>
        <w:rPr>
          <w:rFonts w:hint="eastAsia" w:ascii="宋体" w:hAnsi="宋体"/>
          <w:highlight w:val="none"/>
        </w:rPr>
        <w:t>维保部分固定综合单价包含</w:t>
      </w:r>
      <w:r>
        <w:rPr>
          <w:rFonts w:hint="eastAsia" w:ascii="宋体" w:hAnsi="宋体"/>
          <w:highlight w:val="none"/>
          <w:lang w:val="en-US" w:eastAsia="zh-CN"/>
        </w:rPr>
        <w:t>比选人</w:t>
      </w:r>
      <w:r>
        <w:rPr>
          <w:rFonts w:hint="eastAsia" w:ascii="宋体" w:hAnsi="宋体"/>
          <w:highlight w:val="none"/>
        </w:rPr>
        <w:t>修程规定内的维护保养服务、故障处理人工服务、备件更换服务、耗材[润滑油脂、冷冻液、刹车液、注油嘴、保险丝（熔断器）、叉车档位开关、刹车片、三色后尾灯、灯泡、棉纱、蒸馏水、密封圈、随车灭火器等，润滑油脂符合叉车设备使用要求]、工器具、其他辅助材料及叉车定期检验等产生的所有费用。</w:t>
      </w:r>
    </w:p>
    <w:p>
      <w:pPr>
        <w:shd w:val="clear"/>
        <w:tabs>
          <w:tab w:val="left" w:pos="960"/>
          <w:tab w:val="left" w:pos="1418"/>
          <w:tab w:val="left" w:pos="8364"/>
        </w:tabs>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lang w:val="en-US" w:eastAsia="zh-CN"/>
        </w:rPr>
        <w:t>10.3备品备件部分固定综合单价为更换故障备件产生的费用，以实际发生故障所需的备件数量进行计价，所需更换的故障备件费用以《南宁轨道交通1-5号线叉车委外维保项目另行计价备件表》(附件2)计价，备件费用包含备件提供期间发生的运保费、邮费、退换费、抽样及其检测费（如有）、计量检定费（如有）、计量校准检测费（如有）等费用。</w:t>
      </w:r>
      <w:bookmarkStart w:id="1460" w:name="_Toc385427856"/>
      <w:bookmarkStart w:id="1461" w:name="_Toc492478780"/>
      <w:bookmarkStart w:id="1462" w:name="_Toc25441"/>
      <w:bookmarkStart w:id="1463" w:name="_Toc25750651"/>
      <w:bookmarkStart w:id="1464" w:name="_Toc25230"/>
      <w:bookmarkStart w:id="1465" w:name="_Toc378514970"/>
      <w:bookmarkStart w:id="1466" w:name="_Toc30611"/>
      <w:bookmarkStart w:id="1467" w:name="_Toc390098482"/>
      <w:bookmarkStart w:id="1468" w:name="_Toc21856"/>
      <w:bookmarkStart w:id="1469" w:name="_Toc29593"/>
      <w:bookmarkStart w:id="1470" w:name="_Toc24113"/>
      <w:bookmarkStart w:id="1471" w:name="_Toc27489"/>
      <w:bookmarkStart w:id="1472" w:name="_Toc12825"/>
      <w:bookmarkStart w:id="1473" w:name="_Toc14851"/>
      <w:bookmarkStart w:id="1474" w:name="_Toc29106"/>
      <w:bookmarkStart w:id="1475" w:name="_Toc6771"/>
      <w:bookmarkStart w:id="1476" w:name="_Toc2295"/>
      <w:bookmarkStart w:id="1477" w:name="_Toc370933873"/>
      <w:bookmarkStart w:id="1478" w:name="_Toc26418"/>
      <w:bookmarkStart w:id="1479" w:name="_Toc32028"/>
      <w:bookmarkStart w:id="1480" w:name="_Toc3558"/>
      <w:bookmarkStart w:id="1481" w:name="_Toc769"/>
      <w:bookmarkStart w:id="1482" w:name="_Toc23070"/>
      <w:bookmarkStart w:id="1483" w:name="_Toc10545"/>
    </w:p>
    <w:p>
      <w:pPr>
        <w:shd w:val="clear"/>
        <w:tabs>
          <w:tab w:val="left" w:pos="840"/>
          <w:tab w:val="left" w:pos="1134"/>
        </w:tabs>
        <w:spacing w:before="0" w:after="0" w:afterAutospacing="0"/>
        <w:ind w:left="426" w:right="0" w:firstLine="0" w:firstLineChars="0"/>
        <w:outlineLvl w:val="2"/>
        <w:rPr>
          <w:rFonts w:hint="eastAsia" w:ascii="宋体" w:hAnsi="宋体"/>
          <w:b/>
          <w:highlight w:val="none"/>
        </w:rPr>
      </w:pPr>
      <w:bookmarkStart w:id="1484" w:name="_Toc23213"/>
      <w:bookmarkStart w:id="1485" w:name="_Toc21913"/>
      <w:bookmarkStart w:id="1486" w:name="_Toc25023"/>
      <w:r>
        <w:rPr>
          <w:rFonts w:hint="eastAsia" w:ascii="宋体" w:hAnsi="宋体"/>
          <w:b/>
          <w:highlight w:val="none"/>
          <w:lang w:val="en-US" w:eastAsia="zh-CN"/>
        </w:rPr>
        <w:t>11</w:t>
      </w:r>
      <w:r>
        <w:rPr>
          <w:rFonts w:hint="eastAsia" w:ascii="宋体" w:hAnsi="宋体"/>
          <w:b/>
          <w:highlight w:val="none"/>
        </w:rPr>
        <w:t>.</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Fonts w:hint="eastAsia" w:ascii="宋体" w:hAnsi="宋体"/>
          <w:b/>
          <w:highlight w:val="none"/>
        </w:rPr>
        <w:t>变更及变更费用的调整</w:t>
      </w:r>
      <w:bookmarkEnd w:id="1484"/>
      <w:bookmarkEnd w:id="1485"/>
      <w:bookmarkEnd w:id="1486"/>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.1 维保部分：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合同执行过程中，除以下情况外，合同总价均不予调整：</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（1）本项目范围发生变化的；</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（2）本合同服务期限发生变化的；</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（3）中华人民共和国、本项目所在地的法律法规、政策、规范变化的。</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.2 主要备品备件部分: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当出现以下几种情况时，经甲乙双方协商，可进行合同变更，但不调整价格：</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（1）因乙方</w:t>
      </w:r>
      <w:r>
        <w:rPr>
          <w:rFonts w:hint="eastAsia" w:ascii="宋体" w:hAnsi="宋体"/>
          <w:highlight w:val="none"/>
          <w:lang w:val="en-US" w:eastAsia="zh-CN"/>
        </w:rPr>
        <w:t>比选申请</w:t>
      </w:r>
      <w:r>
        <w:rPr>
          <w:rFonts w:hint="eastAsia" w:ascii="宋体" w:hAnsi="宋体"/>
          <w:highlight w:val="none"/>
          <w:lang w:eastAsia="zh-CN"/>
        </w:rPr>
        <w:t>时填报错误导致清单项不满足甲方需求的，变更的品牌型号需满足甲方需求，技术指标同等或优于原填报品牌、型号，市场价格原则上同等或高于原填报价格；</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（2）因原填报品牌型号停产或升级的导致市场采购不到的。变更的品牌型号需提供原厂出具的其品牌型号停产证明或型号升级证明。</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.3 合同价格调整原则。</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 xml:space="preserve">.3.1 </w:t>
      </w:r>
      <w:r>
        <w:rPr>
          <w:rFonts w:hint="eastAsia" w:ascii="宋体" w:hAnsi="宋体"/>
          <w:highlight w:val="none"/>
          <w:lang w:val="en-US" w:eastAsia="zh-CN"/>
        </w:rPr>
        <w:t>比选申请</w:t>
      </w:r>
      <w:r>
        <w:rPr>
          <w:rFonts w:hint="eastAsia" w:ascii="宋体" w:hAnsi="宋体"/>
          <w:highlight w:val="none"/>
          <w:lang w:eastAsia="zh-CN"/>
        </w:rPr>
        <w:t>报价清单有相同项目的，按照相同项目单价计算；</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 xml:space="preserve">.3.2 </w:t>
      </w:r>
      <w:r>
        <w:rPr>
          <w:rFonts w:hint="eastAsia" w:ascii="宋体" w:hAnsi="宋体"/>
          <w:highlight w:val="none"/>
          <w:lang w:val="en-US" w:eastAsia="zh-CN"/>
        </w:rPr>
        <w:t>比选申请</w:t>
      </w:r>
      <w:r>
        <w:rPr>
          <w:rFonts w:hint="eastAsia" w:ascii="宋体" w:hAnsi="宋体"/>
          <w:highlight w:val="none"/>
          <w:lang w:eastAsia="zh-CN"/>
        </w:rPr>
        <w:t>报价清单中无相同项目，但有类似项目的，应根据需调整单价的项目特征，对类似项目单价的变化部分进行调整（但管理费、利润等的取费标准不得调整），并按调整后的单价计算需调整的合同价格；</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11</w:t>
      </w:r>
      <w:r>
        <w:rPr>
          <w:rFonts w:hint="eastAsia" w:ascii="宋体" w:hAnsi="宋体"/>
          <w:highlight w:val="none"/>
          <w:lang w:eastAsia="zh-CN"/>
        </w:rPr>
        <w:t>.3.3</w:t>
      </w:r>
      <w:r>
        <w:rPr>
          <w:rFonts w:hint="eastAsia" w:ascii="宋体" w:hAnsi="宋体"/>
          <w:highlight w:val="none"/>
          <w:lang w:val="en-US" w:eastAsia="zh-CN"/>
        </w:rPr>
        <w:t>比选申请</w:t>
      </w:r>
      <w:r>
        <w:rPr>
          <w:rFonts w:hint="eastAsia" w:ascii="宋体" w:hAnsi="宋体"/>
          <w:highlight w:val="none"/>
          <w:lang w:eastAsia="zh-CN"/>
        </w:rPr>
        <w:t>报价清单中无适用或类似项目的单价，即新增项目，应按下列约定重新组价：</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新增项目适用广西壮族自治区和国家统一标准定额的：新增项目单价套用的人工、机械、材料价格原清单可以查到的，按原清单最低价格执行；原清单中没有人工、机械、材料价格的，人工单价执行基期（即</w:t>
      </w:r>
      <w:r>
        <w:rPr>
          <w:rFonts w:hint="eastAsia" w:ascii="宋体" w:hAnsi="宋体"/>
          <w:highlight w:val="none"/>
          <w:lang w:val="en-US" w:eastAsia="zh-CN"/>
        </w:rPr>
        <w:t>比选申请</w:t>
      </w:r>
      <w:r>
        <w:rPr>
          <w:rFonts w:hint="eastAsia" w:ascii="宋体" w:hAnsi="宋体"/>
          <w:highlight w:val="none"/>
          <w:lang w:eastAsia="zh-CN"/>
        </w:rPr>
        <w:t>文件编制期）政府相关部门发布的人工工资单价，机械、材料价格参考当期南宁建设工程造价信息执行，造价信息没有的，按市场价确定。新增项目单价管理费、利润取费费率按原有报价其他项目的最低费率执行。</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2）新增项目单价不适合套用定额的，甲、乙双方根据甲方相关维修规程，计算人工、机械、材料消耗量。人工、机械、材料价格原清单可以查到的，按原清单最低价格执行；原清单中没有人工、机械、材料价格的，人工单价执行基期（即</w:t>
      </w:r>
      <w:r>
        <w:rPr>
          <w:rFonts w:hint="eastAsia" w:ascii="宋体" w:hAnsi="宋体"/>
          <w:highlight w:val="none"/>
          <w:lang w:val="en-US" w:eastAsia="zh-CN"/>
        </w:rPr>
        <w:t>比选申请</w:t>
      </w:r>
      <w:r>
        <w:rPr>
          <w:rFonts w:hint="eastAsia" w:ascii="宋体" w:hAnsi="宋体"/>
          <w:highlight w:val="none"/>
          <w:lang w:eastAsia="zh-CN"/>
        </w:rPr>
        <w:t>文件编制期）政府相关部门发布的人工工资单价，机械、材料价格参考当期南宁建设工程造价信息执行，造价信息没有的，按市场价确定。新增项目单价管理费、利润取费费率按原有报价其他项目的最低费率执行。</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w:t>
      </w:r>
      <w:r>
        <w:rPr>
          <w:rFonts w:hint="eastAsia" w:ascii="宋体" w:hAnsi="宋体"/>
          <w:highlight w:val="none"/>
          <w:lang w:val="en-US" w:eastAsia="zh-CN"/>
        </w:rPr>
        <w:t>3</w:t>
      </w:r>
      <w:r>
        <w:rPr>
          <w:rFonts w:hint="eastAsia" w:ascii="宋体" w:hAnsi="宋体"/>
          <w:highlight w:val="none"/>
          <w:lang w:eastAsia="zh-CN"/>
        </w:rPr>
        <w:t>）新增项目单价必须经双方认可后才能启用。</w:t>
      </w:r>
    </w:p>
    <w:p>
      <w:pPr>
        <w:numPr>
          <w:ilvl w:val="0"/>
          <w:numId w:val="0"/>
        </w:numPr>
        <w:shd w:val="clear"/>
        <w:tabs>
          <w:tab w:val="left" w:pos="840"/>
          <w:tab w:val="left" w:pos="1843"/>
        </w:tabs>
        <w:spacing w:before="0" w:after="0" w:afterAutospacing="0"/>
        <w:ind w:leftChars="200" w:right="0" w:rightChars="0"/>
        <w:outlineLvl w:val="2"/>
        <w:rPr>
          <w:rFonts w:ascii="宋体" w:hAnsi="宋体"/>
          <w:b/>
          <w:highlight w:val="none"/>
        </w:rPr>
      </w:pPr>
      <w:bookmarkStart w:id="1487" w:name="_Toc20343"/>
      <w:bookmarkStart w:id="1488" w:name="_Toc20714"/>
      <w:bookmarkStart w:id="1489" w:name="_Toc12594"/>
      <w:bookmarkStart w:id="1490" w:name="_Toc20555"/>
      <w:bookmarkStart w:id="1491" w:name="_Toc6316"/>
      <w:r>
        <w:rPr>
          <w:rFonts w:hint="eastAsia" w:ascii="宋体" w:hAnsi="宋体"/>
          <w:b/>
          <w:highlight w:val="none"/>
          <w:lang w:eastAsia="zh-CN"/>
        </w:rPr>
        <w:t>12.</w:t>
      </w:r>
      <w:r>
        <w:rPr>
          <w:rFonts w:hint="eastAsia" w:ascii="宋体" w:hAnsi="宋体"/>
          <w:b/>
          <w:highlight w:val="none"/>
        </w:rPr>
        <w:t>违约责任</w:t>
      </w:r>
      <w:bookmarkEnd w:id="1487"/>
      <w:bookmarkEnd w:id="1488"/>
      <w:bookmarkEnd w:id="1489"/>
      <w:bookmarkEnd w:id="1490"/>
      <w:bookmarkEnd w:id="1491"/>
    </w:p>
    <w:p>
      <w:pPr>
        <w:shd w:val="clear"/>
        <w:tabs>
          <w:tab w:val="left" w:pos="840"/>
          <w:tab w:val="left" w:pos="1843"/>
        </w:tabs>
        <w:spacing w:before="0" w:after="0" w:afterAutospacing="0"/>
        <w:ind w:left="422" w:right="0" w:firstLine="0"/>
        <w:outlineLvl w:val="3"/>
        <w:rPr>
          <w:rFonts w:hint="eastAsia" w:ascii="宋体" w:hAnsi="宋体" w:eastAsia="宋体" w:cs="Times New Roman"/>
          <w:highlight w:val="none"/>
          <w:lang w:eastAsia="zh-CN"/>
        </w:rPr>
      </w:pPr>
      <w:bookmarkStart w:id="1492" w:name="_Toc21013"/>
      <w:bookmarkStart w:id="1493" w:name="_Toc8122"/>
      <w:bookmarkStart w:id="1494" w:name="_Toc12053"/>
      <w:bookmarkStart w:id="1495" w:name="_Toc27296"/>
      <w:bookmarkStart w:id="1496" w:name="_Toc21487"/>
      <w:bookmarkStart w:id="1497" w:name="_Toc32671"/>
      <w:r>
        <w:rPr>
          <w:rFonts w:hint="eastAsia" w:ascii="宋体" w:hAnsi="宋体" w:cs="Times New Roman"/>
          <w:highlight w:val="none"/>
          <w:lang w:eastAsia="zh-CN"/>
        </w:rPr>
        <w:t>12.</w:t>
      </w:r>
      <w:r>
        <w:rPr>
          <w:rFonts w:hint="eastAsia" w:ascii="宋体" w:hAnsi="宋体" w:eastAsia="宋体" w:cs="Times New Roman"/>
          <w:highlight w:val="none"/>
          <w:lang w:eastAsia="zh-CN"/>
        </w:rPr>
        <w:t>1合同期考核</w:t>
      </w:r>
      <w:bookmarkEnd w:id="1492"/>
      <w:bookmarkEnd w:id="1493"/>
      <w:bookmarkEnd w:id="1494"/>
      <w:bookmarkEnd w:id="1495"/>
      <w:bookmarkEnd w:id="1496"/>
      <w:bookmarkEnd w:id="1497"/>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12.1.1合同期内，由甲方每月定期组织相关人员根据</w:t>
      </w:r>
      <w:r>
        <w:rPr>
          <w:rFonts w:hint="eastAsia" w:ascii="宋体" w:hAnsi="宋体"/>
          <w:highlight w:val="none"/>
          <w:lang w:val="en-US" w:eastAsia="zh-CN"/>
        </w:rPr>
        <w:t>第五章《用户需求书》附件3</w:t>
      </w:r>
      <w:r>
        <w:rPr>
          <w:rFonts w:hint="eastAsia" w:ascii="宋体" w:hAnsi="宋体"/>
          <w:highlight w:val="none"/>
          <w:lang w:eastAsia="zh-CN"/>
        </w:rPr>
        <w:t>《月度综合评分标准》对乙方的合同履约情况进行评分，评分的结果将作为甲方对乙方考核的依据。</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12.1.1.1以每12个月为一期，当期得分为12个月综合考评分数的平均分。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12.1.1.2当期得分≥90分，考评为优秀。</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12.1.1.3当期得分≥80分且＜90分，考评为合格。</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12.1.1.4当期得分≥70分且＜80分，从80分起每低于1分扣发乙方0.5%当期进度款。</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12.1.1.5当期得分＜70分，扣发乙方10%当期进度款，同时甲方有权终止合同。</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12.1.1.6月度评估单次所得分数低于60分，</w:t>
      </w:r>
      <w:r>
        <w:rPr>
          <w:rFonts w:hint="eastAsia" w:ascii="宋体" w:hAnsi="宋体"/>
          <w:highlight w:val="none"/>
          <w:lang w:val="en-US" w:eastAsia="zh-CN"/>
        </w:rPr>
        <w:t>比选</w:t>
      </w:r>
      <w:r>
        <w:rPr>
          <w:rFonts w:hint="eastAsia" w:ascii="宋体" w:hAnsi="宋体"/>
          <w:highlight w:val="none"/>
          <w:lang w:eastAsia="zh-CN"/>
        </w:rPr>
        <w:t>人有权立即终止合同。</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12.1.2合同期内因乙方责任造成解除合同的，造成的一切损失均由乙方承担。</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12.1.3乙方在收到《合同违约处罚通知单》（详见附件4）后，如有意见，须在《合同违约处罚通知单》送达后2个工作日内向甲方主办部门提交正式申诉材料提出申诉，否则视为接受违约处罚，甲方主办部门在收到申诉材料后须在5个工作日给予回复。</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eastAsia="zh-CN"/>
        </w:rPr>
        <w:t>12.2合同违约处罚条款</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12.2.1人员要求</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12.2.1.1乙方未按要求配备合格项目经理或技术负责人的，乙方须向甲方支付违约金1000元/人次。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12.2.1.2乙方未按要求配备维保作业人员，乙方须向甲方支付违约金500元/人次。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12.2.1.3乙方未得到甲方书面允许擅自替换项目经理或技术负责人的，乙方须向甲方支付违约金10000元/人次。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12.2.1.4乙方未得到甲方书面允许擅自替换维保作业人员，乙方须向甲方支付违约金500元/人次。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12.2.1.5乙方未按国家、省（自治区）、市相关政策为所聘用参与本项目主要人员购买社会保险的，应立即停止该部分人员在本项目的用工，直至办理完购买社会保险手续，期间乙方必须采取其他措施保障合同正常履行，且乙方须向甲方支付违约金1000元/人。造成甲方经济、声誉损失的，甲方有权终止合同并追究乙方相关责任。</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12.2.2物资管理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12.2.2.1乙方配置给现场维保作业人员的工器具中，属于计量器具的未按期送检，经甲方相关人员发现的，乙方须向甲方支付违约金200元/件次。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12.2.2.2因乙方未按合同要求配置相关工器具导致在作业过程中出现工器具不齐全的，乙方须向甲方支付违约金100元/件次。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12.2.2.3甲方提供的备件因乙方造成损坏，扣除该备件费用作为违约金；乙方如借用甲方备件、材料及工具等没有按时归还，甲方将在借用日后的第3个月开始，每月从应支付费用中罚扣相应备件、材料及工具金额的25%，直至归还。</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12.2.2.4乙方采购备件时未按照原厂原品牌或甲方认可的其他品牌，乙方须向甲方支付违约金1000元/次，因使用以上部件造成设备故障的，乙方须向甲方支付违约金1000元/次。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12.2.2.5乙方违规使用甲方项目或其他项目返修件的，乙方须向甲方支付违约金500元/次，因使用以上部件造成设备故障的，乙方须向甲方支付违约金1000元/次。</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12.2.3工作纪律</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12.2.3.1甲方2小时内无法联系到乙方人员的，乙方须向甲方支付违约金300元/次。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12.2.3.2乙方人员在维保作业时未按要求穿戴劳保用品（工作服、劳保鞋、安全帽、荧光衣等），乙方须向甲方支付违约金100元/项。</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12.2.3.3乙方未按要求提交各类故障分析报告、维护维修记录等，乙方须向甲方支付违约金200元/次；因乙方提供虚假报告、记录的经甲方发现的，乙方须向甲方支付违约金300元/次。乙方未按甲方要求的格式与内容或不提供报告的，乙方须向甲方支付违约金200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12.2.3.4乙方未征得甲方同意缺席相关会议的，乙方须向甲方支付违约金500元/次。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12.2.3.5乙方人员在作业现场抽烟、睡觉或与甲方工作人员发生冲突的，乙方须向甲方支付违约金300元/次。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12.2.3.6乙方因不遵守其它作业规定造成不良影响的，乙方须向甲方支付违约金300元/次。</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12.2.4设备服务质量</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12.2.4.1合同内任一叉车故障处理后，半个月内发生重复故障的，乙方需向甲方支付违约金300元/次。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12.2.4.2故障响应时间超过指标的，乙方须向甲方支付违约金300元/次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12.2.4.3临时处理时间超过指标的，乙方须向甲方支付违约金400元/次。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12.2.4.4完全修复时间超过指标的，乙方须向甲方支付违约金500元/次。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12.2.4.5因乙方自身原因导致各叉车修程未按计划按质按量完成，乙方须向甲方支付违约金300元/次。</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12.2.4.6经甲方相关专业人员对本项目合同约定范围内由乙方负责的所有设备计划性维保的工作质量进行检查，对于达不到质量标准要求的检查结果的，乙方须向甲方支付违约金300元/项。</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12.2.4.7因乙方提供的维修服务不符合要求或由此造成甲方损失，乙方应承担甲方损失所发生的费用。</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12.2.4.8乙方不响应甲方故障处理要求，不配合故障处理，甲方有权向乙方提出警告，乙方负责整改。若乙方在合同期内出现二次不响应甲方故障处理要求，乙方需向甲方支付违约金1000元/次。若乙方在合同期内出现三次不响应甲方故障处理要求，甲方视情节严重性有权终止合同。因乙方责任造成解除合同的，由乙方承担相应的责任,并赔偿相应损失。</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12.2.4.9乙方响应时间超过甲方规定叉车故障处理响应及修复时间、备件提供时间的，须按500元/天的标准扣以违约金（（实际完成所需时间-规定完成时间）*500元/天）。</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12.2.5安全管理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12.2.5.1乙方违反国家各类管理规定及法律法规（以国家最新规定为准），乙方须向甲方支付违约金500元/件。</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12.2.5.2因设备重大故障导致甲方受到上级单位考核，乙方须按上级单位考核甲方金额的2倍向甲方支付违约金。</w:t>
      </w:r>
    </w:p>
    <w:p>
      <w:pPr>
        <w:shd w:val="clear"/>
        <w:tabs>
          <w:tab w:val="left" w:pos="840"/>
        </w:tabs>
        <w:spacing w:before="0" w:after="0" w:afterAutospacing="0"/>
        <w:ind w:left="0" w:right="0" w:firstLine="420" w:firstLineChars="200"/>
        <w:outlineLvl w:val="4"/>
        <w:rPr>
          <w:rFonts w:hint="eastAsia" w:ascii="宋体" w:hAnsi="宋体"/>
          <w:highlight w:val="none"/>
          <w:lang w:eastAsia="zh-CN"/>
        </w:rPr>
      </w:pPr>
      <w:r>
        <w:rPr>
          <w:rFonts w:hint="eastAsia" w:ascii="宋体" w:hAnsi="宋体"/>
          <w:highlight w:val="none"/>
          <w:lang w:eastAsia="zh-CN"/>
        </w:rPr>
        <w:t>12.2.6其他</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12.2.6.1乙方须提供符合税务部门规定的且合法有效的增值税专用发票，因乙方提供的发票不符合税务部门的要求造成甲方经济损失的，由乙方负责赔偿。</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12.2.6.2乙方开具的发票在送达甲方后如发生丢失或被盗等，乙方有义务按照税法规定和甲方的要求积极协助甲方在税法规定期限内办理有关的进项税额的认证抵扣手续。</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12.2.6.3在合同有效期内，如发现乙方擅自转包、挂靠或提供虚假资料的，甲方将单方终止合同，乙方须承担违约责任并赔偿甲方的一切经济损失。</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12.2.6.4合同期内产生的甲方考核乙方的费用，将在当期的合同支付中相应扣除。</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12.2.6.5乙方违反双方会议纪要或合同其他要求的，乙方须向甲方支付违约金500元/次。违反安全约谈等专项整改会议纪要的，乙方须向甲方支付违约金1000元/次。以上违约事件一个月内重复出现的，甲方保留双倍考核的权力，考核金额以甲方发出的《合同违约处罚通知单》为准。</w:t>
      </w:r>
    </w:p>
    <w:p>
      <w:pPr>
        <w:numPr>
          <w:ilvl w:val="0"/>
          <w:numId w:val="0"/>
        </w:numPr>
        <w:shd w:val="clear"/>
        <w:tabs>
          <w:tab w:val="left" w:pos="840"/>
          <w:tab w:val="left" w:pos="1843"/>
        </w:tabs>
        <w:spacing w:before="0" w:after="0" w:afterAutospacing="0"/>
        <w:ind w:leftChars="200" w:right="0" w:rightChars="0"/>
        <w:outlineLvl w:val="2"/>
        <w:rPr>
          <w:rFonts w:hint="eastAsia" w:ascii="宋体" w:hAnsi="宋体"/>
          <w:b/>
          <w:highlight w:val="none"/>
          <w:lang w:eastAsia="zh-CN"/>
        </w:rPr>
      </w:pPr>
      <w:bookmarkStart w:id="1498" w:name="_Toc9631"/>
      <w:bookmarkStart w:id="1499" w:name="_Toc13258"/>
      <w:bookmarkStart w:id="1500" w:name="_Toc17443"/>
      <w:bookmarkStart w:id="1501" w:name="_Toc9180"/>
      <w:bookmarkStart w:id="1502" w:name="_Toc26201"/>
      <w:r>
        <w:rPr>
          <w:rFonts w:hint="eastAsia" w:ascii="宋体" w:hAnsi="宋体"/>
          <w:b/>
          <w:highlight w:val="none"/>
          <w:lang w:eastAsia="zh-CN"/>
        </w:rPr>
        <w:t>1</w:t>
      </w:r>
      <w:r>
        <w:rPr>
          <w:rFonts w:hint="eastAsia" w:ascii="宋体" w:hAnsi="宋体"/>
          <w:b/>
          <w:highlight w:val="none"/>
          <w:lang w:val="en-US" w:eastAsia="zh-CN"/>
        </w:rPr>
        <w:t>3.</w:t>
      </w:r>
      <w:r>
        <w:rPr>
          <w:rFonts w:hint="eastAsia" w:ascii="宋体" w:hAnsi="宋体"/>
          <w:b/>
          <w:highlight w:val="none"/>
          <w:lang w:eastAsia="zh-CN"/>
        </w:rPr>
        <w:t>验收</w:t>
      </w:r>
      <w:bookmarkEnd w:id="1498"/>
      <w:bookmarkEnd w:id="1499"/>
      <w:bookmarkEnd w:id="1500"/>
      <w:bookmarkEnd w:id="1501"/>
      <w:bookmarkEnd w:id="1502"/>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bookmarkStart w:id="1503" w:name="_Toc137824309"/>
      <w:bookmarkEnd w:id="1503"/>
      <w:bookmarkStart w:id="1504" w:name="_Toc137824311"/>
      <w:bookmarkEnd w:id="1504"/>
      <w:bookmarkStart w:id="1505" w:name="_Toc437544545"/>
      <w:bookmarkStart w:id="1506" w:name="_Toc1184"/>
      <w:r>
        <w:rPr>
          <w:rFonts w:hint="eastAsia" w:ascii="宋体" w:hAnsi="宋体"/>
          <w:highlight w:val="none"/>
          <w:lang w:eastAsia="zh-CN"/>
        </w:rPr>
        <w:t>13.1维保服务验收</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13.1.1乙方需在维保作业结束前对其外观及功能进行检查，并根据叉车的各项性能进行相关试验，确保叉车各项性能良好。</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13.1.2维保作业结束后，由甲方组织乙方现场维保人员进行验收，由</w:t>
      </w:r>
      <w:r>
        <w:rPr>
          <w:rFonts w:hint="eastAsia" w:ascii="宋体" w:hAnsi="宋体"/>
          <w:highlight w:val="none"/>
          <w:lang w:val="en-US" w:eastAsia="zh-CN"/>
        </w:rPr>
        <w:t>比选人</w:t>
      </w:r>
      <w:r>
        <w:rPr>
          <w:rFonts w:hint="eastAsia" w:ascii="宋体" w:hAnsi="宋体"/>
          <w:highlight w:val="none"/>
          <w:lang w:eastAsia="zh-CN"/>
        </w:rPr>
        <w:t>、</w:t>
      </w:r>
      <w:r>
        <w:rPr>
          <w:rFonts w:hint="eastAsia" w:ascii="宋体" w:hAnsi="宋体"/>
          <w:highlight w:val="none"/>
          <w:lang w:val="en-US" w:eastAsia="zh-CN"/>
        </w:rPr>
        <w:t>比选申请人</w:t>
      </w:r>
      <w:r>
        <w:rPr>
          <w:rFonts w:hint="eastAsia" w:ascii="宋体" w:hAnsi="宋体"/>
          <w:highlight w:val="none"/>
          <w:lang w:eastAsia="zh-CN"/>
        </w:rPr>
        <w:t>双方根据叉车维保质量标准对叉车各项功能进行检查，并签字确认，确保各项性能指标满足运营公司叉车性能要求。</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eastAsia="zh-CN"/>
        </w:rPr>
        <w:t>13.2新备件验收</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新备件在供货前乙方需确保满足南宁轨道交通1-5号线叉车现场安装条件，乙方根据甲方的需求将全新的备件发至现场后，由甲方组织进行验收，核对备件的出厂检测合格证明，核对新备件的型号与甲方现场使用的是否一致，并对其外观及各项功能进行检查。各项检查均合格，安装后设备的各项性能指标达到要求后，甲方才予以验收通过。</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eastAsia="zh-CN"/>
        </w:rPr>
        <w:t>13.3其他验收</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13.3.1乙方组织定期检验的叉车，须经广西壮族自治区特种设备检验研究院的监督检验合格，并取得检验报告等相关证书，检验通过后的所有材料原件需提交甲方。</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eastAsia="zh-CN"/>
        </w:rPr>
        <w:t>13.3.2本项目叉车每次故障修复后，乙方须按甲方提交包括但不限于故障处理记录、故障分析报告、备件更换记录、质保承诺函等电子版或签字盖章纸质版材料。</w:t>
      </w:r>
    </w:p>
    <w:p>
      <w:pPr>
        <w:shd w:val="clear"/>
        <w:tabs>
          <w:tab w:val="left" w:pos="840"/>
          <w:tab w:val="left" w:pos="1843"/>
        </w:tabs>
        <w:spacing w:before="0" w:after="0" w:afterAutospacing="0"/>
        <w:ind w:left="422" w:right="0" w:firstLine="0"/>
        <w:outlineLvl w:val="2"/>
        <w:rPr>
          <w:rFonts w:hint="eastAsia" w:ascii="宋体" w:hAnsi="宋体" w:eastAsia="宋体"/>
          <w:b/>
          <w:highlight w:val="none"/>
          <w:lang w:val="en-US" w:eastAsia="zh-CN"/>
        </w:rPr>
      </w:pPr>
      <w:bookmarkStart w:id="1507" w:name="_Toc10375"/>
      <w:bookmarkStart w:id="1508" w:name="_Toc5011"/>
      <w:bookmarkStart w:id="1509" w:name="_Toc21452"/>
      <w:bookmarkStart w:id="1510" w:name="_Toc11451"/>
      <w:bookmarkStart w:id="1511" w:name="_Toc16919"/>
      <w:r>
        <w:rPr>
          <w:rFonts w:hint="eastAsia" w:ascii="宋体" w:hAnsi="宋体"/>
          <w:b/>
          <w:highlight w:val="none"/>
        </w:rPr>
        <w:t>1</w:t>
      </w:r>
      <w:r>
        <w:rPr>
          <w:rFonts w:hint="eastAsia" w:ascii="宋体" w:hAnsi="宋体"/>
          <w:b/>
          <w:highlight w:val="none"/>
          <w:lang w:val="en-US" w:eastAsia="zh-CN"/>
        </w:rPr>
        <w:t>4.</w:t>
      </w:r>
      <w:r>
        <w:rPr>
          <w:rFonts w:hint="eastAsia" w:ascii="宋体" w:hAnsi="宋体"/>
          <w:b/>
          <w:highlight w:val="none"/>
        </w:rPr>
        <w:t>质量</w:t>
      </w:r>
      <w:r>
        <w:rPr>
          <w:rFonts w:hint="eastAsia" w:ascii="宋体" w:hAnsi="宋体"/>
          <w:b/>
          <w:highlight w:val="none"/>
          <w:lang w:val="en-US" w:eastAsia="zh-CN"/>
        </w:rPr>
        <w:t>控制措施</w:t>
      </w:r>
      <w:r>
        <w:rPr>
          <w:rFonts w:hint="eastAsia" w:ascii="宋体" w:hAnsi="宋体"/>
          <w:b/>
          <w:highlight w:val="none"/>
        </w:rPr>
        <w:t>和</w:t>
      </w:r>
      <w:bookmarkEnd w:id="1505"/>
      <w:bookmarkEnd w:id="1506"/>
      <w:r>
        <w:rPr>
          <w:rFonts w:hint="eastAsia" w:ascii="宋体" w:hAnsi="宋体"/>
          <w:b/>
          <w:highlight w:val="none"/>
        </w:rPr>
        <w:t>质保</w:t>
      </w:r>
      <w:r>
        <w:rPr>
          <w:rFonts w:hint="eastAsia" w:ascii="宋体" w:hAnsi="宋体"/>
          <w:b/>
          <w:highlight w:val="none"/>
          <w:lang w:val="en-US" w:eastAsia="zh-CN"/>
        </w:rPr>
        <w:t>期限</w:t>
      </w:r>
      <w:bookmarkEnd w:id="1507"/>
      <w:bookmarkEnd w:id="1508"/>
      <w:bookmarkEnd w:id="1509"/>
      <w:bookmarkEnd w:id="1510"/>
      <w:bookmarkEnd w:id="1511"/>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val="en-US" w:eastAsia="zh-CN"/>
        </w:rPr>
        <w:t>14.1</w:t>
      </w:r>
      <w:r>
        <w:rPr>
          <w:rFonts w:hint="eastAsia" w:ascii="宋体" w:hAnsi="宋体"/>
          <w:highlight w:val="none"/>
          <w:lang w:eastAsia="zh-CN"/>
        </w:rPr>
        <w:t>项目质量控制措施</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14.1</w:t>
      </w:r>
      <w:r>
        <w:rPr>
          <w:rFonts w:hint="eastAsia" w:ascii="宋体" w:hAnsi="宋体"/>
          <w:highlight w:val="none"/>
          <w:lang w:eastAsia="zh-CN"/>
        </w:rPr>
        <w:t>.1项目进场后，乙方按要求组织所有维保作业人员参加甲方组织的施工作业相关规章制度、叉车维保相关规程及标准培训，要求全员考核合格。</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14.1</w:t>
      </w:r>
      <w:r>
        <w:rPr>
          <w:rFonts w:hint="eastAsia" w:ascii="宋体" w:hAnsi="宋体"/>
          <w:highlight w:val="none"/>
          <w:lang w:eastAsia="zh-CN"/>
        </w:rPr>
        <w:t>.2乙方须根据甲方提供的设备检修规程、工艺标准等开展内部专项培训工作，确保维保作业人员熟悉相关设备性能及维保设备所在的地点区域等。</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14.1</w:t>
      </w:r>
      <w:r>
        <w:rPr>
          <w:rFonts w:hint="eastAsia" w:ascii="宋体" w:hAnsi="宋体"/>
          <w:highlight w:val="none"/>
          <w:lang w:eastAsia="zh-CN"/>
        </w:rPr>
        <w:t>.3乙方须结合本项目相关要求制定完善的维保质量管理制度，落实项目质量的管理控制措施，责任到人，并报甲方备案。</w:t>
      </w:r>
    </w:p>
    <w:p>
      <w:pPr>
        <w:shd w:val="clear"/>
        <w:tabs>
          <w:tab w:val="left" w:pos="840"/>
        </w:tabs>
        <w:spacing w:before="0" w:after="0" w:afterAutospacing="0"/>
        <w:ind w:left="0" w:right="0" w:firstLine="420" w:firstLineChars="200"/>
        <w:outlineLvl w:val="3"/>
        <w:rPr>
          <w:rFonts w:hint="eastAsia" w:ascii="宋体" w:hAnsi="宋体"/>
          <w:highlight w:val="none"/>
          <w:lang w:eastAsia="zh-CN"/>
        </w:rPr>
      </w:pPr>
      <w:r>
        <w:rPr>
          <w:rFonts w:hint="eastAsia" w:ascii="宋体" w:hAnsi="宋体"/>
          <w:highlight w:val="none"/>
          <w:lang w:val="en-US" w:eastAsia="zh-CN"/>
        </w:rPr>
        <w:t>14.2</w:t>
      </w:r>
      <w:r>
        <w:rPr>
          <w:rFonts w:hint="eastAsia" w:ascii="宋体" w:hAnsi="宋体"/>
          <w:highlight w:val="none"/>
          <w:lang w:eastAsia="zh-CN"/>
        </w:rPr>
        <w:t>项目质保期限</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14.2</w:t>
      </w:r>
      <w:r>
        <w:rPr>
          <w:rFonts w:hint="eastAsia" w:ascii="宋体" w:hAnsi="宋体"/>
          <w:highlight w:val="none"/>
          <w:lang w:eastAsia="zh-CN"/>
        </w:rPr>
        <w:t>.1故障修复后5个工作日内，乙方要根据甲方要求提供相关故障处理记录、故障分析报告、更换备件记录、备件合格证等，建立设备故障收集、统计、分析台账。具体须提供以上文件的故障以甲方要求为准。</w:t>
      </w:r>
    </w:p>
    <w:p>
      <w:pPr>
        <w:shd w:val="clear"/>
        <w:tabs>
          <w:tab w:val="left" w:pos="84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lang w:val="en-US" w:eastAsia="zh-CN"/>
        </w:rPr>
        <w:t>14.2</w:t>
      </w:r>
      <w:r>
        <w:rPr>
          <w:rFonts w:hint="eastAsia" w:ascii="宋体" w:hAnsi="宋体"/>
          <w:highlight w:val="none"/>
          <w:lang w:eastAsia="zh-CN"/>
        </w:rPr>
        <w:t>.2故障修复的质保期为完成双方签字验收之日起，往后推算6个月，每起故障单独计算质保期。若故障质保期内再次发生故障，则由乙方免费修复后重新计算质保期。</w:t>
      </w:r>
    </w:p>
    <w:p>
      <w:pPr>
        <w:shd w:val="clear"/>
        <w:tabs>
          <w:tab w:val="left" w:pos="840"/>
        </w:tabs>
        <w:spacing w:before="0" w:after="0" w:afterAutospacing="0"/>
        <w:ind w:left="0" w:right="0" w:firstLine="420" w:firstLineChars="200"/>
        <w:rPr>
          <w:rFonts w:asciiTheme="minorEastAsia" w:hAnsiTheme="minorEastAsia" w:eastAsiaTheme="minorEastAsia"/>
          <w:color w:val="FF0000"/>
          <w:sz w:val="28"/>
          <w:szCs w:val="28"/>
          <w:highlight w:val="none"/>
        </w:rPr>
      </w:pPr>
      <w:r>
        <w:rPr>
          <w:rFonts w:hint="eastAsia" w:ascii="宋体" w:hAnsi="宋体"/>
          <w:highlight w:val="none"/>
          <w:lang w:val="en-US" w:eastAsia="zh-CN"/>
        </w:rPr>
        <w:t>14.2</w:t>
      </w:r>
      <w:r>
        <w:rPr>
          <w:rFonts w:hint="eastAsia" w:ascii="宋体" w:hAnsi="宋体"/>
          <w:highlight w:val="none"/>
          <w:lang w:eastAsia="zh-CN"/>
        </w:rPr>
        <w:t xml:space="preserve">.3新备件的质保期为完成双方签字验收之日起，往后推算6个月。    </w:t>
      </w:r>
      <w:r>
        <w:rPr>
          <w:rFonts w:hint="eastAsia" w:asciiTheme="minorEastAsia" w:hAnsiTheme="minorEastAsia" w:eastAsiaTheme="minorEastAsia"/>
          <w:color w:val="FF0000"/>
          <w:sz w:val="28"/>
          <w:szCs w:val="28"/>
          <w:highlight w:val="none"/>
        </w:rPr>
        <w:t xml:space="preserve">        </w:t>
      </w:r>
    </w:p>
    <w:p>
      <w:pPr>
        <w:shd w:val="clear"/>
        <w:tabs>
          <w:tab w:val="left" w:pos="840"/>
          <w:tab w:val="left" w:pos="1843"/>
        </w:tabs>
        <w:spacing w:before="0" w:after="0" w:afterAutospacing="0"/>
        <w:ind w:left="422" w:right="0" w:firstLine="0"/>
        <w:outlineLvl w:val="2"/>
        <w:rPr>
          <w:rFonts w:cs="宋体"/>
          <w:b/>
          <w:bCs/>
          <w:highlight w:val="none"/>
        </w:rPr>
      </w:pPr>
      <w:bookmarkStart w:id="1512" w:name="_Toc14358"/>
      <w:bookmarkStart w:id="1513" w:name="_Toc1302"/>
      <w:bookmarkStart w:id="1514" w:name="_Toc773"/>
      <w:bookmarkStart w:id="1515" w:name="_Toc2401"/>
      <w:bookmarkStart w:id="1516" w:name="_Toc24995"/>
      <w:r>
        <w:rPr>
          <w:rFonts w:hint="eastAsia" w:ascii="宋体" w:hAnsi="宋体"/>
          <w:b/>
          <w:highlight w:val="none"/>
          <w:lang w:eastAsia="zh-CN"/>
        </w:rPr>
        <w:t>15.</w:t>
      </w:r>
      <w:r>
        <w:rPr>
          <w:rFonts w:hint="eastAsia" w:cs="宋体"/>
          <w:b/>
          <w:bCs/>
          <w:highlight w:val="none"/>
        </w:rPr>
        <w:t xml:space="preserve"> 合同解除和终止</w:t>
      </w:r>
      <w:bookmarkEnd w:id="1512"/>
      <w:bookmarkEnd w:id="1513"/>
      <w:bookmarkEnd w:id="1514"/>
      <w:bookmarkEnd w:id="1515"/>
      <w:bookmarkEnd w:id="1516"/>
    </w:p>
    <w:p>
      <w:pPr>
        <w:shd w:val="clear"/>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lang w:eastAsia="zh-CN"/>
        </w:rPr>
        <w:t>15.</w:t>
      </w:r>
      <w:r>
        <w:rPr>
          <w:rFonts w:hint="eastAsia" w:ascii="宋体" w:hAnsi="宋体" w:cs="Arial"/>
          <w:highlight w:val="none"/>
        </w:rPr>
        <w:t>1合同自然终止</w:t>
      </w:r>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rPr>
        <w:t>甲乙双方各自完成合同规定的责任和义务或发生不可抗力，合同自然终止。</w:t>
      </w:r>
    </w:p>
    <w:p>
      <w:pPr>
        <w:shd w:val="clear"/>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lang w:eastAsia="zh-CN"/>
        </w:rPr>
        <w:t>15.</w:t>
      </w:r>
      <w:r>
        <w:rPr>
          <w:rFonts w:hint="eastAsia" w:ascii="宋体" w:hAnsi="宋体" w:cs="Arial"/>
          <w:highlight w:val="none"/>
        </w:rPr>
        <w:t>2 违约违规终止合同</w:t>
      </w:r>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lang w:eastAsia="zh-CN"/>
        </w:rPr>
        <w:t>15.</w:t>
      </w:r>
      <w:r>
        <w:rPr>
          <w:rFonts w:hint="eastAsia" w:ascii="宋体" w:hAnsi="宋体" w:cs="Arial"/>
          <w:highlight w:val="none"/>
        </w:rPr>
        <w:t>2.1在合同有效期内，如发现乙方违法分包、转包或挂靠，或前期存在围标串标或提供虚假资料情形的，甲方将单方终止合同，履约保证金不予退还，乙方须承担违约责任、赔偿甲方的一切经济损失</w:t>
      </w:r>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lang w:eastAsia="zh-CN"/>
        </w:rPr>
        <w:t>15.</w:t>
      </w:r>
      <w:r>
        <w:rPr>
          <w:rFonts w:hint="eastAsia" w:ascii="宋体" w:hAnsi="宋体" w:cs="Arial"/>
          <w:highlight w:val="none"/>
        </w:rPr>
        <w:t>2.2合同成立后，若乙方不按合同履行职责导致对甲方安全运营、名誉、形象等造成影响，甲方有权终止合同，履约保证金不予退还。</w:t>
      </w:r>
    </w:p>
    <w:p>
      <w:pPr>
        <w:shd w:val="clear"/>
        <w:tabs>
          <w:tab w:val="left" w:pos="840"/>
          <w:tab w:val="left" w:pos="1843"/>
        </w:tabs>
        <w:spacing w:before="0" w:after="0" w:afterAutospacing="0"/>
        <w:ind w:left="422" w:right="0" w:firstLine="0"/>
        <w:outlineLvl w:val="2"/>
        <w:rPr>
          <w:rFonts w:hint="eastAsia" w:ascii="宋体" w:hAnsi="宋体"/>
          <w:b/>
          <w:highlight w:val="none"/>
          <w:lang w:eastAsia="zh-CN"/>
        </w:rPr>
      </w:pPr>
      <w:bookmarkStart w:id="1517" w:name="_Toc11530"/>
      <w:bookmarkStart w:id="1518" w:name="_Toc418"/>
      <w:bookmarkStart w:id="1519" w:name="_Toc24065"/>
      <w:bookmarkStart w:id="1520" w:name="_Toc19987"/>
      <w:bookmarkStart w:id="1521" w:name="_Toc25750653"/>
      <w:bookmarkStart w:id="1522" w:name="_Toc25342"/>
      <w:bookmarkStart w:id="1523" w:name="_Toc3775"/>
      <w:bookmarkStart w:id="1524" w:name="_Toc18508"/>
      <w:bookmarkStart w:id="1525" w:name="_Toc492478782"/>
      <w:bookmarkStart w:id="1526" w:name="_Toc385427858"/>
      <w:bookmarkStart w:id="1527" w:name="_Toc12432"/>
      <w:bookmarkStart w:id="1528" w:name="_Toc8696"/>
      <w:bookmarkStart w:id="1529" w:name="_Toc6234"/>
      <w:bookmarkStart w:id="1530" w:name="_Toc661"/>
      <w:bookmarkStart w:id="1531" w:name="_Toc21413"/>
      <w:bookmarkStart w:id="1532" w:name="_Toc3130"/>
      <w:bookmarkStart w:id="1533" w:name="_Toc4396"/>
      <w:bookmarkStart w:id="1534" w:name="_Toc13416"/>
      <w:bookmarkStart w:id="1535" w:name="_Toc378514972"/>
      <w:bookmarkStart w:id="1536" w:name="_Toc390098484"/>
      <w:bookmarkStart w:id="1537" w:name="_Toc24037"/>
      <w:bookmarkStart w:id="1538" w:name="_Toc5318"/>
      <w:bookmarkStart w:id="1539" w:name="_Toc23662"/>
      <w:bookmarkStart w:id="1540" w:name="_Toc10806"/>
      <w:bookmarkStart w:id="1541" w:name="_Toc17029"/>
      <w:bookmarkStart w:id="1542" w:name="_Toc370933875"/>
      <w:bookmarkStart w:id="1543" w:name="_Toc16315"/>
      <w:bookmarkStart w:id="1544" w:name="_Toc32343"/>
      <w:bookmarkStart w:id="1545" w:name="_Toc13888"/>
      <w:r>
        <w:rPr>
          <w:rFonts w:hint="eastAsia" w:ascii="宋体" w:hAnsi="宋体"/>
          <w:b/>
          <w:highlight w:val="none"/>
          <w:lang w:val="en-US" w:eastAsia="zh-CN"/>
        </w:rPr>
        <w:t>16.</w:t>
      </w:r>
      <w:r>
        <w:rPr>
          <w:rFonts w:hint="eastAsia" w:ascii="宋体" w:hAnsi="宋体"/>
          <w:b/>
          <w:highlight w:val="none"/>
          <w:lang w:eastAsia="zh-CN"/>
        </w:rPr>
        <w:t>不可抗力</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2若不可抗力发生使合同执行受阻，则合同执行时间根据受影响的时间相应延长，但合同价格不得调整。</w:t>
      </w:r>
    </w:p>
    <w:p>
      <w:pPr>
        <w:shd w:val="clear"/>
        <w:spacing w:before="0" w:after="0" w:afterAutospacing="0"/>
        <w:ind w:left="0" w:right="0" w:firstLine="420" w:firstLineChars="200"/>
        <w:outlineLvl w:val="3"/>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3不可抗力的确认</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不可抗力发生后，甲方和乙方应收集证明不可抗力发生及不可抗力造成损失的证据，并及时认真统计所造成的损失。甲乙双方对是否属于不可抗力或其损失发生争议时，按第</w:t>
      </w:r>
      <w:r>
        <w:rPr>
          <w:rFonts w:hint="eastAsia" w:ascii="宋体" w:hAnsi="宋体" w:cs="Arial"/>
          <w:highlight w:val="none"/>
          <w:lang w:val="en-US" w:eastAsia="zh-CN"/>
        </w:rPr>
        <w:t>22</w:t>
      </w:r>
      <w:r>
        <w:rPr>
          <w:rFonts w:hint="eastAsia" w:ascii="宋体" w:hAnsi="宋体" w:cs="Arial"/>
          <w:highlight w:val="none"/>
        </w:rPr>
        <w:t>条〔争议</w:t>
      </w:r>
      <w:r>
        <w:rPr>
          <w:rFonts w:hint="eastAsia" w:ascii="宋体" w:hAnsi="宋体" w:cs="Arial"/>
          <w:highlight w:val="none"/>
          <w:lang w:val="en-US" w:eastAsia="zh-CN"/>
        </w:rPr>
        <w:t>的</w:t>
      </w:r>
      <w:r>
        <w:rPr>
          <w:rFonts w:hint="eastAsia" w:ascii="宋体" w:hAnsi="宋体" w:cs="Arial"/>
          <w:highlight w:val="none"/>
        </w:rPr>
        <w:t>解决〕的约定处理。</w:t>
      </w:r>
    </w:p>
    <w:p>
      <w:pPr>
        <w:shd w:val="clear"/>
        <w:spacing w:before="0" w:after="0" w:afterAutospacing="0"/>
        <w:ind w:left="0" w:right="0" w:firstLine="420" w:firstLineChars="200"/>
        <w:outlineLvl w:val="3"/>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4不可抗力的通知</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4</w:t>
      </w:r>
      <w:r>
        <w:rPr>
          <w:rFonts w:hint="eastAsia" w:ascii="宋体" w:hAnsi="宋体" w:cs="Arial"/>
          <w:highlight w:val="none"/>
          <w:lang w:val="en-US" w:eastAsia="zh-CN"/>
        </w:rPr>
        <w:t>.1</w:t>
      </w:r>
      <w:r>
        <w:rPr>
          <w:rFonts w:hint="eastAsia" w:ascii="宋体" w:hAnsi="宋体" w:cs="Arial"/>
          <w:highlight w:val="none"/>
        </w:rPr>
        <w:t>合同一方当事人遇到不可抗力事件，使其履行合同义务受到阻碍时，应立即通知合同另一方当事人，书面说明不可抗力和受阻碍的详细情况，并在合理期限内提供必要的证明。</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4</w:t>
      </w:r>
      <w:r>
        <w:rPr>
          <w:rFonts w:hint="eastAsia" w:ascii="宋体" w:hAnsi="宋体" w:cs="Arial"/>
          <w:highlight w:val="none"/>
          <w:lang w:val="en-US" w:eastAsia="zh-CN"/>
        </w:rPr>
        <w:t>.2</w:t>
      </w:r>
      <w:r>
        <w:rPr>
          <w:rFonts w:hint="eastAsia" w:ascii="宋体" w:hAnsi="宋体" w:cs="Arial"/>
          <w:highlight w:val="none"/>
        </w:rPr>
        <w:t>不可抗力持续发生的，合同一方当事人应及时向合同另一方当事人提交中间报告，说明不可抗力和履行合同受阻的情况，并于不可抗力事件结束后28天内提交最终报告及有关资料</w:t>
      </w:r>
    </w:p>
    <w:p>
      <w:pPr>
        <w:shd w:val="clear"/>
        <w:spacing w:before="0" w:after="0" w:afterAutospacing="0"/>
        <w:ind w:left="0" w:right="0" w:firstLine="420" w:firstLineChars="200"/>
        <w:outlineLvl w:val="3"/>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rPr>
        <w:t>5不可抗力后果的承担</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5.1</w:t>
      </w:r>
      <w:r>
        <w:rPr>
          <w:rFonts w:hint="eastAsia" w:ascii="宋体" w:hAnsi="宋体" w:cs="Arial"/>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5.2</w:t>
      </w:r>
      <w:r>
        <w:rPr>
          <w:rFonts w:hint="eastAsia" w:ascii="宋体" w:hAnsi="宋体" w:cs="Arial"/>
          <w:highlight w:val="none"/>
        </w:rPr>
        <w:t>任何因不可抗力所导致延误履行合同或不能履行合同，受阻方将不因此而构成违约。</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5.3</w:t>
      </w:r>
      <w:r>
        <w:rPr>
          <w:rFonts w:hint="eastAsia" w:ascii="宋体" w:hAnsi="宋体" w:cs="Arial"/>
          <w:highlight w:val="none"/>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5.4</w:t>
      </w:r>
      <w:r>
        <w:rPr>
          <w:rFonts w:hint="eastAsia" w:ascii="宋体" w:hAnsi="宋体" w:cs="Arial"/>
          <w:highlight w:val="none"/>
        </w:rPr>
        <w:t>如果不可抗力已发生并持续一百八十（180）天，则尽管由于此原因可能已允许乙方延长合同期限，双方中任何一方均有权在通知对方三十（30）天后终止合同。</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5.5</w:t>
      </w:r>
      <w:r>
        <w:rPr>
          <w:rFonts w:hint="eastAsia" w:ascii="宋体" w:hAnsi="宋体" w:cs="Arial"/>
          <w:highlight w:val="none"/>
        </w:rPr>
        <w:t>如果不可抗力的情况发生并因此根据合同法双方均被解除进一步履行合同，乙方的履约担保不被没收。</w:t>
      </w:r>
    </w:p>
    <w:p>
      <w:pPr>
        <w:shd w:val="clear"/>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eastAsia="zh-CN"/>
        </w:rPr>
        <w:t>16.</w:t>
      </w:r>
      <w:r>
        <w:rPr>
          <w:rFonts w:hint="eastAsia" w:ascii="宋体" w:hAnsi="宋体" w:cs="Arial"/>
          <w:highlight w:val="none"/>
          <w:lang w:val="en-US" w:eastAsia="zh-CN"/>
        </w:rPr>
        <w:t>5.6</w:t>
      </w:r>
      <w:r>
        <w:rPr>
          <w:rFonts w:hint="eastAsia" w:ascii="宋体" w:hAnsi="宋体" w:cs="Arial"/>
          <w:highlight w:val="none"/>
        </w:rPr>
        <w:t>因合同一方迟延履行合同义务，在迟延履行期间遭遇不可抗力的，不免除其违约责任。</w:t>
      </w:r>
    </w:p>
    <w:p>
      <w:pPr>
        <w:shd w:val="clear"/>
        <w:tabs>
          <w:tab w:val="left" w:pos="840"/>
          <w:tab w:val="left" w:pos="1843"/>
        </w:tabs>
        <w:spacing w:before="0" w:after="0" w:afterAutospacing="0"/>
        <w:ind w:left="422" w:right="0" w:firstLine="0"/>
        <w:outlineLvl w:val="2"/>
        <w:rPr>
          <w:rFonts w:ascii="宋体" w:hAnsi="宋体"/>
          <w:b/>
          <w:highlight w:val="none"/>
        </w:rPr>
      </w:pPr>
      <w:bookmarkStart w:id="1546" w:name="_Toc27815"/>
      <w:bookmarkStart w:id="1547" w:name="_Toc7304"/>
      <w:bookmarkStart w:id="1548" w:name="_Toc2699"/>
      <w:bookmarkStart w:id="1549" w:name="_Toc1311"/>
      <w:bookmarkStart w:id="1550" w:name="_Toc28794"/>
      <w:bookmarkStart w:id="1551" w:name="_Toc26667"/>
      <w:bookmarkStart w:id="1552" w:name="_Toc21718"/>
      <w:bookmarkStart w:id="1553" w:name="_Toc10805"/>
      <w:bookmarkStart w:id="1554" w:name="_Toc15352"/>
      <w:bookmarkStart w:id="1555" w:name="_Toc1972"/>
      <w:bookmarkStart w:id="1556" w:name="_Toc1503"/>
      <w:bookmarkStart w:id="1557" w:name="_Toc390098490"/>
      <w:bookmarkStart w:id="1558" w:name="_Toc16121"/>
      <w:bookmarkStart w:id="1559" w:name="_Toc385427864"/>
      <w:bookmarkStart w:id="1560" w:name="_Toc26831"/>
      <w:bookmarkStart w:id="1561" w:name="_Toc10764"/>
      <w:bookmarkStart w:id="1562" w:name="_Toc20058"/>
      <w:bookmarkStart w:id="1563" w:name="_Toc29365"/>
      <w:bookmarkStart w:id="1564" w:name="_Toc378514978"/>
      <w:bookmarkStart w:id="1565" w:name="_Toc20850"/>
      <w:bookmarkStart w:id="1566" w:name="_Toc24354"/>
      <w:bookmarkStart w:id="1567" w:name="_Toc7691"/>
      <w:bookmarkStart w:id="1568" w:name="_Toc25750659"/>
      <w:bookmarkStart w:id="1569" w:name="_Toc17213"/>
      <w:bookmarkStart w:id="1570" w:name="_Toc370933881"/>
      <w:bookmarkStart w:id="1571" w:name="_Toc15991"/>
      <w:bookmarkStart w:id="1572" w:name="_Toc19072"/>
      <w:bookmarkStart w:id="1573" w:name="_Toc492478788"/>
      <w:bookmarkStart w:id="1574" w:name="_Toc4002"/>
      <w:r>
        <w:rPr>
          <w:rFonts w:hint="eastAsia" w:ascii="宋体" w:hAnsi="宋体"/>
          <w:b/>
          <w:highlight w:val="none"/>
        </w:rPr>
        <w:t>1</w:t>
      </w:r>
      <w:r>
        <w:rPr>
          <w:rFonts w:hint="eastAsia" w:ascii="宋体" w:hAnsi="宋体"/>
          <w:b/>
          <w:highlight w:val="none"/>
          <w:lang w:val="en-US" w:eastAsia="zh-CN"/>
        </w:rPr>
        <w:t>7</w:t>
      </w:r>
      <w:r>
        <w:rPr>
          <w:rFonts w:hint="eastAsia" w:ascii="宋体" w:hAnsi="宋体"/>
          <w:b/>
          <w:highlight w:val="none"/>
        </w:rPr>
        <w:t>. 转让和分包</w:t>
      </w:r>
      <w:bookmarkEnd w:id="1546"/>
      <w:bookmarkEnd w:id="1547"/>
      <w:bookmarkEnd w:id="1548"/>
      <w:bookmarkEnd w:id="1549"/>
      <w:bookmarkEnd w:id="1550"/>
    </w:p>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Pr>
        <w:shd w:val="clear"/>
        <w:tabs>
          <w:tab w:val="left" w:pos="840"/>
          <w:tab w:val="left" w:pos="1843"/>
        </w:tabs>
        <w:spacing w:before="0" w:after="0" w:afterAutospacing="0"/>
        <w:ind w:left="422" w:right="0" w:firstLine="0"/>
        <w:outlineLvl w:val="3"/>
        <w:rPr>
          <w:rFonts w:hint="eastAsia" w:ascii="宋体" w:hAnsi="宋体" w:eastAsia="宋体" w:cs="Times New Roman"/>
          <w:b w:val="0"/>
          <w:bCs/>
          <w:highlight w:val="none"/>
        </w:rPr>
      </w:pPr>
      <w:bookmarkStart w:id="1575" w:name="_Toc17577"/>
      <w:bookmarkStart w:id="1576" w:name="_Toc22210"/>
      <w:bookmarkStart w:id="1577" w:name="_Toc19043"/>
      <w:bookmarkStart w:id="1578" w:name="_Toc2328"/>
      <w:bookmarkStart w:id="1579" w:name="_Toc16366"/>
      <w:bookmarkStart w:id="1580" w:name="_Toc14011"/>
      <w:bookmarkStart w:id="1581" w:name="_Toc21609"/>
      <w:bookmarkStart w:id="1582" w:name="_Toc28041"/>
      <w:bookmarkStart w:id="1583" w:name="_Toc22330"/>
      <w:bookmarkStart w:id="1584" w:name="_Toc28875"/>
      <w:bookmarkStart w:id="1585" w:name="_Toc10304"/>
      <w:bookmarkStart w:id="1586" w:name="_Toc3785"/>
      <w:bookmarkStart w:id="1587" w:name="_Toc19209"/>
      <w:bookmarkStart w:id="1588" w:name="_Toc17344"/>
      <w:bookmarkStart w:id="1589" w:name="_Toc2458"/>
      <w:bookmarkStart w:id="1590" w:name="_Toc32071"/>
      <w:bookmarkStart w:id="1591" w:name="_Toc23442"/>
      <w:bookmarkStart w:id="1592" w:name="_Toc3019"/>
      <w:bookmarkStart w:id="1593" w:name="_Toc26295"/>
      <w:bookmarkStart w:id="1594" w:name="_Toc864"/>
      <w:bookmarkStart w:id="1595" w:name="_Toc6374"/>
      <w:bookmarkStart w:id="1596" w:name="_Toc25750662"/>
      <w:bookmarkStart w:id="1597" w:name="_Toc378514981"/>
      <w:bookmarkStart w:id="1598" w:name="_Toc6421"/>
      <w:bookmarkStart w:id="1599" w:name="_Toc385427867"/>
      <w:bookmarkStart w:id="1600" w:name="_Toc370933884"/>
      <w:bookmarkStart w:id="1601" w:name="_Toc15635"/>
      <w:bookmarkStart w:id="1602" w:name="_Toc390098493"/>
      <w:bookmarkStart w:id="1603" w:name="_Toc25119"/>
      <w:bookmarkStart w:id="1604" w:name="_Toc13343"/>
      <w:bookmarkStart w:id="1605" w:name="_Toc492478791"/>
      <w:bookmarkStart w:id="1606" w:name="_Toc32638"/>
      <w:r>
        <w:rPr>
          <w:rFonts w:hint="eastAsia" w:ascii="宋体" w:hAnsi="宋体" w:eastAsia="宋体" w:cs="Times New Roman"/>
          <w:b w:val="0"/>
          <w:bCs/>
          <w:highlight w:val="none"/>
        </w:rPr>
        <w:t>不允许任何形式转包或分包</w:t>
      </w:r>
      <w:bookmarkEnd w:id="1575"/>
      <w:bookmarkEnd w:id="1576"/>
      <w:bookmarkEnd w:id="1577"/>
      <w:bookmarkEnd w:id="1578"/>
      <w:bookmarkEnd w:id="1579"/>
      <w:bookmarkEnd w:id="1580"/>
      <w:bookmarkEnd w:id="1581"/>
      <w:bookmarkEnd w:id="1582"/>
    </w:p>
    <w:p>
      <w:pPr>
        <w:shd w:val="clear"/>
        <w:tabs>
          <w:tab w:val="left" w:pos="840"/>
          <w:tab w:val="left" w:pos="1843"/>
        </w:tabs>
        <w:spacing w:before="0" w:after="0" w:afterAutospacing="0"/>
        <w:ind w:left="422" w:right="0" w:firstLine="0"/>
        <w:outlineLvl w:val="2"/>
        <w:rPr>
          <w:rFonts w:hint="eastAsia" w:ascii="宋体" w:hAnsi="宋体" w:eastAsia="宋体" w:cs="Times New Roman"/>
          <w:b/>
          <w:highlight w:val="none"/>
          <w:lang w:eastAsia="zh-CN"/>
        </w:rPr>
      </w:pPr>
      <w:bookmarkStart w:id="1607" w:name="_Toc2990"/>
      <w:bookmarkStart w:id="1608" w:name="_Toc27816"/>
      <w:bookmarkStart w:id="1609" w:name="_Toc20664"/>
      <w:bookmarkStart w:id="1610" w:name="_Toc14472"/>
      <w:bookmarkStart w:id="1611" w:name="_Toc12442"/>
      <w:r>
        <w:rPr>
          <w:rFonts w:hint="eastAsia" w:ascii="宋体" w:hAnsi="宋体" w:eastAsia="宋体" w:cs="Times New Roman"/>
          <w:b/>
          <w:highlight w:val="none"/>
        </w:rPr>
        <w:t>1</w:t>
      </w:r>
      <w:r>
        <w:rPr>
          <w:rFonts w:hint="eastAsia" w:ascii="宋体" w:hAnsi="宋体" w:cs="Times New Roman"/>
          <w:b/>
          <w:highlight w:val="none"/>
          <w:lang w:val="en-US" w:eastAsia="zh-CN"/>
        </w:rPr>
        <w:t>8</w:t>
      </w:r>
      <w:r>
        <w:rPr>
          <w:rFonts w:hint="eastAsia" w:ascii="宋体" w:hAnsi="宋体" w:eastAsia="宋体" w:cs="Times New Roman"/>
          <w:b/>
          <w:highlight w:val="none"/>
        </w:rPr>
        <w:t>.</w:t>
      </w:r>
      <w:r>
        <w:rPr>
          <w:rFonts w:hint="eastAsia" w:ascii="宋体" w:hAnsi="宋体" w:cs="Times New Roman"/>
          <w:b/>
          <w:highlight w:val="none"/>
          <w:lang w:val="en-US" w:eastAsia="zh-CN"/>
        </w:rPr>
        <w:t>保险</w:t>
      </w:r>
      <w:bookmarkEnd w:id="1607"/>
      <w:bookmarkEnd w:id="1608"/>
      <w:bookmarkEnd w:id="1609"/>
      <w:bookmarkEnd w:id="1610"/>
      <w:bookmarkEnd w:id="1611"/>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18.1乙方必须为自有人员办理意外伤害险或类似险种等与本项目相关的保险，支付保险费用。</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18.2甲方有权审查乙方办理保险的证明文件，若乙方没有按要求办理保险，视为乙方违约，并处以460元/人·次（或保险额的双倍金额）违约金。</w:t>
      </w:r>
    </w:p>
    <w:p>
      <w:pPr>
        <w:shd w:val="clear"/>
        <w:tabs>
          <w:tab w:val="left" w:pos="840"/>
          <w:tab w:val="left" w:pos="1843"/>
        </w:tabs>
        <w:spacing w:before="0" w:after="0" w:afterAutospacing="0"/>
        <w:ind w:left="422" w:right="0" w:firstLine="0"/>
        <w:outlineLvl w:val="2"/>
        <w:rPr>
          <w:rFonts w:hint="eastAsia" w:ascii="宋体" w:hAnsi="宋体" w:eastAsia="宋体" w:cs="Times New Roman"/>
          <w:b/>
          <w:highlight w:val="none"/>
        </w:rPr>
      </w:pPr>
      <w:bookmarkStart w:id="1612" w:name="_Toc9386"/>
      <w:bookmarkStart w:id="1613" w:name="_Toc13441"/>
      <w:bookmarkStart w:id="1614" w:name="_Toc10996"/>
      <w:bookmarkStart w:id="1615" w:name="_Toc31183"/>
      <w:bookmarkStart w:id="1616" w:name="_Toc26748"/>
      <w:r>
        <w:rPr>
          <w:rFonts w:hint="eastAsia" w:ascii="宋体" w:hAnsi="宋体" w:cs="Times New Roman"/>
          <w:b/>
          <w:highlight w:val="none"/>
          <w:lang w:eastAsia="zh-CN"/>
        </w:rPr>
        <w:t>19.</w:t>
      </w:r>
      <w:r>
        <w:rPr>
          <w:rFonts w:hint="eastAsia" w:ascii="宋体" w:hAnsi="宋体" w:eastAsia="宋体" w:cs="Times New Roman"/>
          <w:b/>
          <w:highlight w:val="none"/>
          <w:lang w:val="en-US" w:eastAsia="zh-CN"/>
        </w:rPr>
        <w:t>备品备件的包装</w:t>
      </w:r>
      <w:bookmarkEnd w:id="1612"/>
      <w:bookmarkEnd w:id="1613"/>
      <w:bookmarkEnd w:id="1614"/>
      <w:bookmarkEnd w:id="1615"/>
      <w:bookmarkEnd w:id="1616"/>
      <w:r>
        <w:rPr>
          <w:rFonts w:hint="eastAsia" w:ascii="宋体" w:hAnsi="宋体" w:eastAsia="宋体" w:cs="Times New Roman"/>
          <w:b/>
          <w:highlight w:val="none"/>
          <w:lang w:val="en-US" w:eastAsia="zh-CN"/>
        </w:rPr>
        <w:t xml:space="preserve">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19.</w:t>
      </w:r>
      <w:r>
        <w:rPr>
          <w:rFonts w:hint="default" w:ascii="宋体" w:hAnsi="宋体" w:cs="宋体"/>
          <w:kern w:val="2"/>
          <w:sz w:val="21"/>
          <w:szCs w:val="21"/>
          <w:highlight w:val="none"/>
          <w:lang w:val="en-US" w:eastAsia="zh-CN" w:bidi="ar"/>
        </w:rPr>
        <w:t xml:space="preserve">1 </w:t>
      </w:r>
      <w:r>
        <w:rPr>
          <w:rFonts w:hint="eastAsia" w:ascii="宋体" w:hAnsi="宋体" w:cs="宋体"/>
          <w:kern w:val="2"/>
          <w:sz w:val="21"/>
          <w:szCs w:val="21"/>
          <w:highlight w:val="none"/>
          <w:lang w:val="en-US" w:eastAsia="zh-CN" w:bidi="ar"/>
        </w:rPr>
        <w:t xml:space="preserve">乙方应按合同规定提供恰当的包装避免在运至最终目的地的过程中破损。 包装应可以承受但不限于野蛮搬运、高低温、高盐份、高降水量和露天储存。单位包装箱的尺寸和重量应充分考虑远途运输中缺乏重型装卸备品备件的情况。包装、标记、包装内外的文件应符合合同的要求或按甲方指示执行。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19.</w:t>
      </w:r>
      <w:r>
        <w:rPr>
          <w:rFonts w:hint="default" w:ascii="宋体" w:hAnsi="宋体" w:cs="宋体"/>
          <w:kern w:val="2"/>
          <w:sz w:val="21"/>
          <w:szCs w:val="21"/>
          <w:highlight w:val="none"/>
          <w:lang w:val="en-US" w:eastAsia="zh-CN" w:bidi="ar"/>
        </w:rPr>
        <w:t xml:space="preserve">2 </w:t>
      </w:r>
      <w:r>
        <w:rPr>
          <w:rFonts w:hint="eastAsia" w:ascii="宋体" w:hAnsi="宋体" w:cs="宋体"/>
          <w:kern w:val="2"/>
          <w:sz w:val="21"/>
          <w:szCs w:val="21"/>
          <w:highlight w:val="none"/>
          <w:lang w:val="en-US" w:eastAsia="zh-CN" w:bidi="ar"/>
        </w:rPr>
        <w:t xml:space="preserve">乙方应保证备品备件在没有任何损坏和腐蚀的情况下安全运抵合同规定的交货地点。乙方应承担由于其包装或防护措施不妥而引起备品备件锈蚀、损坏和丢失的任何损失的责任或费用。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19.</w:t>
      </w:r>
      <w:r>
        <w:rPr>
          <w:rFonts w:hint="default" w:ascii="宋体" w:hAnsi="宋体" w:cs="宋体"/>
          <w:kern w:val="2"/>
          <w:sz w:val="21"/>
          <w:szCs w:val="21"/>
          <w:highlight w:val="none"/>
          <w:lang w:val="en-US" w:eastAsia="zh-CN" w:bidi="ar"/>
        </w:rPr>
        <w:t xml:space="preserve">3 </w:t>
      </w:r>
      <w:r>
        <w:rPr>
          <w:rFonts w:hint="eastAsia" w:ascii="宋体" w:hAnsi="宋体" w:cs="宋体"/>
          <w:kern w:val="2"/>
          <w:sz w:val="21"/>
          <w:szCs w:val="21"/>
          <w:highlight w:val="none"/>
          <w:lang w:val="en-US" w:eastAsia="zh-CN" w:bidi="ar"/>
        </w:rPr>
        <w:t xml:space="preserve">乙方在包装备品备件时应考虑甲方现场实际条件。各种备品备件的松散零部件应包装并装入尺寸适当的箱内，包装箱应便于吊装搬运。。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19.</w:t>
      </w:r>
      <w:r>
        <w:rPr>
          <w:rFonts w:hint="default" w:ascii="宋体" w:hAnsi="宋体" w:cs="宋体"/>
          <w:kern w:val="2"/>
          <w:sz w:val="21"/>
          <w:szCs w:val="21"/>
          <w:highlight w:val="none"/>
          <w:lang w:val="en-US" w:eastAsia="zh-CN" w:bidi="ar"/>
        </w:rPr>
        <w:t xml:space="preserve">4 </w:t>
      </w:r>
      <w:r>
        <w:rPr>
          <w:rFonts w:hint="eastAsia" w:ascii="宋体" w:hAnsi="宋体" w:cs="宋体"/>
          <w:kern w:val="2"/>
          <w:sz w:val="21"/>
          <w:szCs w:val="21"/>
          <w:highlight w:val="none"/>
          <w:lang w:val="en-US" w:eastAsia="zh-CN" w:bidi="ar"/>
        </w:rPr>
        <w:t xml:space="preserve">对于裸装备品备件，乙方应采取特殊措施保护备品备件，并考虑搬运便利性。 </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19.</w:t>
      </w:r>
      <w:r>
        <w:rPr>
          <w:rFonts w:hint="default" w:ascii="宋体" w:hAnsi="宋体" w:cs="宋体"/>
          <w:kern w:val="2"/>
          <w:sz w:val="21"/>
          <w:szCs w:val="21"/>
          <w:highlight w:val="none"/>
          <w:lang w:val="en-US" w:eastAsia="zh-CN" w:bidi="ar"/>
        </w:rPr>
        <w:t xml:space="preserve">5 </w:t>
      </w:r>
      <w:r>
        <w:rPr>
          <w:rFonts w:hint="eastAsia" w:ascii="宋体" w:hAnsi="宋体" w:cs="宋体"/>
          <w:kern w:val="2"/>
          <w:sz w:val="21"/>
          <w:szCs w:val="21"/>
          <w:highlight w:val="none"/>
          <w:lang w:val="en-US" w:eastAsia="zh-CN" w:bidi="ar"/>
        </w:rPr>
        <w:t>各运输单元应满足运输及装卸的要求，在包装箱外标明该单元的编号、用途、安装位置等标志，以便于识别。</w:t>
      </w:r>
    </w:p>
    <w:p>
      <w:pPr>
        <w:shd w:val="clear"/>
        <w:tabs>
          <w:tab w:val="left" w:pos="840"/>
          <w:tab w:val="left" w:pos="1843"/>
        </w:tabs>
        <w:spacing w:before="0" w:after="0" w:afterAutospacing="0"/>
        <w:ind w:left="422" w:right="0" w:firstLine="0"/>
        <w:outlineLvl w:val="2"/>
        <w:rPr>
          <w:rFonts w:hint="eastAsia" w:ascii="宋体" w:hAnsi="宋体" w:eastAsia="宋体" w:cs="Times New Roman"/>
          <w:b/>
          <w:highlight w:val="none"/>
        </w:rPr>
      </w:pPr>
      <w:bookmarkStart w:id="1617" w:name="_Toc7067"/>
      <w:bookmarkStart w:id="1618" w:name="_Toc25424"/>
      <w:bookmarkStart w:id="1619" w:name="_Toc16140"/>
      <w:bookmarkStart w:id="1620" w:name="_Toc31786"/>
      <w:bookmarkStart w:id="1621" w:name="_Toc18146"/>
      <w:r>
        <w:rPr>
          <w:rFonts w:hint="eastAsia" w:ascii="宋体" w:hAnsi="宋体" w:cs="Times New Roman"/>
          <w:b/>
          <w:highlight w:val="none"/>
          <w:lang w:eastAsia="zh-CN"/>
        </w:rPr>
        <w:t>20.</w:t>
      </w:r>
      <w:r>
        <w:rPr>
          <w:rFonts w:hint="eastAsia" w:ascii="宋体" w:hAnsi="宋体" w:eastAsia="宋体" w:cs="Times New Roman"/>
          <w:b/>
          <w:highlight w:val="none"/>
        </w:rPr>
        <w:t>主要备品备件所有权和风险转移</w:t>
      </w:r>
      <w:bookmarkEnd w:id="1617"/>
      <w:bookmarkEnd w:id="1618"/>
      <w:bookmarkEnd w:id="1619"/>
      <w:bookmarkEnd w:id="1620"/>
      <w:bookmarkEnd w:id="1621"/>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20.1 乙方将备品备件运至交货地点且经甲方开箱检验无损，甲方办理相应手续后备品备件所有权归甲方所有。所有权的转移不免除乙方的质量责任。</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20.2 备品备件毁损、灭失的风险在安装调试并验收合格后由乙方转移到甲方。</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20.3 在拒收情况下，或者解除合同的，备品备件毁损、灭失的风险由乙方承担。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20.4 所有权和风险的转移，如另有约定的从其约定。所有权和风险的转移，不影响因乙方履行义务不符合约定时，甲方仍保有要求其承担违约责任的权利。</w:t>
      </w:r>
    </w:p>
    <w:p>
      <w:pPr>
        <w:shd w:val="clear"/>
        <w:tabs>
          <w:tab w:val="left" w:pos="840"/>
          <w:tab w:val="left" w:pos="1843"/>
        </w:tabs>
        <w:spacing w:before="0" w:after="0" w:afterAutospacing="0"/>
        <w:ind w:left="422" w:right="0" w:firstLine="0"/>
        <w:outlineLvl w:val="2"/>
        <w:rPr>
          <w:rFonts w:hint="eastAsia" w:ascii="宋体" w:hAnsi="宋体" w:eastAsia="宋体" w:cs="Times New Roman"/>
          <w:b/>
          <w:highlight w:val="none"/>
          <w:lang w:val="en-US" w:eastAsia="zh-CN"/>
        </w:rPr>
      </w:pPr>
      <w:bookmarkStart w:id="1622" w:name="_Toc1824"/>
      <w:bookmarkStart w:id="1623" w:name="_Toc28408"/>
      <w:bookmarkStart w:id="1624" w:name="_Toc27350"/>
      <w:bookmarkStart w:id="1625" w:name="_Toc29840"/>
      <w:bookmarkStart w:id="1626" w:name="_Toc18588"/>
      <w:r>
        <w:rPr>
          <w:rFonts w:hint="eastAsia" w:ascii="宋体" w:hAnsi="宋体" w:cs="Times New Roman"/>
          <w:b/>
          <w:highlight w:val="none"/>
          <w:lang w:val="en-US" w:eastAsia="zh-CN"/>
        </w:rPr>
        <w:t>21.</w:t>
      </w:r>
      <w:r>
        <w:rPr>
          <w:rFonts w:hint="eastAsia" w:ascii="宋体" w:hAnsi="宋体" w:eastAsia="宋体" w:cs="Times New Roman"/>
          <w:b/>
          <w:highlight w:val="none"/>
          <w:lang w:val="en-US" w:eastAsia="zh-CN"/>
        </w:rPr>
        <w:t>备品备件保证</w:t>
      </w:r>
      <w:bookmarkEnd w:id="1622"/>
      <w:bookmarkEnd w:id="1623"/>
      <w:bookmarkEnd w:id="1624"/>
      <w:bookmarkEnd w:id="1625"/>
      <w:bookmarkEnd w:id="1626"/>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21.1 乙方应保证合同项下所供备品备件是全新的、未使用过的，是最新或目前的型号，除非合同另有规定，备品备件应含有设计上和材料的全部最新改进，所有有关的技术规格须与技术规格书的规定一致。乙方进一步保证，合同项下提供的全部备品备件没有设计、材料或工艺上的缺陷，或者没有因乙方的行为或疏忽而产生的缺陷，这些缺陷是所供备品备件在甲方所在地现行条件下正常使用可能产生的。</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21.2 乙方应保证所供备品备件与合同规定完全相符。乙方保证乙方或其零部件供应商所供备品备件、材料是全新的、适用的，并有清晰的、正确的、完整的产品“合格证”或“产品质量保证书”，严禁提供假冒伪劣产品，一经发现，甲方有权解除本合同，且因此而产生的一切费用和责任以及造成甲方的损失均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21.3 除合同条款另有规定外，根据当地有关部门检验结果或者在质量保证期内，如果备品备件的数量、质量或规格与合同不符，或证实备品备件是有缺陷的，包括潜在的缺陷或使用不符合要求的材料等，甲方应在合同规定期限内以书面形式向乙方提出本保证下的索赔：</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21.3.1 乙方在收到通知后按合同规定期限免费维修或更换有缺陷的备品备件或部件；</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21.3.2 如果乙方在收到通知后未按合同规定期限弥补缺陷，甲方可采取必要的补救措施，但其风险和费用将由乙方承担，甲方根据合同规定对乙方行使的其它权利不受影响。</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21.4 乙方保证给予甲方人员在制造商工厂检查其质保体系和生产流程的任一环节提供方便。</w:t>
      </w:r>
    </w:p>
    <w:p>
      <w:pPr>
        <w:keepNext w:val="0"/>
        <w:keepLines w:val="0"/>
        <w:widowControl w:val="0"/>
        <w:suppressLineNumbers w:val="0"/>
        <w:shd w:val="clear"/>
        <w:spacing w:before="0" w:beforeAutospacing="0" w:after="0" w:afterAutospacing="0" w:line="360" w:lineRule="auto"/>
        <w:ind w:left="0" w:right="0" w:firstLine="420" w:firstLineChars="200"/>
        <w:jc w:val="both"/>
        <w:outlineLvl w:val="3"/>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21.5 质量保证期</w:t>
      </w:r>
    </w:p>
    <w:p>
      <w:pPr>
        <w:keepNext w:val="0"/>
        <w:keepLines w:val="0"/>
        <w:widowControl w:val="0"/>
        <w:suppressLineNumbers w:val="0"/>
        <w:shd w:val="clear"/>
        <w:spacing w:before="0" w:beforeAutospacing="0" w:after="0" w:afterAutospacing="0" w:line="360" w:lineRule="auto"/>
        <w:ind w:left="0" w:right="0" w:firstLine="420" w:firstLineChars="200"/>
        <w:jc w:val="both"/>
        <w:outlineLvl w:val="4"/>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21.5.1 正常质量保证期</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（1）质量保证期为：自验收合格之日起 6 个月（如中标人</w:t>
      </w:r>
      <w:r>
        <w:rPr>
          <w:rFonts w:hint="eastAsia" w:ascii="宋体" w:hAnsi="宋体"/>
          <w:highlight w:val="none"/>
          <w:lang w:val="en-US" w:eastAsia="zh-CN"/>
        </w:rPr>
        <w:t>比选申请</w:t>
      </w:r>
      <w:r>
        <w:rPr>
          <w:rFonts w:hint="eastAsia" w:ascii="宋体" w:hAnsi="宋体" w:cs="宋体"/>
          <w:kern w:val="2"/>
          <w:sz w:val="21"/>
          <w:szCs w:val="21"/>
          <w:highlight w:val="none"/>
          <w:lang w:val="en-US" w:eastAsia="zh-CN" w:bidi="ar"/>
        </w:rPr>
        <w:t>文件中承诺的质量保证期优于</w:t>
      </w:r>
      <w:r>
        <w:rPr>
          <w:rFonts w:hint="eastAsia" w:ascii="宋体" w:hAnsi="宋体"/>
          <w:highlight w:val="none"/>
          <w:lang w:val="en-US" w:eastAsia="zh-CN"/>
        </w:rPr>
        <w:t>比选</w:t>
      </w:r>
      <w:r>
        <w:rPr>
          <w:rFonts w:hint="eastAsia" w:ascii="宋体" w:hAnsi="宋体" w:cs="宋体"/>
          <w:kern w:val="2"/>
          <w:sz w:val="21"/>
          <w:szCs w:val="21"/>
          <w:highlight w:val="none"/>
          <w:lang w:val="en-US" w:eastAsia="zh-CN" w:bidi="ar"/>
        </w:rPr>
        <w:t>文件要求，按</w:t>
      </w:r>
      <w:r>
        <w:rPr>
          <w:rFonts w:hint="eastAsia" w:ascii="宋体" w:hAnsi="宋体"/>
          <w:highlight w:val="none"/>
          <w:lang w:val="en-US" w:eastAsia="zh-CN"/>
        </w:rPr>
        <w:t>比选申请</w:t>
      </w:r>
      <w:r>
        <w:rPr>
          <w:rFonts w:hint="eastAsia" w:ascii="宋体" w:hAnsi="宋体" w:cs="宋体"/>
          <w:kern w:val="2"/>
          <w:sz w:val="21"/>
          <w:szCs w:val="21"/>
          <w:highlight w:val="none"/>
          <w:lang w:val="en-US" w:eastAsia="zh-CN" w:bidi="ar"/>
        </w:rPr>
        <w:t>人承诺的质量保证期执行），自验收合格之日起计算；提供免费上门维修（包含所有配件的更换及服务）及保养服务。</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（2）在正常质量保证期内，出现或产生的缺陷或项目任何部分的损害，乙方应向甲方承担相应违约责任，并整改至满足技术规格书的要求。</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（3）若同一备品备件在质量保证期内返修次数达到或超过三次的，甲方有权要求乙方更换、重新设计、修改或更新，这部分备品备件的质量保证期自双方确认的修复完成日起重新计算质量保证期。</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（4）有保质期的产品，乙方所供备品备件的有效保质期必须大于整个保质期的 2/3 以上；无保质期的产品，乙方所供备品备件须为交货时 2 年以内生产的。如涉及到特殊物品，由双方协商决定。</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（6）质量保证期内非因甲方原因而出现质量问题的，乙方需在 1 天内负责包修、包换或者包退（双方另有约定除外），并承担调换或退货所产生的费用。乙方不能修理和不能调换的，按不能交货处理。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21.6 质量保证期内所发现的缺陷。乙方需根据甲方的要求，尽快免费修复、更换、重新设计或修改、更新系统、备品备件和材料中有缺陷的部分。</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21.7 乙方应依合理的速度免费维修或更换有缺陷的备品备件或部件，使系统、备品备件和材料的相应部分恢复到合同规定的状态和规格。被修理或更换的备品备件或部件从出厂地至最终目的地的运保费由乙方承担。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21.8 如果乙方没有以合理的速度弥补缺陷，甲方可采取必要的补救措施，但其风险和费用将由乙方承担，甲方根据合同规定对乙方行使的其他权力不受影响。</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21.9 如果任何缺损部分乙方不能在合理期限内修补，则甲方可在通知乙方后自行修补缺损，其费用和风险由乙方承担，但不影响合同规定的乙方责任；经乙方认可，甲方可对细小缺陷进行修理或调整，但由此产生的全部费用由乙方承担。</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21.10 乙方保证在现场和南宁当地条件下，合同项下的备品备件、系统和材料在正常操作情况下不会因乙方或其零部件供应商在设计和制造过程中的缺陷、错误或材料选用及制造工艺上的缺陷而产生故障。若由于备品备件、系统和材料在设计制造工艺上的缺陷（包括潜在缺陷）而导致安全事故，给甲方造成所有的损失应由乙方赔偿。</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21.11 合同项下的备品备件、系统和材料在正常操作情况下，在现场和南宁当地条件下，在备品备件寿命周期内出现的因乙方的设计、材料选用及制造工艺产生的缺陷，乙方应负责及时修正。</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21.12 乙方还应保证合同项下所提供的服务包括设计、培训、调试和试验等，应按合同规定方式进行并保证不存在因乙方或其零部件供应商、代理商或代表或工作人员的过失、错误或疏忽而产生的缺陷。</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default"/>
          <w:lang w:val="en-US" w:eastAsia="zh-CN"/>
        </w:rPr>
      </w:pPr>
      <w:r>
        <w:rPr>
          <w:rFonts w:hint="eastAsia" w:ascii="宋体" w:hAnsi="宋体" w:cs="宋体"/>
          <w:kern w:val="2"/>
          <w:sz w:val="21"/>
          <w:szCs w:val="21"/>
          <w:highlight w:val="none"/>
          <w:lang w:val="en-US" w:eastAsia="zh-CN" w:bidi="ar"/>
        </w:rPr>
        <w:t>21.13 乙方所供的备品备件必须已得到中华人民共和国有关部门授予的在中华人民共和国使用的许可，否则，一切责任由乙方负责。</w:t>
      </w:r>
    </w:p>
    <w:p>
      <w:pPr>
        <w:shd w:val="clear"/>
        <w:tabs>
          <w:tab w:val="left" w:pos="840"/>
          <w:tab w:val="left" w:pos="1843"/>
        </w:tabs>
        <w:spacing w:before="0" w:after="0" w:afterAutospacing="0"/>
        <w:ind w:left="422" w:right="0" w:firstLine="0"/>
        <w:outlineLvl w:val="2"/>
        <w:rPr>
          <w:rFonts w:hint="default" w:ascii="宋体" w:hAnsi="宋体" w:eastAsia="宋体" w:cs="Times New Roman"/>
          <w:b/>
          <w:highlight w:val="none"/>
          <w:lang w:val="en-US" w:eastAsia="zh-CN"/>
        </w:rPr>
      </w:pPr>
      <w:bookmarkStart w:id="1627" w:name="_Toc20411"/>
      <w:bookmarkStart w:id="1628" w:name="_Toc10863"/>
      <w:bookmarkStart w:id="1629" w:name="_Toc3802"/>
      <w:bookmarkStart w:id="1630" w:name="_Toc25396"/>
      <w:bookmarkStart w:id="1631" w:name="_Toc7146"/>
      <w:r>
        <w:rPr>
          <w:rFonts w:hint="eastAsia" w:ascii="宋体" w:hAnsi="宋体" w:cs="Times New Roman"/>
          <w:b/>
          <w:highlight w:val="none"/>
          <w:lang w:val="en-US" w:eastAsia="zh-CN"/>
        </w:rPr>
        <w:t>22</w:t>
      </w:r>
      <w:r>
        <w:rPr>
          <w:rFonts w:hint="eastAsia" w:ascii="宋体" w:hAnsi="宋体" w:eastAsia="宋体" w:cs="Times New Roman"/>
          <w:b/>
          <w:highlight w:val="none"/>
        </w:rPr>
        <w:t>.通知</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Fonts w:hint="eastAsia" w:ascii="宋体" w:hAnsi="宋体" w:cs="Times New Roman"/>
          <w:b/>
          <w:highlight w:val="none"/>
          <w:lang w:val="en-US" w:eastAsia="zh-CN"/>
        </w:rPr>
        <w:t>与送达</w:t>
      </w:r>
      <w:bookmarkEnd w:id="1627"/>
      <w:bookmarkEnd w:id="1628"/>
      <w:bookmarkEnd w:id="1629"/>
      <w:bookmarkEnd w:id="1630"/>
      <w:bookmarkEnd w:id="1631"/>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黑体"/>
          <w:kern w:val="2"/>
          <w:sz w:val="21"/>
          <w:szCs w:val="21"/>
          <w:highlight w:val="none"/>
        </w:rPr>
      </w:pPr>
      <w:bookmarkStart w:id="1632" w:name="_Toc459797562"/>
      <w:bookmarkEnd w:id="1632"/>
      <w:bookmarkStart w:id="1633" w:name="_Toc459797540"/>
      <w:bookmarkEnd w:id="1633"/>
      <w:bookmarkStart w:id="1634" w:name="_Toc459797552"/>
      <w:bookmarkEnd w:id="1634"/>
      <w:bookmarkStart w:id="1635" w:name="_Toc459730511"/>
      <w:bookmarkEnd w:id="1635"/>
      <w:bookmarkStart w:id="1636" w:name="_Toc459730506"/>
      <w:bookmarkEnd w:id="1636"/>
      <w:bookmarkStart w:id="1637" w:name="_Toc459730495"/>
      <w:bookmarkEnd w:id="1637"/>
      <w:bookmarkStart w:id="1638" w:name="_Toc459797551"/>
      <w:bookmarkEnd w:id="1638"/>
      <w:bookmarkStart w:id="1639" w:name="_Toc459797550"/>
      <w:bookmarkEnd w:id="1639"/>
      <w:bookmarkStart w:id="1640" w:name="_Toc459730494"/>
      <w:bookmarkEnd w:id="1640"/>
      <w:bookmarkStart w:id="1641" w:name="_Toc459730517"/>
      <w:bookmarkEnd w:id="1641"/>
      <w:bookmarkStart w:id="1642" w:name="_Toc459730516"/>
      <w:bookmarkEnd w:id="1642"/>
      <w:bookmarkStart w:id="1643" w:name="_Toc459730488"/>
      <w:bookmarkEnd w:id="1643"/>
      <w:bookmarkStart w:id="1644" w:name="_Toc459730492"/>
      <w:bookmarkEnd w:id="1644"/>
      <w:bookmarkStart w:id="1645" w:name="_Toc459730510"/>
      <w:bookmarkEnd w:id="1645"/>
      <w:bookmarkStart w:id="1646" w:name="_Toc459797563"/>
      <w:bookmarkEnd w:id="1646"/>
      <w:bookmarkStart w:id="1647" w:name="_Toc459797542"/>
      <w:bookmarkEnd w:id="1647"/>
      <w:bookmarkStart w:id="1648" w:name="_Toc459730490"/>
      <w:bookmarkEnd w:id="1648"/>
      <w:bookmarkStart w:id="1649" w:name="_Toc459797564"/>
      <w:bookmarkEnd w:id="1649"/>
      <w:bookmarkStart w:id="1650" w:name="_Toc459797556"/>
      <w:bookmarkEnd w:id="1650"/>
      <w:bookmarkStart w:id="1651" w:name="_Toc459797565"/>
      <w:bookmarkEnd w:id="1651"/>
      <w:bookmarkStart w:id="1652" w:name="_Toc459797539"/>
      <w:bookmarkEnd w:id="1652"/>
      <w:bookmarkStart w:id="1653" w:name="_Toc459797544"/>
      <w:bookmarkEnd w:id="1653"/>
      <w:bookmarkStart w:id="1654" w:name="_Toc459797543"/>
      <w:bookmarkEnd w:id="1654"/>
      <w:bookmarkStart w:id="1655" w:name="_Toc459797549"/>
      <w:bookmarkEnd w:id="1655"/>
      <w:bookmarkStart w:id="1656" w:name="_Toc459730501"/>
      <w:bookmarkEnd w:id="1656"/>
      <w:bookmarkStart w:id="1657" w:name="_Toc459797547"/>
      <w:bookmarkEnd w:id="1657"/>
      <w:bookmarkStart w:id="1658" w:name="_Toc459797541"/>
      <w:bookmarkEnd w:id="1658"/>
      <w:bookmarkStart w:id="1659" w:name="_Toc459730508"/>
      <w:bookmarkEnd w:id="1659"/>
      <w:bookmarkStart w:id="1660" w:name="_Toc459730503"/>
      <w:bookmarkEnd w:id="1660"/>
      <w:bookmarkStart w:id="1661" w:name="_Toc459730497"/>
      <w:bookmarkEnd w:id="1661"/>
      <w:bookmarkStart w:id="1662" w:name="_Toc459730498"/>
      <w:bookmarkEnd w:id="1662"/>
      <w:bookmarkStart w:id="1663" w:name="_Toc459730486"/>
      <w:bookmarkEnd w:id="1663"/>
      <w:bookmarkStart w:id="1664" w:name="_Toc459797567"/>
      <w:bookmarkEnd w:id="1664"/>
      <w:bookmarkStart w:id="1665" w:name="_Toc459730491"/>
      <w:bookmarkEnd w:id="1665"/>
      <w:bookmarkStart w:id="1666" w:name="_Toc459730505"/>
      <w:bookmarkEnd w:id="1666"/>
      <w:bookmarkStart w:id="1667" w:name="_Toc459797570"/>
      <w:bookmarkEnd w:id="1667"/>
      <w:bookmarkStart w:id="1668" w:name="_Toc459730502"/>
      <w:bookmarkEnd w:id="1668"/>
      <w:bookmarkStart w:id="1669" w:name="_Toc459730504"/>
      <w:bookmarkEnd w:id="1669"/>
      <w:bookmarkStart w:id="1670" w:name="_Toc459730513"/>
      <w:bookmarkEnd w:id="1670"/>
      <w:bookmarkStart w:id="1671" w:name="_Toc459797546"/>
      <w:bookmarkEnd w:id="1671"/>
      <w:bookmarkStart w:id="1672" w:name="_Toc459797554"/>
      <w:bookmarkEnd w:id="1672"/>
      <w:bookmarkStart w:id="1673" w:name="_Toc459730487"/>
      <w:bookmarkEnd w:id="1673"/>
      <w:bookmarkStart w:id="1674" w:name="_Toc459797545"/>
      <w:bookmarkEnd w:id="1674"/>
      <w:bookmarkStart w:id="1675" w:name="_Toc459730507"/>
      <w:bookmarkEnd w:id="1675"/>
      <w:bookmarkStart w:id="1676" w:name="_Toc459730514"/>
      <w:bookmarkEnd w:id="1676"/>
      <w:bookmarkStart w:id="1677" w:name="_Toc459730496"/>
      <w:bookmarkEnd w:id="1677"/>
      <w:bookmarkStart w:id="1678" w:name="_Toc459797538"/>
      <w:bookmarkEnd w:id="1678"/>
      <w:bookmarkStart w:id="1679" w:name="_Toc459730509"/>
      <w:bookmarkEnd w:id="1679"/>
      <w:bookmarkStart w:id="1680" w:name="_Toc459797561"/>
      <w:bookmarkEnd w:id="1680"/>
      <w:bookmarkStart w:id="1681" w:name="_Toc459730493"/>
      <w:bookmarkEnd w:id="1681"/>
      <w:bookmarkStart w:id="1682" w:name="_Toc459797560"/>
      <w:bookmarkEnd w:id="1682"/>
      <w:bookmarkStart w:id="1683" w:name="_Toc459797559"/>
      <w:bookmarkEnd w:id="1683"/>
      <w:bookmarkStart w:id="1684" w:name="_Toc459797555"/>
      <w:bookmarkEnd w:id="1684"/>
      <w:bookmarkStart w:id="1685" w:name="_Toc459730489"/>
      <w:bookmarkEnd w:id="1685"/>
      <w:bookmarkStart w:id="1686" w:name="_Toc459797568"/>
      <w:bookmarkEnd w:id="1686"/>
      <w:bookmarkStart w:id="1687" w:name="_Toc459797553"/>
      <w:bookmarkEnd w:id="1687"/>
      <w:bookmarkStart w:id="1688" w:name="_Toc459797548"/>
      <w:bookmarkEnd w:id="1688"/>
      <w:bookmarkStart w:id="1689" w:name="_Toc459730512"/>
      <w:bookmarkEnd w:id="1689"/>
      <w:bookmarkStart w:id="1690" w:name="_Toc459730515"/>
      <w:bookmarkEnd w:id="1690"/>
      <w:bookmarkStart w:id="1691" w:name="_Toc459797569"/>
      <w:bookmarkEnd w:id="1691"/>
      <w:bookmarkStart w:id="1692" w:name="_Toc459730485"/>
      <w:bookmarkEnd w:id="1692"/>
      <w:bookmarkStart w:id="1693" w:name="_Toc459797566"/>
      <w:bookmarkEnd w:id="1693"/>
      <w:bookmarkStart w:id="1694" w:name="_Toc459797558"/>
      <w:bookmarkEnd w:id="1694"/>
      <w:bookmarkStart w:id="1695" w:name="_Toc459730500"/>
      <w:bookmarkEnd w:id="1695"/>
      <w:bookmarkStart w:id="1696" w:name="_Toc459797557"/>
      <w:bookmarkEnd w:id="1696"/>
      <w:bookmarkStart w:id="1697" w:name="_Toc459730499"/>
      <w:bookmarkEnd w:id="1697"/>
      <w:bookmarkStart w:id="1698" w:name="_Toc385427876"/>
      <w:bookmarkStart w:id="1699" w:name="_Toc24789"/>
      <w:bookmarkStart w:id="1700" w:name="_Toc4370"/>
      <w:bookmarkStart w:id="1701" w:name="_Toc26446"/>
      <w:bookmarkStart w:id="1702" w:name="_Toc25750670"/>
      <w:bookmarkStart w:id="1703" w:name="_Toc25859"/>
      <w:bookmarkStart w:id="1704" w:name="_Toc16845"/>
      <w:bookmarkStart w:id="1705" w:name="_Toc11322"/>
      <w:bookmarkStart w:id="1706" w:name="_Toc14240"/>
      <w:bookmarkStart w:id="1707" w:name="_Toc370933887"/>
      <w:bookmarkStart w:id="1708" w:name="_Toc27400"/>
      <w:bookmarkStart w:id="1709" w:name="_Toc27029"/>
      <w:bookmarkStart w:id="1710" w:name="_Toc925"/>
      <w:bookmarkStart w:id="1711" w:name="_Toc492478800"/>
      <w:bookmarkStart w:id="1712" w:name="_Toc25406"/>
      <w:bookmarkStart w:id="1713" w:name="_Toc2427"/>
      <w:bookmarkStart w:id="1714" w:name="_Toc11286"/>
      <w:bookmarkStart w:id="1715" w:name="_Toc20826"/>
      <w:bookmarkStart w:id="1716" w:name="_Toc390098502"/>
      <w:bookmarkStart w:id="1717" w:name="_Toc8642"/>
      <w:bookmarkStart w:id="1718" w:name="_Toc309"/>
      <w:bookmarkStart w:id="1719" w:name="_Toc378514990"/>
      <w:bookmarkStart w:id="1720" w:name="_Toc20780"/>
      <w:bookmarkStart w:id="1721" w:name="_Toc6462"/>
      <w:r>
        <w:rPr>
          <w:rFonts w:hint="eastAsia" w:ascii="宋体" w:hAnsi="宋体" w:cs="宋体"/>
          <w:kern w:val="2"/>
          <w:sz w:val="21"/>
          <w:szCs w:val="21"/>
          <w:highlight w:val="none"/>
          <w:lang w:val="en-US" w:eastAsia="zh-CN" w:bidi="ar"/>
        </w:rPr>
        <w:t>22.</w:t>
      </w:r>
      <w:r>
        <w:rPr>
          <w:rFonts w:hint="eastAsia" w:ascii="宋体" w:hAnsi="宋体" w:eastAsia="宋体" w:cs="宋体"/>
          <w:kern w:val="2"/>
          <w:sz w:val="21"/>
          <w:szCs w:val="21"/>
          <w:highlight w:val="none"/>
          <w:lang w:val="en-US" w:eastAsia="zh-CN" w:bidi="ar"/>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黑体"/>
          <w:kern w:val="2"/>
          <w:sz w:val="21"/>
          <w:szCs w:val="21"/>
          <w:highlight w:val="none"/>
        </w:rPr>
      </w:pPr>
      <w:r>
        <w:rPr>
          <w:rFonts w:hint="eastAsia" w:ascii="宋体" w:hAnsi="宋体" w:cs="宋体"/>
          <w:kern w:val="2"/>
          <w:sz w:val="21"/>
          <w:szCs w:val="21"/>
          <w:highlight w:val="none"/>
          <w:lang w:val="en-US" w:eastAsia="zh-CN" w:bidi="ar"/>
        </w:rPr>
        <w:t>22.</w:t>
      </w:r>
      <w:r>
        <w:rPr>
          <w:rFonts w:hint="eastAsia" w:ascii="宋体" w:hAnsi="宋体" w:eastAsia="宋体" w:cs="宋体"/>
          <w:kern w:val="2"/>
          <w:sz w:val="21"/>
          <w:szCs w:val="21"/>
          <w:highlight w:val="none"/>
          <w:lang w:val="en-US" w:eastAsia="zh-CN" w:bidi="ar"/>
        </w:rPr>
        <w:t>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numPr>
          <w:ilvl w:val="0"/>
          <w:numId w:val="0"/>
        </w:numPr>
        <w:shd w:val="clear"/>
        <w:tabs>
          <w:tab w:val="left" w:pos="840"/>
          <w:tab w:val="left" w:pos="1843"/>
        </w:tabs>
        <w:spacing w:before="0" w:after="0" w:afterAutospacing="0"/>
        <w:ind w:left="422" w:leftChars="0" w:right="0" w:rightChars="0"/>
        <w:outlineLvl w:val="2"/>
        <w:rPr>
          <w:highlight w:val="none"/>
        </w:rPr>
      </w:pPr>
      <w:bookmarkStart w:id="1722" w:name="_Toc32334"/>
      <w:bookmarkStart w:id="1723" w:name="_Toc1899"/>
      <w:bookmarkStart w:id="1724" w:name="_Toc9948"/>
      <w:bookmarkStart w:id="1725" w:name="_Toc30817"/>
      <w:bookmarkStart w:id="1726" w:name="_Toc11032"/>
      <w:r>
        <w:rPr>
          <w:rFonts w:hint="eastAsia" w:ascii="宋体" w:hAnsi="宋体"/>
          <w:b/>
          <w:highlight w:val="none"/>
          <w:lang w:val="en-US" w:eastAsia="zh-CN"/>
        </w:rPr>
        <w:t>23.</w:t>
      </w:r>
      <w:r>
        <w:rPr>
          <w:rFonts w:hint="eastAsia" w:ascii="宋体" w:hAnsi="宋体"/>
          <w:b/>
          <w:highlight w:val="none"/>
        </w:rPr>
        <w:t>争端的解决</w:t>
      </w:r>
      <w:bookmarkEnd w:id="1722"/>
      <w:bookmarkEnd w:id="1723"/>
      <w:bookmarkEnd w:id="1724"/>
      <w:bookmarkEnd w:id="1725"/>
      <w:bookmarkEnd w:id="1726"/>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23</w:t>
      </w:r>
      <w:r>
        <w:rPr>
          <w:rFonts w:hint="eastAsia" w:ascii="宋体" w:hAnsi="宋体" w:eastAsia="宋体" w:cs="宋体"/>
          <w:kern w:val="2"/>
          <w:sz w:val="21"/>
          <w:szCs w:val="21"/>
          <w:highlight w:val="none"/>
          <w:lang w:val="en-US" w:eastAsia="zh-CN" w:bidi="ar"/>
        </w:rPr>
        <w:t>.1甲乙双方履行合同中发生争议的，可以先通过友好协商解决。</w:t>
      </w:r>
    </w:p>
    <w:p>
      <w:pPr>
        <w:keepNext w:val="0"/>
        <w:keepLines w:val="0"/>
        <w:widowControl w:val="0"/>
        <w:suppressLineNumbers w:val="0"/>
        <w:shd w:val="clear"/>
        <w:spacing w:before="0" w:beforeAutospacing="0" w:after="0" w:afterAutospacing="0" w:line="360" w:lineRule="auto"/>
        <w:ind w:left="0" w:right="0" w:firstLine="420" w:firstLineChars="200"/>
        <w:jc w:val="both"/>
        <w:outlineLvl w:val="3"/>
        <w:rPr>
          <w:rFonts w:hint="eastAsia" w:ascii="宋体" w:hAnsi="宋体" w:eastAsia="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23</w:t>
      </w:r>
      <w:r>
        <w:rPr>
          <w:rFonts w:hint="eastAsia" w:ascii="宋体" w:hAnsi="宋体" w:eastAsia="宋体" w:cs="宋体"/>
          <w:kern w:val="2"/>
          <w:sz w:val="21"/>
          <w:szCs w:val="21"/>
          <w:highlight w:val="none"/>
          <w:lang w:val="en-US" w:eastAsia="zh-CN" w:bidi="ar"/>
        </w:rPr>
        <w:t>.2双方协商不成的，应当按下列第（2）种方式解决：</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（1）提交南宁仲裁委员会仲裁；</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（2）依法向甲方所在地人民法院起诉。</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23</w:t>
      </w:r>
      <w:r>
        <w:rPr>
          <w:rFonts w:hint="eastAsia" w:ascii="宋体" w:hAnsi="宋体" w:eastAsia="宋体" w:cs="宋体"/>
          <w:kern w:val="2"/>
          <w:sz w:val="21"/>
          <w:szCs w:val="21"/>
          <w:highlight w:val="none"/>
          <w:lang w:val="en-US" w:eastAsia="zh-CN" w:bidi="ar"/>
        </w:rPr>
        <w:t>.3发生争议后，除非出现下列情况的，双方都应继续履行合同，保持施工连续并保护好已完项目：</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（1）单方违约导致合同确己无法履行，双方协议停止施工；</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（2）不可抗力导致合同无法履行；</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（3）调解要求停止施工，且为双方接受；</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（4）仲裁机关要求停止施工；</w:t>
      </w:r>
    </w:p>
    <w:p>
      <w:pPr>
        <w:keepNext w:val="0"/>
        <w:keepLines w:val="0"/>
        <w:widowControl w:val="0"/>
        <w:suppressLineNumbers w:val="0"/>
        <w:shd w:val="clear"/>
        <w:spacing w:before="0" w:beforeAutospacing="0" w:after="0" w:afterAutospacing="0" w:line="360" w:lineRule="auto"/>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（5）法院要求停止施工。</w:t>
      </w:r>
    </w:p>
    <w:p>
      <w:pPr>
        <w:shd w:val="clear"/>
        <w:tabs>
          <w:tab w:val="left" w:pos="840"/>
          <w:tab w:val="left" w:pos="1843"/>
        </w:tabs>
        <w:spacing w:before="0" w:after="0" w:afterAutospacing="0"/>
        <w:ind w:left="422" w:right="0" w:firstLine="0"/>
        <w:outlineLvl w:val="2"/>
        <w:rPr>
          <w:rFonts w:ascii="宋体" w:hAnsi="宋体"/>
          <w:b/>
          <w:highlight w:val="none"/>
        </w:rPr>
      </w:pPr>
      <w:bookmarkStart w:id="1727" w:name="_Toc9900"/>
      <w:bookmarkStart w:id="1728" w:name="_Toc3520"/>
      <w:bookmarkStart w:id="1729" w:name="_Toc30516"/>
      <w:bookmarkStart w:id="1730" w:name="_Toc16833"/>
      <w:bookmarkStart w:id="1731" w:name="_Toc22699"/>
      <w:r>
        <w:rPr>
          <w:rFonts w:hint="eastAsia" w:ascii="宋体" w:hAnsi="宋体"/>
          <w:b/>
          <w:highlight w:val="none"/>
          <w:lang w:val="en-US" w:eastAsia="zh-CN"/>
        </w:rPr>
        <w:t>24</w:t>
      </w:r>
      <w:r>
        <w:rPr>
          <w:rFonts w:hint="eastAsia" w:ascii="宋体" w:hAnsi="宋体"/>
          <w:b/>
          <w:highlight w:val="none"/>
        </w:rPr>
        <w:t>.合同生效和签约地</w:t>
      </w:r>
      <w:bookmarkEnd w:id="1727"/>
      <w:bookmarkEnd w:id="1728"/>
      <w:bookmarkEnd w:id="1729"/>
      <w:bookmarkEnd w:id="1730"/>
      <w:bookmarkEnd w:id="1731"/>
    </w:p>
    <w:p>
      <w:pPr>
        <w:shd w:val="clear"/>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本合同生效的时间以双方签署的协议书上的最后日期为准。</w:t>
      </w:r>
    </w:p>
    <w:p>
      <w:pPr>
        <w:shd w:val="clear"/>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本合同签约地为中华人民共和国广西壮族自治区南宁市青秀区。</w:t>
      </w:r>
    </w:p>
    <w:p>
      <w:pPr>
        <w:shd w:val="clear"/>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本合同将在各方授权代表签字，甲方收到乙方的履约担保后，方可生效。</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Pr>
        <w:shd w:val="clear"/>
        <w:tabs>
          <w:tab w:val="left" w:pos="840"/>
          <w:tab w:val="left" w:pos="1843"/>
        </w:tabs>
        <w:spacing w:before="0" w:after="0" w:afterAutospacing="0"/>
        <w:ind w:left="422" w:right="0" w:firstLine="0"/>
        <w:outlineLvl w:val="2"/>
        <w:rPr>
          <w:rFonts w:ascii="宋体" w:hAnsi="宋体"/>
          <w:b/>
          <w:highlight w:val="none"/>
        </w:rPr>
      </w:pPr>
      <w:bookmarkStart w:id="1732" w:name="_Toc21726"/>
      <w:bookmarkStart w:id="1733" w:name="_Toc2883"/>
      <w:bookmarkStart w:id="1734" w:name="_Toc19782"/>
      <w:bookmarkStart w:id="1735" w:name="_Toc25425"/>
      <w:bookmarkStart w:id="1736" w:name="_Toc20559"/>
      <w:r>
        <w:rPr>
          <w:rFonts w:hint="eastAsia" w:ascii="宋体" w:hAnsi="宋体"/>
          <w:b/>
          <w:highlight w:val="none"/>
          <w:lang w:val="en-US" w:eastAsia="zh-CN"/>
        </w:rPr>
        <w:t>25.</w:t>
      </w:r>
      <w:r>
        <w:rPr>
          <w:rFonts w:hint="eastAsia" w:ascii="宋体" w:hAnsi="宋体"/>
          <w:b/>
          <w:highlight w:val="none"/>
        </w:rPr>
        <w:t>其他</w:t>
      </w:r>
      <w:bookmarkEnd w:id="1732"/>
      <w:bookmarkEnd w:id="1733"/>
      <w:bookmarkEnd w:id="1734"/>
      <w:bookmarkEnd w:id="1735"/>
      <w:bookmarkEnd w:id="1736"/>
    </w:p>
    <w:p>
      <w:pPr>
        <w:shd w:val="clear"/>
        <w:tabs>
          <w:tab w:val="left" w:pos="840"/>
          <w:tab w:val="left" w:pos="1843"/>
        </w:tabs>
        <w:spacing w:before="0" w:after="0" w:afterAutospacing="0"/>
        <w:ind w:left="422" w:right="0" w:firstLine="0"/>
        <w:outlineLvl w:val="1"/>
        <w:rPr>
          <w:rFonts w:ascii="宋体" w:hAnsi="宋体"/>
          <w:b/>
          <w:highlight w:val="none"/>
        </w:rPr>
      </w:pPr>
      <w:bookmarkStart w:id="1737" w:name="_Toc7438"/>
      <w:bookmarkStart w:id="1738" w:name="_Toc5441"/>
      <w:bookmarkStart w:id="1739" w:name="_Toc31085"/>
      <w:bookmarkStart w:id="1740" w:name="_Toc11813"/>
      <w:bookmarkStart w:id="1741" w:name="_Toc4460"/>
      <w:bookmarkStart w:id="1742" w:name="_Toc4390"/>
      <w:bookmarkStart w:id="1743" w:name="_Toc17661"/>
      <w:bookmarkStart w:id="1744" w:name="_Toc655"/>
      <w:bookmarkStart w:id="1745" w:name="_Toc30500"/>
      <w:r>
        <w:rPr>
          <w:rFonts w:hint="eastAsia"/>
          <w:highlight w:val="none"/>
        </w:rPr>
        <w:t>本合同未尽事宜，由双方协商解决，必要时可签订补充合同。</w:t>
      </w:r>
      <w:bookmarkEnd w:id="1737"/>
      <w:bookmarkEnd w:id="1738"/>
      <w:bookmarkEnd w:id="1739"/>
      <w:bookmarkEnd w:id="1740"/>
      <w:bookmarkEnd w:id="1741"/>
      <w:bookmarkEnd w:id="1742"/>
      <w:bookmarkEnd w:id="1743"/>
      <w:bookmarkEnd w:id="1744"/>
      <w:bookmarkEnd w:id="1745"/>
    </w:p>
    <w:p>
      <w:pPr>
        <w:shd w:val="clear"/>
        <w:tabs>
          <w:tab w:val="left" w:pos="840"/>
          <w:tab w:val="left" w:pos="1843"/>
        </w:tabs>
        <w:spacing w:before="0" w:after="0" w:afterAutospacing="0"/>
        <w:ind w:left="422" w:right="0" w:firstLine="0"/>
        <w:jc w:val="center"/>
        <w:outlineLvl w:val="9"/>
        <w:rPr>
          <w:rFonts w:ascii="宋体" w:hAnsi="宋体"/>
          <w:b/>
          <w:highlight w:val="none"/>
        </w:rPr>
      </w:pPr>
      <w:bookmarkStart w:id="1746" w:name="_Toc27316"/>
      <w:bookmarkStart w:id="1747" w:name="_Toc5644"/>
      <w:bookmarkStart w:id="1748" w:name="_Toc16716"/>
      <w:bookmarkStart w:id="1749" w:name="_Toc13288"/>
      <w:bookmarkStart w:id="1750" w:name="_Toc19448"/>
      <w:bookmarkStart w:id="1751" w:name="_Toc12470"/>
      <w:bookmarkStart w:id="1752" w:name="_Toc14997"/>
      <w:bookmarkStart w:id="1753" w:name="_Toc21033"/>
      <w:bookmarkStart w:id="1754" w:name="_Toc21635"/>
      <w:bookmarkStart w:id="1755" w:name="_Toc2753"/>
      <w:bookmarkStart w:id="1756" w:name="_Toc6194"/>
      <w:bookmarkStart w:id="1757" w:name="_Toc21659"/>
      <w:bookmarkStart w:id="1758" w:name="_Toc16443"/>
      <w:bookmarkStart w:id="1759" w:name="_Toc27258"/>
      <w:bookmarkStart w:id="1760" w:name="_Toc29249"/>
      <w:bookmarkStart w:id="1761" w:name="_Toc5186"/>
      <w:bookmarkStart w:id="1762" w:name="_Toc21372"/>
      <w:bookmarkStart w:id="1763" w:name="_Toc12983548"/>
    </w:p>
    <w:p>
      <w:pPr>
        <w:shd w:val="clear"/>
        <w:tabs>
          <w:tab w:val="left" w:pos="840"/>
          <w:tab w:val="left" w:pos="1843"/>
        </w:tabs>
        <w:spacing w:before="0" w:after="0" w:afterAutospacing="0"/>
        <w:ind w:left="422" w:right="0" w:firstLine="0"/>
        <w:jc w:val="center"/>
        <w:outlineLvl w:val="9"/>
        <w:rPr>
          <w:rFonts w:ascii="宋体" w:hAnsi="宋体"/>
          <w:b/>
          <w:highlight w:val="none"/>
        </w:rPr>
      </w:pPr>
    </w:p>
    <w:p>
      <w:pPr>
        <w:shd w:val="clear"/>
        <w:tabs>
          <w:tab w:val="left" w:pos="840"/>
          <w:tab w:val="left" w:pos="1843"/>
        </w:tabs>
        <w:spacing w:before="0" w:after="0" w:afterAutospacing="0"/>
        <w:ind w:left="422" w:right="0" w:firstLine="0"/>
        <w:jc w:val="center"/>
        <w:outlineLvl w:val="9"/>
        <w:rPr>
          <w:rFonts w:ascii="宋体" w:hAnsi="宋体"/>
          <w:b/>
          <w:highlight w:val="none"/>
        </w:rPr>
      </w:pPr>
    </w:p>
    <w:p>
      <w:pPr>
        <w:pStyle w:val="7"/>
        <w:numPr>
          <w:ilvl w:val="3"/>
          <w:numId w:val="0"/>
        </w:numPr>
        <w:shd w:val="clear"/>
        <w:ind w:leftChars="0" w:right="-27" w:rightChars="0"/>
        <w:outlineLvl w:val="9"/>
        <w:rPr>
          <w:rFonts w:hint="eastAsia" w:ascii="宋体" w:hAnsi="宋体" w:eastAsia="宋体" w:cs="Courier New"/>
          <w:b/>
          <w:kern w:val="2"/>
          <w:sz w:val="24"/>
          <w:szCs w:val="24"/>
          <w:highlight w:val="none"/>
        </w:rPr>
      </w:pPr>
    </w:p>
    <w:p>
      <w:pPr>
        <w:shd w:val="clear"/>
        <w:rPr>
          <w:rFonts w:hint="eastAsia"/>
          <w:highlight w:val="none"/>
        </w:rPr>
      </w:pPr>
    </w:p>
    <w:p>
      <w:pPr>
        <w:pStyle w:val="14"/>
        <w:rPr>
          <w:rFonts w:hint="eastAsia"/>
          <w:highlight w:val="none"/>
        </w:rPr>
      </w:pPr>
    </w:p>
    <w:p>
      <w:pPr>
        <w:pStyle w:val="7"/>
        <w:numPr>
          <w:ilvl w:val="3"/>
          <w:numId w:val="0"/>
        </w:numPr>
        <w:ind w:leftChars="0" w:right="-27" w:rightChars="0"/>
        <w:outlineLvl w:val="9"/>
        <w:rPr>
          <w:rFonts w:hint="eastAsia"/>
        </w:rPr>
      </w:pPr>
    </w:p>
    <w:p>
      <w:pPr>
        <w:rPr>
          <w:rFonts w:hint="eastAsia"/>
          <w:highlight w:val="none"/>
        </w:rPr>
      </w:pPr>
    </w:p>
    <w:p>
      <w:pPr>
        <w:pStyle w:val="14"/>
        <w:rPr>
          <w:rFonts w:hint="eastAsia"/>
          <w:highlight w:val="none"/>
        </w:rPr>
      </w:pPr>
    </w:p>
    <w:p>
      <w:pPr>
        <w:pStyle w:val="7"/>
        <w:numPr>
          <w:ilvl w:val="3"/>
          <w:numId w:val="0"/>
        </w:numPr>
        <w:ind w:leftChars="0" w:right="-27" w:rightChars="0"/>
        <w:outlineLvl w:val="9"/>
        <w:rPr>
          <w:rFonts w:hint="eastAsia"/>
        </w:rPr>
      </w:pPr>
    </w:p>
    <w:p>
      <w:pPr>
        <w:ind w:left="0" w:firstLine="0"/>
        <w:rPr>
          <w:rFonts w:hint="eastAsia"/>
        </w:rPr>
      </w:pPr>
    </w:p>
    <w:p>
      <w:pPr>
        <w:pStyle w:val="14"/>
        <w:widowControl w:val="0"/>
        <w:shd w:val="clear"/>
        <w:spacing w:before="0" w:after="0" w:afterAutospacing="0" w:line="360" w:lineRule="auto"/>
        <w:ind w:left="0" w:right="0" w:firstLine="0"/>
        <w:outlineLvl w:val="9"/>
        <w:rPr>
          <w:rFonts w:hint="eastAsia" w:ascii="宋体" w:hAnsi="宋体" w:eastAsia="宋体" w:cs="Courier New"/>
          <w:b/>
          <w:kern w:val="2"/>
          <w:sz w:val="24"/>
          <w:szCs w:val="24"/>
          <w:highlight w:val="none"/>
        </w:rPr>
      </w:pPr>
      <w:bookmarkStart w:id="1764" w:name="_Toc8361"/>
      <w:bookmarkStart w:id="1765" w:name="_Toc25715"/>
      <w:bookmarkStart w:id="1766" w:name="_Toc10650"/>
      <w:bookmarkStart w:id="1767" w:name="_Toc21158"/>
    </w:p>
    <w:p>
      <w:pPr>
        <w:pStyle w:val="14"/>
        <w:widowControl w:val="0"/>
        <w:shd w:val="clear"/>
        <w:spacing w:before="0" w:after="0" w:afterAutospacing="0" w:line="360" w:lineRule="auto"/>
        <w:ind w:left="0" w:right="0" w:firstLine="0"/>
        <w:outlineLvl w:val="9"/>
        <w:rPr>
          <w:rFonts w:hint="eastAsia" w:ascii="宋体" w:hAnsi="宋体" w:eastAsia="宋体" w:cs="Courier New"/>
          <w:b/>
          <w:kern w:val="2"/>
          <w:sz w:val="24"/>
          <w:szCs w:val="24"/>
          <w:highlight w:val="none"/>
        </w:rPr>
      </w:pPr>
    </w:p>
    <w:p>
      <w:pPr>
        <w:pStyle w:val="14"/>
        <w:widowControl w:val="0"/>
        <w:shd w:val="clear"/>
        <w:spacing w:before="0" w:after="0" w:afterAutospacing="0" w:line="360" w:lineRule="auto"/>
        <w:ind w:left="0" w:right="0" w:firstLine="0"/>
        <w:outlineLvl w:val="9"/>
        <w:rPr>
          <w:rFonts w:hint="eastAsia" w:ascii="宋体" w:hAnsi="宋体" w:eastAsia="宋体" w:cs="Courier New"/>
          <w:b/>
          <w:kern w:val="2"/>
          <w:sz w:val="24"/>
          <w:szCs w:val="24"/>
          <w:highlight w:val="none"/>
        </w:rPr>
      </w:pPr>
    </w:p>
    <w:p>
      <w:pPr>
        <w:pStyle w:val="14"/>
        <w:widowControl w:val="0"/>
        <w:shd w:val="clear"/>
        <w:spacing w:before="0" w:after="0" w:afterAutospacing="0" w:line="360" w:lineRule="auto"/>
        <w:ind w:left="0" w:right="0" w:firstLine="0"/>
        <w:outlineLvl w:val="9"/>
        <w:rPr>
          <w:rFonts w:hint="eastAsia" w:ascii="宋体" w:hAnsi="宋体" w:eastAsia="宋体" w:cs="Courier New"/>
          <w:b/>
          <w:kern w:val="2"/>
          <w:sz w:val="24"/>
          <w:szCs w:val="24"/>
          <w:highlight w:val="none"/>
        </w:rPr>
      </w:pPr>
    </w:p>
    <w:p>
      <w:pPr>
        <w:pStyle w:val="14"/>
        <w:widowControl w:val="0"/>
        <w:shd w:val="clear"/>
        <w:spacing w:before="0" w:after="0" w:afterAutospacing="0" w:line="360" w:lineRule="auto"/>
        <w:ind w:left="0" w:right="0" w:firstLine="0"/>
        <w:outlineLvl w:val="1"/>
        <w:rPr>
          <w:rFonts w:hint="eastAsia" w:ascii="宋体" w:hAnsi="宋体" w:eastAsia="宋体" w:cs="Courier New"/>
          <w:b/>
          <w:kern w:val="2"/>
          <w:sz w:val="24"/>
          <w:szCs w:val="24"/>
          <w:highlight w:val="none"/>
        </w:rPr>
      </w:pPr>
      <w:bookmarkStart w:id="1768" w:name="_Toc19144"/>
      <w:bookmarkStart w:id="1769" w:name="_Toc3798"/>
      <w:bookmarkStart w:id="1770" w:name="_Toc18029"/>
      <w:r>
        <w:rPr>
          <w:rFonts w:hint="eastAsia" w:ascii="宋体" w:hAnsi="宋体" w:eastAsia="宋体" w:cs="Courier New"/>
          <w:b/>
          <w:kern w:val="2"/>
          <w:sz w:val="24"/>
          <w:szCs w:val="24"/>
          <w:highlight w:val="none"/>
        </w:rPr>
        <w:t>四、价格组成文件</w:t>
      </w:r>
      <w:bookmarkEnd w:id="1764"/>
      <w:bookmarkEnd w:id="1765"/>
      <w:bookmarkEnd w:id="1766"/>
      <w:bookmarkEnd w:id="1767"/>
      <w:bookmarkEnd w:id="1768"/>
      <w:bookmarkEnd w:id="1769"/>
      <w:bookmarkEnd w:id="1770"/>
    </w:p>
    <w:p>
      <w:pPr>
        <w:pStyle w:val="14"/>
        <w:widowControl w:val="0"/>
        <w:shd w:val="clear"/>
        <w:spacing w:before="0" w:after="0" w:afterAutospacing="0" w:line="360" w:lineRule="auto"/>
        <w:ind w:left="0" w:right="0" w:firstLine="480" w:firstLineChars="200"/>
        <w:outlineLvl w:val="2"/>
        <w:rPr>
          <w:rFonts w:hint="eastAsia" w:ascii="宋体" w:hAnsi="宋体" w:eastAsia="宋体" w:cs="Courier New"/>
          <w:b w:val="0"/>
          <w:bCs/>
          <w:kern w:val="2"/>
          <w:sz w:val="24"/>
          <w:szCs w:val="24"/>
          <w:highlight w:val="none"/>
        </w:rPr>
      </w:pPr>
      <w:bookmarkStart w:id="1771" w:name="_Toc9933"/>
      <w:bookmarkStart w:id="1772" w:name="_Toc21560"/>
      <w:bookmarkStart w:id="1773" w:name="_Toc28795"/>
      <w:bookmarkStart w:id="1774" w:name="_Toc30032"/>
      <w:bookmarkStart w:id="1775" w:name="_Toc15373"/>
      <w:bookmarkStart w:id="1776" w:name="_Toc17485"/>
      <w:bookmarkStart w:id="1777" w:name="_Toc12364"/>
      <w:r>
        <w:rPr>
          <w:rFonts w:hint="eastAsia" w:ascii="宋体" w:hAnsi="宋体" w:eastAsia="宋体" w:cs="Courier New"/>
          <w:b w:val="0"/>
          <w:bCs/>
          <w:kern w:val="2"/>
          <w:sz w:val="24"/>
          <w:szCs w:val="24"/>
          <w:highlight w:val="none"/>
        </w:rPr>
        <w:t>1.税率确认函</w:t>
      </w:r>
      <w:bookmarkEnd w:id="1771"/>
      <w:bookmarkEnd w:id="1772"/>
      <w:bookmarkEnd w:id="1773"/>
      <w:bookmarkEnd w:id="1774"/>
      <w:bookmarkEnd w:id="1775"/>
      <w:bookmarkEnd w:id="1776"/>
      <w:bookmarkEnd w:id="1777"/>
    </w:p>
    <w:p>
      <w:pPr>
        <w:pStyle w:val="14"/>
        <w:widowControl w:val="0"/>
        <w:shd w:val="clear"/>
        <w:spacing w:before="0" w:after="0" w:afterAutospacing="0" w:line="360" w:lineRule="auto"/>
        <w:ind w:left="0" w:right="0" w:firstLine="480" w:firstLineChars="200"/>
        <w:outlineLvl w:val="2"/>
        <w:rPr>
          <w:rFonts w:hint="eastAsia" w:ascii="宋体" w:hAnsi="宋体" w:eastAsia="宋体" w:cs="Courier New"/>
          <w:b w:val="0"/>
          <w:bCs/>
          <w:kern w:val="2"/>
          <w:sz w:val="24"/>
          <w:szCs w:val="24"/>
          <w:highlight w:val="none"/>
        </w:rPr>
      </w:pPr>
      <w:bookmarkStart w:id="1778" w:name="_Toc5481"/>
      <w:bookmarkStart w:id="1779" w:name="_Toc27096"/>
      <w:bookmarkStart w:id="1780" w:name="_Toc16745"/>
      <w:bookmarkStart w:id="1781" w:name="_Toc6996"/>
      <w:bookmarkStart w:id="1782" w:name="_Toc23976"/>
      <w:bookmarkStart w:id="1783" w:name="_Toc5411"/>
      <w:bookmarkStart w:id="1784" w:name="_Toc12516"/>
      <w:r>
        <w:rPr>
          <w:rFonts w:hint="eastAsia" w:ascii="宋体" w:hAnsi="宋体" w:eastAsia="宋体" w:cs="Courier New"/>
          <w:b w:val="0"/>
          <w:bCs/>
          <w:kern w:val="2"/>
          <w:sz w:val="24"/>
          <w:szCs w:val="24"/>
          <w:highlight w:val="none"/>
        </w:rPr>
        <w:t>2.中选文件分项报价表</w:t>
      </w:r>
      <w:bookmarkEnd w:id="1778"/>
      <w:bookmarkEnd w:id="1779"/>
      <w:bookmarkEnd w:id="1780"/>
      <w:bookmarkEnd w:id="1781"/>
      <w:bookmarkEnd w:id="1782"/>
      <w:bookmarkEnd w:id="1783"/>
      <w:bookmarkEnd w:id="1784"/>
    </w:p>
    <w:p>
      <w:pPr>
        <w:pStyle w:val="7"/>
        <w:numPr>
          <w:ilvl w:val="3"/>
          <w:numId w:val="0"/>
        </w:numPr>
        <w:shd w:val="clear"/>
        <w:ind w:leftChars="0" w:right="-27" w:rightChars="0"/>
        <w:outlineLvl w:val="9"/>
        <w:rPr>
          <w:rFonts w:hint="eastAsia" w:ascii="宋体" w:hAnsi="宋体" w:eastAsia="宋体" w:cs="Courier New"/>
          <w:b w:val="0"/>
          <w:bCs/>
          <w:kern w:val="2"/>
          <w:sz w:val="28"/>
          <w:szCs w:val="28"/>
          <w:highlight w:val="none"/>
        </w:rPr>
      </w:pPr>
    </w:p>
    <w:p>
      <w:pPr>
        <w:shd w:val="clear"/>
        <w:rPr>
          <w:rFonts w:hint="eastAsia" w:ascii="宋体" w:hAnsi="宋体" w:eastAsia="宋体" w:cs="Courier New"/>
          <w:b w:val="0"/>
          <w:bCs/>
          <w:kern w:val="2"/>
          <w:sz w:val="28"/>
          <w:szCs w:val="28"/>
          <w:highlight w:val="none"/>
        </w:rPr>
      </w:pPr>
    </w:p>
    <w:p>
      <w:pPr>
        <w:pStyle w:val="14"/>
        <w:shd w:val="clear"/>
        <w:rPr>
          <w:rFonts w:hint="eastAsia" w:ascii="宋体" w:hAnsi="宋体" w:eastAsia="宋体" w:cs="Courier New"/>
          <w:b w:val="0"/>
          <w:bCs/>
          <w:kern w:val="2"/>
          <w:sz w:val="28"/>
          <w:szCs w:val="28"/>
          <w:highlight w:val="none"/>
        </w:rPr>
      </w:pPr>
    </w:p>
    <w:p>
      <w:pPr>
        <w:pStyle w:val="7"/>
        <w:numPr>
          <w:ilvl w:val="3"/>
          <w:numId w:val="0"/>
        </w:numPr>
        <w:shd w:val="clear"/>
        <w:ind w:leftChars="0" w:right="-27" w:rightChars="0"/>
        <w:outlineLvl w:val="9"/>
        <w:rPr>
          <w:rFonts w:hint="eastAsia"/>
          <w:highlight w:val="none"/>
        </w:rPr>
      </w:pPr>
    </w:p>
    <w:p>
      <w:pPr>
        <w:shd w:val="clear"/>
        <w:rPr>
          <w:rFonts w:hint="eastAsia" w:ascii="宋体" w:hAnsi="宋体" w:eastAsia="宋体" w:cs="Courier New"/>
          <w:b w:val="0"/>
          <w:bCs/>
          <w:kern w:val="2"/>
          <w:sz w:val="28"/>
          <w:szCs w:val="28"/>
          <w:highlight w:val="none"/>
        </w:rPr>
      </w:pPr>
    </w:p>
    <w:p>
      <w:pPr>
        <w:pStyle w:val="7"/>
        <w:numPr>
          <w:ilvl w:val="3"/>
          <w:numId w:val="0"/>
        </w:numPr>
        <w:shd w:val="clear"/>
        <w:ind w:leftChars="0" w:right="-27" w:rightChars="0"/>
        <w:outlineLvl w:val="9"/>
        <w:rPr>
          <w:rFonts w:hint="eastAsia"/>
          <w:highlight w:val="none"/>
        </w:rPr>
      </w:pPr>
    </w:p>
    <w:p>
      <w:pPr>
        <w:shd w:val="clear"/>
        <w:rPr>
          <w:rFonts w:hint="eastAsia"/>
          <w:highlight w:val="none"/>
        </w:rPr>
      </w:pPr>
    </w:p>
    <w:p>
      <w:pPr>
        <w:pStyle w:val="14"/>
        <w:shd w:val="clear"/>
        <w:rPr>
          <w:rFonts w:hint="eastAsia"/>
          <w:highlight w:val="none"/>
        </w:rPr>
      </w:pPr>
    </w:p>
    <w:p>
      <w:pPr>
        <w:shd w:val="clear"/>
        <w:rPr>
          <w:rFonts w:hint="eastAsia"/>
          <w:highlight w:val="none"/>
        </w:rPr>
      </w:pPr>
    </w:p>
    <w:p>
      <w:pPr>
        <w:pStyle w:val="7"/>
        <w:numPr>
          <w:ilvl w:val="3"/>
          <w:numId w:val="0"/>
        </w:numPr>
        <w:shd w:val="clear"/>
        <w:ind w:leftChars="0" w:right="-27" w:rightChars="0"/>
        <w:outlineLvl w:val="9"/>
        <w:rPr>
          <w:rFonts w:hint="eastAsia"/>
          <w:highlight w:val="none"/>
        </w:rPr>
      </w:pPr>
    </w:p>
    <w:p>
      <w:pPr>
        <w:shd w:val="clear"/>
        <w:rPr>
          <w:rFonts w:hint="eastAsia"/>
          <w:highlight w:val="none"/>
        </w:rPr>
      </w:pPr>
    </w:p>
    <w:p>
      <w:pPr>
        <w:pStyle w:val="7"/>
        <w:numPr>
          <w:ilvl w:val="3"/>
          <w:numId w:val="0"/>
        </w:numPr>
        <w:shd w:val="clear"/>
        <w:ind w:leftChars="0" w:right="-27" w:rightChars="0"/>
        <w:outlineLvl w:val="9"/>
        <w:rPr>
          <w:rFonts w:hint="eastAsia"/>
          <w:highlight w:val="none"/>
        </w:rPr>
      </w:pPr>
    </w:p>
    <w:p>
      <w:pPr>
        <w:shd w:val="clear"/>
        <w:rPr>
          <w:rFonts w:hint="eastAsia"/>
          <w:highlight w:val="none"/>
        </w:rPr>
      </w:pPr>
    </w:p>
    <w:p>
      <w:pPr>
        <w:pStyle w:val="14"/>
        <w:shd w:val="clear"/>
        <w:rPr>
          <w:rFonts w:hint="eastAsia"/>
          <w:highlight w:val="none"/>
        </w:rPr>
      </w:pPr>
    </w:p>
    <w:p>
      <w:pPr>
        <w:pStyle w:val="7"/>
        <w:numPr>
          <w:ilvl w:val="3"/>
          <w:numId w:val="0"/>
        </w:numPr>
        <w:shd w:val="clear"/>
        <w:ind w:leftChars="0" w:right="-27" w:rightChars="0"/>
        <w:outlineLvl w:val="9"/>
        <w:rPr>
          <w:rFonts w:hint="eastAsia"/>
          <w:highlight w:val="none"/>
        </w:rPr>
      </w:pPr>
    </w:p>
    <w:p>
      <w:pPr>
        <w:shd w:val="clear"/>
        <w:tabs>
          <w:tab w:val="left" w:pos="840"/>
          <w:tab w:val="left" w:pos="1843"/>
        </w:tabs>
        <w:spacing w:before="0" w:after="0" w:afterAutospacing="0"/>
        <w:ind w:left="422" w:right="0" w:firstLine="0"/>
        <w:jc w:val="center"/>
        <w:outlineLvl w:val="9"/>
        <w:rPr>
          <w:rFonts w:ascii="宋体" w:hAnsi="宋体"/>
          <w:b/>
          <w:highlight w:val="none"/>
        </w:rPr>
      </w:pPr>
    </w:p>
    <w:p>
      <w:pPr>
        <w:shd w:val="clear"/>
        <w:ind w:left="0" w:leftChars="0" w:firstLine="0" w:firstLineChars="0"/>
        <w:rPr>
          <w:highlight w:val="none"/>
        </w:rPr>
      </w:pPr>
    </w:p>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Pr>
        <w:pStyle w:val="14"/>
        <w:shd w:val="clear"/>
        <w:spacing w:line="360" w:lineRule="auto"/>
        <w:outlineLvl w:val="9"/>
        <w:rPr>
          <w:rFonts w:hint="eastAsia" w:hAnsi="宋体"/>
          <w:b/>
          <w:sz w:val="24"/>
          <w:szCs w:val="24"/>
          <w:highlight w:val="none"/>
        </w:rPr>
      </w:pPr>
      <w:bookmarkStart w:id="1785" w:name="_Toc10097"/>
      <w:bookmarkStart w:id="1786" w:name="_Toc21643"/>
      <w:bookmarkStart w:id="1787" w:name="_Toc31430"/>
    </w:p>
    <w:p>
      <w:pPr>
        <w:pStyle w:val="14"/>
        <w:shd w:val="clear"/>
        <w:spacing w:line="360" w:lineRule="auto"/>
        <w:outlineLvl w:val="1"/>
        <w:rPr>
          <w:rFonts w:hAnsi="宋体"/>
          <w:b/>
          <w:sz w:val="24"/>
          <w:szCs w:val="24"/>
          <w:highlight w:val="none"/>
        </w:rPr>
      </w:pPr>
      <w:bookmarkStart w:id="1788" w:name="_Toc31505"/>
      <w:bookmarkStart w:id="1789" w:name="_Toc7098"/>
      <w:bookmarkStart w:id="1790" w:name="_Toc11794"/>
      <w:bookmarkStart w:id="1791" w:name="_Toc24310"/>
      <w:bookmarkStart w:id="1792" w:name="_Toc27967"/>
      <w:bookmarkStart w:id="1793" w:name="_Toc15955"/>
      <w:bookmarkStart w:id="1794" w:name="_Toc11085"/>
      <w:r>
        <w:rPr>
          <w:rFonts w:hint="eastAsia" w:hAnsi="宋体"/>
          <w:b/>
          <w:sz w:val="24"/>
          <w:szCs w:val="24"/>
          <w:highlight w:val="none"/>
        </w:rPr>
        <w:t>五、技术规格书</w:t>
      </w:r>
      <w:bookmarkEnd w:id="1785"/>
      <w:bookmarkEnd w:id="1786"/>
      <w:bookmarkEnd w:id="1787"/>
      <w:bookmarkEnd w:id="1788"/>
      <w:bookmarkEnd w:id="1789"/>
      <w:bookmarkEnd w:id="1790"/>
      <w:bookmarkEnd w:id="1791"/>
      <w:bookmarkEnd w:id="1792"/>
      <w:bookmarkEnd w:id="1793"/>
      <w:bookmarkEnd w:id="1794"/>
    </w:p>
    <w:p>
      <w:pPr>
        <w:shd w:val="clear"/>
        <w:rPr>
          <w:rFonts w:ascii="宋体" w:hAnsi="宋体"/>
          <w:highlight w:val="none"/>
        </w:rPr>
      </w:pPr>
    </w:p>
    <w:p>
      <w:pPr>
        <w:pStyle w:val="14"/>
        <w:shd w:val="clear"/>
        <w:jc w:val="center"/>
        <w:rPr>
          <w:rFonts w:hAnsi="宋体"/>
          <w:b/>
          <w:sz w:val="24"/>
          <w:szCs w:val="24"/>
          <w:highlight w:val="none"/>
        </w:rPr>
      </w:pPr>
    </w:p>
    <w:p>
      <w:pPr>
        <w:pStyle w:val="7"/>
        <w:numPr>
          <w:ilvl w:val="3"/>
          <w:numId w:val="0"/>
        </w:numPr>
        <w:shd w:val="clear"/>
        <w:ind w:leftChars="0" w:right="-27" w:rightChars="0"/>
        <w:outlineLvl w:val="9"/>
        <w:rPr>
          <w:rFonts w:hAnsi="宋体"/>
          <w:b/>
          <w:sz w:val="24"/>
          <w:szCs w:val="24"/>
          <w:highlight w:val="none"/>
        </w:rPr>
      </w:pPr>
    </w:p>
    <w:p>
      <w:pPr>
        <w:shd w:val="clear"/>
        <w:rPr>
          <w:rFonts w:hAnsi="宋体"/>
          <w:b/>
          <w:sz w:val="24"/>
          <w:szCs w:val="24"/>
          <w:highlight w:val="none"/>
        </w:rPr>
      </w:pPr>
    </w:p>
    <w:p>
      <w:pPr>
        <w:pStyle w:val="14"/>
        <w:shd w:val="clear"/>
        <w:rPr>
          <w:rFonts w:hAnsi="宋体"/>
          <w:b/>
          <w:sz w:val="24"/>
          <w:szCs w:val="24"/>
          <w:highlight w:val="none"/>
        </w:rPr>
      </w:pPr>
    </w:p>
    <w:p>
      <w:pPr>
        <w:pStyle w:val="7"/>
        <w:numPr>
          <w:ilvl w:val="3"/>
          <w:numId w:val="0"/>
        </w:numPr>
        <w:shd w:val="clear"/>
        <w:ind w:leftChars="0" w:right="-27" w:rightChars="0"/>
        <w:outlineLvl w:val="9"/>
        <w:rPr>
          <w:highlight w:val="none"/>
        </w:rPr>
      </w:pPr>
    </w:p>
    <w:p>
      <w:pPr>
        <w:shd w:val="clear"/>
        <w:rPr>
          <w:rFonts w:hAnsi="宋体"/>
          <w:b/>
          <w:sz w:val="24"/>
          <w:szCs w:val="24"/>
          <w:highlight w:val="none"/>
        </w:rPr>
      </w:pPr>
    </w:p>
    <w:p>
      <w:pPr>
        <w:pStyle w:val="14"/>
        <w:shd w:val="clear"/>
        <w:rPr>
          <w:rFonts w:hAnsi="宋体"/>
          <w:b/>
          <w:sz w:val="24"/>
          <w:szCs w:val="24"/>
          <w:highlight w:val="none"/>
        </w:rPr>
      </w:pPr>
    </w:p>
    <w:p>
      <w:pPr>
        <w:pStyle w:val="7"/>
        <w:numPr>
          <w:ilvl w:val="3"/>
          <w:numId w:val="0"/>
        </w:numPr>
        <w:shd w:val="clear"/>
        <w:ind w:leftChars="0" w:right="-27" w:rightChars="0"/>
        <w:outlineLvl w:val="9"/>
        <w:rPr>
          <w:highlight w:val="none"/>
        </w:rPr>
      </w:pPr>
    </w:p>
    <w:p>
      <w:pPr>
        <w:shd w:val="clear"/>
        <w:rPr>
          <w:rFonts w:hAnsi="宋体"/>
          <w:b/>
          <w:sz w:val="24"/>
          <w:szCs w:val="24"/>
          <w:highlight w:val="none"/>
        </w:rPr>
      </w:pPr>
    </w:p>
    <w:p>
      <w:pPr>
        <w:pStyle w:val="14"/>
        <w:shd w:val="clear"/>
        <w:rPr>
          <w:rFonts w:hAnsi="宋体"/>
          <w:b/>
          <w:sz w:val="24"/>
          <w:szCs w:val="24"/>
          <w:highlight w:val="none"/>
        </w:rPr>
      </w:pPr>
    </w:p>
    <w:p>
      <w:pPr>
        <w:pStyle w:val="7"/>
        <w:numPr>
          <w:ilvl w:val="3"/>
          <w:numId w:val="0"/>
        </w:numPr>
        <w:shd w:val="clear"/>
        <w:ind w:leftChars="0" w:right="-27" w:rightChars="0"/>
        <w:outlineLvl w:val="9"/>
        <w:rPr>
          <w:highlight w:val="none"/>
        </w:rPr>
      </w:pPr>
    </w:p>
    <w:p>
      <w:pPr>
        <w:shd w:val="clear"/>
        <w:rPr>
          <w:highlight w:val="none"/>
        </w:rPr>
      </w:pPr>
    </w:p>
    <w:p>
      <w:pPr>
        <w:pStyle w:val="14"/>
        <w:shd w:val="clear"/>
        <w:rPr>
          <w:highlight w:val="none"/>
        </w:rPr>
      </w:pPr>
    </w:p>
    <w:p>
      <w:pPr>
        <w:pStyle w:val="7"/>
        <w:numPr>
          <w:ilvl w:val="3"/>
          <w:numId w:val="0"/>
        </w:numPr>
        <w:shd w:val="clear"/>
        <w:ind w:leftChars="0" w:right="-27" w:rightChars="0"/>
        <w:outlineLvl w:val="9"/>
        <w:rPr>
          <w:highlight w:val="none"/>
        </w:rPr>
      </w:pPr>
    </w:p>
    <w:p>
      <w:pPr>
        <w:shd w:val="clear"/>
        <w:rPr>
          <w:highlight w:val="none"/>
        </w:rPr>
      </w:pPr>
    </w:p>
    <w:p>
      <w:pPr>
        <w:shd w:val="clear"/>
        <w:ind w:left="0" w:leftChars="0" w:firstLine="0" w:firstLineChars="0"/>
        <w:rPr>
          <w:rFonts w:hint="eastAsia"/>
          <w:highlight w:val="none"/>
        </w:rPr>
      </w:pPr>
      <w:bookmarkStart w:id="1795" w:name="_Toc28768"/>
      <w:bookmarkStart w:id="1796" w:name="_Toc27753"/>
      <w:bookmarkStart w:id="1797" w:name="_Toc7800"/>
      <w:bookmarkStart w:id="1798" w:name="_Toc29546"/>
      <w:bookmarkStart w:id="1799" w:name="_Toc17396"/>
      <w:bookmarkStart w:id="1800" w:name="_Toc25306"/>
      <w:bookmarkStart w:id="1801" w:name="_Toc6151"/>
      <w:bookmarkStart w:id="1802" w:name="_Toc17261"/>
      <w:bookmarkStart w:id="1803" w:name="_Toc32011"/>
      <w:bookmarkStart w:id="1804" w:name="_Toc31873"/>
      <w:bookmarkStart w:id="1805" w:name="_Toc28285"/>
      <w:bookmarkStart w:id="1806" w:name="_Toc30920"/>
      <w:bookmarkStart w:id="1807" w:name="_Toc14790"/>
      <w:bookmarkStart w:id="1808" w:name="_Toc27263"/>
      <w:bookmarkStart w:id="1809" w:name="_Toc13167"/>
      <w:bookmarkStart w:id="1810" w:name="_Toc31574"/>
      <w:bookmarkStart w:id="1811" w:name="_Toc4374"/>
      <w:bookmarkStart w:id="1812" w:name="_Toc11320"/>
      <w:bookmarkStart w:id="1813" w:name="_Toc21689"/>
      <w:bookmarkStart w:id="1814" w:name="_Toc28677"/>
    </w:p>
    <w:p>
      <w:pPr>
        <w:pStyle w:val="7"/>
        <w:numPr>
          <w:ilvl w:val="3"/>
          <w:numId w:val="0"/>
        </w:numPr>
        <w:shd w:val="clear"/>
        <w:ind w:leftChars="0" w:right="-27" w:rightChars="0"/>
        <w:outlineLvl w:val="9"/>
        <w:rPr>
          <w:rFonts w:hint="eastAsia"/>
          <w:highlight w:val="none"/>
        </w:rPr>
      </w:pPr>
    </w:p>
    <w:p>
      <w:pPr>
        <w:shd w:val="clear"/>
        <w:rPr>
          <w:rFonts w:hint="eastAsia"/>
          <w:highlight w:val="none"/>
        </w:rPr>
      </w:pPr>
    </w:p>
    <w:p>
      <w:pPr>
        <w:pStyle w:val="14"/>
        <w:numPr>
          <w:ilvl w:val="0"/>
          <w:numId w:val="9"/>
        </w:numPr>
        <w:shd w:val="clear"/>
        <w:spacing w:line="360" w:lineRule="auto"/>
        <w:ind w:left="0" w:leftChars="0" w:firstLine="0" w:firstLineChars="0"/>
        <w:outlineLvl w:val="1"/>
        <w:rPr>
          <w:rFonts w:hint="eastAsia" w:hAnsi="宋体"/>
          <w:b/>
          <w:sz w:val="32"/>
          <w:szCs w:val="32"/>
          <w:highlight w:val="none"/>
        </w:rPr>
      </w:pPr>
      <w:bookmarkStart w:id="1815" w:name="_Toc28362"/>
      <w:bookmarkStart w:id="1816" w:name="_Toc26593"/>
      <w:bookmarkStart w:id="1817" w:name="_Toc28147"/>
      <w:bookmarkStart w:id="1818" w:name="_Toc24179"/>
      <w:bookmarkStart w:id="1819" w:name="_Toc15552"/>
      <w:bookmarkStart w:id="1820" w:name="_Toc18665"/>
      <w:bookmarkStart w:id="1821" w:name="_Toc28047"/>
      <w:r>
        <w:rPr>
          <w:rFonts w:hint="eastAsia" w:hAnsi="宋体"/>
          <w:b/>
          <w:sz w:val="32"/>
          <w:szCs w:val="32"/>
          <w:highlight w:val="none"/>
        </w:rPr>
        <w:t>合同附件及格式</w:t>
      </w:r>
      <w:bookmarkEnd w:id="1795"/>
      <w:bookmarkEnd w:id="1796"/>
      <w:bookmarkEnd w:id="1797"/>
      <w:bookmarkEnd w:id="1815"/>
      <w:bookmarkEnd w:id="1816"/>
      <w:bookmarkEnd w:id="1817"/>
      <w:bookmarkEnd w:id="1818"/>
      <w:bookmarkEnd w:id="1819"/>
      <w:bookmarkEnd w:id="1820"/>
      <w:bookmarkEnd w:id="1821"/>
    </w:p>
    <w:p>
      <w:pPr>
        <w:shd w:val="clear"/>
        <w:tabs>
          <w:tab w:val="left" w:pos="1134"/>
          <w:tab w:val="left" w:pos="8364"/>
        </w:tabs>
        <w:ind w:right="-57"/>
        <w:rPr>
          <w:rFonts w:ascii="宋体" w:hAnsi="宋体"/>
          <w:sz w:val="24"/>
          <w:szCs w:val="24"/>
          <w:highlight w:val="none"/>
        </w:rPr>
      </w:pPr>
      <w:r>
        <w:rPr>
          <w:rFonts w:hint="eastAsia" w:ascii="宋体" w:hAnsi="宋体"/>
          <w:b/>
          <w:sz w:val="24"/>
          <w:szCs w:val="24"/>
          <w:highlight w:val="none"/>
        </w:rPr>
        <w:t>附件1：</w:t>
      </w:r>
    </w:p>
    <w:p>
      <w:pPr>
        <w:shd w:val="clear"/>
        <w:ind w:right="-57"/>
        <w:jc w:val="center"/>
        <w:outlineLvl w:val="0"/>
        <w:rPr>
          <w:rFonts w:hint="eastAsia"/>
          <w:highlight w:val="none"/>
        </w:rPr>
      </w:pPr>
      <w:bookmarkStart w:id="1822" w:name="_Toc10331"/>
      <w:bookmarkStart w:id="1823" w:name="_Toc26402"/>
      <w:bookmarkStart w:id="1824" w:name="_Toc21250"/>
      <w:bookmarkStart w:id="1825" w:name="_Toc23410"/>
      <w:bookmarkStart w:id="1826" w:name="_Toc19042"/>
      <w:bookmarkStart w:id="1827" w:name="_Toc22780"/>
      <w:bookmarkStart w:id="1828" w:name="_Toc7095"/>
      <w:bookmarkStart w:id="1829" w:name="_Toc19962"/>
      <w:bookmarkStart w:id="1830" w:name="_Toc3469"/>
      <w:r>
        <w:rPr>
          <w:rFonts w:hint="eastAsia" w:ascii="宋体" w:hAnsi="宋体"/>
          <w:b/>
          <w:sz w:val="24"/>
          <w:szCs w:val="24"/>
          <w:highlight w:val="none"/>
        </w:rPr>
        <w:t>银行</w:t>
      </w:r>
      <w:r>
        <w:rPr>
          <w:rFonts w:ascii="宋体" w:hAnsi="宋体"/>
          <w:b/>
          <w:sz w:val="24"/>
          <w:szCs w:val="24"/>
          <w:highlight w:val="none"/>
        </w:rPr>
        <w:t>保函</w:t>
      </w:r>
      <w:r>
        <w:rPr>
          <w:rFonts w:hint="eastAsia" w:ascii="宋体" w:hAnsi="宋体"/>
          <w:b/>
          <w:sz w:val="24"/>
          <w:szCs w:val="24"/>
          <w:highlight w:val="none"/>
        </w:rPr>
        <w:t>（中选后提供）</w:t>
      </w:r>
      <w:bookmarkEnd w:id="1822"/>
      <w:bookmarkEnd w:id="1823"/>
      <w:bookmarkEnd w:id="1824"/>
      <w:bookmarkEnd w:id="1825"/>
      <w:bookmarkEnd w:id="1826"/>
      <w:bookmarkEnd w:id="1827"/>
      <w:bookmarkEnd w:id="1828"/>
      <w:bookmarkEnd w:id="1829"/>
      <w:bookmarkEnd w:id="1830"/>
    </w:p>
    <w:p>
      <w:pPr>
        <w:widowControl w:val="0"/>
        <w:shd w:val="clear"/>
        <w:ind w:right="-57"/>
        <w:jc w:val="both"/>
        <w:rPr>
          <w:rFonts w:ascii="宋体" w:hAnsi="宋体" w:eastAsia="宋体" w:cs="Courier New"/>
          <w:spacing w:val="20"/>
          <w:kern w:val="2"/>
          <w:sz w:val="21"/>
          <w:szCs w:val="21"/>
          <w:highlight w:val="none"/>
          <w:lang w:val="en-US" w:eastAsia="zh-CN" w:bidi="ar-SA"/>
        </w:rPr>
      </w:pPr>
      <w:r>
        <w:rPr>
          <w:rFonts w:hint="eastAsia" w:ascii="宋体" w:hAnsi="宋体" w:eastAsia="宋体" w:cs="Courier New"/>
          <w:spacing w:val="20"/>
          <w:kern w:val="2"/>
          <w:sz w:val="21"/>
          <w:szCs w:val="21"/>
          <w:highlight w:val="none"/>
          <w:lang w:val="en-US" w:eastAsia="zh-CN" w:bidi="ar-SA"/>
        </w:rPr>
        <w:t>保函编号：</w:t>
      </w:r>
    </w:p>
    <w:p>
      <w:pPr>
        <w:widowControl w:val="0"/>
        <w:shd w:val="clear"/>
        <w:autoSpaceDE w:val="0"/>
        <w:autoSpaceDN w:val="0"/>
        <w:spacing w:before="0" w:after="0" w:afterAutospacing="0" w:line="240" w:lineRule="auto"/>
        <w:ind w:left="0" w:right="-57" w:firstLine="0"/>
        <w:jc w:val="left"/>
        <w:rPr>
          <w:rFonts w:ascii="宋体" w:hAnsi="宋体" w:cs="黑体"/>
          <w:kern w:val="2"/>
          <w:szCs w:val="22"/>
          <w:highlight w:val="none"/>
        </w:rPr>
      </w:pPr>
      <w:r>
        <w:rPr>
          <w:rFonts w:hint="eastAsia" w:ascii="宋体" w:hAnsi="宋体" w:cs="黑体"/>
          <w:kern w:val="2"/>
          <w:szCs w:val="22"/>
          <w:highlight w:val="none"/>
        </w:rPr>
        <w:t>致：南宁轨道交通运营有限公司</w:t>
      </w:r>
    </w:p>
    <w:p>
      <w:pPr>
        <w:widowControl w:val="0"/>
        <w:shd w:val="clear"/>
        <w:autoSpaceDE w:val="0"/>
        <w:autoSpaceDN w:val="0"/>
        <w:spacing w:before="0" w:after="0" w:afterAutospacing="0" w:line="240" w:lineRule="auto"/>
        <w:ind w:left="0" w:right="0" w:firstLine="409" w:firstLineChars="195"/>
        <w:jc w:val="left"/>
        <w:rPr>
          <w:rFonts w:ascii="宋体" w:hAnsi="宋体" w:cs="黑体"/>
          <w:kern w:val="2"/>
          <w:szCs w:val="22"/>
          <w:highlight w:val="none"/>
        </w:rPr>
      </w:pPr>
      <w:r>
        <w:rPr>
          <w:rFonts w:hint="eastAsia" w:ascii="宋体" w:hAnsi="宋体" w:cs="黑体"/>
          <w:kern w:val="2"/>
          <w:szCs w:val="22"/>
          <w:highlight w:val="none"/>
        </w:rPr>
        <w:t>鉴于贵方已于年月日发出中选通知书，本保函作为贵方将与</w:t>
      </w:r>
      <w:r>
        <w:rPr>
          <w:rFonts w:hint="eastAsia" w:ascii="宋体" w:hAnsi="宋体" w:cs="黑体"/>
          <w:kern w:val="2"/>
          <w:szCs w:val="22"/>
          <w:highlight w:val="none"/>
          <w:u w:val="single"/>
        </w:rPr>
        <w:t xml:space="preserve">   （乙方名称） </w:t>
      </w:r>
      <w:r>
        <w:rPr>
          <w:rFonts w:hint="eastAsia" w:ascii="宋体" w:hAnsi="宋体" w:cs="黑体"/>
          <w:kern w:val="2"/>
          <w:szCs w:val="22"/>
          <w:highlight w:val="none"/>
        </w:rPr>
        <w:t>（以下简称“乙方”）签订的</w:t>
      </w:r>
      <w:r>
        <w:rPr>
          <w:rFonts w:hint="eastAsia" w:ascii="宋体" w:hAnsi="宋体" w:cs="黑体"/>
          <w:kern w:val="2"/>
          <w:szCs w:val="22"/>
          <w:highlight w:val="none"/>
          <w:u w:val="single"/>
        </w:rPr>
        <w:t xml:space="preserve">  （项目名称）   </w:t>
      </w:r>
      <w:r>
        <w:rPr>
          <w:rFonts w:hint="eastAsia" w:ascii="宋体" w:hAnsi="宋体" w:cs="黑体"/>
          <w:kern w:val="2"/>
          <w:szCs w:val="22"/>
          <w:highlight w:val="none"/>
        </w:rPr>
        <w:t>以下简称“本项目”）合同（中选价格￥元，大写：元）的银行保函。</w:t>
      </w:r>
    </w:p>
    <w:p>
      <w:pPr>
        <w:widowControl w:val="0"/>
        <w:shd w:val="clear"/>
        <w:autoSpaceDE w:val="0"/>
        <w:autoSpaceDN w:val="0"/>
        <w:spacing w:before="0" w:after="0" w:afterAutospacing="0" w:line="240" w:lineRule="auto"/>
        <w:ind w:left="0" w:right="0" w:firstLine="409" w:firstLineChars="195"/>
        <w:jc w:val="left"/>
        <w:rPr>
          <w:rFonts w:ascii="宋体" w:hAnsi="宋体" w:cs="黑体"/>
          <w:kern w:val="2"/>
          <w:szCs w:val="22"/>
          <w:highlight w:val="none"/>
        </w:rPr>
      </w:pPr>
      <w:r>
        <w:rPr>
          <w:rFonts w:hint="eastAsia" w:ascii="宋体" w:hAnsi="宋体" w:cs="黑体"/>
          <w:kern w:val="2"/>
          <w:szCs w:val="22"/>
          <w:highlight w:val="none"/>
        </w:rPr>
        <w:t>我方</w:t>
      </w:r>
      <w:r>
        <w:rPr>
          <w:rFonts w:hint="eastAsia" w:ascii="宋体" w:hAnsi="宋体" w:cs="黑体"/>
          <w:kern w:val="2"/>
          <w:szCs w:val="22"/>
          <w:highlight w:val="none"/>
          <w:u w:val="single"/>
        </w:rPr>
        <w:t>（担保人名称    ）</w:t>
      </w:r>
      <w:r>
        <w:rPr>
          <w:rFonts w:hint="eastAsia" w:ascii="宋体" w:hAnsi="宋体" w:cs="黑体"/>
          <w:kern w:val="2"/>
          <w:szCs w:val="22"/>
          <w:highlight w:val="none"/>
        </w:rPr>
        <w:t>，受该乙方委托，为该乙方履行上述合同规定的义务做出如下无条件地和不可撤销的保证：</w:t>
      </w:r>
    </w:p>
    <w:p>
      <w:pPr>
        <w:widowControl w:val="0"/>
        <w:shd w:val="clear"/>
        <w:autoSpaceDE w:val="0"/>
        <w:autoSpaceDN w:val="0"/>
        <w:spacing w:before="0" w:after="0" w:afterAutospacing="0" w:line="240" w:lineRule="auto"/>
        <w:ind w:left="0" w:right="0" w:firstLine="409" w:firstLineChars="195"/>
        <w:jc w:val="left"/>
        <w:rPr>
          <w:rFonts w:ascii="宋体" w:hAnsi="宋体" w:cs="黑体"/>
          <w:kern w:val="2"/>
          <w:szCs w:val="22"/>
          <w:highlight w:val="none"/>
        </w:rPr>
      </w:pPr>
      <w:r>
        <w:rPr>
          <w:rFonts w:hint="eastAsia" w:ascii="宋体" w:hAnsi="宋体" w:cs="黑体"/>
          <w:kern w:val="2"/>
          <w:szCs w:val="22"/>
          <w:highlight w:val="none"/>
        </w:rPr>
        <w:t>我方在收到贵方提出要求支付保证金的通知时，无须提出任何证明或证据，将于7日内无条件地和不可改变地向贵方支付不超过人民币元（大写：</w:t>
      </w:r>
      <w:r>
        <w:rPr>
          <w:rFonts w:hint="eastAsia" w:ascii="宋体" w:hAnsi="宋体" w:cs="黑体"/>
          <w:kern w:val="2"/>
          <w:szCs w:val="22"/>
          <w:highlight w:val="none"/>
          <w:lang w:val="en-US" w:eastAsia="zh-CN"/>
        </w:rPr>
        <w:t xml:space="preserve"> </w:t>
      </w:r>
      <w:r>
        <w:rPr>
          <w:rFonts w:hint="eastAsia" w:ascii="宋体" w:hAnsi="宋体" w:cs="黑体"/>
          <w:kern w:val="2"/>
          <w:szCs w:val="22"/>
          <w:highlight w:val="none"/>
        </w:rPr>
        <w:t>）的任何要求金额，我方不要求贵方证实其在索赔要求中指出的违约情况。</w:t>
      </w:r>
    </w:p>
    <w:p>
      <w:pPr>
        <w:widowControl w:val="0"/>
        <w:shd w:val="clear"/>
        <w:autoSpaceDE w:val="0"/>
        <w:autoSpaceDN w:val="0"/>
        <w:spacing w:before="0" w:after="0" w:afterAutospacing="0" w:line="240" w:lineRule="auto"/>
        <w:ind w:left="0" w:right="0" w:firstLine="409" w:firstLineChars="195"/>
        <w:jc w:val="left"/>
        <w:rPr>
          <w:rFonts w:ascii="宋体" w:hAnsi="宋体" w:cs="黑体"/>
          <w:kern w:val="2"/>
          <w:szCs w:val="22"/>
          <w:highlight w:val="none"/>
        </w:rPr>
      </w:pPr>
      <w:r>
        <w:rPr>
          <w:rFonts w:hint="eastAsia" w:ascii="宋体" w:hAnsi="宋体" w:cs="黑体"/>
          <w:kern w:val="2"/>
          <w:szCs w:val="22"/>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val="0"/>
        <w:shd w:val="clear"/>
        <w:autoSpaceDE w:val="0"/>
        <w:autoSpaceDN w:val="0"/>
        <w:spacing w:before="0" w:after="0" w:afterAutospacing="0" w:line="240" w:lineRule="auto"/>
        <w:ind w:left="0" w:right="0" w:firstLine="407" w:firstLineChars="194"/>
        <w:jc w:val="left"/>
        <w:rPr>
          <w:rFonts w:ascii="宋体" w:hAnsi="宋体" w:cs="黑体"/>
          <w:kern w:val="2"/>
          <w:szCs w:val="22"/>
          <w:highlight w:val="none"/>
        </w:rPr>
      </w:pPr>
      <w:r>
        <w:rPr>
          <w:rFonts w:hint="eastAsia" w:ascii="宋体" w:hAnsi="宋体" w:cs="黑体"/>
          <w:kern w:val="2"/>
          <w:szCs w:val="22"/>
          <w:highlight w:val="none"/>
        </w:rPr>
        <w:t>本保函项下所有权利和义务均适用于中华人民共和国法律。</w:t>
      </w:r>
    </w:p>
    <w:p>
      <w:pPr>
        <w:widowControl w:val="0"/>
        <w:shd w:val="clear"/>
        <w:autoSpaceDE w:val="0"/>
        <w:autoSpaceDN w:val="0"/>
        <w:spacing w:before="0" w:after="0" w:afterAutospacing="0" w:line="240" w:lineRule="auto"/>
        <w:ind w:left="0" w:right="-57" w:firstLine="407" w:firstLineChars="194"/>
        <w:jc w:val="left"/>
        <w:rPr>
          <w:rFonts w:ascii="宋体" w:hAnsi="宋体" w:cs="黑体"/>
          <w:kern w:val="2"/>
          <w:szCs w:val="22"/>
          <w:highlight w:val="none"/>
        </w:rPr>
      </w:pPr>
      <w:r>
        <w:rPr>
          <w:rFonts w:hint="eastAsia" w:ascii="宋体" w:hAnsi="宋体" w:cs="黑体"/>
          <w:kern w:val="2"/>
          <w:szCs w:val="22"/>
          <w:highlight w:val="none"/>
        </w:rPr>
        <w:t>1、本保函自</w:t>
      </w:r>
      <w:r>
        <w:rPr>
          <w:rFonts w:hint="eastAsia" w:ascii="宋体" w:hAnsi="宋体" w:cs="黑体"/>
          <w:kern w:val="2"/>
          <w:szCs w:val="22"/>
          <w:highlight w:val="none"/>
          <w:u w:val="single"/>
        </w:rPr>
        <w:t>X年X月X日</w:t>
      </w:r>
      <w:r>
        <w:rPr>
          <w:rFonts w:hint="eastAsia" w:ascii="宋体" w:hAnsi="宋体" w:cs="黑体"/>
          <w:kern w:val="2"/>
          <w:szCs w:val="22"/>
          <w:highlight w:val="none"/>
        </w:rPr>
        <w:t>起生效，至</w:t>
      </w:r>
      <w:r>
        <w:rPr>
          <w:rFonts w:hint="eastAsia" w:ascii="宋体" w:hAnsi="宋体" w:cs="黑体"/>
          <w:kern w:val="2"/>
          <w:szCs w:val="22"/>
          <w:highlight w:val="none"/>
          <w:u w:val="single"/>
        </w:rPr>
        <w:t>本合同维保项目完成结算之日后四十五（45）天一直有效</w:t>
      </w:r>
      <w:r>
        <w:rPr>
          <w:rFonts w:hint="eastAsia" w:ascii="宋体" w:hAnsi="宋体" w:cs="黑体"/>
          <w:kern w:val="2"/>
          <w:szCs w:val="22"/>
          <w:highlight w:val="none"/>
        </w:rPr>
        <w:t>，你方有权提前终止或解除本保函。保函失效后请将本保函退回我方注销。</w:t>
      </w:r>
    </w:p>
    <w:p>
      <w:pPr>
        <w:widowControl w:val="0"/>
        <w:shd w:val="clear"/>
        <w:autoSpaceDE w:val="0"/>
        <w:autoSpaceDN w:val="0"/>
        <w:spacing w:before="0" w:after="0" w:afterAutospacing="0" w:line="240" w:lineRule="auto"/>
        <w:ind w:left="0" w:right="-57" w:firstLine="407" w:firstLineChars="194"/>
        <w:jc w:val="left"/>
        <w:rPr>
          <w:rFonts w:ascii="宋体" w:hAnsi="宋体" w:cs="黑体"/>
          <w:kern w:val="2"/>
          <w:szCs w:val="22"/>
          <w:highlight w:val="none"/>
        </w:rPr>
      </w:pPr>
      <w:r>
        <w:rPr>
          <w:rFonts w:hint="eastAsia" w:ascii="宋体" w:hAnsi="宋体" w:cs="黑体"/>
          <w:kern w:val="2"/>
          <w:szCs w:val="22"/>
          <w:highlight w:val="none"/>
        </w:rPr>
        <w:t>2、本保函自</w:t>
      </w:r>
      <w:r>
        <w:rPr>
          <w:rFonts w:hint="eastAsia" w:ascii="宋体" w:hAnsi="宋体" w:cs="黑体"/>
          <w:kern w:val="2"/>
          <w:szCs w:val="22"/>
          <w:highlight w:val="none"/>
          <w:u w:val="single"/>
        </w:rPr>
        <w:t>X年X月X日</w:t>
      </w:r>
      <w:r>
        <w:rPr>
          <w:rFonts w:hint="eastAsia" w:ascii="宋体" w:hAnsi="宋体" w:cs="黑体"/>
          <w:kern w:val="2"/>
          <w:szCs w:val="22"/>
          <w:highlight w:val="none"/>
        </w:rPr>
        <w:t>起生效，至</w:t>
      </w:r>
      <w:r>
        <w:rPr>
          <w:rFonts w:hint="eastAsia" w:ascii="宋体" w:hAnsi="宋体" w:cs="黑体"/>
          <w:kern w:val="2"/>
          <w:szCs w:val="22"/>
          <w:highlight w:val="none"/>
          <w:u w:val="single"/>
        </w:rPr>
        <w:t>X年X月X日</w:t>
      </w:r>
      <w:r>
        <w:rPr>
          <w:rFonts w:hint="eastAsia" w:ascii="宋体" w:hAnsi="宋体" w:cs="Arial"/>
          <w:kern w:val="2"/>
          <w:szCs w:val="22"/>
          <w:highlight w:val="none"/>
        </w:rPr>
        <w:t>一直有效，</w:t>
      </w:r>
      <w:r>
        <w:rPr>
          <w:rFonts w:hint="eastAsia" w:ascii="宋体" w:hAnsi="宋体" w:cs="黑体"/>
          <w:kern w:val="2"/>
          <w:szCs w:val="22"/>
          <w:highlight w:val="none"/>
        </w:rPr>
        <w:t>你方有权提前终止或解除本保函。保函失效后请将本保函退回我方注销。</w:t>
      </w:r>
    </w:p>
    <w:p>
      <w:pPr>
        <w:widowControl w:val="0"/>
        <w:shd w:val="clear"/>
        <w:spacing w:before="0" w:after="0" w:afterAutospacing="0" w:line="240" w:lineRule="auto"/>
        <w:ind w:left="0" w:right="-57" w:firstLine="200"/>
        <w:rPr>
          <w:rFonts w:ascii="宋体" w:hAnsi="宋体" w:cs="黑体"/>
          <w:kern w:val="2"/>
          <w:szCs w:val="22"/>
          <w:highlight w:val="none"/>
        </w:rPr>
      </w:pPr>
      <w:r>
        <w:rPr>
          <w:rFonts w:hint="eastAsia" w:ascii="宋体" w:hAnsi="宋体" w:cs="黑体"/>
          <w:b/>
          <w:i/>
          <w:kern w:val="2"/>
          <w:szCs w:val="22"/>
          <w:highlight w:val="none"/>
        </w:rPr>
        <w:t>（开具保函时，以上二种方式，任选一种。）</w:t>
      </w:r>
    </w:p>
    <w:p>
      <w:pPr>
        <w:widowControl w:val="0"/>
        <w:shd w:val="clear"/>
        <w:spacing w:before="0" w:after="0" w:afterAutospacing="0" w:line="240" w:lineRule="auto"/>
        <w:ind w:left="0" w:right="-57" w:firstLine="420" w:firstLineChars="200"/>
        <w:rPr>
          <w:rFonts w:ascii="宋体" w:hAnsi="宋体" w:cs="Arial"/>
          <w:kern w:val="2"/>
          <w:szCs w:val="22"/>
          <w:highlight w:val="none"/>
        </w:rPr>
      </w:pPr>
      <w:r>
        <w:rPr>
          <w:rFonts w:hint="eastAsia" w:ascii="宋体" w:hAnsi="宋体" w:cs="黑体"/>
          <w:kern w:val="2"/>
          <w:szCs w:val="22"/>
          <w:highlight w:val="none"/>
        </w:rPr>
        <w:t>银行地址：               担保银行：</w:t>
      </w:r>
      <w:r>
        <w:rPr>
          <w:rFonts w:hint="eastAsia" w:ascii="宋体" w:hAnsi="宋体" w:cs="黑体"/>
          <w:kern w:val="2"/>
          <w:szCs w:val="22"/>
          <w:highlight w:val="none"/>
          <w:u w:val="single"/>
        </w:rPr>
        <w:t xml:space="preserve">（全称）    </w:t>
      </w:r>
      <w:r>
        <w:rPr>
          <w:rFonts w:hint="eastAsia" w:ascii="宋体" w:hAnsi="宋体" w:cs="黑体"/>
          <w:kern w:val="2"/>
          <w:szCs w:val="22"/>
          <w:highlight w:val="none"/>
        </w:rPr>
        <w:t>(盖章)</w:t>
      </w:r>
    </w:p>
    <w:p>
      <w:pPr>
        <w:widowControl w:val="0"/>
        <w:shd w:val="clear"/>
        <w:spacing w:before="0" w:after="0" w:afterAutospacing="0" w:line="240" w:lineRule="auto"/>
        <w:ind w:left="0" w:right="-57" w:firstLine="420" w:firstLineChars="200"/>
        <w:rPr>
          <w:rFonts w:ascii="宋体" w:hAnsi="宋体" w:cs="黑体"/>
          <w:kern w:val="2"/>
          <w:szCs w:val="22"/>
          <w:highlight w:val="none"/>
        </w:rPr>
      </w:pPr>
      <w:r>
        <w:rPr>
          <w:rFonts w:hint="eastAsia" w:ascii="宋体" w:hAnsi="宋体" w:cs="黑体"/>
          <w:kern w:val="2"/>
          <w:szCs w:val="22"/>
          <w:highlight w:val="none"/>
        </w:rPr>
        <w:t>邮编：                   法定代表人或（授权代理人）：(签字)</w:t>
      </w:r>
    </w:p>
    <w:p>
      <w:pPr>
        <w:widowControl w:val="0"/>
        <w:shd w:val="clear"/>
        <w:spacing w:before="0" w:after="0" w:afterAutospacing="0" w:line="240" w:lineRule="auto"/>
        <w:ind w:left="0" w:right="-57" w:firstLine="420" w:firstLineChars="200"/>
        <w:rPr>
          <w:rFonts w:ascii="宋体" w:hAnsi="宋体" w:cs="黑体"/>
          <w:kern w:val="2"/>
          <w:szCs w:val="22"/>
          <w:highlight w:val="none"/>
          <w:u w:val="single"/>
        </w:rPr>
      </w:pPr>
      <w:r>
        <w:rPr>
          <w:rFonts w:hint="eastAsia" w:ascii="宋体" w:hAnsi="宋体" w:cs="黑体"/>
          <w:kern w:val="2"/>
          <w:szCs w:val="22"/>
          <w:highlight w:val="none"/>
        </w:rPr>
        <w:t xml:space="preserve">电话：                   </w:t>
      </w:r>
      <w:r>
        <w:rPr>
          <w:rFonts w:hint="eastAsia" w:ascii="宋体" w:hAnsi="宋体" w:cs="黑体"/>
          <w:kern w:val="2"/>
          <w:szCs w:val="22"/>
          <w:highlight w:val="none"/>
          <w:u w:val="single"/>
        </w:rPr>
        <w:t>（职务）   （姓名）  （签字）</w:t>
      </w:r>
    </w:p>
    <w:p>
      <w:pPr>
        <w:widowControl w:val="0"/>
        <w:shd w:val="clear"/>
        <w:spacing w:before="0" w:after="0" w:afterAutospacing="0" w:line="240" w:lineRule="auto"/>
        <w:ind w:left="0" w:right="-57" w:firstLine="420" w:firstLineChars="200"/>
        <w:rPr>
          <w:rFonts w:ascii="宋体" w:hAnsi="宋体" w:cs="黑体"/>
          <w:kern w:val="2"/>
          <w:szCs w:val="22"/>
          <w:highlight w:val="none"/>
        </w:rPr>
      </w:pPr>
      <w:r>
        <w:rPr>
          <w:rFonts w:hint="eastAsia" w:ascii="宋体" w:hAnsi="宋体" w:cs="黑体"/>
          <w:kern w:val="2"/>
          <w:szCs w:val="22"/>
          <w:highlight w:val="none"/>
        </w:rPr>
        <w:t>传真：                   日期：   年   月   日</w:t>
      </w:r>
    </w:p>
    <w:p>
      <w:pPr>
        <w:pStyle w:val="7"/>
        <w:numPr>
          <w:ilvl w:val="3"/>
          <w:numId w:val="0"/>
        </w:numPr>
        <w:shd w:val="clear"/>
        <w:ind w:leftChars="0" w:right="-27" w:rightChars="0"/>
        <w:outlineLvl w:val="9"/>
        <w:rPr>
          <w:rFonts w:hint="eastAsia"/>
          <w:highlight w:val="none"/>
        </w:rPr>
      </w:pPr>
    </w:p>
    <w:p>
      <w:pPr>
        <w:pStyle w:val="7"/>
        <w:numPr>
          <w:ilvl w:val="3"/>
          <w:numId w:val="0"/>
        </w:numPr>
        <w:shd w:val="clear"/>
        <w:ind w:leftChars="0" w:right="-27" w:rightChars="0"/>
        <w:outlineLvl w:val="9"/>
        <w:rPr>
          <w:highlight w:val="none"/>
        </w:rPr>
      </w:pPr>
    </w:p>
    <w:p>
      <w:pPr>
        <w:pStyle w:val="14"/>
        <w:shd w:val="clear"/>
        <w:spacing w:line="360" w:lineRule="auto"/>
        <w:ind w:firstLine="400" w:firstLineChars="200"/>
        <w:rPr>
          <w:highlight w:val="none"/>
        </w:rPr>
      </w:pPr>
    </w:p>
    <w:p>
      <w:pPr>
        <w:shd w:val="clear"/>
        <w:ind w:right="-57"/>
        <w:jc w:val="center"/>
        <w:rPr>
          <w:rFonts w:hint="eastAsia" w:ascii="宋体" w:hAnsi="宋体"/>
          <w:b/>
          <w:sz w:val="24"/>
          <w:szCs w:val="24"/>
          <w:highlight w:val="none"/>
        </w:rPr>
      </w:pPr>
    </w:p>
    <w:p>
      <w:pPr>
        <w:shd w:val="clear"/>
        <w:ind w:right="-57"/>
        <w:jc w:val="center"/>
        <w:rPr>
          <w:rFonts w:hint="eastAsia" w:ascii="宋体" w:hAnsi="宋体"/>
          <w:b/>
          <w:sz w:val="24"/>
          <w:szCs w:val="24"/>
          <w:highlight w:val="none"/>
        </w:rPr>
      </w:pPr>
    </w:p>
    <w:p>
      <w:pPr>
        <w:shd w:val="clear"/>
        <w:ind w:right="-57"/>
        <w:jc w:val="center"/>
        <w:rPr>
          <w:rFonts w:hint="eastAsia" w:ascii="宋体" w:hAnsi="宋体"/>
          <w:b/>
          <w:sz w:val="24"/>
          <w:szCs w:val="24"/>
          <w:highlight w:val="none"/>
        </w:rPr>
      </w:pPr>
    </w:p>
    <w:p>
      <w:pPr>
        <w:shd w:val="clear"/>
        <w:ind w:right="-57"/>
        <w:jc w:val="center"/>
        <w:rPr>
          <w:rFonts w:hint="eastAsia" w:ascii="宋体" w:hAnsi="宋体"/>
          <w:b/>
          <w:sz w:val="24"/>
          <w:szCs w:val="24"/>
          <w:highlight w:val="none"/>
        </w:rPr>
      </w:pPr>
    </w:p>
    <w:p>
      <w:pPr>
        <w:shd w:val="clear"/>
        <w:ind w:right="-57"/>
        <w:jc w:val="center"/>
        <w:rPr>
          <w:rFonts w:hint="eastAsia" w:ascii="宋体" w:hAnsi="宋体"/>
          <w:b/>
          <w:sz w:val="24"/>
          <w:szCs w:val="24"/>
          <w:highlight w:val="none"/>
        </w:rPr>
      </w:pPr>
    </w:p>
    <w:p>
      <w:pPr>
        <w:shd w:val="clear"/>
        <w:ind w:right="-57"/>
        <w:jc w:val="center"/>
        <w:rPr>
          <w:rFonts w:hint="eastAsia" w:ascii="宋体" w:hAnsi="宋体"/>
          <w:b/>
          <w:sz w:val="24"/>
          <w:szCs w:val="24"/>
          <w:highlight w:val="none"/>
        </w:rPr>
      </w:pPr>
    </w:p>
    <w:p>
      <w:pPr>
        <w:pStyle w:val="14"/>
        <w:shd w:val="clear"/>
        <w:rPr>
          <w:rFonts w:hint="eastAsia"/>
          <w:highlight w:val="none"/>
        </w:rPr>
      </w:pPr>
    </w:p>
    <w:p>
      <w:pPr>
        <w:shd w:val="clear"/>
        <w:ind w:right="-57"/>
        <w:jc w:val="center"/>
        <w:rPr>
          <w:rFonts w:ascii="宋体" w:hAnsi="宋体"/>
          <w:b/>
          <w:sz w:val="24"/>
          <w:szCs w:val="24"/>
          <w:highlight w:val="none"/>
        </w:rPr>
      </w:pPr>
      <w:r>
        <w:rPr>
          <w:rFonts w:hint="eastAsia" w:ascii="宋体" w:hAnsi="宋体"/>
          <w:b/>
          <w:sz w:val="24"/>
          <w:szCs w:val="24"/>
          <w:highlight w:val="none"/>
        </w:rPr>
        <w:t>承诺函（中选后提供）</w:t>
      </w:r>
    </w:p>
    <w:p>
      <w:pPr>
        <w:shd w:val="clear"/>
        <w:ind w:right="-57"/>
        <w:rPr>
          <w:rFonts w:ascii="宋体" w:hAnsi="宋体"/>
          <w:highlight w:val="none"/>
        </w:rPr>
      </w:pPr>
    </w:p>
    <w:p>
      <w:pPr>
        <w:shd w:val="clear"/>
        <w:spacing w:line="480" w:lineRule="auto"/>
        <w:ind w:right="-57"/>
        <w:rPr>
          <w:rFonts w:ascii="宋体" w:hAnsi="宋体"/>
          <w:highlight w:val="none"/>
        </w:rPr>
      </w:pPr>
      <w:r>
        <w:rPr>
          <w:rFonts w:hint="eastAsia" w:ascii="宋体" w:hAnsi="宋体"/>
          <w:highlight w:val="none"/>
        </w:rPr>
        <w:t>南宁轨道交通运营有限公司：</w:t>
      </w:r>
    </w:p>
    <w:p>
      <w:pPr>
        <w:shd w:val="clear"/>
        <w:spacing w:line="480" w:lineRule="auto"/>
        <w:ind w:right="-57" w:firstLine="200"/>
        <w:rPr>
          <w:rFonts w:ascii="宋体" w:hAnsi="宋体"/>
          <w:highlight w:val="none"/>
        </w:rPr>
      </w:pPr>
      <w:r>
        <w:rPr>
          <w:rFonts w:hint="eastAsia" w:ascii="宋体" w:hAnsi="宋体"/>
          <w:highlight w:val="none"/>
        </w:rPr>
        <w:t>（以下称“本公司”）现已中选贵司比选的</w:t>
      </w:r>
      <w:r>
        <w:rPr>
          <w:rFonts w:hint="eastAsia" w:ascii="宋体" w:hAnsi="宋体"/>
          <w:highlight w:val="none"/>
          <w:u w:val="single"/>
        </w:rPr>
        <w:t xml:space="preserve">      （项目名称）</w:t>
      </w:r>
      <w:r>
        <w:rPr>
          <w:rFonts w:hint="eastAsia" w:ascii="宋体" w:hAnsi="宋体"/>
          <w:highlight w:val="none"/>
        </w:rPr>
        <w:t>，并拟签订正式合同，按合同规定需向贵司提供一份履约担保金额为人民币：</w:t>
      </w:r>
      <w:r>
        <w:rPr>
          <w:rFonts w:hint="eastAsia" w:ascii="宋体" w:hAnsi="宋体"/>
          <w:highlight w:val="none"/>
          <w:u w:val="single"/>
        </w:rPr>
        <w:t xml:space="preserve">         （￥   </w:t>
      </w:r>
      <w:r>
        <w:rPr>
          <w:rFonts w:hint="eastAsia" w:ascii="宋体" w:hAnsi="宋体"/>
          <w:highlight w:val="none"/>
        </w:rPr>
        <w:t>）的银行保函（保函编号：），有效期至X年X月X日。</w:t>
      </w:r>
    </w:p>
    <w:p>
      <w:pPr>
        <w:shd w:val="clear"/>
        <w:spacing w:line="480" w:lineRule="auto"/>
        <w:ind w:right="-57" w:firstLine="200"/>
        <w:rPr>
          <w:rFonts w:ascii="宋体" w:hAnsi="宋体"/>
          <w:highlight w:val="none"/>
        </w:rPr>
      </w:pPr>
      <w:r>
        <w:rPr>
          <w:rFonts w:hint="eastAsia" w:ascii="宋体" w:hAnsi="宋体"/>
          <w:highlight w:val="none"/>
        </w:rPr>
        <w:t>本公司现向贵司郑重承诺，如上述保函到期日仍未到合同约定的时间（</w:t>
      </w:r>
      <w:r>
        <w:rPr>
          <w:rFonts w:hint="eastAsia" w:ascii="宋体" w:hAnsi="宋体"/>
          <w:highlight w:val="none"/>
          <w:u w:val="single"/>
        </w:rPr>
        <w:t>完成结算之日后四十五（45）天</w:t>
      </w:r>
      <w:r>
        <w:rPr>
          <w:rFonts w:hint="eastAsia" w:ascii="宋体" w:hAnsi="宋体"/>
          <w:highlight w:val="none"/>
        </w:rPr>
        <w:t>），本公司将在保函到期前60天，无条件延长保函有效期。如未及时向贵司提供符合规定的银行保函，我司承担违约责任的一切后果。</w:t>
      </w:r>
    </w:p>
    <w:p>
      <w:pPr>
        <w:shd w:val="clear"/>
        <w:spacing w:line="480" w:lineRule="auto"/>
        <w:ind w:left="705" w:right="-57" w:hanging="285"/>
        <w:rPr>
          <w:rFonts w:ascii="宋体" w:hAnsi="宋体"/>
          <w:highlight w:val="none"/>
        </w:rPr>
      </w:pPr>
      <w:r>
        <w:rPr>
          <w:rFonts w:hint="eastAsia" w:ascii="宋体" w:hAnsi="宋体"/>
          <w:highlight w:val="none"/>
        </w:rPr>
        <w:t>特此承诺</w:t>
      </w:r>
    </w:p>
    <w:p>
      <w:pPr>
        <w:shd w:val="clear"/>
        <w:ind w:right="-57" w:firstLine="420"/>
        <w:rPr>
          <w:rFonts w:ascii="宋体" w:hAnsi="宋体"/>
          <w:highlight w:val="none"/>
        </w:rPr>
      </w:pPr>
    </w:p>
    <w:p>
      <w:pPr>
        <w:shd w:val="clear"/>
        <w:ind w:left="5040" w:right="-57" w:hanging="4935"/>
        <w:rPr>
          <w:rFonts w:ascii="宋体" w:hAnsi="宋体"/>
          <w:highlight w:val="none"/>
        </w:rPr>
      </w:pPr>
      <w:r>
        <w:rPr>
          <w:rFonts w:hint="eastAsia" w:ascii="宋体" w:hAnsi="宋体"/>
          <w:highlight w:val="none"/>
        </w:rPr>
        <w:t xml:space="preserve">                                                                    承诺人：</w:t>
      </w:r>
    </w:p>
    <w:p>
      <w:pPr>
        <w:shd w:val="clear"/>
        <w:ind w:left="4935" w:right="-57" w:hanging="4830"/>
        <w:rPr>
          <w:rFonts w:ascii="宋体" w:hAnsi="宋体"/>
          <w:highlight w:val="none"/>
        </w:rPr>
      </w:pPr>
      <w:r>
        <w:rPr>
          <w:rFonts w:hint="eastAsia" w:ascii="宋体" w:hAnsi="宋体"/>
          <w:highlight w:val="none"/>
        </w:rPr>
        <w:t xml:space="preserve">                                                                </w:t>
      </w:r>
      <w:r>
        <w:rPr>
          <w:rFonts w:hint="eastAsia" w:ascii="宋体" w:hAnsi="宋体"/>
          <w:highlight w:val="none"/>
          <w:lang w:val="en-US" w:eastAsia="zh-CN"/>
        </w:rPr>
        <w:t xml:space="preserve">  </w:t>
      </w:r>
      <w:r>
        <w:rPr>
          <w:rFonts w:hint="eastAsia" w:ascii="宋体" w:hAnsi="宋体"/>
          <w:highlight w:val="none"/>
        </w:rPr>
        <w:t>X年X月X日</w:t>
      </w:r>
    </w:p>
    <w:p>
      <w:pPr>
        <w:shd w:val="clear"/>
        <w:ind w:right="-57"/>
        <w:rPr>
          <w:rFonts w:ascii="宋体" w:hAnsi="宋体"/>
          <w:highlight w:val="none"/>
        </w:rPr>
      </w:pPr>
    </w:p>
    <w:p>
      <w:pPr>
        <w:shd w:val="clear"/>
        <w:ind w:right="-57" w:firstLine="200"/>
        <w:rPr>
          <w:rFonts w:ascii="宋体" w:hAnsi="宋体"/>
          <w:b/>
          <w:i/>
          <w:highlight w:val="none"/>
        </w:rPr>
      </w:pPr>
    </w:p>
    <w:p>
      <w:pPr>
        <w:shd w:val="clear"/>
        <w:ind w:right="-57" w:firstLine="200"/>
        <w:rPr>
          <w:rFonts w:hint="eastAsia" w:ascii="宋体" w:hAnsi="宋体"/>
          <w:b/>
          <w:i/>
          <w:highlight w:val="none"/>
        </w:rPr>
      </w:pPr>
      <w:r>
        <w:rPr>
          <w:rFonts w:hint="eastAsia" w:ascii="宋体" w:hAnsi="宋体"/>
          <w:b/>
          <w:i/>
          <w:highlight w:val="none"/>
        </w:rPr>
        <w:t>（当选择银行保函格式第2种方式时开具银行保函的，必须提供本承诺书。）</w:t>
      </w:r>
    </w:p>
    <w:p>
      <w:pPr>
        <w:pStyle w:val="7"/>
        <w:numPr>
          <w:ilvl w:val="3"/>
          <w:numId w:val="0"/>
        </w:numPr>
        <w:shd w:val="clear"/>
        <w:ind w:leftChars="0" w:right="-27" w:rightChars="0"/>
        <w:outlineLvl w:val="9"/>
        <w:rPr>
          <w:rFonts w:hint="eastAsia"/>
          <w:highlight w:val="none"/>
        </w:rPr>
      </w:pPr>
    </w:p>
    <w:p>
      <w:pPr>
        <w:shd w:val="clear"/>
        <w:rPr>
          <w:rFonts w:hint="eastAsia"/>
          <w:highlight w:val="none"/>
        </w:rPr>
      </w:pPr>
    </w:p>
    <w:p>
      <w:pPr>
        <w:shd w:val="clear"/>
        <w:ind w:left="0" w:leftChars="0" w:firstLine="0" w:firstLineChars="0"/>
        <w:rPr>
          <w:rFonts w:hint="eastAsia"/>
          <w:highlight w:val="none"/>
        </w:rPr>
      </w:pPr>
    </w:p>
    <w:p>
      <w:pPr>
        <w:pStyle w:val="14"/>
        <w:shd w:val="clear"/>
        <w:spacing w:line="240" w:lineRule="auto"/>
        <w:ind w:left="0" w:leftChars="0" w:firstLine="0" w:firstLineChars="0"/>
        <w:outlineLvl w:val="2"/>
        <w:rPr>
          <w:rFonts w:hint="eastAsia" w:hAnsi="宋体"/>
          <w:b/>
          <w:sz w:val="24"/>
          <w:szCs w:val="24"/>
          <w:highlight w:val="none"/>
        </w:rPr>
      </w:pPr>
      <w:r>
        <w:rPr>
          <w:rFonts w:hint="eastAsia" w:hAnsi="宋体"/>
          <w:b/>
          <w:sz w:val="24"/>
          <w:szCs w:val="24"/>
          <w:highlight w:val="none"/>
        </w:rPr>
        <w:t>附件</w:t>
      </w:r>
      <w:r>
        <w:rPr>
          <w:rFonts w:hAnsi="宋体"/>
          <w:b/>
          <w:sz w:val="24"/>
          <w:szCs w:val="24"/>
          <w:highlight w:val="none"/>
        </w:rPr>
        <w:t>2</w:t>
      </w:r>
      <w:r>
        <w:rPr>
          <w:rFonts w:hint="eastAsia" w:hAnsi="宋体"/>
          <w:b/>
          <w:sz w:val="24"/>
          <w:szCs w:val="24"/>
          <w:highlight w:val="none"/>
        </w:rPr>
        <w:t>：合同违约处罚通知单</w:t>
      </w:r>
    </w:p>
    <w:p>
      <w:pPr>
        <w:spacing w:line="240" w:lineRule="auto"/>
        <w:jc w:val="left"/>
        <w:rPr>
          <w:rFonts w:hint="eastAsia" w:ascii="黑体" w:hAnsi="黑体" w:eastAsia="黑体" w:cs="黑体"/>
          <w:b w:val="0"/>
          <w:bCs w:val="0"/>
          <w:color w:val="auto"/>
          <w:lang w:val="en-US" w:eastAsia="zh-CN"/>
        </w:rPr>
      </w:pPr>
      <w:r>
        <w:rPr>
          <w:rFonts w:hint="eastAsia" w:ascii="黑体" w:hAnsi="黑体" w:eastAsia="黑体" w:cs="黑体"/>
          <w:b w:val="0"/>
          <w:bCs w:val="0"/>
          <w:color w:val="auto"/>
          <w:highlight w:val="none"/>
          <w:lang w:val="en-US" w:eastAsia="zh-CN"/>
        </w:rPr>
        <w:t>NGYY/Q-GL-SC-03-A8</w:t>
      </w:r>
    </w:p>
    <w:p>
      <w:pPr>
        <w:widowControl w:val="0"/>
        <w:spacing w:before="0" w:after="0" w:afterAutospacing="0" w:line="240" w:lineRule="auto"/>
        <w:ind w:left="0" w:right="0" w:firstLine="0"/>
        <w:jc w:val="center"/>
        <w:rPr>
          <w:rFonts w:hint="eastAsia" w:ascii="黑体" w:hAnsi="宋体" w:eastAsia="黑体" w:cs="Times New Roman"/>
          <w:color w:val="auto"/>
          <w:kern w:val="2"/>
          <w:sz w:val="36"/>
          <w:szCs w:val="36"/>
          <w:highlight w:val="none"/>
          <w:lang w:val="en-US" w:eastAsia="zh-CN"/>
        </w:rPr>
      </w:pPr>
      <w:r>
        <w:rPr>
          <w:rFonts w:hint="eastAsia" w:ascii="黑体" w:hAnsi="宋体" w:eastAsia="黑体" w:cs="Times New Roman"/>
          <w:color w:val="auto"/>
          <w:kern w:val="2"/>
          <w:sz w:val="36"/>
          <w:szCs w:val="36"/>
          <w:highlight w:val="none"/>
          <w:lang w:val="en-US" w:eastAsia="zh-CN"/>
        </w:rPr>
        <w:t>委外项目合同违约处理通知单</w:t>
      </w:r>
    </w:p>
    <w:p>
      <w:pPr>
        <w:widowControl w:val="0"/>
        <w:spacing w:before="0" w:after="0" w:afterAutospacing="0" w:line="240" w:lineRule="auto"/>
        <w:ind w:left="0" w:right="0" w:firstLine="0"/>
        <w:jc w:val="center"/>
        <w:rPr>
          <w:rFonts w:hint="eastAsia" w:ascii="黑体" w:hAnsi="宋体" w:eastAsia="黑体" w:cs="Times New Roman"/>
          <w:color w:val="auto"/>
          <w:kern w:val="2"/>
          <w:sz w:val="36"/>
          <w:szCs w:val="36"/>
          <w:highlight w:val="none"/>
          <w:lang w:val="en-US" w:eastAsia="zh-CN"/>
        </w:rPr>
      </w:pPr>
      <w:r>
        <w:rPr>
          <w:rFonts w:hint="eastAsia" w:ascii="黑体" w:hAnsi="宋体" w:eastAsia="黑体" w:cs="Times New Roman"/>
          <w:color w:val="auto"/>
          <w:kern w:val="2"/>
          <w:sz w:val="36"/>
          <w:szCs w:val="36"/>
          <w:highlight w:val="none"/>
          <w:lang w:val="en-US" w:eastAsia="zh-CN"/>
        </w:rPr>
        <w:t xml:space="preserve">                        </w:t>
      </w:r>
      <w:r>
        <w:rPr>
          <w:rFonts w:hint="eastAsia" w:ascii="黑体" w:hAnsi="宋体" w:eastAsia="黑体" w:cs="Times New Roman"/>
          <w:color w:val="auto"/>
          <w:kern w:val="2"/>
          <w:sz w:val="21"/>
          <w:szCs w:val="21"/>
          <w:highlight w:val="none"/>
          <w:lang w:val="en-US" w:eastAsia="zh-CN"/>
        </w:rPr>
        <w:t xml:space="preserve"> </w:t>
      </w:r>
      <w:r>
        <w:rPr>
          <w:rFonts w:hint="eastAsia" w:ascii="Times New Roman" w:hAnsi="宋体" w:eastAsia="宋体" w:cs="宋体"/>
          <w:b/>
          <w:color w:val="auto"/>
          <w:kern w:val="2"/>
          <w:sz w:val="21"/>
          <w:szCs w:val="21"/>
          <w:highlight w:val="none"/>
          <w:lang w:val="en-US" w:eastAsia="zh-CN"/>
        </w:rPr>
        <w:t>编号：</w:t>
      </w:r>
      <w:r>
        <w:rPr>
          <w:rFonts w:hint="eastAsia" w:ascii="Times New Roman" w:hAnsi="宋体" w:eastAsia="宋体" w:cs="宋体"/>
          <w:b w:val="0"/>
          <w:bCs/>
          <w:color w:val="auto"/>
          <w:kern w:val="2"/>
          <w:sz w:val="21"/>
          <w:szCs w:val="21"/>
          <w:highlight w:val="none"/>
          <w:lang w:val="en-US" w:eastAsia="zh-CN"/>
        </w:rPr>
        <w:t>合同编号-年月-两位数流水号</w:t>
      </w:r>
    </w:p>
    <w:tbl>
      <w:tblPr>
        <w:tblStyle w:val="3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default" w:ascii="宋体" w:hAnsi="宋体" w:eastAsia="宋体" w:cs="Times New Roman"/>
                <w:b/>
                <w:color w:val="auto"/>
                <w:kern w:val="2"/>
                <w:szCs w:val="21"/>
                <w:highlight w:val="none"/>
                <w:lang w:val="en-US" w:eastAsia="zh-CN"/>
              </w:rPr>
            </w:pPr>
            <w:r>
              <w:rPr>
                <w:rFonts w:hint="eastAsia" w:ascii="宋体" w:hAnsi="宋体" w:eastAsia="宋体" w:cs="Times New Roman"/>
                <w:b/>
                <w:color w:val="auto"/>
                <w:kern w:val="2"/>
                <w:szCs w:val="21"/>
                <w:highlight w:val="none"/>
                <w:lang w:eastAsia="zh-CN"/>
              </w:rPr>
              <w:t>委外单位</w:t>
            </w:r>
            <w:r>
              <w:rPr>
                <w:rFonts w:hint="eastAsia" w:ascii="宋体" w:hAnsi="宋体" w:eastAsia="宋体" w:cs="Times New Roman"/>
                <w:b/>
                <w:color w:val="auto"/>
                <w:kern w:val="2"/>
                <w:szCs w:val="21"/>
                <w:highlight w:val="none"/>
                <w:lang w:val="en-US" w:eastAsia="zh-CN"/>
              </w:rPr>
              <w:t>/           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1"/>
                <w:highlight w:val="none"/>
                <w:lang w:eastAsia="zh-CN"/>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1"/>
                <w:highlight w:val="none"/>
                <w:lang w:eastAsia="zh-CN"/>
              </w:rPr>
            </w:pPr>
            <w:r>
              <w:rPr>
                <w:rFonts w:hint="eastAsia" w:ascii="宋体" w:hAnsi="宋体" w:eastAsia="宋体" w:cs="Times New Roman"/>
                <w:b/>
                <w:color w:val="auto"/>
                <w:kern w:val="2"/>
                <w:szCs w:val="21"/>
                <w:highlight w:val="none"/>
                <w:lang w:eastAsia="zh-CN"/>
              </w:rPr>
              <w:t>运营公司</w:t>
            </w:r>
          </w:p>
          <w:p>
            <w:pPr>
              <w:widowControl w:val="0"/>
              <w:spacing w:before="0" w:after="0" w:afterAutospacing="0" w:line="240" w:lineRule="auto"/>
              <w:ind w:left="0" w:right="0" w:firstLine="0"/>
              <w:jc w:val="center"/>
              <w:rPr>
                <w:rFonts w:hint="eastAsia" w:ascii="宋体" w:hAnsi="宋体" w:eastAsia="宋体" w:cs="Times New Roman"/>
                <w:b/>
                <w:color w:val="auto"/>
                <w:kern w:val="2"/>
                <w:szCs w:val="21"/>
                <w:highlight w:val="none"/>
                <w:lang w:eastAsia="zh-CN"/>
              </w:rPr>
            </w:pPr>
            <w:r>
              <w:rPr>
                <w:rFonts w:hint="eastAsia" w:ascii="宋体" w:hAnsi="宋体" w:eastAsia="宋体" w:cs="Times New Roman"/>
                <w:b/>
                <w:color w:val="auto"/>
                <w:kern w:val="2"/>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b/>
                <w:color w:val="auto"/>
                <w:highlight w:val="none"/>
                <w:lang w:eastAsia="zh-CN"/>
              </w:rPr>
            </w:pPr>
            <w:r>
              <w:rPr>
                <w:rFonts w:hint="eastAsia" w:ascii="宋体" w:hAnsi="宋体"/>
                <w:b/>
                <w:color w:val="auto"/>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hint="eastAsia" w:ascii="宋体" w:hAnsi="宋体" w:eastAsia="宋体"/>
                <w:bCs/>
                <w:color w:val="auto"/>
                <w:highlight w:val="none"/>
                <w:u w:val="single"/>
                <w:lang w:val="en-US" w:eastAsia="zh-CN"/>
              </w:rPr>
            </w:pPr>
            <w:r>
              <w:rPr>
                <w:rFonts w:hint="eastAsia" w:ascii="宋体" w:hAnsi="宋体"/>
                <w:color w:val="auto"/>
                <w:sz w:val="18"/>
                <w:szCs w:val="18"/>
                <w:highlight w:val="none"/>
              </w:rPr>
              <w:t>X年X月X日</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after="0" w:afterAutospacing="0" w:line="240" w:lineRule="auto"/>
              <w:ind w:left="0" w:right="0" w:firstLine="0"/>
              <w:rPr>
                <w:rFonts w:hint="eastAsia" w:ascii="宋体" w:hAnsi="宋体" w:eastAsia="宋体" w:cs="Times New Roman"/>
                <w:bCs/>
                <w:color w:val="auto"/>
                <w:kern w:val="2"/>
                <w:sz w:val="18"/>
                <w:szCs w:val="18"/>
                <w:highlight w:val="none"/>
              </w:rPr>
            </w:pPr>
            <w:r>
              <w:rPr>
                <w:rFonts w:hint="eastAsia" w:ascii="宋体" w:hAnsi="宋体" w:eastAsia="宋体" w:cs="Times New Roman"/>
                <w:bCs/>
                <w:color w:val="auto"/>
                <w:kern w:val="2"/>
                <w:sz w:val="18"/>
                <w:szCs w:val="18"/>
                <w:highlight w:val="none"/>
              </w:rPr>
              <w:t>违约情况：我部技术人员于X年X月X日跟岗作业中（作业令：1A2-01-01）发现XX-XX区间部分XX设备存在锈蚀、松脱现象，且个别情况较为严重，而委外单位（劳务派遣单位）在X年X月XX设备月检中未能及时发现和处理，检修台账中也未记录，存在漏检现象。（举例）</w:t>
            </w:r>
          </w:p>
          <w:p>
            <w:pPr>
              <w:widowControl/>
              <w:snapToGrid w:val="0"/>
              <w:spacing w:before="0" w:after="0" w:afterAutospacing="0" w:line="240" w:lineRule="auto"/>
              <w:ind w:left="0" w:right="0" w:firstLine="0"/>
              <w:rPr>
                <w:rFonts w:hint="eastAsia" w:ascii="宋体" w:hAnsi="宋体" w:eastAsia="宋体" w:cs="Times New Roman"/>
                <w:bCs/>
                <w:color w:val="auto"/>
                <w:kern w:val="2"/>
                <w:sz w:val="18"/>
                <w:szCs w:val="18"/>
                <w:highlight w:val="none"/>
              </w:rPr>
            </w:pPr>
          </w:p>
          <w:p>
            <w:pPr>
              <w:widowControl/>
              <w:snapToGrid w:val="0"/>
              <w:spacing w:before="0" w:after="0" w:afterAutospacing="0" w:line="240" w:lineRule="auto"/>
              <w:ind w:left="0" w:right="0" w:firstLine="0"/>
              <w:rPr>
                <w:rFonts w:ascii="宋体" w:hAnsi="宋体"/>
                <w:bCs/>
                <w:color w:val="auto"/>
                <w:highlight w:val="none"/>
                <w:u w:val="single"/>
              </w:rPr>
            </w:pPr>
            <w:r>
              <w:rPr>
                <w:rFonts w:hint="eastAsia" w:ascii="宋体" w:hAnsi="宋体" w:eastAsia="宋体" w:cs="Times New Roman"/>
                <w:bCs/>
                <w:color w:val="auto"/>
                <w:kern w:val="2"/>
                <w:sz w:val="18"/>
                <w:szCs w:val="18"/>
                <w:highlight w:val="none"/>
              </w:rPr>
              <w:t>合同违约条款：《XXX项目合同》十二条之附表第26条款：“乙方未按照《XXX维修规程》规定的周期执行，发生漏检、漏修月检内容或记录不完善，每次每项乙方向甲方支付500元违约金，考核0.5分”。（举例）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r>
              <w:rPr>
                <w:rFonts w:hint="eastAsia" w:ascii="宋体" w:hAnsi="宋体"/>
                <w:b/>
                <w:color w:val="auto"/>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300" w:lineRule="exact"/>
              <w:ind w:left="0" w:right="0" w:firstLine="0"/>
              <w:rPr>
                <w:rFonts w:ascii="宋体" w:hAnsi="宋体"/>
                <w:bCs/>
                <w:color w:val="auto"/>
                <w:szCs w:val="21"/>
                <w:highlight w:val="none"/>
              </w:rPr>
            </w:pPr>
            <w:r>
              <w:rPr>
                <w:rFonts w:hint="eastAsia" w:ascii="宋体" w:hAnsi="宋体" w:eastAsia="宋体" w:cs="Times New Roman"/>
                <w:color w:val="auto"/>
                <w:kern w:val="2"/>
                <w:sz w:val="18"/>
                <w:szCs w:val="18"/>
                <w:highlight w:val="none"/>
              </w:rPr>
              <w:t>根据《XXX项目合同》中第XX条，决定对你司处以：1.处罚违约金500元人民币整；2.在月度评价表中扣0.5分；3.所罚扣款项从季度进度款中扣取。（举例）</w:t>
            </w:r>
            <w:r>
              <w:rPr>
                <w:rFonts w:hint="eastAsia" w:ascii="宋体" w:hAnsi="宋体"/>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ind w:left="0" w:leftChars="0" w:firstLine="0" w:firstLineChars="0"/>
              <w:jc w:val="center"/>
              <w:rPr>
                <w:rFonts w:hint="eastAsia" w:ascii="宋体" w:hAnsi="宋体"/>
                <w:b/>
                <w:color w:val="auto"/>
                <w:highlight w:val="none"/>
              </w:rPr>
            </w:pPr>
            <w:r>
              <w:rPr>
                <w:rFonts w:hint="eastAsia" w:ascii="宋体" w:hAnsi="宋体"/>
                <w:b/>
                <w:color w:val="auto"/>
                <w:highlight w:val="none"/>
                <w:lang w:eastAsia="zh-CN"/>
              </w:rPr>
              <w:t>运营公司</w:t>
            </w:r>
            <w:r>
              <w:rPr>
                <w:rFonts w:hint="eastAsia" w:ascii="宋体" w:hAnsi="宋体"/>
                <w:b/>
                <w:color w:val="auto"/>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0" w:leftChars="0" w:right="113"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528" w:type="dxa"/>
            <w:vMerge w:val="continue"/>
            <w:tcBorders>
              <w:left w:val="thinThickSmallGap" w:color="auto" w:sz="18" w:space="0"/>
              <w:right w:val="single" w:color="auto" w:sz="4" w:space="0"/>
            </w:tcBorders>
            <w:noWrap w:val="0"/>
            <w:vAlign w:val="center"/>
          </w:tcPr>
          <w:p>
            <w:pPr>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0" w:leftChars="0" w:right="113"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val="en-US" w:eastAsia="zh-CN"/>
              </w:rPr>
            </w:pPr>
            <w:r>
              <w:rPr>
                <w:rFonts w:hint="eastAsia" w:ascii="宋体" w:hAnsi="宋体" w:eastAsia="宋体" w:cs="Times New Roman"/>
                <w:b/>
                <w:color w:val="auto"/>
                <w:kern w:val="2"/>
                <w:szCs w:val="24"/>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0" w:leftChars="0" w:right="113"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主办/协办部门</w:t>
            </w:r>
          </w:p>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rPr>
              <w:t>分管</w:t>
            </w:r>
            <w:r>
              <w:rPr>
                <w:rFonts w:hint="eastAsia" w:ascii="宋体" w:hAnsi="宋体" w:eastAsia="宋体" w:cs="Times New Roman"/>
                <w:b/>
                <w:color w:val="auto"/>
                <w:kern w:val="2"/>
                <w:szCs w:val="24"/>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firstLine="840" w:firstLineChars="400"/>
              <w:rPr>
                <w:color w:val="auto"/>
                <w:highlight w:val="none"/>
              </w:rPr>
            </w:pPr>
            <w:r>
              <w:rPr>
                <w:rFonts w:hint="eastAsia"/>
                <w:color w:val="auto"/>
                <w:highlight w:val="none"/>
              </w:rPr>
              <w:t xml:space="preserve">                                     </w:t>
            </w: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0" w:leftChars="0" w:right="113"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b/>
                <w:color w:val="auto"/>
                <w:highlight w:val="none"/>
              </w:rPr>
            </w:pPr>
            <w:r>
              <w:rPr>
                <w:rFonts w:hint="eastAsia" w:ascii="宋体" w:hAnsi="宋体"/>
                <w:bCs/>
                <w:color w:val="auto"/>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bCs/>
                <w:color w:val="auto"/>
                <w:szCs w:val="21"/>
                <w:highlight w:val="none"/>
              </w:rPr>
            </w:pPr>
            <w:r>
              <w:rPr>
                <w:rFonts w:hint="eastAsia" w:ascii="宋体" w:hAnsi="宋体"/>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spacing w:before="0" w:after="0" w:afterAutospacing="0" w:line="240" w:lineRule="auto"/>
              <w:ind w:left="0" w:right="0" w:firstLine="210" w:firstLineChars="100"/>
              <w:rPr>
                <w:rFonts w:hint="eastAsia" w:ascii="Times New Roman" w:hAnsi="Times New Roman" w:eastAsia="宋体" w:cs="Times New Roman"/>
                <w:color w:val="auto"/>
                <w:kern w:val="2"/>
                <w:szCs w:val="24"/>
                <w:highlight w:val="none"/>
              </w:rPr>
            </w:pPr>
            <w:r>
              <w:rPr>
                <w:rFonts w:hint="eastAsia" w:ascii="Times New Roman" w:hAnsi="Times New Roman" w:eastAsia="宋体" w:cs="Times New Roman"/>
                <w:color w:val="auto"/>
                <w:kern w:val="2"/>
                <w:szCs w:val="24"/>
                <w:highlight w:val="none"/>
              </w:rPr>
              <w:t>直接送达</w:t>
            </w:r>
            <w:r>
              <w:rPr>
                <w:rFonts w:hint="eastAsia" w:ascii="Times New Roman" w:hAnsi="Times New Roman" w:eastAsia="宋体" w:cs="Times New Roman"/>
                <w:color w:val="auto"/>
                <w:kern w:val="2"/>
                <w:szCs w:val="24"/>
                <w:highlight w:val="none"/>
              </w:rPr>
              <w:sym w:font="Wingdings 2" w:char="00A3"/>
            </w:r>
            <w:r>
              <w:rPr>
                <w:rFonts w:hint="eastAsia" w:ascii="Times New Roman" w:hAnsi="Times New Roman" w:eastAsia="宋体" w:cs="Times New Roman"/>
                <w:color w:val="auto"/>
                <w:kern w:val="2"/>
                <w:szCs w:val="24"/>
                <w:highlight w:val="none"/>
              </w:rPr>
              <w:t xml:space="preserve">  签收人：</w:t>
            </w:r>
          </w:p>
          <w:p>
            <w:pPr>
              <w:widowControl/>
              <w:spacing w:before="0" w:after="0" w:afterAutospacing="0" w:line="240" w:lineRule="auto"/>
              <w:ind w:left="0" w:right="0" w:firstLine="210" w:firstLineChars="100"/>
              <w:rPr>
                <w:rFonts w:hint="eastAsia" w:ascii="Times New Roman" w:hAnsi="Times New Roman" w:eastAsia="宋体" w:cs="Times New Roman"/>
                <w:color w:val="auto"/>
                <w:kern w:val="2"/>
                <w:szCs w:val="24"/>
                <w:highlight w:val="none"/>
              </w:rPr>
            </w:pPr>
            <w:r>
              <w:rPr>
                <w:rFonts w:hint="eastAsia" w:ascii="Times New Roman" w:hAnsi="Times New Roman" w:eastAsia="宋体" w:cs="Times New Roman"/>
                <w:color w:val="auto"/>
                <w:kern w:val="2"/>
                <w:szCs w:val="24"/>
                <w:highlight w:val="none"/>
              </w:rPr>
              <w:t xml:space="preserve">  留置送达</w:t>
            </w:r>
            <w:r>
              <w:rPr>
                <w:rFonts w:hint="eastAsia" w:ascii="Times New Roman" w:hAnsi="Times New Roman" w:eastAsia="宋体" w:cs="Times New Roman"/>
                <w:color w:val="auto"/>
                <w:kern w:val="2"/>
                <w:szCs w:val="24"/>
                <w:highlight w:val="none"/>
              </w:rPr>
              <w:sym w:font="Wingdings 2" w:char="00A3"/>
            </w:r>
            <w:r>
              <w:rPr>
                <w:rFonts w:hint="eastAsia" w:ascii="Times New Roman" w:hAnsi="Times New Roman" w:eastAsia="宋体" w:cs="Times New Roman"/>
                <w:color w:val="auto"/>
                <w:kern w:val="2"/>
                <w:szCs w:val="24"/>
                <w:highlight w:val="none"/>
              </w:rPr>
              <w:t xml:space="preserve">  送达地址：                    </w:t>
            </w:r>
          </w:p>
          <w:p>
            <w:pPr>
              <w:widowControl/>
              <w:spacing w:before="0" w:after="0" w:afterAutospacing="0" w:line="240" w:lineRule="auto"/>
              <w:ind w:left="0" w:right="0" w:firstLine="210" w:firstLineChars="100"/>
              <w:rPr>
                <w:color w:val="auto"/>
                <w:highlight w:val="none"/>
              </w:rPr>
            </w:pPr>
            <w:r>
              <w:rPr>
                <w:rFonts w:hint="eastAsia" w:ascii="Times New Roman" w:hAnsi="Times New Roman" w:eastAsia="宋体" w:cs="Times New Roman"/>
                <w:color w:val="auto"/>
                <w:kern w:val="2"/>
                <w:szCs w:val="24"/>
                <w:highlight w:val="none"/>
              </w:rPr>
              <w:t xml:space="preserve">  电子送达</w:t>
            </w:r>
            <w:r>
              <w:rPr>
                <w:rFonts w:hint="eastAsia" w:ascii="Times New Roman" w:hAnsi="Times New Roman" w:eastAsia="宋体" w:cs="Times New Roman"/>
                <w:color w:val="auto"/>
                <w:kern w:val="2"/>
                <w:szCs w:val="24"/>
                <w:highlight w:val="none"/>
              </w:rPr>
              <w:sym w:font="Wingdings 2" w:char="00A3"/>
            </w:r>
            <w:r>
              <w:rPr>
                <w:rFonts w:hint="eastAsia" w:ascii="Times New Roman" w:hAnsi="Times New Roman" w:eastAsia="宋体" w:cs="Times New Roman"/>
                <w:color w:val="auto"/>
                <w:kern w:val="2"/>
                <w:szCs w:val="24"/>
                <w:highlight w:val="none"/>
              </w:rPr>
              <w:t xml:space="preserve">  </w:t>
            </w:r>
            <w:r>
              <w:rPr>
                <w:rFonts w:hint="eastAsia" w:ascii="Times New Roman" w:hAnsi="Times New Roman" w:eastAsia="宋体" w:cs="Times New Roman"/>
                <w:color w:val="auto"/>
                <w:kern w:val="2"/>
                <w:szCs w:val="24"/>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1" w:leftChars="-295" w:right="0" w:rightChars="0" w:hanging="720" w:hangingChars="4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说明：1.本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一式三份，委外单位</w:t>
      </w:r>
      <w:r>
        <w:rPr>
          <w:rFonts w:hint="eastAsia" w:ascii="宋体" w:hAnsi="宋体" w:eastAsia="宋体" w:cs="Times New Roman"/>
          <w:color w:val="auto"/>
          <w:kern w:val="2"/>
          <w:sz w:val="18"/>
          <w:szCs w:val="18"/>
          <w:highlight w:val="none"/>
          <w:lang w:val="en-US" w:eastAsia="zh-CN"/>
        </w:rPr>
        <w:t>/</w:t>
      </w:r>
      <w:r>
        <w:rPr>
          <w:rFonts w:hint="eastAsia" w:ascii="宋体" w:hAnsi="宋体" w:eastAsia="宋体" w:cs="Times New Roman"/>
          <w:color w:val="auto"/>
          <w:kern w:val="2"/>
          <w:sz w:val="18"/>
          <w:szCs w:val="18"/>
          <w:highlight w:val="none"/>
        </w:rPr>
        <w:t>劳务派遣单位执一份，</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执两份，由</w:t>
      </w:r>
      <w:r>
        <w:rPr>
          <w:rFonts w:hint="eastAsia" w:ascii="宋体" w:hAnsi="宋体" w:eastAsia="宋体" w:cs="Times New Roman"/>
          <w:color w:val="auto"/>
          <w:kern w:val="2"/>
          <w:sz w:val="18"/>
          <w:szCs w:val="18"/>
          <w:highlight w:val="none"/>
          <w:lang w:eastAsia="zh-CN"/>
        </w:rPr>
        <w:t>运营公司主办/协办部门</w:t>
      </w:r>
      <w:r>
        <w:rPr>
          <w:rFonts w:hint="eastAsia" w:ascii="宋体" w:hAnsi="宋体" w:eastAsia="宋体" w:cs="Times New Roman"/>
          <w:color w:val="auto"/>
          <w:kern w:val="2"/>
          <w:sz w:val="18"/>
          <w:szCs w:val="18"/>
          <w:highlight w:val="none"/>
        </w:rPr>
        <w:t>在合同执行</w:t>
      </w:r>
      <w:r>
        <w:rPr>
          <w:rFonts w:hint="eastAsia" w:ascii="宋体" w:hAnsi="宋体" w:eastAsia="宋体" w:cs="Times New Roman"/>
          <w:color w:val="auto"/>
          <w:kern w:val="2"/>
          <w:sz w:val="18"/>
          <w:szCs w:val="18"/>
          <w:highlight w:val="none"/>
          <w:lang w:eastAsia="zh-CN"/>
        </w:rPr>
        <w:t>过</w:t>
      </w:r>
      <w:r>
        <w:rPr>
          <w:rFonts w:hint="eastAsia" w:ascii="宋体" w:hAnsi="宋体" w:eastAsia="宋体" w:cs="Times New Roman"/>
          <w:color w:val="auto"/>
          <w:kern w:val="2"/>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2.委外单位</w:t>
      </w:r>
      <w:r>
        <w:rPr>
          <w:rFonts w:hint="eastAsia" w:ascii="宋体" w:hAnsi="宋体" w:eastAsia="宋体" w:cs="Times New Roman"/>
          <w:color w:val="auto"/>
          <w:kern w:val="2"/>
          <w:sz w:val="18"/>
          <w:szCs w:val="18"/>
          <w:highlight w:val="none"/>
          <w:lang w:val="en-US" w:eastAsia="zh-CN"/>
        </w:rPr>
        <w:t>/</w:t>
      </w:r>
      <w:r>
        <w:rPr>
          <w:rFonts w:hint="eastAsia" w:ascii="宋体" w:hAnsi="宋体" w:eastAsia="宋体" w:cs="Times New Roman"/>
          <w:color w:val="auto"/>
          <w:kern w:val="2"/>
          <w:sz w:val="18"/>
          <w:szCs w:val="18"/>
          <w:highlight w:val="none"/>
        </w:rPr>
        <w:t>劳务派遣单位若对本次违约处理有意见，须在</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送达后2个工作日内向</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主办/协办部门提交正式申</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3.本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按照违约处理决定的金额和授权方案逐级签批或用印，5000元</w:t>
      </w:r>
      <w:r>
        <w:rPr>
          <w:rFonts w:hint="eastAsia" w:ascii="宋体" w:hAnsi="宋体" w:eastAsia="宋体" w:cs="Times New Roman"/>
          <w:color w:val="auto"/>
          <w:kern w:val="2"/>
          <w:sz w:val="18"/>
          <w:szCs w:val="18"/>
          <w:highlight w:val="none"/>
          <w:lang w:eastAsia="zh-CN"/>
        </w:rPr>
        <w:t>（含）以下</w:t>
      </w:r>
      <w:r>
        <w:rPr>
          <w:rFonts w:hint="eastAsia" w:ascii="宋体" w:hAnsi="宋体" w:eastAsia="宋体" w:cs="Times New Roman"/>
          <w:color w:val="auto"/>
          <w:kern w:val="2"/>
          <w:sz w:val="18"/>
          <w:szCs w:val="18"/>
          <w:highlight w:val="none"/>
        </w:rPr>
        <w:t>由主办/协办部门签批，5000</w:t>
      </w:r>
      <w:r>
        <w:rPr>
          <w:rFonts w:hint="eastAsia" w:ascii="宋体" w:hAnsi="宋体" w:eastAsia="宋体" w:cs="Times New Roman"/>
          <w:color w:val="auto"/>
          <w:kern w:val="2"/>
          <w:sz w:val="18"/>
          <w:szCs w:val="18"/>
          <w:highlight w:val="none"/>
          <w:lang w:eastAsia="zh-CN"/>
        </w:rPr>
        <w:t>元</w:t>
      </w:r>
      <w:r>
        <w:rPr>
          <w:rFonts w:hint="eastAsia" w:ascii="宋体" w:hAnsi="宋体" w:eastAsia="宋体" w:cs="Times New Roman"/>
          <w:color w:val="auto"/>
          <w:kern w:val="2"/>
          <w:sz w:val="18"/>
          <w:szCs w:val="18"/>
          <w:highlight w:val="none"/>
        </w:rPr>
        <w:t>（不含）-10000元</w:t>
      </w:r>
      <w:r>
        <w:rPr>
          <w:rFonts w:hint="eastAsia" w:ascii="宋体" w:hAnsi="宋体" w:eastAsia="宋体" w:cs="Times New Roman"/>
          <w:color w:val="auto"/>
          <w:kern w:val="2"/>
          <w:sz w:val="18"/>
          <w:szCs w:val="18"/>
          <w:highlight w:val="none"/>
          <w:lang w:eastAsia="zh-CN"/>
        </w:rPr>
        <w:t>（含）签批至</w:t>
      </w:r>
      <w:r>
        <w:rPr>
          <w:rFonts w:hint="eastAsia" w:ascii="宋体" w:hAnsi="宋体" w:eastAsia="宋体" w:cs="Times New Roman"/>
          <w:color w:val="auto"/>
          <w:kern w:val="2"/>
          <w:sz w:val="18"/>
          <w:szCs w:val="18"/>
          <w:highlight w:val="none"/>
        </w:rPr>
        <w:t>分管</w:t>
      </w:r>
      <w:r>
        <w:rPr>
          <w:rFonts w:hint="eastAsia" w:ascii="宋体" w:hAnsi="宋体" w:eastAsia="宋体" w:cs="Times New Roman"/>
          <w:color w:val="auto"/>
          <w:kern w:val="2"/>
          <w:sz w:val="18"/>
          <w:szCs w:val="18"/>
          <w:highlight w:val="none"/>
          <w:lang w:eastAsia="zh-CN"/>
        </w:rPr>
        <w:t>主办/协办部门的领导</w:t>
      </w:r>
      <w:r>
        <w:rPr>
          <w:rFonts w:hint="eastAsia" w:ascii="宋体" w:hAnsi="宋体" w:eastAsia="宋体" w:cs="Times New Roman"/>
          <w:color w:val="auto"/>
          <w:kern w:val="2"/>
          <w:sz w:val="18"/>
          <w:szCs w:val="18"/>
          <w:highlight w:val="none"/>
        </w:rPr>
        <w:t>并用</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印，10000元</w:t>
      </w:r>
      <w:r>
        <w:rPr>
          <w:rFonts w:hint="eastAsia" w:ascii="宋体" w:hAnsi="宋体" w:eastAsia="宋体" w:cs="Times New Roman"/>
          <w:color w:val="auto"/>
          <w:kern w:val="2"/>
          <w:sz w:val="18"/>
          <w:szCs w:val="18"/>
          <w:highlight w:val="none"/>
          <w:lang w:eastAsia="zh-CN"/>
        </w:rPr>
        <w:t>（不含）</w:t>
      </w:r>
      <w:r>
        <w:rPr>
          <w:rFonts w:hint="eastAsia" w:ascii="宋体" w:hAnsi="宋体" w:eastAsia="宋体" w:cs="Times New Roman"/>
          <w:color w:val="auto"/>
          <w:kern w:val="2"/>
          <w:sz w:val="18"/>
          <w:szCs w:val="18"/>
          <w:highlight w:val="none"/>
          <w:lang w:val="en-US" w:eastAsia="zh-CN"/>
        </w:rPr>
        <w:t>-20000元（含）</w:t>
      </w:r>
      <w:r>
        <w:rPr>
          <w:rFonts w:hint="eastAsia" w:ascii="宋体" w:hAnsi="宋体" w:eastAsia="宋体" w:cs="Times New Roman"/>
          <w:color w:val="auto"/>
          <w:kern w:val="2"/>
          <w:sz w:val="18"/>
          <w:szCs w:val="18"/>
          <w:highlight w:val="none"/>
          <w:lang w:eastAsia="zh-CN"/>
        </w:rPr>
        <w:t>签批至</w:t>
      </w:r>
      <w:r>
        <w:rPr>
          <w:rFonts w:hint="eastAsia" w:ascii="宋体" w:hAnsi="宋体" w:eastAsia="宋体" w:cs="Times New Roman"/>
          <w:color w:val="auto"/>
          <w:kern w:val="2"/>
          <w:sz w:val="18"/>
          <w:szCs w:val="18"/>
          <w:highlight w:val="none"/>
        </w:rPr>
        <w:t>总经理</w:t>
      </w:r>
      <w:r>
        <w:rPr>
          <w:rFonts w:hint="eastAsia" w:ascii="宋体" w:hAnsi="宋体" w:eastAsia="宋体" w:cs="Times New Roman"/>
          <w:color w:val="auto"/>
          <w:kern w:val="2"/>
          <w:sz w:val="18"/>
          <w:szCs w:val="18"/>
          <w:highlight w:val="none"/>
          <w:lang w:eastAsia="zh-CN"/>
        </w:rPr>
        <w:t>同时报董事长知悉</w:t>
      </w:r>
      <w:r>
        <w:rPr>
          <w:rFonts w:hint="eastAsia" w:ascii="宋体" w:hAnsi="宋体" w:eastAsia="宋体" w:cs="Times New Roman"/>
          <w:color w:val="auto"/>
          <w:kern w:val="2"/>
          <w:sz w:val="18"/>
          <w:szCs w:val="18"/>
          <w:highlight w:val="none"/>
        </w:rPr>
        <w:t>并用</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印</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lang w:val="en-US" w:eastAsia="zh-CN"/>
        </w:rPr>
        <w:t>20000元（不含）以上签批至董事长并用运营公司印</w:t>
      </w:r>
      <w:r>
        <w:rPr>
          <w:rFonts w:hint="eastAsia" w:ascii="宋体" w:hAnsi="宋体" w:eastAsia="宋体" w:cs="Times New Roman"/>
          <w:color w:val="auto"/>
          <w:kern w:val="2"/>
          <w:sz w:val="18"/>
          <w:szCs w:val="18"/>
          <w:highlight w:val="none"/>
        </w:rPr>
        <w:t>；</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4.本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自送达之日起生效。送达时间基准为</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lang w:val="en-US" w:eastAsia="zh-CN"/>
        </w:rPr>
        <w:t>1</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rPr>
        <w:t>直接送达以签收人签收时间为准；（2）留置送达以</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送达指定地点时间为准</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rPr>
        <w:t>如出现拒签</w:t>
      </w:r>
      <w:r>
        <w:rPr>
          <w:rFonts w:hint="eastAsia" w:ascii="宋体" w:hAnsi="宋体" w:eastAsia="宋体" w:cs="Times New Roman"/>
          <w:color w:val="auto"/>
          <w:kern w:val="2"/>
          <w:sz w:val="18"/>
          <w:szCs w:val="18"/>
          <w:highlight w:val="none"/>
          <w:lang w:eastAsia="zh-CN"/>
        </w:rPr>
        <w:t>的</w:t>
      </w:r>
      <w:r>
        <w:rPr>
          <w:rFonts w:hint="eastAsia" w:ascii="宋体" w:hAnsi="宋体" w:eastAsia="宋体" w:cs="Times New Roman"/>
          <w:color w:val="auto"/>
          <w:kern w:val="2"/>
          <w:sz w:val="18"/>
          <w:szCs w:val="18"/>
          <w:highlight w:val="none"/>
        </w:rPr>
        <w:t>情况以</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送达指定地点时派送人现场照片或物流信息显示送达时间为准；（3）电子送达以发送人发出</w:t>
      </w:r>
      <w:r>
        <w:rPr>
          <w:rFonts w:hint="eastAsia" w:ascii="宋体" w:hAnsi="宋体" w:eastAsia="宋体" w:cs="Times New Roman"/>
          <w:color w:val="auto"/>
          <w:kern w:val="2"/>
          <w:sz w:val="18"/>
          <w:szCs w:val="18"/>
          <w:highlight w:val="none"/>
          <w:lang w:eastAsia="zh-CN"/>
        </w:rPr>
        <w:t>电子邮件</w:t>
      </w:r>
      <w:r>
        <w:rPr>
          <w:rFonts w:hint="eastAsia" w:ascii="宋体" w:hAnsi="宋体" w:eastAsia="宋体" w:cs="Times New Roman"/>
          <w:color w:val="auto"/>
          <w:kern w:val="2"/>
          <w:sz w:val="18"/>
          <w:szCs w:val="18"/>
          <w:highlight w:val="none"/>
        </w:rPr>
        <w:t>时间为准。</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221" w:leftChars="5" w:right="0" w:rightChars="0" w:hanging="211" w:hangingChars="100"/>
        <w:jc w:val="left"/>
        <w:textAlignment w:val="auto"/>
        <w:rPr>
          <w:rFonts w:cs="Times New Roman" w:asciiTheme="minorEastAsia" w:hAnsiTheme="minorEastAsia" w:eastAsiaTheme="minorEastAsia"/>
          <w:b/>
          <w:bCs/>
          <w:sz w:val="21"/>
          <w:szCs w:val="21"/>
          <w:highlight w:val="none"/>
          <w:lang w:val="en-US" w:eastAsia="zh-CN" w:bidi="ar-SA"/>
        </w:rPr>
      </w:pPr>
      <w:r>
        <w:rPr>
          <w:rFonts w:hint="eastAsia" w:cs="Times New Roman" w:asciiTheme="minorEastAsia" w:hAnsiTheme="minorEastAsia" w:eastAsiaTheme="minorEastAsia"/>
          <w:b/>
          <w:bCs/>
          <w:sz w:val="21"/>
          <w:szCs w:val="21"/>
          <w:highlight w:val="none"/>
          <w:lang w:val="en-US" w:eastAsia="zh-CN" w:bidi="ar-SA"/>
        </w:rPr>
        <w:t>附件3：委外项目进场通知书</w:t>
      </w:r>
    </w:p>
    <w:p>
      <w:pPr>
        <w:widowControl w:val="0"/>
        <w:spacing w:before="0" w:after="0" w:afterAutospacing="0" w:line="240" w:lineRule="auto"/>
        <w:ind w:left="0" w:right="0" w:firstLine="0"/>
        <w:jc w:val="left"/>
        <w:rPr>
          <w:rFonts w:hint="eastAsia" w:ascii="黑体" w:hAnsi="黑体" w:eastAsia="黑体" w:cs="黑体"/>
          <w:b w:val="0"/>
          <w:bCs w:val="0"/>
          <w:color w:val="auto"/>
          <w:kern w:val="2"/>
          <w:szCs w:val="24"/>
          <w:lang w:val="en-US" w:eastAsia="zh-CN"/>
        </w:rPr>
      </w:pPr>
      <w:bookmarkStart w:id="1831" w:name="_Toc137824316"/>
      <w:r>
        <w:rPr>
          <w:rFonts w:hint="eastAsia" w:ascii="黑体" w:hAnsi="黑体" w:eastAsia="黑体" w:cs="黑体"/>
          <w:b w:val="0"/>
          <w:bCs w:val="0"/>
          <w:color w:val="auto"/>
          <w:kern w:val="2"/>
          <w:szCs w:val="24"/>
          <w:highlight w:val="none"/>
          <w:lang w:val="en-US" w:eastAsia="zh-CN"/>
        </w:rPr>
        <w:t>NGYY/Q-GL-SC-03-A2</w:t>
      </w:r>
    </w:p>
    <w:p>
      <w:pPr>
        <w:widowControl w:val="0"/>
        <w:spacing w:before="0" w:after="0" w:afterAutospacing="0" w:line="240" w:lineRule="auto"/>
        <w:ind w:left="0" w:right="0" w:firstLine="0"/>
        <w:jc w:val="center"/>
        <w:rPr>
          <w:rFonts w:hint="eastAsia" w:ascii="黑体" w:hAnsi="宋体" w:eastAsia="黑体" w:cs="Times New Roman"/>
          <w:color w:val="auto"/>
          <w:kern w:val="2"/>
          <w:sz w:val="36"/>
          <w:szCs w:val="36"/>
          <w:highlight w:val="none"/>
          <w:lang w:val="en-US" w:eastAsia="zh-CN"/>
        </w:rPr>
      </w:pPr>
      <w:r>
        <w:rPr>
          <w:rFonts w:hint="eastAsia" w:ascii="黑体" w:hAnsi="宋体" w:eastAsia="黑体" w:cs="Times New Roman"/>
          <w:color w:val="auto"/>
          <w:kern w:val="2"/>
          <w:sz w:val="36"/>
          <w:szCs w:val="36"/>
          <w:highlight w:val="none"/>
          <w:lang w:val="en-US" w:eastAsia="zh-CN"/>
        </w:rPr>
        <w:t>运营公司委外项目进场通知书</w:t>
      </w:r>
    </w:p>
    <w:p>
      <w:pPr>
        <w:widowControl w:val="0"/>
        <w:spacing w:before="0" w:after="0" w:afterAutospacing="0" w:line="240" w:lineRule="auto"/>
        <w:ind w:left="0" w:right="0" w:firstLine="0"/>
        <w:jc w:val="center"/>
        <w:rPr>
          <w:rFonts w:hint="eastAsia" w:ascii="黑体" w:hAnsi="宋体" w:eastAsia="黑体" w:cs="Times New Roman"/>
          <w:color w:val="auto"/>
          <w:kern w:val="2"/>
          <w:sz w:val="36"/>
          <w:szCs w:val="36"/>
          <w:highlight w:val="none"/>
          <w:lang w:val="en-US" w:eastAsia="zh-CN"/>
        </w:rPr>
      </w:pPr>
    </w:p>
    <w:p>
      <w:pPr>
        <w:widowControl w:val="0"/>
        <w:spacing w:before="0" w:after="0" w:afterAutospacing="0" w:line="240" w:lineRule="auto"/>
        <w:ind w:left="-199" w:leftChars="-95" w:right="0" w:firstLine="0" w:firstLineChars="0"/>
        <w:rPr>
          <w:rFonts w:ascii="宋体" w:hAnsi="宋体" w:eastAsia="宋体" w:cs="Times New Roman"/>
          <w:color w:val="auto"/>
          <w:kern w:val="2"/>
          <w:szCs w:val="24"/>
          <w:highlight w:val="none"/>
        </w:rPr>
      </w:pPr>
      <w:r>
        <w:rPr>
          <w:rFonts w:hint="eastAsia" w:ascii="宋体" w:hAnsi="宋体" w:eastAsia="宋体" w:cs="Times New Roman"/>
          <w:b w:val="0"/>
          <w:bCs/>
          <w:color w:val="auto"/>
          <w:kern w:val="2"/>
          <w:sz w:val="24"/>
          <w:szCs w:val="24"/>
          <w:highlight w:val="none"/>
          <w:lang w:val="en-US" w:eastAsia="zh-CN"/>
        </w:rPr>
        <w:t>项目名称:                                          合同编号:</w:t>
      </w:r>
    </w:p>
    <w:tbl>
      <w:tblPr>
        <w:tblStyle w:val="31"/>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0"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widowControl w:val="0"/>
              <w:spacing w:before="120" w:after="0" w:afterAutospacing="0" w:line="480" w:lineRule="auto"/>
              <w:ind w:left="0" w:right="0" w:firstLine="0"/>
              <w:rPr>
                <w:rFonts w:hint="eastAsia" w:ascii="宋体" w:hAnsi="宋体" w:eastAsia="宋体" w:cs="Times New Roman"/>
                <w:b w:val="0"/>
                <w:bCs/>
                <w:color w:val="auto"/>
                <w:kern w:val="2"/>
                <w:sz w:val="24"/>
                <w:szCs w:val="24"/>
                <w:highlight w:val="none"/>
                <w:u w:val="single"/>
              </w:rPr>
            </w:pPr>
            <w:r>
              <w:rPr>
                <w:rFonts w:hint="eastAsia" w:ascii="宋体" w:hAnsi="宋体" w:eastAsia="宋体" w:cs="Times New Roman"/>
                <w:b w:val="0"/>
                <w:bCs/>
                <w:color w:val="auto"/>
                <w:kern w:val="2"/>
                <w:szCs w:val="24"/>
                <w:highlight w:val="none"/>
              </w:rPr>
              <w:t xml:space="preserve"> </w:t>
            </w:r>
            <w:r>
              <w:rPr>
                <w:rFonts w:hint="eastAsia" w:ascii="宋体" w:hAnsi="宋体" w:eastAsia="宋体" w:cs="Times New Roman"/>
                <w:b w:val="0"/>
                <w:bCs/>
                <w:color w:val="auto"/>
                <w:kern w:val="2"/>
                <w:sz w:val="24"/>
                <w:szCs w:val="24"/>
                <w:highlight w:val="none"/>
              </w:rPr>
              <w:t>致（</w:t>
            </w:r>
            <w:r>
              <w:rPr>
                <w:rFonts w:hint="eastAsia" w:ascii="宋体" w:hAnsi="宋体" w:eastAsia="宋体" w:cs="Times New Roman"/>
                <w:b w:val="0"/>
                <w:bCs/>
                <w:color w:val="auto"/>
                <w:kern w:val="2"/>
                <w:sz w:val="24"/>
                <w:szCs w:val="24"/>
                <w:highlight w:val="none"/>
                <w:lang w:eastAsia="zh-CN"/>
              </w:rPr>
              <w:t>委外单位</w:t>
            </w:r>
            <w:r>
              <w:rPr>
                <w:rFonts w:hint="eastAsia" w:ascii="宋体" w:hAnsi="宋体" w:eastAsia="宋体" w:cs="Times New Roman"/>
                <w:b w:val="0"/>
                <w:bCs/>
                <w:color w:val="auto"/>
                <w:kern w:val="2"/>
                <w:sz w:val="24"/>
                <w:szCs w:val="24"/>
                <w:highlight w:val="none"/>
                <w:lang w:val="en-US" w:eastAsia="zh-CN"/>
              </w:rPr>
              <w:t>/劳务派遣单位</w:t>
            </w:r>
            <w:r>
              <w:rPr>
                <w:rFonts w:hint="eastAsia" w:ascii="宋体" w:hAnsi="宋体" w:eastAsia="宋体" w:cs="Times New Roman"/>
                <w:b w:val="0"/>
                <w:bCs/>
                <w:color w:val="auto"/>
                <w:kern w:val="2"/>
                <w:sz w:val="24"/>
                <w:szCs w:val="24"/>
                <w:highlight w:val="none"/>
              </w:rPr>
              <w:t xml:space="preserve">）： </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single"/>
                <w:lang w:val="en-US" w:eastAsia="zh-CN"/>
              </w:rPr>
              <w:t xml:space="preserve">  </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single"/>
                <w:lang w:val="en-US" w:eastAsia="zh-CN"/>
              </w:rPr>
              <w:t xml:space="preserve">      </w:t>
            </w:r>
            <w:r>
              <w:rPr>
                <w:rFonts w:hint="eastAsia" w:ascii="宋体" w:hAnsi="宋体" w:eastAsia="宋体" w:cs="Times New Roman"/>
                <w:b w:val="0"/>
                <w:bCs/>
                <w:color w:val="auto"/>
                <w:kern w:val="2"/>
                <w:sz w:val="24"/>
                <w:szCs w:val="24"/>
                <w:highlight w:val="none"/>
                <w:u w:val="single"/>
              </w:rPr>
              <w:t xml:space="preserve">           </w:t>
            </w:r>
          </w:p>
          <w:p>
            <w:pPr>
              <w:widowControl w:val="0"/>
              <w:spacing w:before="120" w:after="0" w:afterAutospacing="0" w:line="480" w:lineRule="auto"/>
              <w:ind w:left="0" w:leftChars="0" w:right="0" w:hanging="5" w:firstLineChars="0"/>
              <w:rPr>
                <w:rFonts w:hint="eastAsia" w:ascii="宋体" w:hAnsi="宋体" w:eastAsia="宋体" w:cs="Times New Roman"/>
                <w:b w:val="0"/>
                <w:bCs/>
                <w:color w:val="auto"/>
                <w:kern w:val="2"/>
                <w:sz w:val="24"/>
                <w:szCs w:val="24"/>
                <w:highlight w:val="none"/>
                <w:u w:val="single"/>
              </w:rPr>
            </w:pPr>
            <w:r>
              <w:rPr>
                <w:rFonts w:hint="eastAsia" w:ascii="宋体" w:hAnsi="宋体" w:eastAsia="宋体" w:cs="Times New Roman"/>
                <w:b/>
                <w:color w:val="auto"/>
                <w:kern w:val="2"/>
                <w:sz w:val="24"/>
                <w:szCs w:val="24"/>
                <w:highlight w:val="none"/>
              </w:rPr>
              <w:t xml:space="preserve"> </w:t>
            </w:r>
            <w:r>
              <w:rPr>
                <w:rFonts w:hint="eastAsia" w:ascii="宋体" w:hAnsi="宋体" w:eastAsia="宋体" w:cs="Times New Roman"/>
                <w:b/>
                <w:color w:val="auto"/>
                <w:kern w:val="2"/>
                <w:sz w:val="24"/>
                <w:szCs w:val="24"/>
                <w:highlight w:val="none"/>
                <w:lang w:val="en-US" w:eastAsia="zh-CN"/>
              </w:rPr>
              <w:t xml:space="preserve">   </w:t>
            </w:r>
            <w:r>
              <w:rPr>
                <w:rFonts w:hint="eastAsia" w:ascii="宋体" w:hAnsi="宋体" w:eastAsia="宋体" w:cs="Times New Roman"/>
                <w:b w:val="0"/>
                <w:bCs/>
                <w:color w:val="auto"/>
                <w:kern w:val="2"/>
                <w:sz w:val="24"/>
                <w:szCs w:val="24"/>
                <w:highlight w:val="none"/>
                <w:lang w:val="en-US" w:eastAsia="zh-CN"/>
              </w:rPr>
              <w:t xml:space="preserve"> </w:t>
            </w:r>
            <w:r>
              <w:rPr>
                <w:rFonts w:hint="eastAsia" w:ascii="宋体" w:hAnsi="宋体" w:eastAsia="宋体" w:cs="Times New Roman"/>
                <w:b w:val="0"/>
                <w:bCs/>
                <w:color w:val="auto"/>
                <w:kern w:val="2"/>
                <w:sz w:val="24"/>
                <w:szCs w:val="24"/>
                <w:highlight w:val="none"/>
              </w:rPr>
              <w:t>经审核，</w:t>
            </w:r>
            <w:r>
              <w:rPr>
                <w:rFonts w:hint="eastAsia" w:ascii="宋体" w:hAnsi="宋体" w:eastAsia="宋体" w:cs="Times New Roman"/>
                <w:b w:val="0"/>
                <w:bCs/>
                <w:color w:val="auto"/>
                <w:kern w:val="2"/>
                <w:sz w:val="24"/>
                <w:szCs w:val="24"/>
                <w:highlight w:val="none"/>
                <w:lang w:val="en-US" w:eastAsia="zh-CN"/>
              </w:rPr>
              <w:t>你方承接的</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single"/>
                <w:lang w:val="en-US" w:eastAsia="zh-CN"/>
              </w:rPr>
              <w:t xml:space="preserve">                                </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single"/>
                <w:lang w:val="en-US" w:eastAsia="zh-CN"/>
              </w:rPr>
              <w:t xml:space="preserve">    </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none"/>
                <w:lang w:val="en-US" w:eastAsia="zh-CN"/>
              </w:rPr>
              <w:t>项目</w:t>
            </w:r>
            <w:r>
              <w:rPr>
                <w:rFonts w:hint="eastAsia" w:ascii="宋体" w:hAnsi="宋体" w:eastAsia="宋体" w:cs="Times New Roman"/>
                <w:b w:val="0"/>
                <w:bCs/>
                <w:color w:val="auto"/>
                <w:kern w:val="2"/>
                <w:sz w:val="24"/>
                <w:szCs w:val="24"/>
                <w:highlight w:val="none"/>
              </w:rPr>
              <w:t>已完成</w:t>
            </w:r>
            <w:r>
              <w:rPr>
                <w:rFonts w:hint="eastAsia" w:ascii="宋体" w:hAnsi="宋体" w:eastAsia="宋体" w:cs="Times New Roman"/>
                <w:b w:val="0"/>
                <w:bCs/>
                <w:color w:val="auto"/>
                <w:kern w:val="2"/>
                <w:sz w:val="24"/>
                <w:szCs w:val="24"/>
                <w:highlight w:val="none"/>
                <w:lang w:val="en-US" w:eastAsia="zh-CN"/>
              </w:rPr>
              <w:t>进场</w:t>
            </w:r>
            <w:r>
              <w:rPr>
                <w:rFonts w:hint="eastAsia" w:ascii="宋体" w:hAnsi="宋体" w:eastAsia="宋体" w:cs="Times New Roman"/>
                <w:b w:val="0"/>
                <w:bCs/>
                <w:color w:val="auto"/>
                <w:kern w:val="2"/>
                <w:sz w:val="24"/>
                <w:szCs w:val="24"/>
                <w:highlight w:val="none"/>
              </w:rPr>
              <w:t>准备</w:t>
            </w:r>
            <w:r>
              <w:rPr>
                <w:rFonts w:hint="eastAsia" w:ascii="宋体" w:hAnsi="宋体" w:eastAsia="宋体" w:cs="Times New Roman"/>
                <w:b w:val="0"/>
                <w:bCs/>
                <w:color w:val="auto"/>
                <w:kern w:val="2"/>
                <w:sz w:val="24"/>
                <w:szCs w:val="24"/>
                <w:highlight w:val="none"/>
                <w:lang w:val="en-US" w:eastAsia="zh-CN"/>
              </w:rPr>
              <w:t>工作</w:t>
            </w:r>
            <w:r>
              <w:rPr>
                <w:rFonts w:hint="eastAsia" w:ascii="宋体" w:hAnsi="宋体" w:eastAsia="宋体" w:cs="Times New Roman"/>
                <w:b w:val="0"/>
                <w:bCs/>
                <w:color w:val="auto"/>
                <w:kern w:val="2"/>
                <w:sz w:val="24"/>
                <w:szCs w:val="24"/>
                <w:highlight w:val="none"/>
              </w:rPr>
              <w:t>，</w:t>
            </w:r>
            <w:r>
              <w:rPr>
                <w:rFonts w:hint="eastAsia" w:ascii="宋体" w:hAnsi="宋体" w:eastAsia="宋体" w:cs="Times New Roman"/>
                <w:b w:val="0"/>
                <w:bCs/>
                <w:color w:val="auto"/>
                <w:kern w:val="2"/>
                <w:sz w:val="24"/>
                <w:szCs w:val="24"/>
                <w:highlight w:val="none"/>
                <w:lang w:val="en-US" w:eastAsia="zh-CN"/>
              </w:rPr>
              <w:t>各项手续完整，满足</w:t>
            </w:r>
            <w:r>
              <w:rPr>
                <w:rFonts w:hint="eastAsia" w:ascii="宋体" w:hAnsi="宋体" w:eastAsia="宋体" w:cs="Times New Roman"/>
                <w:b w:val="0"/>
                <w:bCs/>
                <w:color w:val="auto"/>
                <w:kern w:val="2"/>
                <w:sz w:val="24"/>
                <w:szCs w:val="24"/>
                <w:highlight w:val="none"/>
              </w:rPr>
              <w:t>开工条件，同意你方于</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rPr>
              <w:t>年</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u w:val="single"/>
                <w:lang w:val="en-US" w:eastAsia="zh-CN"/>
              </w:rPr>
              <w:t xml:space="preserve"> </w:t>
            </w:r>
            <w:r>
              <w:rPr>
                <w:rFonts w:hint="eastAsia" w:ascii="宋体" w:hAnsi="宋体" w:eastAsia="宋体" w:cs="Times New Roman"/>
                <w:b w:val="0"/>
                <w:bCs/>
                <w:color w:val="auto"/>
                <w:kern w:val="2"/>
                <w:sz w:val="24"/>
                <w:szCs w:val="24"/>
                <w:highlight w:val="none"/>
                <w:u w:val="single"/>
              </w:rPr>
              <w:t xml:space="preserve">      </w:t>
            </w:r>
          </w:p>
          <w:p>
            <w:pPr>
              <w:widowControl w:val="0"/>
              <w:spacing w:before="120" w:after="0" w:afterAutospacing="0" w:line="480" w:lineRule="auto"/>
              <w:ind w:left="0" w:leftChars="0" w:right="0" w:hanging="5" w:firstLineChars="0"/>
              <w:rPr>
                <w:rFonts w:hint="eastAsia" w:ascii="宋体" w:hAnsi="宋体" w:eastAsia="宋体" w:cs="Times New Roman"/>
                <w:b/>
                <w:color w:val="auto"/>
                <w:kern w:val="2"/>
                <w:sz w:val="24"/>
                <w:szCs w:val="24"/>
                <w:highlight w:val="none"/>
                <w:lang w:eastAsia="zh-CN"/>
              </w:rPr>
            </w:pPr>
            <w:r>
              <w:rPr>
                <w:rFonts w:hint="eastAsia" w:ascii="宋体" w:hAnsi="宋体" w:eastAsia="宋体" w:cs="Times New Roman"/>
                <w:b w:val="0"/>
                <w:bCs/>
                <w:color w:val="auto"/>
                <w:kern w:val="2"/>
                <w:sz w:val="24"/>
                <w:szCs w:val="24"/>
                <w:highlight w:val="none"/>
              </w:rPr>
              <w:t xml:space="preserve">月 </w:t>
            </w:r>
            <w:r>
              <w:rPr>
                <w:rFonts w:hint="eastAsia" w:ascii="宋体" w:hAnsi="宋体" w:eastAsia="宋体" w:cs="Times New Roman"/>
                <w:b w:val="0"/>
                <w:bCs/>
                <w:color w:val="auto"/>
                <w:kern w:val="2"/>
                <w:sz w:val="24"/>
                <w:szCs w:val="24"/>
                <w:highlight w:val="none"/>
                <w:u w:val="single"/>
              </w:rPr>
              <w:t xml:space="preserve">   </w:t>
            </w:r>
            <w:r>
              <w:rPr>
                <w:rFonts w:hint="eastAsia" w:ascii="宋体" w:hAnsi="宋体" w:eastAsia="宋体" w:cs="Times New Roman"/>
                <w:b w:val="0"/>
                <w:bCs/>
                <w:color w:val="auto"/>
                <w:kern w:val="2"/>
                <w:sz w:val="24"/>
                <w:szCs w:val="24"/>
                <w:highlight w:val="none"/>
              </w:rPr>
              <w:t>日起开始</w:t>
            </w:r>
            <w:r>
              <w:rPr>
                <w:rFonts w:hint="eastAsia" w:ascii="宋体" w:hAnsi="宋体" w:eastAsia="宋体" w:cs="Times New Roman"/>
                <w:b w:val="0"/>
                <w:bCs/>
                <w:color w:val="auto"/>
                <w:kern w:val="2"/>
                <w:sz w:val="24"/>
                <w:szCs w:val="24"/>
                <w:highlight w:val="none"/>
                <w:lang w:val="en-US" w:eastAsia="zh-CN"/>
              </w:rPr>
              <w:t>进场</w:t>
            </w:r>
            <w:r>
              <w:rPr>
                <w:rFonts w:hint="eastAsia" w:ascii="宋体" w:hAnsi="宋体" w:eastAsia="宋体" w:cs="Times New Roman"/>
                <w:b w:val="0"/>
                <w:bCs/>
                <w:color w:val="auto"/>
                <w:kern w:val="2"/>
                <w:sz w:val="24"/>
                <w:szCs w:val="24"/>
                <w:highlight w:val="none"/>
              </w:rPr>
              <w:t>。</w:t>
            </w:r>
            <w:r>
              <w:rPr>
                <w:rFonts w:hint="eastAsia" w:ascii="宋体" w:hAnsi="宋体" w:eastAsia="宋体" w:cs="Times New Roman"/>
                <w:b w:val="0"/>
                <w:bCs/>
                <w:color w:val="auto"/>
                <w:kern w:val="2"/>
                <w:sz w:val="24"/>
                <w:szCs w:val="24"/>
                <w:highlight w:val="none"/>
                <w:lang w:eastAsia="zh-CN"/>
              </w:rPr>
              <w:t>进场人数、设备清单详见附件（如有）。</w:t>
            </w:r>
          </w:p>
          <w:p>
            <w:pPr>
              <w:widowControl w:val="0"/>
              <w:spacing w:before="120" w:after="0" w:afterAutospacing="0" w:line="360" w:lineRule="auto"/>
              <w:ind w:left="0" w:right="0" w:firstLine="0"/>
              <w:rPr>
                <w:rFonts w:hint="eastAsia" w:ascii="宋体" w:hAnsi="宋体" w:eastAsia="宋体" w:cs="Times New Roman"/>
                <w:b/>
                <w:color w:val="auto"/>
                <w:kern w:val="2"/>
                <w:sz w:val="24"/>
                <w:szCs w:val="24"/>
                <w:highlight w:val="none"/>
              </w:rPr>
            </w:pPr>
          </w:p>
          <w:p>
            <w:pPr>
              <w:widowControl w:val="0"/>
              <w:spacing w:before="120" w:after="0" w:afterAutospacing="0" w:line="360" w:lineRule="auto"/>
              <w:ind w:left="0" w:right="0" w:firstLine="0"/>
              <w:rPr>
                <w:rFonts w:hint="eastAsia" w:ascii="宋体" w:hAnsi="宋体" w:eastAsia="宋体" w:cs="Times New Roman"/>
                <w:b/>
                <w:color w:val="auto"/>
                <w:kern w:val="2"/>
                <w:szCs w:val="24"/>
                <w:highlight w:val="none"/>
              </w:rPr>
            </w:pPr>
          </w:p>
          <w:p>
            <w:pPr>
              <w:widowControl w:val="0"/>
              <w:spacing w:before="120" w:after="0" w:afterAutospacing="0" w:line="360" w:lineRule="auto"/>
              <w:ind w:left="0" w:right="0" w:firstLine="0"/>
              <w:rPr>
                <w:rFonts w:hint="eastAsia" w:ascii="宋体" w:hAnsi="宋体" w:eastAsia="宋体" w:cs="Times New Roman"/>
                <w:b/>
                <w:color w:val="auto"/>
                <w:kern w:val="2"/>
                <w:szCs w:val="24"/>
                <w:highlight w:val="none"/>
              </w:rPr>
            </w:pPr>
          </w:p>
          <w:p>
            <w:pPr>
              <w:widowControl w:val="0"/>
              <w:spacing w:before="120" w:after="0" w:afterAutospacing="0" w:line="360" w:lineRule="auto"/>
              <w:ind w:left="0" w:right="0" w:firstLine="0"/>
              <w:rPr>
                <w:rFonts w:hint="eastAsia" w:ascii="宋体" w:hAnsi="宋体" w:eastAsia="宋体" w:cs="Times New Roman"/>
                <w:b/>
                <w:color w:val="auto"/>
                <w:kern w:val="2"/>
                <w:szCs w:val="24"/>
                <w:highlight w:val="none"/>
              </w:rPr>
            </w:pPr>
          </w:p>
        </w:tc>
        <w:tc>
          <w:tcPr>
            <w:tcW w:w="959" w:type="dxa"/>
            <w:vMerge w:val="restart"/>
            <w:tcBorders>
              <w:top w:val="nil"/>
              <w:left w:val="single" w:color="auto" w:sz="18" w:space="0"/>
              <w:right w:val="nil"/>
            </w:tcBorders>
            <w:noWrap w:val="0"/>
            <w:textDirection w:val="tbRlV"/>
            <w:vAlign w:val="top"/>
          </w:tcPr>
          <w:p>
            <w:pPr>
              <w:widowControl w:val="0"/>
              <w:spacing w:before="120" w:after="0" w:afterAutospacing="0" w:line="360" w:lineRule="auto"/>
              <w:ind w:left="113" w:right="113" w:firstLine="0"/>
              <w:rPr>
                <w:rFonts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 xml:space="preserve">           第      联  (交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widowControl w:val="0"/>
              <w:spacing w:before="120" w:after="0" w:afterAutospacing="0" w:line="360" w:lineRule="auto"/>
              <w:ind w:left="0" w:right="0" w:firstLine="0"/>
              <w:rPr>
                <w:rFonts w:hint="eastAsia" w:ascii="宋体" w:hAnsi="宋体" w:eastAsia="宋体" w:cs="Times New Roman"/>
                <w:b w:val="0"/>
                <w:bCs/>
                <w:color w:val="auto"/>
                <w:kern w:val="2"/>
                <w:sz w:val="24"/>
                <w:szCs w:val="24"/>
                <w:highlight w:val="none"/>
                <w:lang w:eastAsia="zh-CN"/>
              </w:rPr>
            </w:pPr>
            <w:r>
              <w:rPr>
                <w:rFonts w:hint="eastAsia" w:ascii="宋体" w:hAnsi="宋体" w:eastAsia="宋体" w:cs="Times New Roman"/>
                <w:b w:val="0"/>
                <w:bCs/>
                <w:color w:val="auto"/>
                <w:kern w:val="2"/>
                <w:sz w:val="24"/>
                <w:szCs w:val="24"/>
                <w:highlight w:val="none"/>
                <w:lang w:val="en-US" w:eastAsia="zh-CN"/>
              </w:rPr>
              <w:t>运营公司（盖章）：                        项目主办部门负责人</w:t>
            </w:r>
            <w:r>
              <w:rPr>
                <w:rFonts w:hint="eastAsia" w:ascii="宋体" w:hAnsi="宋体" w:eastAsia="宋体" w:cs="Times New Roman"/>
                <w:b w:val="0"/>
                <w:bCs/>
                <w:color w:val="auto"/>
                <w:kern w:val="2"/>
                <w:sz w:val="24"/>
                <w:szCs w:val="24"/>
                <w:highlight w:val="none"/>
              </w:rPr>
              <w:t>：</w:t>
            </w:r>
          </w:p>
          <w:p>
            <w:pPr>
              <w:widowControl w:val="0"/>
              <w:spacing w:before="120" w:after="0" w:afterAutospacing="0" w:line="360" w:lineRule="auto"/>
              <w:ind w:left="0" w:right="0" w:firstLine="0"/>
              <w:rPr>
                <w:rFonts w:hint="eastAsia" w:ascii="宋体" w:hAnsi="宋体" w:eastAsia="宋体" w:cs="Times New Roman"/>
                <w:b w:val="0"/>
                <w:bCs/>
                <w:color w:val="auto"/>
                <w:kern w:val="2"/>
                <w:sz w:val="24"/>
                <w:szCs w:val="24"/>
                <w:highlight w:val="none"/>
              </w:rPr>
            </w:pPr>
          </w:p>
          <w:p>
            <w:pPr>
              <w:widowControl w:val="0"/>
              <w:spacing w:before="120" w:after="0" w:afterAutospacing="0" w:line="360" w:lineRule="auto"/>
              <w:ind w:left="0" w:right="0" w:firstLine="0"/>
              <w:rPr>
                <w:rFonts w:hint="default" w:ascii="宋体" w:hAnsi="宋体" w:eastAsia="宋体" w:cs="Times New Roman"/>
                <w:b w:val="0"/>
                <w:bCs/>
                <w:color w:val="auto"/>
                <w:kern w:val="2"/>
                <w:szCs w:val="24"/>
                <w:highlight w:val="none"/>
                <w:lang w:val="en-US"/>
              </w:rPr>
            </w:pPr>
            <w:r>
              <w:rPr>
                <w:rFonts w:hint="eastAsia" w:ascii="宋体" w:hAnsi="宋体" w:eastAsia="宋体" w:cs="Times New Roman"/>
                <w:b w:val="0"/>
                <w:bCs/>
                <w:color w:val="auto"/>
                <w:kern w:val="2"/>
                <w:sz w:val="24"/>
                <w:szCs w:val="24"/>
                <w:highlight w:val="none"/>
              </w:rPr>
              <w:t>日</w:t>
            </w:r>
            <w:r>
              <w:rPr>
                <w:rFonts w:hint="eastAsia" w:ascii="宋体" w:hAnsi="宋体" w:eastAsia="宋体" w:cs="Times New Roman"/>
                <w:b w:val="0"/>
                <w:bCs/>
                <w:color w:val="auto"/>
                <w:kern w:val="2"/>
                <w:sz w:val="24"/>
                <w:szCs w:val="24"/>
                <w:highlight w:val="none"/>
                <w:lang w:val="en-US" w:eastAsia="zh-CN"/>
              </w:rPr>
              <w:t xml:space="preserve"> 期：      年   月   日</w:t>
            </w:r>
          </w:p>
        </w:tc>
        <w:tc>
          <w:tcPr>
            <w:tcW w:w="959" w:type="dxa"/>
            <w:vMerge w:val="continue"/>
            <w:tcBorders>
              <w:left w:val="single" w:color="auto" w:sz="18" w:space="0"/>
              <w:right w:val="nil"/>
            </w:tcBorders>
            <w:noWrap w:val="0"/>
            <w:textDirection w:val="tbRlV"/>
            <w:vAlign w:val="top"/>
          </w:tcPr>
          <w:p>
            <w:pPr>
              <w:widowControl w:val="0"/>
              <w:spacing w:before="120" w:after="0" w:afterAutospacing="0" w:line="360" w:lineRule="auto"/>
              <w:ind w:left="113" w:right="113" w:firstLine="0"/>
              <w:rPr>
                <w:rFonts w:hint="eastAsia" w:ascii="宋体" w:hAnsi="宋体" w:eastAsia="宋体" w:cs="Times New Roman"/>
                <w:b/>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20" w:type="dxa"/>
            <w:tcBorders>
              <w:top w:val="single" w:color="auto" w:sz="18" w:space="0"/>
              <w:left w:val="single" w:color="auto" w:sz="18" w:space="0"/>
              <w:bottom w:val="single" w:color="auto" w:sz="18" w:space="0"/>
              <w:right w:val="single" w:color="auto" w:sz="18" w:space="0"/>
            </w:tcBorders>
            <w:noWrap w:val="0"/>
            <w:vAlign w:val="top"/>
          </w:tcPr>
          <w:p>
            <w:pPr>
              <w:widowControl w:val="0"/>
              <w:spacing w:before="120" w:after="0" w:afterAutospacing="0" w:line="360" w:lineRule="auto"/>
              <w:ind w:left="0" w:right="0" w:firstLine="0"/>
              <w:rPr>
                <w:rFonts w:hint="eastAsia" w:ascii="宋体" w:hAnsi="宋体" w:eastAsia="宋体" w:cs="Times New Roman"/>
                <w:b w:val="0"/>
                <w:bCs/>
                <w:color w:val="auto"/>
                <w:kern w:val="2"/>
                <w:sz w:val="24"/>
                <w:szCs w:val="24"/>
                <w:highlight w:val="none"/>
                <w:lang w:val="en-US" w:eastAsia="zh-CN"/>
              </w:rPr>
            </w:pPr>
            <w:r>
              <w:rPr>
                <w:rFonts w:hint="eastAsia" w:ascii="宋体" w:hAnsi="宋体" w:eastAsia="宋体" w:cs="Times New Roman"/>
                <w:b w:val="0"/>
                <w:bCs/>
                <w:color w:val="auto"/>
                <w:kern w:val="2"/>
                <w:sz w:val="24"/>
                <w:szCs w:val="24"/>
                <w:highlight w:val="none"/>
                <w:lang w:val="en-US" w:eastAsia="zh-CN"/>
              </w:rPr>
              <w:t xml:space="preserve">委外单位/劳务派遣单位（盖章）：            委外项目负责人：                            </w:t>
            </w:r>
          </w:p>
          <w:p>
            <w:pPr>
              <w:widowControl w:val="0"/>
              <w:spacing w:before="120" w:after="0" w:afterAutospacing="0" w:line="360" w:lineRule="auto"/>
              <w:ind w:left="0" w:right="0" w:firstLine="0"/>
              <w:rPr>
                <w:rFonts w:hint="eastAsia" w:ascii="宋体" w:hAnsi="宋体" w:eastAsia="宋体" w:cs="Times New Roman"/>
                <w:b w:val="0"/>
                <w:bCs/>
                <w:color w:val="auto"/>
                <w:kern w:val="2"/>
                <w:sz w:val="24"/>
                <w:szCs w:val="24"/>
                <w:highlight w:val="none"/>
                <w:lang w:val="en-US" w:eastAsia="zh-CN"/>
              </w:rPr>
            </w:pPr>
            <w:r>
              <w:rPr>
                <w:rFonts w:hint="eastAsia" w:ascii="宋体" w:hAnsi="宋体" w:eastAsia="宋体" w:cs="Times New Roman"/>
                <w:b w:val="0"/>
                <w:bCs/>
                <w:color w:val="auto"/>
                <w:kern w:val="2"/>
                <w:sz w:val="24"/>
                <w:szCs w:val="24"/>
                <w:highlight w:val="none"/>
                <w:lang w:val="en-US" w:eastAsia="zh-CN"/>
              </w:rPr>
              <w:t>日 期：      年   月   日</w:t>
            </w:r>
          </w:p>
          <w:p>
            <w:pPr>
              <w:widowControl w:val="0"/>
              <w:spacing w:before="120" w:after="0" w:afterAutospacing="0" w:line="240" w:lineRule="auto"/>
              <w:ind w:left="0" w:right="0" w:firstLine="0"/>
              <w:rPr>
                <w:rFonts w:hint="eastAsia" w:ascii="宋体" w:hAnsi="宋体" w:eastAsia="宋体" w:cs="Times New Roman"/>
                <w:b w:val="0"/>
                <w:bCs/>
                <w:color w:val="auto"/>
                <w:kern w:val="2"/>
                <w:szCs w:val="24"/>
                <w:highlight w:val="none"/>
              </w:rPr>
            </w:pPr>
          </w:p>
          <w:p>
            <w:pPr>
              <w:widowControl w:val="0"/>
              <w:spacing w:before="120" w:after="0" w:afterAutospacing="0" w:line="240" w:lineRule="auto"/>
              <w:ind w:left="0" w:right="0" w:firstLine="0"/>
              <w:rPr>
                <w:rFonts w:hint="eastAsia" w:ascii="宋体" w:hAnsi="宋体" w:eastAsia="宋体" w:cs="Times New Roman"/>
                <w:b w:val="0"/>
                <w:bCs/>
                <w:color w:val="auto"/>
                <w:kern w:val="2"/>
                <w:szCs w:val="24"/>
                <w:highlight w:val="none"/>
              </w:rPr>
            </w:pPr>
            <w:r>
              <w:rPr>
                <w:rFonts w:hint="eastAsia" w:ascii="宋体" w:hAnsi="宋体" w:eastAsia="宋体" w:cs="Times New Roman"/>
                <w:b w:val="0"/>
                <w:bCs/>
                <w:color w:val="auto"/>
                <w:kern w:val="2"/>
                <w:sz w:val="24"/>
                <w:szCs w:val="24"/>
                <w:highlight w:val="none"/>
                <w:lang w:val="en-US" w:eastAsia="zh-CN"/>
              </w:rPr>
              <w:t>（委外单位/劳务派遣单位签字盖章的日期即为本项目的开工日期）</w:t>
            </w:r>
          </w:p>
        </w:tc>
        <w:tc>
          <w:tcPr>
            <w:tcW w:w="959" w:type="dxa"/>
            <w:vMerge w:val="continue"/>
            <w:tcBorders>
              <w:left w:val="single" w:color="auto" w:sz="18" w:space="0"/>
              <w:bottom w:val="nil"/>
              <w:right w:val="nil"/>
            </w:tcBorders>
            <w:noWrap w:val="0"/>
            <w:textDirection w:val="tbRlV"/>
            <w:vAlign w:val="top"/>
          </w:tcPr>
          <w:p>
            <w:pPr>
              <w:widowControl w:val="0"/>
              <w:spacing w:before="120" w:after="0" w:afterAutospacing="0" w:line="360" w:lineRule="auto"/>
              <w:ind w:left="113" w:right="113" w:firstLine="0"/>
              <w:rPr>
                <w:rFonts w:hint="eastAsia" w:ascii="宋体" w:hAnsi="宋体" w:eastAsia="宋体" w:cs="Times New Roman"/>
                <w:b/>
                <w:color w:val="auto"/>
                <w:kern w:val="2"/>
                <w:szCs w:val="24"/>
                <w:highlight w:val="none"/>
              </w:rPr>
            </w:pPr>
          </w:p>
        </w:tc>
      </w:tr>
    </w:tbl>
    <w:p>
      <w:pPr>
        <w:widowControl w:val="0"/>
        <w:spacing w:after="120"/>
        <w:ind w:left="0" w:leftChars="0" w:firstLine="0" w:firstLineChars="0"/>
        <w:jc w:val="both"/>
        <w:rPr>
          <w:rFonts w:ascii="Times New Roman" w:hAnsi="Times New Roman" w:eastAsia="宋体" w:cs="Times New Roman"/>
          <w:color w:val="auto"/>
          <w:kern w:val="2"/>
          <w:sz w:val="21"/>
          <w:szCs w:val="21"/>
          <w:highlight w:val="none"/>
          <w:lang w:val="en-US" w:eastAsia="zh-CN" w:bidi="ar-SA"/>
        </w:rPr>
      </w:pPr>
      <w:r>
        <w:rPr>
          <w:rFonts w:hint="eastAsia" w:ascii="宋体" w:hAnsi="宋体" w:eastAsia="宋体" w:cs="Times New Roman"/>
          <w:b w:val="0"/>
          <w:bCs/>
          <w:color w:val="auto"/>
          <w:kern w:val="2"/>
          <w:sz w:val="18"/>
          <w:szCs w:val="18"/>
          <w:highlight w:val="none"/>
          <w:lang w:val="en-US" w:eastAsia="zh-CN" w:bidi="ar-SA"/>
        </w:rPr>
        <w:t>说明：本表单一式两份，运营公司主办和委外单位/劳务派遣单位各持一份，作为项目实施起始时间的凭证。</w:t>
      </w:r>
    </w:p>
    <w:p>
      <w:pPr>
        <w:shd w:val="clear"/>
        <w:spacing w:after="0" w:afterAutospacing="0"/>
        <w:ind w:left="0" w:firstLine="0"/>
        <w:rPr>
          <w:rFonts w:asciiTheme="minorEastAsia" w:hAnsiTheme="minorEastAsia" w:eastAsiaTheme="minorEastAsia"/>
          <w:b w:val="0"/>
          <w:sz w:val="21"/>
          <w:szCs w:val="21"/>
          <w:highlight w:val="none"/>
        </w:rPr>
      </w:pPr>
    </w:p>
    <w:p>
      <w:pPr>
        <w:widowControl/>
        <w:shd w:val="clear" w:color="auto" w:fill="FFFFFF"/>
        <w:spacing w:line="500" w:lineRule="exact"/>
        <w:jc w:val="center"/>
        <w:rPr>
          <w:rFonts w:eastAsia="Times New Roman" w:cs="Calibri"/>
          <w:kern w:val="0"/>
          <w:sz w:val="24"/>
          <w:szCs w:val="24"/>
        </w:rPr>
      </w:pPr>
    </w:p>
    <w:p>
      <w:pPr>
        <w:pStyle w:val="2"/>
        <w:rPr>
          <w:rFonts w:cs="Times New Roman" w:asciiTheme="minorEastAsia" w:hAnsiTheme="minorEastAsia" w:eastAsiaTheme="minorEastAsia"/>
          <w:sz w:val="21"/>
          <w:szCs w:val="21"/>
          <w:highlight w:val="none"/>
        </w:rPr>
        <w:sectPr>
          <w:footerReference r:id="rId9" w:type="first"/>
          <w:footerReference r:id="rId8" w:type="default"/>
          <w:pgSz w:w="11905" w:h="16838"/>
          <w:pgMar w:top="567" w:right="1134" w:bottom="567" w:left="1134" w:header="340" w:footer="567" w:gutter="0"/>
          <w:pgNumType w:fmt="decimal"/>
          <w:cols w:space="720" w:num="1"/>
          <w:titlePg/>
          <w:docGrid w:linePitch="319" w:charSpace="0"/>
        </w:sectPr>
      </w:pPr>
      <w:r>
        <w:rPr>
          <w:rFonts w:hint="eastAsia" w:ascii="Calibri" w:hAnsi="Calibri" w:cs="宋体"/>
          <w:b/>
          <w:bCs/>
          <w:kern w:val="0"/>
          <w:sz w:val="24"/>
          <w:szCs w:val="24"/>
          <w:lang w:bidi="ar"/>
        </w:rPr>
        <w:t xml:space="preserve"> </w:t>
      </w:r>
      <w:bookmarkEnd w:id="1831"/>
      <w:bookmarkStart w:id="1832" w:name="_Toc137824317"/>
    </w:p>
    <w:bookmarkEnd w:id="1832"/>
    <w:p>
      <w:pPr>
        <w:pStyle w:val="14"/>
        <w:numPr>
          <w:ilvl w:val="0"/>
          <w:numId w:val="0"/>
        </w:numPr>
        <w:shd w:val="clear"/>
        <w:spacing w:line="360" w:lineRule="auto"/>
        <w:ind w:leftChars="0" w:right="-27" w:rightChars="0"/>
        <w:rPr>
          <w:rFonts w:hint="eastAsia" w:hAnsi="宋体"/>
          <w:b/>
          <w:sz w:val="32"/>
          <w:szCs w:val="32"/>
          <w:highlight w:val="none"/>
        </w:rPr>
      </w:pPr>
      <w:r>
        <w:rPr>
          <w:rFonts w:hint="eastAsia" w:hAnsi="宋体"/>
          <w:b/>
          <w:sz w:val="32"/>
          <w:szCs w:val="32"/>
          <w:highlight w:val="none"/>
          <w:lang w:val="en-US" w:eastAsia="zh-CN"/>
        </w:rPr>
        <w:t>七、</w:t>
      </w:r>
      <w:r>
        <w:rPr>
          <w:rFonts w:hint="eastAsia" w:hAnsi="宋体"/>
          <w:b/>
          <w:sz w:val="32"/>
          <w:szCs w:val="32"/>
          <w:highlight w:val="none"/>
        </w:rPr>
        <w:t>比选文件（另册）</w:t>
      </w:r>
    </w:p>
    <w:p>
      <w:pPr>
        <w:pStyle w:val="7"/>
        <w:keepNext/>
        <w:keepLines/>
        <w:numPr>
          <w:ilvl w:val="3"/>
          <w:numId w:val="0"/>
        </w:numPr>
        <w:shd w:val="clear"/>
        <w:spacing w:before="280" w:after="290" w:afterAutospacing="1" w:line="376" w:lineRule="auto"/>
        <w:ind w:right="-27" w:rightChars="0"/>
        <w:jc w:val="both"/>
        <w:outlineLvl w:val="9"/>
        <w:rPr>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int="eastAsia" w:hAnsi="宋体"/>
          <w:b/>
          <w:sz w:val="32"/>
          <w:szCs w:val="32"/>
          <w:highlight w:val="none"/>
        </w:rPr>
      </w:pPr>
    </w:p>
    <w:p>
      <w:pPr>
        <w:pStyle w:val="14"/>
        <w:shd w:val="clear"/>
        <w:spacing w:line="360" w:lineRule="auto"/>
        <w:rPr>
          <w:rFonts w:hAnsi="宋体"/>
          <w:b/>
          <w:sz w:val="32"/>
          <w:szCs w:val="32"/>
          <w:highlight w:val="none"/>
        </w:rPr>
      </w:pPr>
      <w:r>
        <w:rPr>
          <w:rFonts w:hint="eastAsia" w:hAnsi="宋体"/>
          <w:b/>
          <w:sz w:val="32"/>
          <w:szCs w:val="32"/>
          <w:highlight w:val="none"/>
        </w:rPr>
        <w:t>八、比选申请文件（另册）</w:t>
      </w:r>
    </w:p>
    <w:p>
      <w:pPr>
        <w:pStyle w:val="14"/>
        <w:pageBreakBefore/>
        <w:shd w:val="clear"/>
        <w:ind w:right="-57" w:firstLine="0"/>
        <w:jc w:val="center"/>
        <w:outlineLvl w:val="0"/>
        <w:rPr>
          <w:rStyle w:val="45"/>
          <w:rFonts w:ascii="宋体" w:hAnsi="宋体" w:eastAsia="宋体"/>
          <w:highlight w:val="none"/>
        </w:rPr>
      </w:pPr>
      <w:bookmarkStart w:id="1833" w:name="_Toc7928"/>
      <w:bookmarkStart w:id="1834" w:name="_Toc1685"/>
      <w:bookmarkStart w:id="1835" w:name="_Toc10800"/>
      <w:bookmarkStart w:id="1836" w:name="_Toc26237"/>
      <w:bookmarkStart w:id="1837" w:name="_Toc11917"/>
      <w:bookmarkStart w:id="1838" w:name="_Toc28195"/>
      <w:bookmarkStart w:id="1839" w:name="_Toc15135"/>
      <w:r>
        <w:rPr>
          <w:rStyle w:val="45"/>
          <w:rFonts w:hint="eastAsia" w:ascii="宋体" w:hAnsi="宋体" w:eastAsia="宋体"/>
          <w:highlight w:val="none"/>
        </w:rPr>
        <w:t>第四章</w:t>
      </w:r>
      <w:r>
        <w:rPr>
          <w:rStyle w:val="45"/>
          <w:rFonts w:hint="eastAsia" w:hAnsi="宋体"/>
          <w:highlight w:val="none"/>
          <w:lang w:val="en-US" w:eastAsia="zh-CN"/>
        </w:rPr>
        <w:t xml:space="preserve"> </w:t>
      </w:r>
      <w:r>
        <w:rPr>
          <w:rStyle w:val="45"/>
          <w:rFonts w:hint="eastAsia" w:ascii="宋体" w:hAnsi="宋体" w:eastAsia="宋体"/>
          <w:highlight w:val="none"/>
        </w:rPr>
        <w:t>比选申请文件格式</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33"/>
      <w:bookmarkEnd w:id="1834"/>
      <w:bookmarkEnd w:id="1835"/>
      <w:bookmarkEnd w:id="1836"/>
      <w:bookmarkEnd w:id="1837"/>
      <w:bookmarkEnd w:id="1838"/>
      <w:bookmarkEnd w:id="1839"/>
    </w:p>
    <w:p>
      <w:pPr>
        <w:pStyle w:val="4"/>
        <w:shd w:val="clear"/>
        <w:spacing w:after="100"/>
        <w:ind w:right="-57" w:firstLine="0"/>
        <w:jc w:val="center"/>
        <w:outlineLvl w:val="1"/>
        <w:rPr>
          <w:sz w:val="24"/>
          <w:szCs w:val="24"/>
          <w:highlight w:val="none"/>
        </w:rPr>
      </w:pPr>
      <w:bookmarkStart w:id="1840" w:name="_Toc16635"/>
      <w:bookmarkStart w:id="1841" w:name="_Toc26933"/>
      <w:bookmarkStart w:id="1842" w:name="_Toc14564"/>
      <w:bookmarkStart w:id="1843" w:name="_Toc6951"/>
      <w:bookmarkStart w:id="1844" w:name="_Toc10563"/>
      <w:bookmarkStart w:id="1845" w:name="_Toc6834"/>
      <w:bookmarkStart w:id="1846" w:name="_Toc30471"/>
      <w:bookmarkStart w:id="1847" w:name="_Toc24453"/>
      <w:bookmarkStart w:id="1848" w:name="_Toc492478802"/>
      <w:bookmarkStart w:id="1849" w:name="_Toc12984805"/>
      <w:bookmarkStart w:id="1850" w:name="_Toc32185"/>
      <w:bookmarkStart w:id="1851" w:name="_Toc23261"/>
      <w:bookmarkStart w:id="1852" w:name="_Toc19412"/>
      <w:bookmarkStart w:id="1853" w:name="_Toc25325"/>
      <w:bookmarkStart w:id="1854" w:name="_Toc31624"/>
      <w:bookmarkStart w:id="1855" w:name="_Toc4873"/>
      <w:bookmarkStart w:id="1856" w:name="_Toc22709"/>
      <w:bookmarkStart w:id="1857" w:name="_Toc31535"/>
      <w:bookmarkStart w:id="1858" w:name="_Toc361"/>
      <w:bookmarkStart w:id="1859" w:name="_Toc24824"/>
      <w:bookmarkStart w:id="1860" w:name="_Toc30705"/>
      <w:bookmarkStart w:id="1861" w:name="_Toc21274"/>
      <w:bookmarkStart w:id="1862" w:name="_Toc12983549"/>
      <w:bookmarkStart w:id="1863" w:name="_Toc3396"/>
      <w:bookmarkStart w:id="1864" w:name="_Toc16671"/>
      <w:bookmarkStart w:id="1865" w:name="_Toc414290520"/>
      <w:bookmarkStart w:id="1866" w:name="_Toc6941"/>
      <w:bookmarkStart w:id="1867" w:name="_Toc4027"/>
      <w:r>
        <w:rPr>
          <w:sz w:val="24"/>
          <w:szCs w:val="24"/>
          <w:highlight w:val="none"/>
        </w:rPr>
        <w:t>A  资格审查</w:t>
      </w:r>
      <w:r>
        <w:rPr>
          <w:rFonts w:hint="eastAsia"/>
          <w:sz w:val="24"/>
          <w:szCs w:val="24"/>
          <w:highlight w:val="none"/>
        </w:rPr>
        <w:t>文件</w:t>
      </w:r>
      <w:bookmarkEnd w:id="1840"/>
      <w:bookmarkEnd w:id="1841"/>
      <w:bookmarkEnd w:id="1842"/>
      <w:bookmarkEnd w:id="1843"/>
      <w:bookmarkEnd w:id="1844"/>
      <w:bookmarkEnd w:id="1845"/>
      <w:bookmarkEnd w:id="1846"/>
    </w:p>
    <w:p>
      <w:pPr>
        <w:shd w:val="clea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shd w:val="clea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（1）法定代表人授权书（格式见A1）及法定代表人资格证明书（如无授权时，只需提供法定代表人资格证明书，格式见A2），法定代表人及被授权人身份证复印件；</w:t>
      </w:r>
    </w:p>
    <w:p>
      <w:pPr>
        <w:shd w:val="clear"/>
        <w:tabs>
          <w:tab w:val="left" w:pos="1134"/>
        </w:tabs>
        <w:spacing w:before="0" w:after="0" w:afterAutospacing="0"/>
        <w:ind w:left="0" w:right="0" w:firstLine="420" w:firstLineChars="200"/>
        <w:rPr>
          <w:rFonts w:hint="eastAsia" w:hAnsi="宋体"/>
          <w:highlight w:val="none"/>
        </w:rPr>
      </w:pPr>
      <w:r>
        <w:rPr>
          <w:rFonts w:hint="eastAsia" w:hAnsi="宋体"/>
          <w:highlight w:val="none"/>
        </w:rPr>
        <w:t>（</w:t>
      </w:r>
      <w:r>
        <w:rPr>
          <w:rFonts w:hint="eastAsia" w:ascii="Times New Roman" w:hAnsi="宋体" w:eastAsia="宋体" w:cs="Times New Roman"/>
          <w:highlight w:val="none"/>
        </w:rPr>
        <w:t>2）比选申请人有效的营业执照副本复印件；</w:t>
      </w:r>
    </w:p>
    <w:p>
      <w:pPr>
        <w:shd w:val="clear"/>
        <w:spacing w:before="0" w:after="0" w:afterAutospacing="0"/>
        <w:ind w:left="0" w:right="0" w:firstLine="420" w:firstLineChars="200"/>
        <w:rPr>
          <w:rFonts w:hint="eastAsia" w:ascii="Times New Roman" w:hAnsi="宋体" w:eastAsia="宋体" w:cs="Times New Roman"/>
          <w:highlight w:val="none"/>
        </w:rPr>
      </w:pPr>
      <w:r>
        <w:rPr>
          <w:rFonts w:hint="eastAsia" w:ascii="Times New Roman" w:hAnsi="宋体" w:eastAsia="宋体" w:cs="Times New Roman"/>
          <w:highlight w:val="none"/>
        </w:rPr>
        <w:t>（3）</w:t>
      </w:r>
      <w:r>
        <w:rPr>
          <w:rFonts w:hint="eastAsia" w:ascii="Times New Roman" w:hAnsi="宋体" w:eastAsia="宋体" w:cs="Times New Roman"/>
          <w:highlight w:val="none"/>
          <w:lang w:val="en-US" w:eastAsia="zh-CN"/>
        </w:rPr>
        <w:t>符合</w:t>
      </w:r>
      <w:r>
        <w:rPr>
          <w:rFonts w:hint="eastAsia" w:hAnsi="宋体" w:cs="Times New Roman"/>
          <w:highlight w:val="none"/>
          <w:lang w:val="en-US" w:eastAsia="zh-CN"/>
        </w:rPr>
        <w:t>比选</w:t>
      </w:r>
      <w:r>
        <w:rPr>
          <w:rFonts w:hint="eastAsia" w:ascii="Times New Roman" w:hAnsi="宋体" w:eastAsia="宋体" w:cs="Times New Roman"/>
          <w:highlight w:val="none"/>
          <w:lang w:val="en-US" w:eastAsia="zh-CN"/>
        </w:rPr>
        <w:t>文件要求的有效期内的资质证书等证明材料复印件；</w:t>
      </w:r>
    </w:p>
    <w:p>
      <w:pPr>
        <w:shd w:val="clear"/>
        <w:spacing w:before="0" w:after="0" w:afterAutospacing="0"/>
        <w:ind w:left="0" w:right="0" w:firstLine="420" w:firstLineChars="200"/>
        <w:rPr>
          <w:rFonts w:hAnsi="宋体"/>
          <w:highlight w:val="none"/>
        </w:rPr>
      </w:pPr>
      <w:r>
        <w:rPr>
          <w:rFonts w:hint="eastAsia" w:hAnsi="宋体"/>
          <w:highlight w:val="none"/>
        </w:rPr>
        <w:t>（</w:t>
      </w:r>
      <w:r>
        <w:rPr>
          <w:rFonts w:hint="eastAsia" w:hAnsi="宋体"/>
          <w:highlight w:val="none"/>
          <w:lang w:val="en-US" w:eastAsia="zh-CN"/>
        </w:rPr>
        <w:t>4</w:t>
      </w:r>
      <w:r>
        <w:rPr>
          <w:rFonts w:hint="eastAsia" w:hAnsi="宋体"/>
          <w:highlight w:val="none"/>
        </w:rPr>
        <w:t>）</w:t>
      </w:r>
      <w:r>
        <w:rPr>
          <w:rFonts w:hAnsi="宋体"/>
          <w:highlight w:val="none"/>
        </w:rPr>
        <w:t>承诺书（格式见</w:t>
      </w:r>
      <w:r>
        <w:rPr>
          <w:highlight w:val="none"/>
        </w:rPr>
        <w:t>A</w:t>
      </w:r>
      <w:r>
        <w:rPr>
          <w:rFonts w:hint="eastAsia"/>
          <w:highlight w:val="none"/>
        </w:rPr>
        <w:t>3</w:t>
      </w:r>
      <w:r>
        <w:rPr>
          <w:rFonts w:hAnsi="宋体"/>
          <w:highlight w:val="none"/>
        </w:rPr>
        <w:t>）；</w:t>
      </w:r>
    </w:p>
    <w:p>
      <w:pPr>
        <w:shd w:val="clear"/>
        <w:spacing w:before="0" w:after="0" w:afterAutospacing="0"/>
        <w:ind w:left="0" w:right="0" w:firstLine="420" w:firstLineChars="200"/>
        <w:rPr>
          <w:highlight w:val="none"/>
        </w:rPr>
      </w:pPr>
      <w:r>
        <w:rPr>
          <w:rFonts w:hint="eastAsia" w:hAnsi="宋体"/>
          <w:highlight w:val="none"/>
        </w:rPr>
        <w:t>（</w:t>
      </w:r>
      <w:r>
        <w:rPr>
          <w:rFonts w:hint="eastAsia" w:hAnsi="宋体"/>
          <w:highlight w:val="none"/>
          <w:lang w:val="en-US" w:eastAsia="zh-CN"/>
        </w:rPr>
        <w:t>5</w:t>
      </w:r>
      <w:r>
        <w:rPr>
          <w:rFonts w:hint="eastAsia" w:hAnsi="宋体"/>
          <w:highlight w:val="none"/>
        </w:rPr>
        <w:t>）类似项目业绩表（A4）；</w:t>
      </w:r>
    </w:p>
    <w:p>
      <w:pPr>
        <w:shd w:val="clear"/>
        <w:spacing w:before="0" w:after="0" w:afterAutospacing="0"/>
        <w:ind w:left="0" w:right="0" w:firstLine="420" w:firstLineChars="200"/>
        <w:rPr>
          <w:highlight w:val="none"/>
        </w:rPr>
      </w:pPr>
      <w:r>
        <w:rPr>
          <w:rFonts w:hint="eastAsia" w:hAnsi="宋体"/>
          <w:highlight w:val="none"/>
        </w:rPr>
        <w:t>（</w:t>
      </w:r>
      <w:r>
        <w:rPr>
          <w:rFonts w:hint="eastAsia" w:hAnsi="宋体"/>
          <w:highlight w:val="none"/>
          <w:lang w:val="en-US" w:eastAsia="zh-CN"/>
        </w:rPr>
        <w:t>6</w:t>
      </w:r>
      <w:r>
        <w:rPr>
          <w:rFonts w:hint="eastAsia" w:hAnsi="宋体"/>
          <w:highlight w:val="none"/>
        </w:rPr>
        <w:t>）比选申请人认为应提交的其他比选申请资料。</w:t>
      </w:r>
    </w:p>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p>
    <w:p>
      <w:pPr>
        <w:shd w:val="clear"/>
        <w:spacing w:before="0" w:after="0" w:afterAutospacing="0"/>
        <w:ind w:left="0" w:right="0" w:firstLine="420" w:firstLineChars="200"/>
        <w:rPr>
          <w:rFonts w:hAnsi="宋体"/>
          <w:highlight w:val="none"/>
        </w:rPr>
        <w:sectPr>
          <w:footerReference r:id="rId10" w:type="default"/>
          <w:pgSz w:w="11905" w:h="16838"/>
          <w:pgMar w:top="1417" w:right="1417" w:bottom="1417" w:left="1417" w:header="454" w:footer="567" w:gutter="0"/>
          <w:pgNumType w:fmt="decimal"/>
          <w:cols w:space="720" w:num="1"/>
          <w:docGrid w:linePitch="312" w:charSpace="0"/>
        </w:sectPr>
      </w:pPr>
    </w:p>
    <w:p>
      <w:pPr>
        <w:numPr>
          <w:ilvl w:val="1"/>
          <w:numId w:val="10"/>
        </w:numPr>
        <w:shd w:val="clear"/>
        <w:snapToGrid w:val="0"/>
        <w:spacing w:before="0" w:line="240" w:lineRule="auto"/>
        <w:ind w:right="0" w:firstLine="0"/>
        <w:jc w:val="left"/>
        <w:outlineLvl w:val="0"/>
        <w:rPr>
          <w:rFonts w:ascii="宋体" w:hAnsi="宋体"/>
          <w:b/>
          <w:highlight w:val="none"/>
        </w:rPr>
      </w:pPr>
      <w:bookmarkStart w:id="1868" w:name="_Toc2126"/>
      <w:bookmarkStart w:id="1869" w:name="_Toc32455"/>
      <w:bookmarkStart w:id="1870" w:name="_Toc16089"/>
      <w:bookmarkStart w:id="1871" w:name="_Toc4125"/>
      <w:bookmarkStart w:id="1872" w:name="_Toc5195"/>
      <w:bookmarkStart w:id="1873" w:name="_Toc10238"/>
      <w:bookmarkStart w:id="1874" w:name="_Toc13041"/>
      <w:bookmarkStart w:id="1875" w:name="_Toc21938"/>
      <w:bookmarkStart w:id="1876" w:name="_Toc25750675"/>
      <w:bookmarkStart w:id="1877" w:name="_Toc25011"/>
      <w:bookmarkStart w:id="1878" w:name="_Toc9658"/>
      <w:bookmarkStart w:id="1879" w:name="_Toc10789"/>
      <w:bookmarkStart w:id="1880" w:name="_Toc20029"/>
      <w:bookmarkStart w:id="1881" w:name="_Toc22259"/>
      <w:bookmarkStart w:id="1882" w:name="_Toc956"/>
      <w:bookmarkStart w:id="1883" w:name="_Toc3499"/>
      <w:bookmarkStart w:id="1884" w:name="_Toc20283"/>
      <w:bookmarkStart w:id="1885" w:name="_Toc8868"/>
      <w:bookmarkStart w:id="1886" w:name="_Toc22533"/>
      <w:bookmarkStart w:id="1887" w:name="_Toc13797"/>
      <w:bookmarkStart w:id="1888" w:name="_Toc20671"/>
      <w:bookmarkStart w:id="1889" w:name="_Toc8793"/>
      <w:bookmarkStart w:id="1890" w:name="_Toc13389"/>
      <w:bookmarkStart w:id="1891" w:name="_Toc7057"/>
      <w:bookmarkStart w:id="1892" w:name="_Toc12984807"/>
      <w:bookmarkStart w:id="1893" w:name="_Toc10433"/>
      <w:bookmarkStart w:id="1894" w:name="_Toc26535"/>
      <w:bookmarkStart w:id="1895" w:name="_Toc375564351"/>
      <w:bookmarkStart w:id="1896" w:name="_Toc492478804"/>
      <w:bookmarkStart w:id="1897" w:name="_Toc414290522"/>
      <w:bookmarkStart w:id="1898" w:name="_Toc24436"/>
      <w:bookmarkStart w:id="1899" w:name="_Toc15696"/>
      <w:r>
        <w:rPr>
          <w:rFonts w:ascii="宋体" w:hAnsi="宋体"/>
          <w:b/>
          <w:highlight w:val="none"/>
        </w:rPr>
        <w:t>法定代表人授权书格式</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shd w:val="clear"/>
        <w:spacing w:before="240" w:after="240"/>
        <w:ind w:right="0" w:firstLine="0"/>
        <w:jc w:val="center"/>
        <w:rPr>
          <w:rFonts w:ascii="宋体" w:hAnsi="宋体"/>
          <w:b/>
          <w:sz w:val="32"/>
          <w:szCs w:val="32"/>
          <w:highlight w:val="none"/>
        </w:rPr>
      </w:pPr>
    </w:p>
    <w:p>
      <w:pPr>
        <w:shd w:val="clea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shd w:val="clear"/>
        <w:tabs>
          <w:tab w:val="left" w:pos="8364"/>
        </w:tabs>
        <w:snapToGrid w:val="0"/>
        <w:ind w:left="500" w:right="0" w:hanging="499"/>
        <w:rPr>
          <w:rFonts w:ascii="宋体" w:hAnsi="宋体"/>
          <w:highlight w:val="none"/>
        </w:rPr>
      </w:pPr>
      <w:r>
        <w:rPr>
          <w:rFonts w:ascii="宋体" w:hAnsi="宋体"/>
          <w:highlight w:val="none"/>
        </w:rPr>
        <w:t>致：</w:t>
      </w:r>
      <w:r>
        <w:rPr>
          <w:rFonts w:hint="eastAsia" w:ascii="宋体" w:hAnsi="宋体"/>
          <w:highlight w:val="none"/>
        </w:rPr>
        <w:t>南宁轨道交通运营有限公司</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本授权书声明：注册于(国家或地区)的（比选申请人名称）在下面签字</w:t>
      </w:r>
      <w:r>
        <w:rPr>
          <w:rFonts w:hint="eastAsia" w:ascii="宋体" w:hAnsi="宋体" w:cs="黑体"/>
          <w:kern w:val="2"/>
          <w:szCs w:val="22"/>
          <w:highlight w:val="none"/>
        </w:rPr>
        <w:t>或盖章</w:t>
      </w:r>
      <w:r>
        <w:rPr>
          <w:rFonts w:ascii="宋体" w:hAnsi="宋体" w:cs="黑体"/>
          <w:kern w:val="2"/>
          <w:szCs w:val="22"/>
          <w:highlight w:val="none"/>
        </w:rPr>
        <w:t>的（法定代表人姓名、职务）代表本公司授权在下面签字</w:t>
      </w:r>
      <w:r>
        <w:rPr>
          <w:rFonts w:hint="eastAsia" w:ascii="宋体" w:hAnsi="宋体" w:cs="黑体"/>
          <w:kern w:val="2"/>
          <w:szCs w:val="22"/>
          <w:highlight w:val="none"/>
        </w:rPr>
        <w:t>或盖章</w:t>
      </w:r>
      <w:r>
        <w:rPr>
          <w:rFonts w:ascii="宋体" w:hAnsi="宋体" w:cs="黑体"/>
          <w:kern w:val="2"/>
          <w:szCs w:val="22"/>
          <w:highlight w:val="none"/>
        </w:rPr>
        <w:t>的（被授权人的姓名、职务）为本公司的合法代理人，就项目编号为</w:t>
      </w:r>
      <w:r>
        <w:rPr>
          <w:rFonts w:hint="eastAsia" w:ascii="宋体" w:hAnsi="宋体" w:cs="黑体"/>
          <w:kern w:val="2"/>
          <w:szCs w:val="22"/>
          <w:highlight w:val="none"/>
          <w:lang w:val="en-US" w:eastAsia="zh-CN"/>
        </w:rPr>
        <w:t xml:space="preserve">          </w:t>
      </w:r>
      <w:r>
        <w:rPr>
          <w:rFonts w:ascii="宋体" w:hAnsi="宋体" w:cs="黑体"/>
          <w:kern w:val="2"/>
          <w:szCs w:val="22"/>
          <w:highlight w:val="none"/>
        </w:rPr>
        <w:t>的</w:t>
      </w:r>
      <w:r>
        <w:rPr>
          <w:rFonts w:hint="eastAsia" w:ascii="宋体" w:hAnsi="宋体" w:cs="黑体"/>
          <w:kern w:val="2"/>
          <w:szCs w:val="22"/>
          <w:highlight w:val="none"/>
          <w:lang w:val="en-US" w:eastAsia="zh-CN"/>
        </w:rPr>
        <w:t xml:space="preserve">                     </w:t>
      </w:r>
      <w:r>
        <w:rPr>
          <w:rFonts w:ascii="宋体" w:hAnsi="宋体" w:cs="黑体"/>
          <w:kern w:val="2"/>
          <w:szCs w:val="22"/>
          <w:highlight w:val="none"/>
        </w:rPr>
        <w:t>的比选申请和合同执行，作为比选申请人代表以本公司的名义处理一切与之有关的事宜。</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本授权书于</w:t>
      </w:r>
      <w:r>
        <w:rPr>
          <w:rFonts w:hint="eastAsia" w:ascii="宋体" w:hAnsi="宋体" w:cs="黑体"/>
          <w:kern w:val="2"/>
          <w:szCs w:val="22"/>
          <w:highlight w:val="none"/>
        </w:rPr>
        <w:t xml:space="preserve">       </w:t>
      </w:r>
      <w:r>
        <w:rPr>
          <w:rFonts w:ascii="宋体" w:hAnsi="宋体" w:cs="黑体"/>
          <w:kern w:val="2"/>
          <w:szCs w:val="22"/>
          <w:highlight w:val="none"/>
        </w:rPr>
        <w:t>年</w:t>
      </w:r>
      <w:r>
        <w:rPr>
          <w:rFonts w:hint="eastAsia" w:ascii="宋体" w:hAnsi="宋体" w:cs="黑体"/>
          <w:kern w:val="2"/>
          <w:szCs w:val="22"/>
          <w:highlight w:val="none"/>
        </w:rPr>
        <w:t xml:space="preserve">      </w:t>
      </w:r>
      <w:r>
        <w:rPr>
          <w:rFonts w:ascii="宋体" w:hAnsi="宋体" w:cs="黑体"/>
          <w:kern w:val="2"/>
          <w:szCs w:val="22"/>
          <w:highlight w:val="none"/>
        </w:rPr>
        <w:t>月</w:t>
      </w:r>
      <w:r>
        <w:rPr>
          <w:rFonts w:hint="eastAsia" w:ascii="宋体" w:hAnsi="宋体" w:cs="黑体"/>
          <w:kern w:val="2"/>
          <w:szCs w:val="22"/>
          <w:highlight w:val="none"/>
        </w:rPr>
        <w:t xml:space="preserve">      </w:t>
      </w:r>
      <w:r>
        <w:rPr>
          <w:rFonts w:ascii="宋体" w:hAnsi="宋体" w:cs="黑体"/>
          <w:kern w:val="2"/>
          <w:szCs w:val="22"/>
          <w:highlight w:val="none"/>
        </w:rPr>
        <w:t>日签字生效，特此声明。</w:t>
      </w:r>
    </w:p>
    <w:p>
      <w:pPr>
        <w:shd w:val="clear"/>
        <w:tabs>
          <w:tab w:val="left" w:pos="8364"/>
        </w:tabs>
        <w:snapToGrid w:val="0"/>
        <w:ind w:right="0" w:firstLine="200"/>
        <w:rPr>
          <w:rFonts w:ascii="宋体" w:hAnsi="宋体"/>
          <w:highlight w:val="none"/>
        </w:rPr>
      </w:pP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法定代表人签字或盖章：</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职务：</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单位名称：（公章）</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地址：</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比选申请人代表（被授权人）签字或盖章：</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职务：</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单位名称：（公章）</w:t>
      </w:r>
    </w:p>
    <w:p>
      <w:pPr>
        <w:widowControl w:val="0"/>
        <w:shd w:val="clear"/>
        <w:tabs>
          <w:tab w:val="left" w:pos="8364"/>
        </w:tabs>
        <w:snapToGrid w:val="0"/>
        <w:spacing w:before="0" w:after="0" w:afterAutospacing="0" w:line="360" w:lineRule="auto"/>
        <w:ind w:left="0" w:right="0" w:firstLine="420" w:firstLineChars="200"/>
        <w:rPr>
          <w:rFonts w:ascii="宋体" w:hAnsi="宋体" w:cs="黑体"/>
          <w:kern w:val="2"/>
          <w:szCs w:val="22"/>
          <w:highlight w:val="none"/>
        </w:rPr>
      </w:pPr>
      <w:r>
        <w:rPr>
          <w:rFonts w:ascii="宋体" w:hAnsi="宋体" w:cs="黑体"/>
          <w:kern w:val="2"/>
          <w:szCs w:val="22"/>
          <w:highlight w:val="none"/>
        </w:rPr>
        <w:t>地址：</w:t>
      </w:r>
    </w:p>
    <w:p>
      <w:pPr>
        <w:pStyle w:val="14"/>
        <w:shd w:val="clear"/>
        <w:rPr>
          <w:highlight w:val="none"/>
        </w:rPr>
      </w:pPr>
    </w:p>
    <w:p>
      <w:pPr>
        <w:widowControl w:val="0"/>
        <w:shd w:val="clear"/>
        <w:tabs>
          <w:tab w:val="left" w:pos="8364"/>
        </w:tabs>
        <w:snapToGrid w:val="0"/>
        <w:spacing w:before="0" w:after="0" w:afterAutospacing="0" w:line="360" w:lineRule="auto"/>
        <w:ind w:left="0" w:right="0" w:firstLine="422" w:firstLineChars="200"/>
        <w:rPr>
          <w:rFonts w:ascii="宋体" w:hAnsi="宋体" w:cs="黑体"/>
          <w:b/>
          <w:bCs/>
          <w:kern w:val="2"/>
          <w:szCs w:val="22"/>
          <w:highlight w:val="none"/>
        </w:rPr>
      </w:pPr>
      <w:r>
        <w:rPr>
          <w:rFonts w:hint="eastAsia" w:ascii="宋体" w:hAnsi="宋体" w:cs="黑体"/>
          <w:b/>
          <w:bCs/>
          <w:kern w:val="2"/>
          <w:szCs w:val="22"/>
          <w:highlight w:val="none"/>
        </w:rPr>
        <w:t>附：授权代理人身份证复印件</w:t>
      </w:r>
    </w:p>
    <w:p>
      <w:pPr>
        <w:shd w:val="clear"/>
        <w:tabs>
          <w:tab w:val="left" w:pos="8364"/>
        </w:tabs>
        <w:snapToGrid w:val="0"/>
        <w:ind w:left="0" w:right="0" w:firstLine="0"/>
        <w:rPr>
          <w:rFonts w:hint="eastAsia" w:ascii="宋体" w:hAnsi="宋体"/>
          <w:highlight w:val="none"/>
          <w:u w:val="single"/>
        </w:rPr>
      </w:pPr>
    </w:p>
    <w:p>
      <w:pPr>
        <w:pStyle w:val="14"/>
        <w:shd w:val="clear"/>
        <w:rPr>
          <w:rFonts w:hint="eastAsia" w:ascii="宋体" w:hAnsi="宋体"/>
          <w:highlight w:val="none"/>
          <w:u w:val="single"/>
        </w:rPr>
      </w:pPr>
    </w:p>
    <w:p>
      <w:pPr>
        <w:shd w:val="clear"/>
        <w:ind w:left="0" w:leftChars="0" w:firstLine="0" w:firstLineChars="0"/>
        <w:rPr>
          <w:rFonts w:hint="eastAsia"/>
          <w:highlight w:val="none"/>
        </w:rPr>
      </w:pPr>
    </w:p>
    <w:p>
      <w:pPr>
        <w:numPr>
          <w:ilvl w:val="1"/>
          <w:numId w:val="10"/>
        </w:numPr>
        <w:shd w:val="clear"/>
        <w:snapToGrid w:val="0"/>
        <w:spacing w:before="0" w:line="240" w:lineRule="auto"/>
        <w:ind w:right="0" w:firstLine="0"/>
        <w:jc w:val="left"/>
        <w:outlineLvl w:val="0"/>
        <w:rPr>
          <w:rFonts w:ascii="宋体" w:hAnsi="宋体"/>
          <w:b/>
          <w:highlight w:val="none"/>
        </w:rPr>
      </w:pPr>
      <w:bookmarkStart w:id="1900" w:name="_Toc31497"/>
      <w:bookmarkStart w:id="1901" w:name="_Toc8654"/>
      <w:bookmarkStart w:id="1902" w:name="_Toc22778"/>
      <w:bookmarkStart w:id="1903" w:name="_Toc19744"/>
      <w:bookmarkStart w:id="1904" w:name="_Toc15572"/>
      <w:bookmarkStart w:id="1905" w:name="_Toc13634"/>
      <w:bookmarkStart w:id="1906" w:name="_Toc22574"/>
      <w:bookmarkStart w:id="1907" w:name="_Toc6160"/>
      <w:bookmarkStart w:id="1908" w:name="_Toc15412"/>
      <w:bookmarkStart w:id="1909" w:name="_Toc11598"/>
      <w:bookmarkStart w:id="1910" w:name="_Toc13798"/>
      <w:bookmarkStart w:id="1911" w:name="_Toc492478805"/>
      <w:bookmarkStart w:id="1912" w:name="_Toc15980"/>
      <w:bookmarkStart w:id="1913" w:name="_Toc414290523"/>
      <w:bookmarkStart w:id="1914" w:name="_Toc25750676"/>
      <w:bookmarkStart w:id="1915" w:name="_Toc9757"/>
      <w:bookmarkStart w:id="1916" w:name="_Toc13606"/>
      <w:bookmarkStart w:id="1917" w:name="_Toc17964"/>
      <w:bookmarkStart w:id="1918" w:name="_Toc24322"/>
      <w:bookmarkStart w:id="1919" w:name="_Toc27722"/>
      <w:bookmarkStart w:id="1920" w:name="_Toc7273"/>
      <w:bookmarkStart w:id="1921" w:name="_Toc12984808"/>
      <w:bookmarkStart w:id="1922" w:name="_Toc26713"/>
      <w:bookmarkStart w:id="1923" w:name="_Toc9583"/>
      <w:bookmarkStart w:id="1924" w:name="_Toc11869"/>
      <w:bookmarkStart w:id="1925" w:name="_Toc30454"/>
      <w:bookmarkStart w:id="1926" w:name="_Toc27153"/>
      <w:bookmarkStart w:id="1927" w:name="_Toc7753"/>
      <w:bookmarkStart w:id="1928" w:name="_Toc20436"/>
      <w:bookmarkStart w:id="1929" w:name="_Toc31808"/>
      <w:bookmarkStart w:id="1930" w:name="_Toc27657"/>
      <w:bookmarkStart w:id="1931" w:name="_Toc375564352"/>
      <w:r>
        <w:rPr>
          <w:rFonts w:ascii="宋体" w:hAnsi="宋体"/>
          <w:b/>
          <w:highlight w:val="none"/>
        </w:rPr>
        <w:t>法定代表人资格证明书格式</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shd w:val="clear"/>
        <w:ind w:right="0" w:firstLine="200"/>
        <w:rPr>
          <w:rFonts w:ascii="宋体" w:hAnsi="宋体"/>
          <w:highlight w:val="none"/>
        </w:rPr>
      </w:pPr>
    </w:p>
    <w:p>
      <w:pPr>
        <w:shd w:val="clea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shd w:val="clear"/>
        <w:spacing w:line="360" w:lineRule="auto"/>
        <w:ind w:firstLine="200"/>
        <w:rPr>
          <w:rFonts w:ascii="宋体" w:hAnsi="宋体"/>
          <w:highlight w:val="none"/>
          <w:u w:val="single"/>
        </w:rPr>
      </w:pPr>
      <w:r>
        <w:rPr>
          <w:rFonts w:ascii="宋体" w:hAnsi="宋体"/>
          <w:highlight w:val="none"/>
        </w:rPr>
        <w:t>单位名称：</w:t>
      </w:r>
    </w:p>
    <w:p>
      <w:pPr>
        <w:shd w:val="clear"/>
        <w:spacing w:line="360" w:lineRule="auto"/>
        <w:ind w:firstLine="200"/>
        <w:rPr>
          <w:rFonts w:ascii="宋体" w:hAnsi="宋体"/>
          <w:highlight w:val="none"/>
          <w:u w:val="single"/>
        </w:rPr>
      </w:pPr>
      <w:r>
        <w:rPr>
          <w:rFonts w:ascii="宋体" w:hAnsi="宋体"/>
          <w:highlight w:val="none"/>
        </w:rPr>
        <w:t>地址：</w:t>
      </w:r>
    </w:p>
    <w:p>
      <w:pPr>
        <w:shd w:val="clear"/>
        <w:spacing w:line="360" w:lineRule="auto"/>
        <w:ind w:firstLine="200"/>
        <w:rPr>
          <w:rFonts w:ascii="宋体" w:hAnsi="宋体"/>
          <w:highlight w:val="none"/>
          <w:u w:val="single"/>
        </w:rPr>
      </w:pPr>
      <w:r>
        <w:rPr>
          <w:rFonts w:ascii="宋体" w:hAnsi="宋体"/>
          <w:highlight w:val="none"/>
        </w:rPr>
        <w:t>姓名：性别：年龄：职务：</w:t>
      </w:r>
    </w:p>
    <w:p>
      <w:pPr>
        <w:shd w:val="clear"/>
        <w:spacing w:line="360" w:lineRule="auto"/>
        <w:ind w:firstLine="200"/>
        <w:rPr>
          <w:rFonts w:ascii="宋体" w:hAnsi="宋体"/>
          <w:highlight w:val="none"/>
        </w:rPr>
      </w:pPr>
      <w:r>
        <w:rPr>
          <w:rFonts w:ascii="宋体" w:hAnsi="宋体"/>
          <w:highlight w:val="none"/>
        </w:rPr>
        <w:t>系</w:t>
      </w:r>
      <w:r>
        <w:rPr>
          <w:rFonts w:hint="eastAsia" w:ascii="宋体" w:hAnsi="宋体"/>
          <w:highlight w:val="none"/>
        </w:rPr>
        <w:t>（公司名称）</w:t>
      </w:r>
      <w:r>
        <w:rPr>
          <w:rFonts w:ascii="宋体" w:hAnsi="宋体"/>
          <w:highlight w:val="none"/>
        </w:rPr>
        <w:t>的法定代表人。</w:t>
      </w:r>
    </w:p>
    <w:p>
      <w:pPr>
        <w:shd w:val="clear"/>
        <w:spacing w:line="360" w:lineRule="auto"/>
        <w:ind w:firstLine="200"/>
        <w:rPr>
          <w:rFonts w:ascii="宋体" w:hAnsi="宋体"/>
          <w:highlight w:val="none"/>
        </w:rPr>
      </w:pPr>
      <w:r>
        <w:rPr>
          <w:rFonts w:ascii="宋体" w:hAnsi="宋体"/>
          <w:highlight w:val="none"/>
        </w:rPr>
        <w:t>特此证明。</w:t>
      </w:r>
    </w:p>
    <w:p>
      <w:pPr>
        <w:shd w:val="clear"/>
        <w:spacing w:line="360" w:lineRule="auto"/>
        <w:ind w:firstLine="200"/>
        <w:rPr>
          <w:rFonts w:ascii="宋体" w:hAnsi="宋体"/>
          <w:highlight w:val="none"/>
        </w:rPr>
      </w:pPr>
    </w:p>
    <w:p>
      <w:pPr>
        <w:shd w:val="clear"/>
        <w:spacing w:line="360" w:lineRule="auto"/>
        <w:ind w:firstLine="200"/>
        <w:rPr>
          <w:rFonts w:ascii="宋体" w:hAnsi="宋体"/>
          <w:highlight w:val="none"/>
          <w:u w:val="single"/>
        </w:rPr>
      </w:pPr>
      <w:r>
        <w:rPr>
          <w:rFonts w:ascii="宋体" w:hAnsi="宋体"/>
          <w:highlight w:val="none"/>
        </w:rPr>
        <w:t>比选申请人：（盖章）</w:t>
      </w:r>
    </w:p>
    <w:p>
      <w:pPr>
        <w:shd w:val="clear"/>
        <w:spacing w:line="360" w:lineRule="auto"/>
        <w:ind w:firstLine="200"/>
        <w:rPr>
          <w:rFonts w:ascii="宋体" w:hAnsi="宋体"/>
          <w:b/>
          <w:highlight w:val="none"/>
        </w:rPr>
      </w:pPr>
      <w:r>
        <w:rPr>
          <w:rFonts w:ascii="宋体" w:hAnsi="宋体"/>
          <w:highlight w:val="none"/>
        </w:rPr>
        <w:t>日期：年月日</w:t>
      </w:r>
    </w:p>
    <w:p>
      <w:pPr>
        <w:shd w:val="clear"/>
        <w:spacing w:line="360" w:lineRule="auto"/>
        <w:ind w:firstLine="211" w:firstLineChars="100"/>
        <w:rPr>
          <w:rFonts w:ascii="宋体" w:hAnsi="宋体"/>
          <w:b/>
          <w:highlight w:val="none"/>
        </w:rPr>
      </w:pPr>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Style w:val="14"/>
        <w:shd w:val="clear"/>
        <w:rPr>
          <w:highlight w:val="none"/>
        </w:rPr>
      </w:pPr>
    </w:p>
    <w:p>
      <w:pPr>
        <w:pageBreakBefore/>
        <w:shd w:val="clear"/>
        <w:snapToGrid w:val="0"/>
        <w:ind w:right="0" w:firstLine="0"/>
        <w:jc w:val="left"/>
        <w:outlineLvl w:val="0"/>
        <w:rPr>
          <w:rFonts w:ascii="宋体" w:hAnsi="宋体"/>
          <w:b/>
          <w:highlight w:val="none"/>
        </w:rPr>
      </w:pPr>
      <w:bookmarkStart w:id="1932" w:name="_Toc12984809"/>
      <w:bookmarkStart w:id="1933" w:name="_Toc15394"/>
      <w:bookmarkStart w:id="1934" w:name="_Toc20976"/>
      <w:bookmarkStart w:id="1935" w:name="_Toc7712"/>
      <w:bookmarkStart w:id="1936" w:name="_Toc11771"/>
      <w:bookmarkStart w:id="1937" w:name="_Toc7540"/>
      <w:bookmarkStart w:id="1938" w:name="_Toc3426"/>
      <w:bookmarkStart w:id="1939" w:name="_Toc1510"/>
      <w:bookmarkStart w:id="1940" w:name="_Toc15609"/>
      <w:bookmarkStart w:id="1941" w:name="_Toc32062"/>
      <w:bookmarkStart w:id="1942" w:name="_Toc16467"/>
      <w:bookmarkStart w:id="1943" w:name="_Toc3779"/>
      <w:bookmarkStart w:id="1944" w:name="_Toc29246"/>
      <w:bookmarkStart w:id="1945" w:name="_Toc31448"/>
      <w:bookmarkStart w:id="1946" w:name="_Toc25750677"/>
      <w:bookmarkStart w:id="1947" w:name="_Toc17745"/>
      <w:bookmarkStart w:id="1948" w:name="_Toc21307"/>
      <w:bookmarkStart w:id="1949" w:name="_Toc1163"/>
      <w:bookmarkStart w:id="1950" w:name="_Toc3148"/>
      <w:bookmarkStart w:id="1951" w:name="_Toc11425"/>
      <w:bookmarkStart w:id="1952" w:name="_Toc26097"/>
      <w:bookmarkStart w:id="1953" w:name="_Toc492478806"/>
      <w:bookmarkStart w:id="1954" w:name="_Toc24162"/>
      <w:bookmarkStart w:id="1955" w:name="_Toc4894"/>
      <w:bookmarkStart w:id="1956" w:name="_Toc414290524"/>
      <w:bookmarkStart w:id="1957" w:name="_Toc1932"/>
      <w:bookmarkStart w:id="1958" w:name="_Toc26907"/>
      <w:bookmarkStart w:id="1959" w:name="_Toc375564353"/>
      <w:bookmarkStart w:id="1960" w:name="_Toc19721"/>
      <w:bookmarkStart w:id="1961" w:name="_Toc6033"/>
      <w:bookmarkStart w:id="1962" w:name="_Toc24848"/>
      <w:bookmarkStart w:id="1963" w:name="_Toc17865"/>
      <w:r>
        <w:rPr>
          <w:rFonts w:hint="eastAsia" w:ascii="宋体" w:hAnsi="宋体"/>
          <w:b/>
          <w:highlight w:val="none"/>
        </w:rPr>
        <w:t xml:space="preserve">A3 </w:t>
      </w:r>
      <w:r>
        <w:rPr>
          <w:rFonts w:ascii="宋体" w:hAnsi="宋体"/>
          <w:b/>
          <w:highlight w:val="none"/>
        </w:rPr>
        <w:t>承诺书格式</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shd w:val="clea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hd w:val="clear"/>
        <w:spacing w:before="0" w:after="0" w:afterAutospacing="0"/>
        <w:ind w:left="0" w:right="0" w:firstLine="420" w:firstLineChars="200"/>
        <w:jc w:val="left"/>
        <w:rPr>
          <w:rFonts w:ascii="宋体" w:hAnsi="宋体"/>
          <w:color w:val="000000"/>
          <w:highlight w:val="none"/>
        </w:rPr>
      </w:pPr>
      <w:r>
        <w:rPr>
          <w:rFonts w:ascii="宋体" w:hAnsi="宋体"/>
          <w:color w:val="000000"/>
          <w:highlight w:val="none"/>
        </w:rPr>
        <w:t>致：</w:t>
      </w:r>
      <w:r>
        <w:rPr>
          <w:rFonts w:hint="eastAsia" w:ascii="宋体" w:hAnsi="宋体"/>
          <w:color w:val="000000"/>
          <w:highlight w:val="none"/>
          <w:u w:val="single"/>
        </w:rPr>
        <w:t>南宁轨道交通运营有限公司</w:t>
      </w:r>
    </w:p>
    <w:p>
      <w:pPr>
        <w:widowControl w:val="0"/>
        <w:shd w:val="clear"/>
        <w:spacing w:before="0" w:after="0" w:afterAutospacing="0" w:line="360" w:lineRule="auto"/>
        <w:ind w:left="0" w:right="0" w:firstLine="420" w:firstLineChars="200"/>
        <w:jc w:val="left"/>
        <w:rPr>
          <w:rFonts w:ascii="宋体" w:hAnsi="宋体" w:cs="黑体"/>
          <w:kern w:val="2"/>
          <w:szCs w:val="22"/>
          <w:highlight w:val="none"/>
        </w:rPr>
      </w:pPr>
      <w:r>
        <w:rPr>
          <w:rFonts w:ascii="宋体" w:hAnsi="宋体" w:cs="黑体"/>
          <w:kern w:val="2"/>
          <w:szCs w:val="22"/>
          <w:highlight w:val="none"/>
        </w:rPr>
        <w:t>1、在认真研读南宁轨道交通</w:t>
      </w:r>
      <w:r>
        <w:rPr>
          <w:rFonts w:hint="eastAsia" w:ascii="宋体" w:hAnsi="宋体" w:cs="黑体"/>
          <w:kern w:val="2"/>
          <w:szCs w:val="22"/>
          <w:highlight w:val="none"/>
        </w:rPr>
        <w:t>运营</w:t>
      </w:r>
      <w:r>
        <w:rPr>
          <w:rFonts w:ascii="宋体" w:hAnsi="宋体" w:cs="黑体"/>
          <w:kern w:val="2"/>
          <w:szCs w:val="22"/>
          <w:highlight w:val="none"/>
        </w:rPr>
        <w:t>有限公司</w:t>
      </w:r>
      <w:r>
        <w:rPr>
          <w:rFonts w:hint="eastAsia" w:ascii="宋体" w:hAnsi="宋体" w:cs="黑体"/>
          <w:kern w:val="2"/>
          <w:szCs w:val="22"/>
          <w:highlight w:val="none"/>
        </w:rPr>
        <w:t>的</w:t>
      </w:r>
      <w:r>
        <w:rPr>
          <w:rFonts w:hint="eastAsia" w:ascii="宋体" w:hAnsi="宋体" w:cs="黑体"/>
          <w:kern w:val="2"/>
          <w:szCs w:val="22"/>
          <w:highlight w:val="none"/>
          <w:u w:val="single"/>
        </w:rPr>
        <w:t xml:space="preserve">     </w:t>
      </w:r>
      <w:r>
        <w:rPr>
          <w:rFonts w:hint="eastAsia" w:ascii="宋体" w:hAnsi="宋体" w:cs="黑体"/>
          <w:kern w:val="2"/>
          <w:szCs w:val="22"/>
          <w:highlight w:val="none"/>
        </w:rPr>
        <w:t>比选文件</w:t>
      </w:r>
      <w:r>
        <w:rPr>
          <w:rFonts w:ascii="宋体" w:hAnsi="宋体" w:cs="黑体"/>
          <w:kern w:val="2"/>
          <w:szCs w:val="22"/>
          <w:highlight w:val="none"/>
        </w:rPr>
        <w:t>后，我方经慎重考虑，郑重承诺参加</w:t>
      </w:r>
      <w:r>
        <w:rPr>
          <w:rFonts w:hint="eastAsia" w:ascii="宋体" w:hAnsi="宋体" w:cs="黑体"/>
          <w:kern w:val="2"/>
          <w:szCs w:val="22"/>
          <w:highlight w:val="none"/>
          <w:u w:val="single"/>
        </w:rPr>
        <w:t xml:space="preserve">         </w:t>
      </w:r>
      <w:r>
        <w:rPr>
          <w:rFonts w:hint="eastAsia" w:ascii="宋体" w:hAnsi="宋体" w:cs="黑体"/>
          <w:kern w:val="2"/>
          <w:szCs w:val="22"/>
          <w:highlight w:val="none"/>
        </w:rPr>
        <w:t>项目的招比选申请</w:t>
      </w:r>
      <w:r>
        <w:rPr>
          <w:rFonts w:ascii="宋体" w:hAnsi="宋体" w:cs="黑体"/>
          <w:kern w:val="2"/>
          <w:szCs w:val="22"/>
          <w:highlight w:val="none"/>
        </w:rPr>
        <w:t>活动。</w:t>
      </w:r>
    </w:p>
    <w:p>
      <w:pPr>
        <w:widowControl w:val="0"/>
        <w:shd w:val="clear"/>
        <w:spacing w:before="0" w:after="0" w:afterAutospacing="0" w:line="360" w:lineRule="auto"/>
        <w:ind w:left="0" w:right="0" w:firstLine="420" w:firstLineChars="200"/>
        <w:jc w:val="left"/>
        <w:rPr>
          <w:rFonts w:ascii="宋体" w:hAnsi="宋体" w:cs="黑体"/>
          <w:kern w:val="2"/>
          <w:szCs w:val="22"/>
          <w:highlight w:val="none"/>
        </w:rPr>
      </w:pPr>
      <w:r>
        <w:rPr>
          <w:rFonts w:ascii="宋体" w:hAnsi="宋体" w:cs="黑体"/>
          <w:kern w:val="2"/>
          <w:szCs w:val="22"/>
          <w:highlight w:val="none"/>
        </w:rPr>
        <w:t>2、我方按照贵方</w:t>
      </w:r>
      <w:r>
        <w:rPr>
          <w:rFonts w:hint="eastAsia" w:ascii="宋体" w:hAnsi="宋体" w:cs="黑体"/>
          <w:kern w:val="2"/>
          <w:szCs w:val="22"/>
          <w:highlight w:val="none"/>
        </w:rPr>
        <w:t>比选文件</w:t>
      </w:r>
      <w:r>
        <w:rPr>
          <w:rFonts w:ascii="宋体" w:hAnsi="宋体" w:cs="黑体"/>
          <w:kern w:val="2"/>
          <w:szCs w:val="22"/>
          <w:highlight w:val="none"/>
        </w:rPr>
        <w:t>要求的内容与格式，已编制完成</w:t>
      </w:r>
      <w:r>
        <w:rPr>
          <w:rFonts w:hint="eastAsia" w:ascii="宋体" w:hAnsi="宋体" w:cs="黑体"/>
          <w:kern w:val="2"/>
          <w:szCs w:val="22"/>
          <w:highlight w:val="none"/>
        </w:rPr>
        <w:t>比选申请文件</w:t>
      </w:r>
      <w:r>
        <w:rPr>
          <w:rFonts w:ascii="宋体" w:hAnsi="宋体" w:cs="黑体"/>
          <w:kern w:val="2"/>
          <w:szCs w:val="22"/>
          <w:highlight w:val="none"/>
        </w:rPr>
        <w:t>，现报上。</w:t>
      </w:r>
    </w:p>
    <w:p>
      <w:pPr>
        <w:widowControl w:val="0"/>
        <w:shd w:val="clear"/>
        <w:spacing w:before="0" w:after="0" w:afterAutospacing="0" w:line="360" w:lineRule="auto"/>
        <w:ind w:left="0" w:right="0" w:firstLine="420" w:firstLineChars="200"/>
        <w:jc w:val="left"/>
        <w:rPr>
          <w:rFonts w:ascii="宋体" w:hAnsi="宋体" w:cs="黑体"/>
          <w:kern w:val="2"/>
          <w:szCs w:val="22"/>
          <w:highlight w:val="none"/>
        </w:rPr>
      </w:pPr>
      <w:r>
        <w:rPr>
          <w:rFonts w:hint="eastAsia" w:ascii="宋体" w:hAnsi="宋体" w:cs="黑体"/>
          <w:kern w:val="2"/>
          <w:szCs w:val="22"/>
          <w:highlight w:val="none"/>
        </w:rPr>
        <w:t>3</w:t>
      </w:r>
      <w:r>
        <w:rPr>
          <w:rFonts w:ascii="宋体" w:hAnsi="宋体" w:cs="黑体"/>
          <w:kern w:val="2"/>
          <w:szCs w:val="22"/>
          <w:highlight w:val="none"/>
        </w:rPr>
        <w:t>、</w:t>
      </w:r>
      <w:r>
        <w:rPr>
          <w:rFonts w:hint="eastAsia" w:ascii="宋体" w:hAnsi="宋体" w:cs="黑体"/>
          <w:kern w:val="2"/>
          <w:szCs w:val="22"/>
          <w:highlight w:val="none"/>
        </w:rPr>
        <w:t>我方</w:t>
      </w:r>
      <w:r>
        <w:rPr>
          <w:rFonts w:ascii="宋体" w:hAnsi="宋体" w:cs="黑体"/>
          <w:kern w:val="2"/>
          <w:szCs w:val="22"/>
          <w:highlight w:val="none"/>
        </w:rPr>
        <w:t>承诺：在</w:t>
      </w:r>
      <w:r>
        <w:rPr>
          <w:rFonts w:hint="eastAsia" w:ascii="宋体" w:hAnsi="宋体" w:cs="黑体"/>
          <w:kern w:val="2"/>
          <w:szCs w:val="22"/>
          <w:highlight w:val="none"/>
        </w:rPr>
        <w:t>评审</w:t>
      </w:r>
      <w:r>
        <w:rPr>
          <w:rFonts w:ascii="宋体" w:hAnsi="宋体" w:cs="黑体"/>
          <w:kern w:val="2"/>
          <w:szCs w:val="22"/>
          <w:highlight w:val="none"/>
        </w:rPr>
        <w:t>过程中，贵方可调查、审核我方提交的与本</w:t>
      </w:r>
      <w:r>
        <w:rPr>
          <w:rFonts w:hint="eastAsia" w:ascii="宋体" w:hAnsi="宋体" w:cs="黑体"/>
          <w:kern w:val="2"/>
          <w:szCs w:val="22"/>
          <w:highlight w:val="none"/>
        </w:rPr>
        <w:t>比选申请文件</w:t>
      </w:r>
      <w:r>
        <w:rPr>
          <w:rFonts w:ascii="宋体" w:hAnsi="宋体" w:cs="黑体"/>
          <w:kern w:val="2"/>
          <w:szCs w:val="22"/>
          <w:highlight w:val="none"/>
        </w:rPr>
        <w:t>相关的声明、文件和资料，我方准备随时解答贵方提出的疑问。为此，我们授权任何相关的个人和公司向贵方提供要求的和必要的真实情况和资料以证实我们所填报的各项内容。</w:t>
      </w:r>
    </w:p>
    <w:p>
      <w:pPr>
        <w:shd w:val="clear"/>
        <w:spacing w:before="0" w:after="0" w:afterAutospacing="0"/>
        <w:ind w:left="0" w:right="0" w:firstLine="420" w:firstLineChars="200"/>
        <w:jc w:val="left"/>
        <w:rPr>
          <w:rFonts w:ascii="宋体" w:hAnsi="宋体"/>
          <w:b/>
          <w:color w:val="000000"/>
          <w:highlight w:val="none"/>
        </w:rPr>
      </w:pPr>
      <w:r>
        <w:rPr>
          <w:rFonts w:hint="eastAsia" w:ascii="宋体" w:hAnsi="宋体"/>
          <w:color w:val="000000"/>
          <w:highlight w:val="none"/>
        </w:rPr>
        <w:t>4</w:t>
      </w:r>
      <w:r>
        <w:rPr>
          <w:rFonts w:ascii="宋体" w:hAnsi="宋体"/>
          <w:color w:val="000000"/>
          <w:highlight w:val="none"/>
        </w:rPr>
        <w:t>、</w:t>
      </w:r>
      <w:r>
        <w:rPr>
          <w:rFonts w:hint="eastAsia" w:ascii="宋体" w:hAnsi="宋体"/>
          <w:color w:val="000000"/>
          <w:highlight w:val="none"/>
        </w:rPr>
        <w:t>我方</w:t>
      </w:r>
      <w:r>
        <w:rPr>
          <w:rFonts w:ascii="宋体" w:hAnsi="宋体"/>
          <w:color w:val="000000"/>
          <w:highlight w:val="none"/>
        </w:rPr>
        <w:t>郑重承诺：</w:t>
      </w:r>
      <w:r>
        <w:rPr>
          <w:rFonts w:ascii="宋体" w:hAnsi="宋体"/>
          <w:b/>
          <w:color w:val="000000"/>
          <w:highlight w:val="none"/>
        </w:rPr>
        <w:t>我方保证</w:t>
      </w:r>
      <w:r>
        <w:rPr>
          <w:rFonts w:hint="eastAsia" w:ascii="宋体" w:hAnsi="宋体"/>
          <w:b/>
          <w:color w:val="000000"/>
          <w:highlight w:val="none"/>
        </w:rPr>
        <w:t>没有处于被责令停业，或投标资格被住建部、广西壮族自治区或南宁市建设行政主管部门取消，或财产被接管、破产状态；在比选申请截止前3年内没有骗取中标、严重违约或重大安全质量事故行为。</w:t>
      </w:r>
    </w:p>
    <w:p>
      <w:pPr>
        <w:widowControl w:val="0"/>
        <w:shd w:val="clear"/>
        <w:spacing w:before="0" w:after="0" w:afterAutospacing="0" w:line="360" w:lineRule="auto"/>
        <w:ind w:left="0" w:right="0" w:firstLine="422" w:firstLineChars="200"/>
        <w:jc w:val="left"/>
        <w:rPr>
          <w:rFonts w:ascii="宋体" w:hAnsi="宋体" w:cs="黑体"/>
          <w:kern w:val="2"/>
          <w:szCs w:val="22"/>
          <w:highlight w:val="none"/>
        </w:rPr>
      </w:pPr>
      <w:r>
        <w:rPr>
          <w:rFonts w:hint="eastAsia" w:ascii="宋体" w:hAnsi="宋体" w:cs="黑体"/>
          <w:b/>
          <w:kern w:val="2"/>
          <w:szCs w:val="22"/>
          <w:highlight w:val="none"/>
        </w:rPr>
        <w:t>5、</w:t>
      </w:r>
      <w:r>
        <w:rPr>
          <w:rFonts w:ascii="宋体" w:hAnsi="宋体" w:cs="黑体"/>
          <w:kern w:val="2"/>
          <w:szCs w:val="22"/>
          <w:highlight w:val="none"/>
        </w:rPr>
        <w:t>如果</w:t>
      </w:r>
      <w:r>
        <w:rPr>
          <w:rFonts w:hint="eastAsia" w:ascii="宋体" w:hAnsi="宋体" w:cs="黑体"/>
          <w:kern w:val="2"/>
          <w:szCs w:val="22"/>
          <w:highlight w:val="none"/>
        </w:rPr>
        <w:t>我公司</w:t>
      </w:r>
      <w:r>
        <w:rPr>
          <w:rFonts w:ascii="宋体" w:hAnsi="宋体" w:cs="黑体"/>
          <w:kern w:val="2"/>
          <w:szCs w:val="22"/>
          <w:highlight w:val="none"/>
        </w:rPr>
        <w:t>在该项目</w:t>
      </w:r>
      <w:r>
        <w:rPr>
          <w:rFonts w:hint="eastAsia" w:ascii="宋体" w:hAnsi="宋体" w:cs="黑体"/>
          <w:kern w:val="2"/>
          <w:szCs w:val="22"/>
          <w:highlight w:val="none"/>
        </w:rPr>
        <w:t>报名、</w:t>
      </w:r>
      <w:r>
        <w:rPr>
          <w:rFonts w:ascii="宋体" w:hAnsi="宋体" w:cs="黑体"/>
          <w:kern w:val="2"/>
          <w:szCs w:val="22"/>
          <w:highlight w:val="none"/>
        </w:rPr>
        <w:t>比选申请过程中或者在中选后，比选人或者有管辖权的行政监管机构发现并查实我公司在所填报的该项目</w:t>
      </w:r>
      <w:r>
        <w:rPr>
          <w:rFonts w:hint="eastAsia" w:ascii="宋体" w:hAnsi="宋体" w:cs="黑体"/>
          <w:kern w:val="2"/>
          <w:szCs w:val="22"/>
          <w:highlight w:val="none"/>
        </w:rPr>
        <w:t>比选申请文件</w:t>
      </w:r>
      <w:r>
        <w:rPr>
          <w:rFonts w:ascii="宋体" w:hAnsi="宋体" w:cs="黑体"/>
          <w:kern w:val="2"/>
          <w:szCs w:val="22"/>
          <w:highlight w:val="none"/>
        </w:rPr>
        <w:t>中存在提供虚假或不真实的信息或者伪造数据、资料或证书等情况，</w:t>
      </w:r>
      <w:r>
        <w:rPr>
          <w:rFonts w:hint="eastAsia" w:ascii="宋体" w:hAnsi="宋体" w:cs="黑体"/>
          <w:kern w:val="2"/>
          <w:szCs w:val="22"/>
          <w:highlight w:val="none"/>
        </w:rPr>
        <w:t>视为我公司违约，我公司愿意接受</w:t>
      </w:r>
      <w:r>
        <w:rPr>
          <w:rFonts w:ascii="宋体" w:hAnsi="宋体" w:cs="黑体"/>
          <w:kern w:val="2"/>
          <w:szCs w:val="22"/>
          <w:highlight w:val="none"/>
        </w:rPr>
        <w:t>比选人或有管辖权的监管机构的处罚；如果我公司已</w:t>
      </w:r>
      <w:r>
        <w:rPr>
          <w:rFonts w:hint="eastAsia" w:ascii="宋体" w:hAnsi="宋体" w:cs="黑体"/>
          <w:kern w:val="2"/>
          <w:szCs w:val="22"/>
          <w:highlight w:val="none"/>
        </w:rPr>
        <w:t>与比选人签订合同，则视为我公司违约</w:t>
      </w:r>
      <w:r>
        <w:rPr>
          <w:rFonts w:ascii="宋体" w:hAnsi="宋体" w:cs="黑体"/>
          <w:kern w:val="2"/>
          <w:szCs w:val="22"/>
          <w:highlight w:val="none"/>
        </w:rPr>
        <w:t>；由此造成的任何后果和损失均由我公司承担。本段承诺既是我公司</w:t>
      </w:r>
      <w:r>
        <w:rPr>
          <w:rFonts w:hint="eastAsia" w:ascii="宋体" w:hAnsi="宋体" w:cs="黑体"/>
          <w:kern w:val="2"/>
          <w:szCs w:val="22"/>
          <w:highlight w:val="none"/>
        </w:rPr>
        <w:t>比选申请文件</w:t>
      </w:r>
      <w:r>
        <w:rPr>
          <w:rFonts w:ascii="宋体" w:hAnsi="宋体" w:cs="黑体"/>
          <w:kern w:val="2"/>
          <w:szCs w:val="22"/>
          <w:highlight w:val="none"/>
        </w:rPr>
        <w:t>的有效组成内容，也是我公司真实意思的表示，对我公司在与该项目有关的任何行为中始终具有优先的法律约束力。</w:t>
      </w:r>
    </w:p>
    <w:p>
      <w:pPr>
        <w:widowControl w:val="0"/>
        <w:shd w:val="clear"/>
        <w:spacing w:before="0" w:after="0" w:afterAutospacing="0" w:line="360" w:lineRule="auto"/>
        <w:ind w:left="0" w:right="0" w:firstLine="420" w:firstLineChars="200"/>
        <w:rPr>
          <w:rFonts w:ascii="宋体" w:hAnsi="宋体" w:cs="黑体"/>
          <w:kern w:val="2"/>
          <w:szCs w:val="22"/>
          <w:highlight w:val="none"/>
        </w:rPr>
      </w:pPr>
      <w:r>
        <w:rPr>
          <w:rFonts w:hint="eastAsia" w:ascii="宋体" w:hAnsi="宋体" w:cs="黑体"/>
          <w:kern w:val="2"/>
          <w:szCs w:val="22"/>
          <w:highlight w:val="none"/>
        </w:rPr>
        <w:t>6</w:t>
      </w:r>
      <w:r>
        <w:rPr>
          <w:rFonts w:ascii="宋体" w:hAnsi="宋体" w:cs="黑体"/>
          <w:kern w:val="2"/>
          <w:szCs w:val="22"/>
          <w:highlight w:val="none"/>
        </w:rPr>
        <w:t>、我方了解：无论</w:t>
      </w:r>
      <w:r>
        <w:rPr>
          <w:rFonts w:hint="eastAsia" w:ascii="宋体" w:hAnsi="宋体" w:cs="黑体"/>
          <w:kern w:val="2"/>
          <w:szCs w:val="22"/>
          <w:highlight w:val="none"/>
        </w:rPr>
        <w:t>是否中选</w:t>
      </w:r>
      <w:r>
        <w:rPr>
          <w:rFonts w:ascii="宋体" w:hAnsi="宋体" w:cs="黑体"/>
          <w:kern w:val="2"/>
          <w:szCs w:val="22"/>
          <w:highlight w:val="none"/>
        </w:rPr>
        <w:t>，我方将自行承担与</w:t>
      </w:r>
      <w:r>
        <w:rPr>
          <w:rFonts w:hint="eastAsia" w:ascii="宋体" w:hAnsi="宋体" w:cs="黑体"/>
          <w:kern w:val="2"/>
          <w:szCs w:val="22"/>
          <w:highlight w:val="none"/>
        </w:rPr>
        <w:t>比选申请</w:t>
      </w:r>
      <w:r>
        <w:rPr>
          <w:rFonts w:ascii="宋体" w:hAnsi="宋体" w:cs="黑体"/>
          <w:kern w:val="2"/>
          <w:szCs w:val="22"/>
          <w:highlight w:val="none"/>
        </w:rPr>
        <w:t>活动所需的一切费用。</w:t>
      </w:r>
    </w:p>
    <w:p>
      <w:pPr>
        <w:widowControl w:val="0"/>
        <w:shd w:val="clear"/>
        <w:spacing w:before="0" w:after="0" w:afterAutospacing="0" w:line="360" w:lineRule="auto"/>
        <w:ind w:left="0" w:right="0" w:firstLine="420" w:firstLineChars="200"/>
        <w:jc w:val="left"/>
        <w:rPr>
          <w:rFonts w:ascii="宋体" w:hAnsi="宋体" w:cs="黑体"/>
          <w:kern w:val="2"/>
          <w:szCs w:val="22"/>
          <w:highlight w:val="none"/>
        </w:rPr>
      </w:pPr>
      <w:r>
        <w:rPr>
          <w:rFonts w:ascii="宋体" w:hAnsi="宋体" w:cs="黑体"/>
          <w:kern w:val="2"/>
          <w:szCs w:val="22"/>
          <w:highlight w:val="none"/>
        </w:rPr>
        <w:t>我</w:t>
      </w:r>
      <w:r>
        <w:rPr>
          <w:rFonts w:hint="eastAsia" w:ascii="宋体" w:hAnsi="宋体" w:cs="黑体"/>
          <w:kern w:val="2"/>
          <w:szCs w:val="22"/>
          <w:highlight w:val="none"/>
        </w:rPr>
        <w:t>方</w:t>
      </w:r>
      <w:r>
        <w:rPr>
          <w:rFonts w:ascii="宋体" w:hAnsi="宋体" w:cs="黑体"/>
          <w:kern w:val="2"/>
          <w:szCs w:val="22"/>
          <w:highlight w:val="none"/>
        </w:rPr>
        <w:t>声明，我们所填报的资料是完全真实和准确的，并愿为此承担任何相关的法律责任。</w:t>
      </w:r>
    </w:p>
    <w:p>
      <w:pPr>
        <w:shd w:val="clear"/>
        <w:spacing w:before="0" w:after="0" w:afterAutospacing="0"/>
        <w:ind w:left="0" w:leftChars="0" w:right="0" w:firstLine="0" w:firstLineChars="0"/>
        <w:rPr>
          <w:rFonts w:ascii="宋体" w:hAnsi="宋体"/>
          <w:color w:val="000000"/>
          <w:highlight w:val="none"/>
        </w:rPr>
      </w:pPr>
    </w:p>
    <w:p>
      <w:pPr>
        <w:widowControl w:val="0"/>
        <w:shd w:val="clear"/>
        <w:spacing w:before="0" w:after="0" w:afterAutospacing="0" w:line="360" w:lineRule="auto"/>
        <w:ind w:left="0" w:right="0" w:firstLine="200"/>
        <w:rPr>
          <w:rFonts w:ascii="宋体" w:hAnsi="宋体" w:cs="黑体"/>
          <w:kern w:val="2"/>
          <w:szCs w:val="22"/>
          <w:highlight w:val="none"/>
          <w:u w:val="single"/>
        </w:rPr>
      </w:pPr>
      <w:r>
        <w:rPr>
          <w:rFonts w:hint="eastAsia" w:ascii="宋体" w:hAnsi="宋体" w:cs="黑体"/>
          <w:kern w:val="2"/>
          <w:szCs w:val="22"/>
          <w:highlight w:val="none"/>
        </w:rPr>
        <w:t>比选申请人</w:t>
      </w:r>
      <w:r>
        <w:rPr>
          <w:rFonts w:ascii="宋体" w:hAnsi="宋体" w:cs="黑体"/>
          <w:kern w:val="2"/>
          <w:szCs w:val="22"/>
          <w:highlight w:val="none"/>
        </w:rPr>
        <w:t>地址：</w:t>
      </w:r>
      <w:r>
        <w:rPr>
          <w:rFonts w:hint="eastAsia" w:ascii="宋体" w:hAnsi="宋体" w:cs="黑体"/>
          <w:kern w:val="2"/>
          <w:szCs w:val="22"/>
          <w:highlight w:val="none"/>
        </w:rPr>
        <w:t xml:space="preserve"> </w:t>
      </w:r>
      <w:r>
        <w:rPr>
          <w:rFonts w:ascii="宋体" w:hAnsi="宋体" w:cs="黑体"/>
          <w:kern w:val="2"/>
          <w:szCs w:val="22"/>
          <w:highlight w:val="none"/>
        </w:rPr>
        <w:t xml:space="preserve">                                </w:t>
      </w:r>
      <w:r>
        <w:rPr>
          <w:rFonts w:hint="eastAsia" w:ascii="宋体" w:hAnsi="宋体" w:cs="黑体"/>
          <w:kern w:val="2"/>
          <w:szCs w:val="22"/>
          <w:highlight w:val="none"/>
        </w:rPr>
        <w:t>比选申请人</w:t>
      </w:r>
      <w:r>
        <w:rPr>
          <w:rFonts w:ascii="宋体" w:hAnsi="宋体" w:cs="黑体"/>
          <w:kern w:val="2"/>
          <w:szCs w:val="22"/>
          <w:highlight w:val="none"/>
          <w:u w:val="single"/>
        </w:rPr>
        <w:t xml:space="preserve">    (</w:t>
      </w:r>
      <w:r>
        <w:rPr>
          <w:rFonts w:hint="eastAsia" w:ascii="宋体" w:hAnsi="宋体" w:cs="黑体"/>
          <w:kern w:val="2"/>
          <w:szCs w:val="22"/>
          <w:highlight w:val="none"/>
          <w:u w:val="single"/>
        </w:rPr>
        <w:t>盖单位公章</w:t>
      </w:r>
      <w:r>
        <w:rPr>
          <w:rFonts w:ascii="宋体" w:hAnsi="宋体" w:cs="黑体"/>
          <w:kern w:val="2"/>
          <w:szCs w:val="22"/>
          <w:highlight w:val="none"/>
          <w:u w:val="single"/>
        </w:rPr>
        <w:t>)</w:t>
      </w:r>
    </w:p>
    <w:p>
      <w:pPr>
        <w:widowControl w:val="0"/>
        <w:shd w:val="clear"/>
        <w:spacing w:before="0" w:after="0" w:afterAutospacing="0" w:line="360" w:lineRule="auto"/>
        <w:ind w:left="0" w:right="0" w:firstLine="200"/>
        <w:rPr>
          <w:rFonts w:ascii="宋体" w:hAnsi="宋体" w:cs="黑体"/>
          <w:kern w:val="2"/>
          <w:szCs w:val="22"/>
          <w:highlight w:val="none"/>
        </w:rPr>
      </w:pPr>
    </w:p>
    <w:p>
      <w:pPr>
        <w:widowControl w:val="0"/>
        <w:shd w:val="clear"/>
        <w:spacing w:before="0" w:after="0" w:afterAutospacing="0" w:line="360" w:lineRule="auto"/>
        <w:ind w:left="0" w:right="0" w:firstLine="200"/>
        <w:rPr>
          <w:rFonts w:ascii="宋体" w:hAnsi="宋体" w:cs="黑体"/>
          <w:kern w:val="2"/>
          <w:szCs w:val="22"/>
          <w:highlight w:val="none"/>
        </w:rPr>
      </w:pPr>
      <w:r>
        <w:rPr>
          <w:rFonts w:ascii="宋体" w:hAnsi="宋体" w:cs="黑体"/>
          <w:kern w:val="2"/>
          <w:szCs w:val="22"/>
          <w:highlight w:val="none"/>
        </w:rPr>
        <w:t>邮政编码：</w:t>
      </w:r>
      <w:r>
        <w:rPr>
          <w:rFonts w:hint="eastAsia" w:ascii="宋体" w:hAnsi="宋体" w:cs="黑体"/>
          <w:kern w:val="2"/>
          <w:szCs w:val="22"/>
          <w:highlight w:val="none"/>
        </w:rPr>
        <w:t xml:space="preserve"> </w:t>
      </w:r>
      <w:r>
        <w:rPr>
          <w:rFonts w:ascii="宋体" w:hAnsi="宋体" w:cs="黑体"/>
          <w:kern w:val="2"/>
          <w:szCs w:val="22"/>
          <w:highlight w:val="none"/>
        </w:rPr>
        <w:t xml:space="preserve">                        </w:t>
      </w:r>
      <w:r>
        <w:rPr>
          <w:rFonts w:hint="eastAsia" w:ascii="宋体" w:hAnsi="宋体" w:cs="黑体"/>
          <w:kern w:val="2"/>
          <w:szCs w:val="22"/>
          <w:highlight w:val="none"/>
        </w:rPr>
        <w:t>法定代表人（或委托代理人）：</w:t>
      </w:r>
      <w:r>
        <w:rPr>
          <w:rFonts w:ascii="宋体" w:hAnsi="宋体" w:cs="黑体"/>
          <w:kern w:val="2"/>
          <w:szCs w:val="22"/>
          <w:highlight w:val="none"/>
          <w:u w:val="single"/>
        </w:rPr>
        <w:t>(签字</w:t>
      </w:r>
      <w:r>
        <w:rPr>
          <w:rFonts w:hint="eastAsia" w:ascii="宋体" w:hAnsi="宋体" w:cs="黑体"/>
          <w:kern w:val="2"/>
          <w:szCs w:val="22"/>
          <w:highlight w:val="none"/>
          <w:u w:val="single"/>
        </w:rPr>
        <w:t>或盖章</w:t>
      </w:r>
      <w:r>
        <w:rPr>
          <w:rFonts w:ascii="宋体" w:hAnsi="宋体" w:cs="黑体"/>
          <w:kern w:val="2"/>
          <w:szCs w:val="22"/>
          <w:highlight w:val="none"/>
          <w:u w:val="single"/>
        </w:rPr>
        <w:t>)</w:t>
      </w:r>
    </w:p>
    <w:p>
      <w:pPr>
        <w:widowControl w:val="0"/>
        <w:shd w:val="clear"/>
        <w:spacing w:before="0" w:after="0" w:afterAutospacing="0" w:line="360" w:lineRule="auto"/>
        <w:ind w:left="0" w:right="0" w:firstLine="200"/>
        <w:rPr>
          <w:rFonts w:ascii="宋体" w:hAnsi="宋体" w:cs="黑体"/>
          <w:kern w:val="2"/>
          <w:szCs w:val="22"/>
          <w:highlight w:val="none"/>
          <w:u w:val="single"/>
        </w:rPr>
      </w:pPr>
      <w:r>
        <w:rPr>
          <w:rFonts w:ascii="宋体" w:hAnsi="宋体" w:cs="黑体"/>
          <w:kern w:val="2"/>
          <w:szCs w:val="22"/>
          <w:highlight w:val="none"/>
        </w:rPr>
        <w:t>电话：　　</w:t>
      </w:r>
    </w:p>
    <w:p>
      <w:pPr>
        <w:widowControl w:val="0"/>
        <w:numPr>
          <w:ilvl w:val="-1"/>
          <w:numId w:val="0"/>
        </w:numPr>
        <w:shd w:val="clear"/>
        <w:spacing w:before="0" w:after="0" w:afterAutospacing="0" w:line="360" w:lineRule="auto"/>
        <w:ind w:left="0" w:right="0" w:firstLine="200"/>
        <w:rPr>
          <w:highlight w:val="none"/>
        </w:rPr>
      </w:pPr>
      <w:r>
        <w:rPr>
          <w:rFonts w:ascii="宋体" w:hAnsi="宋体" w:cs="黑体"/>
          <w:kern w:val="2"/>
          <w:szCs w:val="22"/>
          <w:highlight w:val="none"/>
        </w:rPr>
        <w:t>传真：</w:t>
      </w:r>
      <w:r>
        <w:rPr>
          <w:rFonts w:hint="eastAsia" w:ascii="宋体" w:hAnsi="宋体" w:cs="黑体"/>
          <w:kern w:val="2"/>
          <w:szCs w:val="22"/>
          <w:highlight w:val="none"/>
        </w:rPr>
        <w:t xml:space="preserve"> </w:t>
      </w:r>
      <w:r>
        <w:rPr>
          <w:rFonts w:ascii="宋体" w:hAnsi="宋体" w:cs="黑体"/>
          <w:kern w:val="2"/>
          <w:szCs w:val="22"/>
          <w:highlight w:val="none"/>
        </w:rPr>
        <w:t xml:space="preserve">                                          日期：</w:t>
      </w:r>
      <w:r>
        <w:rPr>
          <w:rFonts w:hint="eastAsia" w:ascii="宋体" w:hAnsi="宋体" w:cs="黑体"/>
          <w:kern w:val="2"/>
          <w:szCs w:val="22"/>
          <w:highlight w:val="none"/>
          <w:u w:val="single"/>
        </w:rPr>
        <w:t xml:space="preserve">      </w:t>
      </w:r>
      <w:r>
        <w:rPr>
          <w:rFonts w:ascii="宋体" w:hAnsi="宋体" w:cs="黑体"/>
          <w:kern w:val="2"/>
          <w:szCs w:val="22"/>
          <w:highlight w:val="none"/>
        </w:rPr>
        <w:t>年</w:t>
      </w:r>
      <w:r>
        <w:rPr>
          <w:rFonts w:hint="eastAsia" w:ascii="宋体" w:hAnsi="宋体" w:cs="黑体"/>
          <w:kern w:val="2"/>
          <w:szCs w:val="22"/>
          <w:highlight w:val="none"/>
          <w:u w:val="single"/>
        </w:rPr>
        <w:t xml:space="preserve">    </w:t>
      </w:r>
      <w:r>
        <w:rPr>
          <w:rFonts w:ascii="宋体" w:hAnsi="宋体" w:cs="黑体"/>
          <w:kern w:val="2"/>
          <w:szCs w:val="22"/>
          <w:highlight w:val="none"/>
        </w:rPr>
        <w:t>月</w:t>
      </w:r>
      <w:r>
        <w:rPr>
          <w:rFonts w:hint="eastAsia" w:ascii="宋体" w:hAnsi="宋体" w:cs="黑体"/>
          <w:kern w:val="2"/>
          <w:szCs w:val="22"/>
          <w:highlight w:val="none"/>
          <w:u w:val="single"/>
        </w:rPr>
        <w:t xml:space="preserve">   </w:t>
      </w:r>
      <w:r>
        <w:rPr>
          <w:rFonts w:ascii="宋体" w:hAnsi="宋体" w:cs="黑体"/>
          <w:kern w:val="2"/>
          <w:szCs w:val="22"/>
          <w:highlight w:val="none"/>
        </w:rPr>
        <w:t>日</w:t>
      </w:r>
    </w:p>
    <w:p>
      <w:pPr>
        <w:pageBreakBefore/>
        <w:shd w:val="clear"/>
        <w:snapToGrid w:val="0"/>
        <w:ind w:right="0" w:firstLine="0"/>
        <w:jc w:val="left"/>
        <w:outlineLvl w:val="0"/>
        <w:rPr>
          <w:rFonts w:ascii="宋体" w:hAnsi="宋体"/>
          <w:b/>
          <w:highlight w:val="none"/>
        </w:rPr>
      </w:pPr>
      <w:bookmarkStart w:id="1964" w:name="_Toc26747"/>
      <w:bookmarkStart w:id="1965" w:name="_Toc15314"/>
      <w:bookmarkStart w:id="1966" w:name="_Toc25750678"/>
      <w:bookmarkStart w:id="1967" w:name="_Toc7258"/>
      <w:bookmarkStart w:id="1968" w:name="_Toc22452"/>
      <w:bookmarkStart w:id="1969" w:name="_Toc17557"/>
      <w:bookmarkStart w:id="1970" w:name="_Toc368"/>
      <w:bookmarkStart w:id="1971" w:name="_Toc30176"/>
      <w:bookmarkStart w:id="1972" w:name="_Toc28225"/>
      <w:bookmarkStart w:id="1973" w:name="_Toc24527"/>
      <w:r>
        <w:rPr>
          <w:rFonts w:ascii="宋体" w:hAnsi="宋体"/>
          <w:b/>
          <w:highlight w:val="none"/>
        </w:rPr>
        <w:t>A</w:t>
      </w:r>
      <w:r>
        <w:rPr>
          <w:rFonts w:hint="eastAsia" w:ascii="宋体" w:hAnsi="宋体"/>
          <w:b/>
          <w:highlight w:val="none"/>
        </w:rPr>
        <w:t>4  类似项目</w:t>
      </w:r>
      <w:r>
        <w:rPr>
          <w:rFonts w:ascii="宋体" w:hAnsi="宋体"/>
          <w:b/>
          <w:highlight w:val="none"/>
        </w:rPr>
        <w:t>业绩表格式</w:t>
      </w:r>
      <w:bookmarkEnd w:id="1964"/>
      <w:bookmarkEnd w:id="1965"/>
      <w:bookmarkEnd w:id="1966"/>
      <w:bookmarkEnd w:id="1967"/>
      <w:bookmarkEnd w:id="1968"/>
      <w:bookmarkEnd w:id="1969"/>
      <w:bookmarkEnd w:id="1970"/>
      <w:bookmarkEnd w:id="1971"/>
      <w:bookmarkEnd w:id="1972"/>
      <w:bookmarkEnd w:id="1973"/>
    </w:p>
    <w:p>
      <w:pPr>
        <w:shd w:val="clear"/>
        <w:spacing w:before="0"/>
        <w:ind w:right="-57"/>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tcBorders>
              <w:top w:val="double" w:color="auto" w:sz="4" w:space="0"/>
            </w:tcBorders>
            <w:vAlign w:val="center"/>
          </w:tcPr>
          <w:p>
            <w:pPr>
              <w:shd w:val="clear"/>
              <w:ind w:left="0" w:firstLine="0"/>
              <w:rPr>
                <w:rFonts w:ascii="宋体" w:hAnsi="宋体"/>
                <w:sz w:val="18"/>
                <w:szCs w:val="18"/>
                <w:highlight w:val="none"/>
              </w:rPr>
            </w:pPr>
            <w:r>
              <w:rPr>
                <w:rFonts w:hint="eastAsia" w:ascii="宋体" w:hAnsi="宋体"/>
                <w:sz w:val="18"/>
                <w:szCs w:val="18"/>
                <w:highlight w:val="none"/>
              </w:rPr>
              <w:t>序号</w:t>
            </w:r>
          </w:p>
        </w:tc>
        <w:tc>
          <w:tcPr>
            <w:tcW w:w="1092" w:type="dxa"/>
            <w:tcBorders>
              <w:top w:val="double" w:color="auto" w:sz="4" w:space="0"/>
            </w:tcBorders>
            <w:vAlign w:val="center"/>
          </w:tcPr>
          <w:p>
            <w:pPr>
              <w:shd w:val="clear"/>
              <w:ind w:left="0" w:firstLine="0"/>
              <w:rPr>
                <w:rFonts w:ascii="宋体" w:hAnsi="宋体"/>
                <w:sz w:val="18"/>
                <w:szCs w:val="18"/>
                <w:highlight w:val="none"/>
              </w:rPr>
            </w:pPr>
            <w:r>
              <w:rPr>
                <w:rFonts w:hint="eastAsia" w:ascii="宋体" w:hAnsi="宋体"/>
                <w:sz w:val="18"/>
                <w:szCs w:val="18"/>
                <w:highlight w:val="none"/>
              </w:rPr>
              <w:t>项目名称</w:t>
            </w:r>
          </w:p>
        </w:tc>
        <w:tc>
          <w:tcPr>
            <w:tcW w:w="1789" w:type="dxa"/>
            <w:tcBorders>
              <w:top w:val="double" w:color="auto" w:sz="4" w:space="0"/>
            </w:tcBorders>
            <w:vAlign w:val="center"/>
          </w:tcPr>
          <w:p>
            <w:pPr>
              <w:shd w:val="clear"/>
              <w:ind w:left="0" w:firstLine="0"/>
              <w:rPr>
                <w:rFonts w:ascii="宋体" w:hAnsi="宋体"/>
                <w:sz w:val="18"/>
                <w:szCs w:val="18"/>
                <w:highlight w:val="none"/>
              </w:rPr>
            </w:pPr>
            <w:r>
              <w:rPr>
                <w:rFonts w:hint="eastAsia" w:ascii="宋体" w:hAnsi="宋体"/>
                <w:sz w:val="18"/>
                <w:szCs w:val="18"/>
                <w:highlight w:val="none"/>
              </w:rPr>
              <w:t>合同内容（简述）</w:t>
            </w:r>
          </w:p>
        </w:tc>
        <w:tc>
          <w:tcPr>
            <w:tcW w:w="992" w:type="dxa"/>
            <w:tcBorders>
              <w:top w:val="double" w:color="auto" w:sz="4" w:space="0"/>
            </w:tcBorders>
            <w:vAlign w:val="center"/>
          </w:tcPr>
          <w:p>
            <w:pPr>
              <w:shd w:val="clear"/>
              <w:ind w:left="0" w:firstLine="0"/>
              <w:jc w:val="center"/>
              <w:rPr>
                <w:rFonts w:ascii="宋体" w:hAnsi="宋体"/>
                <w:sz w:val="18"/>
                <w:szCs w:val="18"/>
                <w:highlight w:val="none"/>
              </w:rPr>
            </w:pPr>
            <w:r>
              <w:rPr>
                <w:rFonts w:hint="eastAsia" w:ascii="宋体" w:hAnsi="宋体"/>
                <w:sz w:val="18"/>
                <w:szCs w:val="18"/>
                <w:highlight w:val="none"/>
              </w:rPr>
              <w:t>合同</w:t>
            </w:r>
            <w:r>
              <w:rPr>
                <w:rFonts w:ascii="宋体" w:hAnsi="宋体"/>
                <w:sz w:val="18"/>
                <w:szCs w:val="18"/>
                <w:highlight w:val="none"/>
              </w:rPr>
              <w:br w:type="textWrapping"/>
            </w:r>
            <w:r>
              <w:rPr>
                <w:rFonts w:hint="eastAsia" w:ascii="宋体" w:hAnsi="宋体"/>
                <w:sz w:val="18"/>
                <w:szCs w:val="18"/>
                <w:highlight w:val="none"/>
              </w:rPr>
              <w:t>金额</w:t>
            </w:r>
          </w:p>
        </w:tc>
        <w:tc>
          <w:tcPr>
            <w:tcW w:w="993" w:type="dxa"/>
            <w:tcBorders>
              <w:top w:val="double" w:color="auto" w:sz="4" w:space="0"/>
            </w:tcBorders>
            <w:vAlign w:val="center"/>
          </w:tcPr>
          <w:p>
            <w:pPr>
              <w:shd w:val="clear"/>
              <w:ind w:left="0" w:firstLine="0"/>
              <w:jc w:val="center"/>
              <w:rPr>
                <w:rFonts w:ascii="宋体" w:hAnsi="宋体"/>
                <w:sz w:val="18"/>
                <w:szCs w:val="18"/>
                <w:highlight w:val="none"/>
              </w:rPr>
            </w:pPr>
            <w:r>
              <w:rPr>
                <w:rFonts w:hint="eastAsia" w:ascii="宋体" w:hAnsi="宋体"/>
                <w:sz w:val="18"/>
                <w:szCs w:val="18"/>
                <w:highlight w:val="none"/>
              </w:rPr>
              <w:t>签订</w:t>
            </w:r>
            <w:r>
              <w:rPr>
                <w:rFonts w:ascii="宋体" w:hAnsi="宋体"/>
                <w:sz w:val="18"/>
                <w:szCs w:val="18"/>
                <w:highlight w:val="none"/>
              </w:rPr>
              <w:br w:type="textWrapping"/>
            </w:r>
            <w:r>
              <w:rPr>
                <w:rFonts w:hint="eastAsia" w:ascii="宋体" w:hAnsi="宋体"/>
                <w:sz w:val="18"/>
                <w:szCs w:val="18"/>
                <w:highlight w:val="none"/>
              </w:rPr>
              <w:t>时间</w:t>
            </w:r>
          </w:p>
        </w:tc>
        <w:tc>
          <w:tcPr>
            <w:tcW w:w="1388" w:type="dxa"/>
            <w:tcBorders>
              <w:top w:val="double" w:color="auto" w:sz="4" w:space="0"/>
            </w:tcBorders>
            <w:vAlign w:val="center"/>
          </w:tcPr>
          <w:p>
            <w:pPr>
              <w:shd w:val="clear"/>
              <w:ind w:left="0" w:firstLine="0"/>
              <w:jc w:val="center"/>
              <w:rPr>
                <w:rFonts w:ascii="宋体" w:hAnsi="宋体"/>
                <w:sz w:val="18"/>
                <w:szCs w:val="18"/>
                <w:highlight w:val="none"/>
              </w:rPr>
            </w:pPr>
            <w:r>
              <w:rPr>
                <w:rFonts w:hint="eastAsia" w:ascii="宋体" w:hAnsi="宋体"/>
                <w:sz w:val="18"/>
                <w:szCs w:val="18"/>
                <w:highlight w:val="none"/>
              </w:rPr>
              <w:t>供货、</w:t>
            </w:r>
            <w:r>
              <w:rPr>
                <w:rFonts w:hint="eastAsia"/>
                <w:sz w:val="18"/>
                <w:szCs w:val="18"/>
                <w:highlight w:val="none"/>
              </w:rPr>
              <w:t>工期或服务</w:t>
            </w:r>
            <w:r>
              <w:rPr>
                <w:rFonts w:hint="eastAsia" w:ascii="宋体" w:hAnsi="宋体"/>
                <w:sz w:val="18"/>
                <w:szCs w:val="18"/>
                <w:highlight w:val="none"/>
              </w:rPr>
              <w:t>时间</w:t>
            </w:r>
          </w:p>
        </w:tc>
        <w:tc>
          <w:tcPr>
            <w:tcW w:w="1044" w:type="dxa"/>
            <w:tcBorders>
              <w:top w:val="double" w:color="auto" w:sz="4" w:space="0"/>
            </w:tcBorders>
            <w:vAlign w:val="center"/>
          </w:tcPr>
          <w:p>
            <w:pPr>
              <w:shd w:val="clear"/>
              <w:ind w:left="0" w:firstLine="0"/>
              <w:rPr>
                <w:rFonts w:ascii="宋体" w:hAnsi="宋体"/>
                <w:sz w:val="18"/>
                <w:szCs w:val="18"/>
                <w:highlight w:val="none"/>
              </w:rPr>
            </w:pPr>
            <w:r>
              <w:rPr>
                <w:rFonts w:hint="eastAsia" w:ascii="宋体" w:hAnsi="宋体"/>
                <w:sz w:val="18"/>
                <w:szCs w:val="18"/>
                <w:highlight w:val="none"/>
              </w:rPr>
              <w:t>业主单位</w:t>
            </w:r>
          </w:p>
        </w:tc>
        <w:tc>
          <w:tcPr>
            <w:tcW w:w="1043" w:type="dxa"/>
            <w:tcBorders>
              <w:top w:val="double" w:color="auto" w:sz="4" w:space="0"/>
            </w:tcBorders>
            <w:vAlign w:val="center"/>
          </w:tcPr>
          <w:p>
            <w:pPr>
              <w:shd w:val="clear"/>
              <w:ind w:left="0" w:firstLine="0"/>
              <w:rPr>
                <w:rFonts w:ascii="宋体" w:hAnsi="宋体"/>
                <w:sz w:val="18"/>
                <w:szCs w:val="18"/>
                <w:highlight w:val="none"/>
              </w:rPr>
            </w:pPr>
            <w:r>
              <w:rPr>
                <w:rFonts w:hint="eastAsia" w:ascii="宋体" w:hAnsi="宋体"/>
                <w:sz w:val="18"/>
                <w:szCs w:val="18"/>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tcPr>
          <w:p>
            <w:pPr>
              <w:shd w:val="clear"/>
              <w:ind w:left="0" w:firstLine="0"/>
              <w:rPr>
                <w:rFonts w:ascii="宋体" w:hAnsi="宋体"/>
                <w:sz w:val="18"/>
                <w:szCs w:val="18"/>
                <w:highlight w:val="none"/>
              </w:rPr>
            </w:pPr>
          </w:p>
        </w:tc>
        <w:tc>
          <w:tcPr>
            <w:tcW w:w="1092" w:type="dxa"/>
          </w:tcPr>
          <w:p>
            <w:pPr>
              <w:shd w:val="clear"/>
              <w:ind w:left="0" w:firstLine="0"/>
              <w:rPr>
                <w:rFonts w:ascii="宋体" w:hAnsi="宋体"/>
                <w:sz w:val="18"/>
                <w:szCs w:val="18"/>
                <w:highlight w:val="none"/>
              </w:rPr>
            </w:pPr>
          </w:p>
        </w:tc>
        <w:tc>
          <w:tcPr>
            <w:tcW w:w="1789" w:type="dxa"/>
          </w:tcPr>
          <w:p>
            <w:pPr>
              <w:shd w:val="clear"/>
              <w:ind w:left="0" w:firstLine="0"/>
              <w:rPr>
                <w:rFonts w:ascii="宋体" w:hAnsi="宋体"/>
                <w:sz w:val="18"/>
                <w:szCs w:val="18"/>
                <w:highlight w:val="none"/>
              </w:rPr>
            </w:pPr>
          </w:p>
        </w:tc>
        <w:tc>
          <w:tcPr>
            <w:tcW w:w="992" w:type="dxa"/>
          </w:tcPr>
          <w:p>
            <w:pPr>
              <w:shd w:val="clear"/>
              <w:ind w:left="0" w:firstLine="0"/>
              <w:rPr>
                <w:rFonts w:ascii="宋体" w:hAnsi="宋体"/>
                <w:sz w:val="18"/>
                <w:szCs w:val="18"/>
                <w:highlight w:val="none"/>
              </w:rPr>
            </w:pPr>
          </w:p>
        </w:tc>
        <w:tc>
          <w:tcPr>
            <w:tcW w:w="993" w:type="dxa"/>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tcPr>
          <w:p>
            <w:pPr>
              <w:shd w:val="clear"/>
              <w:ind w:left="0" w:firstLine="0"/>
              <w:rPr>
                <w:rFonts w:ascii="宋体" w:hAnsi="宋体"/>
                <w:sz w:val="18"/>
                <w:szCs w:val="18"/>
                <w:highlight w:val="none"/>
              </w:rPr>
            </w:pPr>
          </w:p>
        </w:tc>
        <w:tc>
          <w:tcPr>
            <w:tcW w:w="1043" w:type="dxa"/>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shd w:val="clear"/>
              <w:ind w:left="0" w:firstLine="0"/>
              <w:rPr>
                <w:rFonts w:ascii="宋体" w:hAnsi="宋体"/>
                <w:sz w:val="18"/>
                <w:szCs w:val="18"/>
                <w:highlight w:val="none"/>
              </w:rPr>
            </w:pPr>
          </w:p>
        </w:tc>
        <w:tc>
          <w:tcPr>
            <w:tcW w:w="1092" w:type="dxa"/>
            <w:vAlign w:val="center"/>
          </w:tcPr>
          <w:p>
            <w:pPr>
              <w:shd w:val="clear"/>
              <w:ind w:left="0" w:firstLine="0"/>
              <w:rPr>
                <w:rFonts w:ascii="宋体" w:hAnsi="宋体"/>
                <w:sz w:val="18"/>
                <w:szCs w:val="18"/>
                <w:highlight w:val="none"/>
              </w:rPr>
            </w:pPr>
          </w:p>
        </w:tc>
        <w:tc>
          <w:tcPr>
            <w:tcW w:w="1789" w:type="dxa"/>
            <w:vAlign w:val="center"/>
          </w:tcPr>
          <w:p>
            <w:pPr>
              <w:shd w:val="clear"/>
              <w:ind w:left="0" w:firstLine="0"/>
              <w:rPr>
                <w:rFonts w:ascii="宋体" w:hAnsi="宋体"/>
                <w:sz w:val="18"/>
                <w:szCs w:val="18"/>
                <w:highlight w:val="none"/>
              </w:rPr>
            </w:pPr>
          </w:p>
        </w:tc>
        <w:tc>
          <w:tcPr>
            <w:tcW w:w="992" w:type="dxa"/>
            <w:vAlign w:val="center"/>
          </w:tcPr>
          <w:p>
            <w:pPr>
              <w:shd w:val="clear"/>
              <w:ind w:left="0" w:firstLine="0"/>
              <w:rPr>
                <w:rFonts w:ascii="宋体" w:hAnsi="宋体"/>
                <w:sz w:val="18"/>
                <w:szCs w:val="18"/>
                <w:highlight w:val="none"/>
              </w:rPr>
            </w:pPr>
          </w:p>
        </w:tc>
        <w:tc>
          <w:tcPr>
            <w:tcW w:w="993" w:type="dxa"/>
            <w:vAlign w:val="center"/>
          </w:tcPr>
          <w:p>
            <w:pPr>
              <w:shd w:val="clear"/>
              <w:ind w:left="0" w:firstLine="0"/>
              <w:rPr>
                <w:rFonts w:ascii="宋体" w:hAnsi="宋体"/>
                <w:sz w:val="18"/>
                <w:szCs w:val="18"/>
                <w:highlight w:val="none"/>
              </w:rPr>
            </w:pPr>
          </w:p>
        </w:tc>
        <w:tc>
          <w:tcPr>
            <w:tcW w:w="1388" w:type="dxa"/>
          </w:tcPr>
          <w:p>
            <w:pPr>
              <w:shd w:val="clear"/>
              <w:ind w:left="0" w:firstLine="0"/>
              <w:rPr>
                <w:rFonts w:ascii="宋体" w:hAnsi="宋体"/>
                <w:sz w:val="18"/>
                <w:szCs w:val="18"/>
                <w:highlight w:val="none"/>
              </w:rPr>
            </w:pPr>
          </w:p>
        </w:tc>
        <w:tc>
          <w:tcPr>
            <w:tcW w:w="1044" w:type="dxa"/>
            <w:vAlign w:val="center"/>
          </w:tcPr>
          <w:p>
            <w:pPr>
              <w:shd w:val="clear"/>
              <w:ind w:left="0" w:firstLine="0"/>
              <w:rPr>
                <w:rFonts w:ascii="宋体" w:hAnsi="宋体"/>
                <w:sz w:val="18"/>
                <w:szCs w:val="18"/>
                <w:highlight w:val="none"/>
              </w:rPr>
            </w:pPr>
          </w:p>
        </w:tc>
        <w:tc>
          <w:tcPr>
            <w:tcW w:w="1043" w:type="dxa"/>
            <w:vAlign w:val="center"/>
          </w:tcPr>
          <w:p>
            <w:pPr>
              <w:shd w:val="clear"/>
              <w:ind w:left="0" w:firstLine="0"/>
              <w:rPr>
                <w:rFonts w:ascii="宋体" w:hAnsi="宋体"/>
                <w:sz w:val="18"/>
                <w:szCs w:val="18"/>
                <w:highlight w:val="none"/>
              </w:rPr>
            </w:pPr>
          </w:p>
        </w:tc>
      </w:tr>
    </w:tbl>
    <w:p>
      <w:pPr>
        <w:shd w:val="clear"/>
        <w:spacing w:before="0" w:after="0" w:afterAutospacing="0"/>
        <w:ind w:left="0" w:right="0" w:firstLine="0"/>
        <w:rPr>
          <w:rFonts w:ascii="宋体" w:hAnsi="宋体"/>
          <w:highlight w:val="none"/>
        </w:rPr>
      </w:pPr>
      <w:r>
        <w:rPr>
          <w:rFonts w:ascii="宋体" w:hAnsi="宋体"/>
          <w:highlight w:val="none"/>
        </w:rPr>
        <w:t>注：1.</w:t>
      </w:r>
      <w:r>
        <w:rPr>
          <w:rFonts w:hint="eastAsia" w:ascii="宋体" w:hAnsi="宋体"/>
          <w:highlight w:val="none"/>
        </w:rPr>
        <w:t>类似项目业绩：</w:t>
      </w:r>
      <w:r>
        <w:rPr>
          <w:rFonts w:hint="eastAsia" w:ascii="宋体" w:hAnsi="宋体" w:eastAsia="宋体" w:cs="Times New Roman"/>
          <w:sz w:val="21"/>
          <w:szCs w:val="21"/>
          <w:highlight w:val="none"/>
          <w:lang w:val="en-US" w:eastAsia="zh-CN" w:bidi="ar-SA"/>
        </w:rPr>
        <w:t>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r>
        <w:rPr>
          <w:rFonts w:hint="eastAsia" w:ascii="宋体" w:hAnsi="宋体"/>
          <w:highlight w:val="none"/>
        </w:rPr>
        <w:t>。</w:t>
      </w:r>
    </w:p>
    <w:p>
      <w:pPr>
        <w:shd w:val="clear"/>
        <w:spacing w:before="0" w:after="0" w:afterAutospacing="0"/>
        <w:ind w:left="0" w:right="0" w:firstLine="0"/>
        <w:outlineLvl w:val="1"/>
        <w:rPr>
          <w:rFonts w:ascii="宋体" w:hAnsi="宋体"/>
          <w:highlight w:val="none"/>
        </w:rPr>
      </w:pPr>
      <w:bookmarkStart w:id="1974" w:name="_Toc18441"/>
      <w:bookmarkStart w:id="1975" w:name="_Toc867"/>
      <w:bookmarkStart w:id="1976" w:name="_Toc30906"/>
      <w:bookmarkStart w:id="1977" w:name="_Toc28207"/>
      <w:bookmarkStart w:id="1978" w:name="_Toc19652"/>
      <w:bookmarkStart w:id="1979" w:name="_Toc11078"/>
      <w:bookmarkStart w:id="1980" w:name="_Toc8124"/>
      <w:bookmarkStart w:id="1981" w:name="_Toc19073"/>
      <w:bookmarkStart w:id="1982" w:name="_Toc32317"/>
      <w:r>
        <w:rPr>
          <w:rFonts w:ascii="宋体" w:hAnsi="宋体"/>
          <w:highlight w:val="none"/>
        </w:rPr>
        <w:t>2.</w:t>
      </w:r>
      <w:r>
        <w:rPr>
          <w:rFonts w:hint="eastAsia" w:ascii="宋体" w:hAnsi="宋体"/>
          <w:highlight w:val="none"/>
        </w:rPr>
        <w:t>项目按照时间顺序排列，时间以合同签订时间为准。</w:t>
      </w:r>
      <w:bookmarkEnd w:id="1974"/>
      <w:bookmarkEnd w:id="1975"/>
      <w:bookmarkEnd w:id="1976"/>
      <w:bookmarkEnd w:id="1977"/>
      <w:bookmarkEnd w:id="1978"/>
      <w:bookmarkEnd w:id="1979"/>
      <w:bookmarkEnd w:id="1980"/>
      <w:bookmarkEnd w:id="1981"/>
      <w:bookmarkEnd w:id="1982"/>
    </w:p>
    <w:p>
      <w:pPr>
        <w:shd w:val="clear"/>
        <w:spacing w:before="0" w:after="0" w:afterAutospacing="0"/>
        <w:ind w:left="0" w:right="0" w:firstLine="0"/>
      </w:pPr>
      <w:r>
        <w:rPr>
          <w:rFonts w:ascii="宋体" w:hAnsi="宋体"/>
          <w:highlight w:val="none"/>
        </w:rPr>
        <w:t>3.</w:t>
      </w:r>
      <w:r>
        <w:rPr>
          <w:rFonts w:hint="eastAsia" w:ascii="宋体" w:hAnsi="宋体"/>
          <w:highlight w:val="none"/>
        </w:rPr>
        <w:t>比选申请人须提供相应的业绩证明材料：</w:t>
      </w:r>
      <w:r>
        <w:rPr>
          <w:rFonts w:hint="eastAsia" w:ascii="宋体" w:hAnsi="宋体"/>
          <w:color w:val="auto"/>
          <w:szCs w:val="21"/>
          <w:highlight w:val="none"/>
        </w:rPr>
        <w:t>项目合同文件</w:t>
      </w:r>
      <w:r>
        <w:rPr>
          <w:rFonts w:hint="default" w:ascii="宋体" w:hAnsi="宋体"/>
          <w:color w:val="auto"/>
          <w:szCs w:val="21"/>
          <w:highlight w:val="none"/>
        </w:rPr>
        <w:t>（</w:t>
      </w:r>
      <w:r>
        <w:rPr>
          <w:rFonts w:hint="eastAsia" w:ascii="宋体" w:hAnsi="宋体"/>
          <w:color w:val="auto"/>
          <w:szCs w:val="21"/>
          <w:highlight w:val="none"/>
        </w:rPr>
        <w:t>复印件加盖</w:t>
      </w:r>
      <w:r>
        <w:rPr>
          <w:rFonts w:hint="eastAsia" w:ascii="宋体" w:hAnsi="宋体"/>
          <w:color w:val="auto"/>
          <w:szCs w:val="21"/>
          <w:highlight w:val="none"/>
          <w:lang w:val="en-US" w:eastAsia="zh-CN"/>
        </w:rPr>
        <w:t>比选申请</w:t>
      </w:r>
      <w:r>
        <w:rPr>
          <w:rFonts w:hint="eastAsia" w:ascii="宋体" w:hAnsi="宋体"/>
          <w:color w:val="auto"/>
          <w:szCs w:val="21"/>
          <w:highlight w:val="none"/>
        </w:rPr>
        <w:t>人公章</w:t>
      </w:r>
      <w:r>
        <w:rPr>
          <w:rFonts w:hint="default" w:ascii="宋体" w:hAnsi="宋体"/>
          <w:color w:val="auto"/>
          <w:szCs w:val="21"/>
          <w:highlight w:val="none"/>
        </w:rPr>
        <w:t>）</w:t>
      </w:r>
      <w:r>
        <w:rPr>
          <w:rFonts w:hint="eastAsia" w:ascii="宋体" w:hAnsi="宋体"/>
          <w:color w:val="auto"/>
          <w:szCs w:val="21"/>
          <w:highlight w:val="none"/>
        </w:rPr>
        <w:t>，证明文件中须体现出合同双方、合同签订时间、合同金额（单价或合价，能统计出相应合同总价的均认可。）、反映业绩特征的内容等，否则视为无效证明文件</w:t>
      </w:r>
      <w:r>
        <w:rPr>
          <w:rFonts w:hint="eastAsia" w:ascii="宋体" w:hAnsi="宋体"/>
          <w:highlight w:val="none"/>
        </w:rPr>
        <w:t>。</w:t>
      </w:r>
    </w:p>
    <w:p>
      <w:pPr>
        <w:shd w:val="clear"/>
        <w:snapToGrid w:val="0"/>
        <w:spacing w:after="50" w:line="280" w:lineRule="exact"/>
        <w:ind w:left="955" w:right="-817" w:firstLine="3780" w:firstLineChars="1800"/>
        <w:rPr>
          <w:rFonts w:ascii="宋体" w:hAnsi="宋体"/>
          <w:highlight w:val="none"/>
          <w:u w:val="single"/>
        </w:rPr>
      </w:pPr>
      <w:r>
        <w:rPr>
          <w:rFonts w:hint="eastAsia" w:ascii="宋体" w:hAnsi="宋体"/>
          <w:highlight w:val="none"/>
        </w:rPr>
        <w:t>比选申请人名称（盖章）：</w:t>
      </w:r>
    </w:p>
    <w:p>
      <w:pPr>
        <w:shd w:val="clear"/>
        <w:snapToGrid w:val="0"/>
        <w:spacing w:after="50" w:line="280" w:lineRule="exact"/>
        <w:ind w:left="955" w:right="-817" w:firstLine="3780" w:firstLineChars="1800"/>
        <w:rPr>
          <w:rFonts w:hint="eastAsia" w:ascii="宋体" w:hAnsi="宋体" w:eastAsia="宋体" w:cs="Times New Roman"/>
          <w:highlight w:val="none"/>
        </w:rPr>
      </w:pPr>
      <w:r>
        <w:rPr>
          <w:rFonts w:hint="eastAsia" w:ascii="宋体" w:hAnsi="宋体" w:eastAsia="宋体" w:cs="Times New Roman"/>
          <w:highlight w:val="none"/>
        </w:rPr>
        <w:t>法定代表人或被授权人（签字）：</w:t>
      </w:r>
    </w:p>
    <w:p>
      <w:pPr>
        <w:shd w:val="clear"/>
        <w:snapToGrid w:val="0"/>
        <w:spacing w:after="50" w:line="280" w:lineRule="exact"/>
        <w:ind w:left="840" w:leftChars="400" w:right="-817" w:firstLine="3903" w:firstLineChars="1859"/>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4"/>
        <w:shd w:val="clear"/>
        <w:spacing w:after="100"/>
        <w:ind w:left="0" w:leftChars="0" w:right="-57" w:firstLine="0" w:firstLineChars="0"/>
        <w:jc w:val="center"/>
        <w:outlineLvl w:val="2"/>
        <w:rPr>
          <w:rFonts w:hint="eastAsia" w:ascii="Times New Roman" w:hAnsi="Times New Roman" w:eastAsia="宋体" w:cs="Times New Roman"/>
          <w:sz w:val="24"/>
          <w:szCs w:val="24"/>
          <w:highlight w:val="none"/>
          <w:lang w:val="en-US" w:eastAsia="zh-CN"/>
        </w:rPr>
      </w:pPr>
      <w:bookmarkStart w:id="1983" w:name="_Toc28662"/>
      <w:bookmarkStart w:id="1984" w:name="_Toc16676"/>
      <w:bookmarkStart w:id="1985" w:name="_Toc414290525"/>
      <w:bookmarkStart w:id="1986" w:name="_Toc10812"/>
      <w:bookmarkStart w:id="1987" w:name="_Toc13328"/>
      <w:bookmarkStart w:id="1988" w:name="_Toc12983551"/>
      <w:bookmarkStart w:id="1989" w:name="_Toc14586"/>
      <w:bookmarkStart w:id="1990" w:name="_Toc24971"/>
      <w:bookmarkStart w:id="1991" w:name="_Toc29358"/>
      <w:bookmarkStart w:id="1992" w:name="_Toc17687"/>
      <w:bookmarkStart w:id="1993" w:name="_Toc492478807"/>
      <w:bookmarkStart w:id="1994" w:name="_Toc8874"/>
      <w:bookmarkStart w:id="1995" w:name="_Toc8914"/>
      <w:bookmarkStart w:id="1996" w:name="_Toc12677"/>
      <w:bookmarkStart w:id="1997" w:name="_Toc12984811"/>
      <w:bookmarkStart w:id="1998" w:name="_Toc18876"/>
      <w:bookmarkStart w:id="1999" w:name="_Toc11582"/>
      <w:bookmarkStart w:id="2000" w:name="_Toc8451"/>
      <w:bookmarkStart w:id="2001" w:name="_Toc23770"/>
      <w:bookmarkStart w:id="2002" w:name="_Toc27820"/>
      <w:bookmarkStart w:id="2003" w:name="_Toc14988"/>
      <w:bookmarkStart w:id="2004" w:name="_Toc29338"/>
      <w:bookmarkStart w:id="2005" w:name="_Toc25693"/>
      <w:bookmarkStart w:id="2006" w:name="_Toc27026"/>
      <w:bookmarkStart w:id="2007" w:name="_Toc18905"/>
      <w:bookmarkStart w:id="2008" w:name="_Toc27173"/>
      <w:bookmarkStart w:id="2009" w:name="_Toc9527"/>
      <w:bookmarkStart w:id="2010" w:name="_Toc12657"/>
      <w:r>
        <w:rPr>
          <w:rFonts w:ascii="Times New Roman" w:hAnsi="Times New Roman" w:eastAsia="宋体" w:cs="Times New Roman"/>
          <w:sz w:val="24"/>
          <w:szCs w:val="24"/>
          <w:highlight w:val="none"/>
        </w:rPr>
        <w:t xml:space="preserve">B </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Fonts w:hint="eastAsia" w:ascii="Times New Roman" w:hAnsi="Times New Roman" w:eastAsia="宋体" w:cs="Times New Roman"/>
          <w:sz w:val="24"/>
          <w:szCs w:val="24"/>
          <w:highlight w:val="none"/>
          <w:lang w:val="en-US" w:eastAsia="zh-CN"/>
        </w:rPr>
        <w:t>资信文件</w:t>
      </w:r>
      <w:bookmarkEnd w:id="2004"/>
      <w:bookmarkEnd w:id="2005"/>
      <w:bookmarkEnd w:id="2006"/>
      <w:bookmarkEnd w:id="2007"/>
      <w:bookmarkEnd w:id="2008"/>
      <w:bookmarkEnd w:id="2009"/>
      <w:bookmarkEnd w:id="2010"/>
    </w:p>
    <w:p>
      <w:pPr>
        <w:keepNext w:val="0"/>
        <w:keepLines w:val="0"/>
        <w:widowControl/>
        <w:suppressLineNumbers w:val="0"/>
        <w:spacing w:line="240" w:lineRule="auto"/>
        <w:jc w:val="left"/>
        <w:outlineLvl w:val="1"/>
        <w:rPr>
          <w:rFonts w:hint="eastAsia" w:ascii="宋体" w:hAnsi="宋体" w:eastAsia="宋体" w:cs="宋体"/>
          <w:color w:val="000000"/>
          <w:kern w:val="0"/>
          <w:sz w:val="21"/>
          <w:szCs w:val="21"/>
          <w:lang w:val="en-US" w:eastAsia="zh-CN" w:bidi="ar"/>
        </w:rPr>
      </w:pPr>
      <w:bookmarkStart w:id="2011" w:name="_Toc7078"/>
      <w:bookmarkStart w:id="2012" w:name="_Toc12813"/>
      <w:bookmarkStart w:id="2013" w:name="_Toc1600"/>
      <w:bookmarkStart w:id="2014" w:name="_Toc505"/>
      <w:bookmarkStart w:id="2015" w:name="_Toc10477"/>
      <w:bookmarkStart w:id="2016" w:name="_Toc21589"/>
      <w:bookmarkStart w:id="2017" w:name="_Toc16497"/>
      <w:bookmarkStart w:id="2018" w:name="_Toc25207"/>
      <w:bookmarkStart w:id="2019" w:name="_Toc16325"/>
      <w:r>
        <w:rPr>
          <w:rFonts w:hint="eastAsia" w:ascii="宋体" w:hAnsi="宋体" w:eastAsia="宋体" w:cs="宋体"/>
          <w:color w:val="000000"/>
          <w:kern w:val="0"/>
          <w:sz w:val="21"/>
          <w:szCs w:val="21"/>
          <w:lang w:val="en-US" w:eastAsia="zh-CN" w:bidi="ar"/>
        </w:rPr>
        <w:t>1、比选申请人基本情况一览表（详见格式 B1）；</w:t>
      </w:r>
      <w:bookmarkEnd w:id="2011"/>
      <w:bookmarkEnd w:id="2012"/>
      <w:bookmarkEnd w:id="2013"/>
      <w:bookmarkEnd w:id="2014"/>
      <w:bookmarkEnd w:id="2015"/>
      <w:bookmarkEnd w:id="2016"/>
      <w:bookmarkEnd w:id="2017"/>
      <w:bookmarkEnd w:id="2018"/>
      <w:bookmarkEnd w:id="2019"/>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2、项目经理简历表（详见格式 B2），提供项目经理的身份证、学历证、职称证等身份证明材 </w:t>
      </w:r>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料和项目经理类似项目经验的业绩证明材料。业绩证明材料为维保合同复印件，业绩证明材料须能 </w:t>
      </w:r>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体现类似项目特征和承担项目经理的职位，否则不予认可；</w:t>
      </w:r>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highlight w:val="none"/>
          <w:lang w:val="en-US" w:eastAsia="zh-CN" w:bidi="ar"/>
        </w:rPr>
        <w:t>类似项目业绩表（详见格式B</w:t>
      </w:r>
      <w:r>
        <w:rPr>
          <w:rFonts w:hint="eastAsia" w:ascii="宋体" w:hAnsi="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val="en-US" w:eastAsia="zh-CN" w:bidi="ar"/>
        </w:rPr>
        <w:t>）</w:t>
      </w:r>
      <w:r>
        <w:rPr>
          <w:rFonts w:hint="eastAsia" w:ascii="宋体" w:hAnsi="宋体" w:eastAsia="宋体" w:cs="宋体"/>
          <w:color w:val="000000"/>
          <w:kern w:val="0"/>
          <w:sz w:val="21"/>
          <w:szCs w:val="21"/>
          <w:lang w:val="en-US" w:eastAsia="zh-CN" w:bidi="ar"/>
        </w:rPr>
        <w:t>，同时比选申请人须提供业绩证明文件；</w:t>
      </w:r>
    </w:p>
    <w:p>
      <w:pPr>
        <w:keepNext w:val="0"/>
        <w:keepLines w:val="0"/>
        <w:widowControl/>
        <w:suppressLineNumbers w:val="0"/>
        <w:spacing w:line="240" w:lineRule="auto"/>
        <w:jc w:val="left"/>
        <w:outlineLvl w:val="1"/>
        <w:rPr>
          <w:rFonts w:hint="eastAsia" w:ascii="宋体" w:hAnsi="宋体" w:cs="宋体"/>
          <w:color w:val="000000"/>
          <w:highlight w:val="none"/>
          <w:lang w:bidi="ar"/>
        </w:rPr>
      </w:pPr>
      <w:bookmarkStart w:id="2020" w:name="_Toc15959"/>
      <w:bookmarkStart w:id="2021" w:name="_Toc3587"/>
      <w:bookmarkStart w:id="2022" w:name="_Toc5377"/>
      <w:bookmarkStart w:id="2023" w:name="_Toc31710"/>
      <w:bookmarkStart w:id="2024" w:name="_Toc31482"/>
      <w:bookmarkStart w:id="2025" w:name="_Toc5969"/>
      <w:bookmarkStart w:id="2026" w:name="_Toc16244"/>
      <w:bookmarkStart w:id="2027" w:name="_Toc32763"/>
      <w:bookmarkStart w:id="2028" w:name="_Toc29028"/>
      <w:r>
        <w:rPr>
          <w:rFonts w:hint="eastAsia" w:ascii="宋体" w:hAnsi="宋体" w:cs="宋体"/>
          <w:color w:val="000000"/>
          <w:kern w:val="0"/>
          <w:sz w:val="21"/>
          <w:szCs w:val="21"/>
          <w:highlight w:val="none"/>
          <w:lang w:val="en-US" w:eastAsia="zh-CN" w:bidi="ar"/>
        </w:rPr>
        <w:t>4、</w:t>
      </w:r>
      <w:r>
        <w:rPr>
          <w:rFonts w:hint="eastAsia" w:ascii="宋体" w:hAnsi="宋体" w:cs="宋体"/>
          <w:color w:val="000000"/>
          <w:highlight w:val="none"/>
          <w:lang w:bidi="ar"/>
        </w:rPr>
        <w:t>由会计师事务所出具的投标人202</w:t>
      </w:r>
      <w:r>
        <w:rPr>
          <w:rFonts w:hint="eastAsia" w:ascii="宋体" w:hAnsi="宋体" w:cs="宋体"/>
          <w:color w:val="000000"/>
          <w:highlight w:val="none"/>
          <w:lang w:val="en-US" w:eastAsia="zh-CN" w:bidi="ar"/>
        </w:rPr>
        <w:t>2</w:t>
      </w:r>
      <w:r>
        <w:rPr>
          <w:rFonts w:hint="eastAsia" w:ascii="宋体" w:hAnsi="宋体" w:cs="宋体"/>
          <w:color w:val="000000"/>
          <w:highlight w:val="none"/>
          <w:lang w:bidi="ar"/>
        </w:rPr>
        <w:t>年度财务审计报告（应包含资产负债表、利润表、现金流量表等主要</w:t>
      </w:r>
      <w:bookmarkEnd w:id="2020"/>
      <w:bookmarkEnd w:id="2021"/>
    </w:p>
    <w:p>
      <w:pPr>
        <w:keepNext w:val="0"/>
        <w:keepLines w:val="0"/>
        <w:widowControl/>
        <w:suppressLineNumbers w:val="0"/>
        <w:spacing w:line="240" w:lineRule="auto"/>
        <w:jc w:val="left"/>
        <w:outlineLvl w:val="1"/>
        <w:rPr>
          <w:rFonts w:hint="default" w:ascii="宋体" w:hAnsi="宋体" w:cs="宋体"/>
          <w:color w:val="000000"/>
          <w:kern w:val="0"/>
          <w:sz w:val="21"/>
          <w:szCs w:val="21"/>
          <w:highlight w:val="none"/>
          <w:lang w:val="en-US" w:eastAsia="zh-CN" w:bidi="ar"/>
        </w:rPr>
      </w:pPr>
      <w:bookmarkStart w:id="2029" w:name="_Toc25714"/>
      <w:bookmarkStart w:id="2030" w:name="_Toc15488"/>
      <w:r>
        <w:rPr>
          <w:rFonts w:hint="eastAsia" w:ascii="宋体" w:hAnsi="宋体" w:cs="宋体"/>
          <w:color w:val="000000"/>
          <w:highlight w:val="none"/>
          <w:lang w:bidi="ar"/>
        </w:rPr>
        <w:t>财务报表及附注）；（如有）</w:t>
      </w:r>
      <w:bookmarkEnd w:id="2029"/>
      <w:bookmarkEnd w:id="2030"/>
    </w:p>
    <w:p>
      <w:pPr>
        <w:keepNext w:val="0"/>
        <w:keepLines w:val="0"/>
        <w:widowControl/>
        <w:suppressLineNumbers w:val="0"/>
        <w:spacing w:line="240" w:lineRule="auto"/>
        <w:jc w:val="left"/>
        <w:outlineLvl w:val="1"/>
        <w:rPr>
          <w:rFonts w:hint="eastAsia" w:ascii="宋体" w:hAnsi="宋体" w:eastAsia="宋体" w:cs="宋体"/>
          <w:color w:val="000000"/>
          <w:kern w:val="0"/>
          <w:sz w:val="21"/>
          <w:szCs w:val="21"/>
          <w:lang w:val="en-US" w:eastAsia="zh-CN" w:bidi="ar"/>
        </w:rPr>
      </w:pPr>
      <w:bookmarkStart w:id="2031" w:name="_Toc4118"/>
      <w:bookmarkStart w:id="2032" w:name="_Toc27166"/>
      <w:r>
        <w:rPr>
          <w:rFonts w:hint="eastAsia" w:ascii="宋体" w:hAnsi="宋体" w:cs="宋体"/>
          <w:color w:val="000000"/>
          <w:kern w:val="0"/>
          <w:sz w:val="21"/>
          <w:szCs w:val="21"/>
          <w:lang w:val="en-US" w:eastAsia="zh-CN" w:bidi="ar"/>
        </w:rPr>
        <w:t>5、</w:t>
      </w:r>
      <w:r>
        <w:rPr>
          <w:rFonts w:hint="eastAsia" w:ascii="宋体" w:hAnsi="宋体" w:eastAsia="宋体" w:cs="宋体"/>
          <w:color w:val="000000"/>
          <w:kern w:val="0"/>
          <w:sz w:val="21"/>
          <w:szCs w:val="21"/>
          <w:highlight w:val="none"/>
          <w:lang w:val="en-US" w:eastAsia="zh-CN" w:bidi="ar"/>
        </w:rPr>
        <w:t>商务响应表（详见格式B</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val="en-US" w:eastAsia="zh-CN" w:bidi="ar"/>
        </w:rPr>
        <w:t>）</w:t>
      </w:r>
      <w:r>
        <w:rPr>
          <w:rFonts w:hint="eastAsia" w:ascii="宋体" w:hAnsi="宋体" w:cs="宋体"/>
          <w:color w:val="000000"/>
          <w:kern w:val="0"/>
          <w:sz w:val="21"/>
          <w:szCs w:val="21"/>
          <w:lang w:val="en-US" w:eastAsia="zh-CN" w:bidi="ar"/>
        </w:rPr>
        <w:t>；</w:t>
      </w:r>
      <w:bookmarkEnd w:id="2022"/>
      <w:bookmarkEnd w:id="2023"/>
      <w:bookmarkEnd w:id="2024"/>
      <w:bookmarkEnd w:id="2025"/>
      <w:bookmarkEnd w:id="2026"/>
      <w:bookmarkEnd w:id="2027"/>
      <w:bookmarkEnd w:id="2028"/>
      <w:bookmarkEnd w:id="2031"/>
      <w:bookmarkEnd w:id="2032"/>
    </w:p>
    <w:p>
      <w:pPr>
        <w:keepNext w:val="0"/>
        <w:keepLines w:val="0"/>
        <w:widowControl/>
        <w:suppressLineNumbers w:val="0"/>
        <w:spacing w:line="240" w:lineRule="auto"/>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比选申请</w:t>
      </w:r>
      <w:r>
        <w:rPr>
          <w:rFonts w:hint="eastAsia" w:ascii="宋体" w:hAnsi="宋体" w:eastAsia="宋体" w:cs="宋体"/>
          <w:color w:val="000000"/>
          <w:kern w:val="0"/>
          <w:sz w:val="21"/>
          <w:szCs w:val="21"/>
          <w:lang w:val="en-US" w:eastAsia="zh-CN" w:bidi="ar"/>
        </w:rPr>
        <w:t>人有效期内的 ISO9001 质量管理体系认证证书复印件；</w:t>
      </w:r>
    </w:p>
    <w:p>
      <w:pPr>
        <w:keepNext w:val="0"/>
        <w:keepLines w:val="0"/>
        <w:widowControl/>
        <w:suppressLineNumbers w:val="0"/>
        <w:spacing w:line="240" w:lineRule="auto"/>
        <w:jc w:val="left"/>
        <w:outlineLvl w:val="1"/>
        <w:rPr>
          <w:rFonts w:hint="eastAsia" w:ascii="宋体" w:hAnsi="宋体" w:eastAsia="宋体" w:cs="宋体"/>
          <w:color w:val="000000"/>
          <w:kern w:val="0"/>
          <w:sz w:val="21"/>
          <w:szCs w:val="21"/>
          <w:lang w:val="en-US" w:eastAsia="zh-CN" w:bidi="ar"/>
        </w:rPr>
      </w:pPr>
      <w:bookmarkStart w:id="2033" w:name="_Toc3078"/>
      <w:bookmarkStart w:id="2034" w:name="_Toc11437"/>
      <w:bookmarkStart w:id="2035" w:name="_Toc27495"/>
      <w:bookmarkStart w:id="2036" w:name="_Toc12895"/>
      <w:bookmarkStart w:id="2037" w:name="_Toc27534"/>
      <w:bookmarkStart w:id="2038" w:name="_Toc28019"/>
      <w:bookmarkStart w:id="2039" w:name="_Toc6372"/>
      <w:bookmarkStart w:id="2040" w:name="_Toc8229"/>
      <w:bookmarkStart w:id="2041" w:name="_Toc11045"/>
      <w:r>
        <w:rPr>
          <w:rFonts w:hint="eastAsia" w:ascii="宋体" w:hAnsi="宋体" w:cs="宋体"/>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、比选申请人认为需要提交的其他资料（格式自拟）。（如有）</w:t>
      </w:r>
      <w:bookmarkEnd w:id="2033"/>
      <w:bookmarkEnd w:id="2034"/>
      <w:bookmarkEnd w:id="2035"/>
      <w:bookmarkEnd w:id="2036"/>
      <w:bookmarkEnd w:id="2037"/>
      <w:bookmarkEnd w:id="2038"/>
      <w:bookmarkEnd w:id="2039"/>
      <w:bookmarkEnd w:id="2040"/>
      <w:bookmarkEnd w:id="2041"/>
    </w:p>
    <w:p>
      <w:pPr>
        <w:pStyle w:val="2"/>
        <w:rPr>
          <w:rFonts w:hint="eastAsia" w:eastAsia="宋体"/>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keepLines/>
        <w:widowControl/>
        <w:spacing w:before="0" w:after="0" w:afterAutospacing="0" w:line="360" w:lineRule="auto"/>
        <w:ind w:left="0" w:right="0" w:firstLine="0"/>
        <w:jc w:val="left"/>
        <w:outlineLvl w:val="2"/>
        <w:rPr>
          <w:rFonts w:hint="eastAsia" w:ascii="宋体" w:hAnsi="宋体" w:eastAsia="宋体" w:cs="Times New Roman"/>
          <w:b/>
          <w:color w:val="auto"/>
          <w:kern w:val="2"/>
          <w:szCs w:val="28"/>
          <w:highlight w:val="none"/>
        </w:rPr>
      </w:pPr>
      <w:r>
        <w:rPr>
          <w:rFonts w:hint="eastAsia" w:ascii="宋体" w:hAnsi="宋体" w:eastAsia="宋体" w:cs="Times New Roman"/>
          <w:b/>
          <w:color w:val="auto"/>
          <w:kern w:val="2"/>
          <w:szCs w:val="28"/>
          <w:highlight w:val="none"/>
        </w:rPr>
        <w:t>B1：</w:t>
      </w:r>
      <w:r>
        <w:rPr>
          <w:rFonts w:hint="eastAsia" w:ascii="宋体" w:hAnsi="宋体" w:eastAsia="宋体" w:cs="Times New Roman"/>
          <w:b/>
          <w:color w:val="auto"/>
          <w:kern w:val="2"/>
          <w:szCs w:val="28"/>
          <w:highlight w:val="none"/>
          <w:lang w:val="en-US" w:eastAsia="zh-CN"/>
        </w:rPr>
        <w:t>比选申请</w:t>
      </w:r>
      <w:r>
        <w:rPr>
          <w:rFonts w:hint="eastAsia" w:ascii="宋体" w:hAnsi="宋体" w:eastAsia="宋体" w:cs="Times New Roman"/>
          <w:b/>
          <w:color w:val="auto"/>
          <w:kern w:val="2"/>
          <w:szCs w:val="28"/>
          <w:highlight w:val="none"/>
        </w:rPr>
        <w:t>人基本情况一览表格式</w:t>
      </w:r>
    </w:p>
    <w:p>
      <w:pPr>
        <w:widowControl/>
        <w:spacing w:before="0" w:after="0" w:afterAutospacing="0" w:line="360" w:lineRule="auto"/>
        <w:ind w:left="0" w:right="0" w:firstLine="0"/>
        <w:jc w:val="center"/>
        <w:rPr>
          <w:rFonts w:ascii="宋体" w:hAnsi="宋体" w:eastAsia="宋体" w:cs="Times New Roman"/>
          <w:b/>
          <w:color w:val="auto"/>
          <w:kern w:val="2"/>
          <w:sz w:val="28"/>
          <w:szCs w:val="28"/>
          <w:highlight w:val="none"/>
        </w:rPr>
      </w:pPr>
      <w:r>
        <w:rPr>
          <w:rFonts w:hint="eastAsia" w:ascii="宋体" w:hAnsi="宋体" w:eastAsia="宋体" w:cs="Times New Roman"/>
          <w:b/>
          <w:color w:val="auto"/>
          <w:kern w:val="2"/>
          <w:sz w:val="28"/>
          <w:szCs w:val="28"/>
          <w:highlight w:val="none"/>
          <w:lang w:val="en-US" w:eastAsia="zh-CN"/>
        </w:rPr>
        <w:t>比选申请</w:t>
      </w:r>
      <w:r>
        <w:rPr>
          <w:rFonts w:ascii="宋体" w:hAnsi="宋体" w:eastAsia="宋体" w:cs="Times New Roman"/>
          <w:b/>
          <w:color w:val="auto"/>
          <w:kern w:val="2"/>
          <w:sz w:val="28"/>
          <w:szCs w:val="28"/>
          <w:highlight w:val="none"/>
        </w:rPr>
        <w:t>人基本情况一览表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76"/>
        <w:gridCol w:w="982"/>
        <w:gridCol w:w="1424"/>
        <w:gridCol w:w="9"/>
        <w:gridCol w:w="663"/>
        <w:gridCol w:w="50"/>
        <w:gridCol w:w="1695"/>
        <w:gridCol w:w="485"/>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公司名称</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注册资本金</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主要业务范围</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企业性质</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营业执照</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资质情况及编号</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通过质量管理体系认证</w:t>
            </w:r>
          </w:p>
        </w:tc>
        <w:tc>
          <w:tcPr>
            <w:tcW w:w="6254" w:type="dxa"/>
            <w:gridSpan w:val="7"/>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660" w:type="dxa"/>
            <w:gridSpan w:val="10"/>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法</w:t>
            </w:r>
            <w:r>
              <w:rPr>
                <w:rFonts w:hint="eastAsia" w:ascii="宋体" w:hAnsi="宋体" w:eastAsia="宋体" w:cs="Times New Roman"/>
                <w:color w:val="auto"/>
                <w:kern w:val="0"/>
                <w:szCs w:val="21"/>
                <w:highlight w:val="none"/>
              </w:rPr>
              <w:t>定</w:t>
            </w:r>
            <w:r>
              <w:rPr>
                <w:rFonts w:ascii="宋体" w:hAnsi="宋体" w:eastAsia="宋体" w:cs="Times New Roman"/>
                <w:color w:val="auto"/>
                <w:kern w:val="0"/>
                <w:szCs w:val="21"/>
                <w:highlight w:val="none"/>
              </w:rPr>
              <w:t>代表人</w:t>
            </w:r>
          </w:p>
        </w:tc>
        <w:tc>
          <w:tcPr>
            <w:tcW w:w="1758"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公司经理</w:t>
            </w:r>
          </w:p>
        </w:tc>
        <w:tc>
          <w:tcPr>
            <w:tcW w:w="2146" w:type="dxa"/>
            <w:gridSpan w:val="4"/>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总工程师</w:t>
            </w:r>
          </w:p>
        </w:tc>
        <w:tc>
          <w:tcPr>
            <w:tcW w:w="2180"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总经济师</w:t>
            </w:r>
          </w:p>
        </w:tc>
        <w:tc>
          <w:tcPr>
            <w:tcW w:w="1928" w:type="dxa"/>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1758" w:type="dxa"/>
            <w:gridSpan w:val="2"/>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2146" w:type="dxa"/>
            <w:gridSpan w:val="4"/>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2180" w:type="dxa"/>
            <w:gridSpan w:val="2"/>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1928" w:type="dxa"/>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660" w:type="dxa"/>
            <w:gridSpan w:val="10"/>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高级职称</w:t>
            </w:r>
          </w:p>
        </w:tc>
        <w:tc>
          <w:tcPr>
            <w:tcW w:w="2415"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中级职称</w:t>
            </w:r>
          </w:p>
        </w:tc>
        <w:tc>
          <w:tcPr>
            <w:tcW w:w="2408"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初级职称</w:t>
            </w:r>
          </w:p>
        </w:tc>
        <w:tc>
          <w:tcPr>
            <w:tcW w:w="2413"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注册</w:t>
            </w:r>
            <w:r>
              <w:rPr>
                <w:rFonts w:hint="eastAsia" w:ascii="宋体" w:hAnsi="宋体" w:eastAsia="宋体" w:cs="Times New Roman"/>
                <w:color w:val="auto"/>
                <w:kern w:val="0"/>
                <w:szCs w:val="21"/>
                <w:highlight w:val="none"/>
              </w:rPr>
              <w:t>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15"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08"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13"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管理人员</w:t>
            </w:r>
          </w:p>
        </w:tc>
        <w:tc>
          <w:tcPr>
            <w:tcW w:w="2415"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现场</w:t>
            </w:r>
            <w:r>
              <w:rPr>
                <w:rFonts w:ascii="宋体" w:hAnsi="宋体" w:eastAsia="宋体" w:cs="Times New Roman"/>
                <w:color w:val="auto"/>
                <w:kern w:val="0"/>
                <w:szCs w:val="21"/>
                <w:highlight w:val="none"/>
              </w:rPr>
              <w:t>人员</w:t>
            </w:r>
          </w:p>
        </w:tc>
        <w:tc>
          <w:tcPr>
            <w:tcW w:w="2408"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后勤人员</w:t>
            </w:r>
          </w:p>
        </w:tc>
        <w:tc>
          <w:tcPr>
            <w:tcW w:w="2413"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15"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08"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c>
          <w:tcPr>
            <w:tcW w:w="2413"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20～30岁</w:t>
            </w:r>
          </w:p>
        </w:tc>
        <w:tc>
          <w:tcPr>
            <w:tcW w:w="1758" w:type="dxa"/>
            <w:gridSpan w:val="2"/>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30～40岁</w:t>
            </w:r>
          </w:p>
        </w:tc>
        <w:tc>
          <w:tcPr>
            <w:tcW w:w="2096"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40～50岁</w:t>
            </w:r>
          </w:p>
        </w:tc>
        <w:tc>
          <w:tcPr>
            <w:tcW w:w="2230" w:type="dxa"/>
            <w:gridSpan w:val="3"/>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50～60岁</w:t>
            </w:r>
          </w:p>
        </w:tc>
        <w:tc>
          <w:tcPr>
            <w:tcW w:w="1928" w:type="dxa"/>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48" w:type="dxa"/>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1758" w:type="dxa"/>
            <w:gridSpan w:val="2"/>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2096"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2230" w:type="dxa"/>
            <w:gridSpan w:val="3"/>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1928" w:type="dxa"/>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660" w:type="dxa"/>
            <w:gridSpan w:val="10"/>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公司近</w:t>
            </w:r>
            <w:r>
              <w:rPr>
                <w:rFonts w:hint="eastAsia" w:ascii="宋体" w:hAnsi="宋体" w:eastAsia="宋体" w:cs="Times New Roman"/>
                <w:color w:val="auto"/>
                <w:kern w:val="0"/>
                <w:szCs w:val="21"/>
                <w:highlight w:val="none"/>
                <w:lang w:val="en-US" w:eastAsia="zh-CN"/>
              </w:rPr>
              <w:t>2</w:t>
            </w:r>
            <w:r>
              <w:rPr>
                <w:rFonts w:ascii="宋体" w:hAnsi="宋体" w:eastAsia="宋体" w:cs="Times New Roman"/>
                <w:color w:val="auto"/>
                <w:kern w:val="0"/>
                <w:szCs w:val="21"/>
                <w:highlight w:val="none"/>
              </w:rPr>
              <w:t>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830" w:type="dxa"/>
            <w:gridSpan w:val="4"/>
            <w:noWrap w:val="0"/>
            <w:vAlign w:val="center"/>
          </w:tcPr>
          <w:p>
            <w:pPr>
              <w:widowControl w:val="0"/>
              <w:spacing w:before="0" w:after="0" w:afterAutospacing="0" w:line="240" w:lineRule="auto"/>
              <w:ind w:left="0" w:right="0" w:firstLine="0"/>
              <w:jc w:val="center"/>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u w:val="single"/>
                <w:lang w:val="en-US" w:eastAsia="zh-CN"/>
              </w:rPr>
              <w:t>2022年度</w:t>
            </w:r>
          </w:p>
        </w:tc>
        <w:tc>
          <w:tcPr>
            <w:tcW w:w="4830" w:type="dxa"/>
            <w:gridSpan w:val="6"/>
            <w:noWrap w:val="0"/>
            <w:vAlign w:val="center"/>
          </w:tcPr>
          <w:p>
            <w:pPr>
              <w:widowControl w:val="0"/>
              <w:spacing w:before="0" w:after="0" w:afterAutospacing="0" w:line="240" w:lineRule="auto"/>
              <w:ind w:left="0" w:right="0" w:firstLine="0"/>
              <w:jc w:val="center"/>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u w:val="single"/>
                <w:lang w:val="en-US" w:eastAsia="zh-CN"/>
              </w:rPr>
              <w:t>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830" w:type="dxa"/>
            <w:gridSpan w:val="4"/>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c>
          <w:tcPr>
            <w:tcW w:w="4830" w:type="dxa"/>
            <w:gridSpan w:val="6"/>
            <w:noWrap w:val="0"/>
            <w:vAlign w:val="center"/>
          </w:tcPr>
          <w:p>
            <w:pPr>
              <w:widowControl w:val="0"/>
              <w:spacing w:before="0" w:after="0" w:afterAutospacing="0" w:line="240" w:lineRule="auto"/>
              <w:ind w:left="0" w:right="0" w:firstLine="0"/>
              <w:rPr>
                <w:rFonts w:ascii="宋体" w:hAnsi="宋体" w:eastAsia="宋体" w:cs="Times New Roman"/>
                <w:color w:val="auto"/>
                <w:kern w:val="0"/>
                <w:szCs w:val="21"/>
                <w:highlight w:val="none"/>
              </w:rPr>
            </w:pPr>
          </w:p>
        </w:tc>
      </w:tr>
    </w:tbl>
    <w:p>
      <w:pPr>
        <w:widowControl w:val="0"/>
        <w:spacing w:before="120" w:beforeLines="50" w:after="0" w:afterAutospacing="0" w:line="240" w:lineRule="auto"/>
        <w:ind w:left="0" w:leftChars="0" w:right="-57" w:rightChars="-27" w:firstLine="5460" w:firstLineChars="2600"/>
        <w:rPr>
          <w:rFonts w:ascii="Times New Roman" w:hAnsi="Times New Roman" w:eastAsia="Times New Roman" w:cs="Times New Roman"/>
          <w:color w:val="auto"/>
          <w:kern w:val="0"/>
          <w:sz w:val="24"/>
          <w:szCs w:val="24"/>
          <w:highlight w:val="none"/>
        </w:rPr>
      </w:pPr>
      <w:r>
        <w:rPr>
          <w:rFonts w:hint="eastAsia" w:ascii="Times New Roman" w:hAnsi="Times New Roman" w:eastAsia="宋体" w:cs="宋体"/>
          <w:color w:val="auto"/>
          <w:kern w:val="2"/>
          <w:szCs w:val="24"/>
          <w:highlight w:val="none"/>
          <w:lang w:val="en-US" w:eastAsia="zh-CN" w:bidi="ar"/>
        </w:rPr>
        <w:t>比选申请</w:t>
      </w:r>
      <w:r>
        <w:rPr>
          <w:rFonts w:hint="eastAsia" w:ascii="Times New Roman" w:hAnsi="Times New Roman" w:eastAsia="宋体" w:cs="宋体"/>
          <w:color w:val="auto"/>
          <w:kern w:val="2"/>
          <w:szCs w:val="24"/>
          <w:highlight w:val="none"/>
          <w:lang w:bidi="ar"/>
        </w:rPr>
        <w:t>人：（公章）</w:t>
      </w:r>
      <w:r>
        <w:rPr>
          <w:rFonts w:ascii="Times New Roman" w:hAnsi="Times New Roman" w:eastAsia="宋体" w:cs="Times New Roman"/>
          <w:color w:val="auto"/>
          <w:kern w:val="2"/>
          <w:szCs w:val="24"/>
          <w:highlight w:val="none"/>
          <w:lang w:bidi="ar"/>
        </w:rPr>
        <w:t xml:space="preserve"> </w:t>
      </w:r>
    </w:p>
    <w:p>
      <w:pPr>
        <w:widowControl w:val="0"/>
        <w:spacing w:before="120" w:beforeLines="50" w:after="0" w:afterAutospacing="0" w:line="240" w:lineRule="auto"/>
        <w:ind w:left="0" w:leftChars="0" w:right="-57" w:rightChars="-27" w:firstLine="5460" w:firstLineChars="2600"/>
        <w:rPr>
          <w:rFonts w:hint="eastAsia" w:ascii="Times New Roman" w:hAnsi="Times New Roman" w:eastAsia="宋体" w:cs="宋体"/>
          <w:color w:val="auto"/>
          <w:kern w:val="2"/>
          <w:szCs w:val="24"/>
          <w:highlight w:val="none"/>
          <w:lang w:bidi="ar"/>
        </w:rPr>
      </w:pPr>
      <w:r>
        <w:rPr>
          <w:rFonts w:hint="eastAsia" w:ascii="Times New Roman" w:hAnsi="Times New Roman" w:eastAsia="宋体" w:cs="宋体"/>
          <w:color w:val="auto"/>
          <w:kern w:val="2"/>
          <w:szCs w:val="24"/>
          <w:highlight w:val="none"/>
          <w:lang w:bidi="ar"/>
        </w:rPr>
        <w:t>法定代表人或其委托代理人：（签字或盖章）</w:t>
      </w:r>
    </w:p>
    <w:p>
      <w:pPr>
        <w:widowControl w:val="0"/>
        <w:spacing w:before="120" w:beforeLines="50" w:after="0" w:afterAutospacing="0" w:line="240" w:lineRule="auto"/>
        <w:ind w:left="0" w:leftChars="0" w:right="-57" w:rightChars="-27" w:firstLine="5460" w:firstLineChars="2600"/>
        <w:rPr>
          <w:rFonts w:ascii="Times New Roman" w:hAnsi="Times New Roman" w:eastAsia="Times New Roman" w:cs="Times New Roman"/>
          <w:color w:val="auto"/>
          <w:kern w:val="0"/>
          <w:sz w:val="24"/>
          <w:szCs w:val="24"/>
          <w:highlight w:val="none"/>
        </w:rPr>
      </w:pPr>
      <w:r>
        <w:rPr>
          <w:rFonts w:hint="eastAsia" w:ascii="Times New Roman" w:hAnsi="Times New Roman" w:eastAsia="宋体" w:cs="宋体"/>
          <w:color w:val="auto"/>
          <w:kern w:val="2"/>
          <w:szCs w:val="24"/>
          <w:highlight w:val="none"/>
          <w:lang w:bidi="ar"/>
        </w:rPr>
        <w:t>日</w:t>
      </w:r>
      <w:r>
        <w:rPr>
          <w:rFonts w:ascii="Times New Roman" w:hAnsi="Times New Roman" w:eastAsia="宋体" w:cs="Times New Roman"/>
          <w:color w:val="auto"/>
          <w:kern w:val="2"/>
          <w:szCs w:val="24"/>
          <w:highlight w:val="none"/>
          <w:lang w:bidi="ar"/>
        </w:rPr>
        <w:t xml:space="preserve">    </w:t>
      </w:r>
      <w:r>
        <w:rPr>
          <w:rFonts w:hint="eastAsia" w:ascii="Times New Roman" w:hAnsi="Times New Roman" w:eastAsia="宋体" w:cs="宋体"/>
          <w:color w:val="auto"/>
          <w:kern w:val="2"/>
          <w:szCs w:val="24"/>
          <w:highlight w:val="none"/>
          <w:lang w:bidi="ar"/>
        </w:rPr>
        <w:t>期：</w:t>
      </w:r>
    </w:p>
    <w:p>
      <w:pPr>
        <w:keepNext/>
        <w:keepLines/>
        <w:widowControl/>
        <w:spacing w:before="0" w:after="0" w:afterAutospacing="0" w:line="360" w:lineRule="auto"/>
        <w:ind w:left="0" w:right="0" w:firstLine="0"/>
        <w:jc w:val="left"/>
        <w:outlineLvl w:val="3"/>
        <w:rPr>
          <w:rFonts w:ascii="宋体" w:hAnsi="宋体" w:eastAsia="宋体" w:cs="宋体"/>
          <w:b/>
          <w:bCs/>
          <w:color w:val="auto"/>
          <w:kern w:val="2"/>
          <w:szCs w:val="21"/>
          <w:highlight w:val="none"/>
        </w:rPr>
      </w:pPr>
      <w:r>
        <w:rPr>
          <w:rFonts w:hint="eastAsia" w:ascii="宋体" w:hAnsi="宋体" w:eastAsia="宋体" w:cs="Times New Roman"/>
          <w:b/>
          <w:color w:val="auto"/>
          <w:kern w:val="2"/>
          <w:szCs w:val="28"/>
          <w:highlight w:val="none"/>
        </w:rPr>
        <w:t>B2：</w:t>
      </w:r>
      <w:r>
        <w:rPr>
          <w:rFonts w:hint="eastAsia" w:ascii="宋体" w:hAnsi="宋体" w:eastAsia="宋体" w:cs="宋体"/>
          <w:b/>
          <w:bCs/>
          <w:color w:val="auto"/>
          <w:kern w:val="2"/>
          <w:szCs w:val="21"/>
          <w:highlight w:val="none"/>
        </w:rPr>
        <w:t>项目经理简历表格式</w:t>
      </w:r>
    </w:p>
    <w:p>
      <w:pPr>
        <w:widowControl w:val="0"/>
        <w:spacing w:before="120" w:beforeLines="50" w:after="0" w:afterAutospacing="0" w:line="360" w:lineRule="auto"/>
        <w:ind w:left="709" w:right="-57" w:rightChars="-27" w:hanging="709"/>
        <w:jc w:val="center"/>
        <w:rPr>
          <w:rFonts w:ascii="Times New Roman" w:hAnsi="Times New Roman" w:eastAsia="Times New Roman" w:cs="Times New Roman"/>
          <w:b/>
          <w:color w:val="auto"/>
          <w:spacing w:val="20"/>
          <w:kern w:val="0"/>
          <w:sz w:val="24"/>
          <w:szCs w:val="24"/>
          <w:highlight w:val="none"/>
        </w:rPr>
      </w:pPr>
      <w:r>
        <w:rPr>
          <w:rFonts w:hint="eastAsia" w:ascii="Times New Roman" w:hAnsi="Times New Roman" w:eastAsia="宋体" w:cs="宋体"/>
          <w:b/>
          <w:color w:val="auto"/>
          <w:spacing w:val="20"/>
          <w:kern w:val="2"/>
          <w:sz w:val="24"/>
          <w:szCs w:val="24"/>
          <w:highlight w:val="none"/>
          <w:lang w:bidi="ar"/>
        </w:rPr>
        <w:t>项目经理简历表</w:t>
      </w:r>
    </w:p>
    <w:p>
      <w:pPr>
        <w:widowControl w:val="0"/>
        <w:spacing w:before="120" w:beforeLines="50" w:after="0" w:afterAutospacing="0" w:line="360" w:lineRule="auto"/>
        <w:ind w:left="709" w:right="-57" w:rightChars="-27" w:hanging="709"/>
        <w:rPr>
          <w:rFonts w:ascii="Times New Roman" w:hAnsi="Times New Roman" w:eastAsia="Times New Roman" w:cs="Times New Roman"/>
          <w:b/>
          <w:color w:val="auto"/>
          <w:kern w:val="0"/>
          <w:sz w:val="24"/>
          <w:szCs w:val="21"/>
          <w:highlight w:val="none"/>
        </w:rPr>
      </w:pPr>
      <w:r>
        <w:rPr>
          <w:rFonts w:hint="eastAsia" w:ascii="Times New Roman" w:hAnsi="Times New Roman" w:eastAsia="宋体" w:cs="宋体"/>
          <w:color w:val="auto"/>
          <w:kern w:val="2"/>
          <w:szCs w:val="21"/>
          <w:highlight w:val="none"/>
          <w:lang w:bidi="ar"/>
        </w:rPr>
        <w:t>项目名称：</w:t>
      </w:r>
    </w:p>
    <w:tbl>
      <w:tblPr>
        <w:tblStyle w:val="3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8"/>
        <w:gridCol w:w="1605"/>
        <w:gridCol w:w="75"/>
        <w:gridCol w:w="185"/>
        <w:gridCol w:w="840"/>
        <w:gridCol w:w="540"/>
        <w:gridCol w:w="15"/>
        <w:gridCol w:w="1125"/>
        <w:gridCol w:w="435"/>
        <w:gridCol w:w="1038"/>
        <w:gridCol w:w="12"/>
        <w:gridCol w:w="39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0"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姓名</w:t>
            </w:r>
          </w:p>
        </w:tc>
        <w:tc>
          <w:tcPr>
            <w:tcW w:w="1883"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840"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性别</w:t>
            </w:r>
          </w:p>
        </w:tc>
        <w:tc>
          <w:tcPr>
            <w:tcW w:w="1680"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73"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年龄</w:t>
            </w:r>
          </w:p>
        </w:tc>
        <w:tc>
          <w:tcPr>
            <w:tcW w:w="1568"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00"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职务</w:t>
            </w:r>
          </w:p>
        </w:tc>
        <w:tc>
          <w:tcPr>
            <w:tcW w:w="1883"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840"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职称</w:t>
            </w:r>
          </w:p>
        </w:tc>
        <w:tc>
          <w:tcPr>
            <w:tcW w:w="1680"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73"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学历</w:t>
            </w:r>
          </w:p>
        </w:tc>
        <w:tc>
          <w:tcPr>
            <w:tcW w:w="1568"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23"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参加工作时间</w:t>
            </w:r>
          </w:p>
        </w:tc>
        <w:tc>
          <w:tcPr>
            <w:tcW w:w="164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2625" w:type="dxa"/>
            <w:gridSpan w:val="5"/>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担任项目经理年限</w:t>
            </w:r>
          </w:p>
        </w:tc>
        <w:tc>
          <w:tcPr>
            <w:tcW w:w="1556"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4" w:type="dxa"/>
            <w:gridSpan w:val="1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21"/>
                <w:highlight w:val="none"/>
                <w:lang w:bidi="ar"/>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18" w:type="dxa"/>
            <w:gridSpan w:val="2"/>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Times New Roman" w:cs="Times New Roman"/>
                <w:color w:val="auto"/>
                <w:kern w:val="0"/>
                <w:szCs w:val="21"/>
                <w:highlight w:val="none"/>
              </w:rPr>
            </w:pPr>
            <w:r>
              <w:rPr>
                <w:rFonts w:hint="eastAsia" w:ascii="Times New Roman" w:hAnsi="Times New Roman" w:eastAsia="宋体" w:cs="宋体"/>
                <w:color w:val="auto"/>
                <w:kern w:val="2"/>
                <w:szCs w:val="21"/>
                <w:highlight w:val="none"/>
                <w:lang w:bidi="ar"/>
              </w:rPr>
              <w:t>建设单位</w:t>
            </w:r>
          </w:p>
        </w:tc>
        <w:tc>
          <w:tcPr>
            <w:tcW w:w="1680" w:type="dxa"/>
            <w:gridSpan w:val="2"/>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Times New Roman" w:cs="Times New Roman"/>
                <w:color w:val="auto"/>
                <w:kern w:val="0"/>
                <w:szCs w:val="21"/>
                <w:highlight w:val="none"/>
              </w:rPr>
            </w:pPr>
            <w:r>
              <w:rPr>
                <w:rFonts w:hint="eastAsia" w:ascii="Times New Roman" w:hAnsi="Times New Roman" w:eastAsia="宋体" w:cs="宋体"/>
                <w:color w:val="auto"/>
                <w:kern w:val="2"/>
                <w:szCs w:val="21"/>
                <w:highlight w:val="none"/>
                <w:lang w:bidi="ar"/>
              </w:rPr>
              <w:t>项目名称</w:t>
            </w:r>
          </w:p>
        </w:tc>
        <w:tc>
          <w:tcPr>
            <w:tcW w:w="1580" w:type="dxa"/>
            <w:gridSpan w:val="4"/>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Times New Roman" w:cs="Times New Roman"/>
                <w:color w:val="auto"/>
                <w:kern w:val="0"/>
                <w:szCs w:val="21"/>
                <w:highlight w:val="none"/>
              </w:rPr>
            </w:pPr>
            <w:r>
              <w:rPr>
                <w:rFonts w:hint="eastAsia" w:ascii="Times New Roman" w:hAnsi="Times New Roman" w:eastAsia="宋体" w:cs="宋体"/>
                <w:color w:val="auto"/>
                <w:kern w:val="2"/>
                <w:szCs w:val="21"/>
                <w:highlight w:val="none"/>
                <w:lang w:bidi="ar"/>
              </w:rPr>
              <w:t>合同金额</w:t>
            </w:r>
          </w:p>
        </w:tc>
        <w:tc>
          <w:tcPr>
            <w:tcW w:w="1560" w:type="dxa"/>
            <w:gridSpan w:val="2"/>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合同服务期</w:t>
            </w:r>
          </w:p>
        </w:tc>
        <w:tc>
          <w:tcPr>
            <w:tcW w:w="1449" w:type="dxa"/>
            <w:gridSpan w:val="3"/>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担任的职位</w:t>
            </w:r>
          </w:p>
        </w:tc>
        <w:tc>
          <w:tcPr>
            <w:tcW w:w="1157" w:type="dxa"/>
            <w:noWrap w:val="0"/>
            <w:vAlign w:val="center"/>
          </w:tcPr>
          <w:p>
            <w:pPr>
              <w:widowControl w:val="0"/>
              <w:tabs>
                <w:tab w:val="left" w:pos="540"/>
              </w:tabs>
              <w:spacing w:before="0" w:after="0" w:afterAutospacing="0" w:line="240" w:lineRule="auto"/>
              <w:ind w:left="0" w:right="0" w:firstLine="0"/>
              <w:jc w:val="center"/>
              <w:rPr>
                <w:rFonts w:ascii="Times New Roman" w:hAnsi="Times New Roman" w:eastAsia="宋体" w:cs="Times New Roman"/>
                <w:color w:val="auto"/>
                <w:kern w:val="0"/>
                <w:szCs w:val="21"/>
                <w:highlight w:val="none"/>
              </w:rPr>
            </w:pPr>
            <w:r>
              <w:rPr>
                <w:rFonts w:hint="eastAsia" w:ascii="Times New Roman" w:hAnsi="Times New Roman" w:eastAsia="宋体" w:cs="宋体"/>
                <w:color w:val="auto"/>
                <w:kern w:val="2"/>
                <w:szCs w:val="21"/>
                <w:highlight w:val="none"/>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68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80" w:type="dxa"/>
            <w:gridSpan w:val="4"/>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560" w:type="dxa"/>
            <w:gridSpan w:val="2"/>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449" w:type="dxa"/>
            <w:gridSpan w:val="3"/>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c>
          <w:tcPr>
            <w:tcW w:w="1157" w:type="dxa"/>
            <w:noWrap w:val="0"/>
            <w:vAlign w:val="center"/>
          </w:tcPr>
          <w:p>
            <w:pPr>
              <w:widowControl w:val="0"/>
              <w:tabs>
                <w:tab w:val="left" w:pos="540"/>
              </w:tabs>
              <w:spacing w:before="120" w:beforeLines="50" w:after="0" w:afterAutospacing="0" w:line="240" w:lineRule="auto"/>
              <w:ind w:left="709" w:right="-57" w:rightChars="-27" w:hanging="709"/>
              <w:jc w:val="center"/>
              <w:rPr>
                <w:rFonts w:ascii="Times New Roman" w:hAnsi="Times New Roman" w:eastAsia="Times New Roman" w:cs="Times New Roman"/>
                <w:color w:val="auto"/>
                <w:kern w:val="0"/>
                <w:sz w:val="24"/>
                <w:szCs w:val="21"/>
                <w:highlight w:val="none"/>
              </w:rPr>
            </w:pPr>
          </w:p>
        </w:tc>
      </w:tr>
    </w:tbl>
    <w:p>
      <w:pPr>
        <w:widowControl w:val="0"/>
        <w:spacing w:before="120" w:beforeLines="50" w:after="0" w:afterAutospacing="0" w:line="360" w:lineRule="auto"/>
        <w:ind w:left="755" w:leftChars="23" w:right="-57" w:rightChars="-27" w:hanging="707" w:hangingChars="337"/>
        <w:jc w:val="left"/>
        <w:rPr>
          <w:rFonts w:ascii="Times New Roman" w:hAnsi="Times New Roman" w:eastAsia="Times New Roman" w:cs="Times New Roman"/>
          <w:color w:val="auto"/>
          <w:kern w:val="0"/>
          <w:sz w:val="24"/>
          <w:szCs w:val="21"/>
          <w:highlight w:val="none"/>
        </w:rPr>
      </w:pPr>
      <w:r>
        <w:rPr>
          <w:rFonts w:hint="eastAsia" w:ascii="Times New Roman" w:hAnsi="Times New Roman" w:eastAsia="宋体" w:cs="宋体"/>
          <w:color w:val="auto"/>
          <w:kern w:val="2"/>
          <w:szCs w:val="18"/>
          <w:highlight w:val="none"/>
          <w:lang w:bidi="ar"/>
        </w:rPr>
        <w:t>注：</w:t>
      </w:r>
      <w:r>
        <w:rPr>
          <w:rFonts w:hint="eastAsia" w:ascii="Times New Roman" w:hAnsi="Times New Roman" w:eastAsia="宋体" w:cs="宋体"/>
          <w:color w:val="auto"/>
          <w:kern w:val="2"/>
          <w:szCs w:val="21"/>
          <w:highlight w:val="none"/>
          <w:lang w:bidi="ar"/>
        </w:rPr>
        <w:t>此表应后附</w:t>
      </w:r>
      <w:r>
        <w:rPr>
          <w:rFonts w:hint="eastAsia" w:cs="宋体"/>
          <w:color w:val="auto"/>
          <w:kern w:val="2"/>
          <w:szCs w:val="21"/>
          <w:highlight w:val="none"/>
          <w:lang w:val="en-US" w:eastAsia="zh-CN" w:bidi="ar"/>
        </w:rPr>
        <w:t>比选</w:t>
      </w:r>
      <w:r>
        <w:rPr>
          <w:rFonts w:hint="eastAsia" w:ascii="Times New Roman" w:hAnsi="Times New Roman" w:eastAsia="宋体" w:cs="宋体"/>
          <w:color w:val="auto"/>
          <w:kern w:val="2"/>
          <w:szCs w:val="21"/>
          <w:highlight w:val="none"/>
          <w:lang w:bidi="ar"/>
        </w:rPr>
        <w:t>文件要求提供的相应证明文件。</w:t>
      </w:r>
    </w:p>
    <w:p>
      <w:pPr>
        <w:widowControl w:val="0"/>
        <w:spacing w:before="120" w:beforeLines="50" w:after="0" w:afterAutospacing="0" w:line="360" w:lineRule="auto"/>
        <w:ind w:left="0" w:leftChars="0" w:right="-57" w:rightChars="-27" w:firstLine="4830" w:firstLineChars="2300"/>
        <w:rPr>
          <w:rFonts w:ascii="Times New Roman" w:hAnsi="Times New Roman" w:eastAsia="Times New Roman" w:cs="Times New Roman"/>
          <w:color w:val="auto"/>
          <w:kern w:val="0"/>
          <w:sz w:val="24"/>
          <w:szCs w:val="24"/>
          <w:highlight w:val="none"/>
        </w:rPr>
      </w:pPr>
      <w:r>
        <w:rPr>
          <w:rFonts w:hint="eastAsia" w:ascii="Times New Roman" w:hAnsi="Times New Roman" w:eastAsia="宋体" w:cs="宋体"/>
          <w:color w:val="auto"/>
          <w:kern w:val="2"/>
          <w:szCs w:val="24"/>
          <w:highlight w:val="none"/>
          <w:lang w:val="en-US" w:eastAsia="zh-CN" w:bidi="ar"/>
        </w:rPr>
        <w:t>比选申请</w:t>
      </w:r>
      <w:r>
        <w:rPr>
          <w:rFonts w:hint="eastAsia" w:ascii="Times New Roman" w:hAnsi="Times New Roman" w:eastAsia="宋体" w:cs="宋体"/>
          <w:color w:val="auto"/>
          <w:kern w:val="2"/>
          <w:szCs w:val="24"/>
          <w:highlight w:val="none"/>
          <w:lang w:bidi="ar"/>
        </w:rPr>
        <w:t>人：（公章）</w:t>
      </w:r>
      <w:r>
        <w:rPr>
          <w:rFonts w:ascii="Times New Roman" w:hAnsi="Times New Roman" w:eastAsia="宋体" w:cs="Times New Roman"/>
          <w:color w:val="auto"/>
          <w:kern w:val="2"/>
          <w:szCs w:val="24"/>
          <w:highlight w:val="none"/>
          <w:lang w:bidi="ar"/>
        </w:rPr>
        <w:t xml:space="preserve"> </w:t>
      </w:r>
    </w:p>
    <w:p>
      <w:pPr>
        <w:widowControl w:val="0"/>
        <w:spacing w:before="120" w:beforeLines="50" w:after="0" w:afterAutospacing="0" w:line="360" w:lineRule="auto"/>
        <w:ind w:left="703" w:leftChars="335" w:right="-57" w:rightChars="-27" w:firstLine="4113" w:firstLineChars="1959"/>
        <w:rPr>
          <w:rFonts w:ascii="Times New Roman" w:hAnsi="Times New Roman" w:eastAsia="Times New Roman" w:cs="Times New Roman"/>
          <w:color w:val="auto"/>
          <w:kern w:val="0"/>
          <w:sz w:val="24"/>
          <w:szCs w:val="24"/>
          <w:highlight w:val="none"/>
        </w:rPr>
      </w:pPr>
      <w:r>
        <w:rPr>
          <w:rFonts w:hint="eastAsia" w:ascii="Times New Roman" w:hAnsi="Times New Roman" w:eastAsia="宋体" w:cs="宋体"/>
          <w:color w:val="auto"/>
          <w:kern w:val="2"/>
          <w:szCs w:val="24"/>
          <w:highlight w:val="none"/>
          <w:lang w:bidi="ar"/>
        </w:rPr>
        <w:t>法定代表人或其委托代理人：（签字或盖章）</w:t>
      </w:r>
    </w:p>
    <w:p>
      <w:pPr>
        <w:widowControl w:val="0"/>
        <w:spacing w:before="120" w:beforeLines="50" w:after="0" w:afterAutospacing="0" w:line="360" w:lineRule="auto"/>
        <w:ind w:left="703" w:leftChars="335" w:right="-57" w:rightChars="-27" w:firstLine="4113" w:firstLineChars="1959"/>
        <w:rPr>
          <w:rFonts w:ascii="Times New Roman" w:hAnsi="Times New Roman" w:eastAsia="Times New Roman" w:cs="Times New Roman"/>
          <w:color w:val="auto"/>
          <w:kern w:val="0"/>
          <w:sz w:val="24"/>
          <w:szCs w:val="24"/>
          <w:highlight w:val="none"/>
        </w:rPr>
      </w:pPr>
      <w:r>
        <w:rPr>
          <w:rFonts w:hint="eastAsia" w:ascii="Times New Roman" w:hAnsi="Times New Roman" w:eastAsia="宋体" w:cs="宋体"/>
          <w:color w:val="auto"/>
          <w:kern w:val="2"/>
          <w:szCs w:val="24"/>
          <w:highlight w:val="none"/>
          <w:lang w:bidi="ar"/>
        </w:rPr>
        <w:t>日</w:t>
      </w:r>
      <w:r>
        <w:rPr>
          <w:rFonts w:ascii="Times New Roman" w:hAnsi="Times New Roman" w:eastAsia="宋体" w:cs="Times New Roman"/>
          <w:color w:val="auto"/>
          <w:kern w:val="2"/>
          <w:szCs w:val="24"/>
          <w:highlight w:val="none"/>
          <w:lang w:bidi="ar"/>
        </w:rPr>
        <w:t xml:space="preserve">    </w:t>
      </w:r>
      <w:r>
        <w:rPr>
          <w:rFonts w:hint="eastAsia" w:ascii="Times New Roman" w:hAnsi="Times New Roman" w:eastAsia="宋体" w:cs="宋体"/>
          <w:color w:val="auto"/>
          <w:kern w:val="2"/>
          <w:szCs w:val="24"/>
          <w:highlight w:val="none"/>
          <w:lang w:bidi="ar"/>
        </w:rPr>
        <w:t>期：</w:t>
      </w:r>
    </w:p>
    <w:p>
      <w:pPr>
        <w:keepNext/>
        <w:keepLines/>
        <w:widowControl w:val="0"/>
        <w:spacing w:before="0" w:after="0" w:afterAutospacing="0" w:line="480" w:lineRule="auto"/>
        <w:ind w:left="0" w:right="0" w:firstLine="0"/>
        <w:outlineLvl w:val="3"/>
        <w:rPr>
          <w:rFonts w:ascii="宋体" w:hAnsi="宋体" w:eastAsia="宋体" w:cs="Times New Roman"/>
          <w:bCs/>
          <w:color w:val="auto"/>
          <w:kern w:val="2"/>
          <w:szCs w:val="21"/>
          <w:highlight w:val="none"/>
        </w:rPr>
      </w:pPr>
      <w:r>
        <w:rPr>
          <w:rFonts w:hint="eastAsia" w:ascii="宋体" w:hAnsi="宋体" w:eastAsia="宋体" w:cs="Times New Roman"/>
          <w:b/>
          <w:color w:val="auto"/>
          <w:kern w:val="2"/>
          <w:szCs w:val="28"/>
          <w:highlight w:val="none"/>
        </w:rPr>
        <w:t>B</w:t>
      </w:r>
      <w:r>
        <w:rPr>
          <w:rFonts w:hint="eastAsia" w:ascii="宋体" w:hAnsi="宋体" w:cs="Times New Roman"/>
          <w:b/>
          <w:color w:val="auto"/>
          <w:kern w:val="2"/>
          <w:szCs w:val="28"/>
          <w:highlight w:val="none"/>
          <w:lang w:val="en-US" w:eastAsia="zh-CN"/>
        </w:rPr>
        <w:t>3</w:t>
      </w:r>
      <w:r>
        <w:rPr>
          <w:rFonts w:hint="eastAsia" w:ascii="宋体" w:hAnsi="宋体" w:eastAsia="宋体" w:cs="Times New Roman"/>
          <w:b/>
          <w:color w:val="auto"/>
          <w:kern w:val="2"/>
          <w:szCs w:val="28"/>
          <w:highlight w:val="none"/>
        </w:rPr>
        <w:t>：</w:t>
      </w:r>
      <w:r>
        <w:rPr>
          <w:rFonts w:hint="eastAsia" w:ascii="宋体" w:hAnsi="宋体" w:eastAsia="宋体" w:cs="Times New Roman"/>
          <w:b/>
          <w:color w:val="auto"/>
          <w:kern w:val="2"/>
          <w:szCs w:val="21"/>
          <w:highlight w:val="none"/>
        </w:rPr>
        <w:t>类似项目业绩表格式</w:t>
      </w:r>
    </w:p>
    <w:p>
      <w:pPr>
        <w:widowControl w:val="0"/>
        <w:spacing w:before="0" w:after="0" w:afterAutospacing="0" w:line="480" w:lineRule="auto"/>
        <w:ind w:left="0" w:right="0"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bCs/>
          <w:color w:val="auto"/>
          <w:kern w:val="0"/>
          <w:sz w:val="28"/>
          <w:szCs w:val="28"/>
          <w:highlight w:val="none"/>
        </w:rPr>
        <w:t>类似项目业绩表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合同内容（简述）</w:t>
            </w:r>
          </w:p>
        </w:tc>
        <w:tc>
          <w:tcPr>
            <w:tcW w:w="992"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shd w:val="clea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shd w:val="clea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shd w:val="clear"/>
              <w:ind w:left="0" w:firstLine="0"/>
              <w:rPr>
                <w:rFonts w:ascii="宋体" w:hAnsi="宋体"/>
                <w:highlight w:val="none"/>
              </w:rPr>
            </w:pPr>
          </w:p>
        </w:tc>
        <w:tc>
          <w:tcPr>
            <w:tcW w:w="1092" w:type="dxa"/>
          </w:tcPr>
          <w:p>
            <w:pPr>
              <w:shd w:val="clear"/>
              <w:ind w:left="0" w:firstLine="0"/>
              <w:rPr>
                <w:rFonts w:ascii="宋体" w:hAnsi="宋体"/>
                <w:highlight w:val="none"/>
              </w:rPr>
            </w:pPr>
          </w:p>
        </w:tc>
        <w:tc>
          <w:tcPr>
            <w:tcW w:w="1789" w:type="dxa"/>
          </w:tcPr>
          <w:p>
            <w:pPr>
              <w:shd w:val="clear"/>
              <w:ind w:left="0" w:firstLine="0"/>
              <w:rPr>
                <w:rFonts w:ascii="宋体" w:hAnsi="宋体"/>
                <w:highlight w:val="none"/>
              </w:rPr>
            </w:pPr>
          </w:p>
        </w:tc>
        <w:tc>
          <w:tcPr>
            <w:tcW w:w="992" w:type="dxa"/>
          </w:tcPr>
          <w:p>
            <w:pPr>
              <w:shd w:val="clear"/>
              <w:ind w:left="0" w:firstLine="0"/>
              <w:rPr>
                <w:rFonts w:ascii="宋体" w:hAnsi="宋体"/>
                <w:highlight w:val="none"/>
              </w:rPr>
            </w:pPr>
          </w:p>
        </w:tc>
        <w:tc>
          <w:tcPr>
            <w:tcW w:w="993" w:type="dxa"/>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tcPr>
          <w:p>
            <w:pPr>
              <w:shd w:val="clear"/>
              <w:ind w:left="0" w:firstLine="0"/>
              <w:rPr>
                <w:rFonts w:ascii="宋体" w:hAnsi="宋体"/>
                <w:highlight w:val="none"/>
              </w:rPr>
            </w:pPr>
          </w:p>
        </w:tc>
        <w:tc>
          <w:tcPr>
            <w:tcW w:w="1043" w:type="dxa"/>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shd w:val="clear"/>
              <w:ind w:left="0" w:firstLine="0"/>
              <w:rPr>
                <w:rFonts w:ascii="宋体" w:hAnsi="宋体"/>
                <w:highlight w:val="none"/>
              </w:rPr>
            </w:pPr>
          </w:p>
        </w:tc>
        <w:tc>
          <w:tcPr>
            <w:tcW w:w="1092" w:type="dxa"/>
            <w:vAlign w:val="center"/>
          </w:tcPr>
          <w:p>
            <w:pPr>
              <w:shd w:val="clear"/>
              <w:ind w:left="0" w:firstLine="0"/>
              <w:rPr>
                <w:rFonts w:ascii="宋体" w:hAnsi="宋体"/>
                <w:highlight w:val="none"/>
              </w:rPr>
            </w:pPr>
          </w:p>
        </w:tc>
        <w:tc>
          <w:tcPr>
            <w:tcW w:w="1789" w:type="dxa"/>
            <w:vAlign w:val="center"/>
          </w:tcPr>
          <w:p>
            <w:pPr>
              <w:shd w:val="clear"/>
              <w:ind w:left="0" w:firstLine="0"/>
              <w:rPr>
                <w:rFonts w:ascii="宋体" w:hAnsi="宋体"/>
                <w:highlight w:val="none"/>
              </w:rPr>
            </w:pPr>
          </w:p>
        </w:tc>
        <w:tc>
          <w:tcPr>
            <w:tcW w:w="992" w:type="dxa"/>
            <w:vAlign w:val="center"/>
          </w:tcPr>
          <w:p>
            <w:pPr>
              <w:shd w:val="clear"/>
              <w:ind w:left="0" w:firstLine="0"/>
              <w:rPr>
                <w:rFonts w:ascii="宋体" w:hAnsi="宋体"/>
                <w:highlight w:val="none"/>
              </w:rPr>
            </w:pPr>
          </w:p>
        </w:tc>
        <w:tc>
          <w:tcPr>
            <w:tcW w:w="993" w:type="dxa"/>
            <w:vAlign w:val="center"/>
          </w:tcPr>
          <w:p>
            <w:pPr>
              <w:shd w:val="clear"/>
              <w:ind w:left="0" w:firstLine="0"/>
              <w:rPr>
                <w:rFonts w:ascii="宋体" w:hAnsi="宋体"/>
                <w:highlight w:val="none"/>
              </w:rPr>
            </w:pPr>
          </w:p>
        </w:tc>
        <w:tc>
          <w:tcPr>
            <w:tcW w:w="1388" w:type="dxa"/>
          </w:tcPr>
          <w:p>
            <w:pPr>
              <w:shd w:val="clear"/>
              <w:ind w:left="0" w:firstLine="0"/>
              <w:rPr>
                <w:rFonts w:ascii="宋体" w:hAnsi="宋体"/>
                <w:highlight w:val="none"/>
              </w:rPr>
            </w:pPr>
          </w:p>
        </w:tc>
        <w:tc>
          <w:tcPr>
            <w:tcW w:w="1044" w:type="dxa"/>
            <w:vAlign w:val="center"/>
          </w:tcPr>
          <w:p>
            <w:pPr>
              <w:shd w:val="clear"/>
              <w:ind w:left="0" w:firstLine="0"/>
              <w:rPr>
                <w:rFonts w:ascii="宋体" w:hAnsi="宋体"/>
                <w:highlight w:val="none"/>
              </w:rPr>
            </w:pPr>
          </w:p>
        </w:tc>
        <w:tc>
          <w:tcPr>
            <w:tcW w:w="1043" w:type="dxa"/>
            <w:vAlign w:val="center"/>
          </w:tcPr>
          <w:p>
            <w:pPr>
              <w:shd w:val="clear"/>
              <w:ind w:left="0" w:firstLine="0"/>
              <w:rPr>
                <w:rFonts w:ascii="宋体" w:hAnsi="宋体"/>
                <w:highlight w:val="none"/>
              </w:rPr>
            </w:pPr>
          </w:p>
        </w:tc>
      </w:tr>
    </w:tbl>
    <w:p>
      <w:pPr>
        <w:shd w:val="clear"/>
        <w:spacing w:before="0" w:after="0" w:afterAutospacing="0"/>
        <w:ind w:left="0" w:right="0" w:firstLine="0"/>
        <w:rPr>
          <w:rFonts w:ascii="宋体" w:hAnsi="宋体"/>
          <w:highlight w:val="none"/>
        </w:rPr>
      </w:pPr>
      <w:r>
        <w:rPr>
          <w:rFonts w:ascii="宋体" w:hAnsi="宋体"/>
          <w:highlight w:val="none"/>
        </w:rPr>
        <w:t>注：1.</w:t>
      </w:r>
      <w:r>
        <w:rPr>
          <w:rFonts w:hint="eastAsia" w:ascii="宋体" w:hAnsi="宋体"/>
          <w:highlight w:val="none"/>
        </w:rPr>
        <w:t>类似项目业绩：</w:t>
      </w:r>
      <w:r>
        <w:rPr>
          <w:rFonts w:hint="eastAsia" w:ascii="宋体" w:hAnsi="宋体" w:eastAsia="宋体" w:cs="Times New Roman"/>
          <w:sz w:val="21"/>
          <w:szCs w:val="21"/>
          <w:highlight w:val="none"/>
          <w:lang w:val="en-US" w:eastAsia="zh-CN" w:bidi="ar-SA"/>
        </w:rPr>
        <w:t>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r>
        <w:rPr>
          <w:rFonts w:hint="eastAsia" w:ascii="宋体" w:hAnsi="宋体"/>
          <w:highlight w:val="none"/>
        </w:rPr>
        <w:t>。</w:t>
      </w:r>
    </w:p>
    <w:p>
      <w:pPr>
        <w:shd w:val="clear"/>
        <w:spacing w:before="0" w:after="0" w:afterAutospacing="0"/>
        <w:ind w:left="0" w:right="0" w:firstLine="0"/>
        <w:outlineLvl w:val="1"/>
        <w:rPr>
          <w:rFonts w:ascii="宋体" w:hAnsi="宋体"/>
          <w:highlight w:val="none"/>
        </w:rPr>
      </w:pPr>
      <w:bookmarkStart w:id="2042" w:name="_Toc8565"/>
      <w:bookmarkStart w:id="2043" w:name="_Toc17595"/>
      <w:bookmarkStart w:id="2044" w:name="_Toc30249"/>
      <w:bookmarkStart w:id="2045" w:name="_Toc9042"/>
      <w:bookmarkStart w:id="2046" w:name="_Toc31188"/>
      <w:bookmarkStart w:id="2047" w:name="_Toc31287"/>
      <w:bookmarkStart w:id="2048" w:name="_Toc7334"/>
      <w:bookmarkStart w:id="2049" w:name="_Toc32034"/>
      <w:bookmarkStart w:id="2050" w:name="_Toc15262"/>
      <w:r>
        <w:rPr>
          <w:rFonts w:ascii="宋体" w:hAnsi="宋体"/>
          <w:highlight w:val="none"/>
        </w:rPr>
        <w:t>2.</w:t>
      </w:r>
      <w:r>
        <w:rPr>
          <w:rFonts w:hint="eastAsia" w:ascii="宋体" w:hAnsi="宋体"/>
          <w:highlight w:val="none"/>
        </w:rPr>
        <w:t>项目按照时间顺序排列，时间以合同签订时间为准。</w:t>
      </w:r>
      <w:bookmarkEnd w:id="2042"/>
      <w:bookmarkEnd w:id="2043"/>
      <w:bookmarkEnd w:id="2044"/>
      <w:bookmarkEnd w:id="2045"/>
      <w:bookmarkEnd w:id="2046"/>
      <w:bookmarkEnd w:id="2047"/>
      <w:bookmarkEnd w:id="2048"/>
      <w:bookmarkEnd w:id="2049"/>
      <w:bookmarkEnd w:id="2050"/>
    </w:p>
    <w:p>
      <w:pPr>
        <w:shd w:val="clear"/>
        <w:spacing w:before="0" w:after="0" w:afterAutospacing="0"/>
        <w:ind w:left="0" w:right="0" w:firstLine="0"/>
        <w:rPr>
          <w:rFonts w:hint="eastAsia" w:ascii="宋体" w:hAnsi="宋体"/>
          <w:highlight w:val="none"/>
        </w:rPr>
      </w:pPr>
      <w:r>
        <w:rPr>
          <w:rFonts w:ascii="宋体" w:hAnsi="宋体"/>
          <w:highlight w:val="none"/>
        </w:rPr>
        <w:t>3.</w:t>
      </w:r>
      <w:r>
        <w:rPr>
          <w:rFonts w:hint="eastAsia" w:ascii="宋体" w:hAnsi="宋体"/>
          <w:highlight w:val="none"/>
        </w:rPr>
        <w:t>比选申请人须提供相应的业绩证明材料：</w:t>
      </w:r>
      <w:r>
        <w:rPr>
          <w:rFonts w:hint="eastAsia" w:ascii="宋体" w:hAnsi="宋体"/>
          <w:color w:val="auto"/>
          <w:szCs w:val="21"/>
          <w:highlight w:val="none"/>
        </w:rPr>
        <w:t>项目合同文件</w:t>
      </w:r>
      <w:r>
        <w:rPr>
          <w:rFonts w:hint="default" w:ascii="宋体" w:hAnsi="宋体"/>
          <w:color w:val="auto"/>
          <w:szCs w:val="21"/>
          <w:highlight w:val="none"/>
        </w:rPr>
        <w:t>（</w:t>
      </w:r>
      <w:r>
        <w:rPr>
          <w:rFonts w:hint="eastAsia" w:ascii="宋体" w:hAnsi="宋体"/>
          <w:color w:val="auto"/>
          <w:szCs w:val="21"/>
          <w:highlight w:val="none"/>
        </w:rPr>
        <w:t>复印件加盖</w:t>
      </w:r>
      <w:r>
        <w:rPr>
          <w:rFonts w:hint="eastAsia" w:ascii="宋体" w:hAnsi="宋体"/>
          <w:color w:val="auto"/>
          <w:szCs w:val="21"/>
          <w:highlight w:val="none"/>
          <w:lang w:val="en-US" w:eastAsia="zh-CN"/>
        </w:rPr>
        <w:t>比选申请</w:t>
      </w:r>
      <w:r>
        <w:rPr>
          <w:rFonts w:hint="eastAsia" w:ascii="宋体" w:hAnsi="宋体"/>
          <w:color w:val="auto"/>
          <w:szCs w:val="21"/>
          <w:highlight w:val="none"/>
        </w:rPr>
        <w:t>人公章</w:t>
      </w:r>
      <w:r>
        <w:rPr>
          <w:rFonts w:hint="default" w:ascii="宋体" w:hAnsi="宋体"/>
          <w:color w:val="auto"/>
          <w:szCs w:val="21"/>
          <w:highlight w:val="none"/>
        </w:rPr>
        <w:t>）</w:t>
      </w:r>
      <w:r>
        <w:rPr>
          <w:rFonts w:hint="eastAsia" w:ascii="宋体" w:hAnsi="宋体"/>
          <w:color w:val="auto"/>
          <w:szCs w:val="21"/>
          <w:highlight w:val="none"/>
        </w:rPr>
        <w:t>，证明文件中须体现出合同双方、合同签订时间、合同金额（单价或合价，能统计出相应合同总价的均认可。）、反映业绩特征的内容等，否则视为无效证明文件</w:t>
      </w:r>
      <w:r>
        <w:rPr>
          <w:rFonts w:hint="eastAsia" w:ascii="宋体" w:hAnsi="宋体"/>
          <w:highlight w:val="none"/>
        </w:rPr>
        <w:t>。</w:t>
      </w:r>
    </w:p>
    <w:p>
      <w:pPr>
        <w:pStyle w:val="14"/>
      </w:pPr>
    </w:p>
    <w:p>
      <w:pPr>
        <w:shd w:val="clear"/>
        <w:snapToGrid w:val="0"/>
        <w:spacing w:after="50" w:line="280" w:lineRule="exact"/>
        <w:ind w:left="955" w:right="-817" w:firstLine="2520" w:firstLineChars="1200"/>
        <w:rPr>
          <w:rFonts w:ascii="宋体" w:hAnsi="宋体"/>
          <w:highlight w:val="none"/>
          <w:u w:val="single"/>
        </w:rPr>
      </w:pPr>
      <w:r>
        <w:rPr>
          <w:rFonts w:hint="eastAsia" w:ascii="宋体" w:hAnsi="宋体"/>
          <w:highlight w:val="none"/>
        </w:rPr>
        <w:t>比选申请人名称（盖章）：</w:t>
      </w:r>
    </w:p>
    <w:p>
      <w:pPr>
        <w:shd w:val="clear"/>
        <w:snapToGrid w:val="0"/>
        <w:spacing w:after="50" w:line="280" w:lineRule="exact"/>
        <w:ind w:right="-817" w:firstLine="2625" w:firstLineChars="1250"/>
        <w:rPr>
          <w:rFonts w:ascii="宋体" w:hAnsi="宋体"/>
          <w:highlight w:val="none"/>
          <w:u w:val="single"/>
        </w:rPr>
      </w:pPr>
      <w:r>
        <w:rPr>
          <w:rFonts w:hint="eastAsia" w:ascii="宋体" w:hAnsi="宋体"/>
          <w:highlight w:val="none"/>
        </w:rPr>
        <w:t xml:space="preserve"> 法定代表人或被授权人（签字）：</w:t>
      </w:r>
    </w:p>
    <w:p>
      <w:pPr>
        <w:shd w:val="clear"/>
        <w:ind w:left="710" w:leftChars="338" w:right="-57" w:firstLine="3234" w:firstLineChars="1540"/>
        <w:jc w:val="left"/>
        <w:rPr>
          <w:rFonts w:hint="eastAsia"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5"/>
        <w:shd w:val="clear"/>
        <w:tabs>
          <w:tab w:val="left" w:pos="567"/>
          <w:tab w:val="left" w:pos="720"/>
        </w:tabs>
        <w:snapToGrid w:val="0"/>
        <w:spacing w:before="120" w:after="0" w:line="360" w:lineRule="auto"/>
        <w:ind w:right="-57"/>
        <w:jc w:val="left"/>
        <w:outlineLvl w:val="2"/>
        <w:rPr>
          <w:rFonts w:ascii="宋体" w:hAnsi="宋体" w:eastAsia="宋体"/>
          <w:sz w:val="21"/>
          <w:szCs w:val="21"/>
          <w:highlight w:val="none"/>
        </w:rPr>
      </w:pPr>
      <w:bookmarkStart w:id="2051" w:name="_Toc24010"/>
      <w:bookmarkStart w:id="2052" w:name="_Toc29421"/>
      <w:bookmarkStart w:id="2053" w:name="_Toc6529"/>
      <w:bookmarkStart w:id="2054" w:name="_Toc29049"/>
      <w:bookmarkStart w:id="2055" w:name="_Toc27586"/>
      <w:bookmarkStart w:id="2056" w:name="_Toc12012"/>
      <w:bookmarkStart w:id="2057" w:name="_Toc25750687"/>
      <w:bookmarkStart w:id="2058" w:name="_Toc6943"/>
      <w:bookmarkStart w:id="2059" w:name="_Toc14684"/>
      <w:bookmarkStart w:id="2060" w:name="_Toc9920"/>
      <w:r>
        <w:rPr>
          <w:rFonts w:hint="eastAsia" w:ascii="宋体" w:hAnsi="宋体" w:eastAsia="宋体"/>
          <w:sz w:val="21"/>
          <w:szCs w:val="21"/>
          <w:highlight w:val="none"/>
          <w:lang w:val="en-US" w:eastAsia="zh-CN"/>
        </w:rPr>
        <w:t>B4：</w:t>
      </w:r>
      <w:r>
        <w:rPr>
          <w:rFonts w:hint="eastAsia" w:ascii="宋体" w:hAnsi="宋体" w:eastAsia="宋体"/>
          <w:sz w:val="21"/>
          <w:szCs w:val="21"/>
          <w:highlight w:val="none"/>
        </w:rPr>
        <w:t>商务响应表</w:t>
      </w:r>
      <w:bookmarkEnd w:id="2051"/>
      <w:bookmarkEnd w:id="2052"/>
      <w:bookmarkEnd w:id="2053"/>
      <w:bookmarkEnd w:id="2054"/>
      <w:bookmarkEnd w:id="2055"/>
      <w:bookmarkEnd w:id="2056"/>
      <w:bookmarkEnd w:id="2057"/>
      <w:bookmarkEnd w:id="2058"/>
      <w:bookmarkEnd w:id="2059"/>
      <w:bookmarkEnd w:id="2060"/>
    </w:p>
    <w:p>
      <w:pPr>
        <w:shd w:val="clear"/>
        <w:ind w:right="-57" w:firstLine="0"/>
        <w:jc w:val="center"/>
        <w:rPr>
          <w:rFonts w:ascii="宋体" w:hAnsi="宋体"/>
          <w:b/>
          <w:highlight w:val="none"/>
        </w:rPr>
      </w:pPr>
      <w:r>
        <w:rPr>
          <w:rFonts w:hint="eastAsia" w:ascii="宋体" w:hAnsi="宋体"/>
          <w:b/>
          <w:highlight w:val="none"/>
        </w:rPr>
        <w:t>商务响应表</w:t>
      </w:r>
    </w:p>
    <w:p>
      <w:pPr>
        <w:shd w:val="clear"/>
        <w:spacing w:before="0" w:after="0" w:afterAutospacing="0"/>
        <w:ind w:right="-57" w:firstLine="0"/>
        <w:jc w:val="left"/>
        <w:rPr>
          <w:rFonts w:ascii="宋体" w:hAnsi="宋体"/>
          <w:highlight w:val="none"/>
          <w:u w:val="single"/>
        </w:rPr>
      </w:pPr>
      <w:r>
        <w:rPr>
          <w:rFonts w:hint="eastAsia" w:ascii="宋体" w:hAnsi="宋体"/>
          <w:highlight w:val="none"/>
        </w:rPr>
        <w:t>项目名称：</w:t>
      </w:r>
    </w:p>
    <w:tbl>
      <w:tblPr>
        <w:tblStyle w:val="31"/>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hint="default" w:ascii="宋体" w:hAnsi="宋体" w:eastAsia="宋体"/>
                <w:highlight w:val="none"/>
                <w:lang w:val="en-US" w:eastAsia="zh-CN"/>
              </w:rPr>
            </w:pPr>
            <w:r>
              <w:rPr>
                <w:rFonts w:hint="eastAsia" w:ascii="宋体" w:hAnsi="宋体"/>
                <w:highlight w:val="none"/>
                <w:lang w:val="en-US" w:eastAsia="zh-CN"/>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lang w:val="en-US" w:eastAsia="zh-CN"/>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lang w:val="en-US" w:eastAsia="zh-CN"/>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lang w:val="en-US" w:eastAsia="zh-CN"/>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第五章</w:t>
            </w:r>
            <w:r>
              <w:rPr>
                <w:rFonts w:hint="eastAsia" w:ascii="宋体" w:hAnsi="宋体"/>
                <w:highlight w:val="none"/>
                <w:lang w:val="en-US" w:eastAsia="zh-CN"/>
              </w:rPr>
              <w:t xml:space="preserve">  </w:t>
            </w:r>
            <w:r>
              <w:rPr>
                <w:rFonts w:hint="eastAsia" w:ascii="宋体" w:hAnsi="宋体"/>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r>
              <w:rPr>
                <w:rFonts w:hint="eastAsia" w:ascii="宋体" w:hAnsi="宋体"/>
                <w:highlight w:val="none"/>
                <w:lang w:val="en-US" w:eastAsia="zh-CN"/>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ind w:left="0" w:firstLine="0"/>
              <w:rPr>
                <w:rFonts w:ascii="宋体" w:hAnsi="宋体"/>
                <w:highlight w:val="none"/>
              </w:rPr>
            </w:pPr>
          </w:p>
        </w:tc>
      </w:tr>
    </w:tbl>
    <w:p>
      <w:pPr>
        <w:shd w:val="clear"/>
        <w:snapToGrid w:val="0"/>
        <w:spacing w:after="50"/>
        <w:ind w:right="-57" w:firstLine="0"/>
        <w:rPr>
          <w:rFonts w:ascii="宋体" w:hAnsi="宋体"/>
          <w:color w:val="000000" w:themeColor="text1"/>
          <w:spacing w:val="20"/>
          <w:sz w:val="24"/>
          <w:szCs w:val="24"/>
          <w:highlight w:val="none"/>
        </w:rPr>
      </w:pPr>
      <w:r>
        <w:rPr>
          <w:rFonts w:hint="eastAsia" w:ascii="宋体" w:hAnsi="宋体"/>
          <w:b/>
          <w:highlight w:val="none"/>
        </w:rPr>
        <w:t>注：上述响应要求必须全部为“完全响应”，否则，比选申请人将不能通过符合性评审。</w:t>
      </w:r>
    </w:p>
    <w:p>
      <w:pPr>
        <w:shd w:val="clear"/>
        <w:snapToGrid w:val="0"/>
        <w:spacing w:after="50"/>
        <w:ind w:right="-57" w:firstLine="0"/>
        <w:rPr>
          <w:rFonts w:ascii="宋体" w:hAnsi="宋体"/>
          <w:color w:val="000000" w:themeColor="text1"/>
          <w:spacing w:val="20"/>
          <w:sz w:val="24"/>
          <w:szCs w:val="24"/>
          <w:highlight w:val="none"/>
        </w:rPr>
      </w:pPr>
    </w:p>
    <w:p>
      <w:pPr>
        <w:shd w:val="clear"/>
        <w:snapToGrid w:val="0"/>
        <w:spacing w:after="50" w:line="280" w:lineRule="exact"/>
        <w:ind w:left="953" w:right="-817" w:firstLine="1443"/>
        <w:rPr>
          <w:rFonts w:ascii="宋体" w:hAnsi="宋体"/>
          <w:sz w:val="24"/>
          <w:szCs w:val="24"/>
          <w:highlight w:val="none"/>
        </w:rPr>
      </w:pPr>
    </w:p>
    <w:p>
      <w:pPr>
        <w:shd w:val="clea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hd w:val="clea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hd w:val="clear"/>
        <w:spacing w:before="0"/>
        <w:ind w:right="-57" w:firstLine="0"/>
        <w:jc w:val="center"/>
        <w:rPr>
          <w:rFonts w:hint="eastAsia" w:ascii="宋体" w:hAnsi="宋体"/>
          <w:highlight w:val="none"/>
        </w:rPr>
      </w:pPr>
      <w:r>
        <w:rPr>
          <w:rFonts w:hint="eastAsia" w:ascii="宋体" w:hAnsi="宋体"/>
          <w:highlight w:val="none"/>
        </w:rPr>
        <w:t>日期：</w:t>
      </w:r>
      <w:r>
        <w:rPr>
          <w:rFonts w:hint="eastAsia" w:ascii="宋体" w:hAnsi="宋体"/>
          <w:highlight w:val="none"/>
          <w:lang w:val="en-US" w:eastAsia="zh-CN"/>
        </w:rPr>
        <w:t xml:space="preserve">  </w:t>
      </w:r>
      <w:r>
        <w:rPr>
          <w:rFonts w:hint="eastAsia" w:ascii="宋体" w:hAnsi="宋体"/>
          <w:highlight w:val="none"/>
        </w:rPr>
        <w:t>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p>
      <w:pPr>
        <w:pStyle w:val="4"/>
        <w:shd w:val="clear"/>
        <w:spacing w:after="100"/>
        <w:ind w:left="0" w:leftChars="0" w:right="-57" w:firstLine="0" w:firstLineChars="0"/>
        <w:jc w:val="center"/>
        <w:rPr>
          <w:rFonts w:ascii="Times New Roman" w:hAnsi="Times New Roman" w:eastAsia="宋体" w:cs="Times New Roman"/>
          <w:sz w:val="24"/>
          <w:szCs w:val="24"/>
          <w:highlight w:val="none"/>
        </w:rPr>
      </w:pPr>
      <w:bookmarkStart w:id="2061" w:name="_Toc414290562"/>
      <w:bookmarkStart w:id="2062" w:name="_Toc19107"/>
      <w:bookmarkStart w:id="2063" w:name="_Toc492478827"/>
      <w:bookmarkStart w:id="2064" w:name="_Toc13870"/>
      <w:bookmarkStart w:id="2065" w:name="_Toc32381"/>
      <w:bookmarkStart w:id="2066" w:name="_Toc6034"/>
      <w:bookmarkStart w:id="2067" w:name="_Toc29577"/>
      <w:bookmarkStart w:id="2068" w:name="_Toc3047"/>
      <w:bookmarkStart w:id="2069" w:name="_Toc14091"/>
      <w:bookmarkStart w:id="2070" w:name="_Toc3307"/>
      <w:bookmarkStart w:id="2071" w:name="_Toc9876"/>
      <w:bookmarkStart w:id="2072" w:name="_Toc16889"/>
      <w:bookmarkStart w:id="2073" w:name="_Toc2327"/>
      <w:bookmarkStart w:id="2074" w:name="_Toc25220"/>
      <w:bookmarkStart w:id="2075" w:name="_Toc30812"/>
      <w:bookmarkStart w:id="2076" w:name="_Toc22423"/>
      <w:bookmarkStart w:id="2077" w:name="_Toc8563"/>
      <w:bookmarkStart w:id="2078" w:name="_Toc15451"/>
      <w:bookmarkStart w:id="2079" w:name="_Toc32067"/>
      <w:bookmarkStart w:id="2080" w:name="_Toc31622"/>
      <w:bookmarkStart w:id="2081" w:name="_Toc7100"/>
      <w:bookmarkStart w:id="2082" w:name="_Toc11630"/>
      <w:bookmarkStart w:id="2083" w:name="_Toc25635"/>
      <w:bookmarkStart w:id="2084" w:name="_Toc17664"/>
      <w:bookmarkStart w:id="2085" w:name="_Toc19413"/>
      <w:bookmarkStart w:id="2086" w:name="_Toc10072"/>
      <w:r>
        <w:rPr>
          <w:rFonts w:hint="eastAsia" w:ascii="Times New Roman" w:hAnsi="Times New Roman" w:eastAsia="宋体" w:cs="Times New Roman"/>
          <w:sz w:val="24"/>
          <w:szCs w:val="24"/>
          <w:highlight w:val="none"/>
          <w:lang w:val="en-US" w:eastAsia="zh-CN"/>
        </w:rPr>
        <w:t xml:space="preserve">C </w:t>
      </w:r>
      <w:r>
        <w:rPr>
          <w:rFonts w:ascii="Times New Roman" w:hAnsi="Times New Roman" w:eastAsia="宋体" w:cs="Times New Roman"/>
          <w:sz w:val="24"/>
          <w:szCs w:val="24"/>
          <w:highlight w:val="none"/>
        </w:rPr>
        <w:t>技术</w:t>
      </w:r>
      <w:bookmarkEnd w:id="2061"/>
      <w:bookmarkEnd w:id="2062"/>
      <w:bookmarkEnd w:id="2063"/>
      <w:bookmarkStart w:id="2087" w:name="_Toc224010320"/>
      <w:bookmarkStart w:id="2088" w:name="_Toc99697927"/>
      <w:bookmarkStart w:id="2089" w:name="_Toc18770050"/>
      <w:bookmarkStart w:id="2090" w:name="_Toc17887241"/>
      <w:bookmarkStart w:id="2091" w:name="_Toc74938308"/>
      <w:r>
        <w:rPr>
          <w:rFonts w:hint="eastAsia" w:ascii="Times New Roman" w:hAnsi="Times New Roman" w:eastAsia="宋体" w:cs="Times New Roman"/>
          <w:sz w:val="24"/>
          <w:szCs w:val="24"/>
          <w:highlight w:val="none"/>
        </w:rPr>
        <w:t>文件</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shd w:val="clea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0"/>
        </w:numPr>
        <w:shd w:val="clear"/>
        <w:spacing w:before="0" w:after="0" w:afterAutospacing="0"/>
        <w:ind w:left="0" w:leftChars="0" w:right="0" w:rightChars="0" w:firstLine="315" w:firstLineChars="150"/>
        <w:rPr>
          <w:highlight w:val="none"/>
        </w:rPr>
      </w:pPr>
      <w:r>
        <w:rPr>
          <w:rFonts w:ascii="Times New Roman" w:hAnsi="Times New Roman" w:eastAsia="宋体" w:cs="Times New Roman"/>
          <w:sz w:val="21"/>
          <w:szCs w:val="21"/>
          <w:lang w:val="en-US" w:eastAsia="zh-CN" w:bidi="ar-SA"/>
        </w:rPr>
        <w:t>（1）</w:t>
      </w:r>
      <w:r>
        <w:rPr>
          <w:rFonts w:hint="eastAsia"/>
          <w:highlight w:val="none"/>
        </w:rPr>
        <w:t>维保方案及保障措施（格式自拟）；</w:t>
      </w:r>
    </w:p>
    <w:p>
      <w:pPr>
        <w:numPr>
          <w:ilvl w:val="0"/>
          <w:numId w:val="0"/>
        </w:numPr>
        <w:shd w:val="clear"/>
        <w:spacing w:before="0" w:after="0" w:afterAutospacing="0"/>
        <w:ind w:left="0" w:leftChars="0" w:right="0" w:rightChars="0" w:firstLine="315" w:firstLineChars="150"/>
      </w:pPr>
      <w:r>
        <w:rPr>
          <w:rFonts w:hint="eastAsia" w:ascii="Times New Roman" w:hAnsi="Times New Roman" w:eastAsia="宋体" w:cs="Times New Roman"/>
          <w:sz w:val="21"/>
          <w:szCs w:val="21"/>
          <w:lang w:val="en-US" w:eastAsia="zh-CN" w:bidi="ar-SA"/>
        </w:rPr>
        <w:t>（2）</w:t>
      </w:r>
      <w:r>
        <w:rPr>
          <w:rFonts w:hint="eastAsia" w:ascii="Times New Roman" w:hAnsi="Times New Roman" w:eastAsia="宋体" w:cs="Times New Roman"/>
          <w:highlight w:val="none"/>
          <w:lang w:val="en-US" w:eastAsia="zh-CN"/>
        </w:rPr>
        <w:t>重点、难点分析及安全控制措施（格式自拟）</w:t>
      </w:r>
      <w:r>
        <w:rPr>
          <w:rFonts w:hint="eastAsia" w:cs="Times New Roman"/>
          <w:highlight w:val="none"/>
          <w:lang w:val="en-US" w:eastAsia="zh-CN"/>
        </w:rPr>
        <w:t>；</w:t>
      </w:r>
    </w:p>
    <w:p>
      <w:pPr>
        <w:numPr>
          <w:ilvl w:val="0"/>
          <w:numId w:val="0"/>
        </w:numPr>
        <w:shd w:val="clear"/>
        <w:spacing w:before="0" w:after="0" w:afterAutospacing="0"/>
        <w:ind w:left="0" w:leftChars="0" w:right="0" w:rightChars="0" w:firstLine="315" w:firstLineChars="150"/>
        <w:rPr>
          <w:rFonts w:hint="eastAsia" w:cs="Times New Roman"/>
          <w:sz w:val="21"/>
          <w:szCs w:val="21"/>
          <w:lang w:val="en-US" w:eastAsia="zh-CN" w:bidi="ar-SA"/>
        </w:rPr>
      </w:pPr>
      <w:r>
        <w:rPr>
          <w:rFonts w:hint="eastAsia" w:cs="Times New Roman"/>
          <w:sz w:val="21"/>
          <w:szCs w:val="21"/>
          <w:lang w:val="en-US" w:eastAsia="zh-CN" w:bidi="ar-SA"/>
        </w:rPr>
        <w:t xml:space="preserve">（3）拟投入人员情况及项目部建设：比选申请人组织机构框图（详见格式 C1）、拟投入本项目主要人 </w:t>
      </w:r>
    </w:p>
    <w:p>
      <w:pPr>
        <w:numPr>
          <w:ilvl w:val="0"/>
          <w:numId w:val="0"/>
        </w:numPr>
        <w:shd w:val="clear"/>
        <w:spacing w:before="0" w:after="0" w:afterAutospacing="0"/>
        <w:ind w:left="0" w:leftChars="0" w:right="0" w:rightChars="0" w:firstLine="315" w:firstLineChars="150"/>
        <w:rPr>
          <w:rFonts w:ascii="Times New Roman" w:hAnsi="Times New Roman" w:eastAsia="宋体" w:cs="Times New Roman"/>
          <w:sz w:val="21"/>
          <w:szCs w:val="21"/>
          <w:lang w:val="en-US" w:eastAsia="zh-CN" w:bidi="ar-SA"/>
        </w:rPr>
      </w:pPr>
      <w:r>
        <w:rPr>
          <w:rFonts w:hint="eastAsia" w:cs="Times New Roman"/>
          <w:sz w:val="21"/>
          <w:szCs w:val="21"/>
          <w:lang w:val="en-US" w:eastAsia="zh-CN" w:bidi="ar-SA"/>
        </w:rPr>
        <w:t xml:space="preserve">员情况汇总表（详见格式C2），提供主要人员相关证明材料； </w:t>
      </w:r>
    </w:p>
    <w:p>
      <w:pPr>
        <w:numPr>
          <w:ilvl w:val="0"/>
          <w:numId w:val="0"/>
        </w:numPr>
        <w:shd w:val="clear"/>
        <w:spacing w:before="0" w:after="0" w:afterAutospacing="0"/>
        <w:ind w:left="0" w:leftChars="0" w:right="0" w:rightChars="0" w:firstLine="315" w:firstLineChars="150"/>
        <w:rPr>
          <w:highlight w:val="none"/>
        </w:rPr>
      </w:pPr>
      <w:r>
        <w:rPr>
          <w:rFonts w:hint="eastAsia" w:cs="Times New Roman"/>
          <w:sz w:val="21"/>
          <w:szCs w:val="21"/>
          <w:lang w:val="en-US" w:eastAsia="zh-CN" w:bidi="ar-SA"/>
        </w:rPr>
        <w:t>（4）</w:t>
      </w:r>
      <w:r>
        <w:rPr>
          <w:rFonts w:hint="eastAsia"/>
          <w:highlight w:val="none"/>
        </w:rPr>
        <w:t>技术</w:t>
      </w:r>
      <w:r>
        <w:rPr>
          <w:rFonts w:hint="eastAsia"/>
          <w:highlight w:val="none"/>
          <w:lang w:val="en-US" w:eastAsia="zh-CN"/>
        </w:rPr>
        <w:t>条款</w:t>
      </w:r>
      <w:r>
        <w:rPr>
          <w:rFonts w:hint="eastAsia"/>
          <w:highlight w:val="none"/>
        </w:rPr>
        <w:t>响应表（格式见</w:t>
      </w:r>
      <w:r>
        <w:rPr>
          <w:rFonts w:hint="eastAsia"/>
          <w:highlight w:val="none"/>
          <w:lang w:val="en-US" w:eastAsia="zh-CN"/>
        </w:rPr>
        <w:t>C3</w:t>
      </w:r>
      <w:r>
        <w:rPr>
          <w:rFonts w:hint="eastAsia"/>
          <w:highlight w:val="none"/>
        </w:rPr>
        <w:t>）；</w:t>
      </w:r>
    </w:p>
    <w:p>
      <w:pPr>
        <w:shd w:val="clear"/>
        <w:rPr>
          <w:rFonts w:hint="eastAsia"/>
          <w:highlight w:val="none"/>
        </w:rPr>
      </w:pPr>
      <w:r>
        <w:rPr>
          <w:rFonts w:hint="eastAsia"/>
          <w:highlight w:val="none"/>
        </w:rPr>
        <w:br w:type="page"/>
      </w:r>
    </w:p>
    <w:p>
      <w:pPr>
        <w:keepNext/>
        <w:keepLines/>
        <w:widowControl w:val="0"/>
        <w:spacing w:before="0" w:after="0" w:afterAutospacing="0" w:line="360" w:lineRule="auto"/>
        <w:ind w:left="0" w:right="0" w:firstLine="0"/>
        <w:jc w:val="left"/>
        <w:outlineLvl w:val="3"/>
        <w:rPr>
          <w:rFonts w:ascii="宋体" w:hAnsi="宋体" w:eastAsia="宋体" w:cs="Times New Roman"/>
          <w:b/>
          <w:kern w:val="2"/>
          <w:szCs w:val="28"/>
        </w:rPr>
      </w:pPr>
      <w:r>
        <w:rPr>
          <w:rFonts w:hint="eastAsia" w:ascii="宋体" w:hAnsi="宋体" w:eastAsia="宋体" w:cs="Times New Roman"/>
          <w:b/>
          <w:kern w:val="2"/>
          <w:szCs w:val="28"/>
          <w:lang w:val="en-US" w:eastAsia="zh-CN"/>
        </w:rPr>
        <w:t>C</w:t>
      </w:r>
      <w:r>
        <w:rPr>
          <w:rFonts w:hint="eastAsia" w:ascii="宋体" w:hAnsi="宋体" w:eastAsia="宋体" w:cs="Times New Roman"/>
          <w:b/>
          <w:kern w:val="2"/>
          <w:szCs w:val="28"/>
        </w:rPr>
        <w:t>1：比选申请人</w:t>
      </w:r>
      <w:r>
        <w:rPr>
          <w:rFonts w:ascii="宋体" w:hAnsi="宋体" w:eastAsia="宋体" w:cs="Times New Roman"/>
          <w:b/>
          <w:kern w:val="2"/>
          <w:szCs w:val="28"/>
        </w:rPr>
        <w:t>组织机构框图</w:t>
      </w:r>
      <w:r>
        <w:rPr>
          <w:rFonts w:hint="eastAsia" w:ascii="宋体" w:hAnsi="宋体" w:eastAsia="宋体" w:cs="Times New Roman"/>
          <w:b/>
          <w:kern w:val="2"/>
          <w:szCs w:val="28"/>
        </w:rPr>
        <w:t>格式</w:t>
      </w:r>
    </w:p>
    <w:p>
      <w:pPr>
        <w:widowControl w:val="0"/>
        <w:spacing w:before="0" w:after="0" w:afterAutospacing="0" w:line="480" w:lineRule="auto"/>
        <w:ind w:left="0" w:right="0" w:firstLine="0"/>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比选申请人</w:t>
      </w:r>
      <w:r>
        <w:rPr>
          <w:rFonts w:ascii="宋体" w:hAnsi="宋体" w:eastAsia="宋体" w:cs="Times New Roman"/>
          <w:b/>
          <w:bCs/>
          <w:kern w:val="0"/>
          <w:sz w:val="28"/>
          <w:szCs w:val="28"/>
        </w:rPr>
        <w:t>组织机构框图</w:t>
      </w:r>
    </w:p>
    <w:tbl>
      <w:tblPr>
        <w:tblStyle w:val="3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64" w:hRule="atLeast"/>
          <w:jc w:val="center"/>
        </w:trPr>
        <w:tc>
          <w:tcPr>
            <w:tcW w:w="8607" w:type="dxa"/>
            <w:noWrap w:val="0"/>
            <w:vAlign w:val="top"/>
          </w:tcPr>
          <w:p>
            <w:pPr>
              <w:widowControl w:val="0"/>
              <w:spacing w:before="0" w:after="0" w:afterAutospacing="0" w:line="360" w:lineRule="auto"/>
              <w:ind w:left="0" w:right="0" w:firstLine="0"/>
              <w:rPr>
                <w:rFonts w:ascii="宋体" w:hAnsi="宋体" w:eastAsia="宋体" w:cs="Times New Roman"/>
                <w:kern w:val="0"/>
                <w:szCs w:val="21"/>
              </w:rPr>
            </w:pPr>
          </w:p>
          <w:p>
            <w:pPr>
              <w:widowControl w:val="0"/>
              <w:spacing w:before="0" w:after="0" w:afterAutospacing="0" w:line="360" w:lineRule="auto"/>
              <w:ind w:left="0" w:right="0" w:firstLine="0"/>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r>
              <w:rPr>
                <w:rFonts w:ascii="宋体" w:hAnsi="宋体" w:eastAsia="宋体" w:cs="Times New Roman"/>
                <w:kern w:val="0"/>
                <w:szCs w:val="21"/>
              </w:rPr>
              <w:t>（1）</w:t>
            </w:r>
            <w:r>
              <w:rPr>
                <w:rFonts w:hint="eastAsia" w:ascii="宋体" w:hAnsi="宋体" w:eastAsia="宋体" w:cs="Times New Roman"/>
                <w:kern w:val="0"/>
                <w:szCs w:val="21"/>
              </w:rPr>
              <w:t>母子公司关系框图</w:t>
            </w: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rPr>
              <w:t>2</w:t>
            </w:r>
            <w:r>
              <w:rPr>
                <w:rFonts w:ascii="宋体" w:hAnsi="宋体" w:eastAsia="宋体" w:cs="Times New Roman"/>
                <w:kern w:val="0"/>
                <w:szCs w:val="21"/>
              </w:rPr>
              <w:t>）</w:t>
            </w:r>
            <w:r>
              <w:rPr>
                <w:rFonts w:hint="eastAsia" w:ascii="宋体" w:hAnsi="宋体" w:eastAsia="宋体" w:cs="Times New Roman"/>
                <w:kern w:val="0"/>
                <w:szCs w:val="21"/>
              </w:rPr>
              <w:t>公司</w:t>
            </w:r>
            <w:r>
              <w:rPr>
                <w:rFonts w:ascii="宋体" w:hAnsi="宋体" w:eastAsia="宋体" w:cs="Times New Roman"/>
                <w:kern w:val="0"/>
                <w:szCs w:val="21"/>
              </w:rPr>
              <w:t>组织机构框图</w:t>
            </w: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rPr>
              <w:t>3</w:t>
            </w:r>
            <w:r>
              <w:rPr>
                <w:rFonts w:ascii="宋体" w:hAnsi="宋体" w:eastAsia="宋体" w:cs="Times New Roman"/>
                <w:kern w:val="0"/>
                <w:szCs w:val="21"/>
              </w:rPr>
              <w:t>）项目组织机构图</w:t>
            </w:r>
          </w:p>
          <w:p>
            <w:pPr>
              <w:widowControl w:val="0"/>
              <w:spacing w:before="0" w:after="0" w:afterAutospacing="0" w:line="360" w:lineRule="auto"/>
              <w:ind w:left="0" w:right="0" w:firstLine="0"/>
              <w:rPr>
                <w:rFonts w:ascii="宋体" w:hAnsi="宋体" w:eastAsia="宋体" w:cs="Times New Roman"/>
                <w:kern w:val="0"/>
                <w:szCs w:val="21"/>
              </w:rPr>
            </w:pPr>
          </w:p>
          <w:p>
            <w:pPr>
              <w:widowControl w:val="0"/>
              <w:spacing w:before="0" w:after="0" w:afterAutospacing="0" w:line="360" w:lineRule="auto"/>
              <w:ind w:left="0" w:right="0" w:firstLine="0"/>
              <w:jc w:val="center"/>
              <w:rPr>
                <w:rFonts w:ascii="宋体" w:hAnsi="宋体" w:eastAsia="宋体" w:cs="Times New Roman"/>
                <w:kern w:val="0"/>
                <w:szCs w:val="21"/>
              </w:rPr>
            </w:pPr>
          </w:p>
        </w:tc>
      </w:tr>
    </w:tbl>
    <w:p>
      <w:pPr>
        <w:widowControl w:val="0"/>
        <w:spacing w:before="0" w:after="0" w:afterAutospacing="0" w:line="360" w:lineRule="auto"/>
        <w:ind w:left="0" w:right="0" w:firstLine="0"/>
        <w:rPr>
          <w:rFonts w:ascii="宋体" w:hAnsi="宋体" w:eastAsia="宋体" w:cs="Times New Roman"/>
          <w:kern w:val="0"/>
          <w:sz w:val="24"/>
          <w:szCs w:val="24"/>
        </w:rPr>
      </w:pPr>
    </w:p>
    <w:p>
      <w:pPr>
        <w:widowControl w:val="0"/>
        <w:spacing w:before="120" w:beforeLines="50" w:after="0" w:afterAutospacing="0" w:line="360" w:lineRule="auto"/>
        <w:ind w:left="210" w:leftChars="100" w:right="0" w:firstLine="420" w:firstLineChars="2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val="en-US" w:eastAsia="zh-CN" w:bidi="ar"/>
        </w:rPr>
        <w:t>比选申请</w:t>
      </w:r>
      <w:r>
        <w:rPr>
          <w:rFonts w:hint="eastAsia" w:ascii="Times New Roman" w:hAnsi="Times New Roman" w:eastAsia="宋体" w:cs="宋体"/>
          <w:kern w:val="2"/>
          <w:szCs w:val="24"/>
          <w:lang w:bidi="ar"/>
        </w:rPr>
        <w:t>人：（公章）</w:t>
      </w:r>
      <w:r>
        <w:rPr>
          <w:rFonts w:ascii="Times New Roman" w:hAnsi="Times New Roman" w:eastAsia="宋体" w:cs="Times New Roman"/>
          <w:kern w:val="2"/>
          <w:szCs w:val="24"/>
          <w:lang w:bidi="ar"/>
        </w:rPr>
        <w:t xml:space="preserve"> </w:t>
      </w:r>
    </w:p>
    <w:p>
      <w:pPr>
        <w:widowControl w:val="0"/>
        <w:spacing w:before="120" w:beforeLines="50" w:after="0" w:afterAutospacing="0" w:line="360" w:lineRule="auto"/>
        <w:ind w:left="210" w:leftChars="100" w:right="0" w:firstLine="420" w:firstLineChars="2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bidi="ar"/>
        </w:rPr>
        <w:t>法定代表人或其委托代理人：（签字或盖章）</w:t>
      </w:r>
    </w:p>
    <w:p>
      <w:pPr>
        <w:widowControl w:val="0"/>
        <w:spacing w:before="120" w:beforeLines="50" w:after="0" w:afterAutospacing="0" w:line="360" w:lineRule="auto"/>
        <w:ind w:left="210" w:leftChars="100" w:right="0" w:firstLine="420" w:firstLineChars="2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bidi="ar"/>
        </w:rPr>
        <w:t>日</w:t>
      </w:r>
      <w:r>
        <w:rPr>
          <w:rFonts w:ascii="Times New Roman" w:hAnsi="Times New Roman" w:eastAsia="宋体" w:cs="Times New Roman"/>
          <w:kern w:val="2"/>
          <w:szCs w:val="24"/>
          <w:lang w:bidi="ar"/>
        </w:rPr>
        <w:t xml:space="preserve">    </w:t>
      </w:r>
      <w:r>
        <w:rPr>
          <w:rFonts w:hint="eastAsia" w:ascii="Times New Roman" w:hAnsi="Times New Roman" w:eastAsia="宋体" w:cs="宋体"/>
          <w:kern w:val="2"/>
          <w:szCs w:val="24"/>
          <w:lang w:bidi="ar"/>
        </w:rPr>
        <w:t>期：</w:t>
      </w:r>
    </w:p>
    <w:p>
      <w:pPr>
        <w:widowControl w:val="0"/>
        <w:tabs>
          <w:tab w:val="left" w:pos="1980"/>
          <w:tab w:val="center" w:pos="4252"/>
        </w:tabs>
        <w:spacing w:before="120" w:beforeLines="50" w:after="240" w:afterLines="100" w:afterAutospacing="0" w:line="440" w:lineRule="exact"/>
        <w:ind w:left="0" w:right="0" w:firstLine="0"/>
        <w:rPr>
          <w:rFonts w:ascii="宋体" w:hAnsi="宋体" w:eastAsia="宋体" w:cs="Times New Roman"/>
          <w:kern w:val="0"/>
          <w:sz w:val="24"/>
          <w:szCs w:val="21"/>
        </w:rPr>
      </w:pPr>
    </w:p>
    <w:p>
      <w:pPr>
        <w:widowControl w:val="0"/>
        <w:tabs>
          <w:tab w:val="left" w:pos="1980"/>
          <w:tab w:val="center" w:pos="4252"/>
        </w:tabs>
        <w:spacing w:before="120" w:beforeLines="50" w:after="240" w:afterLines="100" w:afterAutospacing="0" w:line="440" w:lineRule="exact"/>
        <w:ind w:left="0" w:right="0" w:firstLine="0"/>
        <w:rPr>
          <w:rFonts w:ascii="宋体" w:hAnsi="宋体" w:eastAsia="宋体" w:cs="Times New Roman"/>
          <w:kern w:val="0"/>
          <w:sz w:val="24"/>
          <w:szCs w:val="21"/>
        </w:rPr>
      </w:pPr>
    </w:p>
    <w:p>
      <w:pPr>
        <w:widowControl/>
        <w:spacing w:before="0" w:after="0" w:afterAutospacing="0" w:line="240" w:lineRule="auto"/>
        <w:ind w:left="0" w:right="0" w:firstLine="0"/>
        <w:jc w:val="left"/>
        <w:rPr>
          <w:rFonts w:ascii="宋体" w:hAnsi="宋体" w:eastAsia="宋体" w:cs="Times New Roman"/>
          <w:b/>
          <w:kern w:val="2"/>
          <w:szCs w:val="28"/>
        </w:rPr>
      </w:pPr>
      <w:r>
        <w:rPr>
          <w:rFonts w:ascii="宋体" w:hAnsi="宋体" w:eastAsia="宋体" w:cs="Times New Roman"/>
          <w:b/>
          <w:kern w:val="2"/>
          <w:szCs w:val="28"/>
        </w:rPr>
        <w:br w:type="page"/>
      </w:r>
    </w:p>
    <w:p>
      <w:pPr>
        <w:keepNext/>
        <w:keepLines/>
        <w:widowControl w:val="0"/>
        <w:spacing w:before="0" w:after="0" w:afterAutospacing="0" w:line="360" w:lineRule="auto"/>
        <w:ind w:left="0" w:right="0" w:firstLine="0"/>
        <w:jc w:val="left"/>
        <w:outlineLvl w:val="3"/>
        <w:rPr>
          <w:rFonts w:ascii="宋体" w:hAnsi="宋体" w:eastAsia="宋体" w:cs="Times New Roman"/>
          <w:b/>
          <w:kern w:val="2"/>
          <w:szCs w:val="28"/>
        </w:rPr>
      </w:pPr>
      <w:r>
        <w:rPr>
          <w:rFonts w:hint="eastAsia" w:ascii="宋体" w:hAnsi="宋体" w:eastAsia="宋体" w:cs="Times New Roman"/>
          <w:b/>
          <w:kern w:val="2"/>
          <w:szCs w:val="28"/>
          <w:lang w:val="en-US" w:eastAsia="zh-CN"/>
        </w:rPr>
        <w:t>C</w:t>
      </w:r>
      <w:r>
        <w:rPr>
          <w:rFonts w:hint="eastAsia" w:ascii="宋体" w:hAnsi="宋体" w:eastAsia="宋体" w:cs="Times New Roman"/>
          <w:b/>
          <w:kern w:val="2"/>
          <w:szCs w:val="28"/>
        </w:rPr>
        <w:t>2：拟投入本项目主要人员情况汇总表格式</w:t>
      </w:r>
    </w:p>
    <w:p>
      <w:pPr>
        <w:widowControl/>
        <w:spacing w:before="0" w:after="0" w:afterAutospacing="0" w:line="360" w:lineRule="auto"/>
        <w:ind w:left="0" w:right="0" w:firstLine="0"/>
        <w:jc w:val="center"/>
        <w:rPr>
          <w:rFonts w:hint="eastAsia" w:ascii="宋体" w:hAnsi="宋体" w:eastAsia="宋体" w:cs="Times New Roman"/>
          <w:b/>
          <w:bCs/>
          <w:kern w:val="2"/>
          <w:sz w:val="24"/>
          <w:szCs w:val="24"/>
        </w:rPr>
      </w:pPr>
      <w:r>
        <w:rPr>
          <w:rFonts w:hint="eastAsia" w:ascii="宋体" w:hAnsi="宋体" w:eastAsia="宋体" w:cs="Times New Roman"/>
          <w:b/>
          <w:bCs/>
          <w:kern w:val="2"/>
          <w:sz w:val="24"/>
          <w:szCs w:val="24"/>
        </w:rPr>
        <w:t>拟投入本项目主要人员情况汇总表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129"/>
        <w:gridCol w:w="1109"/>
        <w:gridCol w:w="944"/>
        <w:gridCol w:w="1109"/>
        <w:gridCol w:w="1101"/>
        <w:gridCol w:w="1149"/>
        <w:gridCol w:w="159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序号</w:t>
            </w:r>
          </w:p>
        </w:tc>
        <w:tc>
          <w:tcPr>
            <w:tcW w:w="567"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姓名</w:t>
            </w:r>
          </w:p>
        </w:tc>
        <w:tc>
          <w:tcPr>
            <w:tcW w:w="557"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性别</w:t>
            </w:r>
          </w:p>
        </w:tc>
        <w:tc>
          <w:tcPr>
            <w:tcW w:w="474"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学历</w:t>
            </w:r>
          </w:p>
        </w:tc>
        <w:tc>
          <w:tcPr>
            <w:tcW w:w="557"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参加工作时间</w:t>
            </w:r>
          </w:p>
        </w:tc>
        <w:tc>
          <w:tcPr>
            <w:tcW w:w="553"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bCs/>
                <w:kern w:val="2"/>
                <w:szCs w:val="21"/>
              </w:rPr>
              <w:t>工种/专业</w:t>
            </w:r>
          </w:p>
        </w:tc>
        <w:tc>
          <w:tcPr>
            <w:tcW w:w="577"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技术等级</w:t>
            </w:r>
          </w:p>
        </w:tc>
        <w:tc>
          <w:tcPr>
            <w:tcW w:w="801"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相关资质证书</w:t>
            </w:r>
          </w:p>
        </w:tc>
        <w:tc>
          <w:tcPr>
            <w:tcW w:w="411" w:type="pct"/>
            <w:noWrap w:val="0"/>
            <w:vAlign w:val="center"/>
          </w:tcPr>
          <w:p>
            <w:pPr>
              <w:widowControl w:val="0"/>
              <w:spacing w:before="0" w:after="0" w:afterAutospacing="0" w:line="240" w:lineRule="auto"/>
              <w:ind w:left="0" w:right="0" w:firstLine="0"/>
              <w:jc w:val="center"/>
              <w:rPr>
                <w:rFonts w:ascii="Arial" w:hAnsi="Arial" w:eastAsia="宋体" w:cs="Times New Roman"/>
                <w:kern w:val="2"/>
                <w:szCs w:val="21"/>
              </w:rPr>
            </w:pPr>
            <w:r>
              <w:rPr>
                <w:rFonts w:hint="eastAsia" w:ascii="Arial" w:hAnsi="Arial" w:eastAsia="宋体" w:cs="Times New Roman"/>
                <w:kern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6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74"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53"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577"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80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c>
          <w:tcPr>
            <w:tcW w:w="411" w:type="pct"/>
            <w:noWrap w:val="0"/>
            <w:vAlign w:val="top"/>
          </w:tcPr>
          <w:p>
            <w:pPr>
              <w:widowControl w:val="0"/>
              <w:spacing w:before="0" w:after="0" w:afterAutospacing="0" w:line="360" w:lineRule="auto"/>
              <w:ind w:left="0" w:right="0" w:firstLine="0"/>
              <w:rPr>
                <w:rFonts w:ascii="Arial" w:hAnsi="Arial" w:eastAsia="宋体" w:cs="Times New Roman"/>
                <w:kern w:val="2"/>
                <w:sz w:val="15"/>
                <w:szCs w:val="15"/>
              </w:rPr>
            </w:pPr>
          </w:p>
        </w:tc>
      </w:tr>
    </w:tbl>
    <w:p>
      <w:pPr>
        <w:widowControl/>
        <w:spacing w:before="0" w:after="0" w:afterAutospacing="0" w:line="360" w:lineRule="auto"/>
        <w:ind w:left="0" w:right="0" w:firstLine="420" w:firstLineChars="200"/>
        <w:jc w:val="left"/>
        <w:rPr>
          <w:rFonts w:ascii="宋体" w:hAnsi="宋体" w:eastAsia="宋体" w:cs="Times New Roman"/>
          <w:kern w:val="2"/>
          <w:szCs w:val="21"/>
        </w:rPr>
      </w:pPr>
      <w:r>
        <w:rPr>
          <w:rFonts w:hint="eastAsia" w:ascii="Times New Roman" w:hAnsi="Times New Roman" w:eastAsia="宋体" w:cs="宋体"/>
          <w:kern w:val="2"/>
          <w:szCs w:val="24"/>
          <w:lang w:val="en-US" w:eastAsia="zh-CN" w:bidi="ar"/>
        </w:rPr>
        <w:t>比选申请</w:t>
      </w:r>
      <w:r>
        <w:rPr>
          <w:rFonts w:hint="eastAsia" w:ascii="宋体" w:hAnsi="宋体" w:eastAsia="宋体" w:cs="Times New Roman"/>
          <w:kern w:val="2"/>
          <w:szCs w:val="21"/>
        </w:rPr>
        <w:t>人应列出拟在本合同中任职的主要管理人员和工程技术人员的安排，这些人应包括现场项目经理及其主要人员等，详见如下表格：</w:t>
      </w:r>
    </w:p>
    <w:p>
      <w:pPr>
        <w:widowControl/>
        <w:spacing w:before="0" w:after="0" w:afterAutospacing="0" w:line="360" w:lineRule="auto"/>
        <w:ind w:left="0" w:right="0" w:firstLine="482" w:firstLineChars="200"/>
        <w:jc w:val="center"/>
        <w:rPr>
          <w:rFonts w:ascii="宋体" w:hAnsi="宋体" w:eastAsia="宋体" w:cs="Times New Roman"/>
          <w:b/>
          <w:bCs/>
          <w:kern w:val="2"/>
          <w:sz w:val="24"/>
          <w:szCs w:val="24"/>
        </w:rPr>
      </w:pPr>
      <w:r>
        <w:rPr>
          <w:rFonts w:hint="eastAsia" w:ascii="宋体" w:hAnsi="宋体" w:eastAsia="宋体" w:cs="Times New Roman"/>
          <w:b/>
          <w:bCs/>
          <w:kern w:val="2"/>
          <w:sz w:val="24"/>
          <w:szCs w:val="24"/>
        </w:rPr>
        <w:t>现场主要人员安排（表一）</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55"/>
        <w:gridCol w:w="5004"/>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3705" w:type="pct"/>
            <w:gridSpan w:val="2"/>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人员类别</w:t>
            </w: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要求人数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restar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项目管理人员</w:t>
            </w:r>
          </w:p>
        </w:tc>
        <w:tc>
          <w:tcPr>
            <w:tcW w:w="255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项目经理</w:t>
            </w: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continue"/>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val="0"/>
              <w:spacing w:before="0" w:after="0" w:afterAutospacing="0" w:line="0" w:lineRule="atLeast"/>
              <w:ind w:left="0" w:right="0" w:firstLine="0"/>
              <w:jc w:val="center"/>
              <w:rPr>
                <w:rFonts w:ascii="宋体" w:hAnsi="宋体" w:eastAsia="宋体" w:cs="Times New Roman"/>
                <w:kern w:val="0"/>
                <w:szCs w:val="21"/>
              </w:rPr>
            </w:pPr>
            <w:r>
              <w:rPr>
                <w:rFonts w:hint="eastAsia" w:ascii="宋体" w:hAnsi="宋体" w:eastAsia="宋体" w:cs="Times New Roman"/>
                <w:kern w:val="2"/>
                <w:szCs w:val="21"/>
              </w:rPr>
              <w:t>技术负责人</w:t>
            </w: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continue"/>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r>
              <w:rPr>
                <w:rFonts w:ascii="宋体" w:hAnsi="宋体" w:eastAsia="宋体" w:cs="Times New Roman"/>
                <w:kern w:val="0"/>
                <w:szCs w:val="21"/>
              </w:rPr>
              <w:t>……</w:t>
            </w: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restart"/>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技术管理组</w:t>
            </w: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hint="eastAsia"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spacing w:before="0" w:after="0" w:afterAutospacing="0" w:line="240" w:lineRule="auto"/>
              <w:ind w:left="0" w:right="0" w:firstLine="0"/>
              <w:jc w:val="center"/>
              <w:rPr>
                <w:rFonts w:ascii="宋体" w:hAnsi="宋体" w:eastAsia="宋体" w:cs="Times New Roman"/>
                <w:kern w:val="0"/>
                <w:szCs w:val="21"/>
              </w:rPr>
            </w:pPr>
          </w:p>
        </w:tc>
        <w:tc>
          <w:tcPr>
            <w:tcW w:w="2554" w:type="pct"/>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restart"/>
            <w:noWrap w:val="0"/>
            <w:vAlign w:val="center"/>
          </w:tcPr>
          <w:p>
            <w:pPr>
              <w:widowControl w:val="0"/>
              <w:spacing w:before="0" w:after="0" w:afterAutospacing="0" w:line="0" w:lineRule="atLeast"/>
              <w:ind w:left="0" w:right="0" w:firstLine="0"/>
              <w:jc w:val="center"/>
              <w:rPr>
                <w:rFonts w:ascii="宋体" w:hAnsi="宋体" w:eastAsia="宋体" w:cs="Times New Roman"/>
                <w:kern w:val="0"/>
                <w:szCs w:val="21"/>
              </w:rPr>
            </w:pPr>
            <w:r>
              <w:rPr>
                <w:rFonts w:hint="eastAsia" w:ascii="宋体" w:hAnsi="宋体" w:eastAsia="宋体" w:cs="Times New Roman"/>
                <w:kern w:val="2"/>
                <w:szCs w:val="21"/>
              </w:rPr>
              <w:t>维保服务工班</w:t>
            </w:r>
          </w:p>
        </w:tc>
        <w:tc>
          <w:tcPr>
            <w:tcW w:w="2554" w:type="pct"/>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top"/>
          </w:tcPr>
          <w:p>
            <w:pPr>
              <w:widowControl w:val="0"/>
              <w:spacing w:before="0" w:after="0" w:afterAutospacing="0" w:line="240" w:lineRule="auto"/>
              <w:ind w:left="0" w:right="0" w:firstLine="0"/>
              <w:rPr>
                <w:rFonts w:hint="eastAsia" w:ascii="宋体" w:hAnsi="宋体" w:eastAsia="宋体" w:cs="Times New Roman"/>
                <w:kern w:val="0"/>
                <w:szCs w:val="21"/>
              </w:rPr>
            </w:pPr>
          </w:p>
        </w:tc>
        <w:tc>
          <w:tcPr>
            <w:tcW w:w="2554" w:type="pct"/>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2554" w:type="pct"/>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widowControl w:val="0"/>
              <w:spacing w:before="0" w:after="0" w:afterAutospacing="0" w:line="240" w:lineRule="auto"/>
              <w:ind w:left="0" w:right="0" w:firstLine="0"/>
              <w:jc w:val="center"/>
              <w:rPr>
                <w:rFonts w:hint="eastAsia" w:ascii="Times New Roman" w:hAnsi="Times New Roman" w:eastAsia="宋体" w:cs="Times New Roman"/>
                <w:kern w:val="2"/>
                <w:szCs w:val="21"/>
              </w:rPr>
            </w:pPr>
          </w:p>
        </w:tc>
        <w:tc>
          <w:tcPr>
            <w:tcW w:w="2554" w:type="pct"/>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noWrap w:val="0"/>
            <w:vAlign w:val="center"/>
          </w:tcPr>
          <w:p>
            <w:pPr>
              <w:keepNext/>
              <w:keepLines/>
              <w:widowControl w:val="0"/>
              <w:numPr>
                <w:ilvl w:val="0"/>
                <w:numId w:val="11"/>
              </w:numPr>
              <w:spacing w:before="240" w:beforeLines="100" w:after="240" w:afterLines="100" w:afterAutospacing="0" w:line="360" w:lineRule="auto"/>
              <w:ind w:left="0" w:right="0" w:firstLine="0"/>
              <w:jc w:val="center"/>
              <w:rPr>
                <w:rFonts w:hint="eastAsia" w:ascii="宋体" w:hAnsi="宋体" w:eastAsia="宋体" w:cs="Times New Roman"/>
                <w:kern w:val="0"/>
                <w:szCs w:val="21"/>
              </w:rPr>
            </w:pPr>
          </w:p>
        </w:tc>
        <w:tc>
          <w:tcPr>
            <w:tcW w:w="2554" w:type="pct"/>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3705" w:type="pct"/>
            <w:gridSpan w:val="2"/>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r>
              <w:rPr>
                <w:rFonts w:hint="eastAsia" w:ascii="宋体" w:hAnsi="宋体" w:eastAsia="宋体" w:cs="Times New Roman"/>
                <w:kern w:val="0"/>
                <w:szCs w:val="21"/>
              </w:rPr>
              <w:t>合计</w:t>
            </w:r>
          </w:p>
        </w:tc>
        <w:tc>
          <w:tcPr>
            <w:tcW w:w="1294" w:type="pct"/>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p>
        </w:tc>
      </w:tr>
    </w:tbl>
    <w:p>
      <w:pPr>
        <w:widowControl w:val="0"/>
        <w:spacing w:before="0" w:after="0" w:afterAutospacing="0" w:line="240" w:lineRule="auto"/>
        <w:ind w:left="479" w:leftChars="220" w:right="-57" w:rightChars="-27" w:hanging="17"/>
        <w:rPr>
          <w:rFonts w:hint="eastAsia" w:ascii="Times New Roman" w:hAnsi="Times New Roman" w:eastAsia="宋体" w:cs="宋体"/>
          <w:kern w:val="2"/>
          <w:szCs w:val="24"/>
          <w:lang w:bidi="ar"/>
        </w:rPr>
      </w:pPr>
    </w:p>
    <w:p>
      <w:pPr>
        <w:widowControl w:val="0"/>
        <w:spacing w:before="0" w:after="0" w:afterAutospacing="0" w:line="240" w:lineRule="auto"/>
        <w:ind w:left="672" w:leftChars="320" w:right="-57" w:rightChars="-27" w:firstLine="5012" w:firstLineChars="2387"/>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val="en-US" w:eastAsia="zh-CN" w:bidi="ar"/>
        </w:rPr>
        <w:t>比选申请</w:t>
      </w:r>
      <w:r>
        <w:rPr>
          <w:rFonts w:hint="eastAsia" w:ascii="Times New Roman" w:hAnsi="Times New Roman" w:eastAsia="宋体" w:cs="宋体"/>
          <w:kern w:val="2"/>
          <w:szCs w:val="24"/>
          <w:lang w:bidi="ar"/>
        </w:rPr>
        <w:t>人：（公章）</w:t>
      </w:r>
      <w:r>
        <w:rPr>
          <w:rFonts w:ascii="Times New Roman" w:hAnsi="Times New Roman" w:eastAsia="宋体" w:cs="Times New Roman"/>
          <w:kern w:val="2"/>
          <w:szCs w:val="24"/>
          <w:lang w:bidi="ar"/>
        </w:rPr>
        <w:t xml:space="preserve"> </w:t>
      </w:r>
    </w:p>
    <w:p>
      <w:pPr>
        <w:widowControl w:val="0"/>
        <w:spacing w:before="0" w:after="0" w:afterAutospacing="0" w:line="240" w:lineRule="auto"/>
        <w:ind w:left="672" w:leftChars="320" w:right="-57" w:rightChars="-27" w:firstLine="5012" w:firstLineChars="2387"/>
        <w:rPr>
          <w:rFonts w:hint="eastAsia" w:ascii="Times New Roman" w:hAnsi="Times New Roman" w:eastAsia="宋体" w:cs="宋体"/>
          <w:kern w:val="2"/>
          <w:szCs w:val="24"/>
          <w:lang w:val="en-US" w:eastAsia="zh-CN" w:bidi="ar"/>
        </w:rPr>
      </w:pPr>
      <w:r>
        <w:rPr>
          <w:rFonts w:hint="eastAsia" w:ascii="Times New Roman" w:hAnsi="Times New Roman" w:eastAsia="宋体" w:cs="宋体"/>
          <w:kern w:val="2"/>
          <w:szCs w:val="24"/>
          <w:lang w:val="en-US" w:eastAsia="zh-CN" w:bidi="ar"/>
        </w:rPr>
        <w:t>法定代表人或其委托代理人：（签字或盖章）</w:t>
      </w:r>
    </w:p>
    <w:p>
      <w:pPr>
        <w:widowControl w:val="0"/>
        <w:spacing w:before="0" w:after="0" w:afterAutospacing="0" w:line="240" w:lineRule="auto"/>
        <w:ind w:left="672" w:leftChars="320" w:right="-57" w:rightChars="-27" w:firstLine="5012" w:firstLineChars="2387"/>
        <w:rPr>
          <w:rFonts w:hint="eastAsia" w:ascii="Times New Roman" w:hAnsi="Times New Roman" w:eastAsia="宋体" w:cs="宋体"/>
          <w:kern w:val="2"/>
          <w:szCs w:val="24"/>
          <w:lang w:val="en-US" w:eastAsia="zh-CN" w:bidi="ar"/>
        </w:rPr>
      </w:pPr>
      <w:r>
        <w:rPr>
          <w:rFonts w:hint="eastAsia" w:ascii="Times New Roman" w:hAnsi="Times New Roman" w:eastAsia="宋体" w:cs="宋体"/>
          <w:kern w:val="2"/>
          <w:szCs w:val="24"/>
          <w:lang w:val="en-US" w:eastAsia="zh-CN" w:bidi="ar"/>
        </w:rPr>
        <w:t>日    期：</w:t>
      </w:r>
    </w:p>
    <w:p>
      <w:pPr>
        <w:pageBreakBefore/>
        <w:widowControl/>
        <w:spacing w:before="0" w:after="0" w:afterAutospacing="0" w:line="360" w:lineRule="auto"/>
        <w:ind w:left="0" w:right="0" w:firstLine="0"/>
        <w:jc w:val="center"/>
        <w:rPr>
          <w:rFonts w:ascii="宋体" w:hAnsi="宋体" w:eastAsia="宋体" w:cs="Times New Roman"/>
          <w:b/>
          <w:kern w:val="2"/>
          <w:sz w:val="24"/>
          <w:szCs w:val="24"/>
        </w:rPr>
      </w:pPr>
      <w:r>
        <w:rPr>
          <w:rFonts w:hint="eastAsia" w:ascii="宋体" w:hAnsi="宋体" w:eastAsia="宋体" w:cs="Times New Roman"/>
          <w:b/>
          <w:kern w:val="2"/>
          <w:sz w:val="24"/>
          <w:szCs w:val="24"/>
        </w:rPr>
        <w:t>主要管理与项目技术人员承诺安排（表二）</w:t>
      </w:r>
    </w:p>
    <w:tbl>
      <w:tblPr>
        <w:tblStyle w:val="3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2257"/>
        <w:gridCol w:w="1358"/>
        <w:gridCol w:w="748"/>
        <w:gridCol w:w="749"/>
        <w:gridCol w:w="999"/>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2257"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职    务</w:t>
            </w:r>
          </w:p>
        </w:tc>
        <w:tc>
          <w:tcPr>
            <w:tcW w:w="1358"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姓 名</w:t>
            </w:r>
          </w:p>
        </w:tc>
        <w:tc>
          <w:tcPr>
            <w:tcW w:w="748"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年龄</w:t>
            </w:r>
          </w:p>
        </w:tc>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性别</w:t>
            </w:r>
          </w:p>
        </w:tc>
        <w:tc>
          <w:tcPr>
            <w:tcW w:w="99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专业</w:t>
            </w:r>
          </w:p>
        </w:tc>
        <w:tc>
          <w:tcPr>
            <w:tcW w:w="1742"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主要资历简述（含职称）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257"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项目经理</w:t>
            </w:r>
          </w:p>
        </w:tc>
        <w:tc>
          <w:tcPr>
            <w:tcW w:w="1358" w:type="dxa"/>
            <w:noWrap w:val="0"/>
            <w:vAlign w:val="center"/>
          </w:tcPr>
          <w:p>
            <w:pPr>
              <w:widowControl w:val="0"/>
              <w:spacing w:before="0" w:after="0" w:afterAutospacing="0" w:line="0" w:lineRule="atLeast"/>
              <w:ind w:left="0" w:right="0" w:firstLine="0"/>
              <w:jc w:val="center"/>
              <w:rPr>
                <w:rFonts w:ascii="宋体" w:hAnsi="宋体" w:eastAsia="宋体" w:cs="Times New Roman"/>
                <w:kern w:val="2"/>
                <w:sz w:val="18"/>
                <w:szCs w:val="18"/>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257" w:type="dxa"/>
            <w:noWrap w:val="0"/>
            <w:vAlign w:val="center"/>
          </w:tcPr>
          <w:p>
            <w:pPr>
              <w:widowControl w:val="0"/>
              <w:spacing w:before="0" w:after="0" w:afterAutospacing="0" w:line="0" w:lineRule="atLeast"/>
              <w:ind w:left="0" w:right="0" w:firstLine="0"/>
              <w:jc w:val="center"/>
              <w:rPr>
                <w:rFonts w:ascii="宋体" w:hAnsi="宋体" w:eastAsia="宋体" w:cs="Times New Roman"/>
                <w:kern w:val="0"/>
                <w:szCs w:val="21"/>
              </w:rPr>
            </w:pPr>
            <w:r>
              <w:rPr>
                <w:rFonts w:hint="eastAsia" w:ascii="宋体" w:hAnsi="宋体" w:eastAsia="宋体" w:cs="Times New Roman"/>
                <w:kern w:val="2"/>
                <w:szCs w:val="21"/>
              </w:rPr>
              <w:t>技术负责人</w:t>
            </w:r>
          </w:p>
        </w:tc>
        <w:tc>
          <w:tcPr>
            <w:tcW w:w="1358" w:type="dxa"/>
            <w:noWrap w:val="0"/>
            <w:vAlign w:val="center"/>
          </w:tcPr>
          <w:p>
            <w:pPr>
              <w:widowControl w:val="0"/>
              <w:spacing w:before="0" w:after="0" w:afterAutospacing="0" w:line="0" w:lineRule="atLeast"/>
              <w:ind w:left="0" w:right="0" w:firstLine="0"/>
              <w:jc w:val="center"/>
              <w:rPr>
                <w:rFonts w:ascii="宋体" w:hAnsi="宋体" w:eastAsia="宋体" w:cs="Times New Roman"/>
                <w:kern w:val="2"/>
                <w:sz w:val="18"/>
                <w:szCs w:val="18"/>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3</w:t>
            </w:r>
          </w:p>
        </w:tc>
        <w:tc>
          <w:tcPr>
            <w:tcW w:w="2257" w:type="dxa"/>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4</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5</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6</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7</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8</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r>
              <w:rPr>
                <w:rFonts w:hint="eastAsia" w:ascii="宋体" w:hAnsi="宋体" w:eastAsia="宋体" w:cs="Times New Roman"/>
                <w:kern w:val="0"/>
                <w:szCs w:val="21"/>
              </w:rPr>
              <w:t>9</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2257"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15</w:t>
            </w:r>
          </w:p>
        </w:tc>
        <w:tc>
          <w:tcPr>
            <w:tcW w:w="2257" w:type="dxa"/>
            <w:noWrap w:val="0"/>
            <w:vAlign w:val="center"/>
          </w:tcPr>
          <w:p>
            <w:pPr>
              <w:widowControl/>
              <w:spacing w:before="0" w:after="0" w:afterAutospacing="0" w:line="240" w:lineRule="auto"/>
              <w:ind w:left="0" w:right="0" w:firstLine="0"/>
              <w:jc w:val="center"/>
              <w:rPr>
                <w:rFonts w:hint="eastAsia" w:ascii="宋体" w:hAnsi="宋体" w:eastAsia="宋体" w:cs="宋体"/>
                <w:color w:val="000000"/>
                <w:kern w:val="0"/>
                <w:szCs w:val="21"/>
              </w:rPr>
            </w:pPr>
          </w:p>
        </w:tc>
        <w:tc>
          <w:tcPr>
            <w:tcW w:w="135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8"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74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999"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c>
          <w:tcPr>
            <w:tcW w:w="1742" w:type="dxa"/>
            <w:noWrap w:val="0"/>
            <w:vAlign w:val="center"/>
          </w:tcPr>
          <w:p>
            <w:pPr>
              <w:widowControl w:val="0"/>
              <w:spacing w:before="0" w:after="0" w:afterAutospacing="0" w:line="240" w:lineRule="auto"/>
              <w:ind w:left="0" w:right="0" w:firstLine="0"/>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 w:hRule="atLeast"/>
        </w:trPr>
        <w:tc>
          <w:tcPr>
            <w:tcW w:w="749" w:type="dxa"/>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r>
              <w:rPr>
                <w:rFonts w:hint="eastAsia" w:ascii="宋体" w:hAnsi="宋体" w:eastAsia="宋体" w:cs="Times New Roman"/>
                <w:kern w:val="0"/>
                <w:szCs w:val="21"/>
              </w:rPr>
              <w:t>16</w:t>
            </w:r>
          </w:p>
        </w:tc>
        <w:tc>
          <w:tcPr>
            <w:tcW w:w="2257" w:type="dxa"/>
            <w:noWrap w:val="0"/>
            <w:vAlign w:val="center"/>
          </w:tcPr>
          <w:p>
            <w:pPr>
              <w:widowControl w:val="0"/>
              <w:spacing w:before="0" w:after="0" w:afterAutospacing="0" w:line="0" w:lineRule="atLeast"/>
              <w:ind w:left="0" w:right="0" w:firstLine="0"/>
              <w:jc w:val="center"/>
              <w:rPr>
                <w:rFonts w:hint="eastAsia" w:ascii="宋体" w:hAnsi="宋体" w:eastAsia="宋体" w:cs="Times New Roman"/>
                <w:kern w:val="0"/>
                <w:szCs w:val="21"/>
              </w:rPr>
            </w:pPr>
            <w:r>
              <w:rPr>
                <w:rFonts w:hint="eastAsia" w:ascii="宋体" w:hAnsi="宋体" w:eastAsia="宋体" w:cs="Times New Roman"/>
                <w:kern w:val="2"/>
                <w:szCs w:val="21"/>
              </w:rPr>
              <w:t>维保服务班组</w:t>
            </w:r>
          </w:p>
        </w:tc>
        <w:tc>
          <w:tcPr>
            <w:tcW w:w="5596" w:type="dxa"/>
            <w:gridSpan w:val="5"/>
            <w:noWrap w:val="0"/>
            <w:vAlign w:val="center"/>
          </w:tcPr>
          <w:p>
            <w:pPr>
              <w:widowControl w:val="0"/>
              <w:spacing w:before="0" w:after="0" w:afterAutospacing="0" w:line="240" w:lineRule="auto"/>
              <w:ind w:left="0" w:right="0" w:firstLine="4200" w:firstLineChars="2000"/>
              <w:rPr>
                <w:rFonts w:ascii="宋体" w:hAnsi="宋体" w:eastAsia="宋体" w:cs="Times New Roman"/>
                <w:kern w:val="0"/>
                <w:szCs w:val="21"/>
              </w:rPr>
            </w:pPr>
            <w:r>
              <w:rPr>
                <w:rFonts w:hint="eastAsia" w:ascii="宋体" w:hAnsi="宋体"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 w:hRule="atLeast"/>
        </w:trPr>
        <w:tc>
          <w:tcPr>
            <w:tcW w:w="749" w:type="dxa"/>
            <w:noWrap w:val="0"/>
            <w:vAlign w:val="center"/>
          </w:tcPr>
          <w:p>
            <w:pPr>
              <w:widowControl w:val="0"/>
              <w:spacing w:before="0" w:after="0" w:afterAutospacing="0" w:line="240" w:lineRule="auto"/>
              <w:ind w:left="0" w:right="0" w:firstLine="0"/>
              <w:jc w:val="center"/>
              <w:rPr>
                <w:rFonts w:ascii="宋体" w:hAnsi="宋体" w:eastAsia="宋体" w:cs="Times New Roman"/>
                <w:kern w:val="0"/>
                <w:szCs w:val="21"/>
              </w:rPr>
            </w:pPr>
            <w:r>
              <w:rPr>
                <w:rFonts w:hint="eastAsia" w:ascii="宋体" w:hAnsi="宋体" w:eastAsia="宋体" w:cs="Times New Roman"/>
                <w:kern w:val="0"/>
                <w:szCs w:val="21"/>
              </w:rPr>
              <w:t>...</w:t>
            </w:r>
          </w:p>
        </w:tc>
        <w:tc>
          <w:tcPr>
            <w:tcW w:w="2257" w:type="dxa"/>
            <w:noWrap w:val="0"/>
            <w:vAlign w:val="center"/>
          </w:tcPr>
          <w:p>
            <w:pPr>
              <w:widowControl w:val="0"/>
              <w:spacing w:before="0" w:after="0" w:afterAutospacing="0" w:line="240" w:lineRule="auto"/>
              <w:ind w:left="0" w:right="0" w:firstLine="0"/>
              <w:jc w:val="center"/>
              <w:rPr>
                <w:rFonts w:hint="eastAsia" w:ascii="宋体" w:hAnsi="宋体" w:eastAsia="宋体" w:cs="Times New Roman"/>
                <w:kern w:val="0"/>
                <w:szCs w:val="21"/>
              </w:rPr>
            </w:pPr>
          </w:p>
        </w:tc>
        <w:tc>
          <w:tcPr>
            <w:tcW w:w="5596" w:type="dxa"/>
            <w:gridSpan w:val="5"/>
            <w:noWrap w:val="0"/>
            <w:vAlign w:val="center"/>
          </w:tcPr>
          <w:p>
            <w:pPr>
              <w:widowControl w:val="0"/>
              <w:spacing w:before="0" w:after="0" w:afterAutospacing="0" w:line="240" w:lineRule="auto"/>
              <w:ind w:left="0" w:right="0" w:firstLine="4200" w:firstLineChars="2000"/>
              <w:rPr>
                <w:rFonts w:hint="eastAsia" w:ascii="宋体" w:hAnsi="宋体" w:eastAsia="宋体" w:cs="Times New Roman"/>
                <w:kern w:val="0"/>
                <w:szCs w:val="21"/>
              </w:rPr>
            </w:pPr>
          </w:p>
        </w:tc>
      </w:tr>
    </w:tbl>
    <w:p>
      <w:pPr>
        <w:widowControl w:val="0"/>
        <w:spacing w:before="0" w:after="0" w:afterAutospacing="0" w:line="240" w:lineRule="auto"/>
        <w:ind w:left="0" w:right="0" w:firstLine="0"/>
        <w:rPr>
          <w:rFonts w:ascii="宋体" w:hAnsi="宋体" w:eastAsia="宋体" w:cs="Times New Roman"/>
          <w:b/>
          <w:bCs/>
          <w:kern w:val="0"/>
          <w:szCs w:val="21"/>
        </w:rPr>
      </w:pPr>
    </w:p>
    <w:p>
      <w:pPr>
        <w:widowControl w:val="0"/>
        <w:spacing w:before="0" w:after="0" w:afterAutospacing="0" w:line="240" w:lineRule="auto"/>
        <w:ind w:left="0" w:right="0" w:firstLine="0"/>
        <w:rPr>
          <w:rFonts w:ascii="宋体" w:hAnsi="宋体" w:eastAsia="宋体" w:cs="Times New Roman"/>
          <w:b/>
          <w:kern w:val="0"/>
          <w:szCs w:val="21"/>
        </w:rPr>
      </w:pPr>
      <w:r>
        <w:rPr>
          <w:rFonts w:ascii="宋体" w:hAnsi="宋体" w:eastAsia="宋体" w:cs="Times New Roman"/>
          <w:b/>
          <w:bCs/>
          <w:kern w:val="0"/>
          <w:szCs w:val="21"/>
        </w:rPr>
        <w:t>注：</w:t>
      </w:r>
      <w:r>
        <w:rPr>
          <w:rFonts w:hint="eastAsia" w:ascii="宋体" w:hAnsi="宋体" w:eastAsia="宋体" w:cs="Times New Roman"/>
          <w:bCs/>
          <w:kern w:val="0"/>
          <w:szCs w:val="21"/>
        </w:rPr>
        <w:t>1、</w:t>
      </w:r>
      <w:r>
        <w:rPr>
          <w:rFonts w:hint="eastAsia" w:ascii="Times New Roman" w:hAnsi="Times New Roman" w:eastAsia="宋体" w:cs="宋体"/>
          <w:kern w:val="2"/>
          <w:szCs w:val="24"/>
          <w:lang w:val="en-US" w:eastAsia="zh-CN" w:bidi="ar"/>
        </w:rPr>
        <w:t>比选申请</w:t>
      </w:r>
      <w:r>
        <w:rPr>
          <w:rFonts w:hint="eastAsia" w:ascii="宋体" w:hAnsi="宋体" w:eastAsia="宋体" w:cs="Times New Roman"/>
          <w:bCs/>
          <w:kern w:val="0"/>
          <w:szCs w:val="21"/>
        </w:rPr>
        <w:t>人应按照</w:t>
      </w:r>
      <w:r>
        <w:rPr>
          <w:rFonts w:hint="eastAsia" w:ascii="宋体" w:hAnsi="宋体" w:eastAsia="宋体" w:cs="Times New Roman"/>
          <w:bCs/>
          <w:kern w:val="0"/>
          <w:szCs w:val="21"/>
          <w:lang w:eastAsia="zh-CN"/>
        </w:rPr>
        <w:t>第五章</w:t>
      </w:r>
      <w:r>
        <w:rPr>
          <w:rFonts w:hint="eastAsia" w:ascii="宋体" w:hAnsi="宋体" w:eastAsia="宋体" w:cs="Times New Roman"/>
          <w:bCs/>
          <w:kern w:val="0"/>
          <w:szCs w:val="21"/>
        </w:rPr>
        <w:t>用户需求书配置以上人员并附上述人员的学历证书（如有）、职称证书（如有）、资格证书（如有）、与</w:t>
      </w:r>
      <w:r>
        <w:rPr>
          <w:rFonts w:hint="eastAsia" w:ascii="宋体" w:hAnsi="宋体" w:cs="宋体"/>
          <w:color w:val="000000"/>
          <w:kern w:val="0"/>
          <w:sz w:val="21"/>
          <w:szCs w:val="21"/>
          <w:lang w:val="en-US" w:eastAsia="zh-CN" w:bidi="ar"/>
        </w:rPr>
        <w:t>比选申请</w:t>
      </w:r>
      <w:r>
        <w:rPr>
          <w:rFonts w:hint="eastAsia" w:ascii="宋体" w:hAnsi="宋体" w:eastAsia="宋体" w:cs="Times New Roman"/>
          <w:bCs/>
          <w:kern w:val="0"/>
          <w:szCs w:val="21"/>
        </w:rPr>
        <w:t>人签订的劳动合同（如有）等资料复印件（检修人员除</w:t>
      </w:r>
      <w:r>
        <w:rPr>
          <w:rFonts w:hint="eastAsia" w:ascii="宋体" w:hAnsi="宋体" w:eastAsia="宋体" w:cs="Times New Roman"/>
          <w:kern w:val="0"/>
          <w:szCs w:val="21"/>
        </w:rPr>
        <w:t>外）。</w:t>
      </w:r>
    </w:p>
    <w:p>
      <w:pPr>
        <w:widowControl w:val="0"/>
        <w:spacing w:before="0" w:after="0" w:afterAutospacing="0" w:line="360" w:lineRule="auto"/>
        <w:ind w:left="0" w:right="0" w:firstLine="420" w:firstLineChars="200"/>
        <w:rPr>
          <w:rFonts w:ascii="宋体" w:hAnsi="宋体" w:eastAsia="宋体" w:cs="Times New Roman"/>
          <w:bCs/>
          <w:kern w:val="0"/>
          <w:szCs w:val="21"/>
        </w:rPr>
      </w:pPr>
      <w:r>
        <w:rPr>
          <w:rFonts w:hint="eastAsia" w:ascii="宋体" w:hAnsi="宋体" w:eastAsia="宋体" w:cs="Times New Roman"/>
          <w:bCs/>
          <w:kern w:val="0"/>
          <w:szCs w:val="21"/>
        </w:rPr>
        <w:t>2、上述人员必须常驻项目部，如有违反，甲方有权随时解除合同并没收履约保证金。</w:t>
      </w:r>
    </w:p>
    <w:p>
      <w:pPr>
        <w:widowControl w:val="0"/>
        <w:spacing w:before="0" w:after="0" w:afterAutospacing="0" w:line="360" w:lineRule="auto"/>
        <w:ind w:left="0" w:right="0" w:firstLine="0"/>
        <w:rPr>
          <w:rFonts w:ascii="宋体" w:hAnsi="宋体" w:eastAsia="宋体" w:cs="Times New Roman"/>
          <w:kern w:val="0"/>
          <w:szCs w:val="21"/>
        </w:rPr>
      </w:pPr>
    </w:p>
    <w:p>
      <w:pPr>
        <w:widowControl w:val="0"/>
        <w:spacing w:before="120" w:beforeLines="50" w:after="0" w:afterAutospacing="0" w:line="360" w:lineRule="auto"/>
        <w:ind w:left="420" w:leftChars="200" w:right="-57" w:rightChars="-27" w:firstLine="4830" w:firstLineChars="23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val="en-US" w:eastAsia="zh-CN" w:bidi="ar"/>
        </w:rPr>
        <w:t>比选申请</w:t>
      </w:r>
      <w:r>
        <w:rPr>
          <w:rFonts w:hint="eastAsia" w:ascii="Times New Roman" w:hAnsi="Times New Roman" w:eastAsia="宋体" w:cs="宋体"/>
          <w:kern w:val="2"/>
          <w:szCs w:val="24"/>
          <w:lang w:bidi="ar"/>
        </w:rPr>
        <w:t>人：（公章）</w:t>
      </w:r>
      <w:r>
        <w:rPr>
          <w:rFonts w:ascii="Times New Roman" w:hAnsi="Times New Roman" w:eastAsia="宋体" w:cs="Times New Roman"/>
          <w:kern w:val="2"/>
          <w:szCs w:val="24"/>
          <w:lang w:bidi="ar"/>
        </w:rPr>
        <w:t xml:space="preserve"> </w:t>
      </w:r>
    </w:p>
    <w:p>
      <w:pPr>
        <w:widowControl w:val="0"/>
        <w:spacing w:before="120" w:beforeLines="50" w:after="0" w:afterAutospacing="0" w:line="360" w:lineRule="auto"/>
        <w:ind w:left="420" w:leftChars="200" w:right="-57" w:rightChars="-27" w:firstLine="4830" w:firstLineChars="23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bidi="ar"/>
        </w:rPr>
        <w:t>法定代表人或其委托代理人：（签字或盖章）</w:t>
      </w:r>
    </w:p>
    <w:p>
      <w:pPr>
        <w:widowControl w:val="0"/>
        <w:spacing w:before="120" w:beforeLines="50" w:after="0" w:afterAutospacing="0" w:line="360" w:lineRule="auto"/>
        <w:ind w:left="420" w:leftChars="200" w:right="-57" w:rightChars="-27" w:firstLine="4830" w:firstLineChars="2300"/>
        <w:jc w:val="left"/>
        <w:rPr>
          <w:rFonts w:ascii="Times New Roman" w:hAnsi="Times New Roman" w:eastAsia="Times New Roman" w:cs="Times New Roman"/>
          <w:kern w:val="0"/>
          <w:sz w:val="24"/>
          <w:szCs w:val="24"/>
        </w:rPr>
      </w:pPr>
      <w:r>
        <w:rPr>
          <w:rFonts w:hint="eastAsia" w:ascii="Times New Roman" w:hAnsi="Times New Roman" w:eastAsia="宋体" w:cs="宋体"/>
          <w:kern w:val="2"/>
          <w:szCs w:val="24"/>
          <w:lang w:bidi="ar"/>
        </w:rPr>
        <w:t>日</w:t>
      </w:r>
      <w:r>
        <w:rPr>
          <w:rFonts w:ascii="Times New Roman" w:hAnsi="Times New Roman" w:eastAsia="宋体" w:cs="Times New Roman"/>
          <w:kern w:val="2"/>
          <w:szCs w:val="24"/>
          <w:lang w:bidi="ar"/>
        </w:rPr>
        <w:t xml:space="preserve">    </w:t>
      </w:r>
      <w:r>
        <w:rPr>
          <w:rFonts w:hint="eastAsia" w:ascii="Times New Roman" w:hAnsi="Times New Roman" w:eastAsia="宋体" w:cs="宋体"/>
          <w:kern w:val="2"/>
          <w:szCs w:val="24"/>
          <w:lang w:bidi="ar"/>
        </w:rPr>
        <w:t>期：</w:t>
      </w:r>
    </w:p>
    <w:p>
      <w:pPr>
        <w:widowControl/>
        <w:spacing w:before="0" w:after="0" w:afterAutospacing="0" w:line="240" w:lineRule="auto"/>
        <w:ind w:left="0" w:right="0" w:firstLine="0"/>
        <w:jc w:val="left"/>
        <w:rPr>
          <w:rFonts w:ascii="宋体" w:hAnsi="宋体" w:eastAsia="宋体" w:cs="Times New Roman"/>
          <w:b/>
          <w:kern w:val="0"/>
          <w:sz w:val="24"/>
          <w:szCs w:val="24"/>
        </w:rPr>
      </w:pPr>
    </w:p>
    <w:p>
      <w:pPr>
        <w:widowControl/>
        <w:spacing w:before="0" w:after="0" w:afterAutospacing="0" w:line="240" w:lineRule="auto"/>
        <w:ind w:left="0" w:right="0" w:firstLine="0"/>
        <w:jc w:val="left"/>
        <w:rPr>
          <w:rFonts w:ascii="宋体" w:hAnsi="宋体" w:eastAsia="宋体" w:cs="Times New Roman"/>
          <w:b/>
          <w:kern w:val="0"/>
          <w:sz w:val="24"/>
          <w:szCs w:val="24"/>
        </w:rPr>
      </w:pPr>
    </w:p>
    <w:p>
      <w:pPr>
        <w:widowControl/>
        <w:spacing w:before="0" w:after="0" w:afterAutospacing="0" w:line="240" w:lineRule="auto"/>
        <w:ind w:left="0" w:right="0" w:firstLine="0"/>
        <w:jc w:val="left"/>
        <w:rPr>
          <w:rFonts w:ascii="宋体" w:hAnsi="宋体" w:eastAsia="宋体" w:cs="Times New Roman"/>
          <w:b/>
          <w:kern w:val="0"/>
          <w:sz w:val="24"/>
          <w:szCs w:val="24"/>
        </w:rPr>
      </w:pPr>
    </w:p>
    <w:p>
      <w:pPr>
        <w:widowControl/>
        <w:jc w:val="left"/>
        <w:rPr>
          <w:rFonts w:ascii="宋体" w:hAnsi="宋体"/>
          <w:b/>
          <w:kern w:val="0"/>
          <w:sz w:val="24"/>
        </w:rPr>
        <w:sectPr>
          <w:pgSz w:w="11905" w:h="16838"/>
          <w:pgMar w:top="1327" w:right="1083" w:bottom="1327" w:left="1083" w:header="850" w:footer="992" w:gutter="0"/>
          <w:pgBorders>
            <w:top w:val="none" w:sz="0" w:space="0"/>
            <w:left w:val="none" w:sz="0" w:space="0"/>
            <w:bottom w:val="none" w:sz="0" w:space="0"/>
            <w:right w:val="none" w:sz="0" w:space="0"/>
          </w:pgBorders>
          <w:pgNumType w:fmt="decimal"/>
          <w:cols w:space="720" w:num="1"/>
          <w:rtlGutter w:val="0"/>
          <w:docGrid w:type="lines" w:linePitch="317" w:charSpace="0"/>
        </w:sectPr>
      </w:pPr>
    </w:p>
    <w:p>
      <w:pPr>
        <w:keepNext/>
        <w:keepLines/>
        <w:widowControl w:val="0"/>
        <w:spacing w:before="0" w:after="0" w:afterAutospacing="0" w:line="480" w:lineRule="auto"/>
        <w:ind w:left="0" w:right="0" w:firstLine="0"/>
        <w:outlineLvl w:val="3"/>
        <w:rPr>
          <w:rFonts w:hint="eastAsia" w:ascii="宋体" w:hAnsi="宋体" w:eastAsia="宋体" w:cs="Times New Roman"/>
          <w:bCs/>
          <w:kern w:val="2"/>
          <w:szCs w:val="21"/>
          <w:lang w:val="en-US" w:eastAsia="zh-CN"/>
        </w:rPr>
      </w:pPr>
      <w:r>
        <w:rPr>
          <w:rFonts w:hint="eastAsia" w:ascii="宋体" w:hAnsi="宋体" w:eastAsia="宋体" w:cs="Times New Roman"/>
          <w:b/>
          <w:kern w:val="2"/>
          <w:szCs w:val="28"/>
          <w:lang w:val="en-US" w:eastAsia="zh-CN"/>
        </w:rPr>
        <w:t>C</w:t>
      </w:r>
      <w:r>
        <w:rPr>
          <w:rFonts w:ascii="宋体" w:hAnsi="宋体" w:eastAsia="宋体" w:cs="Times New Roman"/>
          <w:b/>
          <w:kern w:val="2"/>
          <w:szCs w:val="28"/>
        </w:rPr>
        <w:t>3</w:t>
      </w:r>
      <w:r>
        <w:rPr>
          <w:rFonts w:hint="eastAsia" w:ascii="宋体" w:hAnsi="宋体" w:eastAsia="宋体" w:cs="Times New Roman"/>
          <w:b/>
          <w:kern w:val="2"/>
          <w:szCs w:val="28"/>
        </w:rPr>
        <w:t>：</w:t>
      </w:r>
      <w:r>
        <w:rPr>
          <w:rFonts w:hint="eastAsia" w:ascii="宋体" w:hAnsi="宋体" w:eastAsia="宋体" w:cs="Times New Roman"/>
          <w:b/>
          <w:bCs/>
          <w:kern w:val="2"/>
          <w:szCs w:val="21"/>
        </w:rPr>
        <w:t>技术条款响应表</w:t>
      </w:r>
      <w:r>
        <w:rPr>
          <w:rFonts w:hint="eastAsia" w:ascii="宋体" w:hAnsi="宋体" w:cs="Times New Roman"/>
          <w:b/>
          <w:bCs/>
          <w:kern w:val="2"/>
          <w:szCs w:val="21"/>
          <w:lang w:val="en-US" w:eastAsia="zh-CN"/>
        </w:rPr>
        <w:t>格式</w:t>
      </w:r>
    </w:p>
    <w:p>
      <w:pPr>
        <w:widowControl w:val="0"/>
        <w:spacing w:before="0" w:after="0" w:afterAutospacing="0" w:line="360" w:lineRule="auto"/>
        <w:ind w:left="0" w:right="0" w:firstLine="0"/>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技术条款响应表</w:t>
      </w:r>
    </w:p>
    <w:tbl>
      <w:tblPr>
        <w:tblStyle w:val="31"/>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4"/>
        <w:gridCol w:w="1387"/>
        <w:gridCol w:w="1727"/>
        <w:gridCol w:w="17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406"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rPr>
              <w:t>序号</w:t>
            </w:r>
          </w:p>
        </w:tc>
        <w:tc>
          <w:tcPr>
            <w:tcW w:w="800"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lang w:val="en-US" w:eastAsia="zh-CN"/>
              </w:rPr>
              <w:t>比选</w:t>
            </w:r>
            <w:r>
              <w:rPr>
                <w:rFonts w:hint="eastAsia" w:ascii="Arial" w:hAnsi="Arial" w:eastAsia="宋体" w:cs="Arial"/>
                <w:b/>
                <w:kern w:val="2"/>
                <w:szCs w:val="21"/>
              </w:rPr>
              <w:t>文件</w:t>
            </w:r>
          </w:p>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rPr>
              <w:t>条目号</w:t>
            </w:r>
          </w:p>
        </w:tc>
        <w:tc>
          <w:tcPr>
            <w:tcW w:w="996"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cs="宋体"/>
                <w:b/>
                <w:bCs/>
                <w:color w:val="auto"/>
                <w:kern w:val="2"/>
                <w:szCs w:val="21"/>
                <w:highlight w:val="none"/>
                <w:lang w:val="en-US" w:eastAsia="zh-CN" w:bidi="ar"/>
              </w:rPr>
              <w:t>比选</w:t>
            </w:r>
            <w:r>
              <w:rPr>
                <w:rFonts w:hint="eastAsia" w:ascii="Arial" w:hAnsi="Arial" w:eastAsia="宋体" w:cs="Arial"/>
                <w:b/>
                <w:bCs/>
                <w:kern w:val="2"/>
                <w:szCs w:val="21"/>
              </w:rPr>
              <w:t>文件</w:t>
            </w:r>
            <w:r>
              <w:rPr>
                <w:rFonts w:hint="eastAsia" w:ascii="Arial" w:hAnsi="Arial" w:eastAsia="宋体" w:cs="Arial"/>
                <w:b/>
                <w:kern w:val="2"/>
                <w:szCs w:val="21"/>
              </w:rPr>
              <w:t>要求</w:t>
            </w:r>
          </w:p>
        </w:tc>
        <w:tc>
          <w:tcPr>
            <w:tcW w:w="1000"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宋体" w:hAnsi="宋体" w:cs="宋体"/>
                <w:b/>
                <w:bCs/>
                <w:color w:val="000000"/>
                <w:kern w:val="0"/>
                <w:sz w:val="21"/>
                <w:szCs w:val="21"/>
                <w:lang w:val="en-US" w:eastAsia="zh-CN" w:bidi="ar"/>
              </w:rPr>
              <w:t>比选申请</w:t>
            </w:r>
            <w:r>
              <w:rPr>
                <w:rFonts w:hint="eastAsia" w:ascii="Arial" w:hAnsi="Arial" w:eastAsia="宋体" w:cs="Arial"/>
                <w:b/>
                <w:kern w:val="2"/>
                <w:szCs w:val="21"/>
              </w:rPr>
              <w:t>文件</w:t>
            </w:r>
          </w:p>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rPr>
              <w:t>响应</w:t>
            </w:r>
          </w:p>
        </w:tc>
        <w:tc>
          <w:tcPr>
            <w:tcW w:w="899"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rPr>
              <w:t>偏离</w:t>
            </w:r>
          </w:p>
        </w:tc>
        <w:tc>
          <w:tcPr>
            <w:tcW w:w="899" w:type="pct"/>
            <w:noWrap w:val="0"/>
            <w:vAlign w:val="center"/>
          </w:tcPr>
          <w:p>
            <w:pPr>
              <w:widowControl w:val="0"/>
              <w:adjustRightInd w:val="0"/>
              <w:spacing w:before="0" w:after="0" w:afterAutospacing="0" w:line="240" w:lineRule="auto"/>
              <w:ind w:left="0" w:right="0" w:firstLine="0"/>
              <w:jc w:val="center"/>
              <w:rPr>
                <w:rFonts w:ascii="Arial" w:hAnsi="Arial" w:eastAsia="宋体" w:cs="Arial"/>
                <w:b/>
                <w:kern w:val="2"/>
                <w:szCs w:val="21"/>
              </w:rPr>
            </w:pPr>
            <w:r>
              <w:rPr>
                <w:rFonts w:hint="eastAsia" w:ascii="Arial" w:hAnsi="Arial" w:eastAsia="宋体" w:cs="Arial"/>
                <w:b/>
                <w:kern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99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10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top"/>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99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10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top"/>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99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10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top"/>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99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10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top"/>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996"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1000"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center"/>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c>
          <w:tcPr>
            <w:tcW w:w="899" w:type="pct"/>
            <w:noWrap w:val="0"/>
            <w:vAlign w:val="top"/>
          </w:tcPr>
          <w:p>
            <w:pPr>
              <w:widowControl w:val="0"/>
              <w:adjustRightInd w:val="0"/>
              <w:spacing w:before="0" w:after="0" w:afterAutospacing="0" w:line="440" w:lineRule="exact"/>
              <w:ind w:left="0" w:right="0" w:firstLine="0"/>
              <w:jc w:val="center"/>
              <w:rPr>
                <w:rFonts w:ascii="Arial" w:hAnsi="Arial" w:eastAsia="宋体"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5000" w:type="pct"/>
            <w:gridSpan w:val="6"/>
            <w:noWrap w:val="0"/>
            <w:vAlign w:val="center"/>
          </w:tcPr>
          <w:p>
            <w:pPr>
              <w:widowControl w:val="0"/>
              <w:spacing w:before="0" w:after="0" w:afterAutospacing="0" w:line="440" w:lineRule="exact"/>
              <w:ind w:left="0" w:right="0" w:firstLine="0"/>
              <w:rPr>
                <w:rFonts w:ascii="Arial" w:hAnsi="Arial" w:eastAsia="宋体" w:cs="Arial"/>
                <w:kern w:val="2"/>
                <w:szCs w:val="21"/>
              </w:rPr>
            </w:pPr>
            <w:r>
              <w:rPr>
                <w:rFonts w:hint="eastAsia" w:ascii="Arial" w:hAnsi="Arial" w:eastAsia="宋体" w:cs="Arial"/>
                <w:kern w:val="2"/>
                <w:szCs w:val="21"/>
              </w:rPr>
              <w:t>我方确认：除了表中所列的条款外，我方的</w:t>
            </w:r>
            <w:r>
              <w:rPr>
                <w:rFonts w:hint="eastAsia" w:ascii="宋体" w:hAnsi="宋体" w:cs="宋体"/>
                <w:color w:val="000000"/>
                <w:kern w:val="0"/>
                <w:sz w:val="21"/>
                <w:szCs w:val="21"/>
                <w:lang w:val="en-US" w:eastAsia="zh-CN" w:bidi="ar"/>
              </w:rPr>
              <w:t>比选申请</w:t>
            </w:r>
            <w:r>
              <w:rPr>
                <w:rFonts w:hint="eastAsia" w:ascii="Arial" w:hAnsi="Arial" w:eastAsia="宋体" w:cs="Arial"/>
                <w:kern w:val="2"/>
                <w:szCs w:val="21"/>
              </w:rPr>
              <w:t>函将依从</w:t>
            </w:r>
            <w:r>
              <w:rPr>
                <w:rFonts w:hint="eastAsia" w:cs="宋体"/>
                <w:color w:val="auto"/>
                <w:kern w:val="2"/>
                <w:szCs w:val="21"/>
                <w:highlight w:val="none"/>
                <w:lang w:val="en-US" w:eastAsia="zh-CN" w:bidi="ar"/>
              </w:rPr>
              <w:t>比选</w:t>
            </w:r>
            <w:r>
              <w:rPr>
                <w:rFonts w:hint="eastAsia" w:ascii="Arial" w:hAnsi="Arial" w:eastAsia="宋体" w:cs="Arial"/>
                <w:kern w:val="2"/>
                <w:szCs w:val="21"/>
              </w:rPr>
              <w:t>文件对于技术的全部要求和规定。</w:t>
            </w:r>
          </w:p>
        </w:tc>
      </w:tr>
    </w:tbl>
    <w:p>
      <w:pPr>
        <w:widowControl w:val="0"/>
        <w:tabs>
          <w:tab w:val="left" w:pos="9120"/>
        </w:tabs>
        <w:spacing w:before="0" w:after="0" w:afterAutospacing="0" w:line="240" w:lineRule="auto"/>
        <w:ind w:left="0" w:right="0" w:firstLine="420" w:firstLineChars="200"/>
        <w:rPr>
          <w:rFonts w:ascii="宋体" w:hAnsi="宋体" w:eastAsia="宋体" w:cs="Arial"/>
          <w:kern w:val="2"/>
          <w:szCs w:val="24"/>
        </w:rPr>
      </w:pPr>
      <w:r>
        <w:rPr>
          <w:rFonts w:hint="eastAsia" w:ascii="宋体" w:hAnsi="宋体" w:eastAsia="宋体" w:cs="Arial"/>
          <w:kern w:val="2"/>
          <w:szCs w:val="24"/>
        </w:rPr>
        <w:t>注：</w:t>
      </w:r>
    </w:p>
    <w:p>
      <w:pPr>
        <w:widowControl w:val="0"/>
        <w:tabs>
          <w:tab w:val="left" w:pos="9120"/>
        </w:tabs>
        <w:spacing w:before="0" w:after="0" w:afterAutospacing="0" w:line="360" w:lineRule="auto"/>
        <w:ind w:left="0" w:right="0" w:firstLine="420" w:firstLineChars="200"/>
        <w:rPr>
          <w:rFonts w:ascii="宋体" w:hAnsi="宋体" w:eastAsia="宋体" w:cs="Arial"/>
          <w:kern w:val="0"/>
          <w:szCs w:val="24"/>
        </w:rPr>
      </w:pPr>
      <w:r>
        <w:rPr>
          <w:rFonts w:hint="eastAsia" w:ascii="宋体" w:hAnsi="宋体" w:eastAsia="宋体" w:cs="Arial"/>
          <w:kern w:val="2"/>
          <w:szCs w:val="24"/>
        </w:rPr>
        <w:t>1、</w:t>
      </w:r>
      <w:r>
        <w:rPr>
          <w:rFonts w:hint="eastAsia" w:ascii="宋体" w:hAnsi="宋体" w:eastAsia="宋体" w:cs="Arial"/>
          <w:kern w:val="0"/>
          <w:szCs w:val="24"/>
          <w:lang w:val="en-US" w:eastAsia="zh-CN"/>
        </w:rPr>
        <w:t>比选申请</w:t>
      </w:r>
      <w:r>
        <w:rPr>
          <w:rFonts w:hint="eastAsia" w:ascii="宋体" w:hAnsi="宋体" w:eastAsia="宋体" w:cs="Arial"/>
          <w:kern w:val="0"/>
          <w:szCs w:val="24"/>
        </w:rPr>
        <w:t>人必须仔细阅读</w:t>
      </w:r>
      <w:r>
        <w:rPr>
          <w:rFonts w:hint="eastAsia" w:cs="宋体"/>
          <w:color w:val="auto"/>
          <w:kern w:val="2"/>
          <w:szCs w:val="21"/>
          <w:highlight w:val="none"/>
          <w:lang w:val="en-US" w:eastAsia="zh-CN" w:bidi="ar"/>
        </w:rPr>
        <w:t>比选</w:t>
      </w:r>
      <w:r>
        <w:rPr>
          <w:rFonts w:hint="eastAsia" w:ascii="宋体" w:hAnsi="宋体" w:eastAsia="宋体" w:cs="Arial"/>
          <w:kern w:val="0"/>
          <w:szCs w:val="24"/>
        </w:rPr>
        <w:t>文件所有条款，并对所有偏离的条目列入上表，未列入上表的视作</w:t>
      </w:r>
      <w:r>
        <w:rPr>
          <w:rFonts w:hint="eastAsia" w:ascii="宋体" w:hAnsi="宋体" w:cs="宋体"/>
          <w:color w:val="000000"/>
          <w:kern w:val="0"/>
          <w:sz w:val="21"/>
          <w:szCs w:val="21"/>
          <w:lang w:val="en-US" w:eastAsia="zh-CN" w:bidi="ar"/>
        </w:rPr>
        <w:t>比选申请</w:t>
      </w:r>
      <w:r>
        <w:rPr>
          <w:rFonts w:hint="eastAsia" w:ascii="宋体" w:hAnsi="宋体" w:eastAsia="宋体" w:cs="Arial"/>
          <w:kern w:val="0"/>
          <w:szCs w:val="24"/>
        </w:rPr>
        <w:t>人完全接受。</w:t>
      </w:r>
    </w:p>
    <w:p>
      <w:pPr>
        <w:widowControl w:val="0"/>
        <w:tabs>
          <w:tab w:val="left" w:pos="9120"/>
        </w:tabs>
        <w:spacing w:before="0" w:after="0" w:afterAutospacing="0" w:line="360" w:lineRule="auto"/>
        <w:ind w:left="0" w:right="0" w:firstLine="420" w:firstLineChars="200"/>
        <w:rPr>
          <w:rFonts w:ascii="宋体" w:hAnsi="宋体" w:eastAsia="宋体" w:cs="Arial"/>
          <w:b/>
          <w:kern w:val="2"/>
          <w:szCs w:val="24"/>
        </w:rPr>
      </w:pPr>
      <w:r>
        <w:rPr>
          <w:rFonts w:hint="eastAsia" w:ascii="宋体" w:hAnsi="宋体" w:eastAsia="宋体" w:cs="Arial"/>
          <w:kern w:val="0"/>
          <w:szCs w:val="24"/>
        </w:rPr>
        <w:t>2、</w:t>
      </w:r>
      <w:r>
        <w:rPr>
          <w:rFonts w:hint="eastAsia" w:ascii="宋体" w:hAnsi="宋体" w:eastAsia="宋体" w:cs="Arial"/>
          <w:kern w:val="0"/>
          <w:szCs w:val="24"/>
          <w:lang w:val="en-US" w:eastAsia="zh-CN"/>
        </w:rPr>
        <w:t>比选申请</w:t>
      </w:r>
      <w:r>
        <w:rPr>
          <w:rFonts w:hint="eastAsia" w:ascii="宋体" w:hAnsi="宋体" w:eastAsia="宋体" w:cs="Arial"/>
          <w:kern w:val="0"/>
          <w:szCs w:val="24"/>
        </w:rPr>
        <w:t>人如无偏离，可在上表空格中填写内容 “/”或者“完全响应”表示。</w:t>
      </w:r>
    </w:p>
    <w:p>
      <w:pPr>
        <w:widowControl w:val="0"/>
        <w:tabs>
          <w:tab w:val="left" w:pos="9120"/>
        </w:tabs>
        <w:spacing w:before="0" w:after="0" w:afterAutospacing="0" w:line="360" w:lineRule="auto"/>
        <w:ind w:left="420" w:leftChars="200" w:right="0" w:firstLine="0"/>
        <w:jc w:val="left"/>
        <w:rPr>
          <w:rFonts w:ascii="宋体" w:hAnsi="宋体" w:eastAsia="宋体" w:cs="Arial"/>
          <w:b/>
          <w:kern w:val="2"/>
          <w:szCs w:val="21"/>
        </w:rPr>
      </w:pPr>
    </w:p>
    <w:p>
      <w:pPr>
        <w:widowControl w:val="0"/>
        <w:spacing w:before="120" w:beforeLines="50" w:after="0" w:afterAutospacing="0" w:line="360" w:lineRule="auto"/>
        <w:ind w:left="840" w:leftChars="400" w:right="-57" w:rightChars="-27" w:firstLine="4113" w:firstLineChars="1959"/>
        <w:jc w:val="left"/>
        <w:rPr>
          <w:rFonts w:ascii="宋体" w:hAnsi="宋体" w:eastAsia="宋体" w:cs="Times New Roman"/>
          <w:kern w:val="0"/>
          <w:sz w:val="24"/>
          <w:szCs w:val="24"/>
        </w:rPr>
      </w:pPr>
      <w:r>
        <w:rPr>
          <w:rFonts w:hint="eastAsia" w:ascii="宋体" w:hAnsi="宋体" w:eastAsia="宋体" w:cs="Arial"/>
          <w:kern w:val="0"/>
          <w:szCs w:val="24"/>
          <w:lang w:val="en-US" w:eastAsia="zh-CN"/>
        </w:rPr>
        <w:t>比选申请</w:t>
      </w:r>
      <w:r>
        <w:rPr>
          <w:rFonts w:hint="eastAsia" w:ascii="宋体" w:hAnsi="宋体" w:eastAsia="宋体" w:cs="宋体"/>
          <w:kern w:val="2"/>
          <w:szCs w:val="24"/>
          <w:lang w:bidi="ar"/>
        </w:rPr>
        <w:t>人：（公章）</w:t>
      </w:r>
      <w:r>
        <w:rPr>
          <w:rFonts w:ascii="宋体" w:hAnsi="宋体" w:eastAsia="宋体" w:cs="Times New Roman"/>
          <w:kern w:val="2"/>
          <w:szCs w:val="24"/>
          <w:lang w:bidi="ar"/>
        </w:rPr>
        <w:t xml:space="preserve"> </w:t>
      </w:r>
    </w:p>
    <w:p>
      <w:pPr>
        <w:widowControl w:val="0"/>
        <w:spacing w:before="120" w:beforeLines="50" w:after="0" w:afterAutospacing="0" w:line="360" w:lineRule="auto"/>
        <w:ind w:left="840" w:leftChars="400" w:right="-57" w:rightChars="-27" w:firstLine="4113" w:firstLineChars="1959"/>
        <w:jc w:val="left"/>
        <w:rPr>
          <w:rFonts w:hint="eastAsia" w:ascii="宋体" w:hAnsi="宋体" w:eastAsia="宋体" w:cs="Arial"/>
          <w:kern w:val="0"/>
          <w:szCs w:val="24"/>
          <w:lang w:val="en-US" w:eastAsia="zh-CN"/>
        </w:rPr>
      </w:pPr>
      <w:r>
        <w:rPr>
          <w:rFonts w:hint="eastAsia" w:ascii="宋体" w:hAnsi="宋体" w:eastAsia="宋体" w:cs="Arial"/>
          <w:kern w:val="0"/>
          <w:szCs w:val="24"/>
          <w:lang w:val="en-US" w:eastAsia="zh-CN"/>
        </w:rPr>
        <w:t>法定代表人或其委托代理人：（签字或盖章）</w:t>
      </w:r>
    </w:p>
    <w:p>
      <w:pPr>
        <w:widowControl w:val="0"/>
        <w:spacing w:before="120" w:beforeLines="50" w:after="0" w:afterAutospacing="0" w:line="360" w:lineRule="auto"/>
        <w:ind w:left="840" w:leftChars="400" w:right="-57" w:rightChars="-27" w:firstLine="4113" w:firstLineChars="1959"/>
        <w:jc w:val="left"/>
        <w:rPr>
          <w:rFonts w:hint="eastAsia" w:ascii="宋体" w:hAnsi="宋体" w:eastAsia="宋体" w:cs="Arial"/>
          <w:kern w:val="0"/>
          <w:szCs w:val="24"/>
          <w:lang w:val="en-US" w:eastAsia="zh-CN"/>
        </w:rPr>
        <w:sectPr>
          <w:footerReference r:id="rId11" w:type="default"/>
          <w:pgSz w:w="11906" w:h="16838"/>
          <w:pgMar w:top="1417" w:right="1417" w:bottom="1417" w:left="1701" w:header="851" w:footer="992" w:gutter="0"/>
          <w:pgBorders>
            <w:top w:val="none" w:sz="0" w:space="0"/>
            <w:left w:val="none" w:sz="0" w:space="0"/>
            <w:bottom w:val="none" w:sz="0" w:space="0"/>
            <w:right w:val="none" w:sz="0" w:space="0"/>
          </w:pgBorders>
          <w:pgNumType w:fmt="decimal"/>
          <w:cols w:space="425" w:num="1"/>
          <w:docGrid w:type="lines" w:linePitch="333" w:charSpace="0"/>
        </w:sectPr>
      </w:pPr>
      <w:r>
        <w:rPr>
          <w:rFonts w:hint="eastAsia" w:ascii="宋体" w:hAnsi="宋体" w:eastAsia="宋体" w:cs="Arial"/>
          <w:kern w:val="0"/>
          <w:szCs w:val="24"/>
          <w:lang w:val="en-US" w:eastAsia="zh-CN"/>
        </w:rPr>
        <w:t>日    期：</w:t>
      </w:r>
      <w:bookmarkEnd w:id="2087"/>
      <w:bookmarkEnd w:id="2088"/>
      <w:bookmarkEnd w:id="2089"/>
      <w:bookmarkEnd w:id="2090"/>
      <w:bookmarkEnd w:id="2091"/>
    </w:p>
    <w:p>
      <w:pPr>
        <w:pStyle w:val="4"/>
        <w:shd w:val="clear"/>
        <w:spacing w:after="100"/>
        <w:ind w:left="0" w:leftChars="0" w:right="-57" w:firstLine="0" w:firstLineChars="0"/>
        <w:jc w:val="center"/>
        <w:rPr>
          <w:rFonts w:hint="eastAsia" w:ascii="Times New Roman" w:hAnsi="Times New Roman" w:eastAsia="宋体" w:cs="Times New Roman"/>
          <w:sz w:val="24"/>
          <w:szCs w:val="24"/>
          <w:highlight w:val="none"/>
          <w:lang w:val="en-US" w:eastAsia="zh-CN"/>
        </w:rPr>
      </w:pPr>
      <w:bookmarkStart w:id="2092" w:name="_Toc3595"/>
      <w:bookmarkStart w:id="2093" w:name="_Toc6709"/>
      <w:bookmarkStart w:id="2094" w:name="_Toc1410"/>
      <w:bookmarkStart w:id="2095" w:name="_Toc10230"/>
      <w:bookmarkStart w:id="2096" w:name="_Toc19767"/>
      <w:bookmarkStart w:id="2097" w:name="_Toc20919"/>
      <w:bookmarkStart w:id="2098" w:name="_Toc10657"/>
      <w:r>
        <w:rPr>
          <w:rFonts w:hint="eastAsia" w:ascii="Times New Roman" w:hAnsi="Times New Roman" w:eastAsia="宋体" w:cs="Times New Roman"/>
          <w:sz w:val="24"/>
          <w:szCs w:val="24"/>
          <w:highlight w:val="none"/>
          <w:lang w:val="en-US" w:eastAsia="zh-CN"/>
        </w:rPr>
        <w:t>D 价格文件</w:t>
      </w:r>
      <w:bookmarkEnd w:id="2092"/>
      <w:bookmarkEnd w:id="2093"/>
      <w:bookmarkEnd w:id="2094"/>
      <w:bookmarkEnd w:id="2095"/>
      <w:bookmarkEnd w:id="2096"/>
      <w:bookmarkEnd w:id="2097"/>
      <w:bookmarkEnd w:id="2098"/>
    </w:p>
    <w:p>
      <w:pPr>
        <w:shd w:val="clea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hd w:val="clear"/>
        <w:spacing w:before="0" w:after="0" w:afterAutospacing="0" w:line="276" w:lineRule="auto"/>
        <w:ind w:left="0" w:right="0" w:firstLine="420" w:firstLineChars="200"/>
        <w:rPr>
          <w:highlight w:val="none"/>
        </w:rPr>
      </w:pPr>
      <w:r>
        <w:rPr>
          <w:rFonts w:hint="eastAsia"/>
          <w:highlight w:val="none"/>
        </w:rPr>
        <w:t>（</w:t>
      </w:r>
      <w:r>
        <w:rPr>
          <w:highlight w:val="none"/>
        </w:rPr>
        <w:t>1</w:t>
      </w:r>
      <w:r>
        <w:rPr>
          <w:rFonts w:hint="eastAsia"/>
          <w:highlight w:val="none"/>
        </w:rPr>
        <w:t>）比选申请报价一览表（格式见</w:t>
      </w:r>
      <w:r>
        <w:rPr>
          <w:rFonts w:hint="eastAsia"/>
          <w:highlight w:val="none"/>
          <w:lang w:val="en-US" w:eastAsia="zh-CN"/>
        </w:rPr>
        <w:t>D</w:t>
      </w:r>
      <w:r>
        <w:rPr>
          <w:rFonts w:hint="eastAsia"/>
          <w:highlight w:val="none"/>
        </w:rPr>
        <w:t>1）；</w:t>
      </w:r>
    </w:p>
    <w:p>
      <w:pPr>
        <w:shd w:val="clear"/>
        <w:spacing w:before="0" w:after="0" w:afterAutospacing="0" w:line="276" w:lineRule="auto"/>
        <w:ind w:left="0" w:right="0" w:firstLine="420" w:firstLineChars="200"/>
        <w:rPr>
          <w:highlight w:val="none"/>
        </w:rPr>
      </w:pPr>
      <w:r>
        <w:rPr>
          <w:rFonts w:hint="eastAsia"/>
          <w:highlight w:val="none"/>
        </w:rPr>
        <w:t>（</w:t>
      </w:r>
      <w:r>
        <w:rPr>
          <w:highlight w:val="none"/>
        </w:rPr>
        <w:t>2</w:t>
      </w:r>
      <w:r>
        <w:rPr>
          <w:rFonts w:hint="eastAsia"/>
          <w:highlight w:val="none"/>
        </w:rPr>
        <w:t>）比选申请函（格式见</w:t>
      </w:r>
      <w:r>
        <w:rPr>
          <w:rFonts w:hint="eastAsia"/>
          <w:highlight w:val="none"/>
          <w:lang w:val="en-US" w:eastAsia="zh-CN"/>
        </w:rPr>
        <w:t>D</w:t>
      </w:r>
      <w:r>
        <w:rPr>
          <w:rFonts w:hint="eastAsia"/>
          <w:highlight w:val="none"/>
        </w:rPr>
        <w:t>2）；</w:t>
      </w:r>
    </w:p>
    <w:p>
      <w:pPr>
        <w:shd w:val="clear"/>
        <w:spacing w:before="0" w:after="0" w:afterAutospacing="0" w:line="276" w:lineRule="auto"/>
        <w:ind w:left="0" w:right="0" w:firstLine="420" w:firstLineChars="200"/>
        <w:rPr>
          <w:highlight w:val="none"/>
        </w:rPr>
      </w:pPr>
      <w:r>
        <w:rPr>
          <w:rFonts w:hint="eastAsia"/>
          <w:highlight w:val="none"/>
        </w:rPr>
        <w:t>（</w:t>
      </w:r>
      <w:r>
        <w:rPr>
          <w:highlight w:val="none"/>
        </w:rPr>
        <w:t>3</w:t>
      </w:r>
      <w:r>
        <w:rPr>
          <w:rFonts w:hint="eastAsia"/>
          <w:highlight w:val="none"/>
        </w:rPr>
        <w:t>）比选申请报价表（格式见</w:t>
      </w:r>
      <w:r>
        <w:rPr>
          <w:rFonts w:hint="eastAsia"/>
          <w:highlight w:val="none"/>
          <w:lang w:val="en-US" w:eastAsia="zh-CN"/>
        </w:rPr>
        <w:t>D</w:t>
      </w:r>
      <w:r>
        <w:rPr>
          <w:rFonts w:hint="eastAsia"/>
          <w:highlight w:val="none"/>
        </w:rPr>
        <w:t>3）；</w:t>
      </w:r>
    </w:p>
    <w:p>
      <w:pPr>
        <w:shd w:val="clear"/>
        <w:spacing w:before="0" w:after="0" w:afterAutospacing="0"/>
        <w:ind w:left="0" w:right="0" w:firstLine="420" w:firstLineChars="200"/>
        <w:rPr>
          <w:rFonts w:ascii="宋体" w:hAnsi="宋体" w:cs="Arial"/>
          <w:highlight w:val="none"/>
        </w:rPr>
      </w:pPr>
      <w:r>
        <w:rPr>
          <w:rFonts w:hint="eastAsia"/>
          <w:highlight w:val="none"/>
        </w:rPr>
        <w:t>（4）比选申请人认为应提交的其他比选申请资料。</w:t>
      </w:r>
    </w:p>
    <w:p>
      <w:pPr>
        <w:pStyle w:val="5"/>
        <w:shd w:val="clear"/>
        <w:tabs>
          <w:tab w:val="left" w:pos="567"/>
          <w:tab w:val="left" w:pos="720"/>
        </w:tabs>
        <w:snapToGrid w:val="0"/>
        <w:spacing w:after="0" w:line="360" w:lineRule="auto"/>
        <w:ind w:right="-57"/>
        <w:jc w:val="left"/>
        <w:rPr>
          <w:rFonts w:ascii="宋体" w:hAnsi="宋体" w:eastAsia="宋体"/>
          <w:sz w:val="21"/>
          <w:szCs w:val="21"/>
          <w:highlight w:val="none"/>
        </w:rPr>
      </w:pPr>
      <w:r>
        <w:rPr>
          <w:rFonts w:ascii="宋体" w:hAnsi="宋体" w:eastAsia="宋体"/>
          <w:highlight w:val="none"/>
        </w:rPr>
        <w:br w:type="page"/>
      </w:r>
      <w:bookmarkStart w:id="2099" w:name="_Toc25419"/>
      <w:bookmarkStart w:id="2100" w:name="_Toc9861"/>
      <w:bookmarkStart w:id="2101" w:name="_Toc23615"/>
      <w:bookmarkStart w:id="2102" w:name="_Toc27610"/>
      <w:bookmarkStart w:id="2103" w:name="_Toc5897"/>
      <w:bookmarkStart w:id="2104" w:name="_Toc25750680"/>
      <w:bookmarkStart w:id="2105" w:name="_Toc12983552"/>
      <w:bookmarkStart w:id="2106" w:name="_Toc18516"/>
      <w:bookmarkStart w:id="2107" w:name="_Toc24326"/>
      <w:bookmarkStart w:id="2108" w:name="_Toc8593"/>
      <w:bookmarkStart w:id="2109" w:name="_Toc1158"/>
      <w:bookmarkStart w:id="2110" w:name="_Toc12951"/>
      <w:bookmarkStart w:id="2111" w:name="_Toc7004"/>
      <w:bookmarkStart w:id="2112" w:name="_Toc9560"/>
      <w:bookmarkStart w:id="2113" w:name="_Toc492478808"/>
      <w:bookmarkStart w:id="2114" w:name="_Toc12984812"/>
      <w:bookmarkStart w:id="2115" w:name="_Toc29320"/>
      <w:bookmarkStart w:id="2116" w:name="_Toc18340"/>
      <w:bookmarkStart w:id="2117" w:name="_Toc4351"/>
      <w:bookmarkStart w:id="2118" w:name="_Toc375564355"/>
      <w:bookmarkStart w:id="2119" w:name="_Toc30231"/>
      <w:bookmarkStart w:id="2120" w:name="_Toc414290526"/>
      <w:bookmarkStart w:id="2121" w:name="_Toc29231"/>
      <w:bookmarkStart w:id="2122" w:name="_Toc29688"/>
      <w:bookmarkStart w:id="2123" w:name="_Toc28807"/>
      <w:bookmarkStart w:id="2124" w:name="_Toc24487"/>
      <w:bookmarkStart w:id="2125" w:name="_Toc10991"/>
      <w:bookmarkStart w:id="2126" w:name="_Toc16489"/>
      <w:bookmarkStart w:id="2127" w:name="_Toc9967"/>
      <w:bookmarkStart w:id="2128" w:name="_Toc13980"/>
      <w:bookmarkStart w:id="2129" w:name="_Toc6992"/>
      <w:bookmarkStart w:id="2130" w:name="_Toc291"/>
      <w:bookmarkStart w:id="2131" w:name="_Toc2134"/>
      <w:r>
        <w:rPr>
          <w:rFonts w:hint="eastAsia" w:ascii="宋体" w:hAnsi="宋体" w:eastAsia="宋体"/>
          <w:sz w:val="21"/>
          <w:szCs w:val="21"/>
          <w:highlight w:val="none"/>
          <w:lang w:val="en-US" w:eastAsia="zh-CN"/>
        </w:rPr>
        <w:t>D</w:t>
      </w:r>
      <w:r>
        <w:rPr>
          <w:rFonts w:ascii="宋体" w:hAnsi="宋体" w:eastAsia="宋体"/>
          <w:sz w:val="21"/>
          <w:szCs w:val="21"/>
          <w:highlight w:val="none"/>
        </w:rPr>
        <w:t>1比选申请报价一览表</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shd w:val="clear"/>
        <w:snapToGrid w:val="0"/>
        <w:spacing w:after="50"/>
        <w:ind w:right="-57" w:firstLine="0"/>
        <w:jc w:val="center"/>
        <w:rPr>
          <w:rFonts w:ascii="宋体" w:hAnsi="宋体"/>
          <w:b/>
          <w:sz w:val="24"/>
          <w:szCs w:val="24"/>
          <w:highlight w:val="none"/>
        </w:rPr>
      </w:pPr>
      <w:r>
        <w:rPr>
          <w:rFonts w:hint="eastAsia" w:ascii="宋体" w:hAnsi="宋体"/>
          <w:b/>
          <w:sz w:val="24"/>
          <w:szCs w:val="24"/>
          <w:highlight w:val="none"/>
        </w:rPr>
        <w:t>比选申请报价一览表</w:t>
      </w:r>
    </w:p>
    <w:p>
      <w:pPr>
        <w:widowControl w:val="0"/>
        <w:shd w:val="clear"/>
        <w:snapToGrid w:val="0"/>
        <w:spacing w:before="0" w:after="0" w:afterAutospacing="0"/>
        <w:ind w:left="0" w:right="-57" w:rightChars="-27" w:firstLine="0"/>
        <w:rPr>
          <w:rFonts w:ascii="宋体" w:hAnsi="宋体"/>
          <w:kern w:val="2"/>
          <w:highlight w:val="none"/>
          <w:u w:val="single"/>
        </w:rPr>
      </w:pPr>
      <w:r>
        <w:rPr>
          <w:rFonts w:hint="eastAsia" w:ascii="宋体" w:hAnsi="宋体"/>
          <w:kern w:val="2"/>
          <w:highlight w:val="none"/>
        </w:rPr>
        <w:t>项目名称：南宁轨道交通1-5号线叉车委外维保项目（2024-2027）</w:t>
      </w:r>
    </w:p>
    <w:p>
      <w:pPr>
        <w:widowControl w:val="0"/>
        <w:shd w:val="clear"/>
        <w:snapToGrid w:val="0"/>
        <w:spacing w:before="0" w:after="0" w:afterAutospacing="0"/>
        <w:ind w:left="0" w:right="-57" w:rightChars="-27" w:firstLine="0"/>
        <w:rPr>
          <w:rFonts w:ascii="宋体" w:hAnsi="宋体"/>
          <w:kern w:val="2"/>
          <w:highlight w:val="none"/>
        </w:rPr>
      </w:pPr>
      <w:r>
        <w:rPr>
          <w:rFonts w:hint="eastAsia" w:ascii="宋体" w:hAnsi="宋体"/>
          <w:kern w:val="2"/>
          <w:highlight w:val="none"/>
        </w:rPr>
        <w:t>项目编号：202311020012</w:t>
      </w:r>
    </w:p>
    <w:p>
      <w:pPr>
        <w:widowControl w:val="0"/>
        <w:shd w:val="clear"/>
        <w:snapToGrid w:val="0"/>
        <w:spacing w:before="0" w:after="0" w:afterAutospacing="0"/>
        <w:ind w:right="-57" w:rightChars="-27"/>
        <w:rPr>
          <w:rFonts w:hint="default" w:ascii="宋体" w:hAnsi="宋体" w:eastAsia="宋体"/>
          <w:kern w:val="2"/>
          <w:highlight w:val="none"/>
          <w:lang w:val="en-US" w:eastAsia="zh-CN"/>
        </w:rPr>
      </w:pPr>
      <w:r>
        <w:rPr>
          <w:rFonts w:hint="eastAsia" w:ascii="宋体" w:hAnsi="宋体"/>
          <w:kern w:val="2"/>
          <w:highlight w:val="none"/>
        </w:rPr>
        <w:t xml:space="preserve">比选申请人名称：                   </w:t>
      </w:r>
      <w:r>
        <w:rPr>
          <w:rFonts w:hint="eastAsia" w:ascii="宋体" w:hAnsi="宋体"/>
          <w:kern w:val="2"/>
          <w:highlight w:val="none"/>
          <w:lang w:val="en-US" w:eastAsia="zh-CN"/>
        </w:rPr>
        <w:t xml:space="preserve">                            </w:t>
      </w:r>
      <w:r>
        <w:rPr>
          <w:rFonts w:hint="eastAsia" w:ascii="宋体" w:hAnsi="宋体"/>
          <w:kern w:val="2"/>
          <w:highlight w:val="none"/>
        </w:rPr>
        <w:t>单位：元</w:t>
      </w:r>
      <w:r>
        <w:rPr>
          <w:rFonts w:hint="eastAsia" w:ascii="宋体" w:hAnsi="宋体"/>
          <w:kern w:val="2"/>
          <w:highlight w:val="none"/>
          <w:lang w:val="en-US" w:eastAsia="zh-CN"/>
        </w:rPr>
        <w:t xml:space="preserve">  </w:t>
      </w:r>
    </w:p>
    <w:tbl>
      <w:tblPr>
        <w:tblStyle w:val="32"/>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559"/>
        <w:gridCol w:w="3289"/>
        <w:gridCol w:w="91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80" w:type="dxa"/>
            <w:vAlign w:val="center"/>
          </w:tcPr>
          <w:p>
            <w:pPr>
              <w:widowControl w:val="0"/>
              <w:shd w:val="clear"/>
              <w:spacing w:before="0" w:after="0" w:afterAutospacing="0" w:line="240" w:lineRule="auto"/>
              <w:ind w:left="0" w:right="0" w:firstLine="0"/>
              <w:jc w:val="center"/>
              <w:rPr>
                <w:rFonts w:hint="eastAsia" w:ascii="Calibri" w:hAnsi="Calibri" w:eastAsia="宋体" w:cs="黑体"/>
                <w:b/>
                <w:bCs/>
                <w:kern w:val="2"/>
                <w:szCs w:val="22"/>
                <w:highlight w:val="none"/>
                <w:lang w:val="en-US" w:eastAsia="zh-CN"/>
              </w:rPr>
            </w:pPr>
            <w:r>
              <w:rPr>
                <w:rFonts w:hint="eastAsia" w:ascii="Calibri" w:hAnsi="Calibri" w:cs="黑体"/>
                <w:b/>
                <w:bCs/>
                <w:kern w:val="2"/>
                <w:szCs w:val="22"/>
                <w:highlight w:val="none"/>
                <w:lang w:val="en-US" w:eastAsia="zh-CN"/>
              </w:rPr>
              <w:t>序号</w:t>
            </w:r>
          </w:p>
        </w:tc>
        <w:tc>
          <w:tcPr>
            <w:tcW w:w="2559" w:type="dxa"/>
            <w:vAlign w:val="center"/>
          </w:tcPr>
          <w:p>
            <w:pPr>
              <w:widowControl w:val="0"/>
              <w:shd w:val="clear"/>
              <w:spacing w:before="0" w:after="0" w:afterAutospacing="0" w:line="240" w:lineRule="auto"/>
              <w:ind w:left="0" w:right="0" w:firstLine="0"/>
              <w:jc w:val="center"/>
              <w:rPr>
                <w:rFonts w:hint="default" w:ascii="Calibri" w:hAnsi="Calibri" w:cs="黑体"/>
                <w:b/>
                <w:bCs/>
                <w:kern w:val="2"/>
                <w:szCs w:val="22"/>
                <w:highlight w:val="none"/>
                <w:lang w:val="en-US" w:eastAsia="zh-CN"/>
              </w:rPr>
            </w:pPr>
            <w:r>
              <w:rPr>
                <w:rFonts w:hint="eastAsia" w:ascii="Calibri" w:hAnsi="Calibri" w:cs="黑体"/>
                <w:b/>
                <w:bCs/>
                <w:kern w:val="2"/>
                <w:szCs w:val="22"/>
                <w:highlight w:val="none"/>
                <w:lang w:val="en-US" w:eastAsia="zh-CN"/>
              </w:rPr>
              <w:t>项目名称</w:t>
            </w:r>
          </w:p>
        </w:tc>
        <w:tc>
          <w:tcPr>
            <w:tcW w:w="3289"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r>
              <w:rPr>
                <w:rFonts w:hint="eastAsia" w:ascii="Calibri" w:hAnsi="Calibri" w:cs="黑体"/>
                <w:b/>
                <w:bCs/>
                <w:kern w:val="2"/>
                <w:szCs w:val="22"/>
                <w:highlight w:val="none"/>
              </w:rPr>
              <w:t>不含</w:t>
            </w:r>
            <w:r>
              <w:rPr>
                <w:rFonts w:hint="eastAsia" w:ascii="Calibri" w:hAnsi="Calibri" w:cs="黑体"/>
                <w:b/>
                <w:bCs/>
                <w:kern w:val="2"/>
                <w:szCs w:val="22"/>
                <w:highlight w:val="none"/>
                <w:lang w:val="en-US" w:eastAsia="zh-CN"/>
              </w:rPr>
              <w:t>增值</w:t>
            </w:r>
            <w:r>
              <w:rPr>
                <w:rFonts w:hint="eastAsia" w:ascii="Calibri" w:hAnsi="Calibri" w:cs="黑体"/>
                <w:b/>
                <w:bCs/>
                <w:kern w:val="2"/>
                <w:szCs w:val="22"/>
                <w:highlight w:val="none"/>
              </w:rPr>
              <w:t>税</w:t>
            </w:r>
            <w:r>
              <w:rPr>
                <w:rFonts w:hint="eastAsia" w:ascii="Calibri" w:hAnsi="Calibri" w:cs="黑体"/>
                <w:b/>
                <w:bCs/>
                <w:kern w:val="2"/>
                <w:szCs w:val="22"/>
                <w:highlight w:val="none"/>
                <w:lang w:val="en-US" w:eastAsia="zh-CN"/>
              </w:rPr>
              <w:t>总</w:t>
            </w:r>
            <w:r>
              <w:rPr>
                <w:rFonts w:hint="eastAsia" w:ascii="Calibri" w:hAnsi="Calibri" w:cs="黑体"/>
                <w:b/>
                <w:bCs/>
                <w:kern w:val="2"/>
                <w:szCs w:val="22"/>
                <w:highlight w:val="none"/>
              </w:rPr>
              <w:t>价（元）</w:t>
            </w:r>
          </w:p>
        </w:tc>
        <w:tc>
          <w:tcPr>
            <w:tcW w:w="910"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r>
              <w:rPr>
                <w:rFonts w:hint="eastAsia" w:ascii="Calibri" w:hAnsi="Calibri" w:cs="黑体"/>
                <w:b/>
                <w:bCs/>
                <w:kern w:val="2"/>
                <w:szCs w:val="22"/>
                <w:highlight w:val="none"/>
              </w:rPr>
              <w:t>税率</w:t>
            </w:r>
          </w:p>
        </w:tc>
        <w:tc>
          <w:tcPr>
            <w:tcW w:w="1945"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r>
              <w:rPr>
                <w:rFonts w:hint="eastAsia" w:ascii="Calibri" w:hAnsi="Calibri" w:cs="黑体"/>
                <w:b/>
                <w:bCs/>
                <w:kern w:val="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hd w:val="clear"/>
              <w:spacing w:before="0" w:after="0" w:afterAutospacing="0" w:line="240" w:lineRule="auto"/>
              <w:ind w:left="0" w:right="0" w:firstLine="0"/>
              <w:jc w:val="center"/>
              <w:rPr>
                <w:rFonts w:hint="eastAsia" w:ascii="宋体" w:hAnsi="宋体" w:eastAsia="宋体" w:cs="宋体"/>
                <w:bCs/>
                <w:snapToGrid w:val="0"/>
                <w:color w:val="auto"/>
                <w:sz w:val="21"/>
                <w:szCs w:val="21"/>
                <w:highlight w:val="none"/>
                <w:lang w:val="en-US" w:eastAsia="zh-CN"/>
              </w:rPr>
            </w:pPr>
            <w:r>
              <w:rPr>
                <w:rFonts w:hint="eastAsia" w:ascii="宋体" w:hAnsi="宋体" w:eastAsia="宋体" w:cs="宋体"/>
                <w:bCs/>
                <w:snapToGrid w:val="0"/>
                <w:color w:val="auto"/>
                <w:sz w:val="21"/>
                <w:szCs w:val="21"/>
                <w:highlight w:val="none"/>
                <w:lang w:val="en-US" w:eastAsia="zh-CN"/>
              </w:rPr>
              <w:t>1</w:t>
            </w:r>
          </w:p>
        </w:tc>
        <w:tc>
          <w:tcPr>
            <w:tcW w:w="2559" w:type="dxa"/>
            <w:vAlign w:val="center"/>
          </w:tcPr>
          <w:p>
            <w:pPr>
              <w:widowControl w:val="0"/>
              <w:shd w:val="clear"/>
              <w:spacing w:before="0" w:after="0" w:afterAutospacing="0" w:line="240" w:lineRule="auto"/>
              <w:ind w:left="0" w:right="0" w:firstLine="0"/>
              <w:jc w:val="center"/>
              <w:rPr>
                <w:rFonts w:hint="eastAsia" w:ascii="Times New Roman" w:hAnsi="Times New Roman" w:eastAsia="宋体" w:cs="宋体"/>
                <w:bCs/>
                <w:snapToGrid w:val="0"/>
                <w:color w:val="auto"/>
                <w:sz w:val="21"/>
                <w:szCs w:val="21"/>
                <w:highlight w:val="none"/>
                <w:lang w:val="en-US" w:eastAsia="zh-CN"/>
              </w:rPr>
            </w:pPr>
            <w:r>
              <w:rPr>
                <w:rFonts w:hint="eastAsia" w:ascii="Times New Roman" w:hAnsi="Times New Roman" w:eastAsia="宋体" w:cs="宋体"/>
                <w:bCs/>
                <w:snapToGrid w:val="0"/>
                <w:color w:val="auto"/>
                <w:sz w:val="21"/>
                <w:szCs w:val="21"/>
                <w:highlight w:val="none"/>
                <w:lang w:val="en-US" w:eastAsia="zh-CN"/>
              </w:rPr>
              <w:t>维保部分</w:t>
            </w:r>
          </w:p>
        </w:tc>
        <w:tc>
          <w:tcPr>
            <w:tcW w:w="3289" w:type="dxa"/>
            <w:vAlign w:val="center"/>
          </w:tcPr>
          <w:p>
            <w:pPr>
              <w:widowControl w:val="0"/>
              <w:shd w:val="clear"/>
              <w:spacing w:before="0" w:after="0" w:afterAutospacing="0" w:line="240" w:lineRule="auto"/>
              <w:ind w:left="0" w:right="0" w:firstLine="0"/>
              <w:jc w:val="center"/>
              <w:rPr>
                <w:rFonts w:hint="eastAsia" w:ascii="Times New Roman" w:hAnsi="Times New Roman" w:eastAsia="宋体" w:cs="宋体"/>
                <w:bCs/>
                <w:snapToGrid w:val="0"/>
                <w:color w:val="auto"/>
                <w:sz w:val="21"/>
                <w:szCs w:val="21"/>
                <w:highlight w:val="none"/>
                <w:lang w:val="en-US" w:eastAsia="zh-CN"/>
              </w:rPr>
            </w:pPr>
          </w:p>
        </w:tc>
        <w:tc>
          <w:tcPr>
            <w:tcW w:w="910"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p>
        </w:tc>
        <w:tc>
          <w:tcPr>
            <w:tcW w:w="1945"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r>
              <w:rPr>
                <w:rFonts w:hint="eastAsia" w:eastAsia="宋体" w:cs="宋体"/>
                <w:bCs/>
                <w:snapToGrid w:val="0"/>
                <w:color w:val="auto"/>
                <w:sz w:val="21"/>
                <w:szCs w:val="21"/>
                <w:highlight w:val="none"/>
                <w:lang w:val="en-US" w:eastAsia="zh-CN"/>
              </w:rPr>
              <w:t>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hd w:val="clear"/>
              <w:spacing w:before="0" w:after="0" w:afterAutospacing="0" w:line="240" w:lineRule="auto"/>
              <w:ind w:left="0" w:right="0" w:firstLine="0"/>
              <w:jc w:val="center"/>
              <w:rPr>
                <w:rFonts w:hint="eastAsia" w:ascii="宋体" w:hAnsi="宋体" w:eastAsia="宋体" w:cs="宋体"/>
                <w:bCs/>
                <w:snapToGrid w:val="0"/>
                <w:color w:val="auto"/>
                <w:sz w:val="21"/>
                <w:szCs w:val="21"/>
                <w:highlight w:val="none"/>
                <w:lang w:val="en-US" w:eastAsia="zh-CN"/>
              </w:rPr>
            </w:pPr>
            <w:r>
              <w:rPr>
                <w:rFonts w:hint="eastAsia" w:ascii="宋体" w:hAnsi="宋体" w:eastAsia="宋体" w:cs="宋体"/>
                <w:bCs/>
                <w:snapToGrid w:val="0"/>
                <w:color w:val="auto"/>
                <w:sz w:val="21"/>
                <w:szCs w:val="21"/>
                <w:highlight w:val="none"/>
                <w:lang w:val="en-US" w:eastAsia="zh-CN"/>
              </w:rPr>
              <w:t>2</w:t>
            </w:r>
          </w:p>
        </w:tc>
        <w:tc>
          <w:tcPr>
            <w:tcW w:w="2559" w:type="dxa"/>
            <w:vAlign w:val="center"/>
          </w:tcPr>
          <w:p>
            <w:pPr>
              <w:widowControl w:val="0"/>
              <w:shd w:val="clear"/>
              <w:spacing w:before="0" w:after="0" w:afterAutospacing="0" w:line="240" w:lineRule="auto"/>
              <w:ind w:left="0" w:right="0" w:firstLine="0"/>
              <w:jc w:val="center"/>
              <w:rPr>
                <w:rFonts w:hint="eastAsia" w:ascii="Times New Roman" w:hAnsi="Times New Roman" w:eastAsia="宋体" w:cs="宋体"/>
                <w:bCs/>
                <w:snapToGrid w:val="0"/>
                <w:color w:val="auto"/>
                <w:sz w:val="21"/>
                <w:szCs w:val="21"/>
                <w:highlight w:val="none"/>
                <w:lang w:val="en-US" w:eastAsia="zh-CN"/>
              </w:rPr>
            </w:pPr>
            <w:r>
              <w:rPr>
                <w:rFonts w:hint="eastAsia" w:ascii="Times New Roman" w:hAnsi="Times New Roman" w:eastAsia="宋体" w:cs="宋体"/>
                <w:bCs/>
                <w:snapToGrid w:val="0"/>
                <w:color w:val="auto"/>
                <w:sz w:val="21"/>
                <w:szCs w:val="21"/>
                <w:highlight w:val="none"/>
                <w:lang w:val="en-US" w:eastAsia="zh-CN"/>
              </w:rPr>
              <w:t>备品备件部分</w:t>
            </w:r>
          </w:p>
        </w:tc>
        <w:tc>
          <w:tcPr>
            <w:tcW w:w="3289" w:type="dxa"/>
            <w:vAlign w:val="center"/>
          </w:tcPr>
          <w:p>
            <w:pPr>
              <w:widowControl w:val="0"/>
              <w:shd w:val="clear"/>
              <w:spacing w:before="0" w:after="0" w:afterAutospacing="0" w:line="240" w:lineRule="auto"/>
              <w:ind w:left="0" w:right="0" w:firstLine="0"/>
              <w:jc w:val="center"/>
              <w:rPr>
                <w:rFonts w:hint="eastAsia" w:ascii="Times New Roman" w:hAnsi="Times New Roman" w:eastAsia="宋体" w:cs="宋体"/>
                <w:bCs/>
                <w:snapToGrid w:val="0"/>
                <w:color w:val="auto"/>
                <w:sz w:val="21"/>
                <w:szCs w:val="21"/>
                <w:highlight w:val="none"/>
                <w:lang w:val="en-US" w:eastAsia="zh-CN"/>
              </w:rPr>
            </w:pPr>
          </w:p>
        </w:tc>
        <w:tc>
          <w:tcPr>
            <w:tcW w:w="910"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p>
        </w:tc>
        <w:tc>
          <w:tcPr>
            <w:tcW w:w="1945"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r>
              <w:rPr>
                <w:rFonts w:hint="eastAsia" w:eastAsia="宋体" w:cs="宋体"/>
                <w:bCs/>
                <w:snapToGrid w:val="0"/>
                <w:color w:val="auto"/>
                <w:sz w:val="21"/>
                <w:szCs w:val="21"/>
                <w:highlight w:val="none"/>
              </w:rPr>
              <w:t>固定</w:t>
            </w:r>
            <w:r>
              <w:rPr>
                <w:rFonts w:hint="eastAsia" w:eastAsia="宋体" w:cs="宋体"/>
                <w:bCs/>
                <w:snapToGrid w:val="0"/>
                <w:color w:val="auto"/>
                <w:sz w:val="21"/>
                <w:szCs w:val="21"/>
                <w:highlight w:val="none"/>
                <w:lang w:val="en-US" w:eastAsia="zh-CN"/>
              </w:rPr>
              <w:t>综合</w:t>
            </w:r>
            <w:r>
              <w:rPr>
                <w:rFonts w:hint="eastAsia" w:eastAsia="宋体" w:cs="宋体"/>
                <w:bCs/>
                <w:snapToGrid w:val="0"/>
                <w:color w:val="auto"/>
                <w:sz w:val="21"/>
                <w:szCs w:val="21"/>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p>
        </w:tc>
        <w:tc>
          <w:tcPr>
            <w:tcW w:w="2559" w:type="dxa"/>
            <w:vAlign w:val="center"/>
          </w:tcPr>
          <w:p>
            <w:pPr>
              <w:widowControl w:val="0"/>
              <w:shd w:val="clear"/>
              <w:spacing w:before="0" w:after="0" w:afterAutospacing="0" w:line="240" w:lineRule="auto"/>
              <w:ind w:left="0" w:right="0" w:firstLine="0"/>
              <w:jc w:val="center"/>
              <w:rPr>
                <w:rFonts w:hint="default" w:ascii="Calibri" w:hAnsi="Calibri" w:cs="黑体"/>
                <w:b/>
                <w:bCs/>
                <w:kern w:val="2"/>
                <w:szCs w:val="22"/>
                <w:highlight w:val="none"/>
                <w:lang w:val="en-US" w:eastAsia="zh-CN"/>
              </w:rPr>
            </w:pPr>
            <w:r>
              <w:rPr>
                <w:rFonts w:hint="eastAsia" w:ascii="Calibri" w:hAnsi="Calibri" w:cs="黑体"/>
                <w:b/>
                <w:bCs/>
                <w:kern w:val="2"/>
                <w:szCs w:val="22"/>
                <w:highlight w:val="none"/>
                <w:lang w:val="en-US" w:eastAsia="zh-CN"/>
              </w:rPr>
              <w:t>合计</w:t>
            </w:r>
          </w:p>
        </w:tc>
        <w:tc>
          <w:tcPr>
            <w:tcW w:w="3289" w:type="dxa"/>
            <w:vAlign w:val="center"/>
          </w:tcPr>
          <w:p>
            <w:pPr>
              <w:widowControl w:val="0"/>
              <w:shd w:val="clear"/>
              <w:spacing w:before="0" w:after="0" w:afterAutospacing="0" w:line="240" w:lineRule="auto"/>
              <w:ind w:left="0" w:right="0" w:firstLine="0"/>
              <w:jc w:val="both"/>
              <w:rPr>
                <w:rFonts w:hint="eastAsia" w:ascii="Calibri" w:hAnsi="Calibri" w:cs="黑体"/>
                <w:b/>
                <w:bCs/>
                <w:kern w:val="2"/>
                <w:szCs w:val="22"/>
                <w:highlight w:val="none"/>
              </w:rPr>
            </w:pPr>
          </w:p>
        </w:tc>
        <w:tc>
          <w:tcPr>
            <w:tcW w:w="910"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p>
        </w:tc>
        <w:tc>
          <w:tcPr>
            <w:tcW w:w="1945" w:type="dxa"/>
            <w:vAlign w:val="center"/>
          </w:tcPr>
          <w:p>
            <w:pPr>
              <w:widowControl w:val="0"/>
              <w:shd w:val="clear"/>
              <w:spacing w:before="0" w:after="0" w:afterAutospacing="0" w:line="240" w:lineRule="auto"/>
              <w:ind w:left="0" w:right="0" w:firstLine="0"/>
              <w:jc w:val="center"/>
              <w:rPr>
                <w:rFonts w:ascii="Calibri" w:hAnsi="Calibri" w:cs="黑体"/>
                <w:b/>
                <w:bCs/>
                <w:kern w:val="2"/>
                <w:szCs w:val="22"/>
                <w:highlight w:val="none"/>
              </w:rPr>
            </w:pPr>
          </w:p>
        </w:tc>
      </w:tr>
    </w:tbl>
    <w:p>
      <w:pPr>
        <w:shd w:val="clear"/>
        <w:spacing w:before="0" w:after="0" w:afterAutospacing="0"/>
        <w:ind w:left="0" w:right="0" w:firstLine="0"/>
        <w:rPr>
          <w:rFonts w:hint="eastAsia" w:ascii="宋体" w:hAnsi="宋体"/>
          <w:highlight w:val="none"/>
        </w:rPr>
      </w:pPr>
    </w:p>
    <w:p>
      <w:pPr>
        <w:widowControl w:val="0"/>
        <w:shd w:val="clear"/>
        <w:snapToGrid w:val="0"/>
        <w:spacing w:before="0" w:after="0" w:afterAutospacing="0"/>
        <w:ind w:right="-57" w:rightChars="-27"/>
        <w:rPr>
          <w:rFonts w:hint="eastAsia" w:ascii="宋体" w:hAnsi="宋体" w:eastAsia="宋体" w:cs="Times New Roman"/>
          <w:b/>
          <w:bCs/>
          <w:kern w:val="2"/>
          <w:highlight w:val="none"/>
          <w:lang w:val="en-US" w:eastAsia="zh-CN"/>
        </w:rPr>
      </w:pPr>
    </w:p>
    <w:p>
      <w:pPr>
        <w:shd w:val="clear"/>
        <w:snapToGrid w:val="0"/>
        <w:spacing w:after="50" w:line="280" w:lineRule="exact"/>
        <w:ind w:right="-817"/>
        <w:rPr>
          <w:rFonts w:hint="default" w:ascii="宋体" w:hAnsi="宋体" w:eastAsia="宋体"/>
          <w:highlight w:val="none"/>
          <w:lang w:val="en-US" w:eastAsia="zh-CN"/>
        </w:rPr>
      </w:pPr>
    </w:p>
    <w:p>
      <w:pPr>
        <w:pStyle w:val="14"/>
        <w:rPr>
          <w:rFonts w:hint="default" w:ascii="宋体" w:hAnsi="宋体" w:eastAsia="宋体"/>
          <w:highlight w:val="none"/>
          <w:lang w:val="en-US" w:eastAsia="zh-CN"/>
        </w:rPr>
      </w:pPr>
    </w:p>
    <w:p>
      <w:pPr>
        <w:pStyle w:val="7"/>
        <w:numPr>
          <w:ilvl w:val="3"/>
          <w:numId w:val="0"/>
        </w:numPr>
        <w:ind w:leftChars="0" w:right="-27" w:rightChars="0"/>
        <w:outlineLvl w:val="9"/>
        <w:rPr>
          <w:rFonts w:hint="default"/>
          <w:lang w:val="en-US" w:eastAsia="zh-CN"/>
        </w:rPr>
      </w:pPr>
    </w:p>
    <w:p>
      <w:pPr>
        <w:rPr>
          <w:rFonts w:hint="default"/>
          <w:lang w:val="en-US" w:eastAsia="zh-CN"/>
        </w:rPr>
      </w:pPr>
    </w:p>
    <w:p>
      <w:pPr>
        <w:shd w:val="clea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p>
    <w:p>
      <w:pPr>
        <w:shd w:val="clea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w:t>
      </w:r>
    </w:p>
    <w:p>
      <w:pPr>
        <w:shd w:val="clear"/>
        <w:spacing w:before="0"/>
        <w:ind w:right="-57" w:firstLine="0"/>
        <w:jc w:val="center"/>
        <w:rPr>
          <w:rFonts w:ascii="宋体" w:hAnsi="宋体"/>
          <w:highlight w:val="none"/>
        </w:rPr>
      </w:pPr>
      <w:r>
        <w:rPr>
          <w:rFonts w:hint="eastAsia" w:ascii="宋体" w:hAnsi="宋体"/>
          <w:highlight w:val="none"/>
        </w:rPr>
        <w:t>日  期：     年  月  日</w:t>
      </w:r>
    </w:p>
    <w:p>
      <w:pPr>
        <w:pStyle w:val="5"/>
        <w:shd w:val="clear"/>
        <w:tabs>
          <w:tab w:val="left" w:pos="567"/>
          <w:tab w:val="left" w:pos="720"/>
        </w:tabs>
        <w:snapToGrid w:val="0"/>
        <w:spacing w:after="0" w:line="360" w:lineRule="auto"/>
        <w:ind w:right="0"/>
        <w:jc w:val="left"/>
        <w:rPr>
          <w:rFonts w:ascii="宋体" w:hAnsi="宋体" w:eastAsia="宋体" w:cs="Arial"/>
          <w:highlight w:val="none"/>
        </w:rPr>
      </w:pPr>
      <w:r>
        <w:rPr>
          <w:rFonts w:ascii="宋体" w:hAnsi="宋体" w:eastAsia="宋体"/>
          <w:highlight w:val="none"/>
        </w:rPr>
        <w:br w:type="page"/>
      </w:r>
      <w:bookmarkStart w:id="2132" w:name="_Toc110413986"/>
      <w:bookmarkStart w:id="2133" w:name="_Toc61680485"/>
      <w:bookmarkStart w:id="2134" w:name="_Toc68859063"/>
      <w:bookmarkStart w:id="2135" w:name="_Toc58124833"/>
      <w:bookmarkStart w:id="2136" w:name="_Toc3046"/>
      <w:bookmarkStart w:id="2137" w:name="_Toc23163"/>
      <w:bookmarkStart w:id="2138" w:name="_Toc241920153"/>
      <w:bookmarkStart w:id="2139" w:name="_Toc223"/>
      <w:bookmarkStart w:id="2140" w:name="_Toc20864"/>
      <w:bookmarkStart w:id="2141" w:name="_Toc32224"/>
      <w:bookmarkStart w:id="2142" w:name="_Toc14119"/>
      <w:bookmarkStart w:id="2143" w:name="_Toc2257"/>
      <w:bookmarkStart w:id="2144" w:name="_Toc15419"/>
      <w:bookmarkStart w:id="2145" w:name="_Toc12983553"/>
      <w:bookmarkStart w:id="2146" w:name="_Toc6833"/>
      <w:bookmarkStart w:id="2147" w:name="_Toc20737"/>
      <w:bookmarkStart w:id="2148" w:name="_Toc6270"/>
      <w:bookmarkStart w:id="2149" w:name="_Toc12984813"/>
      <w:bookmarkStart w:id="2150" w:name="_Toc3649"/>
      <w:bookmarkStart w:id="2151" w:name="_Toc12490"/>
      <w:bookmarkStart w:id="2152" w:name="_Toc25750681"/>
      <w:bookmarkStart w:id="2153" w:name="_Toc10260"/>
      <w:bookmarkStart w:id="2154" w:name="_Toc8713"/>
      <w:bookmarkStart w:id="2155" w:name="_Toc14503"/>
      <w:bookmarkStart w:id="2156" w:name="_Toc2585"/>
      <w:bookmarkStart w:id="2157" w:name="_Toc11957"/>
      <w:bookmarkStart w:id="2158" w:name="_Toc27626"/>
      <w:bookmarkStart w:id="2159" w:name="_Toc492478809"/>
      <w:bookmarkStart w:id="2160" w:name="_Toc29702"/>
      <w:bookmarkStart w:id="2161" w:name="_Toc25869"/>
      <w:bookmarkStart w:id="2162" w:name="_Toc5579"/>
      <w:bookmarkStart w:id="2163" w:name="_Toc14859"/>
      <w:bookmarkStart w:id="2164" w:name="_Toc11065"/>
      <w:bookmarkStart w:id="2165" w:name="_Toc17112"/>
      <w:bookmarkStart w:id="2166" w:name="_Toc4976"/>
      <w:bookmarkStart w:id="2167" w:name="_Toc375564356"/>
      <w:bookmarkStart w:id="2168" w:name="_Toc414290527"/>
      <w:bookmarkStart w:id="2169" w:name="_Toc21109"/>
      <w:r>
        <w:rPr>
          <w:rFonts w:hint="eastAsia" w:ascii="宋体" w:hAnsi="宋体" w:eastAsia="宋体"/>
          <w:sz w:val="21"/>
          <w:szCs w:val="21"/>
          <w:highlight w:val="none"/>
          <w:lang w:val="en-US" w:eastAsia="zh-CN"/>
        </w:rPr>
        <w:t>D</w:t>
      </w:r>
      <w:r>
        <w:rPr>
          <w:rFonts w:ascii="宋体" w:hAnsi="宋体" w:eastAsia="宋体"/>
          <w:sz w:val="21"/>
          <w:szCs w:val="21"/>
          <w:highlight w:val="none"/>
        </w:rPr>
        <w:t>2比选申请</w:t>
      </w:r>
      <w:bookmarkEnd w:id="2132"/>
      <w:bookmarkEnd w:id="2133"/>
      <w:bookmarkEnd w:id="2134"/>
      <w:bookmarkEnd w:id="2135"/>
      <w:r>
        <w:rPr>
          <w:rFonts w:ascii="宋体" w:hAnsi="宋体" w:eastAsia="宋体"/>
          <w:sz w:val="21"/>
          <w:szCs w:val="21"/>
          <w:highlight w:val="none"/>
        </w:rPr>
        <w:t>函</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shd w:val="clear"/>
        <w:spacing w:before="0" w:after="0" w:afterAutospacing="0"/>
        <w:ind w:right="0" w:firstLine="0"/>
        <w:jc w:val="center"/>
        <w:rPr>
          <w:rFonts w:ascii="宋体" w:hAnsi="宋体"/>
          <w:b/>
          <w:sz w:val="32"/>
          <w:szCs w:val="32"/>
          <w:highlight w:val="none"/>
        </w:rPr>
      </w:pPr>
      <w:r>
        <w:rPr>
          <w:rFonts w:ascii="宋体" w:hAnsi="宋体"/>
          <w:b/>
          <w:sz w:val="32"/>
          <w:szCs w:val="32"/>
          <w:highlight w:val="none"/>
        </w:rPr>
        <w:t>比选申请函</w:t>
      </w:r>
    </w:p>
    <w:p>
      <w:pPr>
        <w:shd w:val="clear"/>
        <w:spacing w:before="0" w:after="0" w:afterAutospacing="0"/>
        <w:ind w:left="0" w:right="0" w:firstLine="0"/>
        <w:rPr>
          <w:rFonts w:ascii="宋体" w:hAnsi="宋体"/>
          <w:highlight w:val="none"/>
        </w:rPr>
      </w:pPr>
      <w:r>
        <w:rPr>
          <w:rFonts w:ascii="宋体" w:hAnsi="宋体"/>
          <w:highlight w:val="none"/>
        </w:rPr>
        <w:t>致：</w:t>
      </w:r>
      <w:r>
        <w:rPr>
          <w:rFonts w:hint="eastAsia" w:ascii="宋体" w:hAnsi="宋体"/>
          <w:highlight w:val="none"/>
        </w:rPr>
        <w:t>南宁轨道交通运营有限公司</w:t>
      </w:r>
    </w:p>
    <w:p>
      <w:pPr>
        <w:shd w:val="clea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w:t>
      </w:r>
      <w:r>
        <w:rPr>
          <w:rFonts w:hint="eastAsia" w:ascii="宋体" w:hAnsi="宋体"/>
          <w:highlight w:val="none"/>
          <w:u w:val="single"/>
        </w:rPr>
        <w:t>南宁轨道交通1-5号线叉车委外维保项目（2024-2027）</w:t>
      </w:r>
      <w:r>
        <w:rPr>
          <w:rFonts w:ascii="宋体" w:hAnsi="宋体"/>
          <w:highlight w:val="none"/>
        </w:rPr>
        <w:t>比选申请邀请(项目编号：</w:t>
      </w:r>
      <w:r>
        <w:rPr>
          <w:rFonts w:hint="eastAsia" w:ascii="宋体" w:hAnsi="宋体"/>
          <w:kern w:val="2"/>
          <w:highlight w:val="none"/>
          <w:u w:val="single"/>
        </w:rPr>
        <w:t>202311020012</w:t>
      </w:r>
      <w:r>
        <w:rPr>
          <w:rFonts w:ascii="宋体" w:hAnsi="宋体"/>
          <w:highlight w:val="none"/>
        </w:rPr>
        <w:t>)，签字人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lang w:val="en-US" w:eastAsia="zh-CN"/>
        </w:rPr>
        <w:t>1</w:t>
      </w:r>
      <w:r>
        <w:rPr>
          <w:rFonts w:ascii="宋体" w:hAnsi="宋体"/>
          <w:highlight w:val="none"/>
          <w:u w:val="single"/>
        </w:rPr>
        <w:t xml:space="preserve"> </w:t>
      </w:r>
      <w:r>
        <w:rPr>
          <w:rFonts w:ascii="宋体" w:hAnsi="宋体"/>
          <w:highlight w:val="none"/>
        </w:rPr>
        <w:t>份（U盘）。</w:t>
      </w:r>
    </w:p>
    <w:p>
      <w:pPr>
        <w:shd w:val="clea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hd w:val="clear"/>
        <w:spacing w:before="0" w:after="0" w:afterAutospacing="0"/>
        <w:ind w:left="0" w:right="0" w:firstLine="420" w:firstLineChars="200"/>
        <w:rPr>
          <w:rFonts w:ascii="宋体" w:hAnsi="宋体"/>
          <w:highlight w:val="none"/>
        </w:rPr>
      </w:pPr>
      <w:bookmarkStart w:id="2170" w:name="_Toc375564357"/>
      <w:r>
        <w:rPr>
          <w:rFonts w:ascii="宋体" w:hAnsi="宋体"/>
          <w:highlight w:val="none"/>
        </w:rPr>
        <w:t>1. 按比选文件要求规定的应提交和交付的货物和服务并履行全部合同义务的比选申请总价如本比选申请文件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2170"/>
    </w:p>
    <w:p>
      <w:pPr>
        <w:shd w:val="clear"/>
        <w:spacing w:before="0" w:after="0" w:afterAutospacing="0"/>
        <w:ind w:left="0" w:right="0" w:firstLine="420" w:firstLineChars="200"/>
        <w:outlineLvl w:val="1"/>
        <w:rPr>
          <w:rFonts w:ascii="宋体" w:hAnsi="宋体"/>
          <w:highlight w:val="none"/>
        </w:rPr>
      </w:pPr>
      <w:bookmarkStart w:id="2171" w:name="_Toc9732"/>
      <w:bookmarkStart w:id="2172" w:name="_Toc18570"/>
      <w:bookmarkStart w:id="2173" w:name="_Toc23505"/>
      <w:bookmarkStart w:id="2174" w:name="_Toc27018"/>
      <w:bookmarkStart w:id="2175" w:name="_Toc18238"/>
      <w:bookmarkStart w:id="2176" w:name="_Toc8777"/>
      <w:bookmarkStart w:id="2177" w:name="_Toc21788"/>
      <w:bookmarkStart w:id="2178" w:name="_Toc31157"/>
      <w:bookmarkStart w:id="2179" w:name="_Toc21763"/>
      <w:r>
        <w:rPr>
          <w:rFonts w:hint="eastAsia" w:ascii="宋体" w:hAnsi="宋体"/>
          <w:highlight w:val="none"/>
        </w:rPr>
        <w:t>2</w:t>
      </w:r>
      <w:r>
        <w:rPr>
          <w:rFonts w:ascii="宋体" w:hAnsi="宋体"/>
          <w:highlight w:val="none"/>
        </w:rPr>
        <w:t>.按比选文件的规定履行合同责任和义务。</w:t>
      </w:r>
      <w:bookmarkEnd w:id="2171"/>
      <w:bookmarkEnd w:id="2172"/>
      <w:bookmarkEnd w:id="2173"/>
      <w:bookmarkEnd w:id="2174"/>
      <w:bookmarkEnd w:id="2175"/>
      <w:bookmarkEnd w:id="2176"/>
      <w:bookmarkEnd w:id="2177"/>
      <w:bookmarkEnd w:id="2178"/>
      <w:bookmarkEnd w:id="2179"/>
    </w:p>
    <w:p>
      <w:pPr>
        <w:shd w:val="clea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hd w:val="clear"/>
        <w:spacing w:before="0" w:after="0" w:afterAutospacing="0"/>
        <w:ind w:left="0" w:right="0" w:firstLine="420" w:firstLineChars="200"/>
        <w:outlineLvl w:val="1"/>
        <w:rPr>
          <w:rFonts w:ascii="宋体" w:hAnsi="宋体"/>
          <w:highlight w:val="none"/>
        </w:rPr>
      </w:pPr>
      <w:bookmarkStart w:id="2180" w:name="_Toc31898"/>
      <w:bookmarkStart w:id="2181" w:name="_Toc25198"/>
      <w:bookmarkStart w:id="2182" w:name="_Toc26254"/>
      <w:bookmarkStart w:id="2183" w:name="_Toc18184"/>
      <w:bookmarkStart w:id="2184" w:name="_Toc18719"/>
      <w:bookmarkStart w:id="2185" w:name="_Toc13873"/>
      <w:bookmarkStart w:id="2186" w:name="_Toc17370"/>
      <w:bookmarkStart w:id="2187" w:name="_Toc13610"/>
      <w:bookmarkStart w:id="2188" w:name="_Toc3820"/>
      <w:r>
        <w:rPr>
          <w:rFonts w:hint="eastAsia" w:ascii="宋体" w:hAnsi="宋体"/>
          <w:highlight w:val="none"/>
        </w:rPr>
        <w:t>4</w:t>
      </w:r>
      <w:r>
        <w:rPr>
          <w:rFonts w:ascii="宋体" w:hAnsi="宋体"/>
          <w:highlight w:val="none"/>
        </w:rPr>
        <w:t>.本比选申请有效期为比选申请截止日起</w:t>
      </w:r>
      <w:r>
        <w:rPr>
          <w:rFonts w:ascii="宋体" w:hAnsi="宋体"/>
          <w:highlight w:val="none"/>
          <w:u w:val="single"/>
        </w:rPr>
        <w:t>90</w:t>
      </w:r>
      <w:r>
        <w:rPr>
          <w:rFonts w:ascii="宋体" w:hAnsi="宋体"/>
          <w:highlight w:val="none"/>
        </w:rPr>
        <w:t>日历天内。</w:t>
      </w:r>
      <w:bookmarkEnd w:id="2180"/>
      <w:bookmarkEnd w:id="2181"/>
      <w:bookmarkEnd w:id="2182"/>
      <w:bookmarkEnd w:id="2183"/>
      <w:bookmarkEnd w:id="2184"/>
      <w:bookmarkEnd w:id="2185"/>
      <w:bookmarkEnd w:id="2186"/>
      <w:bookmarkEnd w:id="2187"/>
      <w:bookmarkEnd w:id="2188"/>
    </w:p>
    <w:p>
      <w:pPr>
        <w:shd w:val="clea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hd w:val="clea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widowControl w:val="0"/>
        <w:shd w:val="clear"/>
        <w:spacing w:before="0" w:after="0" w:afterAutospacing="0" w:line="360" w:lineRule="auto"/>
        <w:ind w:left="0" w:right="0" w:firstLine="420" w:firstLineChars="200"/>
        <w:rPr>
          <w:rFonts w:ascii="宋体" w:hAnsi="宋体" w:cs="黑体"/>
          <w:kern w:val="2"/>
          <w:szCs w:val="22"/>
          <w:highlight w:val="none"/>
        </w:rPr>
      </w:pPr>
      <w:r>
        <w:rPr>
          <w:rFonts w:hint="eastAsia" w:ascii="宋体" w:hAnsi="宋体" w:cs="黑体"/>
          <w:kern w:val="2"/>
          <w:szCs w:val="22"/>
          <w:highlight w:val="none"/>
        </w:rPr>
        <w:t>7</w:t>
      </w:r>
      <w:r>
        <w:rPr>
          <w:rFonts w:ascii="宋体" w:hAnsi="宋体" w:cs="黑体"/>
          <w:kern w:val="2"/>
          <w:szCs w:val="22"/>
          <w:highlight w:val="none"/>
        </w:rPr>
        <w:t>. 本项目采用</w:t>
      </w:r>
      <w:r>
        <w:rPr>
          <w:rFonts w:hint="eastAsia" w:ascii="宋体" w:hAnsi="宋体" w:cs="黑体"/>
          <w:kern w:val="2"/>
          <w:szCs w:val="22"/>
          <w:highlight w:val="none"/>
        </w:rPr>
        <w:t>不</w:t>
      </w:r>
      <w:r>
        <w:rPr>
          <w:rFonts w:ascii="宋体" w:hAnsi="宋体" w:cs="黑体"/>
          <w:kern w:val="2"/>
          <w:szCs w:val="22"/>
          <w:highlight w:val="none"/>
        </w:rPr>
        <w:t>含税报价，</w:t>
      </w:r>
      <w:r>
        <w:rPr>
          <w:rFonts w:hint="eastAsia" w:ascii="宋体" w:hAnsi="宋体" w:cs="黑体"/>
          <w:kern w:val="2"/>
          <w:szCs w:val="22"/>
          <w:highlight w:val="none"/>
        </w:rPr>
        <w:t>合同的最终税金在结算阶段，按实际产生的税金进行核算，但合同</w:t>
      </w:r>
      <w:r>
        <w:rPr>
          <w:rFonts w:hint="eastAsia" w:ascii="宋体" w:hAnsi="宋体" w:eastAsia="宋体" w:cs="黑体"/>
          <w:kern w:val="2"/>
          <w:szCs w:val="22"/>
          <w:highlight w:val="none"/>
        </w:rPr>
        <w:t>不含税价格不因国家税率调</w:t>
      </w:r>
      <w:r>
        <w:rPr>
          <w:rFonts w:hint="eastAsia" w:ascii="宋体" w:hAnsi="宋体" w:cs="黑体"/>
          <w:kern w:val="2"/>
          <w:szCs w:val="22"/>
          <w:highlight w:val="none"/>
        </w:rPr>
        <w:t>整而调整。</w:t>
      </w:r>
    </w:p>
    <w:p>
      <w:pPr>
        <w:shd w:val="clear"/>
        <w:spacing w:before="0" w:after="0" w:afterAutospacing="0"/>
        <w:ind w:left="0" w:right="0" w:firstLine="420" w:firstLineChars="200"/>
        <w:outlineLvl w:val="1"/>
        <w:rPr>
          <w:rFonts w:ascii="宋体" w:hAnsi="宋体"/>
          <w:highlight w:val="none"/>
        </w:rPr>
      </w:pPr>
      <w:bookmarkStart w:id="2189" w:name="_Toc1231"/>
      <w:bookmarkStart w:id="2190" w:name="_Toc4292"/>
      <w:bookmarkStart w:id="2191" w:name="_Toc29570"/>
      <w:bookmarkStart w:id="2192" w:name="_Toc7143"/>
      <w:bookmarkStart w:id="2193" w:name="_Toc20824"/>
      <w:bookmarkStart w:id="2194" w:name="_Toc29952"/>
      <w:bookmarkStart w:id="2195" w:name="_Toc4068"/>
      <w:bookmarkStart w:id="2196" w:name="_Toc11226"/>
      <w:bookmarkStart w:id="2197" w:name="_Toc10194"/>
      <w:r>
        <w:rPr>
          <w:rFonts w:hint="eastAsia" w:ascii="宋体" w:hAnsi="宋体"/>
          <w:highlight w:val="none"/>
        </w:rPr>
        <w:t>8</w:t>
      </w:r>
      <w:r>
        <w:rPr>
          <w:rFonts w:ascii="宋体" w:hAnsi="宋体"/>
          <w:highlight w:val="none"/>
        </w:rPr>
        <w:t>.与本比选申请有关的一切正式往来通讯请发往：</w:t>
      </w:r>
      <w:bookmarkEnd w:id="2189"/>
      <w:bookmarkEnd w:id="2190"/>
      <w:bookmarkEnd w:id="2191"/>
      <w:bookmarkEnd w:id="2192"/>
      <w:bookmarkEnd w:id="2193"/>
      <w:bookmarkEnd w:id="2194"/>
      <w:bookmarkEnd w:id="2195"/>
      <w:bookmarkEnd w:id="2196"/>
      <w:bookmarkEnd w:id="2197"/>
      <w:r>
        <w:rPr>
          <w:rFonts w:ascii="宋体" w:hAnsi="宋体"/>
          <w:highlight w:val="none"/>
        </w:rPr>
        <w:tab/>
      </w:r>
    </w:p>
    <w:p>
      <w:pPr>
        <w:shd w:val="clear"/>
        <w:spacing w:before="0" w:after="0" w:afterAutospacing="0"/>
        <w:ind w:left="0" w:right="0" w:firstLine="420" w:firstLineChars="200"/>
        <w:rPr>
          <w:rFonts w:ascii="宋体" w:hAnsi="宋体"/>
          <w:highlight w:val="none"/>
          <w:u w:val="single"/>
        </w:rPr>
      </w:pPr>
      <w:r>
        <w:rPr>
          <w:rFonts w:ascii="宋体" w:hAnsi="宋体"/>
          <w:highlight w:val="none"/>
        </w:rPr>
        <w:t>地址：</w:t>
      </w:r>
    </w:p>
    <w:p>
      <w:pPr>
        <w:shd w:val="clear"/>
        <w:spacing w:before="0" w:after="0" w:afterAutospacing="0"/>
        <w:ind w:left="0" w:right="0" w:firstLine="420" w:firstLineChars="200"/>
        <w:rPr>
          <w:rFonts w:ascii="宋体" w:hAnsi="宋体"/>
          <w:highlight w:val="none"/>
        </w:rPr>
      </w:pPr>
      <w:r>
        <w:rPr>
          <w:rFonts w:ascii="宋体" w:hAnsi="宋体"/>
          <w:highlight w:val="none"/>
        </w:rPr>
        <w:t>邮编：传真：</w:t>
      </w:r>
    </w:p>
    <w:p>
      <w:pPr>
        <w:shd w:val="clear"/>
        <w:spacing w:before="0" w:after="0" w:afterAutospacing="0"/>
        <w:ind w:left="0" w:right="0" w:firstLine="420" w:firstLineChars="200"/>
        <w:rPr>
          <w:rFonts w:ascii="宋体" w:hAnsi="宋体"/>
          <w:highlight w:val="none"/>
        </w:rPr>
      </w:pPr>
      <w:r>
        <w:rPr>
          <w:rFonts w:ascii="宋体" w:hAnsi="宋体"/>
          <w:highlight w:val="none"/>
        </w:rPr>
        <w:t>电话：电子邮件：</w:t>
      </w:r>
    </w:p>
    <w:p>
      <w:pPr>
        <w:shd w:val="clea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hint="eastAsia" w:ascii="宋体" w:hAnsi="宋体"/>
          <w:highlight w:val="none"/>
        </w:rPr>
        <w:t xml:space="preserve"> </w:t>
      </w:r>
      <w:r>
        <w:rPr>
          <w:rFonts w:hint="eastAsia" w:ascii="宋体" w:hAnsi="宋体"/>
          <w:highlight w:val="none"/>
          <w:u w:val="single"/>
        </w:rPr>
        <w:t xml:space="preserve">           </w:t>
      </w:r>
      <w:r>
        <w:rPr>
          <w:rFonts w:ascii="宋体" w:hAnsi="宋体"/>
          <w:highlight w:val="none"/>
          <w:u w:val="single"/>
        </w:rPr>
        <w:t>（全称并加盖公章）</w:t>
      </w:r>
    </w:p>
    <w:p>
      <w:pPr>
        <w:shd w:val="clea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p>
    <w:p>
      <w:pPr>
        <w:shd w:val="clear"/>
        <w:spacing w:before="0" w:after="0" w:afterAutospacing="0"/>
        <w:ind w:left="0" w:right="0" w:firstLine="420" w:firstLineChars="200"/>
        <w:rPr>
          <w:rFonts w:ascii="宋体" w:hAnsi="宋体"/>
          <w:highlight w:val="none"/>
        </w:rPr>
      </w:pPr>
      <w:r>
        <w:rPr>
          <w:rFonts w:hint="eastAsia" w:ascii="宋体" w:hAnsi="宋体" w:cs="Arial"/>
          <w:highlight w:val="none"/>
        </w:rPr>
        <w:t xml:space="preserve">日期：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shd w:val="clear"/>
        <w:rPr>
          <w:rFonts w:ascii="宋体" w:hAnsi="宋体"/>
          <w:highlight w:val="none"/>
        </w:rPr>
      </w:pPr>
    </w:p>
    <w:p>
      <w:pPr>
        <w:shd w:val="clear"/>
        <w:rPr>
          <w:rFonts w:ascii="宋体" w:hAnsi="宋体"/>
          <w:highlight w:val="none"/>
        </w:rPr>
        <w:sectPr>
          <w:headerReference r:id="rId13" w:type="first"/>
          <w:headerReference r:id="rId12" w:type="default"/>
          <w:pgSz w:w="11905" w:h="16838"/>
          <w:pgMar w:top="1418" w:right="1418" w:bottom="1304" w:left="1418" w:header="454" w:footer="567" w:gutter="0"/>
          <w:pgNumType w:fmt="decimal"/>
          <w:cols w:space="720" w:num="1"/>
          <w:docGrid w:linePitch="312" w:charSpace="0"/>
        </w:sectPr>
      </w:pPr>
    </w:p>
    <w:p>
      <w:pPr>
        <w:pStyle w:val="5"/>
        <w:shd w:val="clear"/>
        <w:tabs>
          <w:tab w:val="left" w:pos="567"/>
          <w:tab w:val="left" w:pos="720"/>
        </w:tabs>
        <w:snapToGrid w:val="0"/>
        <w:spacing w:after="100" w:line="360" w:lineRule="auto"/>
        <w:ind w:right="0"/>
        <w:jc w:val="left"/>
        <w:outlineLvl w:val="2"/>
        <w:rPr>
          <w:rFonts w:ascii="宋体" w:hAnsi="宋体" w:eastAsia="宋体"/>
          <w:sz w:val="21"/>
          <w:szCs w:val="21"/>
          <w:highlight w:val="none"/>
        </w:rPr>
      </w:pPr>
      <w:bookmarkStart w:id="2198" w:name="_Toc27821"/>
      <w:bookmarkStart w:id="2199" w:name="_Toc24000"/>
      <w:bookmarkStart w:id="2200" w:name="_Toc31507"/>
      <w:bookmarkStart w:id="2201" w:name="_Toc30121"/>
      <w:bookmarkStart w:id="2202" w:name="_Toc8727"/>
      <w:bookmarkStart w:id="2203" w:name="_Toc27284"/>
      <w:bookmarkStart w:id="2204" w:name="_Toc17092"/>
      <w:bookmarkStart w:id="2205" w:name="_Toc25750682"/>
      <w:bookmarkStart w:id="2206" w:name="_Toc414290528"/>
      <w:bookmarkStart w:id="2207" w:name="_Toc4583"/>
      <w:bookmarkStart w:id="2208" w:name="_Toc14488"/>
      <w:bookmarkStart w:id="2209" w:name="_Toc15276"/>
      <w:bookmarkStart w:id="2210" w:name="_Toc5581"/>
      <w:bookmarkStart w:id="2211" w:name="_Toc7565"/>
      <w:bookmarkStart w:id="2212" w:name="_Toc6798"/>
      <w:bookmarkStart w:id="2213" w:name="_Toc9617"/>
      <w:bookmarkStart w:id="2214" w:name="_Toc12984814"/>
      <w:bookmarkStart w:id="2215" w:name="_Toc20116"/>
      <w:bookmarkStart w:id="2216" w:name="_Toc8101"/>
      <w:bookmarkStart w:id="2217" w:name="_Toc492478810"/>
      <w:bookmarkStart w:id="2218" w:name="_Toc12983554"/>
      <w:bookmarkStart w:id="2219" w:name="_Toc13611"/>
      <w:bookmarkStart w:id="2220" w:name="_Toc14478"/>
      <w:bookmarkStart w:id="2221" w:name="_Toc28944"/>
      <w:bookmarkStart w:id="2222" w:name="_Toc32674"/>
      <w:bookmarkStart w:id="2223" w:name="_Toc6910"/>
      <w:bookmarkStart w:id="2224" w:name="_Toc3968"/>
      <w:bookmarkStart w:id="2225" w:name="_Toc26731"/>
      <w:bookmarkStart w:id="2226" w:name="_Toc23071"/>
      <w:bookmarkStart w:id="2227" w:name="_Toc15469"/>
      <w:bookmarkStart w:id="2228" w:name="_Toc23737"/>
      <w:bookmarkStart w:id="2229" w:name="_Toc20872"/>
      <w:r>
        <w:rPr>
          <w:rFonts w:hint="eastAsia" w:ascii="宋体" w:hAnsi="宋体" w:eastAsia="宋体"/>
          <w:sz w:val="21"/>
          <w:szCs w:val="21"/>
          <w:highlight w:val="none"/>
          <w:lang w:val="en-US" w:eastAsia="zh-CN"/>
        </w:rPr>
        <w:t>D</w:t>
      </w:r>
      <w:r>
        <w:rPr>
          <w:rFonts w:ascii="宋体" w:hAnsi="宋体" w:eastAsia="宋体"/>
          <w:sz w:val="21"/>
          <w:szCs w:val="21"/>
          <w:highlight w:val="none"/>
        </w:rPr>
        <w:t>3比选申请报价表</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shd w:val="clear"/>
        <w:snapToGrid w:val="0"/>
        <w:spacing w:before="0" w:after="0" w:afterAutospacing="0"/>
        <w:ind w:right="-57" w:firstLine="0"/>
        <w:jc w:val="left"/>
        <w:outlineLvl w:val="1"/>
        <w:rPr>
          <w:rFonts w:ascii="宋体" w:hAnsi="宋体"/>
          <w:b/>
          <w:highlight w:val="none"/>
        </w:rPr>
      </w:pPr>
      <w:bookmarkStart w:id="2230" w:name="_Toc30870"/>
      <w:bookmarkStart w:id="2231" w:name="_Toc16353"/>
      <w:bookmarkStart w:id="2232" w:name="_Toc21418"/>
      <w:bookmarkStart w:id="2233" w:name="_Toc2695"/>
      <w:bookmarkStart w:id="2234" w:name="_Toc20456"/>
      <w:bookmarkStart w:id="2235" w:name="_Toc28237"/>
      <w:bookmarkStart w:id="2236" w:name="_Toc31474"/>
      <w:bookmarkStart w:id="2237" w:name="_Toc5912"/>
      <w:bookmarkStart w:id="2238" w:name="_Toc14619"/>
      <w:r>
        <w:rPr>
          <w:rFonts w:hint="eastAsia" w:ascii="宋体" w:hAnsi="宋体"/>
          <w:b/>
          <w:highlight w:val="none"/>
          <w:lang w:val="en-US" w:eastAsia="zh-CN"/>
        </w:rPr>
        <w:t>1、维保部分</w:t>
      </w:r>
      <w:r>
        <w:rPr>
          <w:rFonts w:hint="eastAsia" w:ascii="宋体" w:hAnsi="宋体"/>
          <w:b/>
          <w:highlight w:val="none"/>
        </w:rPr>
        <w:t>报价表</w:t>
      </w:r>
      <w:bookmarkEnd w:id="2230"/>
      <w:bookmarkEnd w:id="2231"/>
      <w:bookmarkEnd w:id="2232"/>
      <w:bookmarkEnd w:id="2233"/>
      <w:bookmarkEnd w:id="2234"/>
      <w:bookmarkEnd w:id="2235"/>
      <w:bookmarkEnd w:id="2236"/>
      <w:bookmarkEnd w:id="2237"/>
      <w:bookmarkEnd w:id="2238"/>
    </w:p>
    <w:tbl>
      <w:tblPr>
        <w:tblStyle w:val="31"/>
        <w:tblW w:w="15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465"/>
        <w:gridCol w:w="1613"/>
        <w:gridCol w:w="694"/>
        <w:gridCol w:w="694"/>
        <w:gridCol w:w="681"/>
        <w:gridCol w:w="706"/>
        <w:gridCol w:w="675"/>
        <w:gridCol w:w="994"/>
        <w:gridCol w:w="1406"/>
        <w:gridCol w:w="850"/>
        <w:gridCol w:w="850"/>
        <w:gridCol w:w="850"/>
        <w:gridCol w:w="850"/>
        <w:gridCol w:w="850"/>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号</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161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p>
        </w:tc>
        <w:tc>
          <w:tcPr>
            <w:tcW w:w="34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数量（台）</w:t>
            </w:r>
            <w:r>
              <w:rPr>
                <w:rStyle w:val="64"/>
                <w:rFonts w:hint="eastAsia" w:ascii="宋体" w:hAnsi="宋体" w:eastAsia="宋体" w:cs="宋体"/>
                <w:b/>
                <w:bCs/>
                <w:sz w:val="20"/>
                <w:szCs w:val="20"/>
                <w:lang w:val="en-US" w:eastAsia="zh-CN" w:bidi="ar"/>
              </w:rPr>
              <w:t>①</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服务月数</w:t>
            </w:r>
          </w:p>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w:t>
            </w:r>
            <w:r>
              <w:rPr>
                <w:rFonts w:hint="eastAsia" w:ascii="宋体" w:hAnsi="宋体" w:cs="宋体"/>
                <w:b/>
                <w:bCs/>
                <w:i w:val="0"/>
                <w:iCs w:val="0"/>
                <w:color w:val="000000"/>
                <w:kern w:val="0"/>
                <w:sz w:val="20"/>
                <w:szCs w:val="20"/>
                <w:highlight w:val="none"/>
                <w:u w:val="none"/>
                <w:lang w:val="en-US" w:eastAsia="zh-CN" w:bidi="ar"/>
              </w:rPr>
              <w:t>月</w:t>
            </w:r>
            <w:r>
              <w:rPr>
                <w:rFonts w:hint="eastAsia" w:ascii="宋体" w:hAnsi="宋体" w:eastAsia="宋体" w:cs="宋体"/>
                <w:b/>
                <w:bCs/>
                <w:i w:val="0"/>
                <w:iCs w:val="0"/>
                <w:color w:val="000000"/>
                <w:kern w:val="0"/>
                <w:sz w:val="20"/>
                <w:szCs w:val="20"/>
                <w:highlight w:val="none"/>
                <w:u w:val="none"/>
                <w:lang w:val="en-US" w:eastAsia="zh-CN" w:bidi="ar"/>
              </w:rPr>
              <w:t>）</w:t>
            </w:r>
            <w:r>
              <w:rPr>
                <w:rStyle w:val="64"/>
                <w:rFonts w:hint="eastAsia" w:ascii="宋体" w:hAnsi="宋体" w:eastAsia="宋体" w:cs="宋体"/>
                <w:b/>
                <w:bCs/>
                <w:sz w:val="20"/>
                <w:szCs w:val="20"/>
                <w:highlight w:val="none"/>
                <w:lang w:val="en-US" w:eastAsia="zh-CN" w:bidi="ar"/>
              </w:rPr>
              <w:t>②</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不含税综合单</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价（元</w:t>
            </w:r>
            <w:r>
              <w:rPr>
                <w:rFonts w:hint="eastAsia" w:ascii="宋体" w:hAnsi="宋体" w:cs="宋体"/>
                <w:b/>
                <w:bCs/>
                <w:i w:val="0"/>
                <w:iCs w:val="0"/>
                <w:color w:val="000000"/>
                <w:kern w:val="0"/>
                <w:sz w:val="20"/>
                <w:szCs w:val="20"/>
                <w:highlight w:val="none"/>
                <w:u w:val="none"/>
                <w:lang w:val="en-US" w:eastAsia="zh-CN" w:bidi="ar"/>
              </w:rPr>
              <w:t>/台</w:t>
            </w:r>
            <w:r>
              <w:rPr>
                <w:rFonts w:hint="eastAsia" w:ascii="宋体" w:hAnsi="宋体" w:eastAsia="宋体" w:cs="宋体"/>
                <w:b/>
                <w:bCs/>
                <w:i w:val="0"/>
                <w:iCs w:val="0"/>
                <w:color w:val="000000"/>
                <w:kern w:val="0"/>
                <w:sz w:val="20"/>
                <w:szCs w:val="20"/>
                <w:highlight w:val="none"/>
                <w:u w:val="none"/>
                <w:lang w:val="en-US" w:eastAsia="zh-CN" w:bidi="ar"/>
              </w:rPr>
              <w:t>·</w:t>
            </w:r>
            <w:r>
              <w:rPr>
                <w:rFonts w:hint="eastAsia" w:ascii="宋体" w:hAnsi="宋体" w:cs="宋体"/>
                <w:b/>
                <w:bCs/>
                <w:i w:val="0"/>
                <w:iCs w:val="0"/>
                <w:color w:val="000000"/>
                <w:kern w:val="0"/>
                <w:sz w:val="20"/>
                <w:szCs w:val="20"/>
                <w:highlight w:val="none"/>
                <w:u w:val="none"/>
                <w:lang w:val="en-US" w:eastAsia="zh-CN" w:bidi="ar"/>
              </w:rPr>
              <w:t>月</w:t>
            </w:r>
            <w:r>
              <w:rPr>
                <w:rFonts w:hint="eastAsia" w:ascii="宋体" w:hAnsi="宋体" w:eastAsia="宋体" w:cs="宋体"/>
                <w:b/>
                <w:bCs/>
                <w:i w:val="0"/>
                <w:iCs w:val="0"/>
                <w:color w:val="000000"/>
                <w:kern w:val="0"/>
                <w:sz w:val="20"/>
                <w:szCs w:val="20"/>
                <w:highlight w:val="none"/>
                <w:u w:val="none"/>
                <w:lang w:val="en-US" w:eastAsia="zh-CN" w:bidi="ar"/>
              </w:rPr>
              <w:t>）</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③</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小计（元）</w:t>
            </w:r>
            <w:r>
              <w:rPr>
                <w:rStyle w:val="64"/>
                <w:rFonts w:hint="eastAsia" w:ascii="宋体" w:hAnsi="宋体" w:eastAsia="宋体" w:cs="宋体"/>
                <w:b/>
                <w:bCs/>
                <w:sz w:val="20"/>
                <w:szCs w:val="20"/>
                <w:lang w:val="en-US" w:eastAsia="zh-CN" w:bidi="ar"/>
              </w:rPr>
              <w:t>④=①</w:t>
            </w:r>
            <w:r>
              <w:rPr>
                <w:rStyle w:val="65"/>
                <w:rFonts w:hint="eastAsia" w:ascii="宋体" w:hAnsi="宋体" w:eastAsia="宋体" w:cs="宋体"/>
                <w:b/>
                <w:bCs/>
                <w:sz w:val="20"/>
                <w:szCs w:val="20"/>
                <w:lang w:val="en-US" w:eastAsia="zh-CN" w:bidi="ar"/>
              </w:rPr>
              <w:t>×</w:t>
            </w:r>
            <w:r>
              <w:rPr>
                <w:rStyle w:val="64"/>
                <w:rFonts w:hint="eastAsia" w:ascii="宋体" w:hAnsi="宋体" w:eastAsia="宋体" w:cs="宋体"/>
                <w:b/>
                <w:bCs/>
                <w:sz w:val="20"/>
                <w:szCs w:val="20"/>
                <w:lang w:val="en-US" w:eastAsia="zh-CN" w:bidi="ar"/>
              </w:rPr>
              <w:t>②×③</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合计（元）</w:t>
            </w:r>
          </w:p>
          <w:p>
            <w:pPr>
              <w:keepNext w:val="0"/>
              <w:keepLines w:val="0"/>
              <w:widowControl/>
              <w:suppressLineNumbers w:val="0"/>
              <w:spacing w:line="240" w:lineRule="auto"/>
              <w:jc w:val="center"/>
              <w:textAlignment w:val="center"/>
              <w:rPr>
                <w:rStyle w:val="64"/>
                <w:rFonts w:hint="eastAsia" w:ascii="宋体" w:hAnsi="宋体" w:eastAsia="宋体" w:cs="宋体"/>
                <w:b/>
                <w:bCs/>
                <w:sz w:val="20"/>
                <w:szCs w:val="20"/>
                <w:lang w:val="en-US" w:eastAsia="zh-CN" w:bidi="ar"/>
              </w:rPr>
            </w:pPr>
            <w:r>
              <w:rPr>
                <w:rStyle w:val="64"/>
                <w:rFonts w:hint="eastAsia" w:ascii="宋体" w:hAnsi="宋体" w:eastAsia="宋体" w:cs="宋体"/>
                <w:b/>
                <w:bCs/>
                <w:sz w:val="20"/>
                <w:szCs w:val="20"/>
                <w:lang w:val="en-US" w:eastAsia="zh-CN" w:bidi="ar"/>
              </w:rPr>
              <w:t>⑨=⑤+⑥+</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Style w:val="64"/>
                <w:rFonts w:hint="eastAsia" w:ascii="宋体" w:hAnsi="宋体" w:eastAsia="宋体" w:cs="宋体"/>
                <w:b/>
                <w:bCs/>
                <w:sz w:val="20"/>
                <w:szCs w:val="20"/>
                <w:lang w:val="en-US" w:eastAsia="zh-CN" w:bidi="ar"/>
              </w:rPr>
              <w:t>⑦+⑧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1613"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1号线</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2号线</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3号线</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4号线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5号线</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1号线</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Style w:val="64"/>
                <w:rFonts w:hint="eastAsia" w:ascii="宋体" w:hAnsi="宋体" w:eastAsia="宋体" w:cs="宋体"/>
                <w:b/>
                <w:bCs/>
                <w:sz w:val="18"/>
                <w:szCs w:val="18"/>
                <w:lang w:val="en-US" w:eastAsia="zh-CN" w:bidi="ar"/>
              </w:rPr>
              <w:t>⑤</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2号线</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Style w:val="64"/>
                <w:rFonts w:hint="eastAsia" w:ascii="宋体" w:hAnsi="宋体" w:eastAsia="宋体" w:cs="宋体"/>
                <w:b/>
                <w:bCs/>
                <w:sz w:val="18"/>
                <w:szCs w:val="18"/>
                <w:lang w:val="en-US" w:eastAsia="zh-CN" w:bidi="ar"/>
              </w:rPr>
              <w:t>⑥</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3号线</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Style w:val="64"/>
                <w:rFonts w:hint="eastAsia" w:ascii="宋体" w:hAnsi="宋体" w:eastAsia="宋体" w:cs="宋体"/>
                <w:b/>
                <w:bCs/>
                <w:sz w:val="18"/>
                <w:szCs w:val="18"/>
                <w:lang w:val="en-US" w:eastAsia="zh-CN" w:bidi="ar"/>
              </w:rPr>
              <w:t>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4号线</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Style w:val="64"/>
                <w:rFonts w:hint="eastAsia" w:ascii="宋体" w:hAnsi="宋体" w:eastAsia="宋体" w:cs="宋体"/>
                <w:b/>
                <w:bCs/>
                <w:sz w:val="18"/>
                <w:szCs w:val="18"/>
                <w:lang w:val="en-US" w:eastAsia="zh-CN" w:bidi="ar"/>
              </w:rPr>
              <w:t>⑧</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5号线</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Style w:val="64"/>
                <w:rFonts w:hint="eastAsia" w:ascii="宋体" w:hAnsi="宋体" w:eastAsia="宋体" w:cs="宋体"/>
                <w:b/>
                <w:bCs/>
                <w:sz w:val="18"/>
                <w:szCs w:val="18"/>
                <w:lang w:val="en-US" w:eastAsia="zh-CN" w:bidi="ar"/>
              </w:rPr>
              <w:t>⑨</w:t>
            </w: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内燃叉车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电动前移式叉车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8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不含税总价（元）</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7" w:hRule="atLeast"/>
          <w:jc w:val="center"/>
        </w:trPr>
        <w:tc>
          <w:tcPr>
            <w:tcW w:w="15240"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line="240" w:lineRule="auto"/>
              <w:ind w:left="709" w:right="-28" w:hanging="709"/>
              <w:textAlignment w:val="auto"/>
              <w:rPr>
                <w:rFonts w:hint="eastAsia"/>
              </w:rPr>
            </w:pPr>
            <w:r>
              <w:rPr>
                <w:rFonts w:hint="eastAsia"/>
                <w:lang w:val="en-US" w:eastAsia="zh-CN"/>
              </w:rPr>
              <w:t>注：1.</w:t>
            </w:r>
            <w:r>
              <w:rPr>
                <w:rFonts w:hint="eastAsia"/>
              </w:rPr>
              <w:t>维保部分</w:t>
            </w:r>
            <w:r>
              <w:rPr>
                <w:rFonts w:hint="eastAsia"/>
                <w:lang w:val="en-US" w:eastAsia="zh-CN"/>
              </w:rPr>
              <w:t>报价包含：按照比选人用户需求书中</w:t>
            </w:r>
            <w:r>
              <w:rPr>
                <w:rFonts w:hint="eastAsia"/>
              </w:rPr>
              <w:t>修程规定内的维护保养服务、故障处理人工服务、备件更换服务、耗材[润滑油脂、冷冻液、刹车液、注油嘴、保</w:t>
            </w:r>
          </w:p>
          <w:p>
            <w:pPr>
              <w:keepNext w:val="0"/>
              <w:keepLines w:val="0"/>
              <w:pageBreakBefore w:val="0"/>
              <w:widowControl/>
              <w:kinsoku/>
              <w:wordWrap/>
              <w:overflowPunct/>
              <w:topLinePunct w:val="0"/>
              <w:autoSpaceDE/>
              <w:autoSpaceDN/>
              <w:bidi w:val="0"/>
              <w:adjustRightInd/>
              <w:snapToGrid/>
              <w:spacing w:before="0" w:line="240" w:lineRule="auto"/>
              <w:ind w:left="709" w:right="-28" w:hanging="709"/>
              <w:textAlignment w:val="auto"/>
              <w:rPr>
                <w:rFonts w:hint="eastAsia"/>
              </w:rPr>
            </w:pPr>
            <w:r>
              <w:rPr>
                <w:rFonts w:hint="eastAsia"/>
              </w:rPr>
              <w:t>险丝（熔断器）、叉车档位开关、刹车片、三色后尾灯、灯泡、棉纱、蒸馏水、密封圈、随车灭火器等，润滑油脂符合叉车设备使用要求]、工器具、其他辅助材料</w:t>
            </w:r>
          </w:p>
          <w:p>
            <w:pPr>
              <w:keepNext w:val="0"/>
              <w:keepLines w:val="0"/>
              <w:pageBreakBefore w:val="0"/>
              <w:widowControl/>
              <w:kinsoku/>
              <w:wordWrap/>
              <w:overflowPunct/>
              <w:topLinePunct w:val="0"/>
              <w:autoSpaceDE/>
              <w:autoSpaceDN/>
              <w:bidi w:val="0"/>
              <w:adjustRightInd/>
              <w:snapToGrid/>
              <w:spacing w:before="0" w:line="240" w:lineRule="auto"/>
              <w:ind w:left="709" w:right="-28" w:hanging="709"/>
              <w:textAlignment w:val="auto"/>
              <w:rPr>
                <w:rFonts w:hint="eastAsia"/>
              </w:rPr>
            </w:pPr>
            <w:r>
              <w:rPr>
                <w:rFonts w:hint="eastAsia"/>
              </w:rPr>
              <w:t>及叉车定期检验等产生的所有费用。</w:t>
            </w:r>
          </w:p>
          <w:p>
            <w:pPr>
              <w:keepNext w:val="0"/>
              <w:keepLines w:val="0"/>
              <w:pageBreakBefore w:val="0"/>
              <w:widowControl/>
              <w:kinsoku/>
              <w:wordWrap/>
              <w:overflowPunct/>
              <w:topLinePunct w:val="0"/>
              <w:autoSpaceDE/>
              <w:autoSpaceDN/>
              <w:bidi w:val="0"/>
              <w:adjustRightInd/>
              <w:snapToGrid/>
              <w:spacing w:before="0" w:line="240" w:lineRule="auto"/>
              <w:ind w:left="709" w:right="-28" w:hanging="709"/>
              <w:textAlignment w:val="auto"/>
              <w:rPr>
                <w:rFonts w:hint="default"/>
                <w:lang w:val="en-US" w:eastAsia="zh-CN"/>
              </w:rPr>
            </w:pPr>
            <w:r>
              <w:rPr>
                <w:rFonts w:hint="eastAsia"/>
                <w:lang w:val="en-US" w:eastAsia="zh-CN"/>
              </w:rPr>
              <w:t>2.本项目服务时间为36个月，各线路</w:t>
            </w:r>
            <w:r>
              <w:rPr>
                <w:rFonts w:hint="eastAsia" w:eastAsia="宋体" w:cs="宋体"/>
                <w:bCs/>
                <w:snapToGrid w:val="0"/>
                <w:color w:val="auto"/>
                <w:sz w:val="21"/>
                <w:szCs w:val="21"/>
                <w:highlight w:val="none"/>
              </w:rPr>
              <w:t>具体开工时间以</w:t>
            </w:r>
            <w:r>
              <w:rPr>
                <w:rFonts w:hint="eastAsia" w:cs="宋体"/>
                <w:bCs/>
                <w:snapToGrid w:val="0"/>
                <w:color w:val="auto"/>
                <w:sz w:val="21"/>
                <w:szCs w:val="21"/>
                <w:highlight w:val="none"/>
                <w:lang w:val="en-US" w:eastAsia="zh-CN"/>
              </w:rPr>
              <w:t>比选人</w:t>
            </w:r>
            <w:r>
              <w:rPr>
                <w:rFonts w:hint="eastAsia" w:eastAsia="宋体" w:cs="宋体"/>
                <w:bCs/>
                <w:snapToGrid w:val="0"/>
                <w:color w:val="auto"/>
                <w:sz w:val="21"/>
                <w:szCs w:val="21"/>
                <w:highlight w:val="none"/>
              </w:rPr>
              <w:t>发出</w:t>
            </w:r>
            <w:r>
              <w:rPr>
                <w:rFonts w:hint="eastAsia" w:cs="宋体"/>
                <w:bCs/>
                <w:snapToGrid w:val="0"/>
                <w:color w:val="auto"/>
                <w:sz w:val="21"/>
                <w:szCs w:val="21"/>
                <w:highlight w:val="none"/>
                <w:lang w:val="en-US" w:eastAsia="zh-CN"/>
              </w:rPr>
              <w:t>的</w:t>
            </w:r>
            <w:r>
              <w:rPr>
                <w:rFonts w:hint="eastAsia" w:cs="宋体"/>
                <w:bCs/>
                <w:snapToGrid w:val="0"/>
                <w:color w:val="auto"/>
                <w:sz w:val="21"/>
                <w:szCs w:val="21"/>
                <w:highlight w:val="none"/>
                <w:lang w:eastAsia="zh-CN"/>
              </w:rPr>
              <w:t>委外项目进场通知书</w:t>
            </w:r>
            <w:r>
              <w:rPr>
                <w:rFonts w:hint="eastAsia" w:eastAsia="宋体" w:cs="宋体"/>
                <w:bCs/>
                <w:snapToGrid w:val="0"/>
                <w:color w:val="auto"/>
                <w:sz w:val="21"/>
                <w:szCs w:val="21"/>
                <w:highlight w:val="none"/>
              </w:rPr>
              <w:t>为准</w:t>
            </w:r>
            <w:r>
              <w:rPr>
                <w:rFonts w:hint="eastAsia"/>
                <w:lang w:val="en-US" w:eastAsia="zh-CN"/>
              </w:rPr>
              <w:t>。</w:t>
            </w:r>
          </w:p>
        </w:tc>
      </w:tr>
    </w:tbl>
    <w:p>
      <w:pPr>
        <w:shd w:val="clear"/>
        <w:snapToGrid w:val="0"/>
        <w:spacing w:after="0" w:afterAutospacing="0"/>
        <w:ind w:left="0" w:leftChars="0" w:right="-816" w:firstLine="9030" w:firstLineChars="4300"/>
        <w:jc w:val="both"/>
        <w:rPr>
          <w:rFonts w:ascii="宋体" w:hAnsi="宋体"/>
          <w:highlight w:val="none"/>
          <w:u w:val="single"/>
        </w:rPr>
      </w:pPr>
      <w:r>
        <w:rPr>
          <w:rFonts w:hint="eastAsia" w:ascii="宋体" w:hAnsi="宋体"/>
          <w:highlight w:val="none"/>
        </w:rPr>
        <w:t>比选申请人名称（盖章）：</w:t>
      </w:r>
    </w:p>
    <w:p>
      <w:pPr>
        <w:shd w:val="clear"/>
        <w:snapToGrid w:val="0"/>
        <w:spacing w:after="0" w:afterAutospacing="0"/>
        <w:ind w:right="-816" w:firstLine="0"/>
        <w:jc w:val="center"/>
        <w:rPr>
          <w:rFonts w:hint="eastAsia" w:ascii="宋体" w:hAnsi="宋体"/>
          <w:highlight w:val="none"/>
        </w:rPr>
        <w:sectPr>
          <w:pgSz w:w="16838" w:h="11905" w:orient="landscape"/>
          <w:pgMar w:top="1418" w:right="1418" w:bottom="1418" w:left="1304" w:header="454" w:footer="567" w:gutter="0"/>
          <w:pgNumType w:fmt="decimal"/>
          <w:cols w:space="720" w:num="1"/>
          <w:docGrid w:linePitch="312" w:charSpace="0"/>
        </w:sectPr>
      </w:pPr>
      <w:r>
        <w:rPr>
          <w:rFonts w:hint="eastAsia" w:ascii="宋体" w:hAnsi="宋体"/>
          <w:highlight w:val="none"/>
          <w:lang w:val="en-US" w:eastAsia="zh-CN"/>
        </w:rPr>
        <w:t xml:space="preserve">                                                </w:t>
      </w:r>
      <w:r>
        <w:rPr>
          <w:rFonts w:hint="eastAsia" w:ascii="宋体" w:hAnsi="宋体"/>
          <w:highlight w:val="none"/>
        </w:rPr>
        <w:t xml:space="preserve">日期：    </w:t>
      </w:r>
      <w:r>
        <w:rPr>
          <w:rFonts w:hint="eastAsia" w:ascii="宋体" w:hAnsi="宋体"/>
          <w:highlight w:val="none"/>
          <w:lang w:val="en-US" w:eastAsia="zh-CN"/>
        </w:rPr>
        <w:t xml:space="preserve"> </w:t>
      </w:r>
      <w:r>
        <w:rPr>
          <w:rFonts w:hint="eastAsia" w:ascii="宋体" w:hAnsi="宋体"/>
          <w:highlight w:val="none"/>
        </w:rPr>
        <w:t xml:space="preserve">年  </w:t>
      </w:r>
      <w:r>
        <w:rPr>
          <w:rFonts w:hint="eastAsia" w:ascii="宋体" w:hAnsi="宋体"/>
          <w:highlight w:val="none"/>
          <w:lang w:val="en-US" w:eastAsia="zh-CN"/>
        </w:rPr>
        <w:t xml:space="preserve">  </w:t>
      </w:r>
      <w:r>
        <w:rPr>
          <w:rFonts w:hint="eastAsia" w:ascii="宋体" w:hAnsi="宋体"/>
          <w:highlight w:val="none"/>
        </w:rPr>
        <w:t xml:space="preserve">月  </w:t>
      </w:r>
      <w:r>
        <w:rPr>
          <w:rFonts w:hint="eastAsia" w:ascii="宋体" w:hAnsi="宋体"/>
          <w:highlight w:val="none"/>
          <w:lang w:val="en-US" w:eastAsia="zh-CN"/>
        </w:rPr>
        <w:t xml:space="preserve">  </w:t>
      </w:r>
      <w:r>
        <w:rPr>
          <w:rFonts w:hint="eastAsia" w:ascii="宋体" w:hAnsi="宋体"/>
          <w:highlight w:val="none"/>
        </w:rPr>
        <w:t>日</w:t>
      </w:r>
    </w:p>
    <w:p>
      <w:pPr>
        <w:shd w:val="clear"/>
        <w:snapToGrid w:val="0"/>
        <w:spacing w:before="0" w:after="0" w:afterAutospacing="0"/>
        <w:ind w:left="0" w:leftChars="0" w:right="-57" w:firstLine="843" w:firstLineChars="400"/>
        <w:jc w:val="left"/>
        <w:outlineLvl w:val="1"/>
        <w:rPr>
          <w:rFonts w:hint="eastAsia" w:ascii="宋体" w:hAnsi="宋体" w:eastAsia="宋体" w:cs="Times New Roman"/>
          <w:b/>
          <w:highlight w:val="none"/>
          <w:lang w:val="en-US" w:eastAsia="zh-CN"/>
        </w:rPr>
      </w:pPr>
      <w:bookmarkStart w:id="2239" w:name="_Toc3774"/>
      <w:bookmarkStart w:id="2240" w:name="_Toc27285"/>
      <w:bookmarkStart w:id="2241" w:name="_Toc32705"/>
      <w:bookmarkStart w:id="2242" w:name="_Toc23818"/>
      <w:bookmarkStart w:id="2243" w:name="_Toc26312"/>
      <w:bookmarkStart w:id="2244" w:name="_Toc17589"/>
      <w:bookmarkStart w:id="2245" w:name="_Toc6535"/>
      <w:bookmarkStart w:id="2246" w:name="_Toc24718"/>
      <w:bookmarkStart w:id="2247" w:name="_Toc29416"/>
      <w:r>
        <w:rPr>
          <w:rFonts w:hint="eastAsia" w:ascii="宋体" w:hAnsi="宋体" w:eastAsia="宋体" w:cs="Times New Roman"/>
          <w:b/>
          <w:highlight w:val="none"/>
          <w:lang w:val="en-US" w:eastAsia="zh-CN"/>
        </w:rPr>
        <w:t>2、</w:t>
      </w:r>
      <w:r>
        <w:rPr>
          <w:rFonts w:hint="eastAsia" w:ascii="宋体" w:hAnsi="宋体"/>
          <w:b/>
          <w:highlight w:val="none"/>
          <w:lang w:val="en-US" w:eastAsia="zh-CN"/>
        </w:rPr>
        <w:t>备品备件部分</w:t>
      </w:r>
      <w:r>
        <w:rPr>
          <w:rFonts w:hint="eastAsia" w:ascii="宋体" w:hAnsi="宋体"/>
          <w:b/>
          <w:highlight w:val="none"/>
        </w:rPr>
        <w:t>报价表</w:t>
      </w:r>
      <w:bookmarkEnd w:id="2239"/>
      <w:bookmarkEnd w:id="2240"/>
      <w:bookmarkEnd w:id="2241"/>
      <w:bookmarkEnd w:id="2242"/>
      <w:bookmarkEnd w:id="2243"/>
      <w:bookmarkEnd w:id="2244"/>
      <w:bookmarkEnd w:id="2245"/>
      <w:bookmarkEnd w:id="2246"/>
      <w:bookmarkEnd w:id="2247"/>
    </w:p>
    <w:tbl>
      <w:tblPr>
        <w:tblStyle w:val="31"/>
        <w:tblW w:w="148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1583"/>
        <w:gridCol w:w="1067"/>
        <w:gridCol w:w="1819"/>
        <w:gridCol w:w="3187"/>
        <w:gridCol w:w="1876"/>
        <w:gridCol w:w="544"/>
        <w:gridCol w:w="561"/>
        <w:gridCol w:w="1242"/>
        <w:gridCol w:w="1247"/>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备品备件名称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品牌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规格型号</w:t>
            </w:r>
          </w:p>
        </w:tc>
        <w:tc>
          <w:tcPr>
            <w:tcW w:w="3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技术参数</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物料描述</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0"/>
                <w:sz w:val="21"/>
                <w:szCs w:val="20"/>
                <w:u w:val="none"/>
                <w:lang w:val="en-US" w:eastAsia="zh-CN" w:bidi="ar"/>
              </w:rPr>
            </w:pPr>
            <w:r>
              <w:rPr>
                <w:rFonts w:hint="eastAsia" w:ascii="宋体" w:hAnsi="宋体" w:eastAsia="宋体" w:cs="宋体"/>
                <w:b/>
                <w:bCs/>
                <w:i w:val="0"/>
                <w:iCs w:val="0"/>
                <w:color w:val="auto"/>
                <w:kern w:val="0"/>
                <w:sz w:val="21"/>
                <w:szCs w:val="20"/>
                <w:u w:val="none"/>
                <w:lang w:val="en-US" w:eastAsia="zh-CN" w:bidi="ar"/>
              </w:rPr>
              <w:t>单位</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数量</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0"/>
                <w:sz w:val="21"/>
                <w:szCs w:val="20"/>
                <w:u w:val="none"/>
                <w:lang w:val="en-US" w:eastAsia="zh-CN" w:bidi="ar"/>
              </w:rPr>
            </w:pPr>
            <w:r>
              <w:rPr>
                <w:rFonts w:hint="eastAsia" w:ascii="宋体" w:hAnsi="宋体" w:eastAsia="宋体" w:cs="宋体"/>
                <w:b/>
                <w:bCs/>
                <w:i w:val="0"/>
                <w:iCs w:val="0"/>
                <w:color w:val="auto"/>
                <w:kern w:val="0"/>
                <w:sz w:val="21"/>
                <w:szCs w:val="20"/>
                <w:u w:val="none"/>
                <w:lang w:val="en-US" w:eastAsia="zh-CN" w:bidi="ar"/>
              </w:rPr>
              <w:t>不含税单价（元）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kern w:val="0"/>
                <w:sz w:val="21"/>
                <w:szCs w:val="20"/>
                <w:u w:val="none"/>
                <w:lang w:val="en-US" w:eastAsia="zh-CN" w:bidi="ar"/>
              </w:rPr>
            </w:pPr>
            <w:r>
              <w:rPr>
                <w:rFonts w:hint="eastAsia" w:ascii="宋体" w:hAnsi="宋体" w:eastAsia="宋体" w:cs="宋体"/>
                <w:b/>
                <w:bCs/>
                <w:i w:val="0"/>
                <w:iCs w:val="0"/>
                <w:color w:val="auto"/>
                <w:kern w:val="0"/>
                <w:sz w:val="21"/>
                <w:szCs w:val="20"/>
                <w:u w:val="none"/>
                <w:lang w:val="en-US" w:eastAsia="zh-CN" w:bidi="ar"/>
              </w:rPr>
              <w:t>不含税</w:t>
            </w:r>
            <w:r>
              <w:rPr>
                <w:rFonts w:hint="eastAsia" w:ascii="宋体" w:hAnsi="宋体" w:cs="宋体"/>
                <w:b/>
                <w:bCs/>
                <w:i w:val="0"/>
                <w:iCs w:val="0"/>
                <w:color w:val="auto"/>
                <w:kern w:val="0"/>
                <w:sz w:val="21"/>
                <w:szCs w:val="20"/>
                <w:u w:val="none"/>
                <w:lang w:val="en-US" w:eastAsia="zh-CN" w:bidi="ar"/>
              </w:rPr>
              <w:t>合</w:t>
            </w:r>
            <w:r>
              <w:rPr>
                <w:rFonts w:hint="eastAsia" w:ascii="宋体" w:hAnsi="宋体" w:eastAsia="宋体" w:cs="宋体"/>
                <w:b/>
                <w:bCs/>
                <w:i w:val="0"/>
                <w:iCs w:val="0"/>
                <w:color w:val="auto"/>
                <w:kern w:val="0"/>
                <w:sz w:val="21"/>
                <w:szCs w:val="20"/>
                <w:u w:val="none"/>
                <w:lang w:val="en-US" w:eastAsia="zh-CN" w:bidi="ar"/>
              </w:rPr>
              <w:t>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21"/>
                <w:szCs w:val="20"/>
                <w:u w:val="none"/>
              </w:rPr>
            </w:pPr>
            <w:r>
              <w:rPr>
                <w:rFonts w:hint="eastAsia" w:ascii="宋体" w:hAnsi="宋体" w:eastAsia="宋体" w:cs="宋体"/>
                <w:b/>
                <w:bCs/>
                <w:i w:val="0"/>
                <w:iCs w:val="0"/>
                <w:color w:val="auto"/>
                <w:kern w:val="0"/>
                <w:sz w:val="21"/>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多路换向阀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CDB2-F15DY-02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1.压力：20Mpa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2.流量：65L/min</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3.吨位：1.5吨</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4.联数：2联</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6.5-10NHS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1.规格：6.5-10实心胎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5.00-8NHS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1.规格：5.00-8实心胎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手制动器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JP300-530000-00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1.长：340mm</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2.微动开关安装位置孔距25mm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3.安装孔距：55mm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踏板加速器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JCTH-3601（24-48V）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1.规格：JCTH-3601</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2.电压：24-48V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3.系列号：21083A-054753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DJB-24B  24V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2.电流：1A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3.直径：60mm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4.高度：45mm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齿轮油泵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CBHCN-F16-ALH4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1.公称压力：25MPa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2.级数：单级</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3.转速：2000r/min</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4.材质：铸铝</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5.适用温度：30-90°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液压油泵电机控制器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1253-4804</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（48V、600A）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1.电压：48V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2.电流：600A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 xml:space="preserve">3.尺寸：长19.5cm*宽14.5cm*高7.5cm </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交流控制器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1236-5401</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（36-48V、450A）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1.电压：36-48V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 xml:space="preserve">2.电流：450A3.尺寸：长23.2cm*宽16.5cm*高8.5cm </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急停开关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XB2BS542C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1.操纵杆外形：蘑菇头φ40mm（红色）</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2.触点类型：1常关</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3.操纵头类型：旋转复位</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4.额定电压：240V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5.额定电流：3A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6.约定发热电流：10A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7.机械寿命：10万次</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触点接触器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ZB2-BE102C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1.接线端子间的阻抗：≤25MΩ</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2.触点类型：1常关</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3.操纵头类型：弹簧复位</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4.额定绝缘电压：600V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5.额定冲击耐受电压：6KV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6.约定封闭发热电流：10A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7.机械寿命：10万次</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7.00-12NHS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1.规格：7.00-12实心胎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18*7-8NHS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1.规格：18*7-8实心胎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微动开关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TM-1308</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（15A、250VAC）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1.电压：250VAC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2.电流：15A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3.防护等级：300m/s²</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4.最大通断频率：240次/分钟</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5.绝缘电阻：100兆欧</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6.机械寿命：1000万次</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7.电器寿命：50万次</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8.安装孔距：25.4mm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齿轮油泵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DSG05C16F9H9-R261C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公称压力：32MPa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1.公称压力：32MPa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2.级数：单级</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3.材质：铜合金</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4.适用温度：30-90°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转向控制阀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BZZ-100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1.排量：100ml/r</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2.最大入口压力：16Mpa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3.最大连续背压：2.1Mpa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4.转向力矩：1.7-2.5Nm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5.最高系统温度：93°</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6.推荐油清洁度：ISO 18/13</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7.长度：135mm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多路阀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CDB2-F15N2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1.压力：20Mpa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2.流量：65L/min</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3.吨位：3吨</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4.联数：2联</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28*9-15NHS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1.规格：28*9-15实心胎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后轮胎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6.50-10NHS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1.规格：6.50-10实心胎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DJB-12B （DC 12V）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1.电压：12V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2.电流：1A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3.直径：60mm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4.高度：45mm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手制动器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A30/A35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1.杭叉R40/45手制动器</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2.制动器手柄长：200mm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3.制动器身长：137mm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4.安装方式：3孔固定安装</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5.孔距：同边孔80mm,斜边与同边孔87mm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24V档位换挡电磁阀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SWM-G02-C4-D12-30-H006</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1.安装方式：板式安装</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2.公称直径：6mm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3.机能型式：滑柱形式C4</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4.额定电压：12VDC</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变速箱油滤清器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YQX100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长：120mm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直径：74mm/56mm,内径：32mm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K1323</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1.长：23cm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2.直径：13cm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JX0806H(20801-01271)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1.外形尺寸：φ93*H99mm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2.固定孔螺纹规格：M18</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3.与五十铃C240发动机相匹配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制动总泵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30HB</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1.安装孔距：60mm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2.孔径：11mm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3.带刹车油壶，配有M12接头</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发电机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1-81200-365-1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2.电流：25A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3.与6BG1QP发动机相匹配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转向控制阀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BZZ-200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1.排量：200ml/r</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2.最大入口压力：16Mpa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3.最大连续背压：2.1Mpa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4.转向力矩：1.7-5Nm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5.最高系统温度：80°</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6.最大转向力矩:136Nm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7.长度：160mm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信号按钮(急停）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ED250P-1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1.最大电压：96V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2.最大电流：250A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长度：63mm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宽度：45mm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总高：111mm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8.25-15NHS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1.规格：8.25-15实心胎</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2.花纹：大花纹（人字）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点火启动开关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JK406C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1.固定方式：螺母固定（直径19.5mm）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2.接线柱数：6个（B1/B2主线、ACC一档线、R1预热线、C启动线）</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3.钥匙与开关相匹配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用于杭叉3T-5T内燃叉车故障更换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DJB-24B (DC24V)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2.电流：1A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3.直径：60mm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4.高度：45mm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燃油过滤器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DX0807H</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1.固定螺栓孔距：40mm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2.接口直径：10mm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K1634（带内胆）</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1.长：34cm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2.直径：16cm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CJ-608X</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1.外形尺寸：φ112*H198mm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2.固定孔螺纹规格：M36</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3.与五十铃6BG1发动机相匹配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制动总泵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50HB</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1.安装孔距：60mm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2.泵内径：28mm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3.带刹车油壶，配有M10接头（孔径8.8mm）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24V档位换挡电磁阀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SWM-G02-C4-D24-30-H006</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1.安装方式：板式安装</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2.公称直径：6mm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3.机能型式：滑柱形式C4</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4.额定电压：24VDC</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液压油滤清器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YK1012A1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1.滤清器罐身长：127mm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2.滤清器总长：196mm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3.接口外径：16mm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电子闪光器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SG252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1.电压：24VDC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2.功率：44W-130W</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3.3插头不带线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预热继电器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JD295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1.电压：24VDC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2.固定孔距：30mm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3.高度：54mm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4.4插头不带线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变速箱油滤清器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YQX100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长：120mm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直径：74mm/56mm,内径：32mm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叉车控制盒</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H48C2-40601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1.电压：24VDC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2.固定孔距：156mm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3.7插头不带线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蓄电池组</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24-D-450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1.额定电压：48VDC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2.额定容量：450Ah/5hr</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3.长980mm*宽680mm*高485mm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8"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蓄电池组</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24-9PZS630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1.额定电压：48VDC</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2.额定容量：630Ah/5hr</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3.长1065mm*宽845mm*高495mm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蓄电池</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6-QW-90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 xml:space="preserve">电压：12V </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额定容量：90AH</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外形尺寸：302*173*200/222mm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用于杭叉内燃叉车启动蓄电池故障更换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节</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KLX-K1432-HC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直径：140mm 高度：320mm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用于杭叉内燃叉车空气滤芯定期更换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2654407</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外形尺寸：94*140mm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进出口管径：0.8mm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用于杭叉内燃叉车机油滤芯定期更换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燃油滤芯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DX0807H</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固定螺栓孔距：40mm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接口直径：10mm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用于杭叉内燃叉车燃油滤芯定期更换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49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手制动器总成</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A系列</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A系列</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安装孔距：55mm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带自锁功能</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用于杭叉内燃叉车手制动器更换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300-15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直径：780mm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宽度：241mm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用于杭叉内燃叉车轮胎更换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23*9-10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规格：23*9-10</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直径：23英寸</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宽度：9英寸</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轮毂直径：10英寸</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用于杭叉蓄电池叉车前轮更换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18*7-8-14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规格：18×7-8-14</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直径：18英寸</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宽度：7英寸</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轮毂直径：8英寸</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层级：14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用于杭叉蓄电池叉车后轮更换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蓄电池</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D-500-G00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电压：48V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电流：625AH</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电池箱号：TZ59307TT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用于杭叉蓄电池叉车动力蓄电池更换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节</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加速器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JP250-721000-G00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输入电压：24-48V</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输出电压：0-5V</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用于杭叉蓄电池叉车加速器更换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承载轮</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285×100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轮径：285mm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轮宽：100mm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材质：聚氨酯</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用于前移式叉车故障更换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限速阀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XSF</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公称通径:16mm</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压力等级:20Mpa</w:t>
            </w:r>
            <w:r>
              <w:rPr>
                <w:rFonts w:hint="eastAsia" w:ascii="宋体" w:hAnsi="宋体" w:eastAsia="宋体" w:cs="宋体"/>
                <w:i w:val="0"/>
                <w:iCs w:val="0"/>
                <w:color w:val="auto"/>
                <w:kern w:val="0"/>
                <w:sz w:val="21"/>
                <w:szCs w:val="20"/>
                <w:u w:val="none"/>
                <w:lang w:val="en-US" w:eastAsia="zh-CN" w:bidi="ar"/>
              </w:rPr>
              <w:br w:type="textWrapping"/>
            </w:r>
            <w:r>
              <w:rPr>
                <w:rFonts w:hint="eastAsia" w:ascii="宋体" w:hAnsi="宋体" w:eastAsia="宋体" w:cs="宋体"/>
                <w:i w:val="0"/>
                <w:iCs w:val="0"/>
                <w:color w:val="auto"/>
                <w:kern w:val="0"/>
                <w:sz w:val="21"/>
                <w:szCs w:val="20"/>
                <w:u w:val="none"/>
                <w:lang w:val="en-US" w:eastAsia="zh-CN" w:bidi="ar"/>
              </w:rPr>
              <w:t>油口形式:螺纹连接</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用于林德叉车故障更换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吸油滤芯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0009830839</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直径：115mm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高度：370mm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58</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机油滤芯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3542229044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直径：80mm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高度：135mm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59</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通气滤清器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0009832108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直径：80mm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高度：75mm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螺纹尺寸：26mm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液压油滤芯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0009830623V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直径：95mm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高度：165mm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8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61</w:t>
            </w:r>
          </w:p>
        </w:tc>
        <w:tc>
          <w:tcPr>
            <w:tcW w:w="15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空气滤芯</w:t>
            </w:r>
          </w:p>
        </w:tc>
        <w:tc>
          <w:tcPr>
            <w:tcW w:w="10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0009839022</w:t>
            </w:r>
          </w:p>
        </w:tc>
        <w:tc>
          <w:tcPr>
            <w:tcW w:w="31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直径：145mm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高度：255mm</w:t>
            </w:r>
          </w:p>
        </w:tc>
        <w:tc>
          <w:tcPr>
            <w:tcW w:w="18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8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62</w:t>
            </w:r>
          </w:p>
        </w:tc>
        <w:tc>
          <w:tcPr>
            <w:tcW w:w="158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油水分离器滤芯</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0009830550</w:t>
            </w:r>
          </w:p>
        </w:tc>
        <w:tc>
          <w:tcPr>
            <w:tcW w:w="31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直径：85mm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高度：72mm</w:t>
            </w:r>
          </w:p>
        </w:tc>
        <w:tc>
          <w:tcPr>
            <w:tcW w:w="187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用于林德5t内燃叉车维保更换</w:t>
            </w:r>
          </w:p>
        </w:tc>
        <w:tc>
          <w:tcPr>
            <w:tcW w:w="54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63</w:t>
            </w:r>
          </w:p>
        </w:tc>
        <w:tc>
          <w:tcPr>
            <w:tcW w:w="15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通气滤清器滤芯</w:t>
            </w:r>
          </w:p>
        </w:tc>
        <w:tc>
          <w:tcPr>
            <w:tcW w:w="10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0009832114</w:t>
            </w:r>
          </w:p>
        </w:tc>
        <w:tc>
          <w:tcPr>
            <w:tcW w:w="31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直径：45mm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高度：70mm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螺纹尺寸：22mm</w:t>
            </w:r>
          </w:p>
        </w:tc>
        <w:tc>
          <w:tcPr>
            <w:tcW w:w="18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用于林德3t蓄电池叉车维保更换</w:t>
            </w:r>
          </w:p>
        </w:tc>
        <w:tc>
          <w:tcPr>
            <w:tcW w:w="5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吸油过滤器滤芯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0009830831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直径：90mm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高度：255mm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用于林德3t蓄电池叉车维保更换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65</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液压油供油滤芯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0009831684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直径：50mm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用于林德2t/3t蓄电池叉车维保更换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66</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通气滤清器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0009830720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直径：45mm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高度：70mm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螺纹尺寸：23mm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用于林德2t蓄电池叉车维保更换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吸油过滤器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0009830881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直径：92mm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高度：150mm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用于林德2t蓄电池叉车维保更换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68</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排气滤清器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0009832118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直径：45mm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高度：65mm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用于林德1.6t蓄电池叉车维保更换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69</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液压油滤芯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0009831738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直径：45mm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用于林德1.6t蓄电池叉车维保更换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0"/>
                <w:u w:val="none"/>
              </w:rPr>
            </w:pPr>
            <w:r>
              <w:rPr>
                <w:rFonts w:hint="eastAsia" w:ascii="宋体" w:hAnsi="宋体" w:eastAsia="宋体" w:cs="宋体"/>
                <w:i w:val="0"/>
                <w:iCs w:val="0"/>
                <w:color w:val="auto"/>
                <w:kern w:val="0"/>
                <w:sz w:val="21"/>
                <w:szCs w:val="20"/>
                <w:u w:val="none"/>
                <w:lang w:val="en-US" w:eastAsia="zh-CN" w:bidi="ar"/>
              </w:rPr>
              <w:t>70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0009832109</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直径：40mm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高度：50mm</w:t>
            </w:r>
            <w:r>
              <w:rPr>
                <w:rFonts w:hint="eastAsia" w:ascii="宋体" w:hAnsi="宋体" w:eastAsia="宋体" w:cs="宋体"/>
                <w:i w:val="0"/>
                <w:iCs w:val="0"/>
                <w:color w:val="auto"/>
                <w:kern w:val="0"/>
                <w:sz w:val="21"/>
                <w:szCs w:val="22"/>
                <w:u w:val="none"/>
                <w:lang w:val="en-US" w:eastAsia="zh-CN" w:bidi="ar"/>
              </w:rPr>
              <w:br w:type="textWrapping"/>
            </w:r>
            <w:r>
              <w:rPr>
                <w:rFonts w:hint="eastAsia" w:ascii="宋体" w:hAnsi="宋体" w:eastAsia="宋体" w:cs="宋体"/>
                <w:i w:val="0"/>
                <w:iCs w:val="0"/>
                <w:color w:val="auto"/>
                <w:kern w:val="0"/>
                <w:sz w:val="21"/>
                <w:szCs w:val="22"/>
                <w:u w:val="none"/>
                <w:lang w:val="en-US" w:eastAsia="zh-CN" w:bidi="ar"/>
              </w:rPr>
              <w:t>螺纹尺寸：15mm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用于林德1.6t蓄电池前移式叉车维保更换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r>
              <w:rPr>
                <w:rFonts w:hint="eastAsia" w:ascii="宋体" w:hAnsi="宋体" w:eastAsia="宋体" w:cs="宋体"/>
                <w:i w:val="0"/>
                <w:iCs w:val="0"/>
                <w:color w:val="auto"/>
                <w:kern w:val="0"/>
                <w:sz w:val="21"/>
                <w:szCs w:val="20"/>
                <w:u w:val="none"/>
                <w:lang w:val="en-US" w:eastAsia="zh-CN"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21"/>
                <w:szCs w:val="22"/>
                <w:u w:val="none"/>
              </w:rPr>
            </w:pPr>
            <w:r>
              <w:rPr>
                <w:rFonts w:hint="eastAsia" w:ascii="宋体" w:hAnsi="宋体" w:eastAsia="宋体" w:cs="宋体"/>
                <w:i w:val="0"/>
                <w:iCs w:val="0"/>
                <w:color w:val="auto"/>
                <w:kern w:val="0"/>
                <w:sz w:val="21"/>
                <w:szCs w:val="22"/>
                <w:u w:val="none"/>
                <w:lang w:val="en-US" w:eastAsia="zh-CN"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08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0"/>
                <w:u w:val="none"/>
                <w:lang w:val="en-US" w:eastAsia="zh-CN" w:bidi="ar"/>
              </w:rPr>
            </w:pPr>
            <w:r>
              <w:rPr>
                <w:rFonts w:hint="eastAsia" w:ascii="宋体" w:hAnsi="宋体" w:eastAsia="宋体" w:cs="宋体"/>
                <w:b/>
                <w:bCs/>
                <w:i w:val="0"/>
                <w:iCs w:val="0"/>
                <w:color w:val="auto"/>
                <w:kern w:val="0"/>
                <w:sz w:val="21"/>
                <w:szCs w:val="20"/>
                <w:u w:val="none"/>
                <w:lang w:val="en-US" w:eastAsia="zh-CN" w:bidi="ar"/>
              </w:rPr>
              <w:t>合计</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2"/>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宋体" w:hAnsi="宋体" w:eastAsia="宋体" w:cs="宋体"/>
                <w:i w:val="0"/>
                <w:iCs w:val="0"/>
                <w:color w:val="auto"/>
                <w:sz w:val="21"/>
                <w:szCs w:val="22"/>
                <w:u w:val="none"/>
              </w:rPr>
            </w:pPr>
          </w:p>
        </w:tc>
      </w:tr>
    </w:tbl>
    <w:p>
      <w:pPr>
        <w:shd w:val="clear"/>
        <w:spacing w:before="0" w:after="0" w:afterAutospacing="0"/>
        <w:ind w:left="0" w:right="0" w:firstLine="0"/>
        <w:rPr>
          <w:rFonts w:hint="eastAsia" w:ascii="宋体" w:hAnsi="宋体"/>
          <w:highlight w:val="none"/>
        </w:rPr>
      </w:pPr>
    </w:p>
    <w:p>
      <w:pPr>
        <w:shd w:val="clea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比选申请人须按</w:t>
      </w:r>
      <w:r>
        <w:rPr>
          <w:rFonts w:hint="eastAsia" w:ascii="宋体" w:hAnsi="宋体"/>
          <w:highlight w:val="none"/>
          <w:lang w:eastAsia="zh-CN"/>
        </w:rPr>
        <w:t>《</w:t>
      </w:r>
      <w:r>
        <w:rPr>
          <w:rFonts w:hint="eastAsia" w:ascii="宋体" w:hAnsi="宋体"/>
          <w:b w:val="0"/>
          <w:bCs/>
          <w:highlight w:val="none"/>
        </w:rPr>
        <w:t>备品备件部分报价表</w:t>
      </w:r>
      <w:r>
        <w:rPr>
          <w:rFonts w:hint="eastAsia" w:ascii="宋体" w:hAnsi="宋体"/>
          <w:highlight w:val="none"/>
          <w:lang w:eastAsia="zh-CN"/>
        </w:rPr>
        <w:t>》</w:t>
      </w:r>
      <w:r>
        <w:rPr>
          <w:rFonts w:hint="eastAsia" w:ascii="宋体" w:hAnsi="宋体"/>
          <w:highlight w:val="none"/>
        </w:rPr>
        <w:t>顺序进行明细报价，不允许打乱顺序，打乱顺序</w:t>
      </w:r>
      <w:r>
        <w:rPr>
          <w:rFonts w:hint="eastAsia" w:ascii="宋体" w:hAnsi="宋体"/>
          <w:highlight w:val="none"/>
          <w:lang w:val="en-US" w:eastAsia="zh-CN"/>
        </w:rPr>
        <w:t>的</w:t>
      </w:r>
      <w:r>
        <w:rPr>
          <w:rFonts w:hint="eastAsia" w:ascii="宋体" w:hAnsi="宋体"/>
          <w:color w:val="auto"/>
          <w:szCs w:val="21"/>
          <w:highlight w:val="none"/>
        </w:rPr>
        <w:t>视为无效</w:t>
      </w:r>
      <w:r>
        <w:rPr>
          <w:rFonts w:hint="eastAsia" w:ascii="宋体" w:hAnsi="宋体"/>
          <w:color w:val="auto"/>
          <w:szCs w:val="21"/>
          <w:highlight w:val="none"/>
          <w:lang w:val="en-US" w:eastAsia="zh-CN"/>
        </w:rPr>
        <w:t>报价。</w:t>
      </w:r>
      <w:r>
        <w:rPr>
          <w:rFonts w:hint="eastAsia" w:ascii="宋体" w:hAnsi="宋体"/>
          <w:highlight w:val="none"/>
        </w:rPr>
        <w:t>不含税单价、不含税合价均精确到小数点后两位。</w:t>
      </w:r>
    </w:p>
    <w:p>
      <w:pPr>
        <w:numPr>
          <w:ilvl w:val="0"/>
          <w:numId w:val="12"/>
        </w:numPr>
        <w:shd w:val="clear"/>
        <w:spacing w:before="0" w:after="0" w:afterAutospacing="0"/>
        <w:ind w:left="0" w:right="0" w:firstLine="0"/>
        <w:rPr>
          <w:rFonts w:ascii="宋体" w:hAnsi="宋体"/>
          <w:highlight w:val="none"/>
        </w:rPr>
      </w:pPr>
      <w:r>
        <w:rPr>
          <w:rFonts w:hint="eastAsia" w:ascii="宋体" w:hAnsi="宋体"/>
          <w:highlight w:val="none"/>
        </w:rPr>
        <w:t>同一项目在各分项报价中应为同一单价。比选申请人对每个项目</w:t>
      </w:r>
      <w:r>
        <w:rPr>
          <w:rFonts w:ascii="宋体" w:hAnsi="宋体"/>
          <w:highlight w:val="none"/>
        </w:rPr>
        <w:t>(</w:t>
      </w:r>
      <w:r>
        <w:rPr>
          <w:rFonts w:hint="eastAsia" w:ascii="宋体" w:hAnsi="宋体"/>
          <w:highlight w:val="none"/>
        </w:rPr>
        <w:t>指完全相同的同一项目</w:t>
      </w:r>
      <w:r>
        <w:rPr>
          <w:rFonts w:ascii="宋体" w:hAnsi="宋体"/>
          <w:highlight w:val="none"/>
        </w:rPr>
        <w:t>)</w:t>
      </w:r>
      <w:r>
        <w:rPr>
          <w:rFonts w:hint="eastAsia" w:ascii="宋体" w:hAnsi="宋体"/>
          <w:highlight w:val="none"/>
        </w:rPr>
        <w:t>只允许有一个报价，如有不同报价，则以最低报价为准。</w:t>
      </w:r>
    </w:p>
    <w:p>
      <w:pPr>
        <w:pStyle w:val="2"/>
        <w:outlineLvl w:val="1"/>
        <w:rPr>
          <w:rFonts w:hint="eastAsia" w:ascii="宋体" w:hAnsi="宋体" w:eastAsia="宋体" w:cs="Times New Roman"/>
          <w:b w:val="0"/>
          <w:sz w:val="21"/>
          <w:szCs w:val="21"/>
          <w:highlight w:val="none"/>
          <w:lang w:val="en-US" w:eastAsia="zh-CN" w:bidi="ar-SA"/>
        </w:rPr>
      </w:pPr>
      <w:bookmarkStart w:id="2248" w:name="_Toc16225"/>
      <w:bookmarkStart w:id="2249" w:name="_Toc16986"/>
      <w:bookmarkStart w:id="2250" w:name="_Toc6145"/>
      <w:bookmarkStart w:id="2251" w:name="_Toc7405"/>
      <w:bookmarkStart w:id="2252" w:name="_Toc28495"/>
      <w:bookmarkStart w:id="2253" w:name="_Toc30100"/>
      <w:r>
        <w:rPr>
          <w:rFonts w:hint="eastAsia" w:ascii="宋体" w:hAnsi="宋体" w:eastAsia="宋体" w:cs="Times New Roman"/>
          <w:b w:val="0"/>
          <w:sz w:val="21"/>
          <w:szCs w:val="21"/>
          <w:highlight w:val="none"/>
          <w:lang w:val="en-US" w:eastAsia="zh-CN" w:bidi="ar-SA"/>
        </w:rPr>
        <w:t>3、备品备件部分以实际发生故障所</w:t>
      </w:r>
      <w:r>
        <w:rPr>
          <w:rFonts w:hint="eastAsia" w:ascii="宋体" w:hAnsi="宋体" w:cs="Times New Roman"/>
          <w:b w:val="0"/>
          <w:sz w:val="21"/>
          <w:szCs w:val="21"/>
          <w:highlight w:val="none"/>
          <w:lang w:val="en-US" w:eastAsia="zh-CN" w:bidi="ar-SA"/>
        </w:rPr>
        <w:t>更换</w:t>
      </w:r>
      <w:r>
        <w:rPr>
          <w:rFonts w:hint="eastAsia" w:ascii="宋体" w:hAnsi="宋体" w:eastAsia="宋体" w:cs="Times New Roman"/>
          <w:b w:val="0"/>
          <w:sz w:val="21"/>
          <w:szCs w:val="21"/>
          <w:highlight w:val="none"/>
          <w:lang w:val="en-US" w:eastAsia="zh-CN" w:bidi="ar-SA"/>
        </w:rPr>
        <w:t>的数量</w:t>
      </w:r>
      <w:r>
        <w:rPr>
          <w:rFonts w:hint="eastAsia" w:ascii="宋体" w:hAnsi="宋体" w:cs="Times New Roman"/>
          <w:b w:val="0"/>
          <w:sz w:val="21"/>
          <w:szCs w:val="21"/>
          <w:highlight w:val="none"/>
          <w:lang w:val="en-US" w:eastAsia="zh-CN" w:bidi="ar-SA"/>
        </w:rPr>
        <w:t>据实结算</w:t>
      </w:r>
      <w:r>
        <w:rPr>
          <w:rFonts w:hint="eastAsia" w:ascii="宋体" w:hAnsi="宋体" w:eastAsia="宋体" w:cs="Times New Roman"/>
          <w:b w:val="0"/>
          <w:sz w:val="21"/>
          <w:szCs w:val="21"/>
          <w:highlight w:val="none"/>
          <w:lang w:val="en-US" w:eastAsia="zh-CN" w:bidi="ar-SA"/>
        </w:rPr>
        <w:t>。</w:t>
      </w:r>
      <w:bookmarkEnd w:id="2248"/>
      <w:bookmarkEnd w:id="2249"/>
      <w:bookmarkEnd w:id="2250"/>
      <w:bookmarkEnd w:id="2251"/>
      <w:bookmarkEnd w:id="2252"/>
      <w:bookmarkEnd w:id="2253"/>
    </w:p>
    <w:p>
      <w:pPr>
        <w:pStyle w:val="30"/>
        <w:ind w:left="0" w:leftChars="0" w:firstLine="0" w:firstLineChars="0"/>
        <w:rPr>
          <w:rFonts w:hint="eastAsia" w:ascii="宋体" w:hAnsi="宋体" w:eastAsia="宋体" w:cs="Times New Roman"/>
          <w:b/>
          <w:highlight w:val="none"/>
          <w:lang w:val="en-US" w:eastAsia="zh-CN"/>
        </w:rPr>
      </w:pPr>
    </w:p>
    <w:p>
      <w:pPr>
        <w:pStyle w:val="30"/>
        <w:ind w:left="0" w:leftChars="0" w:firstLine="0" w:firstLineChars="0"/>
        <w:rPr>
          <w:rFonts w:hint="eastAsia" w:ascii="宋体" w:hAnsi="宋体" w:eastAsia="宋体" w:cs="Times New Roman"/>
          <w:b/>
          <w:highlight w:val="none"/>
          <w:lang w:val="en-US" w:eastAsia="zh-CN"/>
        </w:rPr>
      </w:pPr>
    </w:p>
    <w:p>
      <w:pPr>
        <w:shd w:val="clear"/>
        <w:snapToGrid w:val="0"/>
        <w:spacing w:after="0" w:afterAutospacing="0"/>
        <w:ind w:right="-816" w:firstLine="0"/>
        <w:jc w:val="center"/>
        <w:rPr>
          <w:rFonts w:ascii="宋体" w:hAnsi="宋体"/>
          <w:highlight w:val="none"/>
          <w:u w:val="single"/>
        </w:rPr>
      </w:pPr>
      <w:r>
        <w:rPr>
          <w:rFonts w:hint="eastAsia" w:ascii="宋体" w:hAnsi="宋体"/>
          <w:highlight w:val="none"/>
          <w:lang w:val="en-US" w:eastAsia="zh-CN"/>
        </w:rPr>
        <w:t xml:space="preserve">                                         </w:t>
      </w:r>
      <w:r>
        <w:rPr>
          <w:rFonts w:hint="eastAsia" w:ascii="宋体" w:hAnsi="宋体"/>
          <w:highlight w:val="none"/>
        </w:rPr>
        <w:t>比选申请人名称（盖章）：</w:t>
      </w:r>
    </w:p>
    <w:p>
      <w:pPr>
        <w:shd w:val="clear"/>
        <w:snapToGrid w:val="0"/>
        <w:spacing w:after="0" w:afterAutospacing="0"/>
        <w:ind w:right="-816" w:firstLine="0"/>
        <w:jc w:val="center"/>
        <w:rPr>
          <w:rFonts w:hint="eastAsia" w:ascii="宋体" w:hAnsi="宋体"/>
          <w:highlight w:val="none"/>
        </w:rPr>
        <w:sectPr>
          <w:pgSz w:w="16838" w:h="11905" w:orient="landscape"/>
          <w:pgMar w:top="1418" w:right="1418" w:bottom="1418" w:left="1304" w:header="454" w:footer="567" w:gutter="0"/>
          <w:pgNumType w:fmt="decimal"/>
          <w:cols w:space="720" w:num="1"/>
          <w:docGrid w:linePitch="312" w:charSpace="0"/>
        </w:sectPr>
      </w:pPr>
      <w:r>
        <w:rPr>
          <w:rFonts w:hint="eastAsia" w:ascii="宋体" w:hAnsi="宋体"/>
          <w:highlight w:val="none"/>
          <w:lang w:val="en-US" w:eastAsia="zh-CN"/>
        </w:rPr>
        <w:t xml:space="preserve">                                          </w:t>
      </w:r>
      <w:r>
        <w:rPr>
          <w:rFonts w:hint="eastAsia" w:ascii="宋体" w:hAnsi="宋体"/>
          <w:highlight w:val="none"/>
        </w:rPr>
        <w:t xml:space="preserve">日期：    </w:t>
      </w:r>
      <w:r>
        <w:rPr>
          <w:rFonts w:hint="eastAsia" w:ascii="宋体" w:hAnsi="宋体"/>
          <w:highlight w:val="none"/>
          <w:lang w:val="en-US" w:eastAsia="zh-CN"/>
        </w:rPr>
        <w:t xml:space="preserve"> </w:t>
      </w:r>
      <w:r>
        <w:rPr>
          <w:rFonts w:hint="eastAsia" w:ascii="宋体" w:hAnsi="宋体"/>
          <w:highlight w:val="none"/>
        </w:rPr>
        <w:t xml:space="preserve">年  </w:t>
      </w:r>
      <w:r>
        <w:rPr>
          <w:rFonts w:hint="eastAsia" w:ascii="宋体" w:hAnsi="宋体"/>
          <w:highlight w:val="none"/>
          <w:lang w:val="en-US" w:eastAsia="zh-CN"/>
        </w:rPr>
        <w:t xml:space="preserve">  </w:t>
      </w:r>
      <w:r>
        <w:rPr>
          <w:rFonts w:hint="eastAsia" w:ascii="宋体" w:hAnsi="宋体"/>
          <w:highlight w:val="none"/>
        </w:rPr>
        <w:t xml:space="preserve">月  </w:t>
      </w:r>
      <w:r>
        <w:rPr>
          <w:rFonts w:hint="eastAsia" w:ascii="宋体" w:hAnsi="宋体"/>
          <w:highlight w:val="none"/>
          <w:lang w:val="en-US" w:eastAsia="zh-CN"/>
        </w:rPr>
        <w:t xml:space="preserve">  </w:t>
      </w:r>
      <w:r>
        <w:rPr>
          <w:rFonts w:hint="eastAsia" w:ascii="宋体" w:hAnsi="宋体"/>
          <w:highlight w:val="none"/>
        </w:rPr>
        <w:t xml:space="preserve">日  </w:t>
      </w:r>
      <w:r>
        <w:rPr>
          <w:rFonts w:hint="eastAsia" w:ascii="宋体" w:hAnsi="宋体"/>
          <w:highlight w:val="none"/>
          <w:lang w:val="en-US" w:eastAsia="zh-CN"/>
        </w:rPr>
        <w:t xml:space="preserve"> </w:t>
      </w:r>
    </w:p>
    <w:p>
      <w:pPr>
        <w:shd w:val="clear"/>
        <w:spacing w:before="0"/>
        <w:ind w:left="0" w:leftChars="0" w:right="-57" w:firstLine="0" w:firstLineChars="0"/>
        <w:jc w:val="center"/>
        <w:outlineLvl w:val="0"/>
        <w:rPr>
          <w:rStyle w:val="45"/>
          <w:rFonts w:hint="eastAsia" w:ascii="宋体" w:hAnsi="宋体" w:eastAsia="宋体" w:cs="Times New Roman"/>
          <w:highlight w:val="none"/>
          <w:lang w:val="en-US" w:eastAsia="zh-CN" w:bidi="ar-SA"/>
        </w:rPr>
      </w:pPr>
      <w:bookmarkStart w:id="2254" w:name="_Toc3204"/>
      <w:bookmarkStart w:id="2255" w:name="_Toc10985"/>
      <w:bookmarkStart w:id="2256" w:name="_Toc15682"/>
      <w:bookmarkStart w:id="2257" w:name="_Toc16913"/>
      <w:bookmarkStart w:id="2258" w:name="_Toc8484"/>
      <w:bookmarkStart w:id="2259" w:name="_Toc14389"/>
      <w:bookmarkStart w:id="2260" w:name="_Toc32229"/>
      <w:bookmarkStart w:id="2261" w:name="_Toc15279_WPSOffice_Level2"/>
      <w:bookmarkStart w:id="2262" w:name="_Toc13908591"/>
      <w:bookmarkStart w:id="2263" w:name="_Toc32429_WPSOffice_Level1"/>
      <w:bookmarkStart w:id="2264" w:name="_Toc4344"/>
      <w:bookmarkStart w:id="2265" w:name="_Toc427229174"/>
      <w:bookmarkStart w:id="2266" w:name="_Toc6563"/>
      <w:bookmarkStart w:id="2267" w:name="_Toc15254"/>
      <w:bookmarkStart w:id="2268" w:name="_Toc30786"/>
      <w:bookmarkStart w:id="2269" w:name="_Toc14248683"/>
      <w:bookmarkStart w:id="2270" w:name="_Toc12321_WPSOffice_Level1"/>
      <w:bookmarkStart w:id="2271" w:name="_Toc11543"/>
      <w:bookmarkStart w:id="2272" w:name="_Toc21747"/>
      <w:bookmarkStart w:id="2273" w:name="_Toc7084"/>
      <w:bookmarkStart w:id="2274" w:name="_Toc534279526"/>
      <w:bookmarkStart w:id="2275" w:name="_Toc534279489"/>
      <w:bookmarkStart w:id="2276" w:name="_Toc30496"/>
      <w:bookmarkStart w:id="2277" w:name="_Toc377652888"/>
      <w:bookmarkStart w:id="2278" w:name="_Toc328"/>
      <w:bookmarkStart w:id="2279" w:name="_Toc5010"/>
      <w:bookmarkStart w:id="2280" w:name="_Toc28535"/>
      <w:bookmarkStart w:id="2281" w:name="_Toc6454"/>
      <w:bookmarkStart w:id="2282" w:name="_Toc25061"/>
      <w:bookmarkStart w:id="2283" w:name="_Toc14566"/>
      <w:bookmarkStart w:id="2284" w:name="_Toc30897"/>
      <w:bookmarkStart w:id="2285" w:name="_Toc12695"/>
      <w:bookmarkStart w:id="2286" w:name="_Toc9597"/>
      <w:bookmarkStart w:id="2287" w:name="_Toc21321"/>
      <w:bookmarkStart w:id="2288" w:name="_Toc20298"/>
      <w:bookmarkStart w:id="2289" w:name="_Toc16754"/>
      <w:bookmarkStart w:id="2290" w:name="_Toc26409"/>
      <w:bookmarkStart w:id="2291" w:name="_Toc492478835"/>
      <w:bookmarkStart w:id="2292" w:name="_Toc31681"/>
      <w:bookmarkStart w:id="2293" w:name="_Toc6337"/>
      <w:bookmarkStart w:id="2294" w:name="_Toc13941"/>
      <w:bookmarkStart w:id="2295" w:name="_Toc28135"/>
      <w:r>
        <w:rPr>
          <w:rStyle w:val="45"/>
          <w:rFonts w:hint="eastAsia" w:ascii="宋体" w:hAnsi="宋体" w:eastAsia="宋体" w:cs="Times New Roman"/>
          <w:highlight w:val="none"/>
          <w:lang w:val="en-US" w:eastAsia="zh-CN" w:bidi="ar-SA"/>
        </w:rPr>
        <w:t>第五章 用户需求书</w:t>
      </w:r>
      <w:bookmarkEnd w:id="2254"/>
      <w:bookmarkEnd w:id="2255"/>
      <w:bookmarkEnd w:id="2256"/>
      <w:bookmarkEnd w:id="2257"/>
      <w:bookmarkEnd w:id="2258"/>
      <w:bookmarkEnd w:id="2259"/>
      <w:bookmarkEnd w:id="2260"/>
    </w:p>
    <w:p>
      <w:pPr>
        <w:widowControl/>
        <w:numPr>
          <w:ilvl w:val="0"/>
          <w:numId w:val="13"/>
        </w:numPr>
        <w:shd w:val="clear" w:color="auto" w:fill="FFFFFF"/>
        <w:spacing w:before="166" w:beforeLines="50" w:after="166" w:afterLines="50" w:line="560" w:lineRule="exact"/>
        <w:ind w:left="0" w:firstLine="0" w:firstLineChars="0"/>
        <w:jc w:val="left"/>
        <w:outlineLvl w:val="1"/>
        <w:rPr>
          <w:rFonts w:ascii="Times New Roman" w:hAnsi="Times New Roman" w:eastAsia="黑体" w:cs="黑体"/>
          <w:b/>
          <w:bCs/>
          <w:color w:val="auto"/>
          <w:sz w:val="28"/>
          <w:szCs w:val="28"/>
          <w:highlight w:val="none"/>
          <w:lang w:val="en-US" w:eastAsia="zh-CN" w:bidi="ar-SA"/>
        </w:rPr>
      </w:pPr>
      <w:bookmarkStart w:id="2296" w:name="_Toc20639"/>
      <w:bookmarkStart w:id="2297" w:name="_Toc26079"/>
      <w:bookmarkStart w:id="2298" w:name="_Toc6314"/>
      <w:bookmarkStart w:id="2299" w:name="_Toc17867"/>
      <w:bookmarkStart w:id="2300" w:name="_Toc3835"/>
      <w:bookmarkStart w:id="2301" w:name="_Toc7963"/>
      <w:bookmarkStart w:id="2302" w:name="_Toc17752"/>
      <w:r>
        <w:rPr>
          <w:rFonts w:hint="eastAsia" w:ascii="Times New Roman" w:hAnsi="Times New Roman" w:eastAsia="黑体" w:cs="黑体"/>
          <w:b/>
          <w:bCs/>
          <w:color w:val="auto"/>
          <w:sz w:val="28"/>
          <w:szCs w:val="28"/>
          <w:highlight w:val="none"/>
          <w:lang w:val="en-US" w:eastAsia="zh-CN" w:bidi="ar-SA"/>
        </w:rPr>
        <w:t>委外项目概况</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96"/>
      <w:bookmarkEnd w:id="2297"/>
      <w:bookmarkEnd w:id="2298"/>
      <w:bookmarkEnd w:id="2299"/>
      <w:bookmarkEnd w:id="2300"/>
      <w:bookmarkEnd w:id="2301"/>
      <w:bookmarkEnd w:id="2302"/>
    </w:p>
    <w:p>
      <w:pPr>
        <w:widowControl/>
        <w:numPr>
          <w:ilvl w:val="1"/>
          <w:numId w:val="13"/>
        </w:numPr>
        <w:shd w:val="clear" w:color="auto" w:fill="FFFFFF"/>
        <w:spacing w:line="560" w:lineRule="exact"/>
        <w:ind w:left="-32767" w:firstLine="32767" w:firstLineChars="0"/>
        <w:jc w:val="left"/>
        <w:outlineLvl w:val="2"/>
        <w:rPr>
          <w:rFonts w:ascii="Times New Roman" w:hAnsi="Times New Roman" w:eastAsia="宋体" w:cs="Times New Roman"/>
          <w:b/>
          <w:bCs/>
          <w:color w:val="auto"/>
          <w:sz w:val="24"/>
          <w:szCs w:val="24"/>
          <w:highlight w:val="none"/>
          <w:lang w:val="en-US" w:eastAsia="zh-CN" w:bidi="ar-SA"/>
        </w:rPr>
      </w:pPr>
      <w:bookmarkStart w:id="2303" w:name="_Toc15854"/>
      <w:bookmarkStart w:id="2304" w:name="_Toc26488"/>
      <w:bookmarkStart w:id="2305" w:name="_Toc2628"/>
      <w:bookmarkStart w:id="2306" w:name="_Toc4289"/>
      <w:bookmarkStart w:id="2307" w:name="_Toc5374"/>
      <w:bookmarkStart w:id="2308" w:name="_Toc15620"/>
      <w:bookmarkStart w:id="2309" w:name="_Toc15461"/>
      <w:bookmarkStart w:id="2310" w:name="_Toc5452"/>
      <w:bookmarkStart w:id="2311" w:name="_Toc5958_WPSOffice_Level2"/>
      <w:bookmarkStart w:id="2312" w:name="_Toc534279527"/>
      <w:bookmarkStart w:id="2313" w:name="_Toc14248684"/>
      <w:bookmarkStart w:id="2314" w:name="_Toc4782_WPSOffice_Level2"/>
      <w:bookmarkStart w:id="2315" w:name="_Toc21186"/>
      <w:bookmarkStart w:id="2316" w:name="_Toc534279490"/>
      <w:bookmarkStart w:id="2317" w:name="_Toc13908592"/>
      <w:r>
        <w:rPr>
          <w:rFonts w:hint="eastAsia" w:ascii="Times New Roman" w:hAnsi="Times New Roman" w:eastAsia="宋体" w:cs="Times New Roman"/>
          <w:b/>
          <w:bCs/>
          <w:color w:val="auto"/>
          <w:sz w:val="24"/>
          <w:szCs w:val="24"/>
          <w:highlight w:val="none"/>
          <w:lang w:val="en-US" w:eastAsia="zh-CN" w:bidi="ar-SA"/>
        </w:rPr>
        <w:t>委外项目名称</w:t>
      </w:r>
      <w:bookmarkEnd w:id="2303"/>
      <w:bookmarkEnd w:id="2304"/>
      <w:bookmarkEnd w:id="2305"/>
      <w:bookmarkEnd w:id="2306"/>
      <w:bookmarkEnd w:id="2307"/>
      <w:bookmarkEnd w:id="2308"/>
      <w:bookmarkEnd w:id="2309"/>
    </w:p>
    <w:p>
      <w:pPr>
        <w:widowControl/>
        <w:shd w:val="clear" w:color="auto" w:fill="FFFFFF"/>
        <w:spacing w:before="0" w:after="0" w:afterAutospacing="0" w:line="560" w:lineRule="exact"/>
        <w:ind w:left="0" w:right="0" w:firstLine="420" w:firstLineChars="200"/>
        <w:jc w:val="left"/>
        <w:rPr>
          <w:rFonts w:ascii="Times New Roman" w:hAnsi="Times New Roman" w:eastAsia="宋体" w:cs="宋体"/>
          <w:bCs/>
          <w:snapToGrid w:val="0"/>
          <w:color w:val="auto"/>
          <w:sz w:val="21"/>
          <w:szCs w:val="21"/>
          <w:highlight w:val="none"/>
        </w:rPr>
      </w:pPr>
      <w:r>
        <w:rPr>
          <w:rFonts w:hint="eastAsia" w:ascii="Times New Roman" w:hAnsi="Times New Roman" w:eastAsia="宋体" w:cs="宋体"/>
          <w:bCs/>
          <w:snapToGrid w:val="0"/>
          <w:color w:val="auto"/>
          <w:sz w:val="21"/>
          <w:szCs w:val="21"/>
          <w:highlight w:val="none"/>
        </w:rPr>
        <w:t>南宁轨道交通1-5号线</w:t>
      </w:r>
      <w:r>
        <w:rPr>
          <w:rFonts w:hint="eastAsia" w:ascii="Times New Roman" w:hAnsi="Times New Roman" w:eastAsia="宋体" w:cs="宋体"/>
          <w:bCs/>
          <w:snapToGrid w:val="0"/>
          <w:color w:val="auto"/>
          <w:sz w:val="21"/>
          <w:szCs w:val="21"/>
          <w:highlight w:val="none"/>
          <w:lang w:val="en-US" w:eastAsia="zh-CN"/>
        </w:rPr>
        <w:t>叉车</w:t>
      </w:r>
      <w:r>
        <w:rPr>
          <w:rFonts w:hint="eastAsia" w:ascii="Times New Roman" w:hAnsi="Times New Roman" w:eastAsia="宋体" w:cs="宋体"/>
          <w:bCs/>
          <w:snapToGrid w:val="0"/>
          <w:color w:val="auto"/>
          <w:sz w:val="21"/>
          <w:szCs w:val="21"/>
          <w:highlight w:val="none"/>
        </w:rPr>
        <w:t>委外维保项目（2024-2027）</w:t>
      </w:r>
      <w:bookmarkEnd w:id="2310"/>
      <w:bookmarkEnd w:id="2311"/>
      <w:bookmarkEnd w:id="2312"/>
      <w:bookmarkEnd w:id="2313"/>
      <w:bookmarkEnd w:id="2314"/>
      <w:bookmarkEnd w:id="2315"/>
      <w:bookmarkEnd w:id="2316"/>
      <w:bookmarkEnd w:id="2317"/>
      <w:bookmarkStart w:id="2318" w:name="_Toc9572"/>
    </w:p>
    <w:p>
      <w:pPr>
        <w:widowControl/>
        <w:numPr>
          <w:ilvl w:val="1"/>
          <w:numId w:val="13"/>
        </w:numPr>
        <w:shd w:val="clear" w:color="auto" w:fill="FFFFFF"/>
        <w:spacing w:line="560" w:lineRule="exact"/>
        <w:ind w:left="-32767" w:firstLine="32767" w:firstLineChars="0"/>
        <w:jc w:val="left"/>
        <w:outlineLvl w:val="2"/>
        <w:rPr>
          <w:rFonts w:ascii="Times New Roman" w:hAnsi="Times New Roman" w:eastAsia="宋体" w:cs="宋体"/>
          <w:bCs/>
          <w:snapToGrid w:val="0"/>
          <w:color w:val="auto"/>
          <w:sz w:val="21"/>
          <w:szCs w:val="21"/>
          <w:highlight w:val="none"/>
          <w:lang w:val="en-US" w:eastAsia="zh-CN" w:bidi="ar-SA"/>
        </w:rPr>
      </w:pPr>
      <w:bookmarkStart w:id="2319" w:name="_Toc17658"/>
      <w:bookmarkStart w:id="2320" w:name="_Toc16486"/>
      <w:bookmarkStart w:id="2321" w:name="_Toc31927"/>
      <w:bookmarkStart w:id="2322" w:name="_Toc24940"/>
      <w:bookmarkStart w:id="2323" w:name="_Toc13277"/>
      <w:bookmarkStart w:id="2324" w:name="_Toc19313"/>
      <w:bookmarkStart w:id="2325" w:name="_Toc23691"/>
      <w:bookmarkStart w:id="2326" w:name="_Toc10092"/>
      <w:r>
        <w:rPr>
          <w:rFonts w:hint="eastAsia" w:ascii="Times New Roman" w:hAnsi="Times New Roman" w:eastAsia="宋体" w:cs="Times New Roman"/>
          <w:b/>
          <w:bCs/>
          <w:color w:val="auto"/>
          <w:sz w:val="24"/>
          <w:szCs w:val="24"/>
          <w:highlight w:val="none"/>
          <w:lang w:val="en-US" w:eastAsia="zh-CN" w:bidi="ar-SA"/>
        </w:rPr>
        <w:t>南宁轨道交通各线路概况</w:t>
      </w:r>
      <w:bookmarkEnd w:id="2318"/>
      <w:bookmarkEnd w:id="2319"/>
      <w:bookmarkEnd w:id="2320"/>
      <w:bookmarkEnd w:id="2321"/>
      <w:bookmarkEnd w:id="2322"/>
      <w:bookmarkEnd w:id="2323"/>
      <w:bookmarkEnd w:id="2324"/>
      <w:bookmarkEnd w:id="2325"/>
      <w:bookmarkEnd w:id="2326"/>
    </w:p>
    <w:p>
      <w:pPr>
        <w:widowControl/>
        <w:numPr>
          <w:ilvl w:val="2"/>
          <w:numId w:val="13"/>
        </w:numPr>
        <w:shd w:val="clear" w:color="auto" w:fill="FFFFFF"/>
        <w:spacing w:line="560" w:lineRule="exact"/>
        <w:ind w:left="0" w:firstLine="420" w:firstLineChars="200"/>
        <w:jc w:val="left"/>
        <w:rPr>
          <w:rFonts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1号线，以石埠站为起点，线路途经西乡塘客运站、广西大学、金湖广场、火车东站，在火车东站设置终点站。线路全长约32.1km，共设25座车站，均为地下站，其中4座车站（广西大学站、火车站、朝阳广场站、金湖广场站）与其它轨道交通线有换乘关系。设置屯里车辆段和西乡塘停车场。</w:t>
      </w:r>
    </w:p>
    <w:p>
      <w:pPr>
        <w:widowControl/>
        <w:numPr>
          <w:ilvl w:val="2"/>
          <w:numId w:val="13"/>
        </w:numPr>
        <w:shd w:val="clear" w:color="auto" w:fill="FFFFFF"/>
        <w:spacing w:line="560" w:lineRule="exact"/>
        <w:ind w:left="0" w:firstLine="420" w:firstLineChars="200"/>
        <w:jc w:val="left"/>
        <w:rPr>
          <w:rFonts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2号线，以西津站为起点，线路途经火车站、南宁剧场、江南客运站、玉洞，在坛泽站设置终点站。线路全长约27.5km，共设车站23座，均为地下车站，其中5座车站（安吉客运站站、明秀路站、火车站、朝阳广场站、大沙田站）与其它轨道交通线路有换乘关系。设置安吉车辆段及综合基地和新村停车场。</w:t>
      </w:r>
    </w:p>
    <w:p>
      <w:pPr>
        <w:widowControl/>
        <w:numPr>
          <w:ilvl w:val="2"/>
          <w:numId w:val="13"/>
        </w:numPr>
        <w:shd w:val="clear" w:color="auto" w:fill="FFFFFF"/>
        <w:spacing w:line="560" w:lineRule="exact"/>
        <w:ind w:left="0" w:firstLine="420" w:firstLineChars="200"/>
        <w:jc w:val="left"/>
        <w:rPr>
          <w:rFonts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3号线，以科园大道为起点，线路途经安吉客运站、金湖广场、总部基地、五象湖，在平良立交站设置终点站。线路全长27.9km，共设车站23座，均为地下车站，其中5座车站（安吉客运站、小鸡村站、金湖广场站、总部基地站、平良立交站）与其它轨道交通线路有换乘关系。设置心圩车辆段和新村停车场。</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4号线，以洪运路站为起点，线路途经那洪立交、五象岭、体育中心东、良庆大桥南，在楞塘站设置终点站。线路全长20.7km，共设16座车站，均为地下车站，其中3座车站（那洪立交站、大沙田站、总部基地站）与其它轨道交通线路有换乘关系。设置五象车辆段。</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5号线，以国凯大道站为起点，线路途经那洪立交、广西大学、秀灵路、狮山公园，在金桥客运站设置终点站。线路全长20.2km，共设17座车站，均为地下车站，其中4座车站（那洪立交站、广西大学站、明秀路站、小鸡村站）与其它轨道交通线路有换乘关系。设置那洪车辆基地。</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327" w:name="_Toc12266"/>
      <w:bookmarkStart w:id="2328" w:name="_Toc1414"/>
      <w:bookmarkStart w:id="2329" w:name="_Toc24387"/>
      <w:bookmarkStart w:id="2330" w:name="_Toc2258"/>
      <w:bookmarkStart w:id="2331" w:name="_Toc3594"/>
      <w:bookmarkStart w:id="2332" w:name="_Toc3136"/>
      <w:bookmarkStart w:id="2333" w:name="_Toc15383"/>
      <w:bookmarkStart w:id="2334" w:name="_Toc19693"/>
      <w:r>
        <w:rPr>
          <w:rFonts w:hint="eastAsia" w:ascii="Times New Roman" w:hAnsi="Times New Roman" w:eastAsia="宋体" w:cs="Times New Roman"/>
          <w:b/>
          <w:bCs/>
          <w:color w:val="auto"/>
          <w:sz w:val="24"/>
          <w:szCs w:val="24"/>
          <w:highlight w:val="none"/>
          <w:lang w:val="en-US" w:eastAsia="zh-CN" w:bidi="ar-SA"/>
        </w:rPr>
        <w:t>系统概况</w:t>
      </w:r>
      <w:bookmarkEnd w:id="2327"/>
      <w:bookmarkEnd w:id="2328"/>
      <w:bookmarkEnd w:id="2329"/>
      <w:bookmarkEnd w:id="2330"/>
      <w:bookmarkEnd w:id="2331"/>
      <w:bookmarkEnd w:id="2332"/>
      <w:bookmarkEnd w:id="2333"/>
      <w:bookmarkEnd w:id="2334"/>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南宁轨道交通1号线叉车共10台，包括3台内燃叉车、6台蓄电池叉车和1台电动前移式叉车，均配置于屯里车辆段。</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南宁轨道交通2号线叉车共6台，包括2台内燃叉车和4台蓄电池叉车，均配置于安吉车辆段及综合基地。</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南宁轨道交通3号线叉车共10台，包括3台内燃叉车、6台蓄电池叉车和1台电动前移式叉车，其中2台内燃叉车配置于新村停车场，其它8台叉车均配置于心圩车辆段。</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南宁轨道交通4号线叉车共5台，包括1台内燃叉车和4台蓄电池叉车，均配置于五象车辆段。</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bookmarkStart w:id="2335" w:name="_Toc27514"/>
      <w:bookmarkStart w:id="2336" w:name="_Toc31702"/>
      <w:bookmarkStart w:id="2337" w:name="_Toc13908594"/>
      <w:r>
        <w:rPr>
          <w:rFonts w:hint="eastAsia" w:ascii="Times New Roman" w:hAnsi="Times New Roman" w:eastAsia="宋体" w:cs="Times New Roman"/>
          <w:color w:val="auto"/>
          <w:sz w:val="21"/>
          <w:szCs w:val="21"/>
          <w:highlight w:val="none"/>
          <w:lang w:val="en-US" w:eastAsia="zh-CN" w:bidi="ar-SA"/>
        </w:rPr>
        <w:t>南宁轨道交通5号线叉车共7台，包括1台内燃叉车、4台蓄电池叉车和2台电动前移式叉车，均配置于那洪车辆基地。</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338" w:name="_Toc18211"/>
      <w:bookmarkStart w:id="2339" w:name="_Toc4348"/>
      <w:bookmarkStart w:id="2340" w:name="_Toc24655"/>
      <w:bookmarkStart w:id="2341" w:name="_Toc21527"/>
      <w:bookmarkStart w:id="2342" w:name="_Toc8506"/>
      <w:bookmarkStart w:id="2343" w:name="_Toc1156"/>
      <w:bookmarkStart w:id="2344" w:name="_Toc6357"/>
      <w:bookmarkStart w:id="2345" w:name="_Toc29076"/>
      <w:r>
        <w:rPr>
          <w:rFonts w:hint="eastAsia" w:ascii="Times New Roman" w:hAnsi="Times New Roman" w:eastAsia="宋体" w:cs="Times New Roman"/>
          <w:b/>
          <w:bCs/>
          <w:color w:val="auto"/>
          <w:sz w:val="24"/>
          <w:szCs w:val="24"/>
          <w:highlight w:val="none"/>
          <w:lang w:val="en-US" w:eastAsia="zh-CN" w:bidi="ar-SA"/>
        </w:rPr>
        <w:t>比选人与</w:t>
      </w:r>
      <w:bookmarkEnd w:id="2335"/>
      <w:bookmarkEnd w:id="2336"/>
      <w:bookmarkEnd w:id="2338"/>
      <w:r>
        <w:rPr>
          <w:rFonts w:hint="eastAsia" w:ascii="Times New Roman" w:hAnsi="Times New Roman" w:eastAsia="宋体" w:cs="Times New Roman"/>
          <w:b/>
          <w:bCs/>
          <w:color w:val="auto"/>
          <w:sz w:val="24"/>
          <w:szCs w:val="24"/>
          <w:highlight w:val="none"/>
          <w:lang w:val="en-US" w:eastAsia="zh-CN" w:bidi="ar-SA"/>
        </w:rPr>
        <w:t>比选申请人</w:t>
      </w:r>
      <w:bookmarkEnd w:id="2339"/>
      <w:bookmarkEnd w:id="2340"/>
      <w:bookmarkEnd w:id="2341"/>
      <w:bookmarkEnd w:id="2342"/>
      <w:bookmarkEnd w:id="2343"/>
      <w:bookmarkEnd w:id="2344"/>
      <w:bookmarkEnd w:id="2345"/>
    </w:p>
    <w:p>
      <w:pPr>
        <w:widowControl/>
        <w:shd w:val="clear" w:color="auto" w:fill="FFFFFF"/>
        <w:spacing w:before="0" w:after="0" w:afterAutospacing="0" w:line="560" w:lineRule="exact"/>
        <w:ind w:left="0" w:right="0" w:firstLine="420" w:firstLineChars="200"/>
        <w:jc w:val="left"/>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比选人</w:t>
      </w:r>
      <w:r>
        <w:rPr>
          <w:rFonts w:hint="eastAsia" w:ascii="Times New Roman" w:hAnsi="Times New Roman" w:eastAsia="宋体" w:cs="Times New Roman"/>
          <w:color w:val="auto"/>
          <w:sz w:val="21"/>
          <w:szCs w:val="21"/>
          <w:highlight w:val="none"/>
        </w:rPr>
        <w:t>：南宁轨道交通运营有限公司。</w:t>
      </w:r>
    </w:p>
    <w:p>
      <w:pPr>
        <w:widowControl/>
        <w:shd w:val="clear" w:color="auto" w:fill="FFFFFF"/>
        <w:spacing w:before="0" w:after="0" w:afterAutospacing="0" w:line="560" w:lineRule="exact"/>
        <w:ind w:left="0" w:right="0" w:firstLine="420" w:firstLineChars="200"/>
        <w:jc w:val="left"/>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比选申请人</w:t>
      </w:r>
      <w:r>
        <w:rPr>
          <w:rFonts w:hint="eastAsia" w:ascii="Times New Roman" w:hAnsi="Times New Roman" w:eastAsia="宋体" w:cs="Times New Roman"/>
          <w:color w:val="auto"/>
          <w:sz w:val="21"/>
          <w:szCs w:val="21"/>
          <w:highlight w:val="none"/>
        </w:rPr>
        <w:t>：响应投标、参加投标申请竞争的法人。</w:t>
      </w:r>
    </w:p>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346" w:name="_Toc17615"/>
      <w:bookmarkStart w:id="2347" w:name="_Toc25821"/>
      <w:bookmarkStart w:id="2348" w:name="_Toc2375"/>
      <w:bookmarkStart w:id="2349" w:name="_Toc30714"/>
      <w:bookmarkStart w:id="2350" w:name="_Toc24864"/>
      <w:bookmarkStart w:id="2351" w:name="_Toc11"/>
      <w:bookmarkStart w:id="2352" w:name="_Toc4918"/>
      <w:bookmarkStart w:id="2353" w:name="_Toc11133"/>
      <w:bookmarkStart w:id="2354" w:name="_Toc20589"/>
      <w:bookmarkStart w:id="2355" w:name="_Toc16643"/>
      <w:bookmarkStart w:id="2356" w:name="_Toc21192"/>
      <w:r>
        <w:rPr>
          <w:rFonts w:hint="eastAsia" w:ascii="Times New Roman" w:hAnsi="Times New Roman" w:eastAsia="黑体" w:cs="黑体"/>
          <w:b/>
          <w:bCs/>
          <w:color w:val="auto"/>
          <w:sz w:val="28"/>
          <w:szCs w:val="28"/>
          <w:highlight w:val="none"/>
          <w:lang w:val="en-US" w:eastAsia="zh-CN" w:bidi="ar-SA"/>
        </w:rPr>
        <w:t>委外项目范围</w:t>
      </w:r>
      <w:bookmarkEnd w:id="2346"/>
      <w:bookmarkEnd w:id="2347"/>
      <w:bookmarkEnd w:id="2348"/>
      <w:bookmarkEnd w:id="2349"/>
      <w:bookmarkEnd w:id="2350"/>
      <w:bookmarkEnd w:id="2351"/>
      <w:bookmarkEnd w:id="2352"/>
      <w:bookmarkEnd w:id="2353"/>
      <w:bookmarkEnd w:id="2354"/>
      <w:bookmarkEnd w:id="2355"/>
      <w:bookmarkEnd w:id="2356"/>
    </w:p>
    <w:p>
      <w:pPr>
        <w:widowControl/>
        <w:numPr>
          <w:ilvl w:val="1"/>
          <w:numId w:val="13"/>
        </w:numPr>
        <w:shd w:val="clear" w:color="auto" w:fill="FFFFFF"/>
        <w:spacing w:line="560" w:lineRule="exact"/>
        <w:ind w:left="-32767" w:firstLine="32767" w:firstLineChars="0"/>
        <w:jc w:val="left"/>
        <w:outlineLvl w:val="2"/>
        <w:rPr>
          <w:rFonts w:ascii="Times New Roman" w:hAnsi="Times New Roman" w:eastAsia="宋体" w:cs="Times New Roman"/>
          <w:b/>
          <w:bCs/>
          <w:color w:val="auto"/>
          <w:sz w:val="24"/>
          <w:szCs w:val="24"/>
          <w:highlight w:val="none"/>
          <w:lang w:val="en-US" w:eastAsia="zh-CN" w:bidi="ar-SA"/>
        </w:rPr>
      </w:pPr>
      <w:bookmarkStart w:id="2357" w:name="_Toc20610"/>
      <w:bookmarkStart w:id="2358" w:name="_Toc8960"/>
      <w:bookmarkStart w:id="2359" w:name="_Toc27512"/>
      <w:bookmarkStart w:id="2360" w:name="_Toc9326"/>
      <w:bookmarkStart w:id="2361" w:name="_Toc4100"/>
      <w:bookmarkStart w:id="2362" w:name="_Toc17336"/>
      <w:bookmarkStart w:id="2363" w:name="_Toc8033"/>
      <w:bookmarkStart w:id="2364" w:name="_Toc24026"/>
      <w:bookmarkStart w:id="2365" w:name="_Toc15282"/>
      <w:bookmarkStart w:id="2366" w:name="_Toc3293"/>
      <w:bookmarkStart w:id="2367" w:name="_Toc30145"/>
      <w:r>
        <w:rPr>
          <w:rFonts w:hint="eastAsia" w:ascii="Times New Roman" w:hAnsi="Times New Roman" w:eastAsia="宋体" w:cs="Times New Roman"/>
          <w:b/>
          <w:bCs/>
          <w:color w:val="auto"/>
          <w:sz w:val="24"/>
          <w:szCs w:val="24"/>
          <w:highlight w:val="none"/>
          <w:lang w:val="en-US" w:eastAsia="zh-CN" w:bidi="ar-SA"/>
        </w:rPr>
        <w:t>委外项目</w:t>
      </w:r>
      <w:bookmarkEnd w:id="2357"/>
      <w:bookmarkEnd w:id="2358"/>
      <w:bookmarkEnd w:id="2359"/>
      <w:r>
        <w:rPr>
          <w:rFonts w:hint="eastAsia" w:ascii="Times New Roman" w:hAnsi="Times New Roman" w:eastAsia="宋体" w:cs="Times New Roman"/>
          <w:b/>
          <w:bCs/>
          <w:color w:val="auto"/>
          <w:sz w:val="24"/>
          <w:szCs w:val="24"/>
          <w:highlight w:val="none"/>
          <w:lang w:val="en-US" w:eastAsia="zh-CN" w:bidi="ar-SA"/>
        </w:rPr>
        <w:t>地点</w:t>
      </w:r>
      <w:bookmarkEnd w:id="2360"/>
      <w:bookmarkEnd w:id="2361"/>
      <w:bookmarkEnd w:id="2362"/>
      <w:bookmarkEnd w:id="2363"/>
      <w:bookmarkEnd w:id="2364"/>
      <w:bookmarkEnd w:id="2365"/>
      <w:bookmarkEnd w:id="2366"/>
      <w:bookmarkEnd w:id="2367"/>
    </w:p>
    <w:p>
      <w:pPr>
        <w:widowControl/>
        <w:shd w:val="clear" w:color="auto" w:fill="FFFFFF"/>
        <w:spacing w:before="0" w:after="0" w:afterAutospacing="0" w:line="560" w:lineRule="exact"/>
        <w:ind w:left="0" w:right="0" w:firstLine="420" w:firstLineChars="200"/>
        <w:jc w:val="left"/>
        <w:rPr>
          <w:rFonts w:ascii="Times New Roman" w:hAnsi="Times New Roman" w:eastAsia="宋体" w:cs="宋体"/>
          <w:bCs/>
          <w:snapToGrid w:val="0"/>
          <w:color w:val="auto"/>
          <w:sz w:val="21"/>
          <w:szCs w:val="21"/>
          <w:highlight w:val="none"/>
        </w:rPr>
      </w:pPr>
      <w:bookmarkStart w:id="2368" w:name="_Toc148"/>
      <w:bookmarkStart w:id="2369" w:name="_Toc18432"/>
      <w:bookmarkStart w:id="2370" w:name="_Toc14433"/>
      <w:r>
        <w:rPr>
          <w:rFonts w:hint="eastAsia" w:ascii="Times New Roman" w:hAnsi="Times New Roman" w:eastAsia="宋体" w:cs="Times New Roman"/>
          <w:color w:val="auto"/>
          <w:sz w:val="21"/>
          <w:szCs w:val="21"/>
          <w:highlight w:val="none"/>
        </w:rPr>
        <w:t>南宁轨道交通1号线屯里车辆段，2号线安吉车辆段及综合基地，3号线心圩车辆段、新村停车场，4号线五象车辆段，5号线那洪车辆基地。</w:t>
      </w:r>
    </w:p>
    <w:bookmarkEnd w:id="2368"/>
    <w:p>
      <w:pPr>
        <w:widowControl/>
        <w:numPr>
          <w:ilvl w:val="1"/>
          <w:numId w:val="13"/>
        </w:numPr>
        <w:shd w:val="clear" w:color="auto" w:fill="FFFFFF"/>
        <w:spacing w:line="560" w:lineRule="exact"/>
        <w:ind w:left="-32767" w:firstLine="32767" w:firstLineChars="0"/>
        <w:jc w:val="left"/>
        <w:outlineLvl w:val="2"/>
        <w:rPr>
          <w:rFonts w:ascii="Times New Roman" w:hAnsi="Times New Roman" w:eastAsia="宋体" w:cs="Times New Roman"/>
          <w:b/>
          <w:bCs/>
          <w:color w:val="auto"/>
          <w:sz w:val="24"/>
          <w:szCs w:val="24"/>
          <w:highlight w:val="none"/>
          <w:lang w:val="en-US" w:eastAsia="zh-CN" w:bidi="ar-SA"/>
        </w:rPr>
      </w:pPr>
      <w:bookmarkStart w:id="2371" w:name="_Toc4577"/>
      <w:bookmarkStart w:id="2372" w:name="_Toc2829"/>
      <w:bookmarkStart w:id="2373" w:name="_Toc19498"/>
      <w:bookmarkStart w:id="2374" w:name="_Toc26634"/>
      <w:bookmarkStart w:id="2375" w:name="_Toc31057"/>
      <w:bookmarkStart w:id="2376" w:name="_Toc19630"/>
      <w:bookmarkStart w:id="2377" w:name="_Toc9802"/>
      <w:bookmarkStart w:id="2378" w:name="_Toc4250"/>
      <w:r>
        <w:rPr>
          <w:rFonts w:hint="eastAsia" w:ascii="Times New Roman" w:hAnsi="Times New Roman" w:eastAsia="宋体" w:cs="Times New Roman"/>
          <w:b/>
          <w:bCs/>
          <w:color w:val="auto"/>
          <w:sz w:val="24"/>
          <w:szCs w:val="24"/>
          <w:highlight w:val="none"/>
          <w:lang w:val="en-US" w:eastAsia="zh-CN" w:bidi="ar-SA"/>
        </w:rPr>
        <w:t>委外项目范围</w:t>
      </w:r>
      <w:bookmarkEnd w:id="2369"/>
      <w:bookmarkEnd w:id="2370"/>
      <w:bookmarkEnd w:id="2371"/>
      <w:bookmarkEnd w:id="2372"/>
      <w:bookmarkEnd w:id="2373"/>
      <w:bookmarkEnd w:id="2374"/>
      <w:bookmarkEnd w:id="2375"/>
      <w:bookmarkEnd w:id="2376"/>
      <w:bookmarkEnd w:id="2377"/>
      <w:bookmarkEnd w:id="2378"/>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南宁轨道交通1-5号线叉车需委外维保的数量共计38台，详见《南宁轨道交通1-5号线叉车委外维保项目设备清单表》（附件1）。</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比选申请人根据南宁轨道交通运营有限公司叉车检修规程内容和有关规定要求，组织相关维保人员对南宁轨道交通1-5号线共计38台叉车进行定期维护保养、故障维修、零部件更换及定期检验工作。</w:t>
      </w:r>
    </w:p>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379" w:name="_Toc17501"/>
      <w:bookmarkStart w:id="2380" w:name="_Toc10175"/>
      <w:bookmarkStart w:id="2381" w:name="_Toc26676"/>
      <w:bookmarkStart w:id="2382" w:name="_Toc15924"/>
      <w:bookmarkStart w:id="2383" w:name="_Toc29488"/>
      <w:bookmarkStart w:id="2384" w:name="_Toc13232"/>
      <w:bookmarkStart w:id="2385" w:name="_Toc12149"/>
      <w:bookmarkStart w:id="2386" w:name="_Toc32563"/>
      <w:bookmarkStart w:id="2387" w:name="_Toc15194"/>
      <w:r>
        <w:rPr>
          <w:rFonts w:hint="eastAsia" w:ascii="Times New Roman" w:hAnsi="Times New Roman" w:eastAsia="黑体" w:cs="黑体"/>
          <w:b/>
          <w:bCs/>
          <w:color w:val="auto"/>
          <w:sz w:val="28"/>
          <w:szCs w:val="28"/>
          <w:highlight w:val="none"/>
          <w:lang w:val="en-US" w:eastAsia="zh-CN" w:bidi="ar-SA"/>
        </w:rPr>
        <w:t>委外项目承包方式及服务期</w:t>
      </w:r>
      <w:bookmarkEnd w:id="2379"/>
      <w:bookmarkEnd w:id="2380"/>
      <w:bookmarkEnd w:id="2381"/>
      <w:bookmarkEnd w:id="2382"/>
      <w:bookmarkEnd w:id="2383"/>
      <w:bookmarkEnd w:id="2384"/>
      <w:bookmarkEnd w:id="2385"/>
      <w:bookmarkEnd w:id="2386"/>
      <w:bookmarkEnd w:id="2387"/>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388" w:name="_Toc22829"/>
      <w:bookmarkStart w:id="2389" w:name="_Toc4493"/>
      <w:bookmarkStart w:id="2390" w:name="_Toc24338"/>
      <w:bookmarkStart w:id="2391" w:name="_Toc20795"/>
      <w:bookmarkStart w:id="2392" w:name="_Toc2931"/>
      <w:bookmarkStart w:id="2393" w:name="_Toc13942"/>
      <w:bookmarkStart w:id="2394" w:name="_Toc32526"/>
      <w:bookmarkStart w:id="2395" w:name="_Toc19179"/>
      <w:bookmarkStart w:id="2396" w:name="_Toc20817"/>
      <w:r>
        <w:rPr>
          <w:rFonts w:hint="eastAsia" w:ascii="Times New Roman" w:hAnsi="Times New Roman" w:eastAsia="宋体" w:cs="Times New Roman"/>
          <w:b/>
          <w:bCs/>
          <w:color w:val="auto"/>
          <w:sz w:val="24"/>
          <w:szCs w:val="24"/>
          <w:highlight w:val="none"/>
          <w:lang w:val="en-US" w:eastAsia="zh-CN" w:bidi="ar-SA"/>
        </w:rPr>
        <w:t>承包方式</w:t>
      </w:r>
      <w:bookmarkEnd w:id="2388"/>
      <w:bookmarkEnd w:id="2389"/>
      <w:bookmarkEnd w:id="2390"/>
      <w:bookmarkEnd w:id="2391"/>
      <w:bookmarkEnd w:id="2392"/>
      <w:bookmarkEnd w:id="2393"/>
      <w:bookmarkEnd w:id="2394"/>
      <w:bookmarkEnd w:id="2395"/>
      <w:bookmarkEnd w:id="2396"/>
    </w:p>
    <w:p>
      <w:pPr>
        <w:widowControl/>
        <w:numPr>
          <w:ilvl w:val="2"/>
          <w:numId w:val="13"/>
        </w:numPr>
        <w:shd w:val="clear" w:color="auto" w:fill="FFFFFF"/>
        <w:spacing w:line="560" w:lineRule="exact"/>
        <w:ind w:left="0" w:firstLine="420" w:firstLineChars="200"/>
        <w:jc w:val="left"/>
        <w:outlineLvl w:val="3"/>
        <w:rPr>
          <w:rFonts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本委外项目采用“固定综合单价”价格形式。</w:t>
      </w:r>
    </w:p>
    <w:p>
      <w:pPr>
        <w:widowControl/>
        <w:numPr>
          <w:ilvl w:val="2"/>
          <w:numId w:val="13"/>
        </w:numPr>
        <w:shd w:val="clear" w:color="auto" w:fill="FFFFFF"/>
        <w:spacing w:line="560" w:lineRule="exact"/>
        <w:ind w:left="0" w:firstLine="420" w:firstLineChars="200"/>
        <w:jc w:val="left"/>
        <w:rPr>
          <w:rFonts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维保部分固定综合单价包含比选人修程规定内的维护保养服务、故障处理人工服务、备件更换服务、耗材[润滑油脂、冷冻液、刹车液、注油嘴、保险丝（熔断器）、叉车档位开关、刹车片、三色后尾灯、灯泡、棉纱、蒸馏水、密封圈、随车灭火器等，润滑油脂符合叉车设备使用要求]、工器具、其他辅助材料及叉车定期检验等产生的所有费用。</w:t>
      </w:r>
    </w:p>
    <w:p>
      <w:pPr>
        <w:widowControl/>
        <w:numPr>
          <w:ilvl w:val="2"/>
          <w:numId w:val="13"/>
        </w:numPr>
        <w:shd w:val="clear" w:color="auto" w:fill="FFFFFF"/>
        <w:spacing w:line="560" w:lineRule="exact"/>
        <w:ind w:left="0" w:firstLine="420" w:firstLineChars="200"/>
        <w:jc w:val="left"/>
        <w:rPr>
          <w:rFonts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备品备件部分固定综合单价为更换故障备件产生的费用，以实际发生故障所需的备件数量进行计价，所需更换的故障备件费用以《南宁轨道交通1-5号线叉车委外维保项目另行计价备件表》(附件</w:t>
      </w:r>
      <w:r>
        <w:rPr>
          <w:rFonts w:ascii="Times New Roman" w:hAnsi="Times New Roman" w:eastAsia="宋体" w:cs="宋体"/>
          <w:bCs/>
          <w:snapToGrid w:val="0"/>
          <w:color w:val="auto"/>
          <w:sz w:val="21"/>
          <w:szCs w:val="21"/>
          <w:highlight w:val="none"/>
          <w:lang w:val="en-US" w:eastAsia="zh-CN" w:bidi="ar-SA"/>
        </w:rPr>
        <w:t>2</w:t>
      </w:r>
      <w:r>
        <w:rPr>
          <w:rFonts w:hint="eastAsia" w:ascii="Times New Roman" w:hAnsi="Times New Roman" w:eastAsia="宋体" w:cs="宋体"/>
          <w:bCs/>
          <w:snapToGrid w:val="0"/>
          <w:color w:val="auto"/>
          <w:sz w:val="21"/>
          <w:szCs w:val="21"/>
          <w:highlight w:val="none"/>
          <w:lang w:val="en-US" w:eastAsia="zh-CN" w:bidi="ar-SA"/>
        </w:rPr>
        <w:t>)计价，备件费用包含备件提供期间发生的运保费、邮费、退换费、抽样及其检测费（如有）、计量检定费（如有）、计量校准检测费（如有）等费用。</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397" w:name="_Toc27491"/>
      <w:bookmarkStart w:id="2398" w:name="_Toc1174"/>
      <w:bookmarkStart w:id="2399" w:name="_Toc8630"/>
      <w:bookmarkStart w:id="2400" w:name="_Toc13355"/>
      <w:bookmarkStart w:id="2401" w:name="_Toc30639"/>
      <w:bookmarkStart w:id="2402" w:name="_Toc29739"/>
      <w:bookmarkStart w:id="2403" w:name="_Toc29793"/>
      <w:bookmarkStart w:id="2404" w:name="_Toc17472"/>
      <w:bookmarkStart w:id="2405" w:name="_Toc13407"/>
      <w:r>
        <w:rPr>
          <w:rFonts w:hint="eastAsia" w:ascii="Times New Roman" w:hAnsi="Times New Roman" w:eastAsia="宋体" w:cs="Times New Roman"/>
          <w:b/>
          <w:bCs/>
          <w:color w:val="auto"/>
          <w:sz w:val="24"/>
          <w:szCs w:val="24"/>
          <w:highlight w:val="none"/>
          <w:lang w:val="en-US" w:eastAsia="zh-CN" w:bidi="ar-SA"/>
        </w:rPr>
        <w:t>合同服务期</w:t>
      </w:r>
      <w:bookmarkEnd w:id="2397"/>
      <w:bookmarkEnd w:id="2398"/>
      <w:bookmarkEnd w:id="2399"/>
      <w:bookmarkEnd w:id="2400"/>
      <w:bookmarkEnd w:id="2401"/>
      <w:bookmarkEnd w:id="2402"/>
      <w:bookmarkEnd w:id="2403"/>
      <w:bookmarkEnd w:id="2404"/>
      <w:bookmarkEnd w:id="2405"/>
    </w:p>
    <w:p>
      <w:pPr>
        <w:widowControl/>
        <w:shd w:val="clear" w:color="auto" w:fill="FFFFFF"/>
        <w:spacing w:before="0" w:after="0" w:afterAutospacing="0" w:line="560" w:lineRule="exact"/>
        <w:ind w:left="0" w:right="0" w:firstLine="420" w:firstLineChars="200"/>
        <w:jc w:val="left"/>
        <w:rPr>
          <w:rFonts w:ascii="Times New Roman" w:hAnsi="Times New Roman" w:eastAsia="Times New Roman" w:cs="Times New Roman"/>
          <w:color w:val="auto"/>
          <w:sz w:val="21"/>
          <w:szCs w:val="21"/>
          <w:highlight w:val="none"/>
        </w:rPr>
      </w:pPr>
      <w:r>
        <w:rPr>
          <w:rFonts w:hint="eastAsia" w:ascii="Times New Roman" w:hAnsi="Times New Roman" w:eastAsia="宋体" w:cs="宋体"/>
          <w:bCs/>
          <w:snapToGrid w:val="0"/>
          <w:color w:val="auto"/>
          <w:sz w:val="21"/>
          <w:szCs w:val="21"/>
          <w:highlight w:val="none"/>
        </w:rPr>
        <w:t>本项目合同服务期为3年（具体开工时间以</w:t>
      </w:r>
      <w:r>
        <w:rPr>
          <w:rFonts w:hint="eastAsia" w:ascii="Times New Roman" w:hAnsi="Times New Roman" w:eastAsia="宋体" w:cs="宋体"/>
          <w:bCs/>
          <w:snapToGrid w:val="0"/>
          <w:color w:val="auto"/>
          <w:sz w:val="21"/>
          <w:szCs w:val="21"/>
          <w:highlight w:val="none"/>
          <w:lang w:eastAsia="zh-CN"/>
        </w:rPr>
        <w:t>比选人</w:t>
      </w:r>
      <w:r>
        <w:rPr>
          <w:rFonts w:hint="eastAsia" w:ascii="Times New Roman" w:hAnsi="Times New Roman" w:eastAsia="宋体" w:cs="宋体"/>
          <w:bCs/>
          <w:snapToGrid w:val="0"/>
          <w:color w:val="auto"/>
          <w:sz w:val="21"/>
          <w:szCs w:val="21"/>
          <w:highlight w:val="none"/>
        </w:rPr>
        <w:t>发出</w:t>
      </w:r>
      <w:r>
        <w:rPr>
          <w:rFonts w:hint="eastAsia" w:cs="宋体"/>
          <w:bCs/>
          <w:snapToGrid w:val="0"/>
          <w:color w:val="auto"/>
          <w:sz w:val="21"/>
          <w:szCs w:val="21"/>
          <w:highlight w:val="none"/>
          <w:lang w:eastAsia="zh-CN"/>
        </w:rPr>
        <w:t>委外项目进场通知书</w:t>
      </w:r>
      <w:r>
        <w:rPr>
          <w:rFonts w:hint="eastAsia" w:ascii="Times New Roman" w:hAnsi="Times New Roman" w:eastAsia="宋体" w:cs="宋体"/>
          <w:bCs/>
          <w:snapToGrid w:val="0"/>
          <w:color w:val="auto"/>
          <w:sz w:val="21"/>
          <w:szCs w:val="21"/>
          <w:highlight w:val="none"/>
        </w:rPr>
        <w:t>为准）。</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406" w:name="_Toc9735"/>
      <w:bookmarkStart w:id="2407" w:name="_Toc23132"/>
      <w:bookmarkStart w:id="2408" w:name="_Toc27038"/>
      <w:bookmarkStart w:id="2409" w:name="_Toc21021"/>
      <w:bookmarkStart w:id="2410" w:name="_Toc16181"/>
      <w:bookmarkStart w:id="2411" w:name="_Toc6296"/>
      <w:bookmarkStart w:id="2412" w:name="_Toc8620"/>
      <w:bookmarkStart w:id="2413" w:name="_Toc9784"/>
      <w:bookmarkStart w:id="2414" w:name="_Toc32023"/>
      <w:r>
        <w:rPr>
          <w:rFonts w:hint="eastAsia" w:ascii="Times New Roman" w:hAnsi="Times New Roman" w:eastAsia="宋体" w:cs="Times New Roman"/>
          <w:b/>
          <w:bCs/>
          <w:color w:val="auto"/>
          <w:sz w:val="24"/>
          <w:szCs w:val="24"/>
          <w:highlight w:val="none"/>
          <w:lang w:val="en-US" w:eastAsia="zh-CN" w:bidi="ar-SA"/>
        </w:rPr>
        <w:t>补充说明</w:t>
      </w:r>
      <w:bookmarkEnd w:id="2406"/>
      <w:bookmarkEnd w:id="2407"/>
      <w:bookmarkEnd w:id="2408"/>
      <w:bookmarkEnd w:id="2409"/>
      <w:bookmarkEnd w:id="2410"/>
      <w:bookmarkEnd w:id="2411"/>
      <w:bookmarkEnd w:id="2412"/>
      <w:bookmarkEnd w:id="2413"/>
      <w:bookmarkEnd w:id="2414"/>
    </w:p>
    <w:p>
      <w:pPr>
        <w:widowControl/>
        <w:numPr>
          <w:ilvl w:val="2"/>
          <w:numId w:val="13"/>
        </w:numPr>
        <w:shd w:val="clear" w:color="auto" w:fill="FFFFFF"/>
        <w:spacing w:line="560" w:lineRule="exact"/>
        <w:ind w:left="0" w:firstLine="420" w:firstLineChars="200"/>
        <w:jc w:val="left"/>
        <w:rPr>
          <w:rFonts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本项目不允许联合体</w:t>
      </w:r>
      <w:r>
        <w:rPr>
          <w:rFonts w:hint="eastAsia" w:cs="宋体"/>
          <w:bCs/>
          <w:snapToGrid w:val="0"/>
          <w:color w:val="auto"/>
          <w:sz w:val="21"/>
          <w:szCs w:val="21"/>
          <w:highlight w:val="none"/>
          <w:lang w:val="en-US" w:eastAsia="zh-CN" w:bidi="ar-SA"/>
        </w:rPr>
        <w:t>比选申请</w:t>
      </w:r>
      <w:r>
        <w:rPr>
          <w:rFonts w:hint="eastAsia" w:ascii="Times New Roman" w:hAnsi="Times New Roman" w:eastAsia="宋体" w:cs="宋体"/>
          <w:bCs/>
          <w:snapToGrid w:val="0"/>
          <w:color w:val="auto"/>
          <w:sz w:val="21"/>
          <w:szCs w:val="21"/>
          <w:highlight w:val="none"/>
          <w:lang w:val="en-US" w:eastAsia="zh-CN" w:bidi="ar-SA"/>
        </w:rPr>
        <w:t>，不允许任何形式的转包或分包。</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比选人在任何时候发现比选申请人有转包或分包或挂靠行为的，比选人将解除与比选申请人的承包合同，由此造成的一切后果由比选申请人负责，比选人并将保留索赔的权利，并按有关规定追究比选申请人的责任。</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用于本委外项目的所有设备设施、材料，必须符合国家标准与行业规范，确保其达到质量、安全、环保等要求，其质量、型号、尺寸、材质、颜色、档次等与原有设备设施保持基本一致并且必须符合比选人要求才准进场。如需更换备品备件型号，必须提前将其生产厂家、功能、型号、材质等更换说明函、保证函等证明材料提交至比选人备案，并征得比选人同意后方可实施。</w:t>
      </w:r>
    </w:p>
    <w:p>
      <w:pPr>
        <w:widowControl/>
        <w:numPr>
          <w:ilvl w:val="2"/>
          <w:numId w:val="13"/>
        </w:numPr>
        <w:shd w:val="clear" w:color="auto" w:fill="FFFFFF"/>
        <w:spacing w:line="560" w:lineRule="exact"/>
        <w:ind w:left="0" w:firstLine="420" w:firstLineChars="200"/>
        <w:jc w:val="left"/>
        <w:outlineLvl w:val="3"/>
        <w:rPr>
          <w:rFonts w:hint="eastAsia" w:ascii="Times New Roman" w:hAnsi="Times New Roman" w:eastAsia="宋体" w:cs="宋体"/>
          <w:bCs/>
          <w:snapToGrid w:val="0"/>
          <w:color w:val="auto"/>
          <w:sz w:val="21"/>
          <w:szCs w:val="21"/>
          <w:highlight w:val="none"/>
          <w:lang w:val="en-US" w:eastAsia="zh-CN" w:bidi="ar-SA"/>
        </w:rPr>
      </w:pPr>
      <w:r>
        <w:rPr>
          <w:rFonts w:hint="eastAsia" w:ascii="Times New Roman" w:hAnsi="Times New Roman" w:eastAsia="宋体" w:cs="宋体"/>
          <w:bCs/>
          <w:snapToGrid w:val="0"/>
          <w:color w:val="auto"/>
          <w:sz w:val="21"/>
          <w:szCs w:val="21"/>
          <w:highlight w:val="none"/>
          <w:lang w:val="en-US" w:eastAsia="zh-CN" w:bidi="ar-SA"/>
        </w:rPr>
        <w:t>拆卸或更换的配件交由比选人按相关规定进行处理。</w:t>
      </w:r>
    </w:p>
    <w:bookmarkEnd w:id="2337"/>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415" w:name="_Toc12321"/>
      <w:bookmarkStart w:id="2416" w:name="_Toc22348"/>
      <w:bookmarkStart w:id="2417" w:name="_Toc21417"/>
      <w:bookmarkStart w:id="2418" w:name="_Toc28364"/>
      <w:bookmarkStart w:id="2419" w:name="_Toc7018"/>
      <w:bookmarkStart w:id="2420" w:name="_Toc8201"/>
      <w:bookmarkStart w:id="2421" w:name="_Toc10055"/>
      <w:bookmarkStart w:id="2422" w:name="_Toc25997"/>
      <w:bookmarkStart w:id="2423" w:name="_Toc23515"/>
      <w:bookmarkStart w:id="2424" w:name="_Toc17266"/>
      <w:r>
        <w:rPr>
          <w:rFonts w:hint="eastAsia" w:ascii="Times New Roman" w:hAnsi="Times New Roman" w:eastAsia="黑体" w:cs="黑体"/>
          <w:b/>
          <w:bCs/>
          <w:color w:val="auto"/>
          <w:sz w:val="28"/>
          <w:szCs w:val="28"/>
          <w:highlight w:val="none"/>
          <w:lang w:val="en-US" w:eastAsia="zh-CN" w:bidi="ar-SA"/>
        </w:rPr>
        <w:t>委外项目技术标准、</w:t>
      </w:r>
      <w:bookmarkEnd w:id="2415"/>
      <w:bookmarkEnd w:id="2416"/>
      <w:r>
        <w:rPr>
          <w:rFonts w:hint="eastAsia" w:ascii="Times New Roman" w:hAnsi="Times New Roman" w:eastAsia="黑体" w:cs="黑体"/>
          <w:b/>
          <w:bCs/>
          <w:color w:val="auto"/>
          <w:sz w:val="28"/>
          <w:szCs w:val="28"/>
          <w:highlight w:val="none"/>
          <w:lang w:val="en-US" w:eastAsia="zh-CN" w:bidi="ar-SA"/>
        </w:rPr>
        <w:t>规范</w:t>
      </w:r>
      <w:bookmarkEnd w:id="2417"/>
      <w:bookmarkEnd w:id="2418"/>
      <w:bookmarkEnd w:id="2419"/>
      <w:bookmarkEnd w:id="2420"/>
      <w:bookmarkEnd w:id="2421"/>
      <w:bookmarkEnd w:id="2422"/>
      <w:bookmarkEnd w:id="2423"/>
      <w:bookmarkEnd w:id="2424"/>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425" w:name="_Toc29214"/>
      <w:bookmarkStart w:id="2426" w:name="_Toc27805"/>
      <w:bookmarkStart w:id="2427" w:name="_Toc3408"/>
      <w:bookmarkStart w:id="2428" w:name="_Toc17210"/>
      <w:bookmarkStart w:id="2429" w:name="_Toc26979"/>
      <w:bookmarkStart w:id="2430" w:name="_Toc7850"/>
      <w:bookmarkStart w:id="2431" w:name="_Toc3888"/>
      <w:bookmarkStart w:id="2432" w:name="_Toc11362"/>
      <w:bookmarkStart w:id="2433" w:name="_Toc32545"/>
      <w:bookmarkStart w:id="2434" w:name="_Toc2119"/>
      <w:bookmarkStart w:id="2435" w:name="_Toc9678"/>
      <w:r>
        <w:rPr>
          <w:rFonts w:hint="eastAsia" w:ascii="Times New Roman" w:hAnsi="Times New Roman" w:eastAsia="宋体" w:cs="Times New Roman"/>
          <w:b/>
          <w:bCs/>
          <w:color w:val="auto"/>
          <w:sz w:val="24"/>
          <w:szCs w:val="24"/>
          <w:highlight w:val="none"/>
          <w:lang w:val="en-US" w:eastAsia="zh-CN" w:bidi="ar-SA"/>
        </w:rPr>
        <w:t>国家技术标准及行业规范</w:t>
      </w:r>
      <w:bookmarkEnd w:id="2425"/>
      <w:bookmarkEnd w:id="2426"/>
      <w:bookmarkEnd w:id="2427"/>
      <w:bookmarkEnd w:id="2428"/>
      <w:bookmarkEnd w:id="2429"/>
      <w:bookmarkEnd w:id="2430"/>
      <w:bookmarkEnd w:id="2431"/>
      <w:bookmarkEnd w:id="2432"/>
      <w:bookmarkEnd w:id="2433"/>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bookmarkStart w:id="2436" w:name="_Toc26346"/>
      <w:r>
        <w:rPr>
          <w:rFonts w:hint="eastAsia" w:ascii="Times New Roman" w:hAnsi="Times New Roman" w:eastAsia="宋体" w:cs="宋体"/>
          <w:color w:val="auto"/>
          <w:sz w:val="21"/>
          <w:szCs w:val="21"/>
          <w:highlight w:val="none"/>
          <w:lang w:val="en-US" w:eastAsia="zh-CN" w:bidi="ar-SA"/>
        </w:rPr>
        <w:t>国家相关规范、地铁行业标准，包括但不限于:</w:t>
      </w:r>
      <w:bookmarkEnd w:id="2436"/>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《中国人民共和国特种设备安全法》</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《特种设备使用管理规则》（</w:t>
      </w:r>
      <w:r>
        <w:rPr>
          <w:rFonts w:ascii="Times New Roman" w:hAnsi="Times New Roman" w:eastAsia="宋体" w:cs="宋体"/>
          <w:color w:val="auto"/>
          <w:sz w:val="21"/>
          <w:szCs w:val="21"/>
          <w:highlight w:val="none"/>
          <w:lang w:val="en-US" w:eastAsia="zh-CN" w:bidi="ar-SA"/>
        </w:rPr>
        <w:t>TSG08-2017</w:t>
      </w:r>
      <w:r>
        <w:rPr>
          <w:rFonts w:hint="eastAsia" w:ascii="Times New Roman" w:hAnsi="Times New Roman" w:eastAsia="宋体" w:cs="宋体"/>
          <w:color w:val="auto"/>
          <w:sz w:val="21"/>
          <w:szCs w:val="21"/>
          <w:highlight w:val="none"/>
          <w:lang w:val="en-US" w:eastAsia="zh-CN" w:bidi="ar-SA"/>
        </w:rPr>
        <w:t>）</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《场(厂)内专用机动车辆安全技术规程》（T</w:t>
      </w:r>
      <w:r>
        <w:rPr>
          <w:rFonts w:ascii="Times New Roman" w:hAnsi="Times New Roman" w:eastAsia="宋体" w:cs="宋体"/>
          <w:color w:val="auto"/>
          <w:sz w:val="21"/>
          <w:szCs w:val="21"/>
          <w:highlight w:val="none"/>
          <w:lang w:val="en-US" w:eastAsia="zh-CN" w:bidi="ar-SA"/>
        </w:rPr>
        <w:t>SG</w:t>
      </w:r>
      <w:r>
        <w:rPr>
          <w:rFonts w:hint="eastAsia" w:ascii="Times New Roman" w:hAnsi="Times New Roman" w:eastAsia="宋体" w:cs="宋体"/>
          <w:color w:val="auto"/>
          <w:sz w:val="21"/>
          <w:szCs w:val="21"/>
          <w:highlight w:val="none"/>
          <w:lang w:val="en-US" w:eastAsia="zh-CN" w:bidi="ar-SA"/>
        </w:rPr>
        <w:t>81</w:t>
      </w:r>
      <w:r>
        <w:rPr>
          <w:rFonts w:ascii="Times New Roman" w:hAnsi="Times New Roman" w:eastAsia="宋体" w:cs="宋体"/>
          <w:color w:val="auto"/>
          <w:sz w:val="21"/>
          <w:szCs w:val="21"/>
          <w:highlight w:val="none"/>
          <w:lang w:val="en-US" w:eastAsia="zh-CN" w:bidi="ar-SA"/>
        </w:rPr>
        <w:t>-202</w:t>
      </w:r>
      <w:r>
        <w:rPr>
          <w:rFonts w:hint="eastAsia" w:ascii="Times New Roman" w:hAnsi="Times New Roman" w:eastAsia="宋体" w:cs="宋体"/>
          <w:color w:val="auto"/>
          <w:sz w:val="21"/>
          <w:szCs w:val="21"/>
          <w:highlight w:val="none"/>
          <w:lang w:val="en-US" w:eastAsia="zh-CN" w:bidi="ar-SA"/>
        </w:rPr>
        <w:t>2）</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《城市轨道交通技术规范》（GB50490-2009）</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《地铁设计规范》（GB50157-2013）</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《电器设备安全设计导则》（GB/T25292-2010）</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《电气装置安装工程盘、柜及二次回路接线施工及验收规范》（GB 50171-2012）</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《低压电器基本标准》（GB/T1497-1985）</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《软件维护指南》（GB/T 14079-1993）</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《计算机软件可靠性和可维护性》（GB/T 14394-2008）</w:t>
      </w:r>
    </w:p>
    <w:p>
      <w:pPr>
        <w:widowControl w:val="0"/>
        <w:spacing w:line="560" w:lineRule="exact"/>
        <w:ind w:firstLine="420" w:firstLineChars="200"/>
        <w:jc w:val="both"/>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《焊接通用技术条件》（SDZ018-85）</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437" w:name="_Toc18596"/>
      <w:bookmarkStart w:id="2438" w:name="_Toc9829"/>
      <w:bookmarkStart w:id="2439" w:name="_Toc30423"/>
      <w:bookmarkStart w:id="2440" w:name="_Toc18796"/>
      <w:bookmarkStart w:id="2441" w:name="_Toc31916"/>
      <w:bookmarkStart w:id="2442" w:name="_Toc27490"/>
      <w:bookmarkStart w:id="2443" w:name="_Toc1386"/>
      <w:bookmarkStart w:id="2444" w:name="_Toc12416"/>
      <w:r>
        <w:rPr>
          <w:rFonts w:hint="eastAsia" w:ascii="Times New Roman" w:hAnsi="Times New Roman" w:eastAsia="宋体" w:cs="Times New Roman"/>
          <w:b/>
          <w:bCs/>
          <w:color w:val="auto"/>
          <w:sz w:val="24"/>
          <w:szCs w:val="24"/>
          <w:highlight w:val="none"/>
          <w:lang w:val="en-US" w:eastAsia="zh-CN" w:bidi="ar-SA"/>
        </w:rPr>
        <w:t>标准适用原则</w:t>
      </w:r>
      <w:bookmarkEnd w:id="2437"/>
      <w:bookmarkEnd w:id="2438"/>
      <w:bookmarkEnd w:id="2439"/>
      <w:bookmarkEnd w:id="2440"/>
      <w:bookmarkEnd w:id="2441"/>
      <w:bookmarkEnd w:id="2442"/>
      <w:bookmarkEnd w:id="2443"/>
      <w:bookmarkEnd w:id="2444"/>
    </w:p>
    <w:p>
      <w:pPr>
        <w:widowControl/>
        <w:numPr>
          <w:ilvl w:val="2"/>
          <w:numId w:val="13"/>
        </w:numPr>
        <w:shd w:val="clear" w:color="auto" w:fill="FFFFFF"/>
        <w:spacing w:line="560" w:lineRule="exact"/>
        <w:ind w:left="0" w:firstLine="420" w:firstLineChars="200"/>
        <w:jc w:val="left"/>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本项目须满足各类国家及行业标准，包括但不限于国家相关标准、轨道交通行业通用和专用标准、广西壮族自治区及南宁市的相关标准等。</w:t>
      </w:r>
    </w:p>
    <w:p>
      <w:pPr>
        <w:widowControl/>
        <w:numPr>
          <w:ilvl w:val="2"/>
          <w:numId w:val="13"/>
        </w:numPr>
        <w:shd w:val="clear" w:color="auto" w:fill="FFFFFF"/>
        <w:spacing w:line="560" w:lineRule="exact"/>
        <w:ind w:left="0" w:firstLine="420" w:firstLineChars="200"/>
        <w:jc w:val="left"/>
        <w:outlineLvl w:val="3"/>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本项目须满足比选人单位的相关标准或要求：</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比选人单位的企业标准；</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比选人单位的规章制度；</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比选人单位的各种会议纪要、决议、通知等；</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比选人制定的设备检修规程、设备操作指南、故障处理指南、规章制度等；</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以上均未涉及的，由比选人与比选申请人共同商定。</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本项目采用的各类标准或要求，如有最新版本，则按新最版本执行，同一权威等级取标准高者；且当上述标准的内容与其他文件或具体条款描述矛盾时，按较高要求执行。</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本项目所用产品的制造、安装等至少满足上述标准、规范及相关引用标准和规范。如果有新的标准，则按照新的标准执行，比选申请人不能因此要求增加任何费用。</w:t>
      </w:r>
    </w:p>
    <w:bookmarkEnd w:id="2434"/>
    <w:bookmarkEnd w:id="2435"/>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445" w:name="_Toc13235"/>
      <w:bookmarkStart w:id="2446" w:name="_Toc32676"/>
      <w:bookmarkStart w:id="2447" w:name="_Toc16324"/>
      <w:bookmarkStart w:id="2448" w:name="_Toc30605"/>
      <w:bookmarkStart w:id="2449" w:name="_Toc24730"/>
      <w:bookmarkStart w:id="2450" w:name="_Toc3060"/>
      <w:bookmarkStart w:id="2451" w:name="_Toc25806"/>
      <w:bookmarkStart w:id="2452" w:name="_Toc31402"/>
      <w:bookmarkStart w:id="2453" w:name="_Toc13622"/>
      <w:bookmarkStart w:id="2454" w:name="_Toc32688"/>
      <w:r>
        <w:rPr>
          <w:rFonts w:hint="eastAsia" w:ascii="Times New Roman" w:hAnsi="Times New Roman" w:eastAsia="宋体" w:cs="Times New Roman"/>
          <w:b/>
          <w:bCs/>
          <w:color w:val="auto"/>
          <w:sz w:val="24"/>
          <w:szCs w:val="24"/>
          <w:highlight w:val="none"/>
          <w:lang w:val="en-US" w:eastAsia="zh-CN" w:bidi="ar-SA"/>
        </w:rPr>
        <w:t>委外项目相关规程</w:t>
      </w:r>
      <w:bookmarkEnd w:id="2445"/>
      <w:bookmarkEnd w:id="2446"/>
      <w:bookmarkEnd w:id="2447"/>
      <w:bookmarkEnd w:id="2448"/>
      <w:bookmarkEnd w:id="2449"/>
      <w:bookmarkEnd w:id="2450"/>
      <w:bookmarkEnd w:id="2451"/>
      <w:bookmarkEnd w:id="2452"/>
      <w:bookmarkEnd w:id="2453"/>
      <w:bookmarkEnd w:id="2454"/>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比选人</w:t>
      </w:r>
      <w:r>
        <w:rPr>
          <w:rFonts w:hint="eastAsia" w:ascii="Times New Roman" w:hAnsi="Times New Roman" w:eastAsia="宋体" w:cs="Times New Roman"/>
          <w:color w:val="auto"/>
          <w:sz w:val="21"/>
          <w:szCs w:val="21"/>
          <w:highlight w:val="none"/>
        </w:rPr>
        <w:t>内部标准，包括但不限于：</w:t>
      </w:r>
    </w:p>
    <w:p>
      <w:pPr>
        <w:widowControl w:val="0"/>
        <w:spacing w:before="0" w:after="0" w:afterAutospacing="0" w:line="560" w:lineRule="exact"/>
        <w:ind w:left="0" w:right="0" w:firstLine="420" w:firstLineChars="200"/>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运营公司</w:t>
      </w:r>
      <w:r>
        <w:rPr>
          <w:rFonts w:hint="eastAsia" w:ascii="Times New Roman" w:hAnsi="Times New Roman" w:eastAsia="宋体" w:cs="Times New Roman"/>
          <w:color w:val="auto"/>
          <w:sz w:val="21"/>
          <w:szCs w:val="21"/>
          <w:highlight w:val="none"/>
        </w:rPr>
        <w:t>特种设备管理实施细则</w:t>
      </w:r>
      <w:r>
        <w:rPr>
          <w:rFonts w:hint="eastAsia" w:ascii="Times New Roman" w:hAnsi="Times New Roman" w:eastAsia="宋体" w:cs="Times New Roman"/>
          <w:color w:val="auto"/>
          <w:sz w:val="21"/>
          <w:szCs w:val="21"/>
          <w:highlight w:val="none"/>
          <w:lang w:eastAsia="zh-CN"/>
        </w:rPr>
        <w:t>》</w:t>
      </w:r>
    </w:p>
    <w:p>
      <w:pPr>
        <w:widowControl w:val="0"/>
        <w:spacing w:before="0" w:after="0" w:afterAutospacing="0" w:line="560" w:lineRule="exact"/>
        <w:ind w:left="0" w:right="0" w:firstLine="420" w:firstLineChars="200"/>
        <w:rPr>
          <w:rFonts w:hint="eastAsia" w:ascii="Times New Roman" w:hAnsi="Times New Roman" w:eastAsia="Times New Roman" w:cs="Times New Roman"/>
          <w:color w:val="auto"/>
          <w:sz w:val="24"/>
          <w:szCs w:val="24"/>
          <w:highlight w:val="none"/>
        </w:rPr>
      </w:pPr>
      <w:r>
        <w:rPr>
          <w:rFonts w:hint="eastAsia" w:ascii="Times New Roman" w:hAnsi="Times New Roman" w:eastAsia="宋体" w:cs="Times New Roman"/>
          <w:color w:val="auto"/>
          <w:sz w:val="21"/>
          <w:szCs w:val="21"/>
          <w:highlight w:val="none"/>
          <w:lang w:eastAsia="zh-CN"/>
        </w:rPr>
        <w:t>《运营公司特种作业安全管理实施细则》</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《运营公司消防安全管理办法》</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《运营公司委外单位及外单位安全管理办法》</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《运营公司委外维修管理规定》</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《运营公司委外维修项目承包商考评实施细则》</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《运营公司生产设备设施维修接口关系规则》</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《运营公司施工管理规定》</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《运营公司生产计划管理办法》</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《运营公司作业通用安全实施守则》</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《运营公司场段专用设备操作指南》</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《运营公司场段专用设备检修规程》</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《运营公司1号线场段专用设备故障应急处理指南（维修级）》</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《运营公司2号线场段专用设备故障应急处理指南（维修级）》</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《运营公司3号线场段专用设备故障应急处理指南（维修级）》</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《运营公司4号线场段专用设备故障应急处理指南（维修级）》</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《运营公司5号线场段专用设备故障应急处理指南（维修级）》</w:t>
      </w:r>
    </w:p>
    <w:p>
      <w:pPr>
        <w:widowControl w:val="0"/>
        <w:spacing w:before="0" w:after="0" w:afterAutospacing="0" w:line="560" w:lineRule="exact"/>
        <w:ind w:left="0" w:right="0" w:firstLine="420" w:firstLineChars="20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比选人</w:t>
      </w:r>
      <w:r>
        <w:rPr>
          <w:rFonts w:hint="eastAsia" w:ascii="Times New Roman" w:hAnsi="Times New Roman" w:eastAsia="宋体" w:cs="Times New Roman"/>
          <w:color w:val="auto"/>
          <w:sz w:val="21"/>
          <w:szCs w:val="21"/>
          <w:highlight w:val="none"/>
        </w:rPr>
        <w:t>相关规程，中标后提供。</w:t>
      </w:r>
      <w:bookmarkStart w:id="2455" w:name="_Toc11217"/>
      <w:bookmarkStart w:id="2456" w:name="_Toc11129_WPSOffice_Level1"/>
      <w:bookmarkStart w:id="2457" w:name="_Toc23507"/>
      <w:bookmarkStart w:id="2458" w:name="_Toc13908602"/>
      <w:bookmarkStart w:id="2459" w:name="_Toc534279537"/>
      <w:bookmarkStart w:id="2460" w:name="_Toc534279500"/>
      <w:bookmarkStart w:id="2461" w:name="_Toc14248694"/>
      <w:r>
        <w:rPr>
          <w:rFonts w:hint="eastAsia" w:ascii="Times New Roman" w:hAnsi="Times New Roman" w:eastAsia="宋体" w:cs="Times New Roman"/>
          <w:color w:val="auto"/>
          <w:sz w:val="21"/>
          <w:szCs w:val="21"/>
          <w:highlight w:val="none"/>
        </w:rPr>
        <w:t>相关规程因其他原因导致新增或变动</w:t>
      </w:r>
      <w:r>
        <w:rPr>
          <w:rFonts w:hint="eastAsia" w:ascii="Times New Roman" w:hAnsi="Times New Roman" w:eastAsia="宋体" w:cs="Times New Roman"/>
          <w:color w:val="auto"/>
          <w:sz w:val="21"/>
          <w:szCs w:val="21"/>
          <w:highlight w:val="none"/>
          <w:lang w:val="en-US" w:eastAsia="zh-CN"/>
        </w:rPr>
        <w:t>的</w:t>
      </w:r>
      <w:r>
        <w:rPr>
          <w:rFonts w:hint="eastAsia" w:ascii="Times New Roman" w:hAnsi="Times New Roman" w:eastAsia="宋体" w:cs="Times New Roman"/>
          <w:color w:val="auto"/>
          <w:sz w:val="21"/>
          <w:szCs w:val="21"/>
          <w:highlight w:val="none"/>
        </w:rPr>
        <w:t>，以最新版本为准</w:t>
      </w:r>
      <w:r>
        <w:rPr>
          <w:rFonts w:hint="eastAsia" w:ascii="Times New Roman" w:hAnsi="Times New Roman" w:eastAsia="宋体" w:cs="Times New Roman"/>
          <w:color w:val="auto"/>
          <w:sz w:val="24"/>
          <w:szCs w:val="24"/>
          <w:highlight w:val="none"/>
        </w:rPr>
        <w:t>。</w:t>
      </w:r>
    </w:p>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462" w:name="_Toc16564"/>
      <w:bookmarkStart w:id="2463" w:name="_Toc4936"/>
      <w:bookmarkStart w:id="2464" w:name="_Toc3624"/>
      <w:bookmarkStart w:id="2465" w:name="_Toc6444"/>
      <w:bookmarkStart w:id="2466" w:name="_Toc31582"/>
      <w:bookmarkStart w:id="2467" w:name="_Toc21457"/>
      <w:bookmarkStart w:id="2468" w:name="_Toc25968"/>
      <w:bookmarkStart w:id="2469" w:name="_Toc2512"/>
      <w:r>
        <w:rPr>
          <w:rFonts w:hint="eastAsia" w:ascii="Times New Roman" w:hAnsi="Times New Roman" w:eastAsia="黑体" w:cs="黑体"/>
          <w:b/>
          <w:bCs/>
          <w:color w:val="auto"/>
          <w:sz w:val="28"/>
          <w:szCs w:val="28"/>
          <w:highlight w:val="none"/>
          <w:lang w:val="en-US" w:eastAsia="zh-CN" w:bidi="ar-SA"/>
        </w:rPr>
        <w:t>委外项目管理</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470" w:name="_Toc2812"/>
      <w:bookmarkStart w:id="2471" w:name="_Toc3934"/>
      <w:bookmarkStart w:id="2472" w:name="_Toc14248695"/>
      <w:bookmarkStart w:id="2473" w:name="_Toc483"/>
      <w:bookmarkStart w:id="2474" w:name="_Toc13006"/>
      <w:bookmarkStart w:id="2475" w:name="_Toc20340"/>
      <w:bookmarkStart w:id="2476" w:name="_Toc13908603"/>
      <w:bookmarkStart w:id="2477" w:name="_Toc19016_WPSOffice_Level2"/>
      <w:bookmarkStart w:id="2478" w:name="_Toc3976_WPSOffice_Level2"/>
      <w:bookmarkStart w:id="2479" w:name="_Toc534279538"/>
      <w:bookmarkStart w:id="2480" w:name="_Toc14015"/>
      <w:bookmarkStart w:id="2481" w:name="_Toc24757"/>
      <w:bookmarkStart w:id="2482" w:name="_Toc5277"/>
      <w:bookmarkStart w:id="2483" w:name="_Toc534279501"/>
      <w:bookmarkStart w:id="2484" w:name="_Toc16356"/>
      <w:bookmarkStart w:id="2485" w:name="_Toc22222_WPSOffice_Level2"/>
      <w:bookmarkStart w:id="2486" w:name="_Toc11132"/>
      <w:r>
        <w:rPr>
          <w:rFonts w:hint="eastAsia" w:ascii="Times New Roman" w:hAnsi="Times New Roman" w:eastAsia="宋体" w:cs="Times New Roman"/>
          <w:b/>
          <w:bCs/>
          <w:color w:val="auto"/>
          <w:sz w:val="24"/>
          <w:szCs w:val="24"/>
          <w:highlight w:val="none"/>
          <w:lang w:val="zh-CN" w:eastAsia="zh-CN" w:bidi="ar-SA"/>
        </w:rPr>
        <w:t>比选申请人资质要求</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bookmarkStart w:id="2487" w:name="_Toc534279503"/>
      <w:bookmarkStart w:id="2488" w:name="_Toc534279540"/>
      <w:r>
        <w:rPr>
          <w:rFonts w:hint="eastAsia" w:ascii="Times New Roman" w:hAnsi="Times New Roman" w:eastAsia="宋体" w:cs="宋体"/>
          <w:color w:val="auto"/>
          <w:sz w:val="21"/>
          <w:szCs w:val="21"/>
          <w:highlight w:val="none"/>
          <w:lang w:val="en-US" w:eastAsia="zh-CN" w:bidi="ar-SA"/>
        </w:rPr>
        <w:t>比选申请人为中华人民共和国境内依法设立的法人或其他组织（若以分公司名义参与投标，必须出具总公司授权参与的证明）。</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比选申请人应取得叉车特种设备生产许可证，许可项目包括但不限于场（厂）内专用机动车辆制造（含修理、改造）。</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业绩要求：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比选申请人没有处于被责令停业，或投标资格被住建部、广西壮族自治区或南宁市建设行政主管部门取消，或财产被接管、破产状态；在</w:t>
      </w:r>
      <w:r>
        <w:rPr>
          <w:rFonts w:hint="eastAsia" w:ascii="宋体" w:hAnsi="宋体" w:cs="宋体"/>
          <w:color w:val="000000"/>
          <w:kern w:val="0"/>
          <w:sz w:val="21"/>
          <w:szCs w:val="21"/>
          <w:highlight w:val="none"/>
          <w:lang w:val="en-US" w:eastAsia="zh-CN" w:bidi="ar"/>
        </w:rPr>
        <w:t>比选申请</w:t>
      </w:r>
      <w:r>
        <w:rPr>
          <w:rFonts w:hint="eastAsia" w:ascii="Times New Roman" w:hAnsi="Times New Roman" w:eastAsia="宋体" w:cs="宋体"/>
          <w:color w:val="auto"/>
          <w:sz w:val="21"/>
          <w:szCs w:val="21"/>
          <w:highlight w:val="none"/>
          <w:lang w:val="en-US" w:eastAsia="zh-CN" w:bidi="ar-SA"/>
        </w:rPr>
        <w:t>截止前3年内没有骗取中标、严重违约或重大安全质量事故行为。</w:t>
      </w:r>
    </w:p>
    <w:p>
      <w:pPr>
        <w:widowControl/>
        <w:numPr>
          <w:ilvl w:val="1"/>
          <w:numId w:val="13"/>
        </w:numPr>
        <w:shd w:val="clear" w:color="auto" w:fill="FFFFFF"/>
        <w:spacing w:line="560" w:lineRule="exact"/>
        <w:ind w:left="-32767" w:firstLine="32767" w:firstLineChars="0"/>
        <w:jc w:val="left"/>
        <w:outlineLvl w:val="2"/>
        <w:rPr>
          <w:rFonts w:ascii="Times New Roman" w:hAnsi="Times New Roman" w:eastAsia="宋体" w:cs="Times New Roman"/>
          <w:b/>
          <w:bCs/>
          <w:color w:val="auto"/>
          <w:sz w:val="24"/>
          <w:szCs w:val="24"/>
          <w:highlight w:val="none"/>
          <w:lang w:val="en-US" w:eastAsia="zh-CN" w:bidi="ar-SA"/>
        </w:rPr>
      </w:pPr>
      <w:bookmarkStart w:id="2489" w:name="_Toc10094"/>
      <w:bookmarkStart w:id="2490" w:name="_Toc16413"/>
      <w:bookmarkStart w:id="2491" w:name="_Toc847"/>
      <w:bookmarkStart w:id="2492" w:name="_Toc21717"/>
      <w:bookmarkStart w:id="2493" w:name="_Toc12170"/>
      <w:bookmarkStart w:id="2494" w:name="_Toc6231"/>
      <w:bookmarkStart w:id="2495" w:name="_Toc13649"/>
      <w:bookmarkStart w:id="2496" w:name="_Toc30201"/>
      <w:bookmarkStart w:id="2497" w:name="_Toc24571"/>
      <w:r>
        <w:rPr>
          <w:rFonts w:hint="eastAsia" w:ascii="Times New Roman" w:hAnsi="Times New Roman" w:eastAsia="宋体" w:cs="Times New Roman"/>
          <w:b/>
          <w:bCs/>
          <w:color w:val="auto"/>
          <w:sz w:val="24"/>
          <w:szCs w:val="24"/>
          <w:highlight w:val="none"/>
          <w:lang w:val="en-US" w:eastAsia="zh-CN" w:bidi="ar-SA"/>
        </w:rPr>
        <w:t>项目组建设</w:t>
      </w:r>
      <w:bookmarkEnd w:id="2489"/>
      <w:bookmarkEnd w:id="2490"/>
      <w:bookmarkEnd w:id="2491"/>
      <w:bookmarkEnd w:id="2492"/>
      <w:bookmarkEnd w:id="2493"/>
      <w:bookmarkEnd w:id="2494"/>
      <w:bookmarkEnd w:id="2495"/>
      <w:bookmarkEnd w:id="2496"/>
      <w:bookmarkEnd w:id="2497"/>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2" w:firstLineChars="200"/>
        <w:jc w:val="left"/>
        <w:textAlignment w:val="auto"/>
        <w:outlineLvl w:val="3"/>
        <w:rPr>
          <w:rFonts w:ascii="Times New Roman" w:hAnsi="Times New Roman" w:eastAsia="宋体" w:cs="宋体"/>
          <w:b/>
          <w:bCs w:val="0"/>
          <w:color w:val="auto"/>
          <w:sz w:val="21"/>
          <w:szCs w:val="21"/>
          <w:highlight w:val="none"/>
          <w:lang w:val="en-US" w:eastAsia="zh-CN" w:bidi="ar-SA"/>
        </w:rPr>
      </w:pPr>
      <w:bookmarkStart w:id="2498" w:name="_Toc13508"/>
      <w:bookmarkStart w:id="2499" w:name="_Toc25487"/>
      <w:r>
        <w:rPr>
          <w:rFonts w:hint="eastAsia" w:ascii="Times New Roman" w:hAnsi="Times New Roman" w:eastAsia="宋体" w:cs="宋体"/>
          <w:b/>
          <w:bCs w:val="0"/>
          <w:color w:val="auto"/>
          <w:sz w:val="21"/>
          <w:szCs w:val="21"/>
          <w:highlight w:val="none"/>
          <w:lang w:val="en-US" w:eastAsia="zh-CN" w:bidi="ar-SA"/>
        </w:rPr>
        <w:t>组织架构及人员</w:t>
      </w:r>
      <w:bookmarkEnd w:id="2498"/>
      <w:bookmarkEnd w:id="2499"/>
      <w:r>
        <w:rPr>
          <w:rFonts w:hint="eastAsia" w:ascii="Times New Roman" w:hAnsi="Times New Roman" w:eastAsia="宋体" w:cs="宋体"/>
          <w:b/>
          <w:bCs w:val="0"/>
          <w:color w:val="auto"/>
          <w:sz w:val="21"/>
          <w:szCs w:val="21"/>
          <w:highlight w:val="none"/>
          <w:lang w:val="en-US" w:eastAsia="zh-CN" w:bidi="ar-SA"/>
        </w:rPr>
        <w:t>配置</w:t>
      </w:r>
    </w:p>
    <w:bookmarkEnd w:id="2487"/>
    <w:bookmarkEnd w:id="2488"/>
    <w:p>
      <w:pPr>
        <w:widowControl w:val="0"/>
        <w:spacing w:before="0" w:after="0" w:afterAutospacing="0" w:line="560" w:lineRule="exact"/>
        <w:ind w:left="0" w:right="0" w:firstLine="420" w:firstLineChars="200"/>
        <w:rPr>
          <w:rFonts w:ascii="Times New Roman" w:hAnsi="Times New Roman" w:eastAsia="Times New Roman" w:cs="Times New Roman"/>
          <w:color w:val="auto"/>
          <w:sz w:val="24"/>
          <w:szCs w:val="21"/>
          <w:highlight w:val="none"/>
        </w:rPr>
      </w:pPr>
      <w:bookmarkStart w:id="2500" w:name="_Hlk11622081"/>
      <w:r>
        <w:rPr>
          <w:rFonts w:hint="eastAsia" w:ascii="Times New Roman" w:hAnsi="Times New Roman" w:eastAsia="宋体" w:cs="宋体"/>
          <w:color w:val="auto"/>
          <w:sz w:val="21"/>
          <w:szCs w:val="21"/>
          <w:highlight w:val="none"/>
        </w:rPr>
        <w:t>为保证南宁轨道交通1-5号线</w:t>
      </w:r>
      <w:r>
        <w:rPr>
          <w:rFonts w:hint="eastAsia" w:ascii="Times New Roman" w:hAnsi="Times New Roman" w:eastAsia="宋体" w:cs="宋体"/>
          <w:color w:val="auto"/>
          <w:sz w:val="21"/>
          <w:szCs w:val="21"/>
          <w:highlight w:val="none"/>
          <w:lang w:val="en-US" w:eastAsia="zh-CN"/>
        </w:rPr>
        <w:t>叉车</w:t>
      </w:r>
      <w:r>
        <w:rPr>
          <w:rFonts w:hint="eastAsia" w:ascii="Times New Roman" w:hAnsi="Times New Roman" w:eastAsia="宋体" w:cs="宋体"/>
          <w:color w:val="auto"/>
          <w:sz w:val="21"/>
          <w:szCs w:val="21"/>
          <w:highlight w:val="none"/>
        </w:rPr>
        <w:t>委外维保项目安全、顺利、高效、可靠地实施，</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需设立项目经理</w:t>
      </w:r>
      <w:r>
        <w:rPr>
          <w:rFonts w:hint="eastAsia" w:ascii="Times New Roman" w:hAnsi="Times New Roman" w:eastAsia="宋体" w:cs="宋体"/>
          <w:color w:val="auto"/>
          <w:sz w:val="21"/>
          <w:szCs w:val="21"/>
          <w:highlight w:val="none"/>
          <w:lang w:eastAsia="zh-CN"/>
        </w:rPr>
        <w:t>、</w:t>
      </w:r>
      <w:r>
        <w:rPr>
          <w:rFonts w:hint="eastAsia" w:ascii="Times New Roman" w:hAnsi="Times New Roman" w:eastAsia="宋体" w:cs="宋体"/>
          <w:color w:val="auto"/>
          <w:sz w:val="21"/>
          <w:szCs w:val="21"/>
          <w:highlight w:val="none"/>
        </w:rPr>
        <w:t>技术负责人</w:t>
      </w:r>
      <w:r>
        <w:rPr>
          <w:rFonts w:hint="eastAsia" w:ascii="Times New Roman" w:hAnsi="Times New Roman" w:eastAsia="宋体" w:cs="宋体"/>
          <w:color w:val="auto"/>
          <w:sz w:val="21"/>
          <w:szCs w:val="21"/>
          <w:highlight w:val="none"/>
          <w:lang w:eastAsia="zh-CN"/>
        </w:rPr>
        <w:t>（</w:t>
      </w:r>
      <w:r>
        <w:rPr>
          <w:rFonts w:hint="eastAsia" w:ascii="Times New Roman" w:hAnsi="Times New Roman" w:eastAsia="宋体" w:cs="宋体"/>
          <w:color w:val="auto"/>
          <w:sz w:val="21"/>
          <w:szCs w:val="21"/>
          <w:highlight w:val="none"/>
          <w:lang w:val="en-US" w:eastAsia="zh-CN"/>
        </w:rPr>
        <w:t>可由项目经理兼任</w:t>
      </w:r>
      <w:r>
        <w:rPr>
          <w:rFonts w:hint="eastAsia" w:ascii="Times New Roman" w:hAnsi="Times New Roman" w:eastAsia="宋体" w:cs="宋体"/>
          <w:color w:val="auto"/>
          <w:sz w:val="21"/>
          <w:szCs w:val="21"/>
          <w:highlight w:val="none"/>
          <w:lang w:eastAsia="zh-CN"/>
        </w:rPr>
        <w:t>）</w:t>
      </w:r>
      <w:r>
        <w:rPr>
          <w:rFonts w:hint="eastAsia" w:ascii="Times New Roman" w:hAnsi="Times New Roman" w:eastAsia="宋体" w:cs="宋体"/>
          <w:color w:val="auto"/>
          <w:sz w:val="21"/>
          <w:szCs w:val="21"/>
          <w:highlight w:val="none"/>
        </w:rPr>
        <w:t>、作业人员，项目其他管理人员的配备以满足</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委外项目管理的要求为准。</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组建的项目组人员</w:t>
      </w:r>
      <w:r>
        <w:rPr>
          <w:rFonts w:hint="eastAsia" w:ascii="Times New Roman" w:hAnsi="Times New Roman" w:eastAsia="宋体" w:cs="宋体"/>
          <w:color w:val="auto"/>
          <w:sz w:val="21"/>
          <w:szCs w:val="21"/>
          <w:highlight w:val="none"/>
          <w:lang w:val="en-US" w:eastAsia="zh-CN"/>
        </w:rPr>
        <w:t>应熟悉项目现场</w:t>
      </w:r>
      <w:r>
        <w:rPr>
          <w:rFonts w:hint="eastAsia" w:ascii="Times New Roman" w:hAnsi="Times New Roman" w:eastAsia="宋体" w:cs="宋体"/>
          <w:color w:val="auto"/>
          <w:sz w:val="21"/>
          <w:szCs w:val="21"/>
          <w:highlight w:val="none"/>
        </w:rPr>
        <w:t>，具备及时修复故障的能力，确保委外作业人员在规定时间内</w:t>
      </w:r>
      <w:r>
        <w:rPr>
          <w:rFonts w:hint="eastAsia" w:ascii="Times New Roman" w:hAnsi="Times New Roman" w:eastAsia="宋体" w:cs="宋体"/>
          <w:color w:val="auto"/>
          <w:sz w:val="21"/>
          <w:szCs w:val="21"/>
          <w:highlight w:val="none"/>
          <w:lang w:val="en-US" w:eastAsia="zh-CN"/>
        </w:rPr>
        <w:t>能</w:t>
      </w:r>
      <w:r>
        <w:rPr>
          <w:rFonts w:hint="eastAsia" w:ascii="Times New Roman" w:hAnsi="Times New Roman" w:eastAsia="宋体" w:cs="宋体"/>
          <w:color w:val="auto"/>
          <w:sz w:val="21"/>
          <w:szCs w:val="21"/>
          <w:highlight w:val="none"/>
        </w:rPr>
        <w:t>到达指定地点完成维保。</w:t>
      </w:r>
      <w:r>
        <w:rPr>
          <w:rFonts w:hint="eastAsia" w:ascii="Times New Roman" w:hAnsi="Times New Roman" w:eastAsia="宋体" w:cs="宋体"/>
          <w:color w:val="auto"/>
          <w:sz w:val="21"/>
          <w:szCs w:val="21"/>
          <w:highlight w:val="none"/>
          <w:lang w:val="en-US" w:eastAsia="zh-CN"/>
        </w:rPr>
        <w:t>项目组</w:t>
      </w:r>
      <w:r>
        <w:rPr>
          <w:rFonts w:hint="eastAsia" w:ascii="Times New Roman" w:hAnsi="Times New Roman" w:eastAsia="宋体" w:cs="宋体"/>
          <w:color w:val="auto"/>
          <w:sz w:val="21"/>
          <w:szCs w:val="21"/>
          <w:highlight w:val="none"/>
        </w:rPr>
        <w:t>所有作业人员身体健康，品行良好，人员具体</w:t>
      </w:r>
      <w:r>
        <w:rPr>
          <w:rFonts w:hint="eastAsia" w:ascii="Times New Roman" w:hAnsi="Times New Roman" w:eastAsia="宋体" w:cs="宋体"/>
          <w:color w:val="auto"/>
          <w:sz w:val="21"/>
          <w:szCs w:val="21"/>
          <w:highlight w:val="none"/>
          <w:lang w:val="en-US" w:eastAsia="zh-CN"/>
        </w:rPr>
        <w:t>架构</w:t>
      </w:r>
      <w:r>
        <w:rPr>
          <w:rFonts w:hint="eastAsia" w:ascii="Times New Roman" w:hAnsi="Times New Roman" w:eastAsia="宋体" w:cs="宋体"/>
          <w:color w:val="auto"/>
          <w:sz w:val="21"/>
          <w:szCs w:val="21"/>
          <w:highlight w:val="none"/>
        </w:rPr>
        <w:t>和项目部人员要求</w:t>
      </w:r>
      <w:r>
        <w:rPr>
          <w:rFonts w:hint="eastAsia" w:ascii="Times New Roman" w:hAnsi="Times New Roman" w:eastAsia="宋体" w:cs="宋体"/>
          <w:color w:val="auto"/>
          <w:sz w:val="21"/>
          <w:szCs w:val="21"/>
          <w:highlight w:val="none"/>
          <w:lang w:val="en-US" w:eastAsia="zh-CN"/>
        </w:rPr>
        <w:t>见图1、</w:t>
      </w:r>
      <w:r>
        <w:rPr>
          <w:rFonts w:hint="eastAsia" w:ascii="Times New Roman" w:hAnsi="Times New Roman" w:eastAsia="宋体" w:cs="宋体"/>
          <w:color w:val="auto"/>
          <w:sz w:val="21"/>
          <w:szCs w:val="21"/>
          <w:highlight w:val="none"/>
        </w:rPr>
        <w:t>表1：</w:t>
      </w:r>
    </w:p>
    <w:p>
      <w:pPr>
        <w:widowControl w:val="0"/>
        <w:spacing w:before="0" w:after="0" w:afterAutospacing="0" w:line="240" w:lineRule="auto"/>
        <w:ind w:left="0" w:right="0" w:firstLine="420"/>
        <w:jc w:val="center"/>
        <w:rPr>
          <w:rFonts w:hint="eastAsia" w:ascii="Times New Roman" w:hAnsi="Times New Roman" w:eastAsia="宋体" w:cs="宋体"/>
          <w:color w:val="auto"/>
          <w:sz w:val="21"/>
          <w:szCs w:val="21"/>
          <w:highlight w:val="none"/>
          <w:lang w:eastAsia="zh-CN"/>
        </w:rPr>
      </w:pPr>
      <w:r>
        <w:rPr>
          <w:rFonts w:hint="eastAsia" w:ascii="Times New Roman" w:hAnsi="Times New Roman" w:eastAsia="宋体" w:cs="宋体"/>
          <w:color w:val="auto"/>
          <w:sz w:val="21"/>
          <w:szCs w:val="21"/>
          <w:highlight w:val="none"/>
          <w:lang w:eastAsia="zh-CN"/>
        </w:rPr>
        <w:drawing>
          <wp:inline distT="0" distB="0" distL="114300" distR="114300">
            <wp:extent cx="3173095" cy="1827530"/>
            <wp:effectExtent l="6350" t="0" r="78105" b="2032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pPr>
        <w:widowControl w:val="0"/>
        <w:spacing w:before="0" w:after="0" w:afterAutospacing="0" w:line="240" w:lineRule="auto"/>
        <w:ind w:left="0" w:right="0" w:firstLine="420"/>
        <w:jc w:val="center"/>
        <w:rPr>
          <w:rFonts w:hint="default"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val="en-US" w:eastAsia="zh-CN"/>
        </w:rPr>
        <w:t>图1 项目组架构</w:t>
      </w:r>
    </w:p>
    <w:p>
      <w:pPr>
        <w:keepNext w:val="0"/>
        <w:keepLines w:val="0"/>
        <w:pageBreakBefore w:val="0"/>
        <w:widowControl w:val="0"/>
        <w:kinsoku/>
        <w:wordWrap/>
        <w:overflowPunct/>
        <w:topLinePunct w:val="0"/>
        <w:autoSpaceDE/>
        <w:autoSpaceDN/>
        <w:bidi w:val="0"/>
        <w:adjustRightInd/>
        <w:snapToGrid/>
        <w:spacing w:before="0" w:after="0" w:afterAutospacing="0" w:line="560" w:lineRule="exact"/>
        <w:ind w:left="0" w:right="0" w:firstLine="0" w:firstLineChars="0"/>
        <w:jc w:val="center"/>
        <w:textAlignment w:val="auto"/>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表1 项目</w:t>
      </w:r>
      <w:r>
        <w:rPr>
          <w:rFonts w:hint="eastAsia" w:ascii="Times New Roman" w:hAnsi="Times New Roman" w:eastAsia="宋体" w:cs="宋体"/>
          <w:color w:val="auto"/>
          <w:sz w:val="18"/>
          <w:szCs w:val="18"/>
          <w:highlight w:val="none"/>
          <w:lang w:val="en-US" w:eastAsia="zh-CN"/>
        </w:rPr>
        <w:t>组</w:t>
      </w:r>
      <w:r>
        <w:rPr>
          <w:rFonts w:hint="eastAsia" w:ascii="Times New Roman" w:hAnsi="Times New Roman" w:eastAsia="宋体" w:cs="宋体"/>
          <w:color w:val="auto"/>
          <w:sz w:val="18"/>
          <w:szCs w:val="18"/>
          <w:highlight w:val="none"/>
        </w:rPr>
        <w:t>人员要求</w:t>
      </w: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0"/>
        <w:gridCol w:w="3497"/>
        <w:gridCol w:w="4183"/>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i w:val="0"/>
                <w:iCs w:val="0"/>
                <w:color w:val="auto"/>
                <w:kern w:val="0"/>
                <w:sz w:val="18"/>
                <w:szCs w:val="18"/>
                <w:highlight w:val="none"/>
                <w:u w:val="none"/>
                <w:lang w:val="en-US" w:eastAsia="zh-CN" w:bidi="ar"/>
              </w:rPr>
              <w:t>岗位</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i w:val="0"/>
                <w:iCs w:val="0"/>
                <w:color w:val="auto"/>
                <w:kern w:val="0"/>
                <w:sz w:val="18"/>
                <w:szCs w:val="18"/>
                <w:highlight w:val="none"/>
                <w:u w:val="none"/>
                <w:lang w:val="en-US" w:eastAsia="zh-CN" w:bidi="ar"/>
              </w:rPr>
              <w:t>岗位要求</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i w:val="0"/>
                <w:iCs w:val="0"/>
                <w:color w:val="auto"/>
                <w:kern w:val="0"/>
                <w:sz w:val="18"/>
                <w:szCs w:val="18"/>
                <w:highlight w:val="none"/>
                <w:u w:val="none"/>
                <w:lang w:val="en-US" w:eastAsia="zh-CN" w:bidi="ar"/>
              </w:rPr>
              <w:t>岗位职责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i w:val="0"/>
                <w:iCs w:val="0"/>
                <w:color w:val="auto"/>
                <w:kern w:val="0"/>
                <w:sz w:val="18"/>
                <w:szCs w:val="18"/>
                <w:highlight w:val="none"/>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项目经理</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1.熟悉国家和行业有关标准，有2年及以上的项目管理经验。</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2.具有良好的沟通、团结协作、主动工作的能力等。</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3.要求5年内至少有负责1个叉车维保项目经验。</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4.具有国家有关部门核发的特种设备安全管理人员证。</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1.受项目比选人的领导，是项目施工现场全面生产管理工作的组织和指挥者。对叉车委外维保项目质量、安全生产负有直接的领导责任。</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2.负责协调现场工作。</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3.参加比选人召开的工作例会，协调解决比选人和作业过程中各相关方反映的问题，统一指挥协调配合。</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4.负责组织项目的质量评定。</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5.负责组织质量事故的处理工作，针对项目特点制定质量通病的防治措施。</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6.负责项目质量管理，确保管理目标的实现。</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7.发生设备设施故障时，积极组织故障维修、抢修，并认真参加分析，落实预防措施等。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技术负责人</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1.熟练掌握国家和行业有关标准。</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2.具有良好的沟通、团结协作、主动工作等能力。</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3.掌握叉车工作原理和性能指标、设备操作注意事项、常见问题的处理方法、故障维修办法等。</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4.有2年及以上叉车技术管理经验。</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1.受项目经理的领导，协助项目经理实施工作。</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2.组织贯彻实施国家和比选人指定的各项技术标准、规定、规范和技术质量管理制度。</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3.负责项目实施过程中技术、质量、制定作业安全和技术生产措施等。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作业人员</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1.熟悉国家和行业有关标准。</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2.有2年及以上叉车维保工作经验。</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3.工作认真，主动，吃苦耐劳，积极学习叉车专业知识。</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4.掌握叉车作原理和性能指标、设备操作注意事项、常见问题的处理方法、故障维修办法等。</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5.持有叉车司机证和低压电工作业证，且所有证书均能在相关官方网站中查询。</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1.受项目经理的领导，协助项目经理开展工作。</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2.配合贯彻实施国家和比选人指定的各项技术标准、规定、规范和技术质量管理制度。</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3.负责项目现场开展的各项工作，包含但不限于叉车日常维保、故障修复，确保管理目标的实现。</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4.配合比选人解决重点技术事项。</w:t>
            </w:r>
          </w:p>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5.发生设备设施故障时，积极参与故障维修、故障抢修并认真参加故障分析，落实预防措施。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不少于2人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8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882"/>
              </w:tabs>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备注：</w:t>
            </w:r>
          </w:p>
          <w:p>
            <w:pPr>
              <w:keepNext w:val="0"/>
              <w:keepLines w:val="0"/>
              <w:widowControl/>
              <w:suppressLineNumbers w:val="0"/>
              <w:tabs>
                <w:tab w:val="left" w:pos="1882"/>
              </w:tabs>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1.比选申请人须如实将本项目的相关从业人员的名单、工作资历、相关证件及身份证明等信息报送比选人审查备案。</w:t>
            </w:r>
          </w:p>
          <w:p>
            <w:pPr>
              <w:keepNext w:val="0"/>
              <w:keepLines w:val="0"/>
              <w:widowControl/>
              <w:suppressLineNumbers w:val="0"/>
              <w:tabs>
                <w:tab w:val="left" w:pos="1882"/>
              </w:tabs>
              <w:spacing w:before="0" w:after="0" w:afterAutospacing="0" w:line="240" w:lineRule="auto"/>
              <w:ind w:left="0" w:right="0" w:firstLine="0"/>
              <w:jc w:val="left"/>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2.比选申请人遵守比选人各项管理制度和工作流程，接受比选人的安全教育培训，并签订安全承诺书，所有人员须通过比选人组织的相关考试且考试合格。</w:t>
            </w:r>
          </w:p>
        </w:tc>
      </w:tr>
    </w:tbl>
    <w:p>
      <w:pPr>
        <w:keepNext w:val="0"/>
        <w:keepLines w:val="0"/>
        <w:pageBreakBefore w:val="0"/>
        <w:widowControl w:val="0"/>
        <w:kinsoku/>
        <w:wordWrap/>
        <w:overflowPunct/>
        <w:topLinePunct w:val="0"/>
        <w:autoSpaceDE/>
        <w:autoSpaceDN/>
        <w:bidi w:val="0"/>
        <w:adjustRightInd/>
        <w:snapToGrid/>
        <w:spacing w:before="0" w:after="0" w:afterAutospacing="0" w:line="560" w:lineRule="exact"/>
        <w:ind w:left="0" w:right="0" w:firstLine="0" w:firstLineChars="0"/>
        <w:jc w:val="both"/>
        <w:textAlignment w:val="auto"/>
        <w:rPr>
          <w:rFonts w:hint="eastAsia" w:ascii="Times New Roman" w:hAnsi="Times New Roman" w:eastAsia="宋体" w:cs="宋体"/>
          <w:color w:val="auto"/>
          <w:sz w:val="21"/>
          <w:szCs w:val="21"/>
          <w:highlight w:val="none"/>
        </w:rPr>
      </w:pPr>
    </w:p>
    <w:bookmarkEnd w:id="2500"/>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501" w:name="_Toc3227"/>
      <w:bookmarkStart w:id="2502" w:name="_Toc19518"/>
      <w:bookmarkStart w:id="2503" w:name="_Toc17251"/>
      <w:bookmarkStart w:id="2504" w:name="_Toc5819"/>
      <w:bookmarkStart w:id="2505" w:name="_Toc21969"/>
      <w:bookmarkStart w:id="2506" w:name="_Toc1912"/>
      <w:bookmarkStart w:id="2507" w:name="_Toc20970"/>
      <w:bookmarkStart w:id="2508" w:name="_Toc6815"/>
      <w:bookmarkStart w:id="2509" w:name="_Toc534279546"/>
      <w:bookmarkStart w:id="2510" w:name="_Toc534279509"/>
      <w:bookmarkStart w:id="2511" w:name="_Toc10713"/>
      <w:bookmarkStart w:id="2512" w:name="_Toc29874"/>
      <w:bookmarkStart w:id="2513" w:name="_Toc25485_WPSOffice_Level2"/>
      <w:bookmarkStart w:id="2514" w:name="_Toc23946"/>
      <w:bookmarkStart w:id="2515" w:name="_Toc13908612"/>
      <w:bookmarkStart w:id="2516" w:name="_Toc14248704"/>
      <w:bookmarkStart w:id="2517" w:name="_Toc14252320"/>
      <w:bookmarkStart w:id="2518" w:name="_Toc534613567"/>
      <w:bookmarkStart w:id="2519" w:name="_Toc15314135"/>
      <w:bookmarkStart w:id="2520" w:name="_Toc14181823"/>
      <w:bookmarkStart w:id="2521" w:name="_Toc22998"/>
      <w:bookmarkStart w:id="2522" w:name="_Toc14260783"/>
      <w:r>
        <w:rPr>
          <w:rFonts w:hint="eastAsia" w:ascii="Times New Roman" w:hAnsi="Times New Roman" w:eastAsia="宋体" w:cs="Times New Roman"/>
          <w:b/>
          <w:bCs/>
          <w:color w:val="auto"/>
          <w:sz w:val="24"/>
          <w:szCs w:val="24"/>
          <w:highlight w:val="none"/>
          <w:lang w:val="en-US" w:eastAsia="zh-CN" w:bidi="ar-SA"/>
        </w:rPr>
        <w:t>项目安全管理</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widowControl/>
        <w:numPr>
          <w:ilvl w:val="2"/>
          <w:numId w:val="13"/>
        </w:numPr>
        <w:shd w:val="clear" w:color="auto" w:fill="FFFFFF"/>
        <w:spacing w:line="560" w:lineRule="exact"/>
        <w:ind w:left="0" w:firstLine="420" w:firstLineChars="200"/>
        <w:jc w:val="left"/>
        <w:rPr>
          <w:rFonts w:ascii="Times New Roman" w:hAnsi="Times New Roman" w:eastAsia="宋体" w:cs="宋体"/>
          <w:color w:val="auto"/>
          <w:sz w:val="21"/>
          <w:szCs w:val="21"/>
          <w:highlight w:val="none"/>
          <w:lang w:val="en-US" w:eastAsia="zh-CN" w:bidi="ar-SA"/>
        </w:rPr>
      </w:pPr>
      <w:bookmarkStart w:id="2523" w:name="_Toc2672072"/>
      <w:bookmarkStart w:id="2524" w:name="_Toc14257650"/>
      <w:bookmarkStart w:id="2525" w:name="_Toc14018207"/>
      <w:bookmarkStart w:id="2526" w:name="_Toc14261373"/>
      <w:bookmarkStart w:id="2527" w:name="_Toc534613573"/>
      <w:bookmarkStart w:id="2528" w:name="_Toc6585057"/>
      <w:bookmarkStart w:id="2529" w:name="_Toc26560_WPSOffice_Level2"/>
      <w:r>
        <w:rPr>
          <w:rFonts w:hint="eastAsia" w:ascii="Times New Roman" w:hAnsi="Times New Roman" w:eastAsia="宋体" w:cs="宋体"/>
          <w:color w:val="auto"/>
          <w:sz w:val="21"/>
          <w:szCs w:val="21"/>
          <w:highlight w:val="none"/>
          <w:lang w:val="en-US" w:eastAsia="zh-CN" w:bidi="ar-SA"/>
        </w:rPr>
        <w:t>比选申请人相关人员须严格遵守执行国家、地方和行业的相关法律法规、规范标准及比选人规章制度等各项规定，遵守比选人安全管理相关规章制度，比选申请人按照比选人安全管理架构要求组建安全管理体系。</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比选申请人维保作业人员在工作现场须统一着装，并按要求佩戴相关证件。</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在正常施工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且比选人会对比选申请人进行考核。</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比选申请人对合同范围内各项工作开展因失误或渎职而引发的事故负全部责任，承担因此给比选人造成的直接和间接经济损失，且比选人会对其进行考核。</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须遵守比选人对运营安全、服务、消防等管理方法和规章制度的相关规定，设备设施维护和服务质量应严格按照运营管理和服务质量要求执行，接受比选人考核，并达到比选人的标准和考核要求。遵守比选人所有规章制度、作业流程以及安全规定。对比选人下发的文件、通知及会议纪要中的要求应无条件执行。</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由比选人对比选申请人开展安全教育培训，特别是与地铁内作业相关的安全知识和要求。</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作业前要由比选人施工负责人员向比选申请人维保人员进行安全、技术要求交底，未经教育者不得进入作业现场，凡参加安全、技术交底的人员要履行签字手续，并由比选人保存相关文件。比选人将定期对项目安全技术措施的执行情况进行检查，并做好记录。</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比选申请人应对现场维保人员加强安全作业的思想教育，提高施工人员安全第一的责任感，把安全生产作为作业质量和创效益的基础保证。安全要求做到人手一份，以便监督执行。</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树立“安全第一、预防为主”的思想，做到不违章指挥、不违章操作、不伤害自己、不被别人伤害，提高施工人员整体安全防护意识和自我防护能力。作业前比选申请人所有施工人员必须了解工作地点的设备设施状况和作业安全要点，做好安全防护措施。</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比选申请人现场维保作业人员应当熟悉掌握消防设备的性能和使用方法，且不得乱动消防器材。遵守劳动纪律，服从安全人员的指挥，严禁在施工场地睡觉、嬉戏。作业现场杜绝火种，严禁烟火。</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人员进入作业现场，必须按要求穿戴工作服；严禁赤脚、穿拖鞋和着装不符合作业规范的人员进入作业现场，不听劝告者禁止进入作业现场。对于施工材料必须按规定统一放置在指定的位置保管；若需开展动火作业，按《运营公司消防安全管理办法》相关要求办理动火令，并按动火作业安全规定进行作业。</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高处作业要有切实可行的安全保证措施，必须按规定申请高处作业，高处作业执行两人作业制度，严禁单人作业。高处作业必须系安全带、戴安全帽；不得穿硬底或带钉的鞋，不得往下投掷物料。在离接触网带电部分不到1米的建筑物上作业时，接触网必须停电、挂地线，并按规定办理停电手续，得要许可后由相关部门派人安设临时接地线后，方能开始施工。</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对于地铁内的运行设备、设施应做好作业前的保护措施，不得损坏以及影响地铁运行和设备设施的正常运行，如有发现意外应当向地铁有关部门反映以及时采取措施。</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为确保工艺设备的安全运行，施工作业结束后必须做好场地出清，比选申请人维保作业人员必须做好当日现场出清工作，比选人施工负责人做好出清作业的检查。进入地铁作业现场，比选申请人必须严格执行请销点制度，以防事故的发生。</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比选申请人要教育员工自觉遵守轨道交通安全规则，严禁未经请点私自进入库区作业；班前必须充分休息，班前8小时不得饮酒，确保上班时精神饱满。</w:t>
      </w:r>
    </w:p>
    <w:p>
      <w:pPr>
        <w:widowControl/>
        <w:numPr>
          <w:ilvl w:val="2"/>
          <w:numId w:val="13"/>
        </w:numPr>
        <w:shd w:val="clear" w:color="auto" w:fill="FFFFFF"/>
        <w:spacing w:line="560" w:lineRule="exact"/>
        <w:ind w:left="0" w:firstLine="420" w:firstLineChars="200"/>
        <w:jc w:val="left"/>
        <w:outlineLvl w:val="3"/>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未经比选人允许不得私自外传相关资料、信息。</w:t>
      </w:r>
    </w:p>
    <w:p>
      <w:pPr>
        <w:widowControl/>
        <w:numPr>
          <w:ilvl w:val="2"/>
          <w:numId w:val="13"/>
        </w:numPr>
        <w:shd w:val="clear" w:color="auto" w:fill="FFFFFF"/>
        <w:spacing w:line="560" w:lineRule="exact"/>
        <w:ind w:left="0" w:firstLine="420" w:firstLineChars="200"/>
        <w:jc w:val="left"/>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比选申请人须加强项目组人员管理，避免发生赌博、酗酒、斗殴等恶性事件，杜绝发生违纪、纠纷、民事、治安、刑事等事件；若发生上述事件，由比选申请人承担由此带来的全部后果。</w:t>
      </w:r>
    </w:p>
    <w:bookmarkEnd w:id="2523"/>
    <w:bookmarkEnd w:id="2524"/>
    <w:bookmarkEnd w:id="2525"/>
    <w:bookmarkEnd w:id="2526"/>
    <w:bookmarkEnd w:id="2527"/>
    <w:bookmarkEnd w:id="2528"/>
    <w:bookmarkEnd w:id="2529"/>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en-US" w:eastAsia="zh-CN" w:bidi="ar-SA"/>
        </w:rPr>
      </w:pPr>
      <w:bookmarkStart w:id="2530" w:name="_Toc18228"/>
      <w:bookmarkStart w:id="2531" w:name="_Toc17711"/>
      <w:bookmarkStart w:id="2532" w:name="_Toc29676"/>
      <w:bookmarkStart w:id="2533" w:name="_Toc24319"/>
      <w:bookmarkStart w:id="2534" w:name="_Toc11494"/>
      <w:bookmarkStart w:id="2535" w:name="_Toc15315"/>
      <w:bookmarkStart w:id="2536" w:name="_Toc18373"/>
      <w:bookmarkStart w:id="2537" w:name="_Toc3471"/>
      <w:r>
        <w:rPr>
          <w:rFonts w:hint="eastAsia" w:ascii="Times New Roman" w:hAnsi="Times New Roman" w:eastAsia="宋体" w:cs="Times New Roman"/>
          <w:b/>
          <w:bCs/>
          <w:color w:val="auto"/>
          <w:sz w:val="24"/>
          <w:szCs w:val="24"/>
          <w:highlight w:val="none"/>
          <w:lang w:val="en-US" w:eastAsia="zh-CN" w:bidi="ar-SA"/>
        </w:rPr>
        <w:t>项目质量管理</w:t>
      </w:r>
      <w:bookmarkEnd w:id="2530"/>
      <w:bookmarkEnd w:id="2531"/>
      <w:bookmarkEnd w:id="2532"/>
      <w:bookmarkEnd w:id="2533"/>
      <w:bookmarkEnd w:id="2534"/>
      <w:bookmarkEnd w:id="2535"/>
      <w:bookmarkEnd w:id="2536"/>
      <w:bookmarkEnd w:id="2537"/>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ascii="Times New Roman" w:hAnsi="Times New Roman" w:eastAsia="宋体" w:cs="宋体"/>
          <w:b w:val="0"/>
          <w:bCs/>
          <w:color w:val="auto"/>
          <w:sz w:val="21"/>
          <w:szCs w:val="21"/>
          <w:highlight w:val="none"/>
          <w:lang w:val="en-US" w:eastAsia="zh-CN" w:bidi="ar-SA"/>
        </w:rPr>
      </w:pPr>
      <w:bookmarkStart w:id="2538" w:name="_Toc13908608"/>
      <w:bookmarkStart w:id="2539" w:name="_Toc14254658"/>
      <w:bookmarkStart w:id="2540" w:name="_Toc14248700"/>
      <w:bookmarkStart w:id="2541" w:name="_Toc534279506"/>
      <w:bookmarkStart w:id="2542" w:name="_Toc534279543"/>
      <w:bookmarkStart w:id="2543" w:name="_Toc14020723"/>
      <w:bookmarkStart w:id="2544" w:name="_Toc14261370"/>
      <w:bookmarkStart w:id="2545" w:name="_Toc14018202"/>
      <w:bookmarkStart w:id="2546" w:name="_Toc23766"/>
      <w:bookmarkStart w:id="2547" w:name="_Toc689"/>
      <w:bookmarkStart w:id="2548" w:name="_Toc3707_WPSOffice_Level2"/>
      <w:bookmarkStart w:id="2549" w:name="_Toc14257647"/>
      <w:bookmarkStart w:id="2550" w:name="_Toc24977"/>
      <w:bookmarkStart w:id="2551" w:name="_Toc17086"/>
      <w:r>
        <w:rPr>
          <w:rFonts w:hint="eastAsia" w:ascii="Times New Roman" w:hAnsi="Times New Roman" w:eastAsia="宋体" w:cs="宋体"/>
          <w:b w:val="0"/>
          <w:bCs/>
          <w:color w:val="auto"/>
          <w:sz w:val="21"/>
          <w:szCs w:val="21"/>
          <w:highlight w:val="none"/>
          <w:lang w:val="en-US" w:eastAsia="zh-CN" w:bidi="ar-SA"/>
        </w:rPr>
        <w:t>委外维保项目工作内容</w:t>
      </w:r>
      <w:bookmarkEnd w:id="2538"/>
      <w:bookmarkEnd w:id="2539"/>
      <w:bookmarkEnd w:id="2540"/>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比选申请人根据南宁轨道交通运营有限公司叉车检修规程内容和有关规定要求，组织相关维保人员对南宁轨道交通1-5号线共计38台叉车进行定期维护保养、故障维修、零部件更换及定期检验工作。</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因比选申请人漏检、漏修、错修等原因导致的质量问题，比选申请人须在接到比选人通知之日起2个工作日内修复，由此产生的费用由比选申请人承担。若比选申请人不能按期修复，比选人有权自行组织维修，所产生的费用从比选申请人的未付款项中扣除。比选人在合同执行过程中不定期进行作业检查，若发现维保人员技术能力无法达到作业要求，比选申请人应及时更换维保人员，确保项目按期进行；比选申请人在该项目中所用材料和备件等，应确保设备功能正常，并向比选人提供相关合格证。比选申请人在合同执行过程中，由于比选申请人的原因所造成的一切责任损失由比选申请人自行承担。</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故障抢修：叉车在使用中出现故障时，比选申请人在接到比选人（或比选人指定人员）故障通知后响应时间≤50分钟，临时处理时间≤2小时，完全修复时间≤48小时。如不能及时修复的应在接报故障起24小时内提交书面报告，说明相关情况及修复计划，确定修复时间节点，避免影响比选人的正常运营。</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比选申请人须配合比选人相关人员建立健全叉车特种设备台账；出现影响使用的故障时，比选申请人需配合比选人相关人员撰写故障分析报告。</w:t>
      </w:r>
    </w:p>
    <w:bookmarkEnd w:id="2541"/>
    <w:bookmarkEnd w:id="2542"/>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bookmarkStart w:id="2552" w:name="_Toc14248701"/>
      <w:bookmarkStart w:id="2553" w:name="_Toc14254659"/>
      <w:bookmarkStart w:id="2554" w:name="_Toc13908609"/>
      <w:r>
        <w:rPr>
          <w:rFonts w:hint="eastAsia" w:ascii="Times New Roman" w:hAnsi="Times New Roman" w:eastAsia="宋体" w:cs="宋体"/>
          <w:b w:val="0"/>
          <w:bCs/>
          <w:color w:val="auto"/>
          <w:sz w:val="21"/>
          <w:szCs w:val="21"/>
          <w:highlight w:val="none"/>
          <w:lang w:val="en-US" w:eastAsia="zh-CN" w:bidi="ar-SA"/>
        </w:rPr>
        <w:t>维保工作量的确定</w:t>
      </w:r>
      <w:bookmarkEnd w:id="2552"/>
      <w:bookmarkEnd w:id="2553"/>
      <w:bookmarkEnd w:id="2554"/>
    </w:p>
    <w:p>
      <w:pPr>
        <w:widowControl/>
        <w:adjustRightInd w:val="0"/>
        <w:snapToGrid w:val="0"/>
        <w:spacing w:line="560" w:lineRule="exact"/>
        <w:ind w:left="0" w:firstLine="420" w:firstLineChars="200"/>
        <w:jc w:val="left"/>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除计划开展的叉车定期维保外，其余工作均较为零散，不便于统计，故以下仅对计划维保次数进行统计，最终以实际发生工作量为准。</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叉车</w:t>
      </w:r>
      <w:r>
        <w:rPr>
          <w:rFonts w:hint="eastAsia" w:ascii="Times New Roman" w:hAnsi="Times New Roman" w:eastAsia="Times New Roman" w:cs="Times New Roman"/>
          <w:color w:val="auto"/>
          <w:kern w:val="2"/>
          <w:sz w:val="21"/>
          <w:szCs w:val="24"/>
          <w:highlight w:val="none"/>
          <w:lang w:val="en-US" w:eastAsia="zh-CN" w:bidi="ar-SA"/>
        </w:rPr>
        <w:t>计划维保次数</w:t>
      </w:r>
    </w:p>
    <w:p>
      <w:pPr>
        <w:widowControl/>
        <w:adjustRightInd w:val="0"/>
        <w:snapToGrid w:val="0"/>
        <w:spacing w:line="560" w:lineRule="exact"/>
        <w:ind w:left="0" w:firstLine="420" w:firstLineChars="200"/>
        <w:jc w:val="left"/>
        <w:outlineLvl w:val="5"/>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3年合同期内</w:t>
      </w:r>
      <w:r>
        <w:rPr>
          <w:rFonts w:hint="eastAsia" w:ascii="宋体" w:hAnsi="宋体" w:eastAsia="宋体" w:cs="Times New Roman"/>
          <w:color w:val="auto"/>
          <w:kern w:val="2"/>
          <w:sz w:val="21"/>
          <w:szCs w:val="24"/>
          <w:highlight w:val="none"/>
          <w:lang w:val="en-US" w:eastAsia="zh-CN" w:bidi="ar-SA"/>
        </w:rPr>
        <w:t>叉车计划维保</w:t>
      </w:r>
      <w:r>
        <w:rPr>
          <w:rFonts w:hint="eastAsia" w:ascii="Times New Roman" w:hAnsi="Times New Roman" w:eastAsia="宋体" w:cs="Times New Roman"/>
          <w:color w:val="auto"/>
          <w:kern w:val="2"/>
          <w:sz w:val="21"/>
          <w:szCs w:val="24"/>
          <w:highlight w:val="none"/>
          <w:lang w:val="en-US" w:eastAsia="zh-CN" w:bidi="ar-SA"/>
        </w:rPr>
        <w:t>次数：</w:t>
      </w:r>
      <w:r>
        <w:rPr>
          <w:rFonts w:hint="eastAsia" w:ascii="宋体" w:hAnsi="宋体" w:eastAsia="宋体" w:cs="Times New Roman"/>
          <w:color w:val="auto"/>
          <w:kern w:val="2"/>
          <w:sz w:val="21"/>
          <w:szCs w:val="24"/>
          <w:highlight w:val="none"/>
          <w:lang w:val="en-US" w:eastAsia="zh-CN" w:bidi="ar-SA"/>
        </w:rPr>
        <w:t>38</w:t>
      </w:r>
      <w:r>
        <w:rPr>
          <w:rFonts w:hint="eastAsia" w:ascii="Times New Roman" w:hAnsi="Times New Roman" w:eastAsia="宋体" w:cs="Times New Roman"/>
          <w:color w:val="auto"/>
          <w:kern w:val="2"/>
          <w:sz w:val="21"/>
          <w:szCs w:val="24"/>
          <w:highlight w:val="none"/>
          <w:lang w:val="en-US" w:eastAsia="zh-CN" w:bidi="ar-SA"/>
        </w:rPr>
        <w:t>*1</w:t>
      </w:r>
      <w:r>
        <w:rPr>
          <w:rFonts w:hint="eastAsia" w:ascii="宋体" w:hAnsi="宋体" w:eastAsia="宋体" w:cs="Times New Roman"/>
          <w:color w:val="auto"/>
          <w:kern w:val="2"/>
          <w:sz w:val="21"/>
          <w:szCs w:val="24"/>
          <w:highlight w:val="none"/>
          <w:lang w:val="en-US" w:eastAsia="zh-CN" w:bidi="ar-SA"/>
        </w:rPr>
        <w:t>2</w:t>
      </w:r>
      <w:r>
        <w:rPr>
          <w:rFonts w:hint="eastAsia" w:ascii="Times New Roman" w:hAnsi="Times New Roman" w:eastAsia="宋体" w:cs="Times New Roman"/>
          <w:color w:val="auto"/>
          <w:kern w:val="2"/>
          <w:sz w:val="21"/>
          <w:szCs w:val="24"/>
          <w:highlight w:val="none"/>
          <w:lang w:val="en-US" w:eastAsia="zh-CN" w:bidi="ar-SA"/>
        </w:rPr>
        <w:t>*3=</w:t>
      </w:r>
      <w:r>
        <w:rPr>
          <w:rFonts w:hint="eastAsia" w:ascii="宋体" w:hAnsi="宋体" w:eastAsia="宋体" w:cs="Times New Roman"/>
          <w:color w:val="auto"/>
          <w:kern w:val="2"/>
          <w:sz w:val="21"/>
          <w:szCs w:val="24"/>
          <w:highlight w:val="none"/>
          <w:lang w:val="en-US" w:eastAsia="zh-CN" w:bidi="ar-SA"/>
        </w:rPr>
        <w:t>1368</w:t>
      </w:r>
      <w:r>
        <w:rPr>
          <w:rFonts w:hint="eastAsia" w:ascii="Times New Roman" w:hAnsi="Times New Roman" w:eastAsia="宋体" w:cs="Times New Roman"/>
          <w:color w:val="auto"/>
          <w:kern w:val="2"/>
          <w:sz w:val="21"/>
          <w:szCs w:val="24"/>
          <w:highlight w:val="none"/>
          <w:lang w:val="en-US" w:eastAsia="zh-CN" w:bidi="ar-SA"/>
        </w:rPr>
        <w:t>次。</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维保作业时间</w:t>
      </w:r>
    </w:p>
    <w:p>
      <w:pPr>
        <w:widowControl w:val="0"/>
        <w:numPr>
          <w:ilvl w:val="0"/>
          <w:numId w:val="14"/>
        </w:numPr>
        <w:spacing w:before="0" w:after="0" w:afterAutospacing="0" w:line="560" w:lineRule="exact"/>
        <w:ind w:left="0" w:right="0" w:firstLine="0"/>
        <w:rPr>
          <w:rFonts w:ascii="Times New Roman" w:hAnsi="Times New Roman" w:eastAsia="Times New Roman" w:cs="Times New Roman"/>
          <w:color w:val="auto"/>
          <w:kern w:val="2"/>
          <w:sz w:val="21"/>
          <w:szCs w:val="24"/>
          <w:highlight w:val="none"/>
        </w:rPr>
      </w:pPr>
      <w:r>
        <w:rPr>
          <w:rFonts w:hint="eastAsia" w:ascii="Times New Roman" w:hAnsi="Times New Roman" w:eastAsia="Times New Roman" w:cs="Times New Roman"/>
          <w:color w:val="auto"/>
          <w:kern w:val="2"/>
          <w:sz w:val="21"/>
          <w:szCs w:val="24"/>
          <w:highlight w:val="none"/>
        </w:rPr>
        <w:t>维保作业时间一般为</w:t>
      </w:r>
      <w:r>
        <w:rPr>
          <w:rFonts w:hint="eastAsia" w:ascii="Times New Roman" w:hAnsi="Times New Roman" w:eastAsia="宋体" w:cs="Times New Roman"/>
          <w:color w:val="auto"/>
          <w:kern w:val="2"/>
          <w:sz w:val="21"/>
          <w:szCs w:val="24"/>
          <w:highlight w:val="none"/>
          <w:lang w:eastAsia="zh-CN"/>
        </w:rPr>
        <w:t>比选人</w:t>
      </w:r>
      <w:r>
        <w:rPr>
          <w:rFonts w:hint="eastAsia" w:ascii="Times New Roman" w:hAnsi="Times New Roman" w:eastAsia="Times New Roman" w:cs="Times New Roman"/>
          <w:color w:val="auto"/>
          <w:kern w:val="2"/>
          <w:sz w:val="21"/>
          <w:szCs w:val="24"/>
          <w:highlight w:val="none"/>
        </w:rPr>
        <w:t>工作日9:00至17:00（如有变动，以</w:t>
      </w:r>
      <w:r>
        <w:rPr>
          <w:rFonts w:hint="eastAsia" w:ascii="Times New Roman" w:hAnsi="Times New Roman" w:eastAsia="宋体" w:cs="Times New Roman"/>
          <w:color w:val="auto"/>
          <w:kern w:val="2"/>
          <w:sz w:val="21"/>
          <w:szCs w:val="24"/>
          <w:highlight w:val="none"/>
          <w:lang w:eastAsia="zh-CN"/>
        </w:rPr>
        <w:t>比选人</w:t>
      </w:r>
      <w:r>
        <w:rPr>
          <w:rFonts w:hint="eastAsia" w:ascii="Times New Roman" w:hAnsi="Times New Roman" w:eastAsia="Times New Roman" w:cs="Times New Roman"/>
          <w:color w:val="auto"/>
          <w:kern w:val="2"/>
          <w:sz w:val="21"/>
          <w:szCs w:val="24"/>
          <w:highlight w:val="none"/>
        </w:rPr>
        <w:t>通知时间为准）。</w:t>
      </w:r>
    </w:p>
    <w:p>
      <w:pPr>
        <w:widowControl w:val="0"/>
        <w:numPr>
          <w:ilvl w:val="0"/>
          <w:numId w:val="14"/>
        </w:numPr>
        <w:spacing w:before="0" w:after="0" w:afterAutospacing="0" w:line="560" w:lineRule="exact"/>
        <w:ind w:left="0" w:right="0" w:firstLine="397"/>
        <w:rPr>
          <w:rFonts w:ascii="Times New Roman" w:hAnsi="Times New Roman" w:eastAsia="Times New Roman" w:cs="Times New Roman"/>
          <w:color w:val="auto"/>
          <w:kern w:val="2"/>
          <w:sz w:val="21"/>
          <w:szCs w:val="24"/>
          <w:highlight w:val="none"/>
        </w:rPr>
      </w:pPr>
      <w:r>
        <w:rPr>
          <w:rFonts w:hint="eastAsia" w:ascii="Times New Roman" w:hAnsi="Times New Roman" w:eastAsia="Times New Roman" w:cs="Times New Roman"/>
          <w:color w:val="auto"/>
          <w:kern w:val="2"/>
          <w:sz w:val="21"/>
          <w:szCs w:val="24"/>
          <w:highlight w:val="none"/>
        </w:rPr>
        <w:t>维保作业时间包</w:t>
      </w:r>
      <w:r>
        <w:rPr>
          <w:rFonts w:hint="eastAsia" w:ascii="Times New Roman" w:hAnsi="Times New Roman" w:eastAsia="宋体" w:cs="Times New Roman"/>
          <w:color w:val="auto"/>
          <w:kern w:val="2"/>
          <w:sz w:val="21"/>
          <w:szCs w:val="24"/>
          <w:highlight w:val="none"/>
          <w:lang w:val="en-US" w:eastAsia="zh-CN"/>
        </w:rPr>
        <w:t>含</w:t>
      </w:r>
      <w:r>
        <w:rPr>
          <w:rFonts w:hint="eastAsia" w:ascii="Times New Roman" w:hAnsi="Times New Roman" w:eastAsia="Times New Roman" w:cs="Times New Roman"/>
          <w:color w:val="auto"/>
          <w:kern w:val="2"/>
          <w:sz w:val="21"/>
          <w:szCs w:val="24"/>
          <w:highlight w:val="none"/>
        </w:rPr>
        <w:t>作业前准备时间、请销点时间、设备维保时间以及完工清场时间等。</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bookmarkStart w:id="2555" w:name="_Toc13908610"/>
      <w:bookmarkStart w:id="2556" w:name="_Toc534613570"/>
      <w:bookmarkStart w:id="2557" w:name="_Toc14254660"/>
      <w:bookmarkStart w:id="2558" w:name="_Toc14248702"/>
      <w:r>
        <w:rPr>
          <w:rFonts w:hint="eastAsia" w:ascii="Times New Roman" w:hAnsi="Times New Roman" w:eastAsia="宋体" w:cs="宋体"/>
          <w:b w:val="0"/>
          <w:bCs/>
          <w:color w:val="auto"/>
          <w:sz w:val="21"/>
          <w:szCs w:val="21"/>
          <w:highlight w:val="none"/>
          <w:lang w:val="en-US" w:eastAsia="zh-CN" w:bidi="ar-SA"/>
        </w:rPr>
        <w:t>维保工作质量要求</w:t>
      </w:r>
      <w:bookmarkEnd w:id="2555"/>
      <w:bookmarkEnd w:id="2556"/>
      <w:bookmarkEnd w:id="2557"/>
      <w:bookmarkEnd w:id="2558"/>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比选申请人应建立健全的项目质量保证体系，完善质量管理制度，建立质量控制流程，保证项目工作质量。</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无论比选人是否对设备进行并通过各项检验，均不排除比选申请人对该项目的质量所负责任，除非质量问题是由于设计与制造原因引起，而此类质量问题比选申请人须及时通知比选人。采用比选申请人设计的方案及图纸进行维保作业引起的质量责任由比选申请人承担。</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无论材料是由比选申请人自行供应或是比选人供应，均不排除比选申请人对该项目的质量所负责任，比选申请人应当对各种材料、工具、备件等按规范进行常规检查，拒绝不符合要求的材料、工具、备件等用于维保项目。</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维保项目质量标准的评定以比选人内部标准《运营公司场段专用设备检修规程》为依据。双方对维保项目质量存在争议的项目由双方约定的或行业主管部门指定的单位鉴定，所需费用及因此造成的损失，由责任方承担。双方均有责任的，由双方根据其责任分别承担。</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Times New Roman" w:cs="Times New Roman"/>
          <w:color w:val="auto"/>
          <w:sz w:val="24"/>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比选申请人必须确保本项目</w:t>
      </w:r>
      <w:r>
        <w:rPr>
          <w:rFonts w:hint="eastAsia" w:ascii="Times New Roman" w:hAnsi="Times New Roman" w:eastAsia="宋体" w:cs="Times New Roman"/>
          <w:color w:val="auto"/>
          <w:kern w:val="2"/>
          <w:sz w:val="21"/>
          <w:szCs w:val="24"/>
          <w:highlight w:val="none"/>
          <w:lang w:val="en-US" w:eastAsia="zh-CN" w:bidi="ar-SA"/>
        </w:rPr>
        <w:t>叉车</w:t>
      </w:r>
      <w:r>
        <w:rPr>
          <w:rFonts w:hint="eastAsia" w:ascii="Times New Roman" w:hAnsi="Times New Roman" w:eastAsia="Times New Roman" w:cs="Times New Roman"/>
          <w:color w:val="auto"/>
          <w:kern w:val="2"/>
          <w:sz w:val="21"/>
          <w:szCs w:val="24"/>
          <w:highlight w:val="none"/>
          <w:lang w:val="en-US" w:eastAsia="zh-CN" w:bidi="ar-SA"/>
        </w:rPr>
        <w:t>的维保质量达到质量标准要求（参考表</w:t>
      </w:r>
      <w:r>
        <w:rPr>
          <w:rFonts w:hint="eastAsia" w:ascii="Times New Roman" w:hAnsi="Times New Roman" w:eastAsia="宋体" w:cs="Times New Roman"/>
          <w:color w:val="auto"/>
          <w:kern w:val="2"/>
          <w:sz w:val="21"/>
          <w:szCs w:val="24"/>
          <w:highlight w:val="none"/>
          <w:lang w:val="en-US" w:eastAsia="zh-CN" w:bidi="ar-SA"/>
        </w:rPr>
        <w:t>2、表3</w:t>
      </w:r>
      <w:r>
        <w:rPr>
          <w:rFonts w:hint="eastAsia" w:ascii="Times New Roman" w:hAnsi="Times New Roman" w:eastAsia="Times New Roman" w:cs="Times New Roman"/>
          <w:color w:val="auto"/>
          <w:kern w:val="2"/>
          <w:sz w:val="21"/>
          <w:szCs w:val="24"/>
          <w:highlight w:val="none"/>
          <w:lang w:val="en-US" w:eastAsia="zh-CN" w:bidi="ar-SA"/>
        </w:rPr>
        <w:t>内容，以实际为准），比选人不定期组织相关专业人员对本项目合同约定范围内由比选申请人负责的所有设备计划性维保的工作质量进行检查，对于达不到质量标准要求的检查结果将纳入相关考核。比选人</w:t>
      </w:r>
      <w:r>
        <w:rPr>
          <w:rFonts w:hint="eastAsia" w:ascii="Times New Roman" w:hAnsi="Times New Roman" w:eastAsia="宋体" w:cs="Times New Roman"/>
          <w:color w:val="auto"/>
          <w:kern w:val="2"/>
          <w:sz w:val="21"/>
          <w:szCs w:val="24"/>
          <w:highlight w:val="none"/>
          <w:lang w:val="en-US" w:eastAsia="zh-CN" w:bidi="ar-SA"/>
        </w:rPr>
        <w:t>保留</w:t>
      </w:r>
      <w:r>
        <w:rPr>
          <w:rFonts w:hint="eastAsia" w:ascii="Times New Roman" w:hAnsi="Times New Roman" w:eastAsia="Times New Roman" w:cs="Times New Roman"/>
          <w:color w:val="auto"/>
          <w:kern w:val="2"/>
          <w:sz w:val="21"/>
          <w:szCs w:val="24"/>
          <w:highlight w:val="none"/>
          <w:lang w:val="en-US" w:eastAsia="zh-CN" w:bidi="ar-SA"/>
        </w:rPr>
        <w:t>对</w:t>
      </w:r>
      <w:r>
        <w:rPr>
          <w:rFonts w:hint="eastAsia" w:ascii="Times New Roman" w:hAnsi="Times New Roman" w:eastAsia="宋体" w:cs="Times New Roman"/>
          <w:color w:val="auto"/>
          <w:kern w:val="2"/>
          <w:sz w:val="21"/>
          <w:szCs w:val="24"/>
          <w:highlight w:val="none"/>
          <w:lang w:val="en-US" w:eastAsia="zh-CN" w:bidi="ar-SA"/>
        </w:rPr>
        <w:t>叉车</w:t>
      </w:r>
      <w:r>
        <w:rPr>
          <w:rFonts w:hint="eastAsia" w:ascii="Times New Roman" w:hAnsi="Times New Roman" w:eastAsia="Times New Roman" w:cs="Times New Roman"/>
          <w:color w:val="auto"/>
          <w:kern w:val="2"/>
          <w:sz w:val="21"/>
          <w:szCs w:val="24"/>
          <w:highlight w:val="none"/>
          <w:lang w:val="en-US" w:eastAsia="zh-CN" w:bidi="ar-SA"/>
        </w:rPr>
        <w:t>各修程维保质量标准调整的权力。</w:t>
      </w:r>
    </w:p>
    <w:p>
      <w:pPr>
        <w:widowControl w:val="0"/>
        <w:spacing w:before="0" w:after="0" w:afterAutospacing="0" w:line="600" w:lineRule="exact"/>
        <w:ind w:left="0" w:right="0" w:firstLine="0"/>
        <w:jc w:val="center"/>
        <w:rPr>
          <w:rFonts w:ascii="Times New Roman" w:hAnsi="Times New Roman" w:eastAsia="Times New Roman" w:cs="宋体"/>
          <w:color w:val="auto"/>
          <w:sz w:val="24"/>
          <w:szCs w:val="21"/>
          <w:highlight w:val="none"/>
        </w:rPr>
      </w:pPr>
      <w:r>
        <w:rPr>
          <w:rFonts w:hint="eastAsia" w:ascii="Times New Roman" w:hAnsi="Times New Roman" w:eastAsia="宋体" w:cs="宋体"/>
          <w:color w:val="auto"/>
          <w:sz w:val="18"/>
          <w:szCs w:val="18"/>
          <w:highlight w:val="none"/>
        </w:rPr>
        <w:t>表</w:t>
      </w:r>
      <w:r>
        <w:rPr>
          <w:rFonts w:hint="eastAsia" w:ascii="Times New Roman" w:hAnsi="Times New Roman" w:eastAsia="宋体" w:cs="宋体"/>
          <w:color w:val="auto"/>
          <w:sz w:val="18"/>
          <w:szCs w:val="18"/>
          <w:highlight w:val="none"/>
          <w:lang w:val="en-US" w:eastAsia="zh-CN"/>
        </w:rPr>
        <w:t>2</w:t>
      </w:r>
      <w:r>
        <w:rPr>
          <w:rFonts w:hint="eastAsia" w:ascii="Times New Roman" w:hAnsi="Times New Roman" w:eastAsia="宋体" w:cs="宋体"/>
          <w:color w:val="auto"/>
          <w:sz w:val="18"/>
          <w:szCs w:val="18"/>
          <w:highlight w:val="none"/>
        </w:rPr>
        <w:t xml:space="preserve"> </w:t>
      </w:r>
      <w:r>
        <w:rPr>
          <w:rFonts w:hint="eastAsia" w:ascii="Times New Roman" w:hAnsi="Times New Roman" w:eastAsia="宋体" w:cs="宋体"/>
          <w:color w:val="auto"/>
          <w:sz w:val="18"/>
          <w:szCs w:val="18"/>
          <w:highlight w:val="none"/>
          <w:lang w:val="en-US" w:eastAsia="zh-CN"/>
        </w:rPr>
        <w:t>内燃叉车</w:t>
      </w:r>
      <w:r>
        <w:rPr>
          <w:rFonts w:hint="eastAsia" w:ascii="Times New Roman" w:hAnsi="Times New Roman" w:eastAsia="宋体" w:cs="宋体"/>
          <w:color w:val="auto"/>
          <w:sz w:val="18"/>
          <w:szCs w:val="18"/>
          <w:highlight w:val="none"/>
        </w:rPr>
        <w:t>维保质量标准</w:t>
      </w:r>
    </w:p>
    <w:tbl>
      <w:tblPr>
        <w:tblStyle w:val="3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697"/>
        <w:gridCol w:w="6270"/>
        <w:gridCol w:w="540"/>
        <w:gridCol w:w="465"/>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lang w:bidi="ar"/>
              </w:rPr>
              <w:t>序号</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维保</w:t>
            </w:r>
          </w:p>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rPr>
              <w:t>内容</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lang w:bidi="ar"/>
              </w:rPr>
              <w:t>维保标准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lang w:bidi="ar"/>
              </w:rPr>
              <w:t>月检</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lang w:bidi="ar"/>
              </w:rPr>
              <w:t>半年检</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18"/>
                <w:highlight w:val="none"/>
                <w:u w:val="none"/>
              </w:rPr>
            </w:pPr>
            <w:r>
              <w:rPr>
                <w:rFonts w:hint="eastAsia" w:ascii="Times New Roman" w:hAnsi="Times New Roman" w:eastAsia="宋体" w:cs="宋体"/>
                <w:b/>
                <w:bCs/>
                <w:color w:val="auto"/>
                <w:sz w:val="18"/>
                <w:szCs w:val="18"/>
                <w:highlight w:val="none"/>
                <w:lang w:bidi="ar"/>
              </w:rPr>
              <w:t>年检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转向装置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检查动力转向装置的动作状态及连接部分状态良好。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检查动力转向装置的动作状态（自由转角左右均不超过15°）及连接部分无松动。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制动装置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检查制动器连杆无松动、损伤、异常磨损等现象。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检查制动器油管无损伤、漏油、渗油、松动等现象。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试验检查制动器无打滑。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试验检查停车手制动有效及手制动断电装置良好。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工作满2000小时或两年更换制动液、液压油、齿轮油、传动油。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试验检查点制动无跑偏现象，制动器无打滑。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检查制动总泵、分泵工作正常。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检查制动总泵、分泵无泄漏、损伤。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检查制动鼓无变形、松动、磨损严重等现象。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检查制动蹄片无磨损严重现象。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检查制动蹄片动作正常。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14</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行驶装置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检查轮毂无变形、龟裂、损伤。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检查半轴外观无变形、裂纹、损伤。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16</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动力传动装置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检查换向、换挡操纵杆的动作顺畅，无卡滞。</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检查变速箱油量足够，不足应及时补充。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两年更换变速箱润滑油。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19</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发动机</w:t>
            </w:r>
          </w:p>
        </w:tc>
        <w:tc>
          <w:tcPr>
            <w:tcW w:w="3481" w:type="pct"/>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记录柴油机的运行小时数。</w:t>
            </w:r>
          </w:p>
        </w:tc>
        <w:tc>
          <w:tcPr>
            <w:tcW w:w="299" w:type="pct"/>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检查发动机机油油量、冷却水量足够，不足需及时补充。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检查空气滤清器滤芯清洁、无损伤。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检查发动机汽缸盖螺栓及涡轮增压装置无松动、无异常。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每年更换空气滤清器滤芯、燃油滤清器、机油滤清器。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检查调速器最高转速时状态良好。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检查燃油油量足够、无泄漏。</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检查燃料滤清器、机油滤清器无龟裂、损伤。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检查散热器胶管无硬化、裂纹。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检查散热器盖无破损、安装牢固。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检查风扇无变形、损伤、安装紧固。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检查发动机启动正常。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清洁水箱外部的灰尘、异物。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宋体" w:hAnsi="宋体" w:eastAsia="宋体" w:cs="宋体"/>
                <w:color w:val="auto"/>
                <w:kern w:val="0"/>
                <w:sz w:val="18"/>
                <w:szCs w:val="18"/>
                <w:highlight w:val="none"/>
                <w:lang w:val="en-US" w:eastAsia="zh-CN" w:bidi="ar-SA"/>
              </w:rPr>
              <w:t>第一次工作满70小时更换发动机油，第二次以后每300小时更换。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第一次工作满70小时更换机油(柴油机)滤清器，第二次以后每300小时更换</w:t>
            </w:r>
            <w:r>
              <w:rPr>
                <w:rFonts w:hint="eastAsia" w:ascii="宋体" w:hAnsi="宋体" w:eastAsia="宋体" w:cs="宋体"/>
                <w:color w:val="auto"/>
                <w:kern w:val="0"/>
                <w:sz w:val="18"/>
                <w:szCs w:val="18"/>
                <w:highlight w:val="none"/>
                <w:lang w:val="en-US" w:eastAsia="zh-CN" w:bidi="ar-SA"/>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工作满2000小时或两年更换发动机冷却液（水箱宝）。</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360" w:lineRule="auto"/>
              <w:ind w:left="0" w:right="0" w:firstLine="0"/>
              <w:jc w:val="left"/>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第一次工作满70小时更换燃油滤清器，第二次以后每300小时更换</w:t>
            </w:r>
            <w:r>
              <w:rPr>
                <w:rFonts w:hint="eastAsia" w:ascii="宋体" w:hAnsi="宋体" w:eastAsia="宋体" w:cs="宋体"/>
                <w:color w:val="auto"/>
                <w:kern w:val="0"/>
                <w:sz w:val="18"/>
                <w:szCs w:val="18"/>
                <w:highlight w:val="none"/>
                <w:lang w:val="en-US" w:eastAsia="zh-CN" w:bidi="ar-SA"/>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对油水分离器进行排水。</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360" w:lineRule="auto"/>
              <w:ind w:left="0" w:right="0" w:firstLine="0"/>
              <w:jc w:val="left"/>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清洁空滤器滤芯，如果工作满1000小时，需更换新的滤芯。</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检查发动机怠速性能。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清洁曲轴箱通气孔。</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清洁发动机表面的灰尘和异物。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41</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装卸装置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清除内、外门架、挡货架等外露部位的灰尘、油垢。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检查货叉、货叉止动器无龟裂、变形、损伤、磨损。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检查货叉平齐、下垂。</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检查门架无变形、龟裂、损伤、磨损。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检查门架、货叉架滚轮无松动、磨损。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检查滚轮运转正常。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检查链条、链轮无变形、损伤、生锈、润滑不足现象。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检查链条系紧螺栓无变形、损伤。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检查链轮轴承无磨损、裂纹。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检查起升油缸无破损、裂纹，油管连接良好。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检查倾斜油缸无破损、裂纹，油管连接良好。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检查货叉根部挂钩焊接处无裂缝、磨损。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53</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液压装置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检查油缸无松动、变形、龟裂、损伤、磨损。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检查液压油足量，不足及时补充。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检查油箱无漏油、渗油。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检查油缸的动作和自锁正常。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检检查油路管道无损伤、泄漏、变形。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360" w:lineRule="auto"/>
              <w:ind w:left="0" w:right="0" w:firstLine="0"/>
              <w:jc w:val="left"/>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工作满2000小时更换液压油</w:t>
            </w:r>
            <w:r>
              <w:rPr>
                <w:rFonts w:hint="eastAsia" w:ascii="宋体" w:hAnsi="宋体" w:eastAsia="宋体" w:cs="宋体"/>
                <w:color w:val="auto"/>
                <w:kern w:val="0"/>
                <w:sz w:val="18"/>
                <w:szCs w:val="18"/>
                <w:highlight w:val="none"/>
                <w:lang w:val="en-US" w:eastAsia="zh-CN" w:bidi="ar-SA"/>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360" w:lineRule="auto"/>
              <w:ind w:left="0" w:right="0" w:firstLine="0"/>
              <w:jc w:val="left"/>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工作满500小时更换或清洁回油滤清器。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检查液压油泵工作正常。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检查多路阀工作正常。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更换工作油，并清洁初滤器。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检查溢流阀工作正常和溢流压力满足要求。</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检查管路、接头无破裂、变形、损坏。</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工作满2000小时，需清洁液压油箱。</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66</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电气装置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检查起动开关的功能正常。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检查蓄电池电量，不足需及时充电。</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检查照明、喇叭、仪表和各操纵杆正常。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清洁各电气元件表面的灰尘、异物。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70</w:t>
            </w:r>
          </w:p>
        </w:tc>
        <w:tc>
          <w:tcPr>
            <w:tcW w:w="38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检查各电气线路接线状态良好。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71</w:t>
            </w:r>
          </w:p>
        </w:tc>
        <w:tc>
          <w:tcPr>
            <w:tcW w:w="3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其他附属系统</w:t>
            </w: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检查护顶架、挡货架无变形、龟裂、损伤、松动。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72</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检查座椅无松动、损伤。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73</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检查后视镜状态良好。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74</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检查各润滑部位润滑状态良好。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75</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检查各螺栓紧固状态良好。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76</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检查合格证无脱落及过期。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77</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检查机械变速箱油量，工作满2000小时更换。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78</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工作满1000小时更换液力变速箱油液。</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79</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检查驱动桥连接无松动。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80</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对内燃叉车各润滑部位进行润滑。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81</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color w:val="auto"/>
                <w:sz w:val="18"/>
                <w:szCs w:val="18"/>
                <w:highlight w:val="none"/>
                <w:u w:val="none"/>
                <w:lang w:val="en-US" w:eastAsia="zh-CN" w:bidi="ar"/>
              </w:rPr>
              <w:t>清洁吸油滤芯。</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default" w:ascii="Times New Roman" w:hAnsi="Times New Roman" w:eastAsia="等线" w:cs="Times New Roman"/>
                <w:i w:val="0"/>
                <w:iCs w:val="0"/>
                <w:color w:val="auto"/>
                <w:kern w:val="0"/>
                <w:sz w:val="18"/>
                <w:szCs w:val="18"/>
                <w:highlight w:val="none"/>
                <w:u w:val="none"/>
                <w:lang w:val="en-US" w:eastAsia="zh-CN" w:bidi="ar"/>
              </w:rPr>
              <w:t>82</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18"/>
                <w:szCs w:val="18"/>
                <w:highlight w:val="none"/>
                <w:u w:val="none"/>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Times New Roman" w:hAnsi="Times New Roman" w:eastAsia="宋体" w:cs="宋体"/>
                <w:color w:val="auto"/>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SA"/>
              </w:rPr>
              <w:t>检查灭火器功能应良好，压力指示器在正常范围，处于有效期内，维修或更换不合格的灭火器。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18"/>
                <w:highlight w:val="none"/>
                <w:u w:val="none"/>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18"/>
                <w:highlight w:val="none"/>
                <w:u w:val="none"/>
                <w:lang w:val="en-US" w:eastAsia="zh-CN" w:bidi="ar"/>
              </w:rPr>
            </w:pPr>
            <w:r>
              <w:rPr>
                <w:rFonts w:hint="eastAsia" w:ascii="Times New Roman" w:hAnsi="Times New Roman" w:eastAsia="宋体" w:cs="宋体"/>
                <w:i w:val="0"/>
                <w:iCs w:val="0"/>
                <w:color w:val="auto"/>
                <w:kern w:val="0"/>
                <w:sz w:val="18"/>
                <w:szCs w:val="18"/>
                <w:highlight w:val="none"/>
                <w:u w:val="none"/>
                <w:lang w:val="en-US" w:eastAsia="zh-CN" w:bidi="ar"/>
              </w:rPr>
              <w:t>√</w:t>
            </w:r>
          </w:p>
        </w:tc>
      </w:tr>
    </w:tbl>
    <w:p>
      <w:pPr>
        <w:widowControl w:val="0"/>
        <w:spacing w:before="0" w:after="0" w:afterAutospacing="0" w:line="600" w:lineRule="exact"/>
        <w:ind w:left="0" w:right="0" w:firstLine="0"/>
        <w:jc w:val="center"/>
        <w:rPr>
          <w:rFonts w:ascii="Times New Roman" w:hAnsi="Times New Roman" w:eastAsia="Times New Roman" w:cs="宋体"/>
          <w:color w:val="auto"/>
          <w:sz w:val="24"/>
          <w:szCs w:val="21"/>
          <w:highlight w:val="none"/>
        </w:rPr>
      </w:pPr>
      <w:r>
        <w:rPr>
          <w:rFonts w:hint="eastAsia" w:ascii="Times New Roman" w:hAnsi="Times New Roman" w:eastAsia="宋体" w:cs="宋体"/>
          <w:color w:val="auto"/>
          <w:sz w:val="18"/>
          <w:szCs w:val="18"/>
          <w:highlight w:val="none"/>
        </w:rPr>
        <w:t>表</w:t>
      </w:r>
      <w:r>
        <w:rPr>
          <w:rFonts w:hint="eastAsia" w:ascii="Times New Roman" w:hAnsi="Times New Roman" w:eastAsia="宋体" w:cs="宋体"/>
          <w:color w:val="auto"/>
          <w:sz w:val="18"/>
          <w:szCs w:val="18"/>
          <w:highlight w:val="none"/>
          <w:lang w:val="en-US" w:eastAsia="zh-CN"/>
        </w:rPr>
        <w:t>3</w:t>
      </w:r>
      <w:r>
        <w:rPr>
          <w:rFonts w:hint="eastAsia" w:ascii="Times New Roman" w:hAnsi="Times New Roman" w:eastAsia="宋体" w:cs="宋体"/>
          <w:color w:val="auto"/>
          <w:sz w:val="18"/>
          <w:szCs w:val="18"/>
          <w:highlight w:val="none"/>
        </w:rPr>
        <w:t xml:space="preserve"> </w:t>
      </w:r>
      <w:r>
        <w:rPr>
          <w:rFonts w:hint="eastAsia" w:ascii="Times New Roman" w:hAnsi="Times New Roman" w:eastAsia="宋体" w:cs="宋体"/>
          <w:color w:val="auto"/>
          <w:sz w:val="18"/>
          <w:szCs w:val="18"/>
          <w:highlight w:val="none"/>
          <w:lang w:val="en-US" w:eastAsia="zh-CN"/>
        </w:rPr>
        <w:t>蓄电池叉车</w:t>
      </w:r>
      <w:r>
        <w:rPr>
          <w:rFonts w:hint="eastAsia" w:ascii="Times New Roman" w:hAnsi="Times New Roman" w:eastAsia="宋体" w:cs="宋体"/>
          <w:color w:val="auto"/>
          <w:sz w:val="18"/>
          <w:szCs w:val="18"/>
          <w:highlight w:val="none"/>
        </w:rPr>
        <w:t>维保质量标准</w:t>
      </w:r>
    </w:p>
    <w:tbl>
      <w:tblPr>
        <w:tblStyle w:val="3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53"/>
        <w:gridCol w:w="1049"/>
        <w:gridCol w:w="5956"/>
        <w:gridCol w:w="555"/>
        <w:gridCol w:w="495"/>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trPr>
        <w:tc>
          <w:tcPr>
            <w:tcW w:w="453"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lang w:bidi="ar"/>
              </w:rPr>
              <w:t>序号</w:t>
            </w:r>
          </w:p>
        </w:tc>
        <w:tc>
          <w:tcPr>
            <w:tcW w:w="1049"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rPr>
              <w:t>维保内容</w:t>
            </w:r>
          </w:p>
        </w:tc>
        <w:tc>
          <w:tcPr>
            <w:tcW w:w="5956"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lang w:bidi="ar"/>
              </w:rPr>
              <w:t>维保标准</w:t>
            </w:r>
          </w:p>
        </w:tc>
        <w:tc>
          <w:tcPr>
            <w:tcW w:w="555"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lang w:bidi="ar"/>
              </w:rPr>
              <w:t>月检</w:t>
            </w:r>
          </w:p>
        </w:tc>
        <w:tc>
          <w:tcPr>
            <w:tcW w:w="495"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lang w:bidi="ar"/>
              </w:rPr>
              <w:t>半年检</w:t>
            </w:r>
          </w:p>
        </w:tc>
        <w:tc>
          <w:tcPr>
            <w:tcW w:w="491" w:type="dxa"/>
            <w:shd w:val="clear" w:color="auto" w:fill="FFFFFF"/>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18"/>
                <w:szCs w:val="22"/>
                <w:highlight w:val="none"/>
                <w:u w:val="none"/>
              </w:rPr>
            </w:pPr>
            <w:r>
              <w:rPr>
                <w:rFonts w:hint="eastAsia" w:ascii="Times New Roman" w:hAnsi="Times New Roman" w:eastAsia="宋体" w:cs="宋体"/>
                <w:b/>
                <w:bCs/>
                <w:color w:val="auto"/>
                <w:sz w:val="18"/>
                <w:szCs w:val="18"/>
                <w:highlight w:val="none"/>
                <w:lang w:bidi="ar"/>
              </w:rPr>
              <w:t>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起升装置</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检查链条张紧状态正常，无变形、损伤。</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检查门架、货叉、货叉架无变形、裂纹。</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检查起升油缸和倾斜油缸无渗油。</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手动对货叉链条进行润滑。</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手动清洁内外门架、挡货架等外露部位的灰尘、油垢。</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6</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检查链条铆接销和链轮轴承正常。</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7</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传动系统</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检查变速箱无噪音、渗油。</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8</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检查桥体外露部分无变形、裂纹或损伤。</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9</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检查车轮轮毂无变形、龟裂、损伤，并测量轮胎气压在规定范围内（前轮8.6bar,后轮9bar）。</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10</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检查变速箱润滑油足量，不足时补充。</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11</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手动清洁驱动桥壳体、减速箱等外露部位的灰尘、油垢。</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每两年更换变速箱油。</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13</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制动系统</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手动清洁制动总泵、油管、制动软管线外露表面灰尘、油垢。</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14</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检查制动液，制动总泵无泄漏。</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15</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试验检查制动踏板自由行程在规定范围内（10-20mm）。</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16</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试验制动效果应制动可靠，解除制动力后，制动缓解应灵活。</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17</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试验检查手制动效果良好，手制动断电装置功能。</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18</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试验检查无点制动跑偏现象，制动器打滑。</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19</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检查制动总泵、分泵无泄漏、损伤。</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20</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检查制动总泵、分泵工作状态良好。</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21</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检查制动鼓安装牢固、表面无损伤现象。</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检查制动蹄片无磨损，动作灵活。</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23</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检查弹簧无老化、磨损现象。</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24</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转向系统</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试验检查方向盘轴向、径向无松动。</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25</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检查转向器安装螺栓紧固。</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26</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检查转向油缸无渗油。</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27</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检查转向机构螺栓和铆钉紧固。</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28</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调紧方向盘自由转角，使转向盘自由转角左右不得超过15°。</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29</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液压系统</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检查液压油油量足够。</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30</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检查油封、油管和接头无泄漏并清洁其表面的灰尘、油污。</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31</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检查油泵工作正常。</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检查倾斜自锁阀，安全阀正常。</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33</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清洁油泵、油管和接头上的灰尘、油垢。</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34</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widowControl w:val="0"/>
              <w:spacing w:before="0" w:after="0" w:afterAutospacing="0" w:line="360" w:lineRule="auto"/>
              <w:ind w:left="0" w:right="0" w:firstLine="0"/>
              <w:jc w:val="left"/>
              <w:rPr>
                <w:rFonts w:hint="eastAsia" w:ascii="Times New Roman" w:hAnsi="Times New Roman" w:eastAsia="宋体" w:cs="宋体"/>
                <w:i w:val="0"/>
                <w:iCs w:val="0"/>
                <w:color w:val="auto"/>
                <w:sz w:val="18"/>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每两年更换吸油滤芯。</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35</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宋体" w:hAnsi="宋体" w:eastAsia="宋体" w:cs="宋体"/>
                <w:color w:val="auto"/>
                <w:kern w:val="0"/>
                <w:sz w:val="18"/>
                <w:szCs w:val="18"/>
                <w:highlight w:val="none"/>
                <w:lang w:val="en-US" w:eastAsia="zh-CN" w:bidi="ar-SA"/>
              </w:rPr>
              <w:t>每两年更换液压油。</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36</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检查液压电机碳刷、整流子的磨损无异常。</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37</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蓄电池组</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清洁电池的表面、连接线及螺栓的灰尘。</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38</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手动测量蓄电池的电压、液面高度。</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39</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检查蓄电池的连接牢固，接触良好。</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40</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检查蓄电池盖通气孔畅通。</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default" w:ascii="Times New Roman" w:hAnsi="Times New Roman" w:eastAsia="等线" w:cs="Times New Roman"/>
                <w:i w:val="0"/>
                <w:iCs w:val="0"/>
                <w:color w:val="auto"/>
                <w:kern w:val="0"/>
                <w:sz w:val="18"/>
                <w:szCs w:val="18"/>
                <w:highlight w:val="none"/>
                <w:u w:val="none"/>
                <w:lang w:val="en-US" w:eastAsia="zh-CN" w:bidi="ar"/>
              </w:rPr>
              <w:t>41</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宋体" w:hAnsi="宋体" w:eastAsia="宋体" w:cs="宋体"/>
                <w:color w:val="auto"/>
                <w:kern w:val="0"/>
                <w:sz w:val="18"/>
                <w:szCs w:val="18"/>
                <w:highlight w:val="none"/>
                <w:lang w:val="en-US" w:eastAsia="zh-CN" w:bidi="ar-SA"/>
              </w:rPr>
              <w:t>检查蓄电池液位浮标高度应正常，补充蒸馏水直至浮标最高点。</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default" w:ascii="Times New Roman" w:hAnsi="Times New Roman" w:eastAsia="等线" w:cs="Times New Roman"/>
                <w:i w:val="0"/>
                <w:iCs w:val="0"/>
                <w:color w:val="auto"/>
                <w:kern w:val="0"/>
                <w:sz w:val="18"/>
                <w:szCs w:val="18"/>
                <w:highlight w:val="none"/>
                <w:u w:val="none"/>
                <w:lang w:val="en-US" w:eastAsia="zh-CN" w:bidi="ar"/>
              </w:rPr>
              <w:t>42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宋体" w:hAnsi="宋体" w:eastAsia="宋体" w:cs="宋体"/>
                <w:color w:val="auto"/>
                <w:kern w:val="0"/>
                <w:sz w:val="18"/>
                <w:szCs w:val="18"/>
                <w:highlight w:val="none"/>
                <w:lang w:val="en-US" w:eastAsia="zh-CN" w:bidi="ar-SA"/>
              </w:rPr>
              <w:t>测量并记录单节蓄电池内阻和容量。</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43</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电机</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检查接线紧固及倾听检查电机工作正常。</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default" w:ascii="Times New Roman" w:hAnsi="Times New Roman" w:eastAsia="等线" w:cs="Times New Roman"/>
                <w:i w:val="0"/>
                <w:iCs w:val="0"/>
                <w:color w:val="auto"/>
                <w:kern w:val="0"/>
                <w:sz w:val="18"/>
                <w:szCs w:val="18"/>
                <w:highlight w:val="none"/>
                <w:u w:val="none"/>
                <w:lang w:val="en-US" w:eastAsia="zh-CN" w:bidi="ar"/>
              </w:rPr>
              <w:t>44</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default" w:ascii="Times New Roman" w:hAnsi="Times New Roman" w:eastAsia="宋体" w:cs="宋体"/>
                <w:i w:val="0"/>
                <w:iCs w:val="0"/>
                <w:color w:val="auto"/>
                <w:kern w:val="0"/>
                <w:sz w:val="18"/>
                <w:szCs w:val="20"/>
                <w:highlight w:val="none"/>
                <w:u w:val="none"/>
                <w:lang w:val="en-US" w:eastAsia="zh-CN" w:bidi="ar"/>
              </w:rPr>
            </w:pPr>
            <w:r>
              <w:rPr>
                <w:rFonts w:hint="eastAsia" w:ascii="宋体" w:hAnsi="宋体" w:eastAsia="宋体" w:cs="宋体"/>
                <w:color w:val="auto"/>
                <w:kern w:val="0"/>
                <w:sz w:val="18"/>
                <w:szCs w:val="18"/>
                <w:highlight w:val="none"/>
                <w:lang w:val="en-US" w:eastAsia="zh-CN" w:bidi="ar-SA"/>
              </w:rPr>
              <w:t>检查电动机绝缘电阻应大于0.5MΩ。</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45</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电控系统</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检查电控、接触器及主要开关、保险丝等的工作状态良好。</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46</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检查各照明、电喇叭、仪表以及各操纵杆正常。</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47</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检查电机换向器，电刷弹簧等的工作状态良好。</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48</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检查线束无损伤、松动现象。</w:t>
            </w:r>
          </w:p>
        </w:tc>
        <w:tc>
          <w:tcPr>
            <w:tcW w:w="55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5" w:type="dxa"/>
            <w:shd w:val="clear" w:color="auto" w:fill="FFFFFF"/>
            <w:vAlign w:val="center"/>
          </w:tcPr>
          <w:p>
            <w:pPr>
              <w:widowControl w:val="0"/>
              <w:spacing w:before="0" w:after="0" w:afterAutospacing="0" w:line="240" w:lineRule="auto"/>
              <w:ind w:left="0" w:right="0" w:firstLine="0"/>
              <w:jc w:val="center"/>
              <w:rPr>
                <w:rFonts w:hint="default" w:ascii="Times New Roman" w:hAnsi="Times New Roman" w:eastAsia="宋体" w:cs="Times New Roman"/>
                <w:i w:val="0"/>
                <w:iCs w:val="0"/>
                <w:color w:val="auto"/>
                <w:sz w:val="18"/>
                <w:szCs w:val="20"/>
                <w:highlight w:val="none"/>
                <w:u w:val="none"/>
              </w:rPr>
            </w:pP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49</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检查控制器触点无油污、磨损、烧损现象。</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50</w:t>
            </w:r>
          </w:p>
        </w:tc>
        <w:tc>
          <w:tcPr>
            <w:tcW w:w="1049" w:type="dxa"/>
            <w:vMerge w:val="restart"/>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其他</w:t>
            </w: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检查顶架无变形、损伤。</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51</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检查座椅牢固。</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52</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检查合格证无脱落及过期。</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53</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手动对各润滑点进行润滑。</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default" w:ascii="Times New Roman" w:hAnsi="Times New Roman" w:eastAsia="等线" w:cs="Times New Roman"/>
                <w:i w:val="0"/>
                <w:iCs w:val="0"/>
                <w:color w:val="auto"/>
                <w:kern w:val="0"/>
                <w:sz w:val="18"/>
                <w:szCs w:val="18"/>
                <w:highlight w:val="none"/>
                <w:u w:val="none"/>
                <w:lang w:val="en-US" w:eastAsia="zh-CN" w:bidi="ar"/>
              </w:rPr>
              <w:t>54</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检查各部位螺栓无松动。</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r>
              <w:rPr>
                <w:rFonts w:hint="eastAsia" w:ascii="Times New Roman" w:hAnsi="Times New Roman" w:eastAsia="宋体" w:cs="宋体"/>
                <w:i w:val="0"/>
                <w:iCs w:val="0"/>
                <w:color w:val="auto"/>
                <w:kern w:val="0"/>
                <w:sz w:val="18"/>
                <w:szCs w:val="20"/>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default" w:ascii="Times New Roman" w:hAnsi="Times New Roman" w:eastAsia="等线" w:cs="Times New Roman"/>
                <w:i w:val="0"/>
                <w:iCs w:val="0"/>
                <w:color w:val="auto"/>
                <w:kern w:val="0"/>
                <w:sz w:val="18"/>
                <w:szCs w:val="18"/>
                <w:highlight w:val="none"/>
                <w:u w:val="none"/>
                <w:lang w:val="en-US" w:eastAsia="zh-CN" w:bidi="ar"/>
              </w:rPr>
              <w:t>55</w:t>
            </w:r>
          </w:p>
        </w:tc>
        <w:tc>
          <w:tcPr>
            <w:tcW w:w="1049" w:type="dxa"/>
            <w:vMerge w:val="continue"/>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18"/>
                <w:szCs w:val="20"/>
                <w:highlight w:val="none"/>
                <w:u w:val="none"/>
              </w:rPr>
            </w:pPr>
          </w:p>
        </w:tc>
        <w:tc>
          <w:tcPr>
            <w:tcW w:w="5956" w:type="dxa"/>
            <w:shd w:val="clear" w:color="auto" w:fill="FFFFFF"/>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宋体" w:hAnsi="宋体" w:eastAsia="宋体" w:cs="宋体"/>
                <w:color w:val="auto"/>
                <w:kern w:val="0"/>
                <w:sz w:val="18"/>
                <w:szCs w:val="18"/>
                <w:highlight w:val="none"/>
                <w:lang w:val="en-US" w:eastAsia="zh-CN" w:bidi="ar-SA"/>
              </w:rPr>
              <w:t>检查灭火器功能应良好，压力指示器在正常范围，处于有效期内，维修或更换不合格的灭火器。</w:t>
            </w:r>
          </w:p>
        </w:tc>
        <w:tc>
          <w:tcPr>
            <w:tcW w:w="55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5"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c>
          <w:tcPr>
            <w:tcW w:w="491" w:type="dxa"/>
            <w:shd w:val="clear" w:color="auto" w:fill="FFFFFF"/>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kern w:val="0"/>
                <w:sz w:val="18"/>
                <w:szCs w:val="20"/>
                <w:highlight w:val="none"/>
                <w:u w:val="none"/>
                <w:lang w:val="en-US" w:eastAsia="zh-CN" w:bidi="ar"/>
              </w:rPr>
            </w:pPr>
            <w:r>
              <w:rPr>
                <w:rFonts w:hint="eastAsia" w:ascii="Times New Roman" w:hAnsi="Times New Roman" w:eastAsia="宋体" w:cs="宋体"/>
                <w:i w:val="0"/>
                <w:iCs w:val="0"/>
                <w:color w:val="auto"/>
                <w:kern w:val="0"/>
                <w:sz w:val="18"/>
                <w:szCs w:val="20"/>
                <w:highlight w:val="none"/>
                <w:u w:val="none"/>
                <w:lang w:val="en-US" w:eastAsia="zh-CN" w:bidi="ar"/>
              </w:rPr>
              <w:t>√</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200" w:firstLine="420" w:firstLineChars="200"/>
        <w:jc w:val="left"/>
        <w:textAlignment w:val="auto"/>
        <w:rPr>
          <w:rFonts w:ascii="Times New Roman" w:hAnsi="Times New Roman" w:eastAsia="Times New Roman" w:cs="Times New Roman"/>
          <w:color w:val="auto"/>
          <w:kern w:val="2"/>
          <w:sz w:val="21"/>
          <w:szCs w:val="24"/>
          <w:highlight w:val="none"/>
          <w:lang w:val="en-US" w:eastAsia="zh-CN" w:bidi="ar-SA"/>
        </w:rPr>
      </w:pP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ascii="Times New Roman" w:hAnsi="Times New Roman" w:eastAsia="Times New Roman" w:cs="Times New Roman"/>
          <w:color w:val="auto"/>
          <w:kern w:val="2"/>
          <w:sz w:val="21"/>
          <w:szCs w:val="24"/>
          <w:highlight w:val="none"/>
          <w:lang w:val="en-US" w:eastAsia="zh-CN" w:bidi="ar-SA"/>
        </w:rPr>
      </w:pPr>
      <w:r>
        <w:rPr>
          <w:rFonts w:hint="eastAsia" w:ascii="Times New Roman" w:hAnsi="Times New Roman" w:eastAsia="Times New Roman" w:cs="Times New Roman"/>
          <w:color w:val="auto"/>
          <w:kern w:val="2"/>
          <w:sz w:val="21"/>
          <w:szCs w:val="24"/>
          <w:highlight w:val="none"/>
          <w:lang w:val="en-US" w:eastAsia="zh-CN" w:bidi="ar-SA"/>
        </w:rPr>
        <w:t>检查和返工</w:t>
      </w:r>
    </w:p>
    <w:p>
      <w:pPr>
        <w:widowControl w:val="0"/>
        <w:numPr>
          <w:ilvl w:val="0"/>
          <w:numId w:val="15"/>
        </w:numPr>
        <w:spacing w:before="0" w:after="0" w:afterAutospacing="0" w:line="560" w:lineRule="exact"/>
        <w:ind w:left="0" w:right="0" w:firstLine="397"/>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应认真按照相关标准、规范、规程和图纸要求以及</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依据合同发出的指令进行维保作业，</w:t>
      </w:r>
      <w:r>
        <w:rPr>
          <w:rFonts w:hint="eastAsia" w:ascii="Times New Roman" w:hAnsi="Times New Roman" w:eastAsia="宋体" w:cs="宋体"/>
          <w:color w:val="auto"/>
          <w:sz w:val="21"/>
          <w:szCs w:val="21"/>
          <w:highlight w:val="none"/>
          <w:lang w:val="en-US" w:eastAsia="zh-CN"/>
        </w:rPr>
        <w:t>积极配合</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的检查检验。</w:t>
      </w:r>
    </w:p>
    <w:p>
      <w:pPr>
        <w:widowControl w:val="0"/>
        <w:numPr>
          <w:ilvl w:val="0"/>
          <w:numId w:val="15"/>
        </w:numPr>
        <w:spacing w:before="0" w:after="0" w:afterAutospacing="0" w:line="560" w:lineRule="exact"/>
        <w:ind w:left="0" w:right="0" w:firstLine="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rPr>
        <w:t>经发现</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有维保作业质量达不到维保标准的，</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有权要求</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返工，</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应按</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的指令执行，直至达到维保标准。</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ascii="Times New Roman" w:hAnsi="Times New Roman" w:eastAsia="宋体" w:cs="宋体"/>
          <w:b w:val="0"/>
          <w:bCs/>
          <w:color w:val="auto"/>
          <w:sz w:val="21"/>
          <w:szCs w:val="21"/>
          <w:highlight w:val="none"/>
          <w:lang w:val="en-US" w:eastAsia="zh-CN" w:bidi="ar-SA"/>
        </w:rPr>
      </w:pPr>
      <w:bookmarkStart w:id="2559" w:name="_Toc14254661"/>
      <w:bookmarkStart w:id="2560" w:name="_Toc534613571"/>
      <w:bookmarkStart w:id="2561" w:name="_Toc13908611"/>
      <w:bookmarkStart w:id="2562" w:name="_Toc14248703"/>
      <w:r>
        <w:rPr>
          <w:rFonts w:hint="eastAsia" w:ascii="Times New Roman" w:hAnsi="Times New Roman" w:eastAsia="宋体" w:cs="宋体"/>
          <w:b w:val="0"/>
          <w:bCs/>
          <w:color w:val="auto"/>
          <w:sz w:val="21"/>
          <w:szCs w:val="21"/>
          <w:highlight w:val="none"/>
          <w:lang w:val="en-US" w:eastAsia="zh-CN" w:bidi="ar-SA"/>
        </w:rPr>
        <w:t>项目质量控制措施</w:t>
      </w:r>
      <w:bookmarkEnd w:id="2559"/>
      <w:bookmarkEnd w:id="2560"/>
      <w:bookmarkEnd w:id="2561"/>
      <w:bookmarkEnd w:id="2562"/>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宋体"/>
          <w:color w:val="auto"/>
          <w:sz w:val="21"/>
          <w:szCs w:val="21"/>
          <w:highlight w:val="none"/>
          <w:lang w:val="en-US" w:eastAsia="zh-CN" w:bidi="ar-SA"/>
        </w:rPr>
      </w:pPr>
      <w:r>
        <w:rPr>
          <w:rFonts w:hint="eastAsia" w:ascii="Times New Roman" w:hAnsi="Times New Roman" w:eastAsia="Times New Roman" w:cs="宋体"/>
          <w:color w:val="auto"/>
          <w:sz w:val="21"/>
          <w:szCs w:val="21"/>
          <w:highlight w:val="none"/>
          <w:lang w:val="en-US" w:eastAsia="zh-CN" w:bidi="ar-SA"/>
        </w:rPr>
        <w:t>项目进场后，比选申请人按要求组织所有维保作业人员参加比选人组织的施工作业相关规章制度、</w:t>
      </w:r>
      <w:r>
        <w:rPr>
          <w:rFonts w:hint="eastAsia" w:ascii="Times New Roman" w:hAnsi="Times New Roman" w:eastAsia="宋体" w:cs="宋体"/>
          <w:color w:val="auto"/>
          <w:sz w:val="21"/>
          <w:szCs w:val="21"/>
          <w:highlight w:val="none"/>
          <w:lang w:val="en-US" w:eastAsia="zh-CN" w:bidi="ar-SA"/>
        </w:rPr>
        <w:t>叉车</w:t>
      </w:r>
      <w:r>
        <w:rPr>
          <w:rFonts w:hint="eastAsia" w:ascii="Times New Roman" w:hAnsi="Times New Roman" w:eastAsia="Times New Roman" w:cs="宋体"/>
          <w:color w:val="auto"/>
          <w:sz w:val="21"/>
          <w:szCs w:val="21"/>
          <w:highlight w:val="none"/>
          <w:lang w:val="en-US" w:eastAsia="zh-CN" w:bidi="ar-SA"/>
        </w:rPr>
        <w:t>维保相关规程及标准培训，要求全员考核合格。</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宋体"/>
          <w:color w:val="auto"/>
          <w:sz w:val="21"/>
          <w:szCs w:val="21"/>
          <w:highlight w:val="none"/>
          <w:lang w:val="en-US" w:eastAsia="zh-CN" w:bidi="ar-SA"/>
        </w:rPr>
      </w:pPr>
      <w:r>
        <w:rPr>
          <w:rFonts w:hint="eastAsia" w:ascii="Times New Roman" w:hAnsi="Times New Roman" w:eastAsia="Times New Roman" w:cs="宋体"/>
          <w:color w:val="auto"/>
          <w:sz w:val="21"/>
          <w:szCs w:val="21"/>
          <w:highlight w:val="none"/>
          <w:lang w:val="en-US" w:eastAsia="zh-CN" w:bidi="ar-SA"/>
        </w:rPr>
        <w:t>比选申请人须根据比选人提供的设备检修规程、工艺标准等开展内部专项培训工作，确保维保作业人员熟悉相关设备性能及维保设备所在的地点区域等。</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Times New Roman" w:cs="宋体"/>
          <w:color w:val="auto"/>
          <w:sz w:val="21"/>
          <w:szCs w:val="21"/>
          <w:highlight w:val="none"/>
          <w:lang w:val="en-US" w:eastAsia="zh-CN" w:bidi="ar-SA"/>
        </w:rPr>
      </w:pPr>
      <w:r>
        <w:rPr>
          <w:rFonts w:hint="eastAsia" w:ascii="Times New Roman" w:hAnsi="Times New Roman" w:eastAsia="Times New Roman" w:cs="宋体"/>
          <w:color w:val="auto"/>
          <w:sz w:val="21"/>
          <w:szCs w:val="21"/>
          <w:highlight w:val="none"/>
          <w:lang w:val="en-US" w:eastAsia="zh-CN" w:bidi="ar-SA"/>
        </w:rPr>
        <w:t>比选申请人须结合本项目相关要求制定完善的维保质量管理制度，落实项目质量的管理控制措施，责任到人，并报比选人备案。</w:t>
      </w:r>
    </w:p>
    <w:bookmarkEnd w:id="2543"/>
    <w:bookmarkEnd w:id="2544"/>
    <w:bookmarkEnd w:id="2545"/>
    <w:bookmarkEnd w:id="2546"/>
    <w:bookmarkEnd w:id="2547"/>
    <w:bookmarkEnd w:id="2548"/>
    <w:bookmarkEnd w:id="2549"/>
    <w:bookmarkEnd w:id="2550"/>
    <w:bookmarkEnd w:id="2551"/>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项目质保期限</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故障修复后5个工作日内，比选申请人要根据比选人要求提供相关故障处理记录、故障分析报告、更换备件记录、备件合格证等，建立设备故障收集、统计、分析台账。具体须提供以上文件的故障以比选人要求为准。</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故障修复的质保期为完成双方签字验收之日起，往后推算6个月，每起故障单独计算质保期。若故障质保期内再次发生故障，则由比选申请人免费修复后重新计算质保期。</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新备件的质保期为完成双方签字验收之日起，往后推算6个月。</w:t>
      </w:r>
    </w:p>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563" w:name="_Toc18678"/>
      <w:bookmarkStart w:id="2564" w:name="_Toc5316"/>
      <w:bookmarkStart w:id="2565" w:name="_Toc11421"/>
      <w:bookmarkStart w:id="2566" w:name="_Toc15851"/>
      <w:bookmarkStart w:id="2567" w:name="_Toc20092"/>
      <w:bookmarkStart w:id="2568" w:name="_Toc11206"/>
      <w:bookmarkStart w:id="2569" w:name="_Toc1718"/>
      <w:bookmarkStart w:id="2570" w:name="_Toc444"/>
      <w:r>
        <w:rPr>
          <w:rFonts w:hint="eastAsia" w:ascii="Times New Roman" w:hAnsi="Times New Roman" w:eastAsia="黑体" w:cs="黑体"/>
          <w:b/>
          <w:bCs/>
          <w:color w:val="auto"/>
          <w:sz w:val="28"/>
          <w:szCs w:val="28"/>
          <w:highlight w:val="none"/>
          <w:lang w:val="en-US" w:eastAsia="zh-CN" w:bidi="ar-SA"/>
        </w:rPr>
        <w:t>委外维保作业管理</w:t>
      </w:r>
      <w:bookmarkEnd w:id="2563"/>
      <w:bookmarkEnd w:id="2564"/>
      <w:bookmarkEnd w:id="2565"/>
      <w:bookmarkEnd w:id="2566"/>
      <w:bookmarkEnd w:id="2567"/>
      <w:bookmarkEnd w:id="2568"/>
      <w:bookmarkEnd w:id="2569"/>
      <w:bookmarkEnd w:id="2570"/>
    </w:p>
    <w:bookmarkEnd w:id="2517"/>
    <w:bookmarkEnd w:id="2518"/>
    <w:bookmarkEnd w:id="2519"/>
    <w:bookmarkEnd w:id="2520"/>
    <w:bookmarkEnd w:id="2521"/>
    <w:bookmarkEnd w:id="2522"/>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571" w:name="_Toc3162"/>
      <w:bookmarkStart w:id="2572" w:name="_Toc18976"/>
      <w:bookmarkStart w:id="2573" w:name="_Toc4861"/>
      <w:bookmarkStart w:id="2574" w:name="_Toc31791"/>
      <w:bookmarkStart w:id="2575" w:name="_Toc8894"/>
      <w:bookmarkStart w:id="2576" w:name="_Toc18230"/>
      <w:bookmarkStart w:id="2577" w:name="_Toc11305"/>
      <w:bookmarkStart w:id="2578" w:name="_Toc15295"/>
      <w:r>
        <w:rPr>
          <w:rFonts w:hint="eastAsia" w:ascii="Times New Roman" w:hAnsi="Times New Roman" w:eastAsia="宋体" w:cs="Times New Roman"/>
          <w:b/>
          <w:bCs/>
          <w:color w:val="auto"/>
          <w:sz w:val="24"/>
          <w:szCs w:val="24"/>
          <w:highlight w:val="none"/>
          <w:lang w:val="zh-CN" w:eastAsia="zh-CN" w:bidi="ar-SA"/>
        </w:rPr>
        <w:t>维保作业准备</w:t>
      </w:r>
      <w:bookmarkEnd w:id="2571"/>
      <w:bookmarkEnd w:id="2572"/>
      <w:bookmarkEnd w:id="2573"/>
      <w:bookmarkEnd w:id="2574"/>
      <w:bookmarkEnd w:id="2575"/>
      <w:bookmarkEnd w:id="2576"/>
      <w:bookmarkEnd w:id="2577"/>
      <w:bookmarkEnd w:id="2578"/>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工器具配备</w:t>
      </w:r>
    </w:p>
    <w:p>
      <w:pPr>
        <w:widowControl w:val="0"/>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配备的日常工器具及专用工器具须满足参与该项目的作业人员日常维保作业需求，并将配置清单提交</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审核。具体配置要求包括但不限于表</w:t>
      </w:r>
      <w:r>
        <w:rPr>
          <w:rFonts w:hint="eastAsia" w:ascii="Times New Roman" w:hAnsi="Times New Roman" w:eastAsia="宋体" w:cs="宋体"/>
          <w:color w:val="auto"/>
          <w:sz w:val="21"/>
          <w:szCs w:val="21"/>
          <w:highlight w:val="none"/>
          <w:lang w:val="en-US" w:eastAsia="zh-CN"/>
        </w:rPr>
        <w:t>4</w:t>
      </w:r>
      <w:r>
        <w:rPr>
          <w:rFonts w:hint="eastAsia" w:ascii="Times New Roman" w:hAnsi="Times New Roman" w:eastAsia="宋体" w:cs="宋体"/>
          <w:color w:val="auto"/>
          <w:sz w:val="21"/>
          <w:szCs w:val="21"/>
          <w:highlight w:val="none"/>
        </w:rPr>
        <w:t>的内容。</w:t>
      </w:r>
    </w:p>
    <w:p>
      <w:pPr>
        <w:keepNext w:val="0"/>
        <w:keepLines w:val="0"/>
        <w:pageBreakBefore w:val="0"/>
        <w:widowControl w:val="0"/>
        <w:kinsoku/>
        <w:wordWrap/>
        <w:overflowPunct/>
        <w:topLinePunct w:val="0"/>
        <w:autoSpaceDE/>
        <w:autoSpaceDN/>
        <w:bidi w:val="0"/>
        <w:adjustRightInd/>
        <w:snapToGrid/>
        <w:spacing w:before="0" w:after="0" w:afterAutospacing="0" w:line="560" w:lineRule="exact"/>
        <w:ind w:left="0" w:right="0" w:firstLine="0"/>
        <w:jc w:val="center"/>
        <w:textAlignment w:val="auto"/>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表</w:t>
      </w:r>
      <w:r>
        <w:rPr>
          <w:rFonts w:hint="eastAsia" w:ascii="Times New Roman" w:hAnsi="Times New Roman" w:eastAsia="宋体" w:cs="宋体"/>
          <w:color w:val="auto"/>
          <w:sz w:val="18"/>
          <w:szCs w:val="18"/>
          <w:highlight w:val="none"/>
          <w:lang w:val="en-US" w:eastAsia="zh-CN"/>
        </w:rPr>
        <w:t>4</w:t>
      </w:r>
      <w:r>
        <w:rPr>
          <w:rFonts w:hint="eastAsia" w:ascii="Times New Roman" w:hAnsi="Times New Roman" w:eastAsia="宋体" w:cs="宋体"/>
          <w:color w:val="auto"/>
          <w:sz w:val="18"/>
          <w:szCs w:val="18"/>
          <w:highlight w:val="none"/>
        </w:rPr>
        <w:t xml:space="preserve"> 个人工器具配置标准清单</w:t>
      </w:r>
    </w:p>
    <w:tbl>
      <w:tblPr>
        <w:tblStyle w:val="31"/>
        <w:tblW w:w="77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8"/>
        <w:gridCol w:w="2940"/>
        <w:gridCol w:w="1852"/>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序号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bCs/>
                <w:i w:val="0"/>
                <w:iCs w:val="0"/>
                <w:color w:val="auto"/>
                <w:sz w:val="18"/>
                <w:szCs w:val="18"/>
                <w:highlight w:val="none"/>
                <w:u w:val="none"/>
                <w:lang w:val="en-US"/>
              </w:rPr>
            </w:pPr>
            <w:r>
              <w:rPr>
                <w:rFonts w:hint="eastAsia" w:ascii="宋体" w:hAnsi="宋体" w:eastAsia="宋体" w:cs="宋体"/>
                <w:b/>
                <w:bCs/>
                <w:i w:val="0"/>
                <w:iCs w:val="0"/>
                <w:color w:val="auto"/>
                <w:kern w:val="0"/>
                <w:sz w:val="18"/>
                <w:szCs w:val="18"/>
                <w:highlight w:val="none"/>
                <w:u w:val="none"/>
                <w:lang w:val="en-US" w:eastAsia="zh-CN" w:bidi="ar"/>
              </w:rPr>
              <w:t>工器具名称</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bCs/>
                <w:i w:val="0"/>
                <w:iCs w:val="0"/>
                <w:color w:val="auto"/>
                <w:kern w:val="0"/>
                <w:sz w:val="18"/>
                <w:szCs w:val="18"/>
                <w:highlight w:val="none"/>
                <w:u w:val="none"/>
                <w:lang w:val="en-US" w:eastAsia="zh-CN" w:bidi="ar"/>
              </w:rPr>
            </w:pPr>
            <w:r>
              <w:rPr>
                <w:rFonts w:hint="eastAsia" w:ascii="宋体" w:hAnsi="宋体" w:eastAsia="宋体" w:cs="宋体"/>
                <w:b/>
                <w:bCs/>
                <w:i w:val="0"/>
                <w:iCs w:val="0"/>
                <w:color w:val="auto"/>
                <w:kern w:val="0"/>
                <w:sz w:val="18"/>
                <w:szCs w:val="18"/>
                <w:highlight w:val="none"/>
                <w:u w:val="none"/>
                <w:lang w:val="en-US" w:eastAsia="zh-CN" w:bidi="ar"/>
              </w:rPr>
              <w:t>单位</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bCs/>
                <w:i w:val="0"/>
                <w:iCs w:val="0"/>
                <w:color w:val="auto"/>
                <w:sz w:val="18"/>
                <w:szCs w:val="18"/>
                <w:highlight w:val="none"/>
                <w:u w:val="none"/>
              </w:rPr>
            </w:pPr>
            <w:r>
              <w:rPr>
                <w:rFonts w:hint="eastAsia" w:ascii="宋体" w:hAnsi="宋体" w:eastAsia="宋体" w:cs="宋体"/>
                <w:b/>
                <w:bCs/>
                <w:i w:val="0"/>
                <w:iCs w:val="0"/>
                <w:color w:val="auto"/>
                <w:kern w:val="0"/>
                <w:sz w:val="18"/>
                <w:szCs w:val="18"/>
                <w:highlight w:val="none"/>
                <w:u w:val="none"/>
                <w:lang w:val="en-US" w:eastAsia="zh-CN" w:bidi="ar"/>
              </w:rPr>
              <w:t>配置标准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验电笔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钢丝钳</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一字螺钉旋具</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十字螺钉旋具</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钢卷尺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数字万用表</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手电筒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活动扳手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把</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内六角扳手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套</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工具包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eastAsia="宋体" w:cs="宋体"/>
                <w:color w:val="auto"/>
                <w:sz w:val="18"/>
                <w:szCs w:val="18"/>
                <w:highlight w:val="none"/>
                <w:u w:val="none"/>
                <w:lang w:val="en-US" w:eastAsia="zh-CN" w:bidi="ar"/>
              </w:rPr>
              <w:t>个</w:t>
            </w:r>
            <w:r>
              <w:rPr>
                <w:rFonts w:hint="eastAsia" w:ascii="宋体" w:hAnsi="宋体" w:eastAsia="宋体" w:cs="宋体"/>
                <w:i w:val="0"/>
                <w:iCs w:val="0"/>
                <w:color w:val="auto"/>
                <w:kern w:val="0"/>
                <w:sz w:val="18"/>
                <w:szCs w:val="18"/>
                <w:highlight w:val="none"/>
                <w:u w:val="none"/>
                <w:lang w:val="en-US" w:eastAsia="zh-CN" w:bidi="ar"/>
              </w:rPr>
              <w:t>/</w:t>
            </w:r>
            <w:r>
              <w:rPr>
                <w:rFonts w:hint="eastAsia" w:ascii="宋体" w:hAnsi="宋体" w:eastAsia="宋体" w:cs="宋体"/>
                <w:color w:val="auto"/>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both"/>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注：工器具规格需满足叉车维护保养使用需要</w:t>
            </w:r>
          </w:p>
        </w:tc>
      </w:tr>
    </w:tbl>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宋体" w:cs="宋体"/>
          <w:color w:val="auto"/>
          <w:sz w:val="21"/>
          <w:szCs w:val="21"/>
          <w:highlight w:val="none"/>
          <w:lang w:val="en-US" w:eastAsia="zh-CN" w:bidi="ar-SA"/>
        </w:rPr>
      </w:pPr>
      <w:bookmarkStart w:id="2579" w:name="_Toc14518"/>
      <w:bookmarkStart w:id="2580" w:name="_Toc15314136"/>
      <w:bookmarkStart w:id="2581" w:name="_Toc534613568"/>
      <w:bookmarkStart w:id="2582" w:name="_Toc14260784"/>
      <w:bookmarkStart w:id="2583" w:name="_Toc14252321"/>
      <w:bookmarkStart w:id="2584" w:name="_Toc21403_WPSOffice_Level2"/>
      <w:bookmarkStart w:id="2585" w:name="_Toc12692"/>
      <w:bookmarkStart w:id="2586" w:name="_Toc14181824"/>
      <w:bookmarkStart w:id="2587" w:name="_Toc14188517"/>
      <w:r>
        <w:rPr>
          <w:rFonts w:hint="eastAsia" w:ascii="Times New Roman" w:hAnsi="Times New Roman" w:eastAsia="宋体" w:cs="宋体"/>
          <w:color w:val="auto"/>
          <w:sz w:val="21"/>
          <w:szCs w:val="21"/>
          <w:highlight w:val="none"/>
          <w:lang w:val="en-US" w:eastAsia="zh-CN" w:bidi="ar-SA"/>
        </w:rPr>
        <w:t>比选申请人配备的常用工器具、专用工器具及耗材须满足参与该项目的维保人员作业需求，要求如下：</w:t>
      </w:r>
    </w:p>
    <w:p>
      <w:pPr>
        <w:widowControl w:val="0"/>
        <w:numPr>
          <w:ilvl w:val="0"/>
          <w:numId w:val="16"/>
        </w:numPr>
        <w:spacing w:before="0" w:after="0" w:afterAutospacing="0" w:line="560" w:lineRule="exact"/>
        <w:ind w:left="0" w:right="0"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必须根据</w:t>
      </w:r>
      <w:r>
        <w:rPr>
          <w:rFonts w:hint="eastAsia" w:ascii="Times New Roman" w:hAnsi="Times New Roman" w:eastAsia="宋体" w:cs="宋体"/>
          <w:color w:val="auto"/>
          <w:sz w:val="21"/>
          <w:szCs w:val="21"/>
          <w:highlight w:val="none"/>
          <w:lang w:val="en-US" w:eastAsia="zh-CN"/>
        </w:rPr>
        <w:t>叉车</w:t>
      </w:r>
      <w:r>
        <w:rPr>
          <w:rFonts w:hint="eastAsia" w:ascii="Times New Roman" w:hAnsi="Times New Roman" w:eastAsia="宋体" w:cs="宋体"/>
          <w:color w:val="auto"/>
          <w:sz w:val="21"/>
          <w:szCs w:val="21"/>
          <w:highlight w:val="none"/>
        </w:rPr>
        <w:t>维保作业内容合理配置人员和相应的工器具，</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所准备的工器具须满足正常的工作需要。</w:t>
      </w:r>
    </w:p>
    <w:p>
      <w:pPr>
        <w:widowControl w:val="0"/>
        <w:numPr>
          <w:ilvl w:val="0"/>
          <w:numId w:val="16"/>
        </w:numPr>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所使用的专用类工器具、通用工具必须是合格品</w:t>
      </w:r>
      <w:r>
        <w:rPr>
          <w:rFonts w:hint="eastAsia" w:ascii="Times New Roman" w:hAnsi="Times New Roman" w:eastAsia="宋体" w:cs="宋体"/>
          <w:color w:val="auto"/>
          <w:sz w:val="21"/>
          <w:szCs w:val="21"/>
          <w:highlight w:val="none"/>
          <w:lang w:eastAsia="zh-CN"/>
        </w:rPr>
        <w:t>，</w:t>
      </w:r>
      <w:r>
        <w:rPr>
          <w:rFonts w:hint="eastAsia" w:ascii="Times New Roman" w:hAnsi="Times New Roman" w:eastAsia="宋体" w:cs="宋体"/>
          <w:color w:val="auto"/>
          <w:sz w:val="21"/>
          <w:szCs w:val="21"/>
          <w:highlight w:val="none"/>
          <w:lang w:val="en-US" w:eastAsia="zh-CN"/>
        </w:rPr>
        <w:t>并在有效期内</w:t>
      </w:r>
      <w:r>
        <w:rPr>
          <w:rFonts w:hint="eastAsia" w:ascii="Times New Roman" w:hAnsi="Times New Roman" w:eastAsia="宋体" w:cs="宋体"/>
          <w:color w:val="auto"/>
          <w:sz w:val="21"/>
          <w:szCs w:val="21"/>
          <w:highlight w:val="none"/>
        </w:rPr>
        <w:t>。</w:t>
      </w:r>
    </w:p>
    <w:p>
      <w:pPr>
        <w:widowControl w:val="0"/>
        <w:numPr>
          <w:ilvl w:val="0"/>
          <w:numId w:val="16"/>
        </w:numPr>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所使用的计量器具在首次使用前必须按照</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的要求送相关部门进行检定，待检定合格且经过</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相关部门认可，方可进场使用，严禁未检定的或者过期未检定的计量器具进场使用，禁止不合格的计量器具进场使用，进场后计量器具送检周期以</w:t>
      </w:r>
      <w:r>
        <w:rPr>
          <w:rFonts w:hint="eastAsia" w:ascii="Times New Roman" w:hAnsi="Times New Roman" w:eastAsia="宋体" w:cs="宋体"/>
          <w:color w:val="auto"/>
          <w:sz w:val="21"/>
          <w:szCs w:val="21"/>
          <w:highlight w:val="none"/>
          <w:lang w:val="en-US" w:eastAsia="zh-CN"/>
        </w:rPr>
        <w:t>国家</w:t>
      </w:r>
      <w:r>
        <w:rPr>
          <w:rFonts w:hint="eastAsia" w:ascii="Times New Roman" w:hAnsi="Times New Roman" w:eastAsia="宋体" w:cs="宋体"/>
          <w:color w:val="auto"/>
          <w:sz w:val="21"/>
          <w:szCs w:val="21"/>
          <w:highlight w:val="none"/>
        </w:rPr>
        <w:t>相关规定为准，检定费用由</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负责。</w:t>
      </w:r>
    </w:p>
    <w:p>
      <w:pPr>
        <w:widowControl w:val="0"/>
        <w:numPr>
          <w:ilvl w:val="0"/>
          <w:numId w:val="16"/>
        </w:numPr>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施工所用的电动工器具须考虑与可供电源的匹配性并不得对配电线路构成危害。</w:t>
      </w:r>
    </w:p>
    <w:p>
      <w:pPr>
        <w:widowControl w:val="0"/>
        <w:numPr>
          <w:ilvl w:val="0"/>
          <w:numId w:val="16"/>
        </w:numPr>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需要借用</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工器具时应办理借用手续，使用</w:t>
      </w:r>
      <w:r>
        <w:rPr>
          <w:rFonts w:hint="eastAsia" w:ascii="Times New Roman" w:hAnsi="Times New Roman" w:eastAsia="宋体" w:cs="宋体"/>
          <w:color w:val="auto"/>
          <w:sz w:val="21"/>
          <w:szCs w:val="21"/>
          <w:highlight w:val="none"/>
          <w:lang w:val="en-US" w:eastAsia="zh-CN"/>
        </w:rPr>
        <w:t>完毕后应</w:t>
      </w:r>
      <w:r>
        <w:rPr>
          <w:rFonts w:hint="eastAsia" w:ascii="Times New Roman" w:hAnsi="Times New Roman" w:eastAsia="宋体" w:cs="宋体"/>
          <w:color w:val="auto"/>
          <w:sz w:val="21"/>
          <w:szCs w:val="21"/>
          <w:highlight w:val="none"/>
        </w:rPr>
        <w:t>及时归还，在借用期间造成工器具损坏</w:t>
      </w:r>
      <w:r>
        <w:rPr>
          <w:rFonts w:hint="eastAsia" w:ascii="Times New Roman" w:hAnsi="Times New Roman" w:eastAsia="宋体" w:cs="宋体"/>
          <w:color w:val="auto"/>
          <w:sz w:val="21"/>
          <w:szCs w:val="21"/>
          <w:highlight w:val="none"/>
          <w:lang w:val="en-US" w:eastAsia="zh-CN"/>
        </w:rPr>
        <w:t>的</w:t>
      </w:r>
      <w:r>
        <w:rPr>
          <w:rFonts w:hint="eastAsia" w:ascii="Times New Roman" w:hAnsi="Times New Roman" w:eastAsia="宋体" w:cs="宋体"/>
          <w:color w:val="auto"/>
          <w:sz w:val="21"/>
          <w:szCs w:val="21"/>
          <w:highlight w:val="none"/>
        </w:rPr>
        <w:t>应负责维修或赔偿。</w:t>
      </w:r>
    </w:p>
    <w:p>
      <w:pPr>
        <w:widowControl w:val="0"/>
        <w:numPr>
          <w:ilvl w:val="0"/>
          <w:numId w:val="16"/>
        </w:numPr>
        <w:spacing w:before="0" w:after="0" w:afterAutospacing="0" w:line="560" w:lineRule="exact"/>
        <w:ind w:left="0" w:right="0" w:firstLine="420" w:firstLineChars="200"/>
        <w:rPr>
          <w:rFonts w:ascii="Times New Roman" w:hAnsi="Times New Roman" w:eastAsia="Times New Roman" w:cs="Times New Roman"/>
          <w:color w:val="auto"/>
          <w:sz w:val="24"/>
          <w:szCs w:val="24"/>
          <w:highlight w:val="none"/>
        </w:rPr>
      </w:pPr>
      <w:r>
        <w:rPr>
          <w:rFonts w:hint="eastAsia" w:ascii="Times New Roman" w:hAnsi="Times New Roman" w:eastAsia="宋体" w:cs="宋体"/>
          <w:color w:val="auto"/>
          <w:sz w:val="21"/>
          <w:szCs w:val="21"/>
          <w:highlight w:val="none"/>
          <w:lang w:val="en-US" w:eastAsia="zh-CN"/>
        </w:rPr>
        <w:t>比选申请人在开展维保作业或故障处理过程中，如需借用比选人的设备或工器具用于辅助作业，或需要比选人安排人员配合作业的，需按比选人相关收费标准支付相应费用。</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备品备件配备</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比选申请人在维保时所使用的易耗易耗件和相关耗材、零部件备件等必须与南宁轨道交通1</w:t>
      </w:r>
      <w:r>
        <w:rPr>
          <w:rFonts w:ascii="Times New Roman" w:hAnsi="Times New Roman" w:eastAsia="宋体" w:cs="宋体"/>
          <w:color w:val="auto"/>
          <w:sz w:val="21"/>
          <w:szCs w:val="21"/>
          <w:highlight w:val="none"/>
          <w:lang w:val="en-US" w:eastAsia="zh-CN" w:bidi="ar-SA"/>
        </w:rPr>
        <w:t>-5</w:t>
      </w:r>
      <w:r>
        <w:rPr>
          <w:rFonts w:hint="eastAsia" w:ascii="Times New Roman" w:hAnsi="Times New Roman" w:eastAsia="宋体" w:cs="宋体"/>
          <w:color w:val="auto"/>
          <w:sz w:val="21"/>
          <w:szCs w:val="21"/>
          <w:highlight w:val="none"/>
          <w:lang w:val="en-US" w:eastAsia="zh-CN" w:bidi="ar-SA"/>
        </w:rPr>
        <w:t>号线叉车使用的保持一致，且易损易耗类备品备件剩余使用寿命不少于设计使用寿命周期的2/3（如有），其规格、型号、材质、功能及生产厂家应与原设备相同，以确保叉车安全运行。如原件品牌或厂家已经不复存在或因其它原因的确不能使用相同规格、型号、材料及生产厂家的备件时，必须保证所使用替代备件的功能与故障叉车相匹配并提供相应的证明材料，要求选用知名品牌产品，且必须经过比选人书面确认、同意。</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比选申请人在修复故障过程中需更换备件时，应及时向比选人报告，经过比选人书面确认、同意，符合合同要求后，比选申请人须及时采购安装并确保符合合同规定的故障修复时间的要求。</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比选申请人在处理设备故障时涉及故障部件更换的，优先使用比选人库存备件。</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劳动防护用品配备</w:t>
      </w:r>
    </w:p>
    <w:p>
      <w:pPr>
        <w:widowControl w:val="0"/>
        <w:spacing w:before="0" w:after="0" w:afterAutospacing="0" w:line="560" w:lineRule="exact"/>
        <w:ind w:left="0" w:right="0" w:firstLine="420" w:firstLineChars="200"/>
        <w:rPr>
          <w:rFonts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应为本项目的维保作业人员配备劳动防护用品，劳动防护用品的选定应遵循“安全、实用、美观”的原则，质量必须符合国家相关安全规定要求。</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在进场前须对所有维保人员的劳动防护用品全部配备到位，劳动防护用品配置数量按照</w:t>
      </w:r>
      <w:r>
        <w:rPr>
          <w:rFonts w:hint="eastAsia" w:ascii="Times New Roman" w:hAnsi="Times New Roman" w:eastAsia="宋体" w:cs="宋体"/>
          <w:color w:val="auto"/>
          <w:sz w:val="21"/>
          <w:szCs w:val="21"/>
          <w:highlight w:val="none"/>
          <w:lang w:eastAsia="zh-CN"/>
        </w:rPr>
        <w:t>比选人</w:t>
      </w:r>
      <w:r>
        <w:rPr>
          <w:rFonts w:hint="eastAsia" w:ascii="Times New Roman" w:hAnsi="Times New Roman" w:eastAsia="宋体" w:cs="宋体"/>
          <w:color w:val="auto"/>
          <w:sz w:val="21"/>
          <w:szCs w:val="21"/>
          <w:highlight w:val="none"/>
        </w:rPr>
        <w:t>相关要求执行，个人劳动防护用品包括但不限于下表所列清单，配备劳动防护用品必须满足现场作业需求。</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360" w:firstLineChars="200"/>
        <w:jc w:val="center"/>
        <w:textAlignment w:val="auto"/>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表</w:t>
      </w:r>
      <w:r>
        <w:rPr>
          <w:rFonts w:hint="eastAsia" w:ascii="Times New Roman" w:hAnsi="Times New Roman" w:eastAsia="宋体" w:cs="宋体"/>
          <w:color w:val="auto"/>
          <w:sz w:val="18"/>
          <w:szCs w:val="18"/>
          <w:highlight w:val="none"/>
          <w:lang w:val="en-US" w:eastAsia="zh-CN"/>
        </w:rPr>
        <w:t>5</w:t>
      </w:r>
      <w:r>
        <w:rPr>
          <w:rFonts w:hint="eastAsia" w:ascii="Times New Roman" w:hAnsi="Times New Roman" w:eastAsia="宋体" w:cs="宋体"/>
          <w:color w:val="auto"/>
          <w:sz w:val="18"/>
          <w:szCs w:val="18"/>
          <w:highlight w:val="none"/>
        </w:rPr>
        <w:t>劳保防护用品配置清单</w:t>
      </w:r>
    </w:p>
    <w:tbl>
      <w:tblPr>
        <w:tblStyle w:val="31"/>
        <w:tblW w:w="7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319"/>
        <w:gridCol w:w="182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序号</w:t>
            </w:r>
          </w:p>
        </w:tc>
        <w:tc>
          <w:tcPr>
            <w:tcW w:w="2319" w:type="dxa"/>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劳保防护用品名称</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单位</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18"/>
                <w:szCs w:val="18"/>
                <w:highlight w:val="none"/>
              </w:rPr>
            </w:pPr>
            <w:r>
              <w:rPr>
                <w:rFonts w:hint="eastAsia" w:ascii="Times New Roman" w:hAnsi="Times New Roman" w:eastAsia="宋体" w:cs="宋体"/>
                <w:b/>
                <w:bCs/>
                <w:color w:val="auto"/>
                <w:sz w:val="18"/>
                <w:szCs w:val="18"/>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w:t>
            </w:r>
          </w:p>
        </w:tc>
        <w:tc>
          <w:tcPr>
            <w:tcW w:w="2319"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工作服</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套</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2</w:t>
            </w:r>
          </w:p>
        </w:tc>
        <w:tc>
          <w:tcPr>
            <w:tcW w:w="2319"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安全帽</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顶</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3</w:t>
            </w:r>
          </w:p>
        </w:tc>
        <w:tc>
          <w:tcPr>
            <w:tcW w:w="2319"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荧光衣</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件</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4</w:t>
            </w:r>
          </w:p>
        </w:tc>
        <w:tc>
          <w:tcPr>
            <w:tcW w:w="2319"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劳保鞋</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双</w:t>
            </w:r>
          </w:p>
        </w:tc>
        <w:tc>
          <w:tcPr>
            <w:tcW w:w="1824" w:type="dxa"/>
            <w:vAlign w:val="center"/>
          </w:tcPr>
          <w:p>
            <w:pPr>
              <w:widowControl w:val="0"/>
              <w:spacing w:before="0" w:after="0" w:afterAutospacing="0" w:line="240" w:lineRule="auto"/>
              <w:ind w:left="0" w:right="0" w:firstLine="0"/>
              <w:jc w:val="center"/>
              <w:rPr>
                <w:rFonts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1双/人</w:t>
            </w:r>
          </w:p>
        </w:tc>
      </w:tr>
    </w:tbl>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bookmarkStart w:id="2588" w:name="_Toc2672071"/>
      <w:bookmarkStart w:id="2589" w:name="_Toc29769_WPSOffice_Level2"/>
      <w:bookmarkStart w:id="2590" w:name="_Toc6585056"/>
      <w:bookmarkStart w:id="2591" w:name="_Toc14261372"/>
      <w:bookmarkStart w:id="2592" w:name="_Toc14257649"/>
      <w:bookmarkStart w:id="2593" w:name="_Toc534613572"/>
      <w:bookmarkStart w:id="2594" w:name="_Toc14018206"/>
      <w:r>
        <w:rPr>
          <w:rFonts w:hint="eastAsia" w:ascii="Times New Roman" w:hAnsi="Times New Roman" w:eastAsia="宋体" w:cs="宋体"/>
          <w:b w:val="0"/>
          <w:bCs/>
          <w:color w:val="auto"/>
          <w:sz w:val="21"/>
          <w:szCs w:val="21"/>
          <w:highlight w:val="none"/>
          <w:lang w:val="en-US" w:eastAsia="zh-CN" w:bidi="ar-SA"/>
        </w:rPr>
        <w:t>进场要求</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比选申请人应严格执行国家、地方和行业的相关法律法规、规范标准及比选人规章制度等各项规定。</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比选申请人严格遵守合同协议，组织足够相匹配的技术人员、维保人员完成叉车维保工作。</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当确保现场维保作业人员的素质、专业技术能力满足各项作业要求，原则上不允许私自更换现场维保作业人员，比选申请人所提供的备案证明应与现场维保作业人员提供的证明一致，如需变更，应经过比选人同意。</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比选申请人须在合同执行之日前完成全部现场维保作业人员的特种设备作业取证，证件须在有效期内，并提交所有作业人员的特种设备作业证复印件至比选人备案。</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比选申请人人员完成自己公司及比选人公司的安全教育并考核合格。</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比选申请人与比选人签订安全生产协议。</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当比选人发出中标通知书后，比选申请人应在合同执行之日前2个月内按照人员配置要求完成人员的入职工作，提前进场熟悉现场设施。在此期间比选人不支付任何费用。</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准备工作就绪（比选申请人必须在合同正式签订时已完成全部开工准备），双方确认满足开工条件后，将相关情况报至比选人相关部门。</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outlineLvl w:val="4"/>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比选申请人须做好叉车状态普查，做好技术交底。</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比选申请人所有现场维保人员要遵守比选人的《运营公司施工管理规定》等相关施工管理规定，并按照相关规范和各项安全操作规程开展作业。</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比选申请人制定维保材料和备品备件供应计划并做好供应，比选申请人个人工器具、故障处理所需专业检修工器具必须配发到位，通过比选人审核确认。</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合同期内作业人员原则上不许替换，更换作业人员必须通知比选人并提交有关人员资料，必须确保替换人员的资历、经验不低于原来被替换的人员，并提供相关内部或送外的培训书面证明，并由比选人组织资料审核，未经比选人书面许可不得随意更换作业人员。</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合同执行之日前比选申请人应按比选人要求将人员劳动防护用品及工具配发到位，配置项目及标准应随比选人公司要求及时进行更正，并提供相应的台账、发放记录、更新记录等。</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合理安排员工的休假时间，严禁出现集中休假影响正常人员配置的情况，对于员工的事假及病假，比选申请人应合理调配人员进行替岗，保证正常人员配置，比选申请人所有员工的休假需提前上报比选人。</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比选申请人技术人员的处置响应时间应符合比选人规定的维修服务承诺时间，具体故障响时间须严格以比选人最新规定的维修服务承诺时间为准。</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人向比选申请人提供的任何文件，包括规格书、手册、图纸只供比选申请人履行本合同使用，不因文件的提供而改变这些文件的知识产权和专利权。且所有移交的材料均被视为保密资料，在合同结束时需返还比选人。所有下发至比选申请人的材料，仅被用于它所规定的用途，如无比选人同意，比选申请人不能擅自使用或向任何第三方透露，否则比选申请人将承担由此泄密行为给比选人造成的一切损失。</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比选申请人建立的叉车维修台帐、故障修维修履历、所有工作记录等文件的所有权归比选人所有，比选申请人应无条件地接受比选人检查，配合比选人审查，并根据比选人需要随时提交比选人。</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遵守国家和地方有关安全生产的法律法规和比选人的有关安全生产的规章制度，严格按安全标准组织维保检修作业，并随时接受比选人和行业安全检查人员依法实施的监督检查，采取必要的安全防护措施，消除事故隐患。由于比选申请人安全措施不力造成事故的责任和因此发生的费用及比选人损失，由比选申请人全部承担。</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b w:val="0"/>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比选申请人内部应建立完整有效的管理方案，包括但不限于以下要求：</w:t>
      </w:r>
    </w:p>
    <w:p>
      <w:pPr>
        <w:widowControl w:val="0"/>
        <w:numPr>
          <w:ilvl w:val="0"/>
          <w:numId w:val="17"/>
        </w:numPr>
        <w:spacing w:before="0" w:after="0" w:afterAutospacing="0" w:line="560" w:lineRule="exact"/>
        <w:ind w:left="0" w:right="0"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rPr>
        <w:t>人员管理制度：</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应对管理项目做出具体响应，包括但不限于考勤管理、内部调动管理、自查自纠制度、员工奖惩管理等方案。</w:t>
      </w:r>
    </w:p>
    <w:p>
      <w:pPr>
        <w:widowControl w:val="0"/>
        <w:numPr>
          <w:ilvl w:val="0"/>
          <w:numId w:val="17"/>
        </w:numPr>
        <w:spacing w:before="0" w:after="0" w:afterAutospacing="0" w:line="560" w:lineRule="exact"/>
        <w:ind w:left="0" w:right="0"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rPr>
        <w:t>安全管理制度：</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应对安全管理方案做出具体响应，包括但不限于安全组织架构、安全培训、安全物品使用与管理、劳动防护用品配置与检测等方案。</w:t>
      </w:r>
    </w:p>
    <w:p>
      <w:pPr>
        <w:widowControl w:val="0"/>
        <w:numPr>
          <w:ilvl w:val="0"/>
          <w:numId w:val="17"/>
        </w:numPr>
        <w:spacing w:before="0" w:after="0" w:afterAutospacing="0" w:line="560" w:lineRule="exact"/>
        <w:ind w:left="0" w:right="0"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color w:val="auto"/>
          <w:sz w:val="21"/>
          <w:szCs w:val="21"/>
          <w:highlight w:val="none"/>
        </w:rPr>
        <w:t>物资管理制度：</w:t>
      </w:r>
      <w:r>
        <w:rPr>
          <w:rFonts w:hint="eastAsia" w:ascii="Times New Roman" w:hAnsi="Times New Roman" w:eastAsia="宋体" w:cs="宋体"/>
          <w:color w:val="auto"/>
          <w:sz w:val="21"/>
          <w:szCs w:val="21"/>
          <w:highlight w:val="none"/>
          <w:lang w:eastAsia="zh-CN"/>
        </w:rPr>
        <w:t>比选申请人</w:t>
      </w:r>
      <w:r>
        <w:rPr>
          <w:rFonts w:hint="eastAsia" w:ascii="Times New Roman" w:hAnsi="Times New Roman" w:eastAsia="宋体" w:cs="宋体"/>
          <w:color w:val="auto"/>
          <w:sz w:val="21"/>
          <w:szCs w:val="21"/>
          <w:highlight w:val="none"/>
        </w:rPr>
        <w:t>为了响应合同技术部分要求，应对涉及的物资、仪器、工器具等相关的配置与管理方案做出具体响应，包括但不限于相应的登记、领用、归还、盘点、仓储等制度。</w:t>
      </w:r>
      <w:bookmarkEnd w:id="2588"/>
      <w:bookmarkEnd w:id="2589"/>
      <w:bookmarkEnd w:id="2590"/>
      <w:bookmarkEnd w:id="2591"/>
      <w:bookmarkEnd w:id="2592"/>
      <w:bookmarkEnd w:id="2593"/>
      <w:bookmarkEnd w:id="2594"/>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知识产权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420" w:firstLineChars="200"/>
        <w:jc w:val="left"/>
        <w:textAlignment w:val="auto"/>
        <w:outlineLvl w:val="2"/>
        <w:rPr>
          <w:rFonts w:hint="default" w:ascii="Times New Roman" w:hAnsi="Times New Roman" w:eastAsia="宋体" w:cs="宋体"/>
          <w:b w:val="0"/>
          <w:bCs/>
          <w:color w:val="auto"/>
          <w:sz w:val="21"/>
          <w:szCs w:val="21"/>
          <w:highlight w:val="none"/>
          <w:lang w:val="en-US" w:eastAsia="zh-CN" w:bidi="ar-SA"/>
        </w:rPr>
      </w:pPr>
      <w:r>
        <w:rPr>
          <w:rFonts w:hint="eastAsia" w:ascii="Times New Roman" w:hAnsi="Times New Roman" w:eastAsia="宋体" w:cs="宋体"/>
          <w:b w:val="0"/>
          <w:bCs/>
          <w:color w:val="auto"/>
          <w:sz w:val="21"/>
          <w:szCs w:val="21"/>
          <w:highlight w:val="none"/>
          <w:lang w:val="en-US" w:eastAsia="zh-CN" w:bidi="ar-SA"/>
        </w:rPr>
        <w:t>详见第三章合同条款及格式7.知识产权</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595" w:name="_Toc14254671"/>
      <w:bookmarkStart w:id="2596" w:name="_Toc5025292"/>
      <w:bookmarkStart w:id="2597" w:name="_Toc5040"/>
      <w:bookmarkStart w:id="2598" w:name="_Toc244_WPSOffice_Level2"/>
      <w:bookmarkStart w:id="2599" w:name="_Toc22378"/>
      <w:bookmarkStart w:id="2600" w:name="_Toc17171"/>
      <w:bookmarkStart w:id="2601" w:name="_Toc13908621"/>
      <w:bookmarkStart w:id="2602" w:name="_Toc14248713"/>
      <w:bookmarkStart w:id="2603" w:name="_Toc8520"/>
      <w:bookmarkStart w:id="2604" w:name="_Toc6888"/>
      <w:bookmarkStart w:id="2605" w:name="_Toc2071"/>
      <w:bookmarkStart w:id="2606" w:name="_Toc23679"/>
      <w:bookmarkStart w:id="2607" w:name="_Toc29096"/>
      <w:bookmarkStart w:id="2608" w:name="_Toc14257656"/>
      <w:bookmarkStart w:id="2609" w:name="_Toc14261379"/>
      <w:bookmarkStart w:id="2610" w:name="_Toc8144535"/>
      <w:bookmarkStart w:id="2611" w:name="_Toc11021_WPSOffice_Level2"/>
      <w:bookmarkStart w:id="2612" w:name="_Toc14018213"/>
      <w:r>
        <w:rPr>
          <w:rFonts w:hint="eastAsia" w:ascii="Times New Roman" w:hAnsi="Times New Roman" w:eastAsia="宋体" w:cs="Times New Roman"/>
          <w:b/>
          <w:bCs/>
          <w:color w:val="auto"/>
          <w:sz w:val="24"/>
          <w:szCs w:val="24"/>
          <w:highlight w:val="none"/>
          <w:lang w:val="zh-CN" w:eastAsia="zh-CN" w:bidi="ar-SA"/>
        </w:rPr>
        <w:t>维保作业计划编制</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Times New Roman" w:hAnsi="Times New Roman" w:eastAsia="宋体" w:cs="宋体"/>
          <w:b w:val="0"/>
          <w:bCs/>
          <w:color w:val="auto"/>
          <w:sz w:val="21"/>
          <w:szCs w:val="21"/>
          <w:highlight w:val="none"/>
          <w:lang w:val="en-US" w:eastAsia="zh-CN" w:bidi="ar-SA"/>
        </w:rPr>
      </w:pPr>
      <w:bookmarkStart w:id="2613" w:name="_Toc14254672"/>
      <w:bookmarkStart w:id="2614" w:name="_Toc13908622"/>
      <w:bookmarkStart w:id="2615" w:name="_Toc14248714"/>
      <w:r>
        <w:rPr>
          <w:rFonts w:hint="eastAsia" w:ascii="Times New Roman" w:hAnsi="Times New Roman" w:eastAsia="宋体" w:cs="宋体"/>
          <w:b w:val="0"/>
          <w:bCs/>
          <w:color w:val="auto"/>
          <w:sz w:val="21"/>
          <w:szCs w:val="21"/>
          <w:highlight w:val="none"/>
          <w:lang w:val="en-US" w:eastAsia="zh-CN" w:bidi="ar-SA"/>
        </w:rPr>
        <w:t>编制依据</w:t>
      </w:r>
      <w:bookmarkEnd w:id="2613"/>
      <w:bookmarkEnd w:id="2614"/>
      <w:bookmarkEnd w:id="2615"/>
    </w:p>
    <w:p>
      <w:pPr>
        <w:widowControl w:val="0"/>
        <w:spacing w:before="0" w:after="0" w:afterAutospacing="0" w:line="560" w:lineRule="exact"/>
        <w:ind w:left="0" w:right="0"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主要根据</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运营公司场段专用设备检修规程</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中叉车检修内容和周期进行</w:t>
      </w:r>
      <w:r>
        <w:rPr>
          <w:rFonts w:hint="eastAsia" w:ascii="宋体" w:hAnsi="宋体" w:eastAsia="宋体" w:cs="宋体"/>
          <w:bCs/>
          <w:color w:val="auto"/>
          <w:sz w:val="21"/>
          <w:szCs w:val="21"/>
          <w:highlight w:val="none"/>
        </w:rPr>
        <w:t>编制。</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宋体" w:hAnsi="宋体" w:eastAsia="宋体" w:cs="宋体"/>
          <w:color w:val="auto"/>
          <w:sz w:val="21"/>
          <w:szCs w:val="21"/>
          <w:highlight w:val="none"/>
          <w:lang w:val="en-US" w:eastAsia="zh-CN" w:bidi="ar-SA"/>
        </w:rPr>
      </w:pPr>
      <w:bookmarkStart w:id="2616" w:name="_Toc534613581"/>
      <w:bookmarkStart w:id="2617" w:name="_Toc14248715"/>
      <w:bookmarkStart w:id="2618" w:name="_Toc14254673"/>
      <w:bookmarkStart w:id="2619" w:name="_Toc13908623"/>
      <w:r>
        <w:rPr>
          <w:rFonts w:hint="eastAsia" w:ascii="宋体" w:hAnsi="宋体" w:eastAsia="宋体" w:cs="宋体"/>
          <w:color w:val="auto"/>
          <w:sz w:val="21"/>
          <w:szCs w:val="21"/>
          <w:highlight w:val="none"/>
          <w:lang w:val="en-US" w:eastAsia="zh-CN" w:bidi="ar-SA"/>
        </w:rPr>
        <w:t>计划编制</w:t>
      </w:r>
      <w:bookmarkEnd w:id="2616"/>
      <w:bookmarkEnd w:id="2617"/>
      <w:bookmarkEnd w:id="2618"/>
      <w:bookmarkEnd w:id="2619"/>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比选申请人须根据比选人的规定，编制各线路叉车的年度维保作业计划，并报比选人审核，由比选人按生产计划相关规定与流程报批。</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比选申请人根据比选人审批后的年度维保作业计划，分解为月度维保作业计划，并报比选人审核，由比选人按生产计划相关规定与流程报批。</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620" w:name="_Toc6613"/>
      <w:bookmarkStart w:id="2621" w:name="_Toc14254675"/>
      <w:bookmarkStart w:id="2622" w:name="_Toc24640"/>
      <w:bookmarkStart w:id="2623" w:name="_Toc13796"/>
      <w:bookmarkStart w:id="2624" w:name="_Toc3329"/>
      <w:bookmarkStart w:id="2625" w:name="_Toc9383"/>
      <w:bookmarkStart w:id="2626" w:name="_Toc30318"/>
      <w:bookmarkStart w:id="2627" w:name="_Toc102"/>
      <w:bookmarkStart w:id="2628" w:name="_Toc13908625"/>
      <w:bookmarkStart w:id="2629" w:name="_Toc22351_WPSOffice_Level2"/>
      <w:bookmarkStart w:id="2630" w:name="_Toc4549"/>
      <w:bookmarkStart w:id="2631" w:name="_Toc14248717"/>
      <w:r>
        <w:rPr>
          <w:rFonts w:hint="eastAsia" w:ascii="Times New Roman" w:hAnsi="Times New Roman" w:eastAsia="宋体" w:cs="Times New Roman"/>
          <w:b/>
          <w:bCs/>
          <w:color w:val="auto"/>
          <w:sz w:val="24"/>
          <w:szCs w:val="24"/>
          <w:highlight w:val="none"/>
          <w:lang w:val="zh-CN" w:eastAsia="zh-CN" w:bidi="ar-SA"/>
        </w:rPr>
        <w:t>作业计划的实施</w:t>
      </w:r>
      <w:bookmarkEnd w:id="2620"/>
      <w:bookmarkEnd w:id="2621"/>
      <w:bookmarkEnd w:id="2622"/>
      <w:bookmarkEnd w:id="2623"/>
      <w:bookmarkEnd w:id="2624"/>
      <w:bookmarkEnd w:id="2625"/>
      <w:bookmarkEnd w:id="2626"/>
      <w:bookmarkEnd w:id="2627"/>
      <w:bookmarkEnd w:id="2628"/>
      <w:bookmarkEnd w:id="2629"/>
      <w:bookmarkEnd w:id="2630"/>
      <w:bookmarkEnd w:id="2631"/>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对已经批准的作业计划，比选申请人应按时组织维保作业人员携带齐全工器具到场，做好作业前准备。</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经比选人相关专业人员请点并得到批复后，方能开展维保作业。具体作业实施和要求以《运营公司施工管理规定》最新要求为准。</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作业监护各流程及监护要点如下：</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维保作业前双方进行必要的沟通，确定作业内容、作业时间、注意事项及集结地点；</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双方做必要的准备：比选申请人根据作业内容及要求，准备好材料、工器具，做好相关维保作业任务布置及安全措施；</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作业过程：作业前严格执行请点登记制度，请点人员、材料、工器具；比选人监控比选申请人按照相关工艺、材料及作业安全措施，掌握、跟踪作业进度，确保维保作业完成或阶段性作业结果满足使用；</w:t>
      </w:r>
    </w:p>
    <w:p>
      <w:pPr>
        <w:keepNext w:val="0"/>
        <w:keepLines w:val="0"/>
        <w:pageBreakBefore w:val="0"/>
        <w:widowControl/>
        <w:numPr>
          <w:ilvl w:val="3"/>
          <w:numId w:val="13"/>
        </w:numPr>
        <w:shd w:val="clear" w:color="auto" w:fill="FFFFFF"/>
        <w:kinsoku/>
        <w:wordWrap/>
        <w:overflowPunct/>
        <w:topLinePunct w:val="0"/>
        <w:autoSpaceDE/>
        <w:autoSpaceDN/>
        <w:bidi w:val="0"/>
        <w:adjustRightInd/>
        <w:snapToGrid/>
        <w:spacing w:line="560" w:lineRule="exact"/>
        <w:ind w:left="0" w:leftChars="0" w:firstLine="420" w:firstLineChars="200"/>
        <w:jc w:val="left"/>
        <w:textAlignment w:val="auto"/>
        <w:rPr>
          <w:rFonts w:hint="eastAsia"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作业结束后由比选申请人自检、出清现场；比选人进行质量检查、复核确认现场出清。</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632" w:name="_Toc32488_WPSOffice_Level2"/>
      <w:bookmarkStart w:id="2633" w:name="_Toc14254676"/>
      <w:bookmarkStart w:id="2634" w:name="_Toc14248718"/>
      <w:bookmarkStart w:id="2635" w:name="_Toc16874"/>
      <w:bookmarkStart w:id="2636" w:name="_Toc5928"/>
      <w:bookmarkStart w:id="2637" w:name="_Toc25873"/>
      <w:bookmarkStart w:id="2638" w:name="_Toc7241"/>
      <w:bookmarkStart w:id="2639" w:name="_Toc13908626"/>
      <w:bookmarkStart w:id="2640" w:name="_Toc16129"/>
      <w:bookmarkStart w:id="2641" w:name="_Toc14729"/>
      <w:bookmarkStart w:id="2642" w:name="_Toc6663"/>
      <w:bookmarkStart w:id="2643" w:name="_Toc18916"/>
      <w:r>
        <w:rPr>
          <w:rFonts w:hint="eastAsia" w:ascii="Times New Roman" w:hAnsi="Times New Roman" w:eastAsia="宋体" w:cs="Times New Roman"/>
          <w:b/>
          <w:bCs/>
          <w:color w:val="auto"/>
          <w:sz w:val="24"/>
          <w:szCs w:val="24"/>
          <w:highlight w:val="none"/>
          <w:lang w:val="zh-CN" w:eastAsia="zh-CN" w:bidi="ar-SA"/>
        </w:rPr>
        <w:t>维保作业要求</w:t>
      </w:r>
      <w:bookmarkEnd w:id="2632"/>
      <w:bookmarkEnd w:id="2633"/>
      <w:bookmarkEnd w:id="2634"/>
      <w:bookmarkEnd w:id="2635"/>
      <w:bookmarkEnd w:id="2636"/>
      <w:bookmarkEnd w:id="2637"/>
      <w:bookmarkEnd w:id="2638"/>
      <w:bookmarkEnd w:id="2639"/>
      <w:bookmarkEnd w:id="2640"/>
      <w:bookmarkEnd w:id="2641"/>
      <w:bookmarkEnd w:id="2642"/>
      <w:bookmarkEnd w:id="2643"/>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比选申请人应严格按照上文中“项目安全管理”章节的内容要求组织开展维保作业。</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比选申请人必须按照维保工作质量要求开展叉车维保作业，并按照比选人相关规定要求填写相关记录；比选申请人在设备维保过程中，未经比选人同意不得擅自更改设备设施的设计。</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比选申请人应本着“实事求是、节约成本”的原则和态度开展维保工作。针对具体的故障，应采取切实可行的办法进行处理，坚决杜绝夸大故障、浪费成本、敷衍了事现象的出现，切实维护合同双方的利益。</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比选申请人针对该项目所投入的所有维保作业人员必须经过比选人相关部门所组织的安全培训并通过考试合格后方可进场作业，严禁未参加安全培训且未通过考试的人员进场作业。</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人员开展维保作业时，整个作业过程的安全卡控由比选申请人完全负责（若有比选人要求参与维保作业，则需要在比选人的监控下进行作业，但整个维保作业过程的安全卡控仍由比选申请人完全负责）。</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因开展维保作业或处理故障时涉及的特种作业（如金属焊接切割作业、低压电工作业、高处作业）时，必须持有相应的特种作业操作证方可上岗作业，并按照相关要求佩戴配套的劳动防护用品进行作业。</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设备的应急抢修原则上由比选人组织开展，由比选人担任抢险指挥者，比选申请人在比选人的指挥下进行抢险作业，在比选人授权情况下，可由比选申请人的项目负责人进行现场组织，比选申请人项目负责人向比选人报告抢修情况。比选申请人接到比选人的抢修命令后，按要求奔赴现场组织抢修，不得以任何借口逃避和拖延。对故障或事故的性质及其影响范围，根据判断的结果及实际情况，立即采取一切合理可靠的手段尽量减少故障或事故的影响范围，相关维保人员立即进行抢修，排除故障，在处理后及时按相关流程报告和记录。比选申请人必须配备相应的通讯工具和设备，并且遵守比选人相关规定，保持通讯工具24小时畅通。</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应不断加强员工的安全生产教育，对于比选人颁布的安全生产规定，比选申请人应无条件执行；对于因比选申请人不按照相关安全规定进行作业所引发的损失、事故，比选申请人负全部责任，并赔偿比选人全部损失。</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比选申请人在维保过程中所发生的事故，比选申请人应本着“诚实、合作、及时”的思想及时通知比选人，配合比选人做好事故的调查和分析工作，不得隐瞒或推卸责任。</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比选申请人履行比选人专业接口范围内的工作。对于接口不明确的部分由比选人做判断及安排，比选申请人必须无条件服从比选人的指令，不得以任何借口推脱或延误。</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为确保地铁设备设施的正常运行，在维保过程中需要对既有设备设施进行成品保护，必须采取有效措施防止维保对相关设备设施产生不利影响。</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作业过程中涉及其他专业重要设备设施的，由设备设施所属专业提供配合，配合过程中因比选申请人所导致的直接及间接经济损失由比选申请人承担。</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比选申请人在维保作业过程中避免造成维保项目范围以外的其它设备损坏或影响除维保项目范围外其他设备的正常运行。</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比选申请人在维保过程中若造成除维保项目范围以外的其它设备损坏或影响除维保项目外其他设备正常运行的，由比选申请人负责该设备赔偿或恢复。</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644" w:name="_Toc16114_WPSOffice_Level2"/>
      <w:bookmarkStart w:id="2645" w:name="_Toc14254677"/>
      <w:bookmarkStart w:id="2646" w:name="_Toc14248719"/>
      <w:bookmarkStart w:id="2647" w:name="_Toc13908627"/>
      <w:bookmarkStart w:id="2648" w:name="_Toc14937"/>
      <w:bookmarkStart w:id="2649" w:name="_Toc20846"/>
      <w:bookmarkStart w:id="2650" w:name="_Toc18152"/>
      <w:bookmarkStart w:id="2651" w:name="_Toc26969"/>
      <w:bookmarkStart w:id="2652" w:name="_Toc22306"/>
      <w:bookmarkStart w:id="2653" w:name="_Toc14032"/>
      <w:bookmarkStart w:id="2654" w:name="_Toc8024"/>
      <w:bookmarkStart w:id="2655" w:name="_Toc27681"/>
      <w:r>
        <w:rPr>
          <w:rFonts w:hint="eastAsia" w:ascii="Times New Roman" w:hAnsi="Times New Roman" w:eastAsia="宋体" w:cs="Times New Roman"/>
          <w:b/>
          <w:bCs/>
          <w:color w:val="auto"/>
          <w:sz w:val="24"/>
          <w:szCs w:val="24"/>
          <w:highlight w:val="none"/>
          <w:lang w:val="zh-CN" w:eastAsia="zh-CN" w:bidi="ar-SA"/>
        </w:rPr>
        <w:t>故障申报与</w:t>
      </w:r>
      <w:bookmarkEnd w:id="2644"/>
      <w:bookmarkEnd w:id="2645"/>
      <w:bookmarkEnd w:id="2646"/>
      <w:bookmarkEnd w:id="2647"/>
      <w:r>
        <w:rPr>
          <w:rFonts w:hint="eastAsia" w:ascii="Times New Roman" w:hAnsi="Times New Roman" w:eastAsia="宋体" w:cs="Times New Roman"/>
          <w:b/>
          <w:bCs/>
          <w:color w:val="auto"/>
          <w:sz w:val="24"/>
          <w:szCs w:val="24"/>
          <w:highlight w:val="none"/>
          <w:lang w:val="en-US" w:eastAsia="zh-CN" w:bidi="ar-SA"/>
        </w:rPr>
        <w:t>处理</w:t>
      </w:r>
      <w:bookmarkEnd w:id="2648"/>
      <w:bookmarkEnd w:id="2649"/>
      <w:bookmarkEnd w:id="2650"/>
      <w:bookmarkEnd w:id="2651"/>
      <w:bookmarkEnd w:id="2652"/>
      <w:bookmarkEnd w:id="2653"/>
      <w:bookmarkEnd w:id="2654"/>
      <w:bookmarkEnd w:id="2655"/>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比选人叉车维护部门接到使用部门故障报告后立即通知比选申请人。比选申请人收到比选人的故障通知后，应立即组织维保人员到故障发生地处理故障，比选人安排相关人员配合。</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比选申请人完成故障处理后，配合比选人相关人员填写故障报告单。</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比选申请人不得以任何理由（不可抗力因素除外）延误设备故障维修、抢修。</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相关的设备设施在维保期内发生的故障，比选申请人应当掌握故障原因及解决方法，对之后出现类似的故障能及时解决。比选人可以对比选申请人处理故障能力进行抽查，抽查结果计入考核。</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于南宁轨道交通1-5号线叉车发生的故障，比选申请人在接到比选人通知后，必须及时组织人力、物力按照比选人的安排和要求进行故障抢修，力争在较短的时间内消除设备设施故障，恢复设备设施的正常使用状态，无法立即消除的必须制定临时处理措施，待具备条件后应及时安排人员处理，故障处理时间必须符合叉车故障维修响应及修复时间指标（详见表6）。</w:t>
      </w:r>
      <w:bookmarkStart w:id="2656" w:name="_Toc14018220"/>
      <w:bookmarkStart w:id="2657" w:name="_Toc21201_WPSOffice_Level2"/>
      <w:bookmarkStart w:id="2658" w:name="_Toc2672079"/>
      <w:bookmarkStart w:id="2659" w:name="_Toc534613586"/>
      <w:bookmarkStart w:id="2660" w:name="_Toc6585064"/>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360" w:firstLineChars="200"/>
        <w:jc w:val="center"/>
        <w:textAlignment w:val="auto"/>
        <w:outlineLvl w:val="9"/>
        <w:rPr>
          <w:rFonts w:hint="eastAsia" w:ascii="Times New Roman" w:hAnsi="Times New Roman" w:eastAsia="宋体" w:cs="宋体"/>
          <w:color w:val="auto"/>
          <w:sz w:val="18"/>
          <w:szCs w:val="18"/>
          <w:highlight w:val="none"/>
          <w:lang w:val="en-US" w:eastAsia="zh-CN" w:bidi="ar-SA"/>
        </w:rPr>
      </w:pPr>
      <w:r>
        <w:rPr>
          <w:rFonts w:hint="eastAsia" w:ascii="Times New Roman" w:hAnsi="Times New Roman" w:eastAsia="宋体" w:cs="宋体"/>
          <w:color w:val="auto"/>
          <w:sz w:val="18"/>
          <w:szCs w:val="18"/>
          <w:highlight w:val="none"/>
          <w:lang w:val="en-US" w:eastAsia="zh-CN" w:bidi="ar-SA"/>
        </w:rPr>
        <w:t>表6 叉车故障维修响应及修复时间指标</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812"/>
        <w:gridCol w:w="1444"/>
        <w:gridCol w:w="1444"/>
        <w:gridCol w:w="141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5"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设备系统名称</w:t>
            </w:r>
          </w:p>
        </w:tc>
        <w:tc>
          <w:tcPr>
            <w:tcW w:w="1006"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设备故障类型</w:t>
            </w:r>
          </w:p>
        </w:tc>
        <w:tc>
          <w:tcPr>
            <w:tcW w:w="802"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故障响应时间</w:t>
            </w:r>
          </w:p>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（分钟）</w:t>
            </w:r>
          </w:p>
        </w:tc>
        <w:tc>
          <w:tcPr>
            <w:tcW w:w="802"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故障临时处理时间（小时）</w:t>
            </w:r>
          </w:p>
        </w:tc>
        <w:tc>
          <w:tcPr>
            <w:tcW w:w="786"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完全修复时间</w:t>
            </w:r>
          </w:p>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（小时）</w:t>
            </w:r>
          </w:p>
        </w:tc>
        <w:tc>
          <w:tcPr>
            <w:tcW w:w="706"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5"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lang w:val="en-US" w:eastAsia="zh-CN"/>
              </w:rPr>
              <w:t>叉车</w:t>
            </w:r>
          </w:p>
        </w:tc>
        <w:tc>
          <w:tcPr>
            <w:tcW w:w="1006"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lang w:val="en-US" w:eastAsia="zh-CN"/>
              </w:rPr>
              <w:t>叉车</w:t>
            </w:r>
            <w:r>
              <w:rPr>
                <w:rFonts w:hint="eastAsia" w:ascii="宋体" w:hAnsi="宋体" w:eastAsia="宋体" w:cs="宋体"/>
                <w:b w:val="0"/>
                <w:bCs/>
                <w:color w:val="auto"/>
                <w:sz w:val="18"/>
                <w:szCs w:val="18"/>
                <w:highlight w:val="none"/>
              </w:rPr>
              <w:t>故障</w:t>
            </w:r>
          </w:p>
        </w:tc>
        <w:tc>
          <w:tcPr>
            <w:tcW w:w="802"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≤50</w:t>
            </w:r>
          </w:p>
        </w:tc>
        <w:tc>
          <w:tcPr>
            <w:tcW w:w="802"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lang w:eastAsia="zh-CN"/>
              </w:rPr>
            </w:pPr>
            <w:r>
              <w:rPr>
                <w:rFonts w:hint="eastAsia" w:ascii="宋体" w:hAnsi="宋体" w:eastAsia="宋体" w:cs="宋体"/>
                <w:b w:val="0"/>
                <w:bCs/>
                <w:color w:val="auto"/>
                <w:sz w:val="18"/>
                <w:szCs w:val="18"/>
                <w:highlight w:val="none"/>
              </w:rPr>
              <w:t>≤</w:t>
            </w:r>
            <w:r>
              <w:rPr>
                <w:rFonts w:hint="eastAsia" w:ascii="宋体" w:hAnsi="宋体" w:eastAsia="宋体" w:cs="宋体"/>
                <w:b w:val="0"/>
                <w:bCs/>
                <w:color w:val="auto"/>
                <w:sz w:val="18"/>
                <w:szCs w:val="18"/>
                <w:highlight w:val="none"/>
                <w:lang w:val="en-US" w:eastAsia="zh-CN"/>
              </w:rPr>
              <w:t>2</w:t>
            </w:r>
          </w:p>
        </w:tc>
        <w:tc>
          <w:tcPr>
            <w:tcW w:w="786" w:type="pct"/>
            <w:vAlign w:val="center"/>
          </w:tcPr>
          <w:p>
            <w:pPr>
              <w:widowControl w:val="0"/>
              <w:tabs>
                <w:tab w:val="left" w:pos="0"/>
              </w:tabs>
              <w:spacing w:before="0" w:after="0" w:afterAutospacing="0" w:line="240" w:lineRule="auto"/>
              <w:ind w:left="0" w:right="0" w:firstLine="0"/>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≤48</w:t>
            </w:r>
          </w:p>
        </w:tc>
        <w:tc>
          <w:tcPr>
            <w:tcW w:w="706" w:type="pct"/>
            <w:vAlign w:val="center"/>
          </w:tcPr>
          <w:p>
            <w:pPr>
              <w:widowControl w:val="0"/>
              <w:tabs>
                <w:tab w:val="left" w:pos="0"/>
              </w:tabs>
              <w:spacing w:before="0" w:after="0" w:afterAutospacing="0" w:line="240" w:lineRule="auto"/>
              <w:ind w:left="0" w:right="0" w:firstLine="0"/>
              <w:rPr>
                <w:rFonts w:hint="eastAsia" w:ascii="宋体" w:hAnsi="宋体" w:eastAsia="宋体" w:cs="宋体"/>
                <w:b w:val="0"/>
                <w:bCs/>
                <w:color w:val="auto"/>
                <w:sz w:val="18"/>
                <w:szCs w:val="18"/>
                <w:highlight w:val="none"/>
              </w:rPr>
            </w:pP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after="0" w:afterAutospacing="0" w:line="560" w:lineRule="exact"/>
        <w:ind w:left="0" w:right="0" w:firstLine="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18"/>
          <w:szCs w:val="18"/>
          <w:highlight w:val="none"/>
          <w:lang w:val="en-US" w:eastAsia="zh-CN" w:bidi="ar-SA"/>
        </w:rPr>
        <w:t>注：故障临时处理时间是指从开始处理至通过临时紧急处理后基本满足运营要求功能的处理时长。故障完全修复时间：从开始处理至设备设施完全恢复正常状态的处理时长。</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如需更换备件，备件供货的时间要求为：自</w:t>
      </w:r>
      <w:r>
        <w:rPr>
          <w:rFonts w:hint="eastAsia" w:ascii="宋体" w:hAnsi="宋体" w:cs="宋体"/>
          <w:color w:val="auto"/>
          <w:sz w:val="21"/>
          <w:szCs w:val="21"/>
          <w:highlight w:val="none"/>
          <w:lang w:val="en-US" w:eastAsia="zh-CN" w:bidi="ar-SA"/>
        </w:rPr>
        <w:t>比选</w:t>
      </w:r>
      <w:r>
        <w:rPr>
          <w:rFonts w:hint="eastAsia" w:ascii="宋体" w:hAnsi="宋体" w:eastAsia="宋体" w:cs="宋体"/>
          <w:color w:val="auto"/>
          <w:sz w:val="21"/>
          <w:szCs w:val="21"/>
          <w:highlight w:val="none"/>
          <w:lang w:val="en-US" w:eastAsia="zh-CN" w:bidi="ar-SA"/>
        </w:rPr>
        <w:t>人提出要求后的2个工作内完成供货。</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对于所发生的故障，比选申请人在处理后，必须及时充分进行取证分析，作出完整的故障分析，按照比选人的要求在故障发生后7个工作日内完成故障分析报告，加盖比选申请人公章后上交比选人。</w:t>
      </w:r>
      <w:bookmarkEnd w:id="2656"/>
      <w:bookmarkEnd w:id="2657"/>
      <w:bookmarkEnd w:id="2658"/>
      <w:bookmarkEnd w:id="2659"/>
      <w:bookmarkEnd w:id="2660"/>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设备的应急故障抢修原则上由比选人组织开展，原则上由比选人担任抢险指挥者，比选申请人在比选人的指挥下进行抢修作业，在比选人授权情况下，可由比选申请人项目负责人负责指挥现场故障抢修，比选申请人须遵循“先通后复”原则进行故障抢修；比选申请人接到比选人的故障抢修指令后，必须立即奔赴现场组织故障抢修，不得以任何借口逃避和拖延。比选申请人到达现场后应准确判断设备设施的实际情况，视情况采取合理可靠的手段尽量降低故障或事故的影响范围，相关维保人员立即进行故障抢修。故障完成抢修后应及时按相关流程报告和记录。</w:t>
      </w:r>
    </w:p>
    <w:p>
      <w:pPr>
        <w:widowControl/>
        <w:numPr>
          <w:ilvl w:val="1"/>
          <w:numId w:val="13"/>
        </w:numPr>
        <w:shd w:val="clear" w:color="auto" w:fill="FFFFFF"/>
        <w:spacing w:line="560" w:lineRule="exact"/>
        <w:ind w:left="-32767" w:firstLine="32767" w:firstLineChars="0"/>
        <w:jc w:val="left"/>
        <w:outlineLvl w:val="2"/>
        <w:rPr>
          <w:rFonts w:hint="eastAsia" w:ascii="Times New Roman" w:hAnsi="Times New Roman" w:eastAsia="宋体" w:cs="Times New Roman"/>
          <w:b/>
          <w:bCs/>
          <w:color w:val="auto"/>
          <w:sz w:val="24"/>
          <w:szCs w:val="24"/>
          <w:highlight w:val="none"/>
          <w:lang w:val="zh-CN" w:eastAsia="zh-CN" w:bidi="ar-SA"/>
        </w:rPr>
      </w:pPr>
      <w:bookmarkStart w:id="2661" w:name="_Toc14248721"/>
      <w:bookmarkStart w:id="2662" w:name="_Toc28235"/>
      <w:bookmarkStart w:id="2663" w:name="_Toc26008"/>
      <w:bookmarkStart w:id="2664" w:name="_Toc11697"/>
      <w:bookmarkStart w:id="2665" w:name="_Toc14254679"/>
      <w:bookmarkStart w:id="2666" w:name="_Toc16159"/>
      <w:bookmarkStart w:id="2667" w:name="_Toc5566"/>
      <w:bookmarkStart w:id="2668" w:name="_Toc20339"/>
      <w:bookmarkStart w:id="2669" w:name="_Toc23239"/>
      <w:bookmarkStart w:id="2670" w:name="_Toc7375"/>
      <w:bookmarkStart w:id="2671" w:name="_Toc534613587"/>
      <w:bookmarkStart w:id="2672" w:name="_Toc18456_WPSOffice_Level2"/>
      <w:bookmarkStart w:id="2673" w:name="_Toc13908629"/>
      <w:r>
        <w:rPr>
          <w:rFonts w:hint="eastAsia" w:ascii="Times New Roman" w:hAnsi="Times New Roman" w:eastAsia="宋体" w:cs="Times New Roman"/>
          <w:b/>
          <w:bCs/>
          <w:color w:val="auto"/>
          <w:sz w:val="24"/>
          <w:szCs w:val="24"/>
          <w:highlight w:val="none"/>
          <w:lang w:val="zh-CN" w:eastAsia="zh-CN" w:bidi="ar-SA"/>
        </w:rPr>
        <w:t>维保项目其他要求</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维保记录及报告</w:t>
      </w:r>
    </w:p>
    <w:p>
      <w:pPr>
        <w:keepNext w:val="0"/>
        <w:keepLines w:val="0"/>
        <w:pageBreakBefore w:val="0"/>
        <w:widowControl w:val="0"/>
        <w:tabs>
          <w:tab w:val="left" w:pos="0"/>
        </w:tabs>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比选申请人每月须按比选人要求提交叉车维保记录单，维保记录单由比选人人员签字确认。叉车维保记录单应包括维保内容、故障处理情况、更换备件记录和故障修复后的运行状态等信息。维保记录及报告模板以比选人最新要求为准。</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3"/>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例会</w:t>
      </w:r>
    </w:p>
    <w:p>
      <w:pPr>
        <w:keepNext w:val="0"/>
        <w:keepLines w:val="0"/>
        <w:pageBreakBefore w:val="0"/>
        <w:widowControl w:val="0"/>
        <w:tabs>
          <w:tab w:val="left" w:pos="0"/>
        </w:tabs>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委外合同期间结合比选人管理体制和相关要求，定期组织召开相关会议，例会要求包括但不限于下表7中列举的内容。</w:t>
      </w:r>
      <w:bookmarkStart w:id="2674" w:name="_Toc534613588"/>
      <w:bookmarkStart w:id="2675" w:name="_Toc534612251"/>
    </w:p>
    <w:p>
      <w:pPr>
        <w:widowControl w:val="0"/>
        <w:spacing w:before="0" w:after="0" w:afterAutospacing="0" w:line="240" w:lineRule="auto"/>
        <w:ind w:left="0" w:right="0" w:firstLine="0"/>
        <w:jc w:val="center"/>
        <w:rPr>
          <w:rFonts w:hint="eastAsia" w:ascii="Times New Roman" w:hAnsi="Times New Roman" w:eastAsia="宋体" w:cs="宋体"/>
          <w:b w:val="0"/>
          <w:bCs w:val="0"/>
          <w:color w:val="auto"/>
          <w:sz w:val="18"/>
          <w:szCs w:val="18"/>
          <w:highlight w:val="none"/>
        </w:rPr>
      </w:pPr>
      <w:bookmarkStart w:id="2676" w:name="_Toc12580_WPSOffice_Level2"/>
      <w:r>
        <w:rPr>
          <w:rFonts w:hint="eastAsia" w:ascii="Times New Roman" w:hAnsi="Times New Roman" w:eastAsia="宋体" w:cs="宋体"/>
          <w:b w:val="0"/>
          <w:bCs w:val="0"/>
          <w:color w:val="auto"/>
          <w:sz w:val="18"/>
          <w:szCs w:val="18"/>
          <w:highlight w:val="none"/>
        </w:rPr>
        <w:t>表</w:t>
      </w:r>
      <w:r>
        <w:rPr>
          <w:rFonts w:hint="eastAsia" w:ascii="Times New Roman" w:hAnsi="Times New Roman" w:eastAsia="宋体" w:cs="宋体"/>
          <w:b w:val="0"/>
          <w:bCs w:val="0"/>
          <w:color w:val="auto"/>
          <w:sz w:val="18"/>
          <w:szCs w:val="18"/>
          <w:highlight w:val="none"/>
          <w:lang w:val="en-US" w:eastAsia="zh-CN"/>
        </w:rPr>
        <w:t>7</w:t>
      </w:r>
      <w:r>
        <w:rPr>
          <w:rFonts w:hint="eastAsia" w:ascii="Times New Roman" w:hAnsi="Times New Roman" w:eastAsia="宋体" w:cs="宋体"/>
          <w:b w:val="0"/>
          <w:bCs w:val="0"/>
          <w:color w:val="auto"/>
          <w:sz w:val="18"/>
          <w:szCs w:val="18"/>
          <w:highlight w:val="none"/>
        </w:rPr>
        <w:t xml:space="preserve"> 例会要求</w:t>
      </w:r>
      <w:bookmarkEnd w:id="2674"/>
      <w:bookmarkEnd w:id="2675"/>
      <w:bookmarkEnd w:id="2676"/>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100"/>
        <w:gridCol w:w="4225"/>
        <w:gridCol w:w="598"/>
        <w:gridCol w:w="70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Align w:val="center"/>
          </w:tcPr>
          <w:p>
            <w:pPr>
              <w:widowControl w:val="0"/>
              <w:spacing w:before="0" w:after="0" w:afterAutospacing="0" w:line="240" w:lineRule="auto"/>
              <w:ind w:left="0" w:right="0" w:firstLine="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0" w:type="auto"/>
            <w:vAlign w:val="center"/>
          </w:tcPr>
          <w:p>
            <w:pPr>
              <w:widowControl w:val="0"/>
              <w:spacing w:before="0" w:after="0" w:afterAutospacing="0" w:line="240" w:lineRule="auto"/>
              <w:ind w:left="0" w:right="0" w:firstLine="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会议名称</w:t>
            </w:r>
          </w:p>
        </w:tc>
        <w:tc>
          <w:tcPr>
            <w:tcW w:w="0" w:type="auto"/>
            <w:vAlign w:val="center"/>
          </w:tcPr>
          <w:p>
            <w:pPr>
              <w:widowControl w:val="0"/>
              <w:spacing w:before="0" w:after="0" w:afterAutospacing="0" w:line="240" w:lineRule="auto"/>
              <w:ind w:left="0" w:right="0" w:firstLine="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会议议题</w:t>
            </w:r>
          </w:p>
        </w:tc>
        <w:tc>
          <w:tcPr>
            <w:tcW w:w="0" w:type="auto"/>
            <w:vAlign w:val="center"/>
          </w:tcPr>
          <w:p>
            <w:pPr>
              <w:widowControl w:val="0"/>
              <w:spacing w:before="0" w:after="0" w:afterAutospacing="0" w:line="240" w:lineRule="auto"/>
              <w:ind w:left="0" w:right="0" w:firstLine="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主持</w:t>
            </w:r>
          </w:p>
        </w:tc>
        <w:tc>
          <w:tcPr>
            <w:tcW w:w="0" w:type="auto"/>
            <w:vAlign w:val="center"/>
          </w:tcPr>
          <w:p>
            <w:pPr>
              <w:widowControl w:val="0"/>
              <w:spacing w:before="0" w:after="0" w:afterAutospacing="0" w:line="240" w:lineRule="auto"/>
              <w:ind w:left="0" w:right="0" w:firstLine="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会议频率</w:t>
            </w:r>
          </w:p>
        </w:tc>
        <w:tc>
          <w:tcPr>
            <w:tcW w:w="0" w:type="auto"/>
            <w:vAlign w:val="center"/>
          </w:tcPr>
          <w:p>
            <w:pPr>
              <w:widowControl w:val="0"/>
              <w:spacing w:before="0" w:after="0" w:afterAutospacing="0" w:line="240" w:lineRule="auto"/>
              <w:ind w:left="0" w:right="0" w:firstLine="0"/>
              <w:jc w:val="center"/>
              <w:rPr>
                <w:rFonts w:hint="default" w:ascii="宋体" w:hAnsi="宋体" w:eastAsia="宋体" w:cs="宋体"/>
                <w:b/>
                <w:color w:val="auto"/>
                <w:sz w:val="18"/>
                <w:szCs w:val="18"/>
                <w:highlight w:val="none"/>
                <w:lang w:val="en-US" w:eastAsia="zh-CN"/>
              </w:rPr>
            </w:pPr>
            <w:r>
              <w:rPr>
                <w:rFonts w:hint="eastAsia" w:ascii="宋体" w:hAnsi="宋体" w:eastAsia="宋体" w:cs="宋体"/>
                <w:b/>
                <w:color w:val="auto"/>
                <w:sz w:val="18"/>
                <w:szCs w:val="18"/>
                <w:highlight w:val="none"/>
                <w:lang w:val="en-US" w:eastAsia="zh-CN"/>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t>1</w:t>
            </w:r>
          </w:p>
        </w:tc>
        <w:tc>
          <w:tcPr>
            <w:tcW w:w="11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特种设备委外项目管理年度例会</w:t>
            </w:r>
          </w:p>
        </w:tc>
        <w:tc>
          <w:tcPr>
            <w:tcW w:w="4225" w:type="dxa"/>
            <w:vAlign w:val="center"/>
          </w:tcPr>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1.对本年度本项目在安全、生产、质量、履约等方面情况进行总结及点评，明确下一阶段的生产工作重点及要求；</w:t>
            </w:r>
          </w:p>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2.协调解决各单位提出的难点问题；</w:t>
            </w:r>
          </w:p>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3.进行项目管理经验交流与探讨等。</w:t>
            </w:r>
          </w:p>
        </w:tc>
        <w:tc>
          <w:tcPr>
            <w:tcW w:w="5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比选人</w:t>
            </w:r>
          </w:p>
        </w:tc>
        <w:tc>
          <w:tcPr>
            <w:tcW w:w="7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2次/年</w:t>
            </w:r>
          </w:p>
        </w:tc>
        <w:tc>
          <w:tcPr>
            <w:tcW w:w="1883"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代表</w:t>
            </w:r>
          </w:p>
          <w:p>
            <w:pPr>
              <w:widowControl w:val="0"/>
              <w:spacing w:before="0" w:after="0" w:afterAutospacing="0" w:line="240" w:lineRule="auto"/>
              <w:ind w:left="0" w:right="0" w:firstLine="0"/>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eastAsia="zh-CN"/>
              </w:rPr>
              <w:t>比选申请人</w:t>
            </w:r>
            <w:r>
              <w:rPr>
                <w:rFonts w:hint="eastAsia" w:ascii="宋体" w:hAnsi="宋体" w:eastAsia="宋体" w:cs="宋体"/>
                <w:bCs/>
                <w:color w:val="auto"/>
                <w:sz w:val="18"/>
                <w:szCs w:val="18"/>
                <w:highlight w:val="none"/>
              </w:rPr>
              <w:t>：项目经理</w:t>
            </w:r>
            <w:r>
              <w:rPr>
                <w:rFonts w:hint="eastAsia" w:ascii="宋体" w:hAnsi="宋体" w:eastAsia="宋体" w:cs="宋体"/>
                <w:bCs/>
                <w:color w:val="auto"/>
                <w:sz w:val="18"/>
                <w:szCs w:val="18"/>
                <w:highlight w:val="none"/>
                <w:lang w:val="en-US" w:eastAsia="zh-CN"/>
              </w:rPr>
              <w:t>或维保作业人员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2</w:t>
            </w:r>
          </w:p>
        </w:tc>
        <w:tc>
          <w:tcPr>
            <w:tcW w:w="11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车间日常管理例会</w:t>
            </w:r>
          </w:p>
        </w:tc>
        <w:tc>
          <w:tcPr>
            <w:tcW w:w="4225" w:type="dxa"/>
            <w:vAlign w:val="center"/>
          </w:tcPr>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1.对本周期内本项目在安全、生产、质量、履约等方面情况进行总结及点评；</w:t>
            </w:r>
          </w:p>
          <w:p>
            <w:pPr>
              <w:widowControl w:val="0"/>
              <w:spacing w:before="0" w:after="0" w:afterAutospacing="0" w:line="240" w:lineRule="auto"/>
              <w:ind w:left="0" w:right="0" w:firstLine="0"/>
              <w:jc w:val="left"/>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2.对委外单位履约情况的评估得分进行通报；</w:t>
            </w:r>
          </w:p>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3.提出下一阶段的工作要求；</w:t>
            </w:r>
          </w:p>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4.协调解决项目执行中出现的问题。</w:t>
            </w:r>
          </w:p>
        </w:tc>
        <w:tc>
          <w:tcPr>
            <w:tcW w:w="5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val="en-US" w:eastAsia="zh-CN"/>
              </w:rPr>
              <w:t>比选人</w:t>
            </w:r>
          </w:p>
        </w:tc>
        <w:tc>
          <w:tcPr>
            <w:tcW w:w="7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4次/年</w:t>
            </w:r>
          </w:p>
        </w:tc>
        <w:tc>
          <w:tcPr>
            <w:tcW w:w="1883"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代表</w:t>
            </w:r>
          </w:p>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eastAsia="zh-CN"/>
              </w:rPr>
              <w:t>比选申请人</w:t>
            </w:r>
            <w:r>
              <w:rPr>
                <w:rFonts w:hint="eastAsia" w:ascii="宋体" w:hAnsi="宋体" w:eastAsia="宋体" w:cs="宋体"/>
                <w:bCs/>
                <w:color w:val="auto"/>
                <w:sz w:val="18"/>
                <w:szCs w:val="18"/>
                <w:highlight w:val="none"/>
              </w:rPr>
              <w:t>：项目经理</w:t>
            </w:r>
            <w:r>
              <w:rPr>
                <w:rFonts w:hint="eastAsia" w:ascii="宋体" w:hAnsi="宋体" w:eastAsia="宋体" w:cs="宋体"/>
                <w:bCs/>
                <w:color w:val="auto"/>
                <w:sz w:val="18"/>
                <w:szCs w:val="18"/>
                <w:highlight w:val="none"/>
                <w:lang w:val="en-US" w:eastAsia="zh-CN"/>
              </w:rPr>
              <w:t>或维保作业人员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3</w:t>
            </w:r>
          </w:p>
        </w:tc>
        <w:tc>
          <w:tcPr>
            <w:tcW w:w="11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车间相关班组早、晚班会</w:t>
            </w:r>
          </w:p>
        </w:tc>
        <w:tc>
          <w:tcPr>
            <w:tcW w:w="4225" w:type="dxa"/>
            <w:vAlign w:val="center"/>
          </w:tcPr>
          <w:p>
            <w:pPr>
              <w:widowControl w:val="0"/>
              <w:spacing w:before="0" w:after="0" w:afterAutospacing="0" w:line="240" w:lineRule="auto"/>
              <w:ind w:left="0" w:right="0" w:firstLine="0"/>
              <w:jc w:val="left"/>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1.当天的作业任务；</w:t>
            </w:r>
          </w:p>
          <w:p>
            <w:pPr>
              <w:widowControl w:val="0"/>
              <w:jc w:val="both"/>
              <w:rPr>
                <w:rFonts w:hint="eastAsia" w:ascii="宋体" w:hAnsi="宋体" w:eastAsia="宋体" w:cs="宋体"/>
                <w:bCs/>
                <w:color w:val="auto"/>
                <w:sz w:val="18"/>
                <w:szCs w:val="18"/>
                <w:highlight w:val="none"/>
                <w:lang w:val="en-US" w:eastAsia="zh-CN" w:bidi="ar-SA"/>
              </w:rPr>
            </w:pPr>
            <w:r>
              <w:rPr>
                <w:rFonts w:hint="eastAsia" w:ascii="宋体" w:hAnsi="宋体" w:eastAsia="宋体" w:cs="宋体"/>
                <w:bCs/>
                <w:color w:val="auto"/>
                <w:sz w:val="18"/>
                <w:szCs w:val="18"/>
                <w:highlight w:val="none"/>
                <w:lang w:val="en-US" w:eastAsia="zh-CN" w:bidi="ar-SA"/>
              </w:rPr>
              <w:t>2.作业有关的安全注意事项；</w:t>
            </w:r>
          </w:p>
          <w:p>
            <w:pPr>
              <w:widowControl w:val="0"/>
              <w:jc w:val="both"/>
              <w:rPr>
                <w:rFonts w:hint="eastAsia" w:ascii="宋体" w:hAnsi="宋体" w:eastAsia="宋体" w:cs="宋体"/>
                <w:bCs/>
                <w:color w:val="auto"/>
                <w:sz w:val="18"/>
                <w:szCs w:val="18"/>
                <w:highlight w:val="none"/>
                <w:lang w:val="en-US" w:eastAsia="zh-CN" w:bidi="ar-SA"/>
              </w:rPr>
            </w:pPr>
            <w:r>
              <w:rPr>
                <w:rFonts w:hint="eastAsia" w:ascii="宋体" w:hAnsi="宋体" w:eastAsia="宋体" w:cs="宋体"/>
                <w:bCs/>
                <w:color w:val="auto"/>
                <w:sz w:val="18"/>
                <w:szCs w:val="18"/>
                <w:highlight w:val="none"/>
                <w:lang w:val="en-US" w:eastAsia="zh-CN" w:bidi="ar-SA"/>
              </w:rPr>
              <w:t>3.作业任务完成情况等</w:t>
            </w:r>
          </w:p>
        </w:tc>
        <w:tc>
          <w:tcPr>
            <w:tcW w:w="598"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val="en-US" w:eastAsia="zh-CN"/>
              </w:rPr>
              <w:t>比选人</w:t>
            </w:r>
          </w:p>
        </w:tc>
        <w:tc>
          <w:tcPr>
            <w:tcW w:w="700"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1次/工作日</w:t>
            </w:r>
          </w:p>
        </w:tc>
        <w:tc>
          <w:tcPr>
            <w:tcW w:w="1883" w:type="dxa"/>
            <w:vAlign w:val="center"/>
          </w:tcPr>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eastAsia="zh-CN"/>
              </w:rPr>
              <w:t>比选人</w:t>
            </w:r>
            <w:r>
              <w:rPr>
                <w:rFonts w:hint="eastAsia" w:ascii="宋体" w:hAnsi="宋体" w:eastAsia="宋体" w:cs="宋体"/>
                <w:bCs/>
                <w:color w:val="auto"/>
                <w:sz w:val="18"/>
                <w:szCs w:val="18"/>
                <w:highlight w:val="none"/>
              </w:rPr>
              <w:t>代表</w:t>
            </w:r>
          </w:p>
          <w:p>
            <w:pPr>
              <w:widowControl w:val="0"/>
              <w:spacing w:before="0" w:after="0" w:afterAutospacing="0" w:line="240" w:lineRule="auto"/>
              <w:ind w:left="0" w:right="0" w:firstLine="0"/>
              <w:jc w:val="center"/>
              <w:rPr>
                <w:rFonts w:hint="eastAsia" w:ascii="宋体" w:hAnsi="宋体" w:eastAsia="宋体" w:cs="宋体"/>
                <w:bCs/>
                <w:color w:val="auto"/>
                <w:sz w:val="18"/>
                <w:szCs w:val="18"/>
                <w:highlight w:val="none"/>
                <w:lang w:eastAsia="zh-CN"/>
              </w:rPr>
            </w:pPr>
            <w:r>
              <w:rPr>
                <w:rFonts w:hint="eastAsia" w:ascii="宋体" w:hAnsi="宋体" w:eastAsia="宋体" w:cs="宋体"/>
                <w:bCs/>
                <w:color w:val="auto"/>
                <w:sz w:val="18"/>
                <w:szCs w:val="18"/>
                <w:highlight w:val="none"/>
                <w:lang w:eastAsia="zh-CN"/>
              </w:rPr>
              <w:t>比选申请人</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val="en-US" w:eastAsia="zh-CN"/>
              </w:rPr>
              <w:t>维保作业人员</w:t>
            </w:r>
          </w:p>
        </w:tc>
      </w:tr>
    </w:tbl>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委外期间涉及的所有维护记录、报告等必须编号归档。比选人每半年、每季度定期召开相关会议，也可根据双方需要随时召开；由比选人代表和比选申请人项目组人员参加，由比选申请人汇报当季度的维保情况等，比选人依据当季度的维保情况对比选申请人提出要求。</w:t>
      </w:r>
    </w:p>
    <w:p>
      <w:pPr>
        <w:keepNext w:val="0"/>
        <w:keepLines w:val="0"/>
        <w:pageBreakBefore w:val="0"/>
        <w:widowControl/>
        <w:numPr>
          <w:ilvl w:val="2"/>
          <w:numId w:val="13"/>
        </w:numPr>
        <w:shd w:val="clear" w:color="auto" w:fill="FFFFFF"/>
        <w:kinsoku/>
        <w:wordWrap/>
        <w:overflowPunct/>
        <w:topLinePunct w:val="0"/>
        <w:autoSpaceDE/>
        <w:autoSpaceDN/>
        <w:bidi w:val="0"/>
        <w:adjustRightInd/>
        <w:snapToGrid/>
        <w:spacing w:line="560" w:lineRule="exact"/>
        <w:ind w:left="0" w:firstLine="420" w:firstLineChars="200"/>
        <w:jc w:val="left"/>
        <w:textAlignment w:val="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凡涉及下列内容，除在会议上反映外，比选人、比选申请人必须以书面形式沟通。</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涉及重大技术方案、材料使用的；</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进入委外维保期间，</w:t>
      </w:r>
      <w:r>
        <w:rPr>
          <w:rFonts w:hint="eastAsia" w:ascii="宋体" w:hAnsi="宋体" w:eastAsia="宋体" w:cs="宋体"/>
          <w:color w:val="auto"/>
          <w:sz w:val="21"/>
          <w:szCs w:val="21"/>
          <w:highlight w:val="none"/>
          <w:lang w:val="en-US" w:eastAsia="zh-CN"/>
        </w:rPr>
        <w:t>比选人</w:t>
      </w:r>
      <w:r>
        <w:rPr>
          <w:rFonts w:hint="eastAsia" w:ascii="宋体" w:hAnsi="宋体" w:eastAsia="宋体" w:cs="宋体"/>
          <w:color w:val="auto"/>
          <w:sz w:val="21"/>
          <w:szCs w:val="21"/>
          <w:highlight w:val="none"/>
        </w:rPr>
        <w:t>发布</w:t>
      </w:r>
      <w:r>
        <w:rPr>
          <w:rFonts w:hint="eastAsia" w:ascii="宋体" w:hAnsi="宋体" w:eastAsia="宋体" w:cs="宋体"/>
          <w:color w:val="auto"/>
          <w:sz w:val="21"/>
          <w:szCs w:val="21"/>
          <w:highlight w:val="none"/>
          <w:lang w:val="en-US" w:eastAsia="zh-CN"/>
        </w:rPr>
        <w:t>或修订的</w:t>
      </w:r>
      <w:r>
        <w:rPr>
          <w:rFonts w:hint="eastAsia" w:ascii="宋体" w:hAnsi="宋体" w:eastAsia="宋体" w:cs="宋体"/>
          <w:color w:val="auto"/>
          <w:sz w:val="21"/>
          <w:szCs w:val="21"/>
          <w:highlight w:val="none"/>
        </w:rPr>
        <w:t>各种</w:t>
      </w:r>
      <w:r>
        <w:rPr>
          <w:rFonts w:hint="eastAsia" w:ascii="宋体" w:hAnsi="宋体" w:eastAsia="宋体" w:cs="宋体"/>
          <w:color w:val="auto"/>
          <w:sz w:val="21"/>
          <w:szCs w:val="21"/>
          <w:highlight w:val="none"/>
          <w:lang w:val="en-US" w:eastAsia="zh-CN"/>
        </w:rPr>
        <w:t>文本</w:t>
      </w:r>
      <w:r>
        <w:rPr>
          <w:rFonts w:hint="eastAsia" w:ascii="宋体" w:hAnsi="宋体" w:eastAsia="宋体" w:cs="宋体"/>
          <w:color w:val="auto"/>
          <w:sz w:val="21"/>
          <w:szCs w:val="21"/>
          <w:highlight w:val="none"/>
        </w:rPr>
        <w:t>规章制度，影响到</w:t>
      </w:r>
      <w:r>
        <w:rPr>
          <w:rFonts w:hint="eastAsia" w:ascii="宋体" w:hAnsi="宋体" w:eastAsia="宋体" w:cs="宋体"/>
          <w:color w:val="auto"/>
          <w:sz w:val="21"/>
          <w:szCs w:val="21"/>
          <w:highlight w:val="none"/>
          <w:lang w:eastAsia="zh-CN"/>
        </w:rPr>
        <w:t>比选申请人</w:t>
      </w:r>
      <w:r>
        <w:rPr>
          <w:rFonts w:hint="eastAsia" w:ascii="宋体" w:hAnsi="宋体" w:eastAsia="宋体" w:cs="宋体"/>
          <w:color w:val="auto"/>
          <w:sz w:val="21"/>
          <w:szCs w:val="21"/>
          <w:highlight w:val="none"/>
        </w:rPr>
        <w:t>作业或利益的事项；</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比选申请人</w:t>
      </w:r>
      <w:r>
        <w:rPr>
          <w:rFonts w:hint="eastAsia" w:ascii="宋体" w:hAnsi="宋体" w:eastAsia="宋体" w:cs="宋体"/>
          <w:color w:val="auto"/>
          <w:sz w:val="21"/>
          <w:szCs w:val="21"/>
          <w:highlight w:val="none"/>
        </w:rPr>
        <w:t>汇报并提交</w:t>
      </w:r>
      <w:r>
        <w:rPr>
          <w:rFonts w:hint="eastAsia" w:ascii="宋体" w:hAnsi="宋体" w:eastAsia="宋体" w:cs="宋体"/>
          <w:color w:val="auto"/>
          <w:sz w:val="21"/>
          <w:szCs w:val="21"/>
          <w:highlight w:val="none"/>
          <w:lang w:val="en-US" w:eastAsia="zh-CN"/>
        </w:rPr>
        <w:t>维保工作</w:t>
      </w:r>
      <w:r>
        <w:rPr>
          <w:rFonts w:hint="eastAsia" w:ascii="宋体" w:hAnsi="宋体" w:eastAsia="宋体" w:cs="宋体"/>
          <w:color w:val="auto"/>
          <w:sz w:val="21"/>
          <w:szCs w:val="21"/>
          <w:highlight w:val="none"/>
        </w:rPr>
        <w:t>总结（包括故障处理单等）</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讨论、解决维保生产遇到</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困难、问题等；</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商讨维保技术、管理方案；</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对当季度出现的违约事件进行分析，落实违约责任及采取的措施,如直接扣进度款等；</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560" w:lineRule="exact"/>
        <w:ind w:left="0" w:right="0" w:firstLine="420" w:firstLineChars="200"/>
        <w:textAlignment w:val="auto"/>
        <w:rPr>
          <w:rFonts w:ascii="Times New Roman" w:hAnsi="Times New Roman" w:eastAsia="宋体" w:cs="宋体"/>
          <w:color w:val="auto"/>
          <w:sz w:val="21"/>
          <w:szCs w:val="21"/>
          <w:highlight w:val="none"/>
        </w:rPr>
      </w:pPr>
      <w:r>
        <w:rPr>
          <w:rFonts w:hint="eastAsia" w:ascii="宋体" w:hAnsi="宋体" w:eastAsia="宋体" w:cs="宋体"/>
          <w:color w:val="auto"/>
          <w:sz w:val="21"/>
          <w:szCs w:val="21"/>
          <w:highlight w:val="none"/>
        </w:rPr>
        <w:t>其它需要以书面形式的事项。</w:t>
      </w:r>
    </w:p>
    <w:bookmarkEnd w:id="2579"/>
    <w:bookmarkEnd w:id="2580"/>
    <w:bookmarkEnd w:id="2581"/>
    <w:bookmarkEnd w:id="2582"/>
    <w:bookmarkEnd w:id="2583"/>
    <w:bookmarkEnd w:id="2584"/>
    <w:bookmarkEnd w:id="2585"/>
    <w:bookmarkEnd w:id="2586"/>
    <w:bookmarkEnd w:id="2587"/>
    <w:bookmarkEnd w:id="2608"/>
    <w:bookmarkEnd w:id="2609"/>
    <w:bookmarkEnd w:id="2610"/>
    <w:bookmarkEnd w:id="2611"/>
    <w:bookmarkEnd w:id="2612"/>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677" w:name="_Toc10604"/>
      <w:bookmarkStart w:id="2678" w:name="_Toc14033"/>
      <w:bookmarkStart w:id="2679" w:name="_Toc5936"/>
      <w:bookmarkStart w:id="2680" w:name="_Toc22457"/>
      <w:bookmarkStart w:id="2681" w:name="_Toc19451"/>
      <w:bookmarkStart w:id="2682" w:name="_Toc6349"/>
      <w:bookmarkStart w:id="2683" w:name="_Toc19508"/>
      <w:bookmarkStart w:id="2684" w:name="_Toc5420"/>
      <w:bookmarkStart w:id="2685" w:name="_Toc18824"/>
      <w:bookmarkStart w:id="2686" w:name="_Toc4891"/>
      <w:bookmarkStart w:id="2687" w:name="_Toc2848"/>
      <w:bookmarkStart w:id="2688" w:name="_Toc22181_WPSOffice_Level1"/>
      <w:bookmarkStart w:id="2689" w:name="_Toc13900207"/>
      <w:bookmarkStart w:id="2690" w:name="_Toc1611"/>
      <w:bookmarkStart w:id="2691" w:name="_Toc13908616"/>
      <w:bookmarkStart w:id="2692" w:name="_Toc7456"/>
      <w:bookmarkStart w:id="2693" w:name="_Toc22777"/>
      <w:bookmarkStart w:id="2694" w:name="_Toc14248708"/>
      <w:bookmarkStart w:id="2695" w:name="_Toc534613576"/>
      <w:bookmarkStart w:id="2696" w:name="_Toc14254666"/>
      <w:bookmarkStart w:id="2697" w:name="_Toc17088"/>
      <w:bookmarkStart w:id="2698" w:name="_Toc15177"/>
      <w:bookmarkStart w:id="2699" w:name="_Toc21361"/>
      <w:bookmarkStart w:id="2700" w:name="_Toc29637"/>
      <w:r>
        <w:rPr>
          <w:rFonts w:hint="eastAsia" w:ascii="Times New Roman" w:hAnsi="Times New Roman" w:eastAsia="黑体" w:cs="黑体"/>
          <w:b/>
          <w:bCs/>
          <w:color w:val="auto"/>
          <w:sz w:val="28"/>
          <w:szCs w:val="28"/>
          <w:highlight w:val="none"/>
          <w:lang w:val="en-US" w:eastAsia="zh-CN" w:bidi="ar-SA"/>
        </w:rPr>
        <w:t>考核</w:t>
      </w:r>
      <w:bookmarkEnd w:id="2677"/>
      <w:bookmarkEnd w:id="2678"/>
      <w:bookmarkEnd w:id="2679"/>
      <w:bookmarkEnd w:id="2680"/>
      <w:bookmarkEnd w:id="2681"/>
      <w:bookmarkEnd w:id="2682"/>
      <w:bookmarkEnd w:id="2683"/>
      <w:bookmarkEnd w:id="2684"/>
      <w:bookmarkEnd w:id="2685"/>
      <w:bookmarkEnd w:id="2686"/>
      <w:bookmarkEnd w:id="2687"/>
      <w:bookmarkEnd w:id="2688"/>
    </w:p>
    <w:bookmarkEnd w:id="2689"/>
    <w:bookmarkEnd w:id="2690"/>
    <w:p>
      <w:pPr>
        <w:numPr>
          <w:ilvl w:val="0"/>
          <w:numId w:val="0"/>
        </w:numPr>
        <w:shd w:val="clear"/>
        <w:tabs>
          <w:tab w:val="left" w:pos="840"/>
          <w:tab w:val="left" w:pos="1843"/>
        </w:tabs>
        <w:spacing w:before="0" w:after="0" w:afterAutospacing="0"/>
        <w:ind w:leftChars="200" w:right="0" w:rightChars="0"/>
        <w:outlineLvl w:val="2"/>
        <w:rPr>
          <w:rFonts w:hint="default" w:ascii="Times New Roman" w:hAnsi="Times New Roman" w:eastAsia="宋体" w:cs="宋体"/>
          <w:color w:val="auto"/>
          <w:sz w:val="21"/>
          <w:szCs w:val="21"/>
          <w:highlight w:val="none"/>
          <w:lang w:val="en-US" w:eastAsia="zh-CN" w:bidi="ar-SA"/>
        </w:rPr>
      </w:pPr>
      <w:bookmarkStart w:id="2701" w:name="_Toc9252"/>
      <w:bookmarkStart w:id="2702" w:name="_Toc24119"/>
      <w:bookmarkStart w:id="2703" w:name="_Toc18478"/>
      <w:bookmarkStart w:id="2704" w:name="_Toc9700"/>
      <w:bookmarkStart w:id="2705" w:name="_Toc17562"/>
      <w:bookmarkStart w:id="2706" w:name="_Toc32415"/>
      <w:bookmarkStart w:id="2707" w:name="_Toc12530"/>
      <w:bookmarkStart w:id="2708" w:name="_Toc14257660"/>
      <w:bookmarkStart w:id="2709" w:name="_Toc14261383"/>
      <w:bookmarkStart w:id="2710" w:name="_Toc6585069"/>
      <w:bookmarkStart w:id="2711" w:name="_Toc15769_WPSOffice_Level1"/>
      <w:bookmarkStart w:id="2712" w:name="_Toc31633_WPSOffice_Level1"/>
      <w:bookmarkStart w:id="2713" w:name="_Toc14018233"/>
      <w:bookmarkStart w:id="2714" w:name="_Toc534613592"/>
      <w:bookmarkStart w:id="2715" w:name="_Toc1872_WPSOffice_Level1"/>
      <w:bookmarkStart w:id="2716" w:name="_Toc2672084"/>
      <w:r>
        <w:rPr>
          <w:rFonts w:hint="eastAsia" w:ascii="Times New Roman" w:hAnsi="Times New Roman" w:eastAsia="宋体" w:cs="宋体"/>
          <w:color w:val="auto"/>
          <w:sz w:val="21"/>
          <w:szCs w:val="21"/>
          <w:highlight w:val="none"/>
          <w:lang w:val="en-US" w:eastAsia="zh-CN" w:bidi="ar-SA"/>
        </w:rPr>
        <w:t>详见第三章合同条款及格式12.违约责任</w:t>
      </w:r>
      <w:bookmarkEnd w:id="2701"/>
      <w:bookmarkEnd w:id="2702"/>
      <w:bookmarkEnd w:id="2703"/>
      <w:bookmarkEnd w:id="2704"/>
      <w:bookmarkEnd w:id="2705"/>
      <w:bookmarkEnd w:id="2706"/>
      <w:bookmarkEnd w:id="2707"/>
    </w:p>
    <w:bookmarkEnd w:id="2708"/>
    <w:bookmarkEnd w:id="2709"/>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717" w:name="_Toc22201"/>
      <w:bookmarkStart w:id="2718" w:name="_Toc15963"/>
      <w:bookmarkStart w:id="2719" w:name="_Toc164"/>
      <w:bookmarkStart w:id="2720" w:name="_Toc18827"/>
      <w:bookmarkStart w:id="2721" w:name="_Toc29445"/>
      <w:bookmarkStart w:id="2722" w:name="_Toc29293_WPSOffice_Level1"/>
      <w:bookmarkStart w:id="2723" w:name="_Toc28509"/>
      <w:bookmarkStart w:id="2724" w:name="_Toc8423"/>
      <w:bookmarkStart w:id="2725" w:name="_Toc12211"/>
      <w:bookmarkStart w:id="2726" w:name="_Toc21802"/>
      <w:bookmarkStart w:id="2727" w:name="_Toc12449"/>
      <w:r>
        <w:rPr>
          <w:rFonts w:hint="eastAsia" w:ascii="Times New Roman" w:hAnsi="Times New Roman" w:eastAsia="黑体" w:cs="黑体"/>
          <w:b/>
          <w:bCs/>
          <w:color w:val="auto"/>
          <w:sz w:val="28"/>
          <w:szCs w:val="28"/>
          <w:highlight w:val="none"/>
          <w:lang w:val="en-US" w:eastAsia="zh-CN" w:bidi="ar-SA"/>
        </w:rPr>
        <w:t>验收</w:t>
      </w:r>
      <w:bookmarkEnd w:id="2717"/>
      <w:bookmarkEnd w:id="2718"/>
      <w:bookmarkEnd w:id="2719"/>
      <w:bookmarkEnd w:id="2720"/>
      <w:bookmarkEnd w:id="2721"/>
      <w:bookmarkEnd w:id="2722"/>
      <w:bookmarkEnd w:id="2723"/>
      <w:bookmarkEnd w:id="2724"/>
      <w:bookmarkEnd w:id="2725"/>
      <w:bookmarkEnd w:id="2726"/>
      <w:bookmarkEnd w:id="2727"/>
    </w:p>
    <w:bookmarkEnd w:id="2691"/>
    <w:bookmarkEnd w:id="2692"/>
    <w:bookmarkEnd w:id="2693"/>
    <w:bookmarkEnd w:id="2694"/>
    <w:bookmarkEnd w:id="2695"/>
    <w:bookmarkEnd w:id="2696"/>
    <w:bookmarkEnd w:id="2697"/>
    <w:bookmarkEnd w:id="2698"/>
    <w:bookmarkEnd w:id="2699"/>
    <w:bookmarkEnd w:id="2700"/>
    <w:bookmarkEnd w:id="2710"/>
    <w:bookmarkEnd w:id="2711"/>
    <w:bookmarkEnd w:id="2712"/>
    <w:bookmarkEnd w:id="2713"/>
    <w:bookmarkEnd w:id="2714"/>
    <w:bookmarkEnd w:id="2715"/>
    <w:bookmarkEnd w:id="2716"/>
    <w:p>
      <w:pPr>
        <w:numPr>
          <w:ilvl w:val="0"/>
          <w:numId w:val="0"/>
        </w:numPr>
        <w:shd w:val="clear"/>
        <w:tabs>
          <w:tab w:val="left" w:pos="840"/>
          <w:tab w:val="left" w:pos="1843"/>
        </w:tabs>
        <w:spacing w:before="0" w:after="0" w:afterAutospacing="0"/>
        <w:ind w:leftChars="200" w:right="0" w:rightChars="0"/>
        <w:outlineLvl w:val="2"/>
        <w:rPr>
          <w:rFonts w:hint="eastAsia" w:ascii="Times New Roman" w:hAnsi="Times New Roman" w:eastAsia="宋体" w:cs="Times New Roman"/>
          <w:b/>
          <w:bCs/>
          <w:color w:val="auto"/>
          <w:sz w:val="24"/>
          <w:szCs w:val="24"/>
          <w:highlight w:val="none"/>
          <w:lang w:val="zh-CN" w:eastAsia="zh-CN" w:bidi="ar-SA"/>
        </w:rPr>
      </w:pPr>
      <w:bookmarkStart w:id="2728" w:name="_Toc11027"/>
      <w:bookmarkStart w:id="2729" w:name="_Toc23668"/>
      <w:bookmarkStart w:id="2730" w:name="_Toc21359"/>
      <w:bookmarkStart w:id="2731" w:name="_Toc3076"/>
      <w:bookmarkStart w:id="2732" w:name="_Toc19152"/>
      <w:bookmarkStart w:id="2733" w:name="_Toc11830"/>
      <w:bookmarkStart w:id="2734" w:name="_Toc8003"/>
      <w:bookmarkStart w:id="2735" w:name="_Toc7185"/>
      <w:bookmarkStart w:id="2736" w:name="_Toc13969"/>
      <w:bookmarkStart w:id="2737" w:name="_Toc23337"/>
      <w:bookmarkStart w:id="2738" w:name="_Toc28417"/>
      <w:bookmarkStart w:id="2739" w:name="_Toc534613582"/>
      <w:r>
        <w:rPr>
          <w:rFonts w:hint="eastAsia" w:ascii="Times New Roman" w:hAnsi="Times New Roman" w:eastAsia="宋体" w:cs="宋体"/>
          <w:color w:val="auto"/>
          <w:sz w:val="21"/>
          <w:szCs w:val="21"/>
          <w:highlight w:val="none"/>
          <w:lang w:val="en-US" w:eastAsia="zh-CN" w:bidi="ar-SA"/>
        </w:rPr>
        <w:t>详见第三章合同条款及格式13.验收</w:t>
      </w:r>
      <w:bookmarkEnd w:id="2728"/>
      <w:bookmarkEnd w:id="2729"/>
      <w:bookmarkEnd w:id="2730"/>
      <w:bookmarkEnd w:id="2731"/>
      <w:bookmarkEnd w:id="2732"/>
      <w:bookmarkEnd w:id="2733"/>
      <w:bookmarkEnd w:id="2734"/>
    </w:p>
    <w:bookmarkEnd w:id="2735"/>
    <w:bookmarkEnd w:id="2736"/>
    <w:p>
      <w:pPr>
        <w:widowControl/>
        <w:numPr>
          <w:ilvl w:val="0"/>
          <w:numId w:val="13"/>
        </w:numPr>
        <w:shd w:val="clear" w:color="auto" w:fill="FFFFFF"/>
        <w:spacing w:before="166" w:beforeLines="50" w:after="166" w:afterLines="50" w:line="560" w:lineRule="exact"/>
        <w:ind w:left="0" w:firstLine="0" w:firstLineChars="0"/>
        <w:jc w:val="left"/>
        <w:outlineLvl w:val="1"/>
        <w:rPr>
          <w:rFonts w:hint="eastAsia" w:ascii="Times New Roman" w:hAnsi="Times New Roman" w:eastAsia="黑体" w:cs="黑体"/>
          <w:b/>
          <w:bCs/>
          <w:color w:val="auto"/>
          <w:sz w:val="28"/>
          <w:szCs w:val="28"/>
          <w:highlight w:val="none"/>
          <w:lang w:val="en-US" w:eastAsia="zh-CN" w:bidi="ar-SA"/>
        </w:rPr>
      </w:pPr>
      <w:bookmarkStart w:id="2740" w:name="_Toc31832"/>
      <w:bookmarkStart w:id="2741" w:name="_Toc27981"/>
      <w:bookmarkStart w:id="2742" w:name="_Toc18822"/>
      <w:bookmarkStart w:id="2743" w:name="_Toc8998"/>
      <w:bookmarkStart w:id="2744" w:name="_Toc3215"/>
      <w:bookmarkStart w:id="2745" w:name="_Toc19095"/>
      <w:bookmarkStart w:id="2746" w:name="_Toc5695"/>
      <w:r>
        <w:rPr>
          <w:rFonts w:hint="eastAsia" w:ascii="Times New Roman" w:hAnsi="Times New Roman" w:eastAsia="黑体" w:cs="黑体"/>
          <w:b/>
          <w:bCs/>
          <w:color w:val="auto"/>
          <w:sz w:val="28"/>
          <w:szCs w:val="28"/>
          <w:highlight w:val="none"/>
          <w:lang w:val="en-US" w:eastAsia="zh-CN" w:bidi="ar-SA"/>
        </w:rPr>
        <w:t>附件</w:t>
      </w:r>
      <w:bookmarkEnd w:id="2737"/>
      <w:bookmarkEnd w:id="2738"/>
      <w:bookmarkEnd w:id="2740"/>
      <w:bookmarkEnd w:id="2741"/>
      <w:bookmarkEnd w:id="2742"/>
      <w:bookmarkEnd w:id="2743"/>
      <w:bookmarkEnd w:id="2744"/>
      <w:bookmarkEnd w:id="2745"/>
      <w:bookmarkEnd w:id="2746"/>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auto"/>
        <w:outlineLvl w:val="0"/>
        <w:rPr>
          <w:rFonts w:ascii="Times New Roman" w:hAnsi="Times New Roman" w:eastAsia="宋体" w:cs="宋体"/>
          <w:color w:val="auto"/>
          <w:sz w:val="21"/>
          <w:szCs w:val="21"/>
          <w:highlight w:val="none"/>
          <w:lang w:val="en-US" w:eastAsia="zh-CN" w:bidi="ar-SA"/>
        </w:rPr>
      </w:pPr>
      <w:bookmarkStart w:id="2747" w:name="_Toc16380"/>
      <w:bookmarkStart w:id="2748" w:name="_Toc24694"/>
      <w:bookmarkStart w:id="2749" w:name="_Toc17653"/>
      <w:bookmarkStart w:id="2750" w:name="_Toc11990"/>
      <w:bookmarkStart w:id="2751" w:name="_Toc13485"/>
      <w:bookmarkStart w:id="2752" w:name="_Toc3179"/>
      <w:bookmarkStart w:id="2753" w:name="_Toc4844"/>
      <w:bookmarkStart w:id="2754" w:name="_Toc15278"/>
      <w:bookmarkStart w:id="2755" w:name="_Toc25292"/>
      <w:bookmarkStart w:id="2756" w:name="_Toc27652"/>
      <w:bookmarkStart w:id="2757" w:name="_Toc31566"/>
      <w:r>
        <w:rPr>
          <w:rFonts w:hint="eastAsia" w:ascii="Times New Roman" w:hAnsi="Times New Roman" w:eastAsia="宋体" w:cs="宋体"/>
          <w:color w:val="auto"/>
          <w:sz w:val="21"/>
          <w:szCs w:val="21"/>
          <w:highlight w:val="none"/>
          <w:lang w:val="en-US" w:eastAsia="zh-CN" w:bidi="ar-SA"/>
        </w:rPr>
        <w:t>附件1：</w:t>
      </w:r>
      <w:r>
        <w:rPr>
          <w:rFonts w:hint="eastAsia" w:ascii="Times New Roman" w:hAnsi="Times New Roman" w:eastAsia="宋体" w:cs="宋体"/>
          <w:bCs/>
          <w:snapToGrid w:val="0"/>
          <w:color w:val="auto"/>
          <w:sz w:val="21"/>
          <w:szCs w:val="21"/>
          <w:highlight w:val="none"/>
          <w:lang w:val="en-US" w:eastAsia="zh-CN" w:bidi="ar-SA"/>
        </w:rPr>
        <w:t>南宁轨道交通1-5号线叉车委外维保项目设备清单</w:t>
      </w:r>
      <w:bookmarkEnd w:id="2747"/>
      <w:bookmarkEnd w:id="2748"/>
      <w:r>
        <w:rPr>
          <w:rFonts w:hint="eastAsia" w:ascii="Times New Roman" w:hAnsi="Times New Roman" w:eastAsia="宋体" w:cs="宋体"/>
          <w:bCs/>
          <w:snapToGrid w:val="0"/>
          <w:color w:val="auto"/>
          <w:sz w:val="21"/>
          <w:szCs w:val="21"/>
          <w:highlight w:val="none"/>
          <w:lang w:val="en-US" w:eastAsia="zh-CN" w:bidi="ar-SA"/>
        </w:rPr>
        <w:t>表</w:t>
      </w:r>
      <w:bookmarkEnd w:id="2749"/>
      <w:bookmarkEnd w:id="2750"/>
      <w:bookmarkEnd w:id="2751"/>
      <w:bookmarkEnd w:id="2752"/>
      <w:bookmarkEnd w:id="2753"/>
      <w:bookmarkEnd w:id="2754"/>
      <w:bookmarkEnd w:id="2755"/>
      <w:bookmarkEnd w:id="2756"/>
      <w:bookmarkEnd w:id="2757"/>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auto"/>
        <w:rPr>
          <w:rFonts w:ascii="Times New Roman" w:hAnsi="Times New Roman" w:eastAsia="宋体" w:cs="宋体"/>
          <w:color w:val="auto"/>
          <w:sz w:val="21"/>
          <w:szCs w:val="21"/>
          <w:highlight w:val="none"/>
          <w:lang w:val="en-US" w:eastAsia="zh-CN" w:bidi="ar-SA"/>
        </w:rPr>
      </w:pPr>
      <w:bookmarkStart w:id="2758" w:name="_Toc25016"/>
      <w:bookmarkStart w:id="2759" w:name="_Toc25507"/>
      <w:r>
        <w:rPr>
          <w:rFonts w:hint="eastAsia" w:ascii="Times New Roman" w:hAnsi="Times New Roman" w:eastAsia="宋体" w:cs="宋体"/>
          <w:color w:val="auto"/>
          <w:sz w:val="21"/>
          <w:szCs w:val="21"/>
          <w:highlight w:val="none"/>
          <w:lang w:val="en-US" w:eastAsia="zh-CN" w:bidi="ar-SA"/>
        </w:rPr>
        <w:t>附件2：南宁轨道交通1-5号线叉车委外维保项目另行计价备件表</w:t>
      </w:r>
      <w:bookmarkEnd w:id="2758"/>
      <w:bookmarkEnd w:id="2759"/>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auto"/>
        <w:rPr>
          <w:rFonts w:ascii="Times New Roman" w:hAnsi="Times New Roman" w:eastAsia="宋体" w:cs="宋体"/>
          <w:color w:val="auto"/>
          <w:sz w:val="21"/>
          <w:szCs w:val="21"/>
          <w:highlight w:val="none"/>
          <w:lang w:val="en-US" w:eastAsia="zh-CN" w:bidi="ar-SA"/>
        </w:rPr>
      </w:pPr>
      <w:r>
        <w:rPr>
          <w:rFonts w:hint="eastAsia" w:ascii="Times New Roman" w:hAnsi="Times New Roman" w:eastAsia="宋体" w:cs="宋体"/>
          <w:color w:val="auto"/>
          <w:sz w:val="21"/>
          <w:szCs w:val="21"/>
          <w:highlight w:val="none"/>
          <w:lang w:val="en-US" w:eastAsia="zh-CN" w:bidi="ar-SA"/>
        </w:rPr>
        <w:t>附件3：月度综合评估评分标准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auto"/>
        <w:rPr>
          <w:rFonts w:ascii="Times New Roman" w:hAnsi="Times New Roman" w:eastAsia="宋体" w:cs="宋体"/>
          <w:color w:val="auto"/>
          <w:sz w:val="21"/>
          <w:szCs w:val="21"/>
          <w:highlight w:val="none"/>
          <w:lang w:val="en-US" w:eastAsia="zh-CN" w:bidi="ar-SA"/>
        </w:rPr>
      </w:pPr>
      <w:bookmarkStart w:id="2760" w:name="_Toc22660"/>
      <w:bookmarkStart w:id="2761" w:name="_Toc16488"/>
      <w:r>
        <w:rPr>
          <w:rFonts w:hint="eastAsia" w:ascii="Times New Roman" w:hAnsi="Times New Roman" w:eastAsia="宋体" w:cs="宋体"/>
          <w:color w:val="auto"/>
          <w:sz w:val="21"/>
          <w:szCs w:val="21"/>
          <w:highlight w:val="none"/>
          <w:lang w:val="en-US" w:eastAsia="zh-CN" w:bidi="ar-SA"/>
        </w:rPr>
        <w:t>附件4：合同违约处罚通知单</w:t>
      </w:r>
      <w:bookmarkEnd w:id="2760"/>
      <w:bookmarkEnd w:id="2761"/>
    </w:p>
    <w:bookmarkEnd w:id="2739"/>
    <w:p>
      <w:pPr>
        <w:ind w:left="0" w:leftChars="0" w:firstLine="0" w:firstLineChars="0"/>
        <w:rPr>
          <w:rFonts w:eastAsia="宋体" w:cs="宋体"/>
          <w:color w:val="auto"/>
          <w:highlight w:val="none"/>
        </w:rPr>
        <w:sectPr>
          <w:footerReference r:id="rId14" w:type="default"/>
          <w:pgSz w:w="11906" w:h="16838"/>
          <w:pgMar w:top="1417" w:right="1417" w:bottom="1417" w:left="1701" w:header="851" w:footer="992" w:gutter="0"/>
          <w:pgBorders>
            <w:top w:val="none" w:sz="0" w:space="0"/>
            <w:left w:val="none" w:sz="0" w:space="0"/>
            <w:bottom w:val="none" w:sz="0" w:space="0"/>
            <w:right w:val="none" w:sz="0" w:space="0"/>
          </w:pgBorders>
          <w:pgNumType w:fmt="decimal"/>
          <w:cols w:space="425" w:num="1"/>
          <w:docGrid w:type="lines" w:linePitch="333" w:charSpace="0"/>
        </w:sectPr>
      </w:pPr>
    </w:p>
    <w:p>
      <w:pPr>
        <w:widowControl w:val="0"/>
        <w:spacing w:before="0" w:after="0" w:afterAutospacing="0" w:line="560" w:lineRule="exact"/>
        <w:ind w:left="0" w:right="0" w:firstLine="0"/>
        <w:jc w:val="left"/>
        <w:outlineLvl w:val="1"/>
        <w:rPr>
          <w:rFonts w:ascii="Times New Roman" w:hAnsi="Times New Roman" w:eastAsia="宋体" w:cs="宋体"/>
          <w:color w:val="auto"/>
          <w:sz w:val="28"/>
          <w:szCs w:val="28"/>
          <w:highlight w:val="none"/>
        </w:rPr>
      </w:pPr>
      <w:bookmarkStart w:id="2762" w:name="_Toc14717"/>
      <w:bookmarkStart w:id="2763" w:name="_Toc31455"/>
      <w:bookmarkStart w:id="2764" w:name="_Toc542"/>
      <w:bookmarkStart w:id="2765" w:name="_Toc8632"/>
      <w:bookmarkStart w:id="2766" w:name="_Toc8996"/>
      <w:bookmarkStart w:id="2767" w:name="_Toc14297"/>
      <w:bookmarkStart w:id="2768" w:name="_Toc31762"/>
      <w:bookmarkStart w:id="2769" w:name="_Toc22744"/>
      <w:bookmarkStart w:id="2770" w:name="_Toc12195"/>
      <w:bookmarkStart w:id="2771" w:name="_Toc25385"/>
      <w:bookmarkStart w:id="2772" w:name="_Toc18795"/>
      <w:bookmarkStart w:id="2773" w:name="_Toc22915"/>
      <w:bookmarkStart w:id="2774" w:name="_Toc5262"/>
      <w:r>
        <w:rPr>
          <w:rFonts w:hint="eastAsia" w:ascii="Times New Roman" w:hAnsi="Times New Roman" w:eastAsia="宋体" w:cs="宋体"/>
          <w:color w:val="auto"/>
          <w:sz w:val="28"/>
          <w:szCs w:val="28"/>
          <w:highlight w:val="none"/>
        </w:rPr>
        <w:t>附件1</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widowControl w:val="0"/>
        <w:spacing w:before="0" w:after="0" w:afterAutospacing="0" w:line="240" w:lineRule="auto"/>
        <w:ind w:left="0" w:right="0" w:firstLine="0"/>
        <w:jc w:val="center"/>
        <w:rPr>
          <w:rFonts w:ascii="Times New Roman" w:hAnsi="Times New Roman" w:eastAsia="宋体" w:cs="宋体"/>
          <w:color w:val="auto"/>
          <w:sz w:val="28"/>
          <w:szCs w:val="36"/>
          <w:highlight w:val="none"/>
        </w:rPr>
      </w:pPr>
      <w:r>
        <w:rPr>
          <w:rFonts w:hint="eastAsia" w:ascii="Times New Roman" w:hAnsi="Times New Roman" w:eastAsia="宋体" w:cs="宋体"/>
          <w:color w:val="auto"/>
          <w:sz w:val="28"/>
          <w:szCs w:val="36"/>
          <w:highlight w:val="none"/>
        </w:rPr>
        <w:t>南宁轨道交通1-5号线</w:t>
      </w:r>
      <w:r>
        <w:rPr>
          <w:rFonts w:hint="eastAsia" w:ascii="Times New Roman" w:hAnsi="Times New Roman" w:eastAsia="宋体" w:cs="宋体"/>
          <w:color w:val="auto"/>
          <w:sz w:val="28"/>
          <w:szCs w:val="36"/>
          <w:highlight w:val="none"/>
          <w:lang w:val="en-US" w:eastAsia="zh-CN"/>
        </w:rPr>
        <w:t>叉车</w:t>
      </w:r>
      <w:r>
        <w:rPr>
          <w:rFonts w:hint="eastAsia" w:ascii="Times New Roman" w:hAnsi="Times New Roman" w:eastAsia="宋体" w:cs="宋体"/>
          <w:color w:val="auto"/>
          <w:sz w:val="28"/>
          <w:szCs w:val="36"/>
          <w:highlight w:val="none"/>
        </w:rPr>
        <w:t>委外维保项目设备清单表</w:t>
      </w:r>
    </w:p>
    <w:tbl>
      <w:tblPr>
        <w:tblStyle w:val="31"/>
        <w:tblW w:w="4997" w:type="pct"/>
        <w:tblInd w:w="0" w:type="dxa"/>
        <w:tblLayout w:type="autofit"/>
        <w:tblCellMar>
          <w:top w:w="0" w:type="dxa"/>
          <w:left w:w="108" w:type="dxa"/>
          <w:bottom w:w="0" w:type="dxa"/>
          <w:right w:w="108" w:type="dxa"/>
        </w:tblCellMar>
      </w:tblPr>
      <w:tblGrid>
        <w:gridCol w:w="997"/>
        <w:gridCol w:w="998"/>
        <w:gridCol w:w="2628"/>
        <w:gridCol w:w="1856"/>
        <w:gridCol w:w="830"/>
        <w:gridCol w:w="830"/>
        <w:gridCol w:w="2673"/>
        <w:gridCol w:w="1597"/>
        <w:gridCol w:w="1519"/>
      </w:tblGrid>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eastAsia" w:ascii="Times New Roman" w:hAnsi="Times New Roman" w:eastAsia="宋体" w:cs="宋体"/>
                <w:b/>
                <w:bCs/>
                <w:color w:val="auto"/>
                <w:sz w:val="21"/>
                <w:szCs w:val="21"/>
                <w:highlight w:val="none"/>
                <w:lang w:val="en-US" w:eastAsia="zh-CN" w:bidi="ar"/>
              </w:rPr>
            </w:pPr>
            <w:r>
              <w:rPr>
                <w:rFonts w:hint="eastAsia" w:ascii="Times New Roman" w:hAnsi="Times New Roman" w:eastAsia="宋体" w:cs="宋体"/>
                <w:b/>
                <w:bCs/>
                <w:color w:val="auto"/>
                <w:sz w:val="21"/>
                <w:szCs w:val="21"/>
                <w:highlight w:val="none"/>
                <w:lang w:val="en-US" w:eastAsia="zh-CN" w:bidi="ar"/>
              </w:rPr>
              <w:t>序号</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线路</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设备名称</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型号规格</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单位</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数量</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安装位置</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生产厂家</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b/>
                <w:bCs/>
                <w:color w:val="auto"/>
                <w:sz w:val="21"/>
                <w:szCs w:val="21"/>
                <w:highlight w:val="none"/>
                <w:lang w:bidi="ar"/>
              </w:rPr>
              <w:t>备注</w:t>
            </w: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CPCD50—RW14</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 xml:space="preserve">CPCD30N-RW10 </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CPD20H-C3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5</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CPD15H-C3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CQD-R16S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7</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CPD20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CPDS-E20SL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b/>
                <w:bCs/>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3号线调配</w:t>
            </w: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9</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CPD-E30S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CPDS-E20SL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3</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CPDT-E16C</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CQD-R16S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新村停车场</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CPCJ型5.0t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CPD型3.0t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17</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CPDS型2.0t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2"/>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CPCJ型5.0t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19</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CPDS型3.0t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CPDS型2.0t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宋体"/>
                <w:i w:val="0"/>
                <w:iCs w:val="0"/>
                <w:color w:val="auto"/>
                <w:kern w:val="0"/>
                <w:sz w:val="21"/>
                <w:szCs w:val="20"/>
                <w:highlight w:val="none"/>
                <w:u w:val="none"/>
                <w:lang w:val="en-US" w:eastAsia="zh-CN" w:bidi="ar"/>
              </w:rPr>
            </w:pPr>
            <w:r>
              <w:rPr>
                <w:rFonts w:hint="eastAsia" w:ascii="Times New Roman" w:hAnsi="Times New Roman" w:eastAsia="宋体" w:cs="宋体"/>
                <w:i w:val="0"/>
                <w:iCs w:val="0"/>
                <w:color w:val="auto"/>
                <w:kern w:val="0"/>
                <w:sz w:val="21"/>
                <w:szCs w:val="20"/>
                <w:highlight w:val="none"/>
                <w:u w:val="none"/>
                <w:lang w:val="en-US" w:eastAsia="zh-CN" w:bidi="ar"/>
              </w:rPr>
              <w:t>21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CQD型1.6t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hint="eastAsia" w:ascii="Times New Roman" w:hAnsi="Times New Roman" w:eastAsia="宋体" w:cs="宋体"/>
                <w:i w:val="0"/>
                <w:iCs w:val="0"/>
                <w:color w:val="auto"/>
                <w:kern w:val="0"/>
                <w:sz w:val="21"/>
                <w:szCs w:val="20"/>
                <w:highlight w:val="none"/>
                <w:u w:val="none"/>
                <w:lang w:val="en-US" w:eastAsia="zh-CN"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rPr>
            </w:pPr>
            <w:r>
              <w:rPr>
                <w:rFonts w:ascii="Times New Roman" w:hAnsi="Times New Roman" w:eastAsia="宋体" w:cs="宋体"/>
                <w:i w:val="0"/>
                <w:iCs w:val="0"/>
                <w:color w:val="auto"/>
                <w:kern w:val="0"/>
                <w:sz w:val="21"/>
                <w:szCs w:val="20"/>
                <w:highlight w:val="none"/>
                <w:u w:val="none"/>
                <w:lang w:val="en-US" w:eastAsia="zh-CN"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Times New Roman" w:hAnsi="Times New Roman" w:eastAsia="宋体" w:cs="宋体"/>
                <w:b/>
                <w:bCs/>
                <w:color w:val="auto"/>
                <w:sz w:val="21"/>
                <w:szCs w:val="21"/>
                <w:highlight w:val="none"/>
              </w:rPr>
            </w:pPr>
          </w:p>
        </w:tc>
      </w:tr>
      <w:tr>
        <w:tblPrEx>
          <w:tblCellMar>
            <w:top w:w="0" w:type="dxa"/>
            <w:left w:w="108" w:type="dxa"/>
            <w:bottom w:w="0" w:type="dxa"/>
            <w:right w:w="108" w:type="dxa"/>
          </w:tblCellMar>
        </w:tblPrEx>
        <w:trPr>
          <w:trHeight w:val="454" w:hRule="exact"/>
        </w:trPr>
        <w:tc>
          <w:tcPr>
            <w:tcW w:w="232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lang w:bidi="ar"/>
              </w:rPr>
            </w:pPr>
            <w:r>
              <w:rPr>
                <w:rFonts w:hint="eastAsia" w:ascii="Times New Roman" w:hAnsi="Times New Roman" w:eastAsia="宋体" w:cs="宋体"/>
                <w:color w:val="auto"/>
                <w:sz w:val="21"/>
                <w:szCs w:val="21"/>
                <w:highlight w:val="none"/>
                <w:lang w:bidi="ar"/>
              </w:rPr>
              <w:t>合计：</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lang w:bidi="ar"/>
              </w:rPr>
            </w:pPr>
            <w:r>
              <w:rPr>
                <w:rFonts w:hint="eastAsia" w:ascii="Times New Roman" w:hAnsi="Times New Roman" w:eastAsia="宋体" w:cs="宋体"/>
                <w:color w:val="auto"/>
                <w:sz w:val="21"/>
                <w:szCs w:val="21"/>
                <w:highlight w:val="none"/>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hint="default" w:ascii="Times New Roman" w:hAnsi="Times New Roman" w:eastAsia="宋体" w:cs="宋体"/>
                <w:color w:val="auto"/>
                <w:sz w:val="21"/>
                <w:szCs w:val="21"/>
                <w:highlight w:val="none"/>
                <w:lang w:val="en-US" w:eastAsia="zh-CN" w:bidi="ar"/>
              </w:rPr>
            </w:pPr>
            <w:r>
              <w:rPr>
                <w:rFonts w:hint="eastAsia" w:ascii="Times New Roman" w:hAnsi="Times New Roman" w:eastAsia="宋体" w:cs="宋体"/>
                <w:color w:val="auto"/>
                <w:sz w:val="21"/>
                <w:szCs w:val="21"/>
                <w:highlight w:val="none"/>
                <w:lang w:val="en-US" w:eastAsia="zh-CN" w:bidi="ar"/>
              </w:rPr>
              <w:t>38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lang w:bidi="ar"/>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0" w:afterAutospacing="0" w:line="240" w:lineRule="auto"/>
              <w:ind w:left="0" w:right="0" w:firstLine="0"/>
              <w:jc w:val="center"/>
              <w:textAlignment w:val="center"/>
              <w:rPr>
                <w:rFonts w:ascii="Times New Roman" w:hAnsi="Times New Roman" w:eastAsia="宋体" w:cs="宋体"/>
                <w:color w:val="auto"/>
                <w:sz w:val="21"/>
                <w:szCs w:val="21"/>
                <w:highlight w:val="none"/>
                <w:lang w:bidi="ar"/>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ascii="Times New Roman" w:hAnsi="Times New Roman" w:eastAsia="宋体" w:cs="宋体"/>
                <w:color w:val="auto"/>
                <w:sz w:val="21"/>
                <w:szCs w:val="21"/>
                <w:highlight w:val="none"/>
              </w:rPr>
            </w:pPr>
          </w:p>
        </w:tc>
      </w:tr>
    </w:tbl>
    <w:p>
      <w:pPr>
        <w:widowControl w:val="0"/>
        <w:spacing w:before="0" w:after="0" w:afterAutospacing="0" w:line="240" w:lineRule="auto"/>
        <w:ind w:left="0" w:right="0" w:firstLine="0"/>
        <w:jc w:val="center"/>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br w:type="page"/>
      </w:r>
    </w:p>
    <w:p>
      <w:pPr>
        <w:widowControl w:val="0"/>
        <w:spacing w:line="560" w:lineRule="exact"/>
        <w:jc w:val="both"/>
        <w:outlineLvl w:val="1"/>
        <w:rPr>
          <w:rFonts w:ascii="Times New Roman" w:hAnsi="Times New Roman" w:eastAsia="宋体" w:cs="宋体"/>
          <w:color w:val="auto"/>
          <w:sz w:val="28"/>
          <w:szCs w:val="28"/>
          <w:highlight w:val="none"/>
          <w:lang w:val="en-US" w:eastAsia="zh-CN" w:bidi="ar-SA"/>
        </w:rPr>
      </w:pPr>
      <w:bookmarkStart w:id="2775" w:name="_Toc31420"/>
      <w:bookmarkStart w:id="2776" w:name="_Toc29677"/>
      <w:bookmarkStart w:id="2777" w:name="_Toc25534"/>
      <w:bookmarkStart w:id="2778" w:name="_Toc19890"/>
      <w:bookmarkStart w:id="2779" w:name="_Toc30037"/>
      <w:bookmarkStart w:id="2780" w:name="_Toc16684"/>
      <w:bookmarkStart w:id="2781" w:name="_Toc16691"/>
      <w:bookmarkStart w:id="2782" w:name="_Toc116"/>
      <w:bookmarkStart w:id="2783" w:name="_Toc8365"/>
      <w:bookmarkStart w:id="2784" w:name="_Toc8027"/>
      <w:bookmarkStart w:id="2785" w:name="_Toc7377"/>
      <w:bookmarkStart w:id="2786" w:name="_Toc8009"/>
      <w:bookmarkStart w:id="2787" w:name="_Toc8480"/>
      <w:r>
        <w:rPr>
          <w:rFonts w:hint="eastAsia" w:ascii="Times New Roman" w:hAnsi="Times New Roman" w:eastAsia="宋体" w:cs="宋体"/>
          <w:color w:val="auto"/>
          <w:sz w:val="28"/>
          <w:szCs w:val="28"/>
          <w:highlight w:val="none"/>
          <w:lang w:val="en-US" w:eastAsia="zh-CN" w:bidi="ar-SA"/>
        </w:rPr>
        <w:t>附件</w:t>
      </w:r>
      <w:bookmarkEnd w:id="2775"/>
      <w:bookmarkEnd w:id="2776"/>
      <w:bookmarkEnd w:id="2777"/>
      <w:r>
        <w:rPr>
          <w:rFonts w:ascii="Times New Roman" w:hAnsi="Times New Roman" w:eastAsia="宋体" w:cs="宋体"/>
          <w:color w:val="auto"/>
          <w:sz w:val="28"/>
          <w:szCs w:val="28"/>
          <w:highlight w:val="none"/>
          <w:lang w:val="en-US" w:eastAsia="zh-CN" w:bidi="ar-SA"/>
        </w:rPr>
        <w:t>2</w:t>
      </w:r>
      <w:bookmarkEnd w:id="2778"/>
      <w:bookmarkEnd w:id="2779"/>
      <w:bookmarkEnd w:id="2780"/>
      <w:bookmarkEnd w:id="2781"/>
      <w:bookmarkEnd w:id="2782"/>
      <w:bookmarkEnd w:id="2783"/>
      <w:bookmarkEnd w:id="2784"/>
      <w:bookmarkEnd w:id="2785"/>
      <w:bookmarkEnd w:id="2786"/>
      <w:bookmarkEnd w:id="2787"/>
    </w:p>
    <w:p>
      <w:pPr>
        <w:widowControl w:val="0"/>
        <w:spacing w:before="0" w:after="0" w:afterAutospacing="0" w:line="240" w:lineRule="auto"/>
        <w:ind w:left="0" w:right="0" w:firstLine="0"/>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宋体"/>
          <w:color w:val="auto"/>
          <w:sz w:val="28"/>
          <w:szCs w:val="36"/>
          <w:highlight w:val="none"/>
        </w:rPr>
        <w:t>南宁轨道交通1-5号线</w:t>
      </w:r>
      <w:r>
        <w:rPr>
          <w:rFonts w:hint="eastAsia" w:ascii="Times New Roman" w:hAnsi="Times New Roman" w:eastAsia="宋体" w:cs="宋体"/>
          <w:color w:val="auto"/>
          <w:sz w:val="28"/>
          <w:szCs w:val="36"/>
          <w:highlight w:val="none"/>
          <w:lang w:val="en-US" w:eastAsia="zh-CN"/>
        </w:rPr>
        <w:t>叉车</w:t>
      </w:r>
      <w:r>
        <w:rPr>
          <w:rFonts w:hint="eastAsia" w:ascii="Times New Roman" w:hAnsi="Times New Roman" w:eastAsia="宋体" w:cs="宋体"/>
          <w:color w:val="auto"/>
          <w:sz w:val="28"/>
          <w:szCs w:val="36"/>
          <w:highlight w:val="none"/>
        </w:rPr>
        <w:t>委外</w:t>
      </w:r>
      <w:r>
        <w:rPr>
          <w:rFonts w:hint="eastAsia" w:ascii="Times New Roman" w:hAnsi="Times New Roman" w:eastAsia="宋体" w:cs="宋体"/>
          <w:color w:val="auto"/>
          <w:sz w:val="28"/>
          <w:szCs w:val="36"/>
          <w:highlight w:val="none"/>
          <w:lang w:val="en-US" w:eastAsia="zh-CN"/>
        </w:rPr>
        <w:t>维保</w:t>
      </w:r>
      <w:r>
        <w:rPr>
          <w:rFonts w:hint="eastAsia" w:ascii="Times New Roman" w:hAnsi="Times New Roman" w:eastAsia="宋体" w:cs="宋体"/>
          <w:color w:val="auto"/>
          <w:sz w:val="28"/>
          <w:szCs w:val="36"/>
          <w:highlight w:val="none"/>
        </w:rPr>
        <w:t>项目另行计价备件表</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624"/>
        <w:gridCol w:w="1088"/>
        <w:gridCol w:w="2024"/>
        <w:gridCol w:w="3243"/>
        <w:gridCol w:w="3470"/>
        <w:gridCol w:w="735"/>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ascii="Times New Roman" w:hAnsi="Times New Roman" w:eastAsia="宋体" w:cs="Calibri"/>
                <w:b/>
                <w:bCs/>
                <w:i w:val="0"/>
                <w:iCs w:val="0"/>
                <w:color w:val="auto"/>
                <w:sz w:val="21"/>
                <w:szCs w:val="20"/>
                <w:u w:val="none"/>
              </w:rPr>
            </w:pPr>
            <w:bookmarkStart w:id="2788" w:name="OLE_LINK1"/>
            <w:r>
              <w:rPr>
                <w:rFonts w:hint="default" w:ascii="Times New Roman" w:hAnsi="Times New Roman" w:eastAsia="宋体" w:cs="Calibri"/>
                <w:b/>
                <w:bCs/>
                <w:i w:val="0"/>
                <w:iCs w:val="0"/>
                <w:color w:val="auto"/>
                <w:kern w:val="0"/>
                <w:sz w:val="21"/>
                <w:szCs w:val="20"/>
                <w:u w:val="none"/>
                <w:lang w:val="en-US" w:eastAsia="zh-CN" w:bidi="ar"/>
              </w:rPr>
              <w:t>序号</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21"/>
                <w:szCs w:val="20"/>
                <w:u w:val="none"/>
              </w:rPr>
            </w:pPr>
            <w:r>
              <w:rPr>
                <w:rFonts w:hint="eastAsia" w:ascii="Times New Roman" w:hAnsi="Times New Roman" w:eastAsia="宋体" w:cs="宋体"/>
                <w:b/>
                <w:bCs/>
                <w:i w:val="0"/>
                <w:iCs w:val="0"/>
                <w:color w:val="auto"/>
                <w:kern w:val="0"/>
                <w:sz w:val="21"/>
                <w:szCs w:val="20"/>
                <w:u w:val="none"/>
                <w:lang w:val="en-US" w:eastAsia="zh-CN" w:bidi="ar"/>
              </w:rPr>
              <w:t>备品备件名称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Calibri"/>
                <w:b/>
                <w:bCs/>
                <w:i w:val="0"/>
                <w:iCs w:val="0"/>
                <w:color w:val="auto"/>
                <w:sz w:val="21"/>
                <w:szCs w:val="20"/>
                <w:u w:val="none"/>
              </w:rPr>
            </w:pPr>
            <w:r>
              <w:rPr>
                <w:rFonts w:hint="default" w:ascii="Times New Roman" w:hAnsi="Times New Roman" w:eastAsia="宋体" w:cs="Calibri"/>
                <w:b/>
                <w:bCs/>
                <w:i w:val="0"/>
                <w:iCs w:val="0"/>
                <w:color w:val="auto"/>
                <w:kern w:val="0"/>
                <w:sz w:val="21"/>
                <w:szCs w:val="20"/>
                <w:u w:val="none"/>
                <w:lang w:val="en-US" w:eastAsia="zh-CN" w:bidi="ar"/>
              </w:rPr>
              <w:t>品牌</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21"/>
                <w:szCs w:val="20"/>
                <w:u w:val="none"/>
              </w:rPr>
            </w:pPr>
            <w:r>
              <w:rPr>
                <w:rFonts w:hint="eastAsia" w:ascii="Times New Roman" w:hAnsi="Times New Roman" w:eastAsia="宋体" w:cs="宋体"/>
                <w:b/>
                <w:bCs/>
                <w:i w:val="0"/>
                <w:iCs w:val="0"/>
                <w:color w:val="auto"/>
                <w:kern w:val="0"/>
                <w:sz w:val="21"/>
                <w:szCs w:val="20"/>
                <w:u w:val="none"/>
                <w:lang w:val="en-US" w:eastAsia="zh-CN" w:bidi="ar"/>
              </w:rPr>
              <w:t>规格型号</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21"/>
                <w:szCs w:val="20"/>
                <w:u w:val="none"/>
              </w:rPr>
            </w:pPr>
            <w:r>
              <w:rPr>
                <w:rFonts w:hint="eastAsia" w:ascii="Times New Roman" w:hAnsi="Times New Roman" w:eastAsia="宋体" w:cs="宋体"/>
                <w:b/>
                <w:bCs/>
                <w:i w:val="0"/>
                <w:iCs w:val="0"/>
                <w:color w:val="auto"/>
                <w:kern w:val="0"/>
                <w:sz w:val="21"/>
                <w:szCs w:val="20"/>
                <w:u w:val="none"/>
                <w:lang w:val="en-US" w:eastAsia="zh-CN" w:bidi="ar"/>
              </w:rPr>
              <w:t>技术参数</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Calibri"/>
                <w:b/>
                <w:bCs/>
                <w:i w:val="0"/>
                <w:iCs w:val="0"/>
                <w:color w:val="auto"/>
                <w:sz w:val="21"/>
                <w:szCs w:val="20"/>
                <w:u w:val="none"/>
              </w:rPr>
            </w:pPr>
            <w:r>
              <w:rPr>
                <w:rFonts w:hint="default" w:ascii="Times New Roman" w:hAnsi="Times New Roman" w:eastAsia="宋体" w:cs="Calibri"/>
                <w:b/>
                <w:bCs/>
                <w:i w:val="0"/>
                <w:iCs w:val="0"/>
                <w:color w:val="auto"/>
                <w:kern w:val="0"/>
                <w:sz w:val="21"/>
                <w:szCs w:val="20"/>
                <w:u w:val="none"/>
                <w:lang w:val="en-US" w:eastAsia="zh-CN" w:bidi="ar"/>
              </w:rPr>
              <w:t>物料描述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b/>
                <w:bCs/>
                <w:i w:val="0"/>
                <w:iCs w:val="0"/>
                <w:color w:val="auto"/>
                <w:sz w:val="21"/>
                <w:szCs w:val="20"/>
                <w:u w:val="none"/>
              </w:rPr>
            </w:pPr>
            <w:r>
              <w:rPr>
                <w:rFonts w:hint="eastAsia" w:ascii="Times New Roman" w:hAnsi="Times New Roman" w:eastAsia="宋体" w:cs="宋体"/>
                <w:b/>
                <w:bCs/>
                <w:i w:val="0"/>
                <w:iCs w:val="0"/>
                <w:color w:val="auto"/>
                <w:kern w:val="0"/>
                <w:sz w:val="21"/>
                <w:szCs w:val="20"/>
                <w:u w:val="none"/>
                <w:lang w:val="en-US" w:eastAsia="zh-CN" w:bidi="ar"/>
              </w:rPr>
              <w:t>数量</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Times New Roman" w:hAnsi="Times New Roman" w:eastAsia="宋体" w:cs="Calibri"/>
                <w:b/>
                <w:bCs/>
                <w:i w:val="0"/>
                <w:iCs w:val="0"/>
                <w:color w:val="auto"/>
                <w:sz w:val="21"/>
                <w:szCs w:val="20"/>
                <w:u w:val="none"/>
              </w:rPr>
            </w:pPr>
            <w:r>
              <w:rPr>
                <w:rFonts w:hint="default" w:ascii="Times New Roman" w:hAnsi="Times New Roman" w:eastAsia="宋体" w:cs="Calibri"/>
                <w:b/>
                <w:bCs/>
                <w:i w:val="0"/>
                <w:iCs w:val="0"/>
                <w:color w:val="auto"/>
                <w:kern w:val="0"/>
                <w:sz w:val="21"/>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多路换向阀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1.压力：20Mpa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2.流量：65L/min</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3.吨位：1.5吨</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4.联数：2联</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1.规格：6.5-10实心胎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1.规格：5.00-8实心胎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手制动器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1.长：340mm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2.微动开关安装位置孔距25mm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3.安装孔距：55mm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踏板加速器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1.规格：JCTH-3601</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2.电压：24-48V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3.系列号：21083A-054753</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2.电流：1A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3.直径：60mm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4.高度：45mm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齿轮油泵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1.公称压力：25MPa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2.级数：单级</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3.转速：2000r/min</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4.材质：铸铝</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5.适用温度：30-90°</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液压油泵电机控制器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1.电压：48V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2.电流：600A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 xml:space="preserve">3.尺寸：长19.5cm*宽14.5cm*高7.5cm </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交流控制器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1.电压：36-48V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 xml:space="preserve">2.电流：450A3.尺寸：长23.2cm*宽16.5cm*高8.5cm </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急停开关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1.操纵杆外形：蘑菇头φ40mm（红色）</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2.触点类型：1常关</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3.操纵头类型：旋转复位</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4.额定电压：240V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5.额定电流：3A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6.约定发热电流：10A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7.机械寿命：10万次</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触点接触器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1.接线端子间的阻抗：≤25MΩ</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2.触点类型：1常关</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3.操纵头类型：弹簧复位</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4.额定绝缘电压：600V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5.额定冲击耐受电压：6KV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6.约定封闭发热电流：10A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7.机械寿命：10万次</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1.规格：7.00-12实心胎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1.规格：18*7-8实心胎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微动开关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1.电压：250VAC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2.电流：15A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3.防护等级：300m/s²</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4.最大通断频率：240次/分钟</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5.绝缘电阻：100兆欧</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6.机械寿命：1000万次</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7.电器寿命：50万次</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8.安装孔距：25.4mm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齿轮油泵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1.公称压力：32MPa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2.级数：单级</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3.材质：铜合金</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4.适用温度：30-90°</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转向控制阀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1.排量：100ml/r</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2.最大入口压力：16Mpa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3.最大连续背压：2.1Mpa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4.转向力矩：1.7-2.5Nm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5.最高系统温度：93°</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6.推荐油清洁度：ISO 18/13</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7.长度：135mm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多路阀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1.压力：20Mpa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2.流量：65L/min</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3.吨位：3吨</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4.联数：2联</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1.规格：28*9-15实心胎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后轮胎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1.规格：6.50-10实心胎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1.电压：12V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2.电流：1A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3.直径：60mm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4.高度：45mm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手制动器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1.杭叉R40/45手制动器</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2.制动器手柄长：200mm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3.制动器身长：137mm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4.安装方式：3孔固定安装</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5.孔距：同边孔80mm,斜边与同边孔87mm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24V档位换挡电磁阀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1.安装方式：板式安装</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2.公称直径：6mm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3.机能型式：滑柱形式C4</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4.额定电压：12VDC</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变速箱油滤清器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长：120mm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直径：74mm/56mm,内径：32mm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1.长：23cm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2.直径：13cm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1.外形尺寸：φ93*H99mm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2.固定孔螺纹规格：M18</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3.与五十铃C240发动机相匹配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制动总泵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1.安装孔距：60mm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2.孔径：11mm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3.带刹车油壶，配有M12接头</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发电机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2.电流：25A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3.与6BG1QP发动机相匹配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转向控制阀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1.排量：200ml/r</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2.最大入口压力：16Mpa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3.最大连续背压：2.1Mpa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4.转向力矩：1.7-5Nm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5.最高系统温度：80°</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6.最大转向力矩:136Nm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7.长度：160mm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信号按钮(急停）</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1.最大电压：96V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2.最大电流：250A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长度：63mm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宽度：45mm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总高：111mm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1.规格：8.25-15实心胎</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2.花纹：大花纹（人字）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点火启动开关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1.固定方式：螺母固定（直径19.5mm）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2.接线柱数：6个（B1/B2主线、ACC一档线、R1预热线、C启动线）</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3.钥匙与开关相匹配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用于杭叉3T-5T内燃叉车故障更换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2.电流：1A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3.直径：60mm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4.高度：45mm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燃油过滤器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1.固定螺栓孔距：40mm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2.接口直径：10mm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1.长：34cm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2.直径：16cm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1.外形尺寸：φ112*H198mm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2.固定孔螺纹规格：M36</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3.与五十铃6BG1发动机相匹配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制动总泵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1.安装孔距：60mm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2.泵内径：28mm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3.带刹车油壶，配有M10接头（孔径8.8mm）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24V档位换挡电磁阀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1.安装方式：板式安装</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2.公称直径：6mm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3.机能型式：滑柱形式C4</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4.额定电压：24VDC</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液压油滤清器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1.滤清器罐身长：127mm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2.滤清器总长：196mm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3.接口外径：16mm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39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电子闪光器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1.电压：24VDC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2.功率：44W-130W</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3.3插头不带线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预热继电器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1.电压：24VDC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2.固定孔距：30mm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3.高度：54mm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4.4插头不带线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变速箱油滤清器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长：120mm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直径：74mm/56mm,内径：32mm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叉车控制盒</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1.电压：24VDC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2.固定孔距：156mm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3.7插头不带线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蓄电池组</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1.额定电压：48VDC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2.额定容量：450Ah/5hr</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3.长980mm*宽680mm*高485mm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蓄电池组</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1.额定电压：48VDC</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2.额定容量：630Ah/5hr</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3.长1065mm*宽845mm*高495mm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48</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蓄电池</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 xml:space="preserve">电压：12V </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额定容量：90AH</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外形尺寸：302*173*200/222mm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用于杭叉内燃叉车启动蓄电池故障更换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直径：140mm 高度：320mm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用于杭叉内燃叉车空气滤芯定期更换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外形尺寸：94*140mm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进出口管径：0.8mm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用于杭叉内燃叉车机油滤芯定期更换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燃油滤芯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固定螺栓孔距：40mm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接口直径：10mm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用于杭叉内燃叉车燃油滤芯定期更换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49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手制动器总成</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A系列</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安装孔距：55mm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带自锁功能</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用于杭叉内燃叉车手制动器更换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直径：780mm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宽度：241mm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用于杭叉内燃叉车轮胎更换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规格：23*9-10</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直径：23英寸</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宽度：9英寸</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轮毂直径：10英寸</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用于杭叉蓄电池叉车前轮更换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规格：18×7-8-14</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直径：18英寸</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宽度：7英寸</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轮毂直径：8英寸</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层级：14</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用于杭叉蓄电池叉车后轮更换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蓄电池</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电压：48V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电流：625AH</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电池箱号：TZ59307TT</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用于杭叉蓄电池叉车动力蓄电池更换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加速器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输入电压：24-48V</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输出电压：0-5V</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用于杭叉蓄电池叉车加速器更换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承载轮</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轮径：285mm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轮宽：100mm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材质：聚氨酯</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用于前移式叉车故障更换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限速阀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公称通径:16mm</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压力等级:20Mpa</w:t>
            </w:r>
            <w:r>
              <w:rPr>
                <w:rFonts w:hint="eastAsia" w:ascii="Times New Roman" w:hAnsi="Times New Roman" w:eastAsia="宋体" w:cs="宋体"/>
                <w:i w:val="0"/>
                <w:iCs w:val="0"/>
                <w:color w:val="auto"/>
                <w:kern w:val="0"/>
                <w:sz w:val="21"/>
                <w:szCs w:val="20"/>
                <w:u w:val="none"/>
                <w:lang w:val="en-US" w:eastAsia="zh-CN" w:bidi="ar"/>
              </w:rPr>
              <w:br w:type="textWrapping"/>
            </w:r>
            <w:r>
              <w:rPr>
                <w:rFonts w:hint="eastAsia" w:ascii="Times New Roman" w:hAnsi="Times New Roman" w:eastAsia="宋体" w:cs="宋体"/>
                <w:i w:val="0"/>
                <w:iCs w:val="0"/>
                <w:color w:val="auto"/>
                <w:kern w:val="0"/>
                <w:sz w:val="21"/>
                <w:szCs w:val="20"/>
                <w:u w:val="none"/>
                <w:lang w:val="en-US" w:eastAsia="zh-CN" w:bidi="ar"/>
              </w:rPr>
              <w:t>油口形式:螺纹连接</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用于林德叉车故障更换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吸油滤芯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直径：115mm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高度：370mm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机油滤芯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直径：80mm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高度：135mm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59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通气滤清器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直径：80mm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高度：75mm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螺纹尺寸：26mm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液压油滤芯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直径：95mm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高度：165mm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直径：145mm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高度：255mm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62</w:t>
            </w:r>
          </w:p>
        </w:tc>
        <w:tc>
          <w:tcPr>
            <w:tcW w:w="16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油水分离器滤芯</w:t>
            </w:r>
          </w:p>
        </w:tc>
        <w:tc>
          <w:tcPr>
            <w:tcW w:w="10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直径：85mm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高度：72mm</w:t>
            </w:r>
          </w:p>
        </w:tc>
        <w:tc>
          <w:tcPr>
            <w:tcW w:w="34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nil"/>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通气滤清器滤芯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直径：45mm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高度：70mm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螺纹尺寸：22mm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64</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吸油过滤器滤芯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直径：90mm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高度：255mm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65</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液压油供油滤芯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直径：50mm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用于林德2t/3t蓄电池叉车维保更换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通气滤清器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直径：45mm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高度：70mm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螺纹尺寸：23mm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用于林德2t蓄电池叉车维保更换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吸油过滤器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直径：92mm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高度：150mm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用于林德2t蓄电池叉车维保更换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排气滤清器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直径：45mm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高度：65mm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用于林德1.6t蓄电池叉车维保更换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69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液压油滤芯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直径：45mm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用于林德1.6t蓄电池叉车维保更换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0"/>
                <w:u w:val="none"/>
              </w:rPr>
            </w:pPr>
            <w:r>
              <w:rPr>
                <w:rFonts w:hint="eastAsia" w:ascii="Times New Roman" w:hAnsi="Times New Roman" w:eastAsia="宋体" w:cs="宋体"/>
                <w:i w:val="0"/>
                <w:iCs w:val="0"/>
                <w:color w:val="auto"/>
                <w:kern w:val="0"/>
                <w:sz w:val="21"/>
                <w:szCs w:val="20"/>
                <w:u w:val="none"/>
                <w:lang w:val="en-US" w:eastAsia="zh-CN" w:bidi="ar"/>
              </w:rPr>
              <w:t>70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直径：40mm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高度：50mm</w:t>
            </w:r>
            <w:r>
              <w:rPr>
                <w:rFonts w:hint="eastAsia" w:ascii="Times New Roman" w:hAnsi="Times New Roman" w:eastAsia="宋体" w:cs="宋体"/>
                <w:i w:val="0"/>
                <w:iCs w:val="0"/>
                <w:color w:val="auto"/>
                <w:kern w:val="0"/>
                <w:sz w:val="21"/>
                <w:szCs w:val="22"/>
                <w:u w:val="none"/>
                <w:lang w:val="en-US" w:eastAsia="zh-CN" w:bidi="ar"/>
              </w:rPr>
              <w:br w:type="textWrapping"/>
            </w:r>
            <w:r>
              <w:rPr>
                <w:rFonts w:hint="eastAsia" w:ascii="Times New Roman" w:hAnsi="Times New Roman" w:eastAsia="宋体" w:cs="宋体"/>
                <w:i w:val="0"/>
                <w:iCs w:val="0"/>
                <w:color w:val="auto"/>
                <w:kern w:val="0"/>
                <w:sz w:val="21"/>
                <w:szCs w:val="22"/>
                <w:u w:val="none"/>
                <w:lang w:val="en-US" w:eastAsia="zh-CN" w:bidi="ar"/>
              </w:rPr>
              <w:t>螺纹尺寸：15mm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用于林德1.6t蓄电池前移式叉车维保更换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Times New Roman" w:hAnsi="Times New Roman" w:eastAsia="宋体" w:cs="宋体"/>
                <w:i w:val="0"/>
                <w:iCs w:val="0"/>
                <w:color w:val="auto"/>
                <w:sz w:val="21"/>
                <w:szCs w:val="22"/>
                <w:u w:val="none"/>
              </w:rPr>
            </w:pPr>
            <w:r>
              <w:rPr>
                <w:rFonts w:hint="eastAsia" w:ascii="Times New Roman" w:hAnsi="Times New Roman" w:eastAsia="宋体" w:cs="宋体"/>
                <w:i w:val="0"/>
                <w:iCs w:val="0"/>
                <w:color w:val="auto"/>
                <w:kern w:val="0"/>
                <w:sz w:val="21"/>
                <w:szCs w:val="22"/>
                <w:u w:val="none"/>
                <w:lang w:val="en-US" w:eastAsia="zh-CN"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hint="eastAsia" w:ascii="Times New Roman" w:hAnsi="Times New Roman" w:eastAsia="宋体" w:cs="宋体"/>
                <w:i w:val="0"/>
                <w:iCs w:val="0"/>
                <w:color w:val="auto"/>
                <w:sz w:val="21"/>
                <w:szCs w:val="22"/>
                <w:u w:val="none"/>
              </w:rPr>
            </w:pPr>
          </w:p>
        </w:tc>
      </w:tr>
      <w:bookmarkEnd w:id="2788"/>
    </w:tbl>
    <w:p>
      <w:pPr>
        <w:rPr>
          <w:color w:val="auto"/>
          <w:highlight w:val="none"/>
        </w:rPr>
        <w:sectPr>
          <w:type w:val="continuous"/>
          <w:pgSz w:w="16838" w:h="11906" w:orient="landscape"/>
          <w:pgMar w:top="1417" w:right="1417" w:bottom="1417" w:left="1701" w:header="851" w:footer="992" w:gutter="0"/>
          <w:pgBorders>
            <w:top w:val="none" w:sz="0" w:space="0"/>
            <w:left w:val="none" w:sz="0" w:space="0"/>
            <w:bottom w:val="none" w:sz="0" w:space="0"/>
            <w:right w:val="none" w:sz="0" w:space="0"/>
          </w:pgBorders>
          <w:pgNumType w:fmt="decimal"/>
          <w:cols w:space="425" w:num="1"/>
          <w:docGrid w:type="lines" w:linePitch="333" w:charSpace="0"/>
        </w:sectPr>
      </w:pPr>
    </w:p>
    <w:p>
      <w:pPr>
        <w:widowControl w:val="0"/>
        <w:spacing w:before="0" w:after="0" w:afterAutospacing="0" w:line="560" w:lineRule="exact"/>
        <w:ind w:left="0" w:right="0" w:firstLine="0"/>
        <w:jc w:val="left"/>
        <w:outlineLvl w:val="1"/>
        <w:rPr>
          <w:rFonts w:hint="eastAsia" w:ascii="Times New Roman" w:hAnsi="Times New Roman" w:eastAsia="宋体" w:cs="宋体"/>
          <w:color w:val="auto"/>
          <w:sz w:val="28"/>
          <w:szCs w:val="28"/>
          <w:highlight w:val="none"/>
        </w:rPr>
      </w:pPr>
      <w:bookmarkStart w:id="2789" w:name="_Toc19704"/>
      <w:bookmarkStart w:id="2790" w:name="_Toc26625"/>
      <w:bookmarkStart w:id="2791" w:name="_Toc16228"/>
      <w:bookmarkStart w:id="2792" w:name="_Toc14576"/>
      <w:bookmarkStart w:id="2793" w:name="_Toc16094"/>
      <w:bookmarkStart w:id="2794" w:name="_Toc22754"/>
      <w:bookmarkStart w:id="2795" w:name="_Toc23254"/>
      <w:bookmarkStart w:id="2796" w:name="_Toc18260"/>
      <w:bookmarkStart w:id="2797" w:name="_Toc7071"/>
      <w:bookmarkStart w:id="2798" w:name="_Toc16076"/>
      <w:bookmarkStart w:id="2799" w:name="_Toc14254692"/>
      <w:bookmarkStart w:id="2800" w:name="_Toc13908641"/>
      <w:bookmarkStart w:id="2801" w:name="_Toc14248734"/>
      <w:bookmarkStart w:id="2802" w:name="_Toc20813_WPSOffice_Level1"/>
      <w:bookmarkStart w:id="2803" w:name="_Toc13764"/>
      <w:bookmarkStart w:id="2804" w:name="_Toc4414"/>
      <w:bookmarkStart w:id="2805" w:name="_Toc26817"/>
      <w:bookmarkStart w:id="2806" w:name="_Toc28456"/>
      <w:bookmarkStart w:id="2807" w:name="_Toc6037"/>
      <w:r>
        <w:rPr>
          <w:rFonts w:hint="eastAsia" w:ascii="Times New Roman" w:hAnsi="Times New Roman" w:eastAsia="宋体" w:cs="宋体"/>
          <w:color w:val="auto"/>
          <w:sz w:val="28"/>
          <w:szCs w:val="28"/>
          <w:highlight w:val="none"/>
        </w:rPr>
        <w:t>附件3</w:t>
      </w:r>
      <w:bookmarkEnd w:id="2789"/>
      <w:bookmarkEnd w:id="2790"/>
      <w:bookmarkEnd w:id="2791"/>
      <w:bookmarkEnd w:id="2792"/>
      <w:bookmarkEnd w:id="2793"/>
      <w:bookmarkEnd w:id="2794"/>
      <w:bookmarkEnd w:id="2795"/>
      <w:bookmarkEnd w:id="2796"/>
      <w:bookmarkEnd w:id="2797"/>
      <w:bookmarkEnd w:id="2798"/>
    </w:p>
    <w:p>
      <w:pPr>
        <w:widowControl w:val="0"/>
        <w:spacing w:before="0" w:after="0" w:afterAutospacing="0" w:line="240" w:lineRule="auto"/>
        <w:ind w:left="0" w:right="0" w:firstLine="0"/>
        <w:jc w:val="center"/>
        <w:rPr>
          <w:rFonts w:hint="eastAsia" w:ascii="Times New Roman" w:hAnsi="Times New Roman" w:eastAsia="宋体" w:cs="宋体"/>
          <w:color w:val="auto"/>
          <w:sz w:val="28"/>
          <w:szCs w:val="36"/>
          <w:highlight w:val="none"/>
        </w:rPr>
      </w:pPr>
      <w:r>
        <w:rPr>
          <w:rFonts w:hint="eastAsia" w:ascii="Times New Roman" w:hAnsi="Times New Roman" w:eastAsia="宋体" w:cs="宋体"/>
          <w:color w:val="auto"/>
          <w:sz w:val="28"/>
          <w:szCs w:val="36"/>
          <w:highlight w:val="none"/>
        </w:rPr>
        <w:t>月度综合评估评分标准</w:t>
      </w:r>
      <w:bookmarkEnd w:id="2799"/>
      <w:bookmarkEnd w:id="2800"/>
      <w:bookmarkEnd w:id="2801"/>
      <w:bookmarkEnd w:id="2802"/>
    </w:p>
    <w:tbl>
      <w:tblPr>
        <w:tblStyle w:val="31"/>
        <w:tblW w:w="493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0"/>
        <w:gridCol w:w="803"/>
        <w:gridCol w:w="3053"/>
        <w:gridCol w:w="1463"/>
        <w:gridCol w:w="1549"/>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序号</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模块</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考核条目</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扣分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人员管理25分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未经比选人书面同意，擅自更换项目经理的，或未按照比选人要求时间内更换项目经理的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比选申请人未按合同要求配备或擅自更换维保人员的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3</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比选申请人安排无电工证、焊工证或高处作业证，或证件超过有效期人员参加电工作业、动火作业或登高作业的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违反比选人临时工作卡使用管理规定的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比选申请人有造谣生事等行为的或未经授权擅自发布比选人生产信息的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比选申请人人员在各工作地点候班及待命期间不服从比选人相关人员的正当管理，或者在运营期间同比选人人员发生争执影响正常运营的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比选申请人未经比选人同意擅自带领其他与工作无关人员进入作业区域</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比选申请人作业人员未按要求在比选人处备案就参加本项目作业的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比选申请人项目维保作业人员未按照规定参加安全培训或参加安全培训未合格的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比选申请人人员不接听比选人设备调度电话的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比选人30分钟内无法联系到比选申请人指定联络人的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不按规定统一规范着装的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13</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安全管理30分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隐瞒事故不报或弄虚作假降低事故等级</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因渎职过失、违章，造成影响设备运营安全</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因比选申请人责任造成设备故障影响正常生产作业</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因比选申请人责任导致严重影响服务质量并造成较大社会影响的设备故障</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比选申请人违反国家各类管理规定及法律法规（以国家最新规定为准，比选人不负责通知）</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比选申请人违反比选人各项管理规定（以最新规定为准，比选人不负责通知）</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19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比选申请人造成比选人设备设施件损坏的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比选申请人人员在车辆段内禁烟场所抽烟、未经许可使用明火的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比选申请人人员未按要求穿戴劳动防护用品进入现场作业的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比选申请人配合监管失职，导致主管部门被上级部门考核的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23</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比选申请人配合监管失职，导致安全事件的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比选申请人作业完毕将危废品丢入车辆段垃圾桶、道路等非丢弃危废品地的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25</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质量管理30分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各级修程未在规定维保周期内按质按量完成的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每项扣2分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26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未及时响应故障的（比选申请人在接报比选人的故障通知后50分钟内未响应的）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27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设备本体卫生不能达到比选人要求的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28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比选申请人作业完毕后未按要求出清的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29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发生设备严重故障的（指造成人身伤害、对设备正常运行影响大的故障）</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未及时修复的故障（比选申请人人员在运营时间及非运营时间内接报故障后在规定时间内仍未修复的）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发生设备漏检、漏修的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因比选申请人人员工器具不齐全，导致故障不能马上维修或者保养不到位</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33</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项目管理15分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比选申请人使用不合格品或未经检定或检定超过有效期的计量器具的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比选申请人未在规定时间提交月度各类计划、总结、故障分析报告、维保记录、换件记录、重大或典型故障或事件分析报告、统计报表的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35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比选申请人提供虚假报告、记录或证明文件的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比选申请人私自外传比选人相关资料的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比选申请人未征得比选人同意缺席相关会议的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经比选人或第三方抽查发现设备、设施存在零部件或材料缺失或损坏仍在运行的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每件扣0.5分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39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比选申请人提供的零部件和材料非原品牌型号、有缺陷或未取到比选人确认许可的，在收到比选人通知48小时内未能更换的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default" w:ascii="Times New Roman" w:hAnsi="Times New Roman" w:eastAsia="宋体" w:cs="Times New Roman"/>
                <w:color w:val="auto"/>
                <w:sz w:val="21"/>
                <w:szCs w:val="24"/>
                <w:highlight w:val="none"/>
                <w:lang w:val="en-US"/>
              </w:rPr>
            </w:pPr>
            <w:r>
              <w:rPr>
                <w:rFonts w:hint="eastAsia" w:ascii="Times New Roman" w:hAnsi="Times New Roman" w:eastAsia="宋体" w:cs="Times New Roman"/>
                <w:color w:val="auto"/>
                <w:sz w:val="21"/>
                <w:szCs w:val="24"/>
                <w:highlight w:val="none"/>
                <w:lang w:val="en-US" w:eastAsia="zh-CN"/>
              </w:rPr>
              <w:t>40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比选申请人对服务范围内的临时任务、限期整改项目、配合作业或零星工程，双方协商一致后，未按要求完成的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jc w:val="center"/>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val="en-US" w:eastAsia="zh-CN"/>
              </w:rPr>
              <w:t>当月累计扣分：                                    当月最终得分：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26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default" w:ascii="Times New Roman" w:hAnsi="Times New Roman" w:eastAsia="宋体" w:cs="Times New Roman"/>
                <w:color w:val="auto"/>
                <w:sz w:val="21"/>
                <w:szCs w:val="24"/>
                <w:highlight w:val="none"/>
                <w:lang w:val="en-US" w:eastAsia="zh-CN"/>
              </w:rPr>
            </w:pPr>
            <w:r>
              <w:rPr>
                <w:rFonts w:hint="eastAsia" w:ascii="Times New Roman" w:hAnsi="Times New Roman" w:eastAsia="宋体" w:cs="Times New Roman"/>
                <w:color w:val="auto"/>
                <w:sz w:val="21"/>
                <w:szCs w:val="24"/>
                <w:highlight w:val="none"/>
                <w:lang w:val="en-US" w:eastAsia="zh-CN"/>
              </w:rPr>
              <w:t>评估部门：</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default" w:ascii="Times New Roman" w:hAnsi="Times New Roman" w:eastAsia="宋体" w:cs="Times New Roman"/>
                <w:color w:val="auto"/>
                <w:sz w:val="21"/>
                <w:szCs w:val="24"/>
                <w:highlight w:val="none"/>
                <w:lang w:val="en-US" w:eastAsia="zh-CN"/>
              </w:rPr>
            </w:pPr>
            <w:r>
              <w:rPr>
                <w:rFonts w:hint="eastAsia" w:ascii="Times New Roman" w:hAnsi="Times New Roman" w:eastAsia="宋体" w:cs="Times New Roman"/>
                <w:color w:val="auto"/>
                <w:sz w:val="21"/>
                <w:szCs w:val="24"/>
                <w:highlight w:val="none"/>
                <w:lang w:val="en-US" w:eastAsia="zh-CN"/>
              </w:rPr>
              <w:t>被评估单位：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6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eastAsia" w:ascii="Times New Roman" w:hAnsi="Times New Roman" w:eastAsia="宋体" w:cs="Times New Roman"/>
                <w:color w:val="auto"/>
                <w:sz w:val="21"/>
                <w:szCs w:val="24"/>
                <w:highlight w:val="none"/>
                <w:lang w:val="en-US" w:eastAsia="zh-CN"/>
              </w:rPr>
            </w:pPr>
            <w:r>
              <w:rPr>
                <w:rFonts w:hint="eastAsia" w:ascii="Times New Roman" w:hAnsi="Times New Roman" w:eastAsia="宋体" w:cs="Times New Roman"/>
                <w:color w:val="auto"/>
                <w:sz w:val="21"/>
                <w:szCs w:val="24"/>
                <w:highlight w:val="none"/>
                <w:lang w:val="en-US" w:eastAsia="zh-CN"/>
              </w:rPr>
              <w:t>日期：</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afterAutospacing="0" w:line="240" w:lineRule="auto"/>
              <w:ind w:left="0" w:right="0" w:firstLine="0"/>
              <w:rPr>
                <w:rFonts w:hint="default" w:ascii="Times New Roman" w:hAnsi="Times New Roman" w:eastAsia="宋体" w:cs="Times New Roman"/>
                <w:color w:val="auto"/>
                <w:sz w:val="21"/>
                <w:szCs w:val="24"/>
                <w:highlight w:val="none"/>
                <w:lang w:val="en-US" w:eastAsia="zh-CN"/>
              </w:rPr>
            </w:pPr>
            <w:r>
              <w:rPr>
                <w:rFonts w:hint="eastAsia" w:ascii="Times New Roman" w:hAnsi="Times New Roman" w:eastAsia="宋体" w:cs="Times New Roman"/>
                <w:color w:val="auto"/>
                <w:sz w:val="21"/>
                <w:szCs w:val="24"/>
                <w:highlight w:val="none"/>
                <w:lang w:val="en-US" w:eastAsia="zh-CN"/>
              </w:rPr>
              <w:t>日期</w:t>
            </w:r>
          </w:p>
        </w:tc>
      </w:tr>
    </w:tbl>
    <w:p>
      <w:pPr>
        <w:widowControl w:val="0"/>
        <w:spacing w:before="0" w:after="0" w:afterAutospacing="0" w:line="240" w:lineRule="auto"/>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注：本表一式两份，业主单位完成考核评估后签字确认，被</w:t>
      </w:r>
      <w:r>
        <w:rPr>
          <w:rFonts w:hint="eastAsia" w:ascii="宋体" w:hAnsi="宋体" w:eastAsia="宋体" w:cs="宋体"/>
          <w:color w:val="auto"/>
          <w:sz w:val="21"/>
          <w:szCs w:val="21"/>
          <w:highlight w:val="none"/>
          <w:lang w:val="en-US" w:eastAsia="zh-CN"/>
        </w:rPr>
        <w:t>考核</w:t>
      </w:r>
      <w:r>
        <w:rPr>
          <w:rFonts w:hint="eastAsia" w:ascii="宋体" w:hAnsi="宋体" w:eastAsia="宋体" w:cs="宋体"/>
          <w:color w:val="auto"/>
          <w:sz w:val="21"/>
          <w:szCs w:val="21"/>
          <w:highlight w:val="none"/>
        </w:rPr>
        <w:t>评估单位项目经理进行签字确认，各方各执一份存档</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br w:type="page"/>
      </w:r>
    </w:p>
    <w:p>
      <w:pPr>
        <w:widowControl w:val="0"/>
        <w:spacing w:before="0" w:after="0" w:afterAutospacing="0" w:line="560" w:lineRule="exact"/>
        <w:ind w:left="0" w:right="0" w:firstLine="0"/>
        <w:jc w:val="left"/>
        <w:outlineLvl w:val="1"/>
        <w:rPr>
          <w:rFonts w:hint="eastAsia" w:ascii="Times New Roman" w:hAnsi="Times New Roman" w:eastAsia="宋体" w:cs="宋体"/>
          <w:color w:val="auto"/>
          <w:sz w:val="28"/>
          <w:szCs w:val="28"/>
          <w:highlight w:val="none"/>
        </w:rPr>
      </w:pPr>
      <w:bookmarkStart w:id="2808" w:name="_Toc2230"/>
      <w:bookmarkStart w:id="2809" w:name="_Toc602"/>
      <w:bookmarkStart w:id="2810" w:name="_Toc12838"/>
      <w:bookmarkStart w:id="2811" w:name="_Toc10620"/>
      <w:bookmarkStart w:id="2812" w:name="_Toc2649"/>
      <w:bookmarkStart w:id="2813" w:name="_Toc18190"/>
      <w:bookmarkStart w:id="2814" w:name="_Toc24804"/>
      <w:bookmarkStart w:id="2815" w:name="_Toc7964"/>
      <w:bookmarkStart w:id="2816" w:name="_Toc11331"/>
      <w:bookmarkStart w:id="2817" w:name="_Toc4248"/>
      <w:r>
        <w:rPr>
          <w:rFonts w:hint="eastAsia" w:ascii="Times New Roman" w:hAnsi="Times New Roman" w:eastAsia="宋体" w:cs="宋体"/>
          <w:color w:val="auto"/>
          <w:sz w:val="28"/>
          <w:szCs w:val="28"/>
          <w:highlight w:val="none"/>
        </w:rPr>
        <w:t>附件4</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Pr>
        <w:widowControl w:val="0"/>
        <w:spacing w:before="0" w:after="0" w:afterAutospacing="0" w:line="240" w:lineRule="auto"/>
        <w:ind w:left="0" w:right="0" w:firstLine="0"/>
        <w:jc w:val="left"/>
        <w:rPr>
          <w:rFonts w:hint="eastAsia" w:ascii="黑体" w:hAnsi="黑体" w:eastAsia="黑体" w:cs="黑体"/>
          <w:b w:val="0"/>
          <w:bCs w:val="0"/>
          <w:color w:val="auto"/>
          <w:kern w:val="2"/>
          <w:szCs w:val="24"/>
          <w:lang w:val="en-US" w:eastAsia="zh-CN"/>
        </w:rPr>
      </w:pPr>
      <w:r>
        <w:rPr>
          <w:rFonts w:hint="eastAsia" w:ascii="黑体" w:hAnsi="黑体" w:eastAsia="黑体" w:cs="黑体"/>
          <w:b w:val="0"/>
          <w:bCs w:val="0"/>
          <w:color w:val="auto"/>
          <w:kern w:val="2"/>
          <w:szCs w:val="24"/>
          <w:highlight w:val="none"/>
          <w:lang w:val="en-US" w:eastAsia="zh-CN"/>
        </w:rPr>
        <w:t>NGYY/Q-GL-SC-03-A8</w:t>
      </w:r>
    </w:p>
    <w:p>
      <w:pPr>
        <w:widowControl w:val="0"/>
        <w:spacing w:before="0" w:after="0" w:afterAutospacing="0" w:line="240" w:lineRule="auto"/>
        <w:ind w:left="0" w:right="0" w:firstLine="0"/>
        <w:jc w:val="center"/>
        <w:rPr>
          <w:rFonts w:hint="eastAsia" w:ascii="黑体" w:hAnsi="宋体" w:eastAsia="黑体" w:cs="Times New Roman"/>
          <w:color w:val="auto"/>
          <w:kern w:val="2"/>
          <w:sz w:val="36"/>
          <w:szCs w:val="36"/>
          <w:highlight w:val="none"/>
          <w:lang w:val="en-US" w:eastAsia="zh-CN"/>
        </w:rPr>
      </w:pPr>
      <w:r>
        <w:rPr>
          <w:rFonts w:hint="eastAsia" w:ascii="黑体" w:hAnsi="宋体" w:eastAsia="黑体" w:cs="Times New Roman"/>
          <w:color w:val="auto"/>
          <w:kern w:val="2"/>
          <w:sz w:val="36"/>
          <w:szCs w:val="36"/>
          <w:highlight w:val="none"/>
          <w:lang w:val="en-US" w:eastAsia="zh-CN"/>
        </w:rPr>
        <w:t>委外项目合同违约处理通知单</w:t>
      </w:r>
    </w:p>
    <w:p>
      <w:pPr>
        <w:widowControl w:val="0"/>
        <w:spacing w:before="0" w:after="0" w:afterAutospacing="0" w:line="240" w:lineRule="auto"/>
        <w:ind w:left="0" w:right="0" w:firstLine="0"/>
        <w:rPr>
          <w:rFonts w:ascii="宋体" w:hAnsi="宋体" w:eastAsia="宋体" w:cs="Times New Roman"/>
          <w:color w:val="auto"/>
          <w:kern w:val="2"/>
          <w:szCs w:val="24"/>
          <w:highlight w:val="none"/>
        </w:rPr>
      </w:pPr>
      <w:r>
        <w:rPr>
          <w:rFonts w:hint="eastAsia" w:ascii="Times New Roman" w:hAnsi="宋体" w:eastAsia="宋体" w:cs="宋体"/>
          <w:b/>
          <w:color w:val="auto"/>
          <w:kern w:val="2"/>
          <w:sz w:val="32"/>
          <w:szCs w:val="32"/>
          <w:highlight w:val="none"/>
        </w:rPr>
        <w:t xml:space="preserve">   </w:t>
      </w:r>
      <w:r>
        <w:rPr>
          <w:rFonts w:hint="eastAsia" w:ascii="Times New Roman" w:hAnsi="宋体" w:eastAsia="宋体" w:cs="宋体"/>
          <w:b/>
          <w:color w:val="auto"/>
          <w:kern w:val="2"/>
          <w:sz w:val="32"/>
          <w:szCs w:val="32"/>
          <w:highlight w:val="none"/>
          <w:lang w:val="en-US" w:eastAsia="zh-CN"/>
        </w:rPr>
        <w:t xml:space="preserve">                                </w:t>
      </w:r>
      <w:r>
        <w:rPr>
          <w:rFonts w:hint="eastAsia" w:ascii="Times New Roman" w:hAnsi="宋体" w:eastAsia="宋体" w:cs="宋体"/>
          <w:b/>
          <w:color w:val="auto"/>
          <w:kern w:val="2"/>
          <w:sz w:val="32"/>
          <w:szCs w:val="32"/>
          <w:highlight w:val="none"/>
        </w:rPr>
        <w:t xml:space="preserve"> </w:t>
      </w:r>
      <w:r>
        <w:rPr>
          <w:rFonts w:hint="eastAsia" w:ascii="Times New Roman" w:hAnsi="宋体" w:eastAsia="宋体" w:cs="Times New Roman"/>
          <w:b/>
          <w:color w:val="auto"/>
          <w:kern w:val="2"/>
          <w:szCs w:val="24"/>
          <w:highlight w:val="none"/>
        </w:rPr>
        <w:t>编号：</w:t>
      </w:r>
      <w:r>
        <w:rPr>
          <w:rFonts w:hint="eastAsia" w:ascii="Times New Roman" w:hAnsi="宋体" w:eastAsia="宋体" w:cs="Times New Roman"/>
          <w:bCs/>
          <w:color w:val="auto"/>
          <w:kern w:val="2"/>
          <w:szCs w:val="24"/>
          <w:highlight w:val="none"/>
        </w:rPr>
        <w:t>合同编号-年月-两位数</w:t>
      </w:r>
      <w:r>
        <w:rPr>
          <w:rFonts w:hint="eastAsia" w:ascii="Times New Roman" w:hAnsi="宋体" w:eastAsia="宋体" w:cs="Times New Roman"/>
          <w:bCs/>
          <w:color w:val="auto"/>
          <w:kern w:val="2"/>
          <w:szCs w:val="24"/>
          <w:highlight w:val="none"/>
          <w:lang w:val="en-US" w:eastAsia="zh-CN"/>
        </w:rPr>
        <w:t>流水号</w:t>
      </w:r>
    </w:p>
    <w:tbl>
      <w:tblPr>
        <w:tblStyle w:val="3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b/>
                <w:color w:val="auto"/>
                <w:kern w:val="2"/>
                <w:sz w:val="24"/>
                <w:szCs w:val="24"/>
                <w:highlight w:val="none"/>
              </w:rPr>
            </w:pPr>
            <w:r>
              <w:rPr>
                <w:rFonts w:hint="eastAsia" w:ascii="宋体" w:hAnsi="宋体" w:eastAsia="宋体" w:cs="Times New Roman"/>
                <w:b/>
                <w:color w:val="auto"/>
                <w:kern w:val="2"/>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b/>
                <w:color w:val="auto"/>
                <w:kern w:val="2"/>
                <w:szCs w:val="24"/>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b/>
                <w:color w:val="auto"/>
                <w:kern w:val="2"/>
                <w:sz w:val="24"/>
                <w:szCs w:val="24"/>
                <w:highlight w:val="none"/>
              </w:rPr>
            </w:pPr>
            <w:r>
              <w:rPr>
                <w:rFonts w:hint="eastAsia" w:ascii="宋体" w:hAnsi="宋体" w:eastAsia="宋体" w:cs="Times New Roman"/>
                <w:b/>
                <w:color w:val="auto"/>
                <w:kern w:val="2"/>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default" w:ascii="宋体" w:hAnsi="宋体" w:eastAsia="宋体" w:cs="Times New Roman"/>
                <w:b/>
                <w:color w:val="auto"/>
                <w:kern w:val="2"/>
                <w:sz w:val="24"/>
                <w:szCs w:val="24"/>
                <w:highlight w:val="none"/>
                <w:lang w:val="en-US" w:eastAsia="zh-CN"/>
              </w:rPr>
            </w:pPr>
            <w:r>
              <w:rPr>
                <w:rFonts w:hint="eastAsia" w:ascii="宋体" w:hAnsi="宋体" w:eastAsia="宋体" w:cs="Times New Roman"/>
                <w:b/>
                <w:color w:val="auto"/>
                <w:kern w:val="2"/>
                <w:szCs w:val="21"/>
                <w:highlight w:val="none"/>
                <w:lang w:eastAsia="zh-CN"/>
              </w:rPr>
              <w:t>委外单位</w:t>
            </w:r>
            <w:r>
              <w:rPr>
                <w:rFonts w:hint="eastAsia" w:ascii="宋体" w:hAnsi="宋体" w:eastAsia="宋体" w:cs="宋体"/>
                <w:b/>
                <w:color w:val="auto"/>
                <w:kern w:val="2"/>
                <w:szCs w:val="21"/>
                <w:highlight w:val="none"/>
                <w:lang w:val="en-US" w:eastAsia="zh-CN"/>
              </w:rPr>
              <w:t>/           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2"/>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1"/>
                <w:highlight w:val="none"/>
                <w:lang w:eastAsia="zh-CN"/>
              </w:rPr>
            </w:pPr>
            <w:r>
              <w:rPr>
                <w:rFonts w:hint="eastAsia" w:ascii="宋体" w:hAnsi="宋体" w:eastAsia="宋体" w:cs="Times New Roman"/>
                <w:b/>
                <w:color w:val="auto"/>
                <w:kern w:val="2"/>
                <w:szCs w:val="21"/>
                <w:highlight w:val="none"/>
                <w:lang w:eastAsia="zh-CN"/>
              </w:rPr>
              <w:t>运营公司</w:t>
            </w:r>
          </w:p>
          <w:p>
            <w:pPr>
              <w:widowControl w:val="0"/>
              <w:spacing w:before="0" w:after="0" w:afterAutospacing="0" w:line="240" w:lineRule="auto"/>
              <w:ind w:left="0" w:right="0" w:firstLine="0"/>
              <w:jc w:val="center"/>
              <w:rPr>
                <w:rFonts w:ascii="宋体" w:hAnsi="宋体" w:eastAsia="宋体" w:cs="Times New Roman"/>
                <w:b/>
                <w:color w:val="auto"/>
                <w:kern w:val="2"/>
                <w:sz w:val="24"/>
                <w:szCs w:val="24"/>
                <w:highlight w:val="none"/>
              </w:rPr>
            </w:pPr>
            <w:r>
              <w:rPr>
                <w:rFonts w:hint="eastAsia" w:ascii="宋体" w:hAnsi="宋体" w:eastAsia="宋体" w:cs="Times New Roman"/>
                <w:b/>
                <w:color w:val="auto"/>
                <w:kern w:val="2"/>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widowControl w:val="0"/>
              <w:spacing w:before="0" w:after="0" w:afterAutospacing="0" w:line="240" w:lineRule="auto"/>
              <w:ind w:left="0" w:right="0" w:firstLine="0"/>
              <w:jc w:val="center"/>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300" w:lineRule="exact"/>
              <w:ind w:left="0" w:right="0" w:firstLine="0"/>
              <w:rPr>
                <w:rFonts w:hint="eastAsia" w:ascii="宋体" w:hAnsi="宋体" w:eastAsia="宋体" w:cs="Times New Roman"/>
                <w:bCs/>
                <w:color w:val="auto"/>
                <w:kern w:val="2"/>
                <w:szCs w:val="24"/>
                <w:highlight w:val="none"/>
                <w:u w:val="single"/>
                <w:lang w:val="en-US" w:eastAsia="zh-CN"/>
              </w:rPr>
            </w:pPr>
            <w:r>
              <w:rPr>
                <w:rFonts w:hint="eastAsia" w:ascii="宋体" w:hAnsi="宋体" w:eastAsia="宋体" w:cs="Times New Roman"/>
                <w:color w:val="auto"/>
                <w:kern w:val="2"/>
                <w:sz w:val="18"/>
                <w:szCs w:val="18"/>
                <w:highlight w:val="none"/>
              </w:rPr>
              <w:t>X年X月X日</w:t>
            </w:r>
            <w:r>
              <w:rPr>
                <w:rFonts w:hint="eastAsia" w:ascii="宋体" w:hAnsi="宋体" w:eastAsia="宋体" w:cs="Times New Roman"/>
                <w:color w:val="auto"/>
                <w:kern w:val="2"/>
                <w:sz w:val="18"/>
                <w:szCs w:val="18"/>
                <w:highlight w:val="none"/>
                <w:lang w:val="en-US" w:eastAsia="zh-CN"/>
              </w:rPr>
              <w:t>-</w:t>
            </w:r>
            <w:r>
              <w:rPr>
                <w:rFonts w:hint="eastAsia" w:ascii="宋体" w:hAnsi="宋体" w:eastAsia="宋体" w:cs="Times New Roman"/>
                <w:color w:val="auto"/>
                <w:kern w:val="2"/>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after="0" w:afterAutospacing="0" w:line="240" w:lineRule="auto"/>
              <w:ind w:left="0" w:right="0" w:firstLine="0"/>
              <w:rPr>
                <w:rFonts w:ascii="宋体" w:hAnsi="宋体" w:eastAsia="宋体" w:cs="Times New Roman"/>
                <w:color w:val="auto"/>
                <w:kern w:val="2"/>
                <w:sz w:val="18"/>
                <w:szCs w:val="18"/>
                <w:highlight w:val="none"/>
              </w:rPr>
            </w:pPr>
            <w:r>
              <w:rPr>
                <w:rFonts w:hint="eastAsia" w:ascii="宋体" w:hAnsi="宋体" w:eastAsia="宋体" w:cs="Times New Roman"/>
                <w:bCs/>
                <w:color w:val="auto"/>
                <w:kern w:val="2"/>
                <w:sz w:val="18"/>
                <w:szCs w:val="18"/>
                <w:highlight w:val="none"/>
              </w:rPr>
              <w:t>违约情况：</w:t>
            </w:r>
            <w:r>
              <w:rPr>
                <w:rFonts w:hint="eastAsia" w:ascii="宋体" w:hAnsi="宋体" w:eastAsia="宋体" w:cs="Times New Roman"/>
                <w:color w:val="auto"/>
                <w:kern w:val="2"/>
                <w:sz w:val="18"/>
                <w:szCs w:val="18"/>
                <w:highlight w:val="none"/>
              </w:rPr>
              <w:t>我部技术人员于X年X月X日跟岗作业中（作业令：1A2-01-01）发现XX-XX区间部分</w:t>
            </w:r>
            <w:r>
              <w:rPr>
                <w:rFonts w:hint="eastAsia" w:ascii="宋体" w:hAnsi="宋体" w:eastAsia="宋体" w:cs="Times New Roman"/>
                <w:color w:val="auto"/>
                <w:kern w:val="2"/>
                <w:sz w:val="18"/>
                <w:szCs w:val="18"/>
                <w:highlight w:val="none"/>
                <w:lang w:val="en-US" w:eastAsia="zh-CN"/>
              </w:rPr>
              <w:t>XX设备</w:t>
            </w:r>
            <w:r>
              <w:rPr>
                <w:rFonts w:hint="eastAsia" w:ascii="宋体" w:hAnsi="宋体" w:eastAsia="宋体" w:cs="Times New Roman"/>
                <w:color w:val="auto"/>
                <w:kern w:val="2"/>
                <w:sz w:val="18"/>
                <w:szCs w:val="18"/>
                <w:highlight w:val="none"/>
              </w:rPr>
              <w:t>存在锈蚀、松脱现象，且个别情况较为严重，而委外单位（劳务派遣单位）在X年X月</w:t>
            </w:r>
            <w:r>
              <w:rPr>
                <w:rFonts w:hint="eastAsia" w:ascii="宋体" w:hAnsi="宋体" w:eastAsia="宋体" w:cs="Times New Roman"/>
                <w:color w:val="auto"/>
                <w:kern w:val="2"/>
                <w:sz w:val="18"/>
                <w:szCs w:val="18"/>
                <w:highlight w:val="none"/>
                <w:lang w:val="en-US" w:eastAsia="zh-CN"/>
              </w:rPr>
              <w:t>XX设备</w:t>
            </w:r>
            <w:r>
              <w:rPr>
                <w:rFonts w:hint="eastAsia" w:ascii="宋体" w:hAnsi="宋体" w:eastAsia="宋体" w:cs="Times New Roman"/>
                <w:color w:val="auto"/>
                <w:kern w:val="2"/>
                <w:sz w:val="18"/>
                <w:szCs w:val="18"/>
                <w:highlight w:val="none"/>
              </w:rPr>
              <w:t>月检中未能及时发现和处理，检修台账中也未记录，存在漏检现象。（举例）</w:t>
            </w:r>
          </w:p>
          <w:p>
            <w:pPr>
              <w:widowControl/>
              <w:snapToGrid w:val="0"/>
              <w:spacing w:before="0" w:after="0" w:afterAutospacing="0" w:line="240" w:lineRule="auto"/>
              <w:ind w:left="0" w:right="0" w:firstLine="0"/>
              <w:rPr>
                <w:rFonts w:hint="eastAsia" w:ascii="宋体" w:hAnsi="宋体" w:eastAsia="宋体" w:cs="Times New Roman"/>
                <w:bCs/>
                <w:color w:val="auto"/>
                <w:kern w:val="2"/>
                <w:sz w:val="18"/>
                <w:szCs w:val="18"/>
                <w:highlight w:val="none"/>
              </w:rPr>
            </w:pPr>
          </w:p>
          <w:p>
            <w:pPr>
              <w:widowControl/>
              <w:snapToGrid w:val="0"/>
              <w:spacing w:before="0" w:after="0" w:afterAutospacing="0" w:line="240" w:lineRule="auto"/>
              <w:ind w:left="0" w:right="0" w:firstLine="0"/>
              <w:rPr>
                <w:rFonts w:ascii="宋体" w:hAnsi="宋体" w:eastAsia="宋体" w:cs="Times New Roman"/>
                <w:bCs/>
                <w:color w:val="auto"/>
                <w:kern w:val="2"/>
                <w:szCs w:val="24"/>
                <w:highlight w:val="none"/>
                <w:u w:val="single"/>
              </w:rPr>
            </w:pPr>
            <w:r>
              <w:rPr>
                <w:rFonts w:hint="eastAsia" w:ascii="宋体" w:hAnsi="宋体" w:eastAsia="宋体" w:cs="Times New Roman"/>
                <w:bCs/>
                <w:color w:val="auto"/>
                <w:kern w:val="2"/>
                <w:sz w:val="18"/>
                <w:szCs w:val="18"/>
                <w:highlight w:val="none"/>
              </w:rPr>
              <w:t>合同违约条款：</w:t>
            </w:r>
            <w:r>
              <w:rPr>
                <w:rFonts w:hint="eastAsia" w:ascii="宋体" w:hAnsi="宋体" w:eastAsia="宋体" w:cs="Times New Roman"/>
                <w:color w:val="auto"/>
                <w:kern w:val="2"/>
                <w:sz w:val="18"/>
                <w:szCs w:val="18"/>
                <w:highlight w:val="none"/>
              </w:rPr>
              <w:t>《XXX项目合同》十二条之附表第26条款：“</w:t>
            </w:r>
            <w:r>
              <w:rPr>
                <w:rFonts w:ascii="宋体" w:hAnsi="宋体" w:eastAsia="宋体" w:cs="Times New Roman"/>
                <w:color w:val="auto"/>
                <w:kern w:val="2"/>
                <w:sz w:val="18"/>
                <w:szCs w:val="18"/>
                <w:highlight w:val="none"/>
              </w:rPr>
              <w:t>乙方未按照《</w:t>
            </w:r>
            <w:r>
              <w:rPr>
                <w:rFonts w:hint="eastAsia" w:ascii="宋体" w:hAnsi="宋体" w:eastAsia="宋体" w:cs="Times New Roman"/>
                <w:color w:val="auto"/>
                <w:kern w:val="2"/>
                <w:sz w:val="18"/>
                <w:szCs w:val="18"/>
                <w:highlight w:val="none"/>
              </w:rPr>
              <w:t>XXX</w:t>
            </w:r>
            <w:r>
              <w:rPr>
                <w:rFonts w:ascii="宋体" w:hAnsi="宋体" w:eastAsia="宋体" w:cs="Times New Roman"/>
                <w:color w:val="auto"/>
                <w:kern w:val="2"/>
                <w:sz w:val="18"/>
                <w:szCs w:val="18"/>
                <w:highlight w:val="none"/>
              </w:rPr>
              <w:t>维修规程》规定的周期执行，发生漏检</w:t>
            </w:r>
            <w:r>
              <w:rPr>
                <w:rFonts w:hint="eastAsia" w:ascii="宋体" w:hAnsi="宋体" w:eastAsia="宋体" w:cs="Times New Roman"/>
                <w:color w:val="auto"/>
                <w:kern w:val="2"/>
                <w:sz w:val="18"/>
                <w:szCs w:val="18"/>
                <w:highlight w:val="none"/>
              </w:rPr>
              <w:t>、</w:t>
            </w:r>
            <w:r>
              <w:rPr>
                <w:rFonts w:ascii="宋体" w:hAnsi="宋体" w:eastAsia="宋体" w:cs="Times New Roman"/>
                <w:color w:val="auto"/>
                <w:kern w:val="2"/>
                <w:sz w:val="18"/>
                <w:szCs w:val="18"/>
                <w:highlight w:val="none"/>
              </w:rPr>
              <w:t>漏修月检内容</w:t>
            </w:r>
            <w:r>
              <w:rPr>
                <w:rFonts w:hint="eastAsia" w:ascii="宋体" w:hAnsi="宋体" w:eastAsia="宋体" w:cs="Times New Roman"/>
                <w:color w:val="auto"/>
                <w:kern w:val="2"/>
                <w:sz w:val="18"/>
                <w:szCs w:val="18"/>
                <w:highlight w:val="none"/>
              </w:rPr>
              <w:t>或记录不完善，</w:t>
            </w:r>
            <w:r>
              <w:rPr>
                <w:rFonts w:ascii="宋体" w:hAnsi="宋体" w:eastAsia="宋体" w:cs="Times New Roman"/>
                <w:color w:val="auto"/>
                <w:kern w:val="2"/>
                <w:sz w:val="18"/>
                <w:szCs w:val="18"/>
                <w:highlight w:val="none"/>
              </w:rPr>
              <w:t>每次</w:t>
            </w:r>
            <w:r>
              <w:rPr>
                <w:rFonts w:hint="eastAsia" w:ascii="宋体" w:hAnsi="宋体" w:eastAsia="宋体" w:cs="Times New Roman"/>
                <w:color w:val="auto"/>
                <w:kern w:val="2"/>
                <w:sz w:val="18"/>
                <w:szCs w:val="18"/>
                <w:highlight w:val="none"/>
              </w:rPr>
              <w:t>每项</w:t>
            </w:r>
            <w:r>
              <w:rPr>
                <w:rFonts w:ascii="宋体" w:hAnsi="宋体" w:eastAsia="宋体" w:cs="Times New Roman"/>
                <w:color w:val="auto"/>
                <w:kern w:val="2"/>
                <w:sz w:val="18"/>
                <w:szCs w:val="18"/>
                <w:highlight w:val="none"/>
              </w:rPr>
              <w:t>乙方向甲方支付</w:t>
            </w:r>
            <w:r>
              <w:rPr>
                <w:rFonts w:hint="eastAsia" w:ascii="宋体" w:hAnsi="宋体" w:eastAsia="宋体" w:cs="Times New Roman"/>
                <w:color w:val="auto"/>
                <w:kern w:val="2"/>
                <w:sz w:val="18"/>
                <w:szCs w:val="18"/>
                <w:highlight w:val="none"/>
              </w:rPr>
              <w:t>500</w:t>
            </w:r>
            <w:r>
              <w:rPr>
                <w:rFonts w:ascii="宋体" w:hAnsi="宋体" w:eastAsia="宋体" w:cs="Times New Roman"/>
                <w:color w:val="auto"/>
                <w:kern w:val="2"/>
                <w:sz w:val="18"/>
                <w:szCs w:val="18"/>
                <w:highlight w:val="none"/>
              </w:rPr>
              <w:t>元违约金</w:t>
            </w:r>
            <w:r>
              <w:rPr>
                <w:rFonts w:hint="eastAsia" w:ascii="宋体" w:hAnsi="宋体" w:eastAsia="宋体" w:cs="Times New Roman"/>
                <w:color w:val="auto"/>
                <w:kern w:val="2"/>
                <w:sz w:val="18"/>
                <w:szCs w:val="18"/>
                <w:highlight w:val="none"/>
              </w:rPr>
              <w:t>，考核0.5分”。（举例）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after="0" w:afterAutospacing="0" w:line="240" w:lineRule="auto"/>
              <w:ind w:left="0" w:right="0" w:firstLine="0"/>
              <w:rPr>
                <w:rFonts w:ascii="宋体" w:hAnsi="宋体" w:eastAsia="宋体" w:cs="Times New Roman"/>
                <w:color w:val="auto"/>
                <w:kern w:val="2"/>
                <w:sz w:val="18"/>
                <w:szCs w:val="18"/>
                <w:highlight w:val="none"/>
              </w:rPr>
            </w:pPr>
          </w:p>
          <w:p>
            <w:pPr>
              <w:widowControl w:val="0"/>
              <w:spacing w:before="0" w:after="0" w:afterAutospacing="0" w:line="300" w:lineRule="exact"/>
              <w:ind w:left="0" w:right="0" w:firstLine="0"/>
              <w:rPr>
                <w:rFonts w:ascii="宋体" w:hAnsi="宋体" w:eastAsia="宋体" w:cs="Times New Roman"/>
                <w:bCs/>
                <w:color w:val="auto"/>
                <w:kern w:val="2"/>
                <w:szCs w:val="21"/>
                <w:highlight w:val="none"/>
              </w:rPr>
            </w:pPr>
            <w:r>
              <w:rPr>
                <w:rFonts w:hint="eastAsia" w:ascii="宋体" w:hAnsi="宋体" w:eastAsia="宋体" w:cs="Times New Roman"/>
                <w:color w:val="auto"/>
                <w:kern w:val="2"/>
                <w:sz w:val="18"/>
                <w:szCs w:val="18"/>
                <w:highlight w:val="none"/>
              </w:rPr>
              <w:t>根据《XXX项目合同》中第XX条，决定对你司处以：1.处罚违约金500元人民币整；2.在月度评价表中扣0.5分；3.所罚扣款项从季度进度款中扣取。（举例）</w:t>
            </w:r>
          </w:p>
          <w:p>
            <w:pPr>
              <w:widowControl w:val="0"/>
              <w:spacing w:before="0" w:after="0" w:afterAutospacing="0" w:line="300" w:lineRule="exact"/>
              <w:ind w:left="0" w:right="0" w:firstLine="0"/>
              <w:rPr>
                <w:rFonts w:ascii="宋体" w:hAnsi="宋体" w:eastAsia="宋体" w:cs="Times New Roman"/>
                <w:bCs/>
                <w:color w:val="auto"/>
                <w:kern w:val="2"/>
                <w:szCs w:val="21"/>
                <w:highlight w:val="none"/>
              </w:rPr>
            </w:pPr>
            <w:r>
              <w:rPr>
                <w:rFonts w:hint="eastAsia" w:ascii="宋体" w:hAnsi="宋体" w:eastAsia="宋体" w:cs="Times New Roman"/>
                <w:bCs/>
                <w:color w:val="auto"/>
                <w:kern w:val="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lang w:eastAsia="zh-CN"/>
              </w:rPr>
              <w:t>运营公司</w:t>
            </w:r>
            <w:r>
              <w:rPr>
                <w:rFonts w:hint="eastAsia" w:ascii="宋体" w:hAnsi="宋体" w:eastAsia="宋体" w:cs="Times New Roman"/>
                <w:b/>
                <w:color w:val="auto"/>
                <w:kern w:val="2"/>
                <w:szCs w:val="24"/>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28" w:type="dxa"/>
            <w:vMerge w:val="continue"/>
            <w:tcBorders>
              <w:left w:val="thinThickSmallGap" w:color="auto" w:sz="18"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val="en-US" w:eastAsia="zh-CN"/>
              </w:rPr>
            </w:pPr>
            <w:r>
              <w:rPr>
                <w:rFonts w:hint="eastAsia" w:ascii="宋体" w:hAnsi="宋体" w:eastAsia="宋体" w:cs="Times New Roman"/>
                <w:b/>
                <w:color w:val="auto"/>
                <w:kern w:val="2"/>
                <w:szCs w:val="24"/>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113" w:right="113" w:firstLine="0"/>
              <w:jc w:val="center"/>
              <w:rPr>
                <w:rFonts w:ascii="宋体" w:hAnsi="宋体" w:eastAsia="宋体" w:cs="宋体"/>
                <w:color w:val="auto"/>
                <w:kern w:val="2"/>
                <w:szCs w:val="21"/>
                <w:highlight w:val="none"/>
              </w:rPr>
            </w:pPr>
          </w:p>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主办/协办部门</w:t>
            </w:r>
          </w:p>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rPr>
              <w:t>分管</w:t>
            </w:r>
            <w:r>
              <w:rPr>
                <w:rFonts w:hint="eastAsia" w:ascii="宋体" w:hAnsi="宋体" w:eastAsia="宋体" w:cs="Times New Roman"/>
                <w:b/>
                <w:color w:val="auto"/>
                <w:kern w:val="2"/>
                <w:szCs w:val="24"/>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0" w:right="113" w:firstLine="840" w:firstLineChars="400"/>
              <w:rPr>
                <w:rFonts w:hint="eastAsia" w:ascii="Times New Roman" w:hAnsi="Times New Roman" w:eastAsia="宋体" w:cs="Times New Roman"/>
                <w:color w:val="auto"/>
                <w:kern w:val="2"/>
                <w:szCs w:val="24"/>
                <w:highlight w:val="none"/>
              </w:rPr>
            </w:pPr>
            <w:r>
              <w:rPr>
                <w:rFonts w:hint="eastAsia" w:ascii="Times New Roman" w:hAnsi="Times New Roman" w:eastAsia="宋体" w:cs="Times New Roman"/>
                <w:color w:val="auto"/>
                <w:kern w:val="2"/>
                <w:szCs w:val="24"/>
                <w:highlight w:val="none"/>
              </w:rPr>
              <w:t xml:space="preserve">                                              </w:t>
            </w:r>
          </w:p>
          <w:p>
            <w:pPr>
              <w:widowControl w:val="0"/>
              <w:spacing w:before="0" w:after="0" w:afterAutospacing="0" w:line="240" w:lineRule="auto"/>
              <w:ind w:left="0" w:right="0" w:firstLine="0"/>
              <w:jc w:val="both"/>
              <w:rPr>
                <w:rFonts w:ascii="宋体" w:hAnsi="Courier New"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0" w:right="0" w:firstLine="0"/>
              <w:rPr>
                <w:rFonts w:ascii="宋体" w:hAnsi="宋体" w:eastAsia="宋体" w:cs="宋体"/>
                <w:color w:val="auto"/>
                <w:kern w:val="2"/>
                <w:szCs w:val="21"/>
                <w:highlight w:val="none"/>
              </w:rPr>
            </w:pPr>
          </w:p>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val="0"/>
              <w:spacing w:before="0" w:after="0" w:afterAutospacing="0" w:line="240" w:lineRule="auto"/>
              <w:ind w:left="0" w:right="0" w:firstLine="0"/>
              <w:jc w:val="center"/>
              <w:rPr>
                <w:rFonts w:hint="eastAsia" w:ascii="宋体" w:hAnsi="宋体" w:eastAsia="宋体" w:cs="Times New Roman"/>
                <w:b/>
                <w:color w:val="auto"/>
                <w:kern w:val="2"/>
                <w:szCs w:val="24"/>
                <w:highlight w:val="none"/>
                <w:lang w:eastAsia="zh-CN"/>
              </w:rPr>
            </w:pPr>
            <w:r>
              <w:rPr>
                <w:rFonts w:hint="eastAsia" w:ascii="宋体" w:hAnsi="宋体" w:eastAsia="宋体" w:cs="Times New Roman"/>
                <w:b/>
                <w:color w:val="auto"/>
                <w:kern w:val="2"/>
                <w:szCs w:val="24"/>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val="0"/>
              <w:spacing w:before="0" w:after="0" w:afterAutospacing="0" w:line="240" w:lineRule="auto"/>
              <w:ind w:left="0" w:right="113" w:firstLine="0"/>
              <w:rPr>
                <w:rFonts w:ascii="宋体" w:hAnsi="宋体" w:eastAsia="宋体" w:cs="Times New Roman"/>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widowControl w:val="0"/>
              <w:spacing w:before="0" w:after="0" w:afterAutospacing="0" w:line="240" w:lineRule="auto"/>
              <w:ind w:left="0" w:right="0" w:firstLine="0"/>
              <w:jc w:val="center"/>
              <w:rPr>
                <w:rFonts w:ascii="宋体" w:hAnsi="宋体" w:eastAsia="宋体" w:cs="Times New Roman"/>
                <w:b/>
                <w:color w:val="auto"/>
                <w:kern w:val="2"/>
                <w:szCs w:val="24"/>
                <w:highlight w:val="none"/>
              </w:rPr>
            </w:pPr>
            <w:r>
              <w:rPr>
                <w:rFonts w:hint="eastAsia" w:ascii="宋体" w:hAnsi="宋体" w:eastAsia="宋体" w:cs="Times New Roman"/>
                <w:b/>
                <w:color w:val="auto"/>
                <w:kern w:val="2"/>
                <w:szCs w:val="24"/>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spacing w:before="0" w:after="0" w:afterAutospacing="0" w:line="240" w:lineRule="auto"/>
              <w:ind w:left="0" w:right="0" w:firstLine="0"/>
              <w:rPr>
                <w:rFonts w:ascii="宋体" w:hAnsi="宋体" w:eastAsia="宋体" w:cs="Times New Roman"/>
                <w:b/>
                <w:color w:val="auto"/>
                <w:kern w:val="2"/>
                <w:szCs w:val="24"/>
                <w:highlight w:val="none"/>
              </w:rPr>
            </w:pPr>
            <w:r>
              <w:rPr>
                <w:rFonts w:hint="eastAsia" w:ascii="宋体" w:hAnsi="宋体" w:eastAsia="宋体" w:cs="Times New Roman"/>
                <w:bCs/>
                <w:color w:val="auto"/>
                <w:kern w:val="2"/>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spacing w:before="0" w:after="0" w:afterAutospacing="0" w:line="240" w:lineRule="auto"/>
              <w:ind w:left="0" w:right="0" w:firstLine="0"/>
              <w:jc w:val="center"/>
              <w:rPr>
                <w:rFonts w:ascii="宋体" w:hAnsi="宋体" w:eastAsia="宋体" w:cs="Times New Roman"/>
                <w:bCs/>
                <w:color w:val="auto"/>
                <w:kern w:val="2"/>
                <w:szCs w:val="21"/>
                <w:highlight w:val="none"/>
              </w:rPr>
            </w:pPr>
            <w:r>
              <w:rPr>
                <w:rFonts w:hint="eastAsia" w:ascii="宋体" w:hAnsi="宋体" w:eastAsia="宋体" w:cs="Times New Roman"/>
                <w:b/>
                <w:color w:val="auto"/>
                <w:kern w:val="2"/>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spacing w:before="0" w:after="0" w:afterAutospacing="0" w:line="240" w:lineRule="auto"/>
              <w:ind w:left="0" w:right="0" w:firstLine="210" w:firstLineChars="100"/>
              <w:rPr>
                <w:rFonts w:hint="eastAsia" w:ascii="Times New Roman" w:hAnsi="Times New Roman" w:eastAsia="宋体" w:cs="Times New Roman"/>
                <w:color w:val="auto"/>
                <w:kern w:val="2"/>
                <w:szCs w:val="24"/>
                <w:highlight w:val="none"/>
              </w:rPr>
            </w:pPr>
            <w:r>
              <w:rPr>
                <w:rFonts w:hint="eastAsia" w:ascii="Times New Roman" w:hAnsi="Times New Roman" w:eastAsia="宋体" w:cs="Times New Roman"/>
                <w:color w:val="auto"/>
                <w:kern w:val="2"/>
                <w:szCs w:val="24"/>
                <w:highlight w:val="none"/>
              </w:rPr>
              <w:t>直接送达</w:t>
            </w:r>
            <w:r>
              <w:rPr>
                <w:rFonts w:hint="eastAsia" w:ascii="Times New Roman" w:hAnsi="Times New Roman" w:eastAsia="宋体" w:cs="Times New Roman"/>
                <w:color w:val="auto"/>
                <w:kern w:val="2"/>
                <w:szCs w:val="24"/>
                <w:highlight w:val="none"/>
              </w:rPr>
              <w:sym w:font="Wingdings 2" w:char="00A3"/>
            </w:r>
            <w:r>
              <w:rPr>
                <w:rFonts w:hint="eastAsia" w:ascii="Times New Roman" w:hAnsi="Times New Roman" w:eastAsia="宋体" w:cs="Times New Roman"/>
                <w:color w:val="auto"/>
                <w:kern w:val="2"/>
                <w:szCs w:val="24"/>
                <w:highlight w:val="none"/>
              </w:rPr>
              <w:t xml:space="preserve">  签收人：</w:t>
            </w:r>
          </w:p>
          <w:p>
            <w:pPr>
              <w:widowControl w:val="0"/>
              <w:spacing w:before="0" w:after="0" w:afterAutospacing="0" w:line="240" w:lineRule="auto"/>
              <w:ind w:left="0" w:right="0" w:firstLine="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留置送达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送达地址：                    </w:t>
            </w:r>
          </w:p>
          <w:p>
            <w:pPr>
              <w:widowControl w:val="0"/>
              <w:spacing w:before="0" w:after="0" w:afterAutospacing="0" w:line="240" w:lineRule="auto"/>
              <w:ind w:left="0" w:right="0" w:firstLine="0"/>
              <w:jc w:val="both"/>
              <w:rPr>
                <w:rFonts w:ascii="宋体" w:hAnsi="Courier New" w:eastAsia="宋体" w:cs="Times New Roman"/>
                <w:color w:val="auto"/>
                <w:kern w:val="2"/>
                <w:sz w:val="21"/>
                <w:szCs w:val="24"/>
                <w:highlight w:val="none"/>
                <w:lang w:val="en-US" w:eastAsia="zh-CN" w:bidi="ar-SA"/>
              </w:rPr>
            </w:pPr>
            <w:r>
              <w:rPr>
                <w:rFonts w:hint="eastAsia" w:ascii="宋体" w:hAnsi="Courier New" w:eastAsia="宋体" w:cs="Times New Roman"/>
                <w:color w:val="auto"/>
                <w:kern w:val="2"/>
                <w:sz w:val="21"/>
                <w:szCs w:val="24"/>
                <w:highlight w:val="none"/>
                <w:lang w:val="en-US" w:eastAsia="zh-CN" w:bidi="ar-SA"/>
              </w:rPr>
              <w:t xml:space="preserve">  电子送达</w:t>
            </w:r>
            <w:r>
              <w:rPr>
                <w:rFonts w:hint="eastAsia" w:ascii="宋体" w:hAnsi="Courier New" w:eastAsia="宋体" w:cs="Times New Roman"/>
                <w:color w:val="auto"/>
                <w:kern w:val="2"/>
                <w:sz w:val="21"/>
                <w:szCs w:val="24"/>
                <w:highlight w:val="none"/>
                <w:lang w:val="en-US" w:eastAsia="zh-CN" w:bidi="ar-SA"/>
              </w:rPr>
              <w:sym w:font="Wingdings 2" w:char="00A3"/>
            </w:r>
            <w:r>
              <w:rPr>
                <w:rFonts w:hint="eastAsia" w:ascii="宋体" w:hAnsi="Courier New" w:eastAsia="宋体" w:cs="Times New Roman"/>
                <w:color w:val="auto"/>
                <w:kern w:val="2"/>
                <w:sz w:val="21"/>
                <w:szCs w:val="24"/>
                <w:highlight w:val="none"/>
                <w:lang w:val="en-US" w:eastAsia="zh-CN" w:bidi="ar-SA"/>
              </w:rPr>
              <w:t xml:space="preserve">  收件人邮箱地址：</w:t>
            </w:r>
          </w:p>
        </w:tc>
      </w:tr>
    </w:tbl>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说明：1.本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一式三份，委外单位</w:t>
      </w:r>
      <w:r>
        <w:rPr>
          <w:rFonts w:hint="eastAsia" w:ascii="宋体" w:hAnsi="宋体" w:eastAsia="宋体" w:cs="Times New Roman"/>
          <w:color w:val="auto"/>
          <w:kern w:val="2"/>
          <w:sz w:val="18"/>
          <w:szCs w:val="18"/>
          <w:highlight w:val="none"/>
          <w:lang w:val="en-US" w:eastAsia="zh-CN"/>
        </w:rPr>
        <w:t>/</w:t>
      </w:r>
      <w:r>
        <w:rPr>
          <w:rFonts w:hint="eastAsia" w:ascii="宋体" w:hAnsi="宋体" w:eastAsia="宋体" w:cs="Times New Roman"/>
          <w:color w:val="auto"/>
          <w:kern w:val="2"/>
          <w:sz w:val="18"/>
          <w:szCs w:val="18"/>
          <w:highlight w:val="none"/>
        </w:rPr>
        <w:t>劳务派遣单位执一份，</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执两份，由</w:t>
      </w:r>
      <w:r>
        <w:rPr>
          <w:rFonts w:hint="eastAsia" w:ascii="宋体" w:hAnsi="宋体" w:eastAsia="宋体" w:cs="Times New Roman"/>
          <w:color w:val="auto"/>
          <w:kern w:val="2"/>
          <w:sz w:val="18"/>
          <w:szCs w:val="18"/>
          <w:highlight w:val="none"/>
          <w:lang w:eastAsia="zh-CN"/>
        </w:rPr>
        <w:t>运营公司主办/协办部门</w:t>
      </w:r>
      <w:r>
        <w:rPr>
          <w:rFonts w:hint="eastAsia" w:ascii="宋体" w:hAnsi="宋体" w:eastAsia="宋体" w:cs="Times New Roman"/>
          <w:color w:val="auto"/>
          <w:kern w:val="2"/>
          <w:sz w:val="18"/>
          <w:szCs w:val="18"/>
          <w:highlight w:val="none"/>
        </w:rPr>
        <w:t>在合同执行</w:t>
      </w:r>
      <w:r>
        <w:rPr>
          <w:rFonts w:hint="eastAsia" w:ascii="宋体" w:hAnsi="宋体" w:eastAsia="宋体" w:cs="Times New Roman"/>
          <w:color w:val="auto"/>
          <w:kern w:val="2"/>
          <w:sz w:val="18"/>
          <w:szCs w:val="18"/>
          <w:highlight w:val="none"/>
          <w:lang w:eastAsia="zh-CN"/>
        </w:rPr>
        <w:t>过</w:t>
      </w:r>
      <w:r>
        <w:rPr>
          <w:rFonts w:hint="eastAsia" w:ascii="宋体" w:hAnsi="宋体" w:eastAsia="宋体" w:cs="Times New Roman"/>
          <w:color w:val="auto"/>
          <w:kern w:val="2"/>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2.委外单位</w:t>
      </w:r>
      <w:r>
        <w:rPr>
          <w:rFonts w:hint="eastAsia" w:ascii="宋体" w:hAnsi="宋体" w:eastAsia="宋体" w:cs="Times New Roman"/>
          <w:color w:val="auto"/>
          <w:kern w:val="2"/>
          <w:sz w:val="18"/>
          <w:szCs w:val="18"/>
          <w:highlight w:val="none"/>
          <w:lang w:val="en-US" w:eastAsia="zh-CN"/>
        </w:rPr>
        <w:t>/</w:t>
      </w:r>
      <w:r>
        <w:rPr>
          <w:rFonts w:hint="eastAsia" w:ascii="宋体" w:hAnsi="宋体" w:eastAsia="宋体" w:cs="Times New Roman"/>
          <w:color w:val="auto"/>
          <w:kern w:val="2"/>
          <w:sz w:val="18"/>
          <w:szCs w:val="18"/>
          <w:highlight w:val="none"/>
        </w:rPr>
        <w:t>劳务派遣单位若对本次违约处理有意见，须在</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送达后2个工作日内向</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主办/协办部门提交正式申诉材料提出申诉，否则视为接受违约处理意见，主办/协办部门在收到申诉材料后须在5个工作日给予回复；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hint="eastAsia" w:ascii="宋体" w:hAnsi="宋体" w:eastAsia="宋体" w:cs="Times New Roman"/>
          <w:color w:val="auto"/>
          <w:kern w:val="2"/>
          <w:sz w:val="18"/>
          <w:szCs w:val="18"/>
          <w:highlight w:val="none"/>
        </w:rPr>
      </w:pPr>
      <w:r>
        <w:rPr>
          <w:rFonts w:hint="eastAsia" w:ascii="宋体" w:hAnsi="宋体" w:eastAsia="宋体" w:cs="Times New Roman"/>
          <w:color w:val="auto"/>
          <w:kern w:val="2"/>
          <w:sz w:val="18"/>
          <w:szCs w:val="18"/>
          <w:highlight w:val="none"/>
        </w:rPr>
        <w:t>3.本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按照违约处理决定的金额和授权方案逐级签批或用印，5000元</w:t>
      </w:r>
      <w:r>
        <w:rPr>
          <w:rFonts w:hint="eastAsia" w:ascii="宋体" w:hAnsi="宋体" w:eastAsia="宋体" w:cs="Times New Roman"/>
          <w:color w:val="auto"/>
          <w:kern w:val="2"/>
          <w:sz w:val="18"/>
          <w:szCs w:val="18"/>
          <w:highlight w:val="none"/>
          <w:lang w:eastAsia="zh-CN"/>
        </w:rPr>
        <w:t>（含）以下</w:t>
      </w:r>
      <w:r>
        <w:rPr>
          <w:rFonts w:hint="eastAsia" w:ascii="宋体" w:hAnsi="宋体" w:eastAsia="宋体" w:cs="Times New Roman"/>
          <w:color w:val="auto"/>
          <w:kern w:val="2"/>
          <w:sz w:val="18"/>
          <w:szCs w:val="18"/>
          <w:highlight w:val="none"/>
        </w:rPr>
        <w:t>由主办/协办部门签批，5000</w:t>
      </w:r>
      <w:r>
        <w:rPr>
          <w:rFonts w:hint="eastAsia" w:ascii="宋体" w:hAnsi="宋体" w:eastAsia="宋体" w:cs="Times New Roman"/>
          <w:color w:val="auto"/>
          <w:kern w:val="2"/>
          <w:sz w:val="18"/>
          <w:szCs w:val="18"/>
          <w:highlight w:val="none"/>
          <w:lang w:eastAsia="zh-CN"/>
        </w:rPr>
        <w:t>元</w:t>
      </w:r>
      <w:r>
        <w:rPr>
          <w:rFonts w:hint="eastAsia" w:ascii="宋体" w:hAnsi="宋体" w:eastAsia="宋体" w:cs="Times New Roman"/>
          <w:color w:val="auto"/>
          <w:kern w:val="2"/>
          <w:sz w:val="18"/>
          <w:szCs w:val="18"/>
          <w:highlight w:val="none"/>
        </w:rPr>
        <w:t>（不含）-10000元</w:t>
      </w:r>
      <w:r>
        <w:rPr>
          <w:rFonts w:hint="eastAsia" w:ascii="宋体" w:hAnsi="宋体" w:eastAsia="宋体" w:cs="Times New Roman"/>
          <w:color w:val="auto"/>
          <w:kern w:val="2"/>
          <w:sz w:val="18"/>
          <w:szCs w:val="18"/>
          <w:highlight w:val="none"/>
          <w:lang w:eastAsia="zh-CN"/>
        </w:rPr>
        <w:t>（含）签批至</w:t>
      </w:r>
      <w:r>
        <w:rPr>
          <w:rFonts w:hint="eastAsia" w:ascii="宋体" w:hAnsi="宋体" w:eastAsia="宋体" w:cs="Times New Roman"/>
          <w:color w:val="auto"/>
          <w:kern w:val="2"/>
          <w:sz w:val="18"/>
          <w:szCs w:val="18"/>
          <w:highlight w:val="none"/>
        </w:rPr>
        <w:t>分管</w:t>
      </w:r>
      <w:r>
        <w:rPr>
          <w:rFonts w:hint="eastAsia" w:ascii="宋体" w:hAnsi="宋体" w:eastAsia="宋体" w:cs="Times New Roman"/>
          <w:color w:val="auto"/>
          <w:kern w:val="2"/>
          <w:sz w:val="18"/>
          <w:szCs w:val="18"/>
          <w:highlight w:val="none"/>
          <w:lang w:eastAsia="zh-CN"/>
        </w:rPr>
        <w:t>主办/协办部门的领导</w:t>
      </w:r>
      <w:r>
        <w:rPr>
          <w:rFonts w:hint="eastAsia" w:ascii="宋体" w:hAnsi="宋体" w:eastAsia="宋体" w:cs="Times New Roman"/>
          <w:color w:val="auto"/>
          <w:kern w:val="2"/>
          <w:sz w:val="18"/>
          <w:szCs w:val="18"/>
          <w:highlight w:val="none"/>
        </w:rPr>
        <w:t>并用</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印，10000元</w:t>
      </w:r>
      <w:r>
        <w:rPr>
          <w:rFonts w:hint="eastAsia" w:ascii="宋体" w:hAnsi="宋体" w:eastAsia="宋体" w:cs="Times New Roman"/>
          <w:color w:val="auto"/>
          <w:kern w:val="2"/>
          <w:sz w:val="18"/>
          <w:szCs w:val="18"/>
          <w:highlight w:val="none"/>
          <w:lang w:eastAsia="zh-CN"/>
        </w:rPr>
        <w:t>（不含）</w:t>
      </w:r>
      <w:r>
        <w:rPr>
          <w:rFonts w:hint="eastAsia" w:ascii="宋体" w:hAnsi="宋体" w:eastAsia="宋体" w:cs="Times New Roman"/>
          <w:color w:val="auto"/>
          <w:kern w:val="2"/>
          <w:sz w:val="18"/>
          <w:szCs w:val="18"/>
          <w:highlight w:val="none"/>
          <w:lang w:val="en-US" w:eastAsia="zh-CN"/>
        </w:rPr>
        <w:t>-20000元（含）</w:t>
      </w:r>
      <w:r>
        <w:rPr>
          <w:rFonts w:hint="eastAsia" w:ascii="宋体" w:hAnsi="宋体" w:eastAsia="宋体" w:cs="Times New Roman"/>
          <w:color w:val="auto"/>
          <w:kern w:val="2"/>
          <w:sz w:val="18"/>
          <w:szCs w:val="18"/>
          <w:highlight w:val="none"/>
          <w:lang w:eastAsia="zh-CN"/>
        </w:rPr>
        <w:t>签批至</w:t>
      </w:r>
      <w:r>
        <w:rPr>
          <w:rFonts w:hint="eastAsia" w:ascii="宋体" w:hAnsi="宋体" w:eastAsia="宋体" w:cs="Times New Roman"/>
          <w:color w:val="auto"/>
          <w:kern w:val="2"/>
          <w:sz w:val="18"/>
          <w:szCs w:val="18"/>
          <w:highlight w:val="none"/>
        </w:rPr>
        <w:t>总经理</w:t>
      </w:r>
      <w:r>
        <w:rPr>
          <w:rFonts w:hint="eastAsia" w:ascii="宋体" w:hAnsi="宋体" w:eastAsia="宋体" w:cs="Times New Roman"/>
          <w:color w:val="auto"/>
          <w:kern w:val="2"/>
          <w:sz w:val="18"/>
          <w:szCs w:val="18"/>
          <w:highlight w:val="none"/>
          <w:lang w:eastAsia="zh-CN"/>
        </w:rPr>
        <w:t>同时报董事长知悉</w:t>
      </w:r>
      <w:r>
        <w:rPr>
          <w:rFonts w:hint="eastAsia" w:ascii="宋体" w:hAnsi="宋体" w:eastAsia="宋体" w:cs="Times New Roman"/>
          <w:color w:val="auto"/>
          <w:kern w:val="2"/>
          <w:sz w:val="18"/>
          <w:szCs w:val="18"/>
          <w:highlight w:val="none"/>
        </w:rPr>
        <w:t>并用</w:t>
      </w:r>
      <w:r>
        <w:rPr>
          <w:rFonts w:hint="eastAsia" w:ascii="宋体" w:hAnsi="宋体" w:eastAsia="宋体" w:cs="Times New Roman"/>
          <w:color w:val="auto"/>
          <w:kern w:val="2"/>
          <w:sz w:val="18"/>
          <w:szCs w:val="18"/>
          <w:highlight w:val="none"/>
          <w:lang w:eastAsia="zh-CN"/>
        </w:rPr>
        <w:t>运营公司</w:t>
      </w:r>
      <w:r>
        <w:rPr>
          <w:rFonts w:hint="eastAsia" w:ascii="宋体" w:hAnsi="宋体" w:eastAsia="宋体" w:cs="Times New Roman"/>
          <w:color w:val="auto"/>
          <w:kern w:val="2"/>
          <w:sz w:val="18"/>
          <w:szCs w:val="18"/>
          <w:highlight w:val="none"/>
        </w:rPr>
        <w:t>印</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lang w:val="en-US" w:eastAsia="zh-CN"/>
        </w:rPr>
        <w:t>20000元（不含）以上签批至董事长并用运营公司印</w:t>
      </w:r>
      <w:r>
        <w:rPr>
          <w:rFonts w:hint="eastAsia" w:ascii="宋体" w:hAnsi="宋体" w:eastAsia="宋体" w:cs="Times New Roman"/>
          <w:color w:val="auto"/>
          <w:kern w:val="2"/>
          <w:sz w:val="18"/>
          <w:szCs w:val="18"/>
          <w:highlight w:val="none"/>
        </w:rPr>
        <w:t>；</w:t>
      </w:r>
    </w:p>
    <w:p>
      <w:pPr>
        <w:keepNext w:val="0"/>
        <w:keepLines w:val="0"/>
        <w:pageBreakBefore w:val="0"/>
        <w:widowControl w:val="0"/>
        <w:kinsoku/>
        <w:wordWrap/>
        <w:overflowPunct/>
        <w:topLinePunct w:val="0"/>
        <w:autoSpaceDE/>
        <w:autoSpaceDN/>
        <w:bidi w:val="0"/>
        <w:adjustRightInd/>
        <w:snapToGrid/>
        <w:spacing w:before="0" w:after="0" w:afterAutospacing="0" w:line="240" w:lineRule="exact"/>
        <w:ind w:left="102" w:leftChars="-37" w:right="0" w:rightChars="0" w:hanging="180" w:hangingChars="100"/>
        <w:jc w:val="left"/>
        <w:textAlignment w:val="auto"/>
        <w:rPr>
          <w:rFonts w:ascii="宋体" w:hAnsi="宋体"/>
          <w:b/>
          <w:highlight w:val="none"/>
        </w:rPr>
      </w:pPr>
      <w:r>
        <w:rPr>
          <w:rFonts w:hint="eastAsia" w:ascii="宋体" w:hAnsi="宋体" w:eastAsia="宋体" w:cs="Times New Roman"/>
          <w:color w:val="auto"/>
          <w:kern w:val="2"/>
          <w:sz w:val="18"/>
          <w:szCs w:val="18"/>
          <w:highlight w:val="none"/>
        </w:rPr>
        <w:t>4.本</w:t>
      </w:r>
      <w:r>
        <w:rPr>
          <w:rFonts w:hint="eastAsia" w:ascii="宋体" w:hAnsi="宋体" w:eastAsia="宋体" w:cs="Times New Roman"/>
          <w:color w:val="auto"/>
          <w:kern w:val="2"/>
          <w:sz w:val="18"/>
          <w:szCs w:val="18"/>
          <w:highlight w:val="none"/>
          <w:lang w:eastAsia="zh-CN"/>
        </w:rPr>
        <w:t>表单</w:t>
      </w:r>
      <w:r>
        <w:rPr>
          <w:rFonts w:hint="eastAsia" w:ascii="宋体" w:hAnsi="宋体" w:eastAsia="宋体" w:cs="Times New Roman"/>
          <w:color w:val="auto"/>
          <w:kern w:val="2"/>
          <w:sz w:val="18"/>
          <w:szCs w:val="18"/>
          <w:highlight w:val="none"/>
        </w:rPr>
        <w:t>自送达之日起生效。送达时间基准为</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lang w:val="en-US" w:eastAsia="zh-CN"/>
        </w:rPr>
        <w:t>1</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rPr>
        <w:t>直接送达以签收人签收时间为准；（2）留置送达以</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送达指定地点时间为准</w:t>
      </w:r>
      <w:r>
        <w:rPr>
          <w:rFonts w:hint="eastAsia" w:ascii="宋体" w:hAnsi="宋体" w:eastAsia="宋体" w:cs="Times New Roman"/>
          <w:color w:val="auto"/>
          <w:kern w:val="2"/>
          <w:sz w:val="18"/>
          <w:szCs w:val="18"/>
          <w:highlight w:val="none"/>
          <w:lang w:eastAsia="zh-CN"/>
        </w:rPr>
        <w:t>，</w:t>
      </w:r>
      <w:r>
        <w:rPr>
          <w:rFonts w:hint="eastAsia" w:ascii="宋体" w:hAnsi="宋体" w:eastAsia="宋体" w:cs="Times New Roman"/>
          <w:color w:val="auto"/>
          <w:kern w:val="2"/>
          <w:sz w:val="18"/>
          <w:szCs w:val="18"/>
          <w:highlight w:val="none"/>
        </w:rPr>
        <w:t>如出现拒签</w:t>
      </w:r>
      <w:r>
        <w:rPr>
          <w:rFonts w:hint="eastAsia" w:ascii="宋体" w:hAnsi="宋体" w:eastAsia="宋体" w:cs="Times New Roman"/>
          <w:color w:val="auto"/>
          <w:kern w:val="2"/>
          <w:sz w:val="18"/>
          <w:szCs w:val="18"/>
          <w:highlight w:val="none"/>
          <w:lang w:eastAsia="zh-CN"/>
        </w:rPr>
        <w:t>的</w:t>
      </w:r>
      <w:r>
        <w:rPr>
          <w:rFonts w:hint="eastAsia" w:ascii="宋体" w:hAnsi="宋体" w:eastAsia="宋体" w:cs="Times New Roman"/>
          <w:color w:val="auto"/>
          <w:kern w:val="2"/>
          <w:sz w:val="18"/>
          <w:szCs w:val="18"/>
          <w:highlight w:val="none"/>
        </w:rPr>
        <w:t>情况以</w:t>
      </w:r>
      <w:r>
        <w:rPr>
          <w:rFonts w:hint="eastAsia" w:ascii="宋体" w:hAnsi="宋体" w:eastAsia="宋体" w:cs="Times New Roman"/>
          <w:color w:val="auto"/>
          <w:kern w:val="2"/>
          <w:sz w:val="18"/>
          <w:szCs w:val="18"/>
          <w:highlight w:val="none"/>
          <w:lang w:eastAsia="zh-CN"/>
        </w:rPr>
        <w:t>本表单</w:t>
      </w:r>
      <w:r>
        <w:rPr>
          <w:rFonts w:hint="eastAsia" w:ascii="宋体" w:hAnsi="宋体" w:eastAsia="宋体" w:cs="Times New Roman"/>
          <w:color w:val="auto"/>
          <w:kern w:val="2"/>
          <w:sz w:val="18"/>
          <w:szCs w:val="18"/>
          <w:highlight w:val="none"/>
        </w:rPr>
        <w:t>送达指定地点时派送人现场照片或物流信息显示送达时间为准；（3）电子送达以发送人发出</w:t>
      </w:r>
      <w:r>
        <w:rPr>
          <w:rFonts w:hint="eastAsia" w:ascii="宋体" w:hAnsi="宋体" w:eastAsia="宋体" w:cs="Times New Roman"/>
          <w:color w:val="auto"/>
          <w:kern w:val="2"/>
          <w:sz w:val="18"/>
          <w:szCs w:val="18"/>
          <w:highlight w:val="none"/>
          <w:lang w:eastAsia="zh-CN"/>
        </w:rPr>
        <w:t>电子邮件</w:t>
      </w:r>
      <w:r>
        <w:rPr>
          <w:rFonts w:hint="eastAsia" w:ascii="宋体" w:hAnsi="宋体" w:eastAsia="宋体" w:cs="Times New Roman"/>
          <w:color w:val="auto"/>
          <w:kern w:val="2"/>
          <w:sz w:val="18"/>
          <w:szCs w:val="18"/>
          <w:highlight w:val="none"/>
        </w:rPr>
        <w:t>时间为准。</w:t>
      </w:r>
      <w:r>
        <w:rPr>
          <w:rFonts w:ascii="宋体" w:hAnsi="宋体" w:eastAsia="宋体" w:cs="Times New Roman"/>
          <w:color w:val="auto"/>
          <w:kern w:val="2"/>
          <w:sz w:val="21"/>
          <w:szCs w:val="21"/>
          <w:highlight w:val="none"/>
        </w:rPr>
        <w:br w:type="page"/>
      </w:r>
    </w:p>
    <w:p>
      <w:pPr>
        <w:pStyle w:val="14"/>
        <w:pageBreakBefore/>
        <w:shd w:val="clear"/>
        <w:ind w:right="-57"/>
        <w:jc w:val="center"/>
        <w:outlineLvl w:val="0"/>
        <w:rPr>
          <w:rStyle w:val="45"/>
          <w:rFonts w:ascii="宋体" w:hAnsi="宋体" w:eastAsia="宋体"/>
          <w:highlight w:val="none"/>
        </w:rPr>
      </w:pPr>
      <w:bookmarkStart w:id="2818" w:name="_Toc17186"/>
      <w:bookmarkStart w:id="2819" w:name="_Toc22003"/>
      <w:bookmarkStart w:id="2820" w:name="_Toc1999"/>
      <w:bookmarkStart w:id="2821" w:name="_Toc4284"/>
      <w:bookmarkStart w:id="2822" w:name="_Toc28176"/>
      <w:bookmarkStart w:id="2823" w:name="_Toc21661"/>
      <w:bookmarkStart w:id="2824" w:name="_Toc3551"/>
      <w:bookmarkStart w:id="2825" w:name="_Toc22578"/>
      <w:bookmarkStart w:id="2826" w:name="_Toc21231"/>
      <w:bookmarkStart w:id="2827" w:name="_Toc25908"/>
      <w:bookmarkStart w:id="2828" w:name="_Toc6090"/>
      <w:bookmarkStart w:id="2829" w:name="_Toc147"/>
      <w:bookmarkStart w:id="2830" w:name="_Toc5008"/>
      <w:bookmarkStart w:id="2831" w:name="_Toc26286"/>
      <w:bookmarkStart w:id="2832" w:name="_Toc1777"/>
      <w:bookmarkStart w:id="2833" w:name="_Toc24234"/>
      <w:bookmarkStart w:id="2834" w:name="_Toc9329"/>
      <w:bookmarkStart w:id="2835" w:name="_Toc14738"/>
      <w:bookmarkStart w:id="2836" w:name="_Toc22892"/>
      <w:bookmarkStart w:id="2837" w:name="_Toc14104"/>
      <w:bookmarkStart w:id="2838" w:name="_Toc531"/>
      <w:bookmarkStart w:id="2839" w:name="_Toc3174"/>
      <w:bookmarkStart w:id="2840" w:name="_Toc22547"/>
      <w:bookmarkStart w:id="2841" w:name="_Toc1104"/>
      <w:r>
        <w:rPr>
          <w:rStyle w:val="45"/>
          <w:rFonts w:hint="eastAsia" w:ascii="宋体" w:hAnsi="宋体" w:eastAsia="宋体"/>
          <w:highlight w:val="none"/>
        </w:rPr>
        <w:t>第六章评分办法</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shd w:val="clear"/>
        <w:spacing w:before="0" w:after="0" w:afterAutospacing="0"/>
        <w:ind w:left="0" w:right="0" w:firstLine="0" w:firstLineChars="0"/>
        <w:outlineLvl w:val="1"/>
        <w:rPr>
          <w:rFonts w:ascii="宋体" w:hAnsi="宋体" w:cs="Arial"/>
          <w:b/>
          <w:bCs/>
          <w:sz w:val="28"/>
          <w:szCs w:val="28"/>
          <w:highlight w:val="none"/>
        </w:rPr>
      </w:pPr>
      <w:bookmarkStart w:id="2842" w:name="_Toc15558"/>
      <w:bookmarkStart w:id="2843" w:name="_Toc30607"/>
      <w:bookmarkStart w:id="2844" w:name="_Toc10025"/>
      <w:bookmarkStart w:id="2845" w:name="_Toc15647"/>
      <w:bookmarkStart w:id="2846" w:name="_Toc9476"/>
      <w:bookmarkStart w:id="2847" w:name="_Toc24071"/>
      <w:bookmarkStart w:id="2848" w:name="_Toc3485"/>
      <w:r>
        <w:rPr>
          <w:rFonts w:hint="eastAsia" w:ascii="宋体" w:hAnsi="宋体" w:cs="Arial"/>
          <w:b/>
          <w:bCs/>
          <w:sz w:val="28"/>
          <w:szCs w:val="28"/>
          <w:highlight w:val="none"/>
          <w:lang w:val="en-US" w:eastAsia="zh-CN"/>
        </w:rPr>
        <w:t>1.</w:t>
      </w:r>
      <w:r>
        <w:rPr>
          <w:rFonts w:hint="eastAsia" w:ascii="宋体" w:hAnsi="宋体" w:cs="Arial"/>
          <w:b/>
          <w:bCs/>
          <w:sz w:val="28"/>
          <w:szCs w:val="28"/>
          <w:highlight w:val="none"/>
        </w:rPr>
        <w:t>评审原则</w:t>
      </w:r>
      <w:bookmarkEnd w:id="2842"/>
      <w:bookmarkEnd w:id="2843"/>
      <w:bookmarkEnd w:id="2844"/>
      <w:bookmarkEnd w:id="2845"/>
      <w:bookmarkEnd w:id="2846"/>
      <w:bookmarkEnd w:id="2847"/>
      <w:bookmarkEnd w:id="2848"/>
    </w:p>
    <w:p>
      <w:pPr>
        <w:shd w:val="clea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w:t>
      </w:r>
      <w:r>
        <w:rPr>
          <w:rFonts w:ascii="宋体" w:hAnsi="宋体"/>
          <w:highlight w:val="none"/>
        </w:rPr>
        <w:t>南宁轨道交通</w:t>
      </w:r>
      <w:r>
        <w:rPr>
          <w:rFonts w:hint="eastAsia" w:ascii="宋体" w:hAnsi="宋体"/>
          <w:highlight w:val="none"/>
        </w:rPr>
        <w:t>运营</w:t>
      </w:r>
      <w:r>
        <w:rPr>
          <w:rFonts w:ascii="宋体" w:hAnsi="宋体"/>
          <w:highlight w:val="none"/>
        </w:rPr>
        <w:t>有限公司</w:t>
      </w:r>
      <w:r>
        <w:rPr>
          <w:rFonts w:hint="eastAsia" w:ascii="宋体" w:hAnsi="宋体" w:cs="Arial"/>
          <w:bCs/>
          <w:highlight w:val="none"/>
        </w:rPr>
        <w:t>5人及以上单数组成评审小组，对比选申请文件按评审标准进行评审。</w:t>
      </w:r>
    </w:p>
    <w:p>
      <w:pPr>
        <w:shd w:val="clea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hd w:val="clear"/>
        <w:spacing w:before="0" w:after="0" w:afterAutospacing="0"/>
        <w:ind w:left="0" w:right="0" w:firstLine="420" w:firstLineChars="200"/>
        <w:outlineLvl w:val="2"/>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hd w:val="clear"/>
        <w:spacing w:before="0" w:after="0" w:afterAutospacing="0"/>
        <w:ind w:left="0" w:right="0" w:firstLine="0" w:firstLineChars="0"/>
        <w:outlineLvl w:val="1"/>
        <w:rPr>
          <w:rFonts w:ascii="宋体" w:hAnsi="宋体" w:cs="Arial"/>
          <w:b/>
          <w:highlight w:val="none"/>
        </w:rPr>
      </w:pPr>
      <w:bookmarkStart w:id="2849" w:name="_Toc3763"/>
      <w:bookmarkStart w:id="2850" w:name="_Toc5019"/>
      <w:bookmarkStart w:id="2851" w:name="_Toc31872"/>
      <w:bookmarkStart w:id="2852" w:name="_Toc6933"/>
      <w:bookmarkStart w:id="2853" w:name="_Toc11240"/>
      <w:bookmarkStart w:id="2854" w:name="_Toc29000"/>
      <w:bookmarkStart w:id="2855" w:name="_Toc15880"/>
      <w:bookmarkStart w:id="2856" w:name="_Toc7066"/>
      <w:bookmarkStart w:id="2857" w:name="_Toc478566177"/>
      <w:bookmarkStart w:id="2858" w:name="_Toc5136"/>
      <w:bookmarkStart w:id="2859" w:name="_Toc32206"/>
      <w:bookmarkStart w:id="2860" w:name="_Toc25305"/>
      <w:r>
        <w:rPr>
          <w:rFonts w:hint="eastAsia" w:ascii="宋体" w:hAnsi="宋体" w:cs="Arial"/>
          <w:b/>
          <w:bCs/>
          <w:sz w:val="28"/>
          <w:szCs w:val="28"/>
          <w:highlight w:val="none"/>
          <w:lang w:val="en-US" w:eastAsia="zh-CN"/>
        </w:rPr>
        <w:t>2.</w:t>
      </w:r>
      <w:r>
        <w:rPr>
          <w:rFonts w:hint="eastAsia" w:ascii="宋体" w:hAnsi="宋体" w:cs="Arial"/>
          <w:b/>
          <w:bCs/>
          <w:sz w:val="28"/>
          <w:szCs w:val="28"/>
          <w:highlight w:val="none"/>
        </w:rPr>
        <w:t>评定方法</w:t>
      </w:r>
      <w:bookmarkEnd w:id="2849"/>
      <w:bookmarkEnd w:id="2850"/>
      <w:bookmarkEnd w:id="2851"/>
      <w:bookmarkEnd w:id="2852"/>
      <w:bookmarkEnd w:id="2853"/>
      <w:bookmarkEnd w:id="2854"/>
      <w:bookmarkEnd w:id="2855"/>
      <w:bookmarkEnd w:id="2856"/>
      <w:bookmarkEnd w:id="2857"/>
      <w:bookmarkEnd w:id="2858"/>
      <w:bookmarkEnd w:id="2859"/>
      <w:bookmarkEnd w:id="2860"/>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rPr>
        <w:t>2.1对资格性和符合性检查合格的比选申请文件，采用</w:t>
      </w:r>
      <w:r>
        <w:rPr>
          <w:rFonts w:hint="eastAsia" w:ascii="宋体" w:hAnsi="宋体" w:cs="Arial"/>
          <w:b/>
          <w:bCs/>
          <w:highlight w:val="none"/>
        </w:rPr>
        <w:t>综合评估法</w:t>
      </w:r>
      <w:r>
        <w:rPr>
          <w:rFonts w:hint="eastAsia" w:ascii="宋体" w:hAnsi="宋体" w:cs="Arial"/>
          <w:highlight w:val="none"/>
        </w:rPr>
        <w:t>进行评审。满分100分，其中资信得分20分，技术得分50分，价格得分30分。</w:t>
      </w:r>
    </w:p>
    <w:p>
      <w:pPr>
        <w:shd w:val="clea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2.2评审委员会将依照本比选文件相关规定对质量和服务均能满足实质性响应要求的比选申请人</w:t>
      </w:r>
      <w:r>
        <w:rPr>
          <w:rFonts w:ascii="宋体" w:hAnsi="宋体"/>
          <w:highlight w:val="none"/>
        </w:rPr>
        <w:t>综合评分按照由高到低的顺序进行排序</w:t>
      </w:r>
      <w:r>
        <w:rPr>
          <w:rFonts w:hint="eastAsia" w:ascii="宋体" w:hAnsi="宋体" w:cs="Arial"/>
          <w:highlight w:val="none"/>
        </w:rPr>
        <w:t>，并编写评审报告。</w:t>
      </w:r>
    </w:p>
    <w:p>
      <w:pPr>
        <w:shd w:val="clear"/>
        <w:spacing w:before="0" w:after="0" w:afterAutospacing="0"/>
        <w:ind w:left="0" w:leftChars="0" w:right="0" w:firstLine="0" w:firstLineChars="0"/>
        <w:outlineLvl w:val="1"/>
        <w:rPr>
          <w:rFonts w:ascii="宋体" w:hAnsi="宋体" w:cs="Arial"/>
          <w:b/>
          <w:bCs/>
          <w:sz w:val="28"/>
          <w:szCs w:val="28"/>
          <w:highlight w:val="none"/>
        </w:rPr>
      </w:pPr>
      <w:bookmarkStart w:id="2861" w:name="_Toc5908"/>
      <w:bookmarkStart w:id="2862" w:name="_Toc10705"/>
      <w:bookmarkStart w:id="2863" w:name="_Toc16688"/>
      <w:bookmarkStart w:id="2864" w:name="_Toc26275"/>
      <w:bookmarkStart w:id="2865" w:name="_Toc22258"/>
      <w:bookmarkStart w:id="2866" w:name="_Toc14775"/>
      <w:bookmarkStart w:id="2867" w:name="_Toc23188"/>
      <w:r>
        <w:rPr>
          <w:rFonts w:hint="eastAsia" w:ascii="宋体" w:hAnsi="宋体" w:cs="Arial"/>
          <w:b/>
          <w:bCs/>
          <w:sz w:val="28"/>
          <w:szCs w:val="28"/>
          <w:highlight w:val="none"/>
          <w:lang w:val="en-US" w:eastAsia="zh-CN"/>
        </w:rPr>
        <w:t>3.</w:t>
      </w:r>
      <w:r>
        <w:rPr>
          <w:rFonts w:hint="eastAsia" w:ascii="宋体" w:hAnsi="宋体" w:cs="Arial"/>
          <w:b/>
          <w:bCs/>
          <w:sz w:val="28"/>
          <w:szCs w:val="28"/>
          <w:highlight w:val="none"/>
        </w:rPr>
        <w:t>资格审查</w:t>
      </w:r>
      <w:bookmarkEnd w:id="2861"/>
      <w:bookmarkEnd w:id="2862"/>
      <w:bookmarkEnd w:id="2863"/>
      <w:bookmarkEnd w:id="2864"/>
      <w:bookmarkEnd w:id="2865"/>
      <w:bookmarkEnd w:id="2866"/>
      <w:bookmarkEnd w:id="2867"/>
    </w:p>
    <w:p>
      <w:pPr>
        <w:shd w:val="clear"/>
        <w:spacing w:before="0" w:after="0" w:afterAutospacing="0"/>
        <w:ind w:left="0" w:right="0" w:firstLine="420" w:firstLineChars="200"/>
        <w:rPr>
          <w:rFonts w:ascii="宋体" w:hAnsi="宋体"/>
          <w:highlight w:val="none"/>
        </w:rPr>
      </w:pPr>
      <w:r>
        <w:rPr>
          <w:rFonts w:hint="eastAsia" w:ascii="宋体" w:hAnsi="宋体"/>
          <w:b w:val="0"/>
          <w:bCs/>
          <w:highlight w:val="none"/>
          <w:lang w:val="en-US" w:eastAsia="zh-CN"/>
        </w:rPr>
        <w:t>3.1</w:t>
      </w:r>
      <w:r>
        <w:rPr>
          <w:rFonts w:hint="eastAsia" w:ascii="宋体" w:hAnsi="宋体"/>
          <w:highlight w:val="none"/>
        </w:rPr>
        <w:t>资格审查采用定性评审法，审查比选申请人是否符合法律、法规、规章及比选文件对企业资质、业绩和其他强制性标准，是否处于正常的经营状况等情况。</w:t>
      </w:r>
    </w:p>
    <w:p>
      <w:pPr>
        <w:shd w:val="clea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3.2</w:t>
      </w:r>
      <w:r>
        <w:rPr>
          <w:rFonts w:hint="eastAsia" w:ascii="宋体" w:hAnsi="宋体"/>
          <w:highlight w:val="none"/>
        </w:rPr>
        <w:t>在本阶段不符合任何一项资格评审标准的比选申请人将被比选人拒绝，不得进入下一阶段的评审。评审标准详见附表一《资格审查表》。</w:t>
      </w:r>
    </w:p>
    <w:p>
      <w:pPr>
        <w:shd w:val="clear"/>
        <w:spacing w:before="0" w:after="0" w:afterAutospacing="0"/>
        <w:ind w:left="0" w:right="0" w:firstLine="0"/>
        <w:outlineLvl w:val="1"/>
        <w:rPr>
          <w:rFonts w:ascii="宋体" w:hAnsi="宋体" w:cs="Arial"/>
          <w:b/>
          <w:bCs/>
          <w:sz w:val="28"/>
          <w:szCs w:val="28"/>
          <w:highlight w:val="none"/>
        </w:rPr>
      </w:pPr>
      <w:bookmarkStart w:id="2868" w:name="_Toc4841"/>
      <w:bookmarkStart w:id="2869" w:name="_Toc14770"/>
      <w:bookmarkStart w:id="2870" w:name="_Toc4404"/>
      <w:bookmarkStart w:id="2871" w:name="_Toc4881"/>
      <w:r>
        <w:rPr>
          <w:rFonts w:hint="default" w:ascii="宋体" w:hAnsi="宋体" w:cs="Arial"/>
          <w:b/>
          <w:bCs/>
          <w:sz w:val="28"/>
          <w:szCs w:val="28"/>
          <w:highlight w:val="none"/>
          <w:lang w:eastAsia="zh-CN"/>
        </w:rPr>
        <w:t>4</w:t>
      </w:r>
      <w:r>
        <w:rPr>
          <w:rFonts w:hint="default" w:ascii="宋体" w:hAnsi="宋体" w:cs="Arial"/>
          <w:b/>
          <w:bCs/>
          <w:sz w:val="28"/>
          <w:szCs w:val="28"/>
          <w:highlight w:val="none"/>
          <w:lang w:val="en-US" w:eastAsia="zh-CN"/>
        </w:rPr>
        <w:t>.</w:t>
      </w:r>
      <w:r>
        <w:rPr>
          <w:rFonts w:hint="default" w:ascii="宋体" w:hAnsi="宋体" w:cs="Arial"/>
          <w:b/>
          <w:bCs/>
          <w:sz w:val="28"/>
          <w:szCs w:val="28"/>
          <w:highlight w:val="none"/>
        </w:rPr>
        <w:t>初步评审</w:t>
      </w:r>
      <w:bookmarkEnd w:id="2868"/>
      <w:bookmarkEnd w:id="2869"/>
      <w:bookmarkEnd w:id="2870"/>
      <w:bookmarkEnd w:id="2871"/>
    </w:p>
    <w:p>
      <w:pPr>
        <w:shd w:val="clear"/>
        <w:tabs>
          <w:tab w:val="left" w:pos="851"/>
        </w:tabs>
        <w:spacing w:before="0" w:after="0" w:afterAutospacing="0"/>
        <w:ind w:left="0" w:right="0" w:firstLine="420" w:firstLineChars="200"/>
        <w:rPr>
          <w:rFonts w:hint="eastAsia" w:ascii="宋体" w:hAnsi="宋体" w:cs="宋体"/>
          <w:highlight w:val="none"/>
        </w:rPr>
      </w:pPr>
      <w:r>
        <w:rPr>
          <w:rFonts w:hint="eastAsia" w:ascii="宋体" w:hAnsi="宋体" w:cs="宋体"/>
          <w:highlight w:val="none"/>
          <w:lang w:val="en-US" w:eastAsia="zh-CN"/>
        </w:rPr>
        <w:t>4.1</w:t>
      </w:r>
      <w:r>
        <w:rPr>
          <w:rFonts w:hint="eastAsia" w:ascii="宋体" w:hAnsi="宋体" w:cs="宋体"/>
          <w:highlight w:val="none"/>
        </w:rPr>
        <w:t>评审委员会将对比选申请文件的实质性内容进行初步评审，判定其内容是否真实、完整，是否满足比选文件要求并在实质性内容上予以响应。</w:t>
      </w:r>
    </w:p>
    <w:p>
      <w:pPr>
        <w:shd w:val="clear"/>
        <w:tabs>
          <w:tab w:val="left" w:pos="851"/>
        </w:tabs>
        <w:spacing w:before="0" w:after="0" w:afterAutospacing="0"/>
        <w:ind w:left="0" w:right="0" w:firstLine="420" w:firstLineChars="200"/>
        <w:rPr>
          <w:rFonts w:hint="eastAsia" w:ascii="宋体" w:hAnsi="宋体" w:cs="宋体"/>
          <w:highlight w:val="none"/>
        </w:rPr>
      </w:pPr>
      <w:r>
        <w:rPr>
          <w:rFonts w:hint="eastAsia" w:ascii="宋体" w:hAnsi="宋体" w:cs="宋体"/>
          <w:highlight w:val="none"/>
          <w:lang w:val="en-US" w:eastAsia="zh-CN"/>
        </w:rPr>
        <w:t>4.2</w:t>
      </w:r>
      <w:r>
        <w:rPr>
          <w:rFonts w:hint="eastAsia" w:ascii="宋体" w:hAnsi="宋体" w:cs="宋体"/>
          <w:highlight w:val="none"/>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shd w:val="clear"/>
        <w:tabs>
          <w:tab w:val="left" w:pos="851"/>
        </w:tabs>
        <w:spacing w:before="0" w:after="0" w:afterAutospacing="0"/>
        <w:ind w:left="0" w:right="0" w:firstLine="420" w:firstLineChars="200"/>
        <w:rPr>
          <w:rFonts w:hint="eastAsia" w:ascii="宋体" w:hAnsi="宋体" w:cs="宋体"/>
          <w:highlight w:val="none"/>
        </w:rPr>
      </w:pPr>
      <w:r>
        <w:rPr>
          <w:rFonts w:hint="eastAsia" w:ascii="宋体" w:hAnsi="宋体" w:cs="宋体"/>
          <w:highlight w:val="none"/>
          <w:lang w:val="en-US" w:eastAsia="zh-CN"/>
        </w:rPr>
        <w:t>4.3</w:t>
      </w:r>
      <w:r>
        <w:rPr>
          <w:rFonts w:hint="eastAsia" w:ascii="宋体" w:hAnsi="宋体" w:cs="宋体"/>
          <w:highlight w:val="none"/>
        </w:rPr>
        <w:t>评审委员会根据比选文件的要求对比选申请人进行符合性评审，未通过符合性评审的比选申请人不得进入下一阶段的评审。评审标准见附表二《符合性评审表》。</w:t>
      </w:r>
    </w:p>
    <w:p>
      <w:pPr>
        <w:shd w:val="clear"/>
        <w:spacing w:before="0" w:after="0" w:afterAutospacing="0"/>
        <w:ind w:left="0" w:right="0" w:firstLine="0"/>
        <w:outlineLvl w:val="1"/>
        <w:rPr>
          <w:rFonts w:ascii="宋体" w:hAnsi="宋体" w:cs="Arial"/>
          <w:b/>
          <w:bCs/>
          <w:sz w:val="28"/>
          <w:szCs w:val="28"/>
          <w:highlight w:val="none"/>
        </w:rPr>
      </w:pPr>
      <w:bookmarkStart w:id="2872" w:name="_Toc31312"/>
      <w:bookmarkStart w:id="2873" w:name="_Toc28988"/>
      <w:bookmarkStart w:id="2874" w:name="_Toc2525"/>
      <w:bookmarkStart w:id="2875" w:name="_Toc23560"/>
      <w:r>
        <w:rPr>
          <w:rFonts w:hint="eastAsia" w:ascii="宋体" w:hAnsi="宋体" w:cs="Arial"/>
          <w:b/>
          <w:bCs/>
          <w:sz w:val="28"/>
          <w:szCs w:val="28"/>
          <w:highlight w:val="none"/>
          <w:lang w:val="en-US" w:eastAsia="zh-CN"/>
        </w:rPr>
        <w:t>5.</w:t>
      </w:r>
      <w:r>
        <w:rPr>
          <w:rFonts w:hint="default" w:ascii="宋体" w:hAnsi="宋体" w:cs="Arial"/>
          <w:b/>
          <w:bCs/>
          <w:sz w:val="28"/>
          <w:szCs w:val="28"/>
          <w:highlight w:val="none"/>
        </w:rPr>
        <w:t>详细评审</w:t>
      </w:r>
      <w:bookmarkEnd w:id="2872"/>
      <w:bookmarkEnd w:id="2873"/>
      <w:bookmarkEnd w:id="2874"/>
      <w:bookmarkEnd w:id="2875"/>
    </w:p>
    <w:p>
      <w:pPr>
        <w:shd w:val="clear"/>
        <w:spacing w:before="0" w:after="0" w:afterAutospacing="0"/>
        <w:ind w:left="0" w:right="0" w:firstLine="422" w:firstLineChars="200"/>
        <w:outlineLvl w:val="2"/>
        <w:rPr>
          <w:rFonts w:ascii="宋体" w:hAnsi="宋体"/>
          <w:highlight w:val="none"/>
        </w:rPr>
      </w:pPr>
      <w:r>
        <w:rPr>
          <w:rFonts w:hint="eastAsia" w:ascii="宋体" w:hAnsi="宋体"/>
          <w:b/>
          <w:bCs/>
          <w:highlight w:val="none"/>
          <w:lang w:val="en-US" w:eastAsia="zh-CN"/>
        </w:rPr>
        <w:t>5</w:t>
      </w:r>
      <w:r>
        <w:rPr>
          <w:rFonts w:hint="eastAsia" w:ascii="宋体" w:hAnsi="宋体"/>
          <w:b/>
          <w:bCs/>
          <w:highlight w:val="none"/>
        </w:rPr>
        <w:t>.</w:t>
      </w:r>
      <w:r>
        <w:rPr>
          <w:rFonts w:hint="eastAsia" w:ascii="宋体" w:hAnsi="宋体"/>
          <w:b/>
          <w:bCs/>
          <w:highlight w:val="none"/>
          <w:lang w:val="en-US" w:eastAsia="zh-CN"/>
        </w:rPr>
        <w:t>1</w:t>
      </w:r>
      <w:r>
        <w:rPr>
          <w:rFonts w:hint="eastAsia" w:ascii="宋体" w:hAnsi="宋体"/>
          <w:b/>
          <w:bCs/>
          <w:highlight w:val="none"/>
        </w:rPr>
        <w:t>资信、技术部分评审</w:t>
      </w:r>
    </w:p>
    <w:p>
      <w:pPr>
        <w:shd w:val="clear"/>
        <w:tabs>
          <w:tab w:val="left" w:pos="851"/>
          <w:tab w:val="left" w:pos="1134"/>
        </w:tabs>
        <w:spacing w:before="0" w:after="0" w:afterAutospacing="0"/>
        <w:ind w:left="420" w:right="0" w:firstLine="0"/>
        <w:rPr>
          <w:rFonts w:hint="eastAsia" w:ascii="宋体" w:hAnsi="宋体"/>
          <w:highlight w:val="none"/>
        </w:rPr>
      </w:pPr>
      <w:r>
        <w:rPr>
          <w:rFonts w:hint="eastAsia" w:hAnsi="宋体"/>
          <w:highlight w:val="none"/>
        </w:rPr>
        <w:t>（1）评审委员会</w:t>
      </w:r>
      <w:r>
        <w:rPr>
          <w:rFonts w:hint="eastAsia" w:hAnsi="宋体"/>
          <w:highlight w:val="none"/>
          <w:lang w:val="en-US" w:eastAsia="zh-CN"/>
        </w:rPr>
        <w:t>对</w:t>
      </w:r>
      <w:r>
        <w:rPr>
          <w:rFonts w:hint="eastAsia" w:ascii="宋体" w:hAnsi="宋体"/>
          <w:kern w:val="0"/>
          <w:szCs w:val="21"/>
        </w:rPr>
        <w:t>通过初步评审的</w:t>
      </w:r>
      <w:r>
        <w:rPr>
          <w:rFonts w:hint="eastAsia" w:ascii="宋体" w:hAnsi="宋体"/>
          <w:kern w:val="0"/>
          <w:szCs w:val="21"/>
          <w:lang w:val="en-US" w:eastAsia="zh-CN"/>
        </w:rPr>
        <w:t>比选申请</w:t>
      </w:r>
      <w:r>
        <w:rPr>
          <w:rFonts w:hint="eastAsia" w:ascii="宋体" w:hAnsi="宋体"/>
          <w:kern w:val="0"/>
          <w:szCs w:val="21"/>
        </w:rPr>
        <w:t>文件的资信文件和技术文件进行详细评审。</w:t>
      </w:r>
    </w:p>
    <w:p>
      <w:pPr>
        <w:shd w:val="clear"/>
        <w:tabs>
          <w:tab w:val="left" w:pos="851"/>
          <w:tab w:val="left" w:pos="1134"/>
        </w:tabs>
        <w:spacing w:before="0" w:after="0" w:afterAutospacing="0"/>
        <w:ind w:left="420" w:right="0" w:firstLine="0"/>
        <w:rPr>
          <w:rFonts w:hint="eastAsia" w:hAnsi="宋体"/>
          <w:highlight w:val="none"/>
        </w:rPr>
      </w:pPr>
      <w:r>
        <w:rPr>
          <w:rFonts w:hint="eastAsia" w:ascii="宋体" w:hAnsi="宋体"/>
          <w:highlight w:val="none"/>
        </w:rPr>
        <w:t>（</w:t>
      </w:r>
      <w:r>
        <w:rPr>
          <w:rFonts w:hint="eastAsia" w:ascii="宋体" w:hAnsi="宋体"/>
          <w:highlight w:val="none"/>
          <w:lang w:eastAsia="zh-CN"/>
        </w:rPr>
        <w:t>2</w:t>
      </w:r>
      <w:r>
        <w:rPr>
          <w:rFonts w:hint="eastAsia" w:ascii="宋体" w:hAnsi="宋体"/>
          <w:highlight w:val="none"/>
        </w:rPr>
        <w:t>）</w:t>
      </w:r>
      <w:r>
        <w:rPr>
          <w:rFonts w:hint="eastAsia" w:hAnsi="宋体"/>
          <w:highlight w:val="none"/>
        </w:rPr>
        <w:t>评审委员会按照附表三《资信文件评分表》规定的量化因素和分值，对各</w:t>
      </w:r>
      <w:r>
        <w:rPr>
          <w:rFonts w:hint="eastAsia" w:hAnsi="宋体"/>
          <w:highlight w:val="none"/>
          <w:lang w:val="en-US" w:eastAsia="zh-CN"/>
        </w:rPr>
        <w:t>比选申请</w:t>
      </w:r>
      <w:r>
        <w:rPr>
          <w:rFonts w:hint="eastAsia" w:hAnsi="宋体"/>
          <w:highlight w:val="none"/>
        </w:rPr>
        <w:t>人资信</w:t>
      </w:r>
    </w:p>
    <w:p>
      <w:pPr>
        <w:shd w:val="clear"/>
        <w:tabs>
          <w:tab w:val="left" w:pos="851"/>
          <w:tab w:val="left" w:pos="1134"/>
        </w:tabs>
        <w:spacing w:before="0" w:after="0" w:afterAutospacing="0"/>
        <w:ind w:left="0" w:right="0" w:firstLine="0"/>
        <w:rPr>
          <w:rFonts w:hint="eastAsia" w:ascii="宋体" w:hAnsi="宋体" w:eastAsia="宋体"/>
          <w:highlight w:val="none"/>
          <w:lang w:eastAsia="zh-CN"/>
        </w:rPr>
      </w:pPr>
      <w:r>
        <w:rPr>
          <w:rFonts w:hint="eastAsia" w:hAnsi="宋体"/>
          <w:highlight w:val="none"/>
        </w:rPr>
        <w:t>部分评审，各项评审得分合计为</w:t>
      </w:r>
      <w:r>
        <w:rPr>
          <w:rFonts w:hint="eastAsia" w:hAnsi="宋体"/>
          <w:highlight w:val="none"/>
          <w:lang w:val="en-US" w:eastAsia="zh-CN"/>
        </w:rPr>
        <w:t>比选申请</w:t>
      </w:r>
      <w:r>
        <w:rPr>
          <w:rFonts w:hint="eastAsia" w:hAnsi="宋体"/>
          <w:highlight w:val="none"/>
        </w:rPr>
        <w:t>人资信得分</w:t>
      </w:r>
      <w:r>
        <w:rPr>
          <w:rFonts w:hint="eastAsia" w:ascii="宋体" w:hAnsi="宋体"/>
          <w:highlight w:val="none"/>
        </w:rPr>
        <w:t>（得分保留</w:t>
      </w:r>
      <w:r>
        <w:rPr>
          <w:rFonts w:hint="eastAsia" w:ascii="宋体" w:hAnsi="宋体"/>
          <w:highlight w:val="none"/>
          <w:lang w:val="en-US" w:eastAsia="zh-CN"/>
        </w:rPr>
        <w:t>两位</w:t>
      </w:r>
      <w:r>
        <w:rPr>
          <w:rFonts w:hint="eastAsia" w:ascii="宋体" w:hAnsi="宋体"/>
          <w:highlight w:val="none"/>
        </w:rPr>
        <w:t>小数，第三位小数四舍五入）</w:t>
      </w:r>
      <w:r>
        <w:rPr>
          <w:rFonts w:hint="eastAsia" w:ascii="宋体" w:hAnsi="宋体"/>
          <w:highlight w:val="none"/>
          <w:lang w:eastAsia="zh-CN"/>
        </w:rPr>
        <w:t>。</w:t>
      </w:r>
    </w:p>
    <w:p>
      <w:pPr>
        <w:numPr>
          <w:ilvl w:val="0"/>
          <w:numId w:val="17"/>
        </w:numPr>
        <w:shd w:val="clear"/>
        <w:tabs>
          <w:tab w:val="left" w:pos="851"/>
          <w:tab w:val="left" w:pos="1134"/>
        </w:tabs>
        <w:spacing w:before="0" w:after="0" w:afterAutospacing="0"/>
        <w:ind w:left="0" w:right="0" w:firstLine="420" w:firstLineChars="200"/>
        <w:rPr>
          <w:rFonts w:hint="eastAsia" w:ascii="宋体" w:hAnsi="宋体"/>
          <w:kern w:val="0"/>
          <w:szCs w:val="21"/>
        </w:rPr>
      </w:pPr>
      <w:r>
        <w:rPr>
          <w:rFonts w:hint="eastAsia" w:hAnsi="宋体"/>
          <w:highlight w:val="none"/>
        </w:rPr>
        <w:t>评审委员会</w:t>
      </w:r>
      <w:r>
        <w:rPr>
          <w:rFonts w:hint="eastAsia" w:ascii="宋体" w:hAnsi="宋体"/>
          <w:kern w:val="0"/>
          <w:szCs w:val="21"/>
        </w:rPr>
        <w:t>按照附表四《技术文件评分表》规定的量化因素和分值，对各</w:t>
      </w:r>
      <w:r>
        <w:rPr>
          <w:rFonts w:hint="eastAsia" w:hAnsi="宋体"/>
          <w:highlight w:val="none"/>
          <w:lang w:val="en-US" w:eastAsia="zh-CN"/>
        </w:rPr>
        <w:t>比选申请</w:t>
      </w:r>
      <w:r>
        <w:rPr>
          <w:rFonts w:hint="eastAsia" w:hAnsi="宋体"/>
          <w:highlight w:val="none"/>
        </w:rPr>
        <w:t>人</w:t>
      </w:r>
      <w:r>
        <w:rPr>
          <w:rFonts w:hint="eastAsia" w:ascii="宋体" w:hAnsi="宋体"/>
          <w:kern w:val="0"/>
          <w:szCs w:val="21"/>
        </w:rPr>
        <w:t>技术</w:t>
      </w:r>
    </w:p>
    <w:p>
      <w:pPr>
        <w:numPr>
          <w:ilvl w:val="-1"/>
          <w:numId w:val="0"/>
        </w:numPr>
        <w:shd w:val="clear"/>
        <w:tabs>
          <w:tab w:val="left" w:pos="851"/>
          <w:tab w:val="left" w:pos="1134"/>
        </w:tabs>
        <w:spacing w:before="0" w:after="0" w:afterAutospacing="0"/>
        <w:ind w:left="0" w:leftChars="0" w:right="0" w:firstLine="0" w:firstLineChars="0"/>
        <w:rPr>
          <w:rFonts w:hint="eastAsia" w:ascii="宋体" w:hAnsi="宋体"/>
          <w:highlight w:val="none"/>
        </w:rPr>
      </w:pPr>
      <w:r>
        <w:rPr>
          <w:rFonts w:hint="eastAsia" w:ascii="宋体" w:hAnsi="宋体"/>
          <w:kern w:val="0"/>
          <w:szCs w:val="21"/>
        </w:rPr>
        <w:t>部分评审。各评委对</w:t>
      </w:r>
      <w:r>
        <w:rPr>
          <w:rFonts w:hint="eastAsia" w:hAnsi="宋体"/>
          <w:highlight w:val="none"/>
          <w:lang w:val="en-US" w:eastAsia="zh-CN"/>
        </w:rPr>
        <w:t>比选申请</w:t>
      </w:r>
      <w:r>
        <w:rPr>
          <w:rFonts w:hint="eastAsia" w:hAnsi="宋体"/>
          <w:highlight w:val="none"/>
        </w:rPr>
        <w:t>人</w:t>
      </w:r>
      <w:r>
        <w:rPr>
          <w:rFonts w:hint="eastAsia" w:ascii="宋体" w:hAnsi="宋体"/>
          <w:kern w:val="0"/>
          <w:szCs w:val="21"/>
        </w:rPr>
        <w:t>的各评分项评分累加后得出各评委的总得分。</w:t>
      </w:r>
      <w:r>
        <w:rPr>
          <w:rFonts w:hint="eastAsia" w:hAnsi="宋体"/>
          <w:highlight w:val="none"/>
          <w:lang w:val="en-US" w:eastAsia="zh-CN"/>
        </w:rPr>
        <w:t>比选申请</w:t>
      </w:r>
      <w:r>
        <w:rPr>
          <w:rFonts w:hint="eastAsia" w:hAnsi="宋体"/>
          <w:highlight w:val="none"/>
        </w:rPr>
        <w:t>人</w:t>
      </w:r>
      <w:r>
        <w:rPr>
          <w:rFonts w:hint="eastAsia" w:ascii="宋体" w:hAnsi="宋体"/>
          <w:kern w:val="0"/>
          <w:szCs w:val="21"/>
        </w:rPr>
        <w:t>技术得分取所有评委总得分的算术平均值</w:t>
      </w:r>
      <w:r>
        <w:rPr>
          <w:rFonts w:hint="eastAsia" w:ascii="宋体" w:hAnsi="宋体"/>
          <w:highlight w:val="none"/>
        </w:rPr>
        <w:t>（得分保留</w:t>
      </w:r>
      <w:r>
        <w:rPr>
          <w:rFonts w:hint="eastAsia" w:ascii="宋体" w:hAnsi="宋体"/>
          <w:highlight w:val="none"/>
          <w:lang w:val="en-US" w:eastAsia="zh-CN"/>
        </w:rPr>
        <w:t>两位</w:t>
      </w:r>
      <w:r>
        <w:rPr>
          <w:rFonts w:hint="eastAsia" w:ascii="宋体" w:hAnsi="宋体"/>
          <w:highlight w:val="none"/>
        </w:rPr>
        <w:t>小数，第三位小数四舍五入）</w:t>
      </w:r>
      <w:r>
        <w:rPr>
          <w:rFonts w:hint="eastAsia" w:ascii="宋体" w:hAnsi="宋体"/>
          <w:highlight w:val="none"/>
          <w:lang w:eastAsia="zh-CN"/>
        </w:rPr>
        <w:t>。</w:t>
      </w:r>
    </w:p>
    <w:p>
      <w:pPr>
        <w:shd w:val="clear"/>
        <w:tabs>
          <w:tab w:val="left" w:pos="851"/>
          <w:tab w:val="left" w:pos="1134"/>
        </w:tabs>
        <w:spacing w:before="0" w:after="0" w:afterAutospacing="0"/>
        <w:ind w:left="420" w:right="0" w:firstLine="0"/>
        <w:outlineLvl w:val="2"/>
        <w:rPr>
          <w:rFonts w:ascii="宋体" w:hAnsi="宋体"/>
          <w:highlight w:val="none"/>
        </w:rPr>
      </w:pPr>
      <w:r>
        <w:rPr>
          <w:rFonts w:hint="eastAsia" w:ascii="宋体" w:hAnsi="宋体"/>
          <w:b/>
          <w:bCs/>
          <w:highlight w:val="none"/>
          <w:lang w:val="en-US" w:eastAsia="zh-CN"/>
        </w:rPr>
        <w:t>5</w:t>
      </w:r>
      <w:r>
        <w:rPr>
          <w:rFonts w:hint="eastAsia" w:ascii="宋体" w:hAnsi="宋体"/>
          <w:b/>
          <w:bCs/>
          <w:highlight w:val="none"/>
        </w:rPr>
        <w:t>.</w:t>
      </w:r>
      <w:r>
        <w:rPr>
          <w:rFonts w:hint="eastAsia" w:ascii="宋体" w:hAnsi="宋体"/>
          <w:b/>
          <w:bCs/>
          <w:highlight w:val="none"/>
          <w:lang w:val="en-US" w:eastAsia="zh-CN"/>
        </w:rPr>
        <w:t>2</w:t>
      </w:r>
      <w:r>
        <w:rPr>
          <w:rFonts w:hint="eastAsia" w:ascii="宋体" w:hAnsi="宋体"/>
          <w:b/>
          <w:bCs/>
          <w:highlight w:val="none"/>
        </w:rPr>
        <w:t>报价部分评审</w:t>
      </w:r>
    </w:p>
    <w:p>
      <w:pPr>
        <w:shd w:val="clear"/>
        <w:tabs>
          <w:tab w:val="left" w:pos="851"/>
        </w:tabs>
        <w:spacing w:before="0" w:after="0" w:afterAutospacing="0"/>
        <w:ind w:left="0" w:right="0" w:firstLine="420" w:firstLineChars="200"/>
        <w:rPr>
          <w:rFonts w:hAnsi="宋体"/>
          <w:highlight w:val="none"/>
        </w:rPr>
      </w:pPr>
      <w:r>
        <w:rPr>
          <w:rFonts w:hint="eastAsia" w:ascii="宋体" w:hAnsi="宋体" w:eastAsia="宋体" w:cs="宋体"/>
          <w:highlight w:val="none"/>
          <w:lang w:val="en-US" w:eastAsia="zh-CN"/>
        </w:rPr>
        <w:t>5.2.1</w:t>
      </w:r>
      <w:r>
        <w:rPr>
          <w:rFonts w:hint="eastAsia" w:hAnsi="宋体"/>
          <w:highlight w:val="none"/>
        </w:rPr>
        <w:t>评审委员会对通过初步评审的投标文件的报价文件进行详细评审。</w:t>
      </w:r>
    </w:p>
    <w:p>
      <w:pPr>
        <w:shd w:val="clear"/>
        <w:tabs>
          <w:tab w:val="left" w:pos="851"/>
        </w:tabs>
        <w:spacing w:before="0" w:after="0" w:afterAutospacing="0"/>
        <w:ind w:left="0" w:right="0" w:firstLine="420" w:firstLineChars="200"/>
        <w:rPr>
          <w:rFonts w:hAnsi="宋体"/>
          <w:highlight w:val="none"/>
        </w:rPr>
      </w:pPr>
      <w:r>
        <w:rPr>
          <w:rFonts w:hint="eastAsia" w:ascii="宋体" w:hAnsi="宋体" w:eastAsia="宋体" w:cs="宋体"/>
          <w:highlight w:val="none"/>
          <w:lang w:val="en-US" w:eastAsia="zh-CN"/>
        </w:rPr>
        <w:t>5.2.2</w:t>
      </w:r>
      <w:r>
        <w:rPr>
          <w:rFonts w:hint="eastAsia" w:hAnsi="宋体"/>
          <w:highlight w:val="none"/>
          <w:lang w:val="en-US" w:eastAsia="zh-CN"/>
        </w:rPr>
        <w:t>比选申请</w:t>
      </w:r>
      <w:r>
        <w:rPr>
          <w:rFonts w:hint="eastAsia" w:hAnsi="宋体"/>
          <w:highlight w:val="none"/>
        </w:rPr>
        <w:t>报价有算术错误的，评审委员会按以下原则对</w:t>
      </w:r>
      <w:r>
        <w:rPr>
          <w:rFonts w:hint="eastAsia" w:hAnsi="宋体"/>
          <w:highlight w:val="none"/>
          <w:lang w:val="en-US" w:eastAsia="zh-CN"/>
        </w:rPr>
        <w:t>比选申请</w:t>
      </w:r>
      <w:r>
        <w:rPr>
          <w:rFonts w:hint="eastAsia" w:hAnsi="宋体"/>
          <w:highlight w:val="none"/>
        </w:rPr>
        <w:t>报价进行修正，修正的价格经</w:t>
      </w:r>
      <w:r>
        <w:rPr>
          <w:rFonts w:hint="eastAsia" w:hAnsi="宋体"/>
          <w:highlight w:val="none"/>
          <w:lang w:val="en-US" w:eastAsia="zh-CN"/>
        </w:rPr>
        <w:t>比选申请</w:t>
      </w:r>
      <w:r>
        <w:rPr>
          <w:rFonts w:hint="eastAsia" w:hAnsi="宋体"/>
          <w:highlight w:val="none"/>
        </w:rPr>
        <w:t>人书面确认后具有约束力。</w:t>
      </w:r>
      <w:r>
        <w:rPr>
          <w:rFonts w:hint="eastAsia" w:hAnsi="宋体"/>
          <w:highlight w:val="none"/>
          <w:lang w:val="en-US" w:eastAsia="zh-CN"/>
        </w:rPr>
        <w:t>比选申请</w:t>
      </w:r>
      <w:r>
        <w:rPr>
          <w:rFonts w:hint="eastAsia" w:hAnsi="宋体"/>
          <w:highlight w:val="none"/>
        </w:rPr>
        <w:t>人不接受修正价格的，其</w:t>
      </w:r>
      <w:r>
        <w:rPr>
          <w:rFonts w:hint="eastAsia" w:hAnsi="宋体"/>
          <w:highlight w:val="none"/>
          <w:lang w:val="en-US" w:eastAsia="zh-CN"/>
        </w:rPr>
        <w:t>比选申请</w:t>
      </w:r>
      <w:r>
        <w:rPr>
          <w:rFonts w:hint="eastAsia" w:hAnsi="宋体"/>
          <w:highlight w:val="none"/>
        </w:rPr>
        <w:t>作否决处理：</w:t>
      </w:r>
    </w:p>
    <w:p>
      <w:pPr>
        <w:shd w:val="clear"/>
        <w:tabs>
          <w:tab w:val="left" w:pos="851"/>
        </w:tabs>
        <w:spacing w:before="0" w:after="0" w:afterAutospacing="0"/>
        <w:ind w:left="0" w:right="0" w:firstLine="420" w:firstLineChars="200"/>
        <w:rPr>
          <w:rFonts w:hint="eastAsia" w:hAnsi="宋体"/>
          <w:highlight w:val="none"/>
        </w:rPr>
      </w:pPr>
      <w:r>
        <w:rPr>
          <w:rFonts w:hint="eastAsia" w:hAnsi="宋体"/>
          <w:highlight w:val="none"/>
        </w:rPr>
        <w:t>（1）</w:t>
      </w:r>
      <w:r>
        <w:rPr>
          <w:rFonts w:hint="eastAsia" w:hAnsi="宋体"/>
          <w:highlight w:val="none"/>
          <w:lang w:val="en-US" w:eastAsia="zh-CN"/>
        </w:rPr>
        <w:t>比选申请</w:t>
      </w:r>
      <w:r>
        <w:rPr>
          <w:rFonts w:hint="eastAsia" w:hAnsi="宋体"/>
          <w:highlight w:val="none"/>
        </w:rPr>
        <w:t>文件中的大写金额与小写金额不一致的，以大写金额为准；</w:t>
      </w:r>
    </w:p>
    <w:p>
      <w:pPr>
        <w:shd w:val="clear"/>
        <w:tabs>
          <w:tab w:val="left" w:pos="851"/>
        </w:tabs>
        <w:spacing w:before="0" w:after="0" w:afterAutospacing="0"/>
        <w:ind w:left="0" w:right="0" w:firstLine="420" w:firstLineChars="200"/>
        <w:rPr>
          <w:rFonts w:hint="eastAsia" w:hAnsi="宋体"/>
          <w:highlight w:val="none"/>
        </w:rPr>
      </w:pPr>
      <w:r>
        <w:rPr>
          <w:rFonts w:hint="eastAsia" w:hAnsi="宋体"/>
          <w:highlight w:val="none"/>
        </w:rPr>
        <w:t>（2）总价金额与依据单价计算出的结果不一致的，以单价金额为准修正总价，但单价金额小数点有明显错误的除外；</w:t>
      </w:r>
    </w:p>
    <w:p>
      <w:pPr>
        <w:shd w:val="clear"/>
        <w:tabs>
          <w:tab w:val="left" w:pos="851"/>
        </w:tabs>
        <w:spacing w:before="0" w:after="0" w:afterAutospacing="0"/>
        <w:ind w:left="0" w:right="0" w:firstLine="420" w:firstLineChars="200"/>
        <w:rPr>
          <w:rFonts w:hint="eastAsia" w:hAnsi="宋体"/>
          <w:highlight w:val="none"/>
        </w:rPr>
      </w:pPr>
      <w:r>
        <w:rPr>
          <w:rFonts w:hint="eastAsia" w:hAnsi="宋体"/>
          <w:highlight w:val="none"/>
        </w:rPr>
        <w:t>（3）修正后的最终</w:t>
      </w:r>
      <w:r>
        <w:rPr>
          <w:rFonts w:hint="eastAsia" w:hAnsi="宋体"/>
          <w:highlight w:val="none"/>
          <w:lang w:val="en-US" w:eastAsia="zh-CN"/>
        </w:rPr>
        <w:t>比选申请</w:t>
      </w:r>
      <w:r>
        <w:rPr>
          <w:rFonts w:hint="eastAsia" w:hAnsi="宋体"/>
          <w:highlight w:val="none"/>
        </w:rPr>
        <w:t>报价超过</w:t>
      </w:r>
      <w:r>
        <w:rPr>
          <w:rFonts w:hint="eastAsia" w:hAnsi="宋体"/>
          <w:highlight w:val="none"/>
          <w:lang w:val="en-US" w:eastAsia="zh-CN"/>
        </w:rPr>
        <w:t>比选</w:t>
      </w:r>
      <w:r>
        <w:rPr>
          <w:rFonts w:hint="eastAsia" w:hAnsi="宋体"/>
          <w:highlight w:val="none"/>
        </w:rPr>
        <w:t>控制价的</w:t>
      </w:r>
      <w:r>
        <w:rPr>
          <w:rFonts w:hint="eastAsia" w:hAnsi="宋体"/>
          <w:highlight w:val="none"/>
          <w:lang w:val="en-US" w:eastAsia="zh-CN"/>
        </w:rPr>
        <w:t>比选申请</w:t>
      </w:r>
      <w:r>
        <w:rPr>
          <w:rFonts w:hint="eastAsia" w:hAnsi="宋体"/>
          <w:highlight w:val="none"/>
        </w:rPr>
        <w:t>文件作否决</w:t>
      </w:r>
      <w:r>
        <w:rPr>
          <w:rFonts w:hint="eastAsia" w:hAnsi="宋体"/>
          <w:highlight w:val="none"/>
          <w:lang w:val="en-US" w:eastAsia="zh-CN"/>
        </w:rPr>
        <w:t>比选申请</w:t>
      </w:r>
      <w:r>
        <w:rPr>
          <w:rFonts w:hint="eastAsia" w:hAnsi="宋体"/>
          <w:highlight w:val="none"/>
        </w:rPr>
        <w:t>处理。如项目设有综合单价控制价的，修正后的综合单价超过综合单价控制价的</w:t>
      </w:r>
      <w:r>
        <w:rPr>
          <w:rFonts w:hint="eastAsia" w:hAnsi="宋体"/>
          <w:highlight w:val="none"/>
          <w:lang w:val="en-US" w:eastAsia="zh-CN"/>
        </w:rPr>
        <w:t>比选申请</w:t>
      </w:r>
      <w:r>
        <w:rPr>
          <w:rFonts w:hint="eastAsia" w:hAnsi="宋体"/>
          <w:highlight w:val="none"/>
        </w:rPr>
        <w:t>文件作否决处理。</w:t>
      </w:r>
    </w:p>
    <w:p>
      <w:pPr>
        <w:shd w:val="clear"/>
        <w:tabs>
          <w:tab w:val="left" w:pos="851"/>
        </w:tabs>
        <w:spacing w:before="0" w:after="0" w:afterAutospacing="0"/>
        <w:ind w:left="0" w:right="0" w:firstLine="420" w:firstLineChars="200"/>
        <w:rPr>
          <w:rFonts w:hint="eastAsia" w:hAnsi="宋体"/>
          <w:highlight w:val="none"/>
        </w:rPr>
      </w:pPr>
      <w:r>
        <w:rPr>
          <w:rFonts w:hint="eastAsia" w:hAnsi="宋体"/>
          <w:highlight w:val="none"/>
        </w:rPr>
        <w:t>（4）评</w:t>
      </w:r>
      <w:r>
        <w:rPr>
          <w:rFonts w:hint="eastAsia" w:hAnsi="宋体"/>
          <w:highlight w:val="none"/>
          <w:lang w:val="en-US" w:eastAsia="zh-CN"/>
        </w:rPr>
        <w:t>选</w:t>
      </w:r>
      <w:r>
        <w:rPr>
          <w:rFonts w:hint="eastAsia" w:hAnsi="宋体"/>
          <w:highlight w:val="none"/>
        </w:rPr>
        <w:t>价格及中</w:t>
      </w:r>
      <w:r>
        <w:rPr>
          <w:rFonts w:hint="eastAsia" w:hAnsi="宋体"/>
          <w:highlight w:val="none"/>
          <w:lang w:val="en-US" w:eastAsia="zh-CN"/>
        </w:rPr>
        <w:t>选</w:t>
      </w:r>
      <w:r>
        <w:rPr>
          <w:rFonts w:hint="eastAsia" w:hAnsi="宋体"/>
          <w:highlight w:val="none"/>
        </w:rPr>
        <w:t>价均以修正后的</w:t>
      </w:r>
      <w:r>
        <w:rPr>
          <w:rFonts w:hint="eastAsia" w:hAnsi="宋体"/>
          <w:highlight w:val="none"/>
          <w:lang w:val="en-US" w:eastAsia="zh-CN"/>
        </w:rPr>
        <w:t>比选申请</w:t>
      </w:r>
      <w:r>
        <w:rPr>
          <w:rFonts w:hint="eastAsia" w:hAnsi="宋体"/>
          <w:highlight w:val="none"/>
        </w:rPr>
        <w:t>报价为准。如</w:t>
      </w:r>
      <w:r>
        <w:rPr>
          <w:rFonts w:hint="eastAsia" w:hAnsi="宋体"/>
          <w:highlight w:val="none"/>
          <w:lang w:val="en-US" w:eastAsia="zh-CN"/>
        </w:rPr>
        <w:t>比选申请</w:t>
      </w:r>
      <w:r>
        <w:rPr>
          <w:rFonts w:hint="eastAsia" w:hAnsi="宋体"/>
          <w:highlight w:val="none"/>
        </w:rPr>
        <w:t>人不接受按以上规则确定的评</w:t>
      </w:r>
      <w:r>
        <w:rPr>
          <w:rFonts w:hint="eastAsia" w:hAnsi="宋体"/>
          <w:highlight w:val="none"/>
          <w:lang w:val="en-US" w:eastAsia="zh-CN"/>
        </w:rPr>
        <w:t>选</w:t>
      </w:r>
      <w:r>
        <w:rPr>
          <w:rFonts w:hint="eastAsia" w:hAnsi="宋体"/>
          <w:highlight w:val="none"/>
        </w:rPr>
        <w:t>总价和中</w:t>
      </w:r>
      <w:r>
        <w:rPr>
          <w:rFonts w:hint="eastAsia" w:hAnsi="宋体"/>
          <w:highlight w:val="none"/>
          <w:lang w:val="en-US" w:eastAsia="zh-CN"/>
        </w:rPr>
        <w:t>选</w:t>
      </w:r>
      <w:r>
        <w:rPr>
          <w:rFonts w:hint="eastAsia" w:hAnsi="宋体"/>
          <w:highlight w:val="none"/>
        </w:rPr>
        <w:t>价，则其</w:t>
      </w:r>
      <w:r>
        <w:rPr>
          <w:rFonts w:hint="eastAsia" w:hAnsi="宋体"/>
          <w:highlight w:val="none"/>
          <w:lang w:val="en-US" w:eastAsia="zh-CN"/>
        </w:rPr>
        <w:t>比选申请</w:t>
      </w:r>
      <w:r>
        <w:rPr>
          <w:rFonts w:hint="eastAsia" w:hAnsi="宋体"/>
          <w:highlight w:val="none"/>
        </w:rPr>
        <w:t>将被否决。</w:t>
      </w:r>
    </w:p>
    <w:p>
      <w:pPr>
        <w:shd w:val="clear"/>
        <w:spacing w:before="0" w:after="0" w:afterAutospacing="0"/>
        <w:ind w:left="0" w:right="0" w:firstLine="420" w:firstLineChars="200"/>
        <w:outlineLvl w:val="3"/>
        <w:rPr>
          <w:rFonts w:hint="eastAsia" w:ascii="宋体" w:hAnsi="宋体"/>
          <w:highlight w:val="none"/>
        </w:rPr>
      </w:pPr>
      <w:r>
        <w:rPr>
          <w:rFonts w:hint="eastAsia" w:ascii="宋体" w:hAnsi="宋体" w:eastAsia="宋体" w:cs="宋体"/>
          <w:highlight w:val="none"/>
          <w:lang w:val="en-US" w:eastAsia="zh-CN"/>
        </w:rPr>
        <w:t>5.2.</w:t>
      </w:r>
      <w:r>
        <w:rPr>
          <w:rFonts w:hint="eastAsia" w:ascii="宋体" w:hAnsi="宋体" w:cs="宋体"/>
          <w:highlight w:val="none"/>
          <w:lang w:val="en-US" w:eastAsia="zh-CN"/>
        </w:rPr>
        <w:t>3</w:t>
      </w:r>
      <w:r>
        <w:rPr>
          <w:rFonts w:hint="eastAsia" w:ascii="宋体" w:hAnsi="宋体" w:cs="宋体"/>
          <w:highlight w:val="none"/>
        </w:rPr>
        <w:t>出现下列情况的</w:t>
      </w:r>
      <w:r>
        <w:rPr>
          <w:rFonts w:hint="eastAsia" w:ascii="宋体" w:hAnsi="宋体" w:cs="宋体"/>
          <w:highlight w:val="none"/>
          <w:lang w:val="en-US" w:eastAsia="zh-CN"/>
        </w:rPr>
        <w:t>比选申请</w:t>
      </w:r>
      <w:r>
        <w:rPr>
          <w:rFonts w:hint="eastAsia" w:ascii="宋体" w:hAnsi="宋体" w:cs="宋体"/>
          <w:highlight w:val="none"/>
        </w:rPr>
        <w:t>文件将予以否决：</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（1）</w:t>
      </w:r>
      <w:r>
        <w:rPr>
          <w:rFonts w:hint="eastAsia" w:hAnsi="宋体"/>
          <w:highlight w:val="none"/>
        </w:rPr>
        <w:t>评审委员会</w:t>
      </w:r>
      <w:r>
        <w:rPr>
          <w:rFonts w:hint="eastAsia" w:ascii="宋体" w:hAnsi="宋体"/>
          <w:highlight w:val="none"/>
        </w:rPr>
        <w:t>发现</w:t>
      </w:r>
      <w:r>
        <w:rPr>
          <w:rFonts w:hint="eastAsia" w:ascii="宋体" w:hAnsi="宋体" w:cs="宋体"/>
          <w:highlight w:val="none"/>
          <w:lang w:val="en-US" w:eastAsia="zh-CN"/>
        </w:rPr>
        <w:t>比选申请</w:t>
      </w:r>
      <w:r>
        <w:rPr>
          <w:rFonts w:hint="eastAsia" w:ascii="宋体" w:hAnsi="宋体"/>
          <w:highlight w:val="none"/>
        </w:rPr>
        <w:t>人的报价明显低于其他</w:t>
      </w:r>
      <w:r>
        <w:rPr>
          <w:rFonts w:hint="eastAsia" w:ascii="宋体" w:hAnsi="宋体" w:cs="宋体"/>
          <w:highlight w:val="none"/>
          <w:lang w:val="en-US" w:eastAsia="zh-CN"/>
        </w:rPr>
        <w:t>比选申请</w:t>
      </w:r>
      <w:r>
        <w:rPr>
          <w:rFonts w:hint="eastAsia" w:ascii="宋体" w:hAnsi="宋体"/>
          <w:highlight w:val="none"/>
        </w:rPr>
        <w:t>报价，使得其</w:t>
      </w:r>
      <w:r>
        <w:rPr>
          <w:rFonts w:hint="eastAsia" w:ascii="宋体" w:hAnsi="宋体" w:cs="宋体"/>
          <w:highlight w:val="none"/>
          <w:lang w:val="en-US" w:eastAsia="zh-CN"/>
        </w:rPr>
        <w:t>比选申请</w:t>
      </w:r>
      <w:r>
        <w:rPr>
          <w:rFonts w:hint="eastAsia" w:ascii="宋体" w:hAnsi="宋体"/>
          <w:highlight w:val="none"/>
        </w:rPr>
        <w:t>报价可能低于其个别成本的，应当要求该</w:t>
      </w:r>
      <w:r>
        <w:rPr>
          <w:rFonts w:hint="eastAsia" w:ascii="宋体" w:hAnsi="宋体" w:cs="宋体"/>
          <w:highlight w:val="none"/>
          <w:lang w:val="en-US" w:eastAsia="zh-CN"/>
        </w:rPr>
        <w:t>比选申请</w:t>
      </w:r>
      <w:r>
        <w:rPr>
          <w:rFonts w:hint="eastAsia" w:ascii="宋体" w:hAnsi="宋体"/>
          <w:highlight w:val="none"/>
        </w:rPr>
        <w:t>人作出书面说明并提供相应的证明材料。</w:t>
      </w:r>
      <w:r>
        <w:rPr>
          <w:rFonts w:hint="eastAsia" w:ascii="宋体" w:hAnsi="宋体" w:cs="宋体"/>
          <w:highlight w:val="none"/>
          <w:lang w:val="en-US" w:eastAsia="zh-CN"/>
        </w:rPr>
        <w:t>比选申请</w:t>
      </w:r>
      <w:r>
        <w:rPr>
          <w:rFonts w:hint="eastAsia" w:ascii="宋体" w:hAnsi="宋体"/>
          <w:highlight w:val="none"/>
        </w:rPr>
        <w:t>人不能合理说明或者不能提供相应证明材料的，</w:t>
      </w:r>
      <w:r>
        <w:rPr>
          <w:rFonts w:hint="eastAsia" w:hAnsi="宋体"/>
          <w:highlight w:val="none"/>
        </w:rPr>
        <w:t>评审委员会</w:t>
      </w:r>
      <w:r>
        <w:rPr>
          <w:rFonts w:hint="eastAsia" w:ascii="宋体" w:hAnsi="宋体"/>
          <w:highlight w:val="none"/>
        </w:rPr>
        <w:t>应当认定该</w:t>
      </w:r>
      <w:r>
        <w:rPr>
          <w:rFonts w:hint="eastAsia" w:ascii="宋体" w:hAnsi="宋体" w:cs="宋体"/>
          <w:highlight w:val="none"/>
          <w:lang w:val="en-US" w:eastAsia="zh-CN"/>
        </w:rPr>
        <w:t>比选申请</w:t>
      </w:r>
      <w:r>
        <w:rPr>
          <w:rFonts w:hint="eastAsia" w:ascii="宋体" w:hAnsi="宋体"/>
          <w:highlight w:val="none"/>
        </w:rPr>
        <w:t>人以低于成本报价投标，否决其</w:t>
      </w:r>
      <w:r>
        <w:rPr>
          <w:rFonts w:hint="eastAsia" w:ascii="宋体" w:hAnsi="宋体" w:cs="宋体"/>
          <w:highlight w:val="none"/>
          <w:lang w:val="en-US" w:eastAsia="zh-CN"/>
        </w:rPr>
        <w:t>比选申请</w:t>
      </w:r>
      <w:r>
        <w:rPr>
          <w:rFonts w:hint="eastAsia" w:ascii="宋体" w:hAnsi="宋体"/>
          <w:highlight w:val="none"/>
        </w:rPr>
        <w:t>。</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rPr>
        <w:t>（2）</w:t>
      </w:r>
      <w:r>
        <w:rPr>
          <w:rFonts w:hint="eastAsia" w:ascii="宋体" w:hAnsi="宋体" w:cs="宋体"/>
          <w:highlight w:val="none"/>
          <w:lang w:val="en-US" w:eastAsia="zh-CN"/>
        </w:rPr>
        <w:t>比选申请</w:t>
      </w:r>
      <w:r>
        <w:rPr>
          <w:rFonts w:hint="eastAsia" w:ascii="宋体" w:hAnsi="宋体"/>
          <w:highlight w:val="none"/>
        </w:rPr>
        <w:t>报价清单如有漏项的</w:t>
      </w:r>
      <w:r>
        <w:rPr>
          <w:rFonts w:hint="eastAsia" w:ascii="宋体" w:hAnsi="宋体" w:cs="宋体"/>
          <w:highlight w:val="none"/>
          <w:lang w:val="en-US" w:eastAsia="zh-CN"/>
        </w:rPr>
        <w:t>比选申请</w:t>
      </w:r>
      <w:r>
        <w:rPr>
          <w:rFonts w:hint="eastAsia" w:ascii="宋体" w:hAnsi="宋体"/>
          <w:highlight w:val="none"/>
        </w:rPr>
        <w:t>文件，将予以否决。</w:t>
      </w:r>
    </w:p>
    <w:p>
      <w:pPr>
        <w:shd w:val="clear"/>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5</w:t>
      </w:r>
      <w:r>
        <w:rPr>
          <w:rFonts w:hint="eastAsia" w:ascii="宋体" w:hAnsi="宋体"/>
          <w:highlight w:val="none"/>
        </w:rPr>
        <w:t>.2.4</w:t>
      </w:r>
      <w:r>
        <w:rPr>
          <w:rFonts w:hint="eastAsia" w:hAnsi="宋体"/>
          <w:highlight w:val="none"/>
        </w:rPr>
        <w:t>评审委员会</w:t>
      </w:r>
      <w:r>
        <w:rPr>
          <w:rFonts w:hint="eastAsia" w:ascii="宋体" w:hAnsi="宋体"/>
          <w:highlight w:val="none"/>
        </w:rPr>
        <w:t>按照附表五《比选报价评分表》规定的量化因素和分值，对各</w:t>
      </w:r>
      <w:r>
        <w:rPr>
          <w:rFonts w:hint="eastAsia" w:ascii="宋体" w:hAnsi="宋体" w:cs="宋体"/>
          <w:highlight w:val="none"/>
          <w:lang w:val="en-US" w:eastAsia="zh-CN"/>
        </w:rPr>
        <w:t>比选申请</w:t>
      </w:r>
      <w:r>
        <w:rPr>
          <w:rFonts w:hint="eastAsia" w:ascii="宋体" w:hAnsi="宋体"/>
          <w:highlight w:val="none"/>
        </w:rPr>
        <w:t>人的</w:t>
      </w:r>
      <w:r>
        <w:rPr>
          <w:rFonts w:hint="eastAsia" w:ascii="宋体" w:hAnsi="宋体" w:cs="宋体"/>
          <w:highlight w:val="none"/>
          <w:lang w:val="en-US" w:eastAsia="zh-CN"/>
        </w:rPr>
        <w:t>比选申请</w:t>
      </w:r>
      <w:r>
        <w:rPr>
          <w:rFonts w:hint="eastAsia" w:ascii="宋体" w:hAnsi="宋体"/>
          <w:highlight w:val="none"/>
        </w:rPr>
        <w:t>报价</w:t>
      </w:r>
      <w:r>
        <w:rPr>
          <w:rFonts w:hint="eastAsia" w:ascii="宋体" w:hAnsi="宋体"/>
          <w:highlight w:val="none"/>
          <w:lang w:val="en-US" w:eastAsia="zh-CN"/>
        </w:rPr>
        <w:t>进行</w:t>
      </w:r>
      <w:r>
        <w:rPr>
          <w:rFonts w:hint="eastAsia" w:ascii="宋体" w:hAnsi="宋体"/>
          <w:highlight w:val="none"/>
        </w:rPr>
        <w:t>评审，并计算出价格得分（得分保留</w:t>
      </w:r>
      <w:r>
        <w:rPr>
          <w:rFonts w:hint="eastAsia" w:ascii="宋体" w:hAnsi="宋体"/>
          <w:highlight w:val="none"/>
          <w:lang w:val="en-US" w:eastAsia="zh-CN"/>
        </w:rPr>
        <w:t>两位</w:t>
      </w:r>
      <w:r>
        <w:rPr>
          <w:rFonts w:hint="eastAsia" w:ascii="宋体" w:hAnsi="宋体"/>
          <w:highlight w:val="none"/>
        </w:rPr>
        <w:t>小数，第三位小数四舍五入）。以不含税的</w:t>
      </w:r>
      <w:r>
        <w:rPr>
          <w:rFonts w:hint="eastAsia" w:ascii="宋体" w:hAnsi="宋体" w:cs="宋体"/>
          <w:highlight w:val="none"/>
          <w:lang w:val="en-US" w:eastAsia="zh-CN"/>
        </w:rPr>
        <w:t>比选申请</w:t>
      </w:r>
      <w:r>
        <w:rPr>
          <w:rFonts w:hint="eastAsia" w:ascii="宋体" w:hAnsi="宋体"/>
          <w:highlight w:val="none"/>
        </w:rPr>
        <w:t>报价计算评标基准价和</w:t>
      </w:r>
      <w:r>
        <w:rPr>
          <w:rFonts w:hint="eastAsia" w:ascii="宋体" w:hAnsi="宋体" w:cs="宋体"/>
          <w:highlight w:val="none"/>
          <w:lang w:val="en-US" w:eastAsia="zh-CN"/>
        </w:rPr>
        <w:t>比选申请</w:t>
      </w:r>
      <w:r>
        <w:rPr>
          <w:rFonts w:hint="eastAsia" w:ascii="宋体" w:hAnsi="宋体"/>
          <w:highlight w:val="none"/>
        </w:rPr>
        <w:t>报价得分。</w:t>
      </w:r>
    </w:p>
    <w:p>
      <w:pPr>
        <w:shd w:val="clear"/>
        <w:tabs>
          <w:tab w:val="left" w:pos="851"/>
        </w:tabs>
        <w:spacing w:before="0" w:after="0" w:afterAutospacing="0"/>
        <w:ind w:left="0" w:right="0" w:firstLine="422" w:firstLineChars="200"/>
        <w:outlineLvl w:val="2"/>
        <w:rPr>
          <w:rFonts w:ascii="宋体" w:hAnsi="宋体"/>
          <w:b/>
          <w:highlight w:val="none"/>
        </w:rPr>
      </w:pPr>
      <w:r>
        <w:rPr>
          <w:rFonts w:hint="eastAsia" w:ascii="宋体" w:hAnsi="宋体"/>
          <w:b/>
          <w:highlight w:val="none"/>
          <w:lang w:val="en-US" w:eastAsia="zh-CN"/>
        </w:rPr>
        <w:t>5</w:t>
      </w:r>
      <w:r>
        <w:rPr>
          <w:rFonts w:hint="eastAsia" w:ascii="宋体" w:hAnsi="宋体"/>
          <w:b/>
          <w:highlight w:val="none"/>
        </w:rPr>
        <w:t>.</w:t>
      </w:r>
      <w:r>
        <w:rPr>
          <w:rFonts w:hint="eastAsia" w:ascii="宋体" w:hAnsi="宋体"/>
          <w:b/>
          <w:highlight w:val="none"/>
          <w:lang w:val="en-US" w:eastAsia="zh-CN"/>
        </w:rPr>
        <w:t>3</w:t>
      </w:r>
      <w:r>
        <w:rPr>
          <w:rFonts w:ascii="宋体" w:hAnsi="宋体"/>
          <w:b/>
          <w:highlight w:val="none"/>
        </w:rPr>
        <w:t>澄清或补正</w:t>
      </w:r>
    </w:p>
    <w:p>
      <w:pPr>
        <w:shd w:val="clear"/>
        <w:tabs>
          <w:tab w:val="left" w:pos="851"/>
          <w:tab w:val="left" w:pos="1134"/>
        </w:tabs>
        <w:spacing w:before="0" w:after="0" w:afterAutospacing="0"/>
        <w:ind w:left="420" w:right="0" w:firstLine="0"/>
        <w:rPr>
          <w:rFonts w:hint="eastAsia" w:ascii="宋体" w:hAnsi="宋体"/>
          <w:highlight w:val="none"/>
        </w:rPr>
      </w:pPr>
      <w:r>
        <w:rPr>
          <w:rFonts w:hint="eastAsia" w:ascii="宋体" w:hAnsi="宋体"/>
          <w:highlight w:val="none"/>
          <w:lang w:eastAsia="zh-CN"/>
        </w:rPr>
        <w:t>5.</w:t>
      </w:r>
      <w:r>
        <w:rPr>
          <w:rFonts w:hint="eastAsia" w:ascii="宋体" w:hAnsi="宋体"/>
          <w:highlight w:val="none"/>
          <w:lang w:val="en-US" w:eastAsia="zh-CN"/>
        </w:rPr>
        <w:t>3</w:t>
      </w:r>
      <w:r>
        <w:rPr>
          <w:rFonts w:hint="eastAsia" w:ascii="宋体" w:hAnsi="宋体"/>
          <w:highlight w:val="none"/>
        </w:rPr>
        <w:t>.1在评审阶段，评审委员会认为必要时，可书面通知比选申请人要求其澄清或补正比选申</w:t>
      </w:r>
    </w:p>
    <w:p>
      <w:pPr>
        <w:shd w:val="clear"/>
        <w:tabs>
          <w:tab w:val="left" w:pos="851"/>
          <w:tab w:val="left" w:pos="1134"/>
        </w:tabs>
        <w:spacing w:before="0" w:after="0" w:afterAutospacing="0"/>
        <w:ind w:left="0" w:right="0" w:firstLine="0"/>
        <w:rPr>
          <w:rFonts w:ascii="宋体" w:hAnsi="宋体"/>
          <w:highlight w:val="none"/>
        </w:rPr>
      </w:pPr>
      <w:r>
        <w:rPr>
          <w:rFonts w:hint="eastAsia" w:ascii="宋体" w:hAnsi="宋体"/>
          <w:highlight w:val="none"/>
        </w:rPr>
        <w:t>请文件中的问题，或者要求其补充某些资料。对此，比选申请人不得拒绝。</w:t>
      </w:r>
    </w:p>
    <w:p>
      <w:pPr>
        <w:shd w:val="clea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lang w:eastAsia="zh-CN"/>
        </w:rPr>
        <w:t>5.</w:t>
      </w:r>
      <w:r>
        <w:rPr>
          <w:rFonts w:hint="eastAsia" w:ascii="宋体" w:hAnsi="宋体"/>
          <w:highlight w:val="none"/>
          <w:lang w:val="en-US" w:eastAsia="zh-CN"/>
        </w:rPr>
        <w:t>3</w:t>
      </w:r>
      <w:r>
        <w:rPr>
          <w:rFonts w:hint="eastAsia" w:ascii="宋体" w:hAnsi="宋体"/>
          <w:highlight w:val="none"/>
        </w:rPr>
        <w:t>.2</w:t>
      </w:r>
      <w:r>
        <w:rPr>
          <w:rFonts w:ascii="宋体" w:hAnsi="宋体"/>
          <w:highlight w:val="none"/>
        </w:rPr>
        <w:t>比选申请人须以书面形式提供澄清或补正文件，经评审委员会确认方可作为比选申请文</w:t>
      </w:r>
    </w:p>
    <w:p>
      <w:pPr>
        <w:shd w:val="clear"/>
        <w:tabs>
          <w:tab w:val="left" w:pos="851"/>
          <w:tab w:val="left" w:pos="1134"/>
        </w:tabs>
        <w:spacing w:before="0" w:after="0" w:afterAutospacing="0"/>
        <w:ind w:left="0" w:right="0" w:firstLine="0"/>
        <w:rPr>
          <w:rFonts w:ascii="宋体" w:hAnsi="宋体"/>
          <w:highlight w:val="none"/>
        </w:rPr>
      </w:pPr>
      <w:r>
        <w:rPr>
          <w:rFonts w:ascii="宋体" w:hAnsi="宋体"/>
          <w:highlight w:val="none"/>
        </w:rPr>
        <w:t>件的组成部分。</w:t>
      </w:r>
    </w:p>
    <w:p>
      <w:pPr>
        <w:shd w:val="clea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lang w:eastAsia="zh-CN"/>
        </w:rPr>
        <w:t>5.</w:t>
      </w:r>
      <w:r>
        <w:rPr>
          <w:rFonts w:hint="eastAsia" w:ascii="宋体" w:hAnsi="宋体"/>
          <w:highlight w:val="none"/>
          <w:lang w:val="en-US" w:eastAsia="zh-CN"/>
        </w:rPr>
        <w:t>3</w:t>
      </w:r>
      <w:r>
        <w:rPr>
          <w:rFonts w:hint="eastAsia" w:ascii="宋体" w:hAnsi="宋体"/>
          <w:highlight w:val="none"/>
        </w:rPr>
        <w:t>.3</w:t>
      </w:r>
      <w:r>
        <w:rPr>
          <w:rFonts w:ascii="宋体" w:hAnsi="宋体"/>
          <w:highlight w:val="none"/>
        </w:rPr>
        <w:t>比选申请人能够合理说明或提供有效证明资料的，评审委员会将予以采信，取消该疑问</w:t>
      </w:r>
    </w:p>
    <w:p>
      <w:pPr>
        <w:shd w:val="clear"/>
        <w:tabs>
          <w:tab w:val="left" w:pos="851"/>
          <w:tab w:val="left" w:pos="1134"/>
        </w:tabs>
        <w:spacing w:before="0" w:after="0" w:afterAutospacing="0"/>
        <w:ind w:left="0" w:right="0" w:firstLine="0"/>
        <w:rPr>
          <w:rFonts w:ascii="宋体" w:hAnsi="宋体"/>
          <w:highlight w:val="none"/>
        </w:rPr>
      </w:pPr>
      <w:r>
        <w:rPr>
          <w:rFonts w:ascii="宋体" w:hAnsi="宋体"/>
          <w:highlight w:val="none"/>
        </w:rPr>
        <w:t>事项及对应的比选申请报价偏差；不能合理说明或者不能提供有效证明材料的，评审委员会将不予采信，该疑问事项及对应的比选申请报价偏差将确认成立，但其比选申请总价保持不变。</w:t>
      </w:r>
    </w:p>
    <w:p>
      <w:pPr>
        <w:shd w:val="clea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lang w:eastAsia="zh-CN"/>
        </w:rPr>
        <w:t>5.</w:t>
      </w:r>
      <w:r>
        <w:rPr>
          <w:rFonts w:hint="eastAsia" w:ascii="宋体" w:hAnsi="宋体"/>
          <w:highlight w:val="none"/>
          <w:lang w:val="en-US" w:eastAsia="zh-CN"/>
        </w:rPr>
        <w:t>3</w:t>
      </w:r>
      <w:r>
        <w:rPr>
          <w:rFonts w:hint="eastAsia" w:ascii="宋体" w:hAnsi="宋体"/>
          <w:highlight w:val="none"/>
        </w:rPr>
        <w:t>.4</w:t>
      </w:r>
      <w:r>
        <w:rPr>
          <w:rFonts w:ascii="宋体" w:hAnsi="宋体"/>
          <w:highlight w:val="none"/>
        </w:rPr>
        <w:t>如果评审委员会对比选申请人提交的澄清、说明或补正依然存有疑问，可以对比选申请</w:t>
      </w:r>
    </w:p>
    <w:p>
      <w:pPr>
        <w:shd w:val="clear"/>
        <w:tabs>
          <w:tab w:val="left" w:pos="851"/>
          <w:tab w:val="left" w:pos="1134"/>
        </w:tabs>
        <w:spacing w:before="0" w:after="0" w:afterAutospacing="0"/>
        <w:ind w:left="0" w:right="0" w:firstLine="0"/>
        <w:rPr>
          <w:rFonts w:ascii="宋体" w:hAnsi="宋体"/>
          <w:highlight w:val="none"/>
        </w:rPr>
      </w:pPr>
      <w:r>
        <w:rPr>
          <w:rFonts w:ascii="宋体" w:hAnsi="宋体"/>
          <w:highlight w:val="none"/>
        </w:rPr>
        <w:t>人进一步质疑。比选申请人应当相应地进一步澄清、说明或补正，直至评审委员会认为全部质疑得到解答。</w:t>
      </w:r>
    </w:p>
    <w:p>
      <w:pPr>
        <w:shd w:val="clea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lang w:eastAsia="zh-CN"/>
        </w:rPr>
        <w:t>5.</w:t>
      </w:r>
      <w:r>
        <w:rPr>
          <w:rFonts w:hint="eastAsia" w:ascii="宋体" w:hAnsi="宋体"/>
          <w:highlight w:val="none"/>
          <w:lang w:val="en-US" w:eastAsia="zh-CN"/>
        </w:rPr>
        <w:t>3</w:t>
      </w:r>
      <w:r>
        <w:rPr>
          <w:rFonts w:hint="eastAsia" w:ascii="宋体" w:hAnsi="宋体"/>
          <w:highlight w:val="none"/>
        </w:rPr>
        <w:t>.5</w:t>
      </w:r>
      <w:r>
        <w:rPr>
          <w:rFonts w:ascii="宋体" w:hAnsi="宋体"/>
          <w:highlight w:val="none"/>
        </w:rPr>
        <w:t>比选申请人不得借澄清或补正问题的机会，与比选人及评审委员会私下接触或对原比选</w:t>
      </w:r>
    </w:p>
    <w:p>
      <w:pPr>
        <w:shd w:val="clear"/>
        <w:tabs>
          <w:tab w:val="left" w:pos="851"/>
          <w:tab w:val="left" w:pos="1134"/>
        </w:tabs>
        <w:spacing w:before="0" w:after="0" w:afterAutospacing="0"/>
        <w:ind w:left="0" w:right="0" w:firstLine="0"/>
        <w:rPr>
          <w:rFonts w:ascii="宋体" w:hAnsi="宋体"/>
          <w:highlight w:val="none"/>
        </w:rPr>
      </w:pPr>
      <w:r>
        <w:rPr>
          <w:rFonts w:ascii="宋体" w:hAnsi="宋体"/>
          <w:highlight w:val="none"/>
        </w:rPr>
        <w:t>申请价和内容提出修改，但在评审中进行的初步修正，则不在此列。比选人不接受比选申请人主动提出的对比选申请文件的澄清或补正。</w:t>
      </w:r>
    </w:p>
    <w:p>
      <w:pPr>
        <w:shd w:val="clear"/>
        <w:spacing w:before="0" w:after="0" w:afterAutospacing="0"/>
        <w:ind w:left="0" w:right="0" w:firstLine="422" w:firstLineChars="200"/>
        <w:outlineLvl w:val="2"/>
        <w:rPr>
          <w:rFonts w:hint="eastAsia" w:ascii="宋体" w:hAnsi="宋体"/>
          <w:b/>
          <w:bCs w:val="0"/>
          <w:highlight w:val="none"/>
        </w:rPr>
      </w:pPr>
      <w:r>
        <w:rPr>
          <w:rFonts w:hint="eastAsia" w:ascii="宋体" w:hAnsi="宋体"/>
          <w:b/>
          <w:bCs w:val="0"/>
          <w:highlight w:val="none"/>
        </w:rPr>
        <w:t>5.4评审结果</w:t>
      </w:r>
    </w:p>
    <w:p>
      <w:pPr>
        <w:shd w:val="clear"/>
        <w:spacing w:before="0" w:after="0" w:afterAutospacing="0"/>
        <w:ind w:left="0" w:right="0" w:firstLine="420" w:firstLineChars="200"/>
        <w:outlineLvl w:val="3"/>
        <w:rPr>
          <w:rFonts w:hint="eastAsia" w:ascii="宋体" w:hAnsi="宋体"/>
          <w:b w:val="0"/>
          <w:bCs/>
          <w:highlight w:val="none"/>
        </w:rPr>
      </w:pPr>
      <w:r>
        <w:rPr>
          <w:rFonts w:hint="eastAsia" w:ascii="宋体" w:hAnsi="宋体"/>
          <w:b w:val="0"/>
          <w:bCs/>
          <w:highlight w:val="none"/>
        </w:rPr>
        <w:t>5.4.1汇总得分</w:t>
      </w:r>
    </w:p>
    <w:p>
      <w:pPr>
        <w:shd w:val="clear"/>
        <w:spacing w:before="0" w:after="0" w:afterAutospacing="0"/>
        <w:ind w:left="0" w:right="0" w:firstLine="420" w:firstLineChars="200"/>
        <w:rPr>
          <w:rFonts w:hint="eastAsia" w:ascii="宋体" w:hAnsi="宋体"/>
          <w:b w:val="0"/>
          <w:bCs/>
          <w:highlight w:val="none"/>
        </w:rPr>
      </w:pPr>
      <w:r>
        <w:rPr>
          <w:rFonts w:hint="eastAsia" w:ascii="宋体" w:hAnsi="宋体"/>
          <w:b w:val="0"/>
          <w:bCs/>
          <w:highlight w:val="none"/>
        </w:rPr>
        <w:t>各比选申请人综合评分=资信得分+技术得分+价格得分（见附表六</w:t>
      </w:r>
      <w:r>
        <w:rPr>
          <w:rFonts w:hint="eastAsia" w:ascii="宋体" w:hAnsi="宋体"/>
          <w:b w:val="0"/>
          <w:bCs/>
          <w:highlight w:val="none"/>
          <w:lang w:eastAsia="zh-CN"/>
        </w:rPr>
        <w:t>《</w:t>
      </w:r>
      <w:r>
        <w:rPr>
          <w:sz w:val="21"/>
          <w:szCs w:val="21"/>
          <w:highlight w:val="none"/>
        </w:rPr>
        <w:t>综合</w:t>
      </w:r>
      <w:r>
        <w:rPr>
          <w:rFonts w:hint="eastAsia"/>
          <w:sz w:val="21"/>
          <w:szCs w:val="21"/>
          <w:highlight w:val="none"/>
        </w:rPr>
        <w:t>评审</w:t>
      </w:r>
      <w:r>
        <w:rPr>
          <w:sz w:val="21"/>
          <w:szCs w:val="21"/>
          <w:highlight w:val="none"/>
        </w:rPr>
        <w:t>得分表</w:t>
      </w:r>
      <w:r>
        <w:rPr>
          <w:rFonts w:hint="eastAsia" w:ascii="宋体" w:hAnsi="宋体"/>
          <w:b w:val="0"/>
          <w:bCs/>
          <w:highlight w:val="none"/>
          <w:lang w:eastAsia="zh-CN"/>
        </w:rPr>
        <w:t>》</w:t>
      </w:r>
      <w:r>
        <w:rPr>
          <w:rFonts w:hint="eastAsia" w:ascii="宋体" w:hAnsi="宋体"/>
          <w:b w:val="0"/>
          <w:bCs/>
          <w:highlight w:val="none"/>
        </w:rPr>
        <w:t>）；</w:t>
      </w:r>
    </w:p>
    <w:p>
      <w:pPr>
        <w:shd w:val="clear"/>
        <w:spacing w:before="0" w:after="0" w:afterAutospacing="0"/>
        <w:ind w:left="0" w:right="0" w:firstLine="420" w:firstLineChars="200"/>
        <w:outlineLvl w:val="3"/>
        <w:rPr>
          <w:rFonts w:hint="eastAsia" w:ascii="宋体" w:hAnsi="宋体"/>
          <w:b w:val="0"/>
          <w:bCs/>
          <w:highlight w:val="none"/>
        </w:rPr>
      </w:pPr>
      <w:r>
        <w:rPr>
          <w:rFonts w:hint="eastAsia" w:ascii="宋体" w:hAnsi="宋体"/>
          <w:b w:val="0"/>
          <w:bCs/>
          <w:highlight w:val="none"/>
        </w:rPr>
        <w:t>5.4.2推荐中选候选人</w:t>
      </w:r>
    </w:p>
    <w:p>
      <w:pPr>
        <w:shd w:val="clear"/>
        <w:spacing w:before="0" w:after="0" w:afterAutospacing="0"/>
        <w:ind w:left="0" w:right="0" w:firstLine="420" w:firstLineChars="200"/>
        <w:rPr>
          <w:rFonts w:hint="eastAsia" w:ascii="宋体" w:hAnsi="宋体"/>
          <w:b w:val="0"/>
          <w:bCs/>
          <w:highlight w:val="none"/>
        </w:rPr>
      </w:pPr>
      <w:r>
        <w:rPr>
          <w:rFonts w:hint="eastAsia" w:ascii="宋体" w:hAnsi="宋体"/>
          <w:b w:val="0"/>
          <w:bCs/>
          <w:highlight w:val="none"/>
        </w:rPr>
        <w:t>经评审后，评审委员会按综合评分由高到低顺序推荐3名中选候选人（当中选候选人不足3名时按实际数量推荐），并标明排序。综合评分相同时，则技术得分较高的排名靠前；如技术得分也相同，则价格得分较高的排名靠前；如价格得分也相同，则由评审委员会采用记名投票方式</w:t>
      </w:r>
      <w:r>
        <w:rPr>
          <w:rFonts w:hint="eastAsia" w:ascii="宋体" w:hAnsi="宋体"/>
          <w:highlight w:val="none"/>
        </w:rPr>
        <w:t>按少数服从多数的原则决定其排名顺序。</w:t>
      </w:r>
    </w:p>
    <w:p>
      <w:pPr>
        <w:shd w:val="clear"/>
        <w:spacing w:before="0" w:after="0" w:afterAutospacing="0"/>
        <w:ind w:left="0" w:right="0" w:firstLine="422" w:firstLineChars="200"/>
        <w:outlineLvl w:val="2"/>
        <w:rPr>
          <w:rFonts w:ascii="宋体" w:hAnsi="宋体"/>
          <w:b/>
          <w:highlight w:val="none"/>
        </w:rPr>
      </w:pPr>
      <w:r>
        <w:rPr>
          <w:rFonts w:hint="eastAsia" w:ascii="宋体" w:hAnsi="宋体"/>
          <w:b/>
          <w:highlight w:val="none"/>
          <w:lang w:val="en-US" w:eastAsia="zh-CN"/>
        </w:rPr>
        <w:t>5</w:t>
      </w:r>
      <w:r>
        <w:rPr>
          <w:rFonts w:hint="eastAsia" w:ascii="宋体" w:hAnsi="宋体"/>
          <w:b/>
          <w:highlight w:val="none"/>
        </w:rPr>
        <w:t>.5</w:t>
      </w:r>
      <w:r>
        <w:rPr>
          <w:rFonts w:ascii="宋体" w:hAnsi="宋体"/>
          <w:b/>
          <w:highlight w:val="none"/>
        </w:rPr>
        <w:t>评审报告</w:t>
      </w:r>
    </w:p>
    <w:p>
      <w:pPr>
        <w:shd w:val="clea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shd w:val="clea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）评审委员会根据报价按由低到高的顺序进行排序。</w:t>
      </w:r>
      <w:r>
        <w:rPr>
          <w:rFonts w:ascii="宋体" w:hAnsi="宋体"/>
          <w:highlight w:val="none"/>
        </w:rPr>
        <w:t>并在评审报告中</w:t>
      </w:r>
      <w:r>
        <w:rPr>
          <w:rFonts w:hint="eastAsia" w:ascii="宋体" w:hAnsi="宋体"/>
          <w:highlight w:val="none"/>
        </w:rPr>
        <w:t>推荐报价最低的比选申请人为第一中选候选人，推荐第二低者为第二中选候选人，第三低者为第三中选候选人。</w:t>
      </w:r>
    </w:p>
    <w:p>
      <w:pPr>
        <w:shd w:val="clear"/>
        <w:spacing w:before="0" w:after="0" w:afterAutospacing="0"/>
        <w:ind w:left="0" w:right="0" w:firstLine="422" w:firstLineChars="200"/>
        <w:outlineLvl w:val="2"/>
        <w:rPr>
          <w:rFonts w:ascii="宋体" w:hAnsi="宋体"/>
          <w:b/>
          <w:highlight w:val="none"/>
        </w:rPr>
      </w:pPr>
      <w:r>
        <w:rPr>
          <w:rFonts w:hint="eastAsia" w:ascii="宋体" w:hAnsi="宋体"/>
          <w:b/>
          <w:highlight w:val="none"/>
          <w:lang w:val="en-US" w:eastAsia="zh-CN"/>
        </w:rPr>
        <w:t>5</w:t>
      </w:r>
      <w:r>
        <w:rPr>
          <w:rFonts w:hint="eastAsia" w:ascii="宋体" w:hAnsi="宋体"/>
          <w:b/>
          <w:highlight w:val="none"/>
        </w:rPr>
        <w:t>.6</w:t>
      </w:r>
      <w:r>
        <w:rPr>
          <w:rFonts w:ascii="宋体" w:hAnsi="宋体"/>
          <w:b/>
          <w:highlight w:val="none"/>
        </w:rPr>
        <w:t>否决比选申请条件</w:t>
      </w:r>
    </w:p>
    <w:p>
      <w:pPr>
        <w:shd w:val="clea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（1）不符合附表一《资格审查表》规定的；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（2）不符合附表二《符合性评审表》规定的；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（3）法定代表人未按规定出具授权委托书的(采用委托代理人形式的)；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（4）在比选申请文件中有虚假文件和/或资料的；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（5）比选申请文件中附有比选人不能接受的条件；</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（6）比选申请文件实质上不响应比选文件的要求的；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 xml:space="preserve">（7）比选申请人以经评审委员会评审认定为低于成本的报价竞标； </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（8）比选申请人扰乱会场秩序，经劝阻仍然无理取闹的；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（9）比选申请人未能按照评审委员会要求，对其比选申请文件进行澄清、说明和补正的；</w:t>
      </w:r>
    </w:p>
    <w:p>
      <w:pPr>
        <w:shd w:val="clear"/>
        <w:tabs>
          <w:tab w:val="left" w:pos="1276"/>
        </w:tabs>
        <w:spacing w:before="0" w:after="0" w:afterAutospacing="0"/>
        <w:ind w:left="0" w:right="0" w:firstLine="420" w:firstLineChars="200"/>
        <w:jc w:val="left"/>
        <w:rPr>
          <w:rFonts w:ascii="宋体" w:hAnsi="宋体"/>
          <w:b w:val="0"/>
          <w:bCs/>
          <w:highlight w:val="none"/>
        </w:rPr>
      </w:pPr>
      <w:r>
        <w:rPr>
          <w:rFonts w:hint="eastAsia" w:ascii="宋体" w:hAnsi="宋体"/>
          <w:b w:val="0"/>
          <w:bCs/>
          <w:highlight w:val="none"/>
        </w:rPr>
        <w:t>（</w:t>
      </w:r>
      <w:r>
        <w:rPr>
          <w:rFonts w:hint="eastAsia" w:ascii="宋体" w:hAnsi="宋体"/>
          <w:b w:val="0"/>
          <w:bCs/>
          <w:highlight w:val="none"/>
          <w:lang w:val="en-US" w:eastAsia="zh-CN"/>
        </w:rPr>
        <w:t>10</w:t>
      </w:r>
      <w:r>
        <w:rPr>
          <w:rFonts w:hint="eastAsia" w:ascii="宋体" w:hAnsi="宋体"/>
          <w:b w:val="0"/>
          <w:bCs/>
          <w:highlight w:val="none"/>
        </w:rPr>
        <w:t>）比选申请人以他人的名义比选申请、串通比选申请、以行贿手段谋取中选或者以其他弄虚作假方式比选申请的。</w:t>
      </w:r>
    </w:p>
    <w:p>
      <w:pPr>
        <w:shd w:val="clear"/>
        <w:tabs>
          <w:tab w:val="left" w:pos="1276"/>
        </w:tabs>
        <w:spacing w:before="0" w:after="0"/>
        <w:ind w:left="420" w:right="0" w:firstLine="0"/>
        <w:jc w:val="left"/>
        <w:rPr>
          <w:rFonts w:ascii="宋体" w:hAnsi="宋体"/>
          <w:b/>
          <w:highlight w:val="none"/>
        </w:rPr>
        <w:sectPr>
          <w:pgSz w:w="11905" w:h="16838"/>
          <w:pgMar w:top="1418" w:right="1418" w:bottom="1304" w:left="1418" w:header="454" w:footer="567" w:gutter="0"/>
          <w:pgNumType w:fmt="decimal"/>
          <w:cols w:space="720" w:num="1"/>
          <w:docGrid w:linePitch="312" w:charSpace="0"/>
        </w:sectPr>
      </w:pPr>
    </w:p>
    <w:p>
      <w:pPr>
        <w:pStyle w:val="4"/>
        <w:shd w:val="clear"/>
        <w:spacing w:after="0" w:line="360" w:lineRule="auto"/>
        <w:ind w:left="0" w:right="-57" w:firstLine="0"/>
        <w:outlineLvl w:val="1"/>
        <w:rPr>
          <w:sz w:val="21"/>
          <w:szCs w:val="21"/>
          <w:highlight w:val="none"/>
        </w:rPr>
      </w:pPr>
      <w:bookmarkStart w:id="2876" w:name="_Toc15224"/>
      <w:bookmarkStart w:id="2877" w:name="_Toc10145"/>
      <w:bookmarkStart w:id="2878" w:name="_Toc23314"/>
      <w:bookmarkStart w:id="2879" w:name="_Toc15073"/>
      <w:bookmarkStart w:id="2880" w:name="_Toc910"/>
      <w:bookmarkStart w:id="2881" w:name="_Toc23798"/>
      <w:bookmarkStart w:id="2882" w:name="_Toc21569"/>
      <w:bookmarkStart w:id="2883" w:name="_Toc22464"/>
      <w:bookmarkStart w:id="2884" w:name="_Toc9730"/>
      <w:bookmarkStart w:id="2885" w:name="_Toc16364"/>
      <w:bookmarkStart w:id="2886" w:name="_Toc29923"/>
      <w:bookmarkStart w:id="2887" w:name="_Toc28404"/>
      <w:bookmarkStart w:id="2888" w:name="_Toc492478849"/>
      <w:bookmarkStart w:id="2889" w:name="_Toc414290583"/>
      <w:bookmarkStart w:id="2890" w:name="_Toc29245"/>
      <w:bookmarkStart w:id="2891" w:name="_Toc9588"/>
      <w:bookmarkStart w:id="2892" w:name="_Toc19557"/>
      <w:bookmarkStart w:id="2893" w:name="_Toc25750694"/>
      <w:bookmarkStart w:id="2894" w:name="_Toc434"/>
      <w:bookmarkStart w:id="2895" w:name="_Toc27271"/>
      <w:bookmarkStart w:id="2896" w:name="_Toc10968"/>
      <w:bookmarkStart w:id="2897" w:name="_Toc9189"/>
      <w:bookmarkStart w:id="2898" w:name="_Toc31611"/>
      <w:bookmarkStart w:id="2899" w:name="_Toc32726"/>
      <w:bookmarkStart w:id="2900" w:name="_Toc18096"/>
      <w:bookmarkStart w:id="2901" w:name="_Toc6214"/>
      <w:bookmarkStart w:id="2902" w:name="_Toc27723"/>
      <w:r>
        <w:rPr>
          <w:rFonts w:hint="eastAsia"/>
          <w:sz w:val="21"/>
          <w:szCs w:val="21"/>
          <w:highlight w:val="none"/>
        </w:rPr>
        <w:t>附表一 资格审查表</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shd w:val="clear"/>
        <w:snapToGrid w:val="0"/>
        <w:spacing w:before="0" w:line="360" w:lineRule="exact"/>
        <w:ind w:left="420" w:right="240" w:firstLine="0"/>
        <w:jc w:val="center"/>
        <w:rPr>
          <w:rFonts w:ascii="宋体" w:hAnsi="宋体"/>
          <w:b/>
          <w:sz w:val="24"/>
          <w:szCs w:val="24"/>
          <w:highlight w:val="none"/>
        </w:rPr>
      </w:pPr>
      <w:r>
        <w:rPr>
          <w:rFonts w:hint="eastAsia" w:ascii="宋体" w:hAnsi="宋体"/>
          <w:b/>
          <w:sz w:val="24"/>
          <w:szCs w:val="24"/>
          <w:highlight w:val="none"/>
        </w:rPr>
        <w:t>资格审查表</w:t>
      </w:r>
    </w:p>
    <w:tbl>
      <w:tblPr>
        <w:tblStyle w:val="31"/>
        <w:tblW w:w="97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8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序号</w:t>
            </w:r>
          </w:p>
        </w:tc>
        <w:tc>
          <w:tcPr>
            <w:tcW w:w="820"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项目内容</w:t>
            </w:r>
          </w:p>
        </w:tc>
        <w:tc>
          <w:tcPr>
            <w:tcW w:w="3129"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合格条件标准</w:t>
            </w:r>
          </w:p>
        </w:tc>
        <w:tc>
          <w:tcPr>
            <w:tcW w:w="1379"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评审依据</w:t>
            </w:r>
          </w:p>
        </w:tc>
        <w:tc>
          <w:tcPr>
            <w:tcW w:w="1094"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评审结果（合格</w:t>
            </w:r>
            <w:r>
              <w:rPr>
                <w:rFonts w:ascii="宋体" w:hAnsi="宋体"/>
                <w:b/>
                <w:bCs/>
                <w:highlight w:val="none"/>
              </w:rPr>
              <w:t>/</w:t>
            </w:r>
            <w:r>
              <w:rPr>
                <w:rFonts w:hint="eastAsia" w:ascii="宋体" w:hAnsi="宋体"/>
                <w:b/>
                <w:bCs/>
                <w:highlight w:val="none"/>
              </w:rPr>
              <w:t>不合格）</w:t>
            </w:r>
          </w:p>
        </w:tc>
        <w:tc>
          <w:tcPr>
            <w:tcW w:w="2844" w:type="dxa"/>
            <w:vAlign w:val="center"/>
          </w:tcPr>
          <w:p>
            <w:pPr>
              <w:shd w:val="clear"/>
              <w:spacing w:before="0" w:after="0" w:afterAutospacing="0" w:line="240" w:lineRule="auto"/>
              <w:ind w:left="0" w:right="0" w:firstLine="0"/>
              <w:jc w:val="center"/>
              <w:rPr>
                <w:rFonts w:ascii="宋体" w:hAnsi="宋体"/>
                <w:b/>
                <w:bCs/>
                <w:highlight w:val="none"/>
              </w:rPr>
            </w:pPr>
            <w:r>
              <w:rPr>
                <w:rFonts w:hint="eastAsia" w:ascii="宋体" w:hAnsi="宋体"/>
                <w:b/>
                <w:bCs/>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hd w:val="clear"/>
              <w:spacing w:before="0" w:after="0" w:afterAutospacing="0"/>
              <w:ind w:left="0" w:right="0" w:firstLine="0"/>
              <w:rPr>
                <w:rFonts w:ascii="宋体" w:hAnsi="宋体"/>
                <w:highlight w:val="none"/>
              </w:rPr>
            </w:pPr>
            <w:r>
              <w:rPr>
                <w:rFonts w:ascii="宋体" w:hAnsi="宋体"/>
                <w:highlight w:val="none"/>
              </w:rPr>
              <w:t>1</w:t>
            </w:r>
          </w:p>
        </w:tc>
        <w:tc>
          <w:tcPr>
            <w:tcW w:w="820"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身份证明材料</w:t>
            </w:r>
          </w:p>
        </w:tc>
        <w:tc>
          <w:tcPr>
            <w:tcW w:w="3129"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法定代表人授权书及法定代表人资格证明书（如无授权时，只需提供法定代表人资格证明书）、法定代表人及被授权人身份证复印件。</w:t>
            </w:r>
          </w:p>
        </w:tc>
        <w:tc>
          <w:tcPr>
            <w:tcW w:w="1379"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法定代表人授权书，法定代表人资格证明书和身份证复印件</w:t>
            </w:r>
          </w:p>
        </w:tc>
        <w:tc>
          <w:tcPr>
            <w:tcW w:w="1094" w:type="dxa"/>
            <w:vAlign w:val="center"/>
          </w:tcPr>
          <w:p>
            <w:pPr>
              <w:shd w:val="clear"/>
              <w:spacing w:before="0" w:after="0" w:afterAutospacing="0"/>
              <w:ind w:left="0" w:right="0" w:firstLine="0"/>
              <w:rPr>
                <w:rFonts w:ascii="宋体" w:hAnsi="宋体"/>
                <w:highlight w:val="none"/>
              </w:rPr>
            </w:pPr>
          </w:p>
        </w:tc>
        <w:tc>
          <w:tcPr>
            <w:tcW w:w="2844"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hd w:val="clear"/>
              <w:spacing w:before="0" w:after="0" w:afterAutospacing="0"/>
              <w:ind w:left="0" w:right="0" w:firstLine="0"/>
              <w:rPr>
                <w:rFonts w:ascii="宋体" w:hAnsi="宋体"/>
                <w:highlight w:val="none"/>
              </w:rPr>
            </w:pPr>
            <w:r>
              <w:rPr>
                <w:rFonts w:ascii="宋体" w:hAnsi="宋体"/>
                <w:highlight w:val="none"/>
              </w:rPr>
              <w:t>2</w:t>
            </w:r>
          </w:p>
        </w:tc>
        <w:tc>
          <w:tcPr>
            <w:tcW w:w="820"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比选申请人资格</w:t>
            </w:r>
          </w:p>
        </w:tc>
        <w:tc>
          <w:tcPr>
            <w:tcW w:w="3129"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比选申请人为中华人民共和国境内依法设立的法人或其他组织（若以分公司名义参与比选申请，必须出具总公司授权参与的证明。）</w:t>
            </w:r>
          </w:p>
        </w:tc>
        <w:tc>
          <w:tcPr>
            <w:tcW w:w="1379"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营业执照副本或事业单位法人证书等证明文件</w:t>
            </w:r>
          </w:p>
        </w:tc>
        <w:tc>
          <w:tcPr>
            <w:tcW w:w="1094" w:type="dxa"/>
            <w:vAlign w:val="center"/>
          </w:tcPr>
          <w:p>
            <w:pPr>
              <w:shd w:val="clear"/>
              <w:spacing w:before="0" w:after="0" w:afterAutospacing="0"/>
              <w:ind w:left="0" w:right="0" w:firstLine="0"/>
              <w:rPr>
                <w:rFonts w:ascii="宋体" w:hAnsi="宋体"/>
                <w:highlight w:val="none"/>
              </w:rPr>
            </w:pPr>
          </w:p>
        </w:tc>
        <w:tc>
          <w:tcPr>
            <w:tcW w:w="2844"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3</w:t>
            </w:r>
          </w:p>
        </w:tc>
        <w:tc>
          <w:tcPr>
            <w:tcW w:w="820" w:type="dxa"/>
            <w:vAlign w:val="center"/>
          </w:tcPr>
          <w:p>
            <w:pPr>
              <w:shd w:val="clear"/>
              <w:spacing w:before="0" w:after="0" w:afterAutospacing="0"/>
              <w:ind w:left="0" w:right="0" w:firstLine="0"/>
              <w:jc w:val="both"/>
              <w:rPr>
                <w:rFonts w:hint="eastAsia"/>
                <w:highlight w:val="none"/>
              </w:rPr>
            </w:pPr>
            <w:r>
              <w:rPr>
                <w:rFonts w:hint="eastAsia" w:ascii="宋体" w:hAnsi="宋体"/>
                <w:highlight w:val="none"/>
              </w:rPr>
              <w:t>业绩证明</w:t>
            </w:r>
          </w:p>
        </w:tc>
        <w:tc>
          <w:tcPr>
            <w:tcW w:w="3129" w:type="dxa"/>
            <w:vAlign w:val="top"/>
          </w:tcPr>
          <w:p>
            <w:pPr>
              <w:shd w:val="clear"/>
              <w:spacing w:before="0" w:after="0" w:afterAutospacing="0"/>
              <w:ind w:left="0" w:right="0" w:firstLine="0"/>
              <w:jc w:val="both"/>
              <w:rPr>
                <w:rFonts w:hint="eastAsia" w:eastAsia="宋体"/>
                <w:highlight w:val="none"/>
                <w:lang w:eastAsia="zh-CN"/>
              </w:rPr>
            </w:pPr>
            <w:r>
              <w:rPr>
                <w:rFonts w:hint="eastAsia"/>
                <w:highlight w:val="none"/>
              </w:rPr>
              <w:t>比选申请人自2019年1月1日至今至少承接过其中1个叉车维保或维修项目，并提供项目业绩证明材料。</w:t>
            </w:r>
          </w:p>
        </w:tc>
        <w:tc>
          <w:tcPr>
            <w:tcW w:w="1379"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相应的业绩证明材料</w:t>
            </w:r>
          </w:p>
        </w:tc>
        <w:tc>
          <w:tcPr>
            <w:tcW w:w="1094" w:type="dxa"/>
            <w:vAlign w:val="center"/>
          </w:tcPr>
          <w:p>
            <w:pPr>
              <w:shd w:val="clear"/>
              <w:spacing w:before="0" w:after="0" w:afterAutospacing="0"/>
              <w:ind w:left="0" w:right="0" w:firstLine="0"/>
              <w:rPr>
                <w:rFonts w:ascii="宋体" w:hAnsi="宋体"/>
                <w:highlight w:val="none"/>
              </w:rPr>
            </w:pPr>
          </w:p>
        </w:tc>
        <w:tc>
          <w:tcPr>
            <w:tcW w:w="2844" w:type="dxa"/>
            <w:vAlign w:val="center"/>
          </w:tcPr>
          <w:p>
            <w:pPr>
              <w:shd w:val="clear"/>
              <w:spacing w:before="0" w:after="0" w:afterAutospacing="0"/>
              <w:ind w:left="0" w:right="0" w:firstLine="0"/>
              <w:rPr>
                <w:rFonts w:hint="eastAsia" w:ascii="宋体" w:hAnsi="宋体" w:eastAsia="宋体"/>
                <w:highlight w:val="none"/>
                <w:lang w:eastAsia="zh-CN"/>
              </w:rPr>
            </w:pPr>
            <w:r>
              <w:rPr>
                <w:rFonts w:hint="eastAsia" w:ascii="宋体" w:hAnsi="宋体"/>
                <w:highlight w:val="none"/>
              </w:rPr>
              <w:t>提供相应的业绩证明材料：</w:t>
            </w:r>
            <w:r>
              <w:rPr>
                <w:rFonts w:hint="eastAsia" w:ascii="宋体" w:hAnsi="宋体"/>
                <w:color w:val="auto"/>
                <w:highlight w:val="none"/>
              </w:rPr>
              <w:t>中标通知书、业绩合同关键页复印件或用户证明，否则评审时不予承认该业绩，时间以合同签定时间为准</w:t>
            </w:r>
            <w:r>
              <w:rPr>
                <w:rFonts w:hint="eastAsia" w:ascii="宋体" w:hAnsi="宋体"/>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437"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4</w:t>
            </w:r>
          </w:p>
        </w:tc>
        <w:tc>
          <w:tcPr>
            <w:tcW w:w="820" w:type="dxa"/>
            <w:vAlign w:val="center"/>
          </w:tcPr>
          <w:p>
            <w:pPr>
              <w:shd w:val="clea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lang w:val="en-US" w:eastAsia="zh-CN"/>
              </w:rPr>
              <w:t>资质证书</w:t>
            </w:r>
          </w:p>
        </w:tc>
        <w:tc>
          <w:tcPr>
            <w:tcW w:w="3129" w:type="dxa"/>
            <w:vAlign w:val="center"/>
          </w:tcPr>
          <w:p>
            <w:pPr>
              <w:shd w:val="clear"/>
              <w:spacing w:before="0" w:after="0" w:afterAutospacing="0"/>
              <w:ind w:left="0" w:right="0" w:firstLine="0"/>
              <w:rPr>
                <w:rFonts w:ascii="宋体" w:hAnsi="宋体"/>
                <w:highlight w:val="none"/>
              </w:rPr>
            </w:pPr>
            <w:r>
              <w:rPr>
                <w:rFonts w:hint="eastAsia"/>
                <w:highlight w:val="none"/>
                <w:lang w:val="en-US" w:eastAsia="zh-CN"/>
              </w:rPr>
              <w:t>比选申请人应取得叉车特种设备生产许可证，许可项目包括但不限于场（厂）内专用机动车辆制造（含修理、改造）。</w:t>
            </w:r>
          </w:p>
        </w:tc>
        <w:tc>
          <w:tcPr>
            <w:tcW w:w="1379" w:type="dxa"/>
            <w:vAlign w:val="center"/>
          </w:tcPr>
          <w:p>
            <w:pPr>
              <w:shd w:val="clea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lang w:val="en-US" w:eastAsia="zh-CN"/>
              </w:rPr>
              <w:t>资质证书复印件</w:t>
            </w:r>
          </w:p>
        </w:tc>
        <w:tc>
          <w:tcPr>
            <w:tcW w:w="1094" w:type="dxa"/>
            <w:vAlign w:val="center"/>
          </w:tcPr>
          <w:p>
            <w:pPr>
              <w:shd w:val="clear"/>
              <w:spacing w:before="0" w:after="0" w:afterAutospacing="0"/>
              <w:ind w:left="0" w:right="0" w:firstLine="0"/>
              <w:rPr>
                <w:rFonts w:ascii="宋体" w:hAnsi="宋体"/>
                <w:highlight w:val="none"/>
              </w:rPr>
            </w:pPr>
          </w:p>
        </w:tc>
        <w:tc>
          <w:tcPr>
            <w:tcW w:w="2844" w:type="dxa"/>
            <w:vAlign w:val="center"/>
          </w:tcPr>
          <w:p>
            <w:pPr>
              <w:shd w:val="clea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lang w:val="en-US" w:eastAsia="zh-CN"/>
              </w:rPr>
              <w:t>比选申请人有效的许可证复印件（加盖公章）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hd w:val="clear"/>
              <w:spacing w:before="0" w:after="0" w:afterAutospacing="0"/>
              <w:ind w:left="0" w:right="0" w:firstLine="0"/>
              <w:rPr>
                <w:rFonts w:hint="eastAsia" w:ascii="宋体" w:hAnsi="宋体" w:eastAsia="宋体"/>
                <w:highlight w:val="none"/>
                <w:lang w:val="en-US" w:eastAsia="zh-CN"/>
              </w:rPr>
            </w:pPr>
            <w:r>
              <w:rPr>
                <w:rFonts w:hint="eastAsia" w:ascii="宋体" w:hAnsi="宋体"/>
                <w:highlight w:val="none"/>
                <w:lang w:val="en-US" w:eastAsia="zh-CN"/>
              </w:rPr>
              <w:t>5</w:t>
            </w:r>
          </w:p>
        </w:tc>
        <w:tc>
          <w:tcPr>
            <w:tcW w:w="820" w:type="dxa"/>
            <w:vAlign w:val="center"/>
          </w:tcPr>
          <w:p>
            <w:pPr>
              <w:shd w:val="clear"/>
              <w:spacing w:before="0" w:after="0" w:afterAutospacing="0"/>
              <w:ind w:left="0" w:leftChars="0" w:right="0" w:rightChars="0" w:firstLine="0" w:firstLineChars="0"/>
              <w:rPr>
                <w:rFonts w:hint="eastAsia" w:ascii="宋体" w:hAnsi="宋体" w:eastAsia="宋体" w:cs="Times New Roman"/>
                <w:sz w:val="21"/>
                <w:szCs w:val="21"/>
                <w:highlight w:val="none"/>
                <w:lang w:val="en-US" w:eastAsia="zh-CN" w:bidi="ar-SA"/>
              </w:rPr>
            </w:pPr>
            <w:r>
              <w:rPr>
                <w:rFonts w:hint="eastAsia" w:ascii="宋体" w:hAnsi="宋体"/>
                <w:highlight w:val="none"/>
              </w:rPr>
              <w:t>承诺书</w:t>
            </w:r>
          </w:p>
        </w:tc>
        <w:tc>
          <w:tcPr>
            <w:tcW w:w="3129" w:type="dxa"/>
            <w:vAlign w:val="center"/>
          </w:tcPr>
          <w:p>
            <w:pPr>
              <w:shd w:val="clear"/>
              <w:spacing w:before="0" w:after="0" w:afterAutospacing="0"/>
              <w:ind w:left="0" w:leftChars="0" w:right="0" w:rightChars="0" w:firstLine="0" w:firstLineChars="0"/>
              <w:rPr>
                <w:rFonts w:hint="eastAsia" w:ascii="宋体" w:hAnsi="宋体" w:eastAsia="宋体" w:cs="Times New Roman"/>
                <w:sz w:val="21"/>
                <w:szCs w:val="21"/>
                <w:highlight w:val="none"/>
                <w:lang w:val="en-US" w:eastAsia="zh-CN" w:bidi="ar-SA"/>
              </w:rPr>
            </w:pPr>
            <w:r>
              <w:rPr>
                <w:rFonts w:hint="eastAsia" w:ascii="宋体" w:hAnsi="宋体"/>
                <w:highlight w:val="none"/>
              </w:rPr>
              <w:t>比选申请人</w:t>
            </w:r>
            <w:r>
              <w:rPr>
                <w:rFonts w:hint="eastAsia" w:eastAsia="宋体" w:cs="宋体"/>
                <w:color w:val="auto"/>
                <w:sz w:val="21"/>
                <w:szCs w:val="21"/>
                <w:highlight w:val="none"/>
              </w:rPr>
              <w:t>没有处于被责令停业，或投标资格被住建部、广西壮族自治区或南宁市建设行政主管部门取消，或财产被接管、破产状态；在</w:t>
            </w:r>
            <w:r>
              <w:rPr>
                <w:rFonts w:hint="eastAsia" w:cs="宋体"/>
                <w:color w:val="auto"/>
                <w:sz w:val="21"/>
                <w:szCs w:val="21"/>
                <w:highlight w:val="none"/>
                <w:lang w:val="en-US" w:eastAsia="zh-CN"/>
              </w:rPr>
              <w:t>比选申请</w:t>
            </w:r>
            <w:r>
              <w:rPr>
                <w:rFonts w:hint="eastAsia" w:eastAsia="宋体" w:cs="宋体"/>
                <w:color w:val="auto"/>
                <w:sz w:val="21"/>
                <w:szCs w:val="21"/>
                <w:highlight w:val="none"/>
              </w:rPr>
              <w:t>截止前3年内没有骗取中标、严重违约或重大安全质量事故行为</w:t>
            </w:r>
            <w:r>
              <w:rPr>
                <w:rFonts w:hint="eastAsia" w:ascii="宋体" w:hAnsi="宋体"/>
                <w:highlight w:val="none"/>
              </w:rPr>
              <w:t>。</w:t>
            </w:r>
          </w:p>
        </w:tc>
        <w:tc>
          <w:tcPr>
            <w:tcW w:w="1379" w:type="dxa"/>
            <w:vAlign w:val="center"/>
          </w:tcPr>
          <w:p>
            <w:pPr>
              <w:shd w:val="clear"/>
              <w:spacing w:before="0" w:after="0" w:afterAutospacing="0"/>
              <w:ind w:left="0" w:leftChars="0" w:right="0" w:rightChars="0" w:firstLine="0" w:firstLineChars="0"/>
              <w:rPr>
                <w:rFonts w:hint="eastAsia" w:ascii="宋体" w:hAnsi="宋体" w:eastAsia="宋体" w:cs="Times New Roman"/>
                <w:sz w:val="21"/>
                <w:szCs w:val="21"/>
                <w:highlight w:val="none"/>
                <w:lang w:val="en-US" w:eastAsia="zh-CN" w:bidi="ar-SA"/>
              </w:rPr>
            </w:pPr>
            <w:r>
              <w:rPr>
                <w:rFonts w:hint="eastAsia" w:ascii="宋体" w:hAnsi="宋体"/>
                <w:highlight w:val="none"/>
              </w:rPr>
              <w:t>承诺书原件</w:t>
            </w:r>
          </w:p>
        </w:tc>
        <w:tc>
          <w:tcPr>
            <w:tcW w:w="1094" w:type="dxa"/>
            <w:vAlign w:val="center"/>
          </w:tcPr>
          <w:p>
            <w:pPr>
              <w:shd w:val="clear"/>
              <w:spacing w:before="0" w:after="0" w:afterAutospacing="0"/>
              <w:ind w:left="0" w:leftChars="0" w:right="0" w:rightChars="0" w:firstLine="0" w:firstLineChars="0"/>
              <w:rPr>
                <w:rFonts w:ascii="宋体" w:hAnsi="宋体" w:eastAsia="宋体" w:cs="Times New Roman"/>
                <w:sz w:val="21"/>
                <w:szCs w:val="21"/>
                <w:highlight w:val="none"/>
                <w:lang w:val="en-US" w:eastAsia="zh-CN" w:bidi="ar-SA"/>
              </w:rPr>
            </w:pPr>
          </w:p>
        </w:tc>
        <w:tc>
          <w:tcPr>
            <w:tcW w:w="2844" w:type="dxa"/>
            <w:vAlign w:val="center"/>
          </w:tcPr>
          <w:p>
            <w:pPr>
              <w:shd w:val="clear"/>
              <w:spacing w:before="0" w:after="0" w:afterAutospacing="0"/>
              <w:ind w:left="0" w:right="0" w:firstLine="0"/>
              <w:rPr>
                <w:rFonts w:ascii="宋体" w:hAnsi="宋体"/>
                <w:highlight w:val="none"/>
              </w:rPr>
            </w:pPr>
            <w:r>
              <w:rPr>
                <w:rFonts w:hint="eastAsia" w:ascii="宋体" w:hAnsi="宋体"/>
                <w:highlight w:val="none"/>
              </w:rPr>
              <w:t>按规定格式提供承诺书</w:t>
            </w:r>
          </w:p>
          <w:p>
            <w:pPr>
              <w:shd w:val="clear"/>
              <w:spacing w:before="0" w:after="0" w:afterAutospacing="0"/>
              <w:ind w:left="0" w:leftChars="0" w:right="0" w:rightChars="0" w:firstLine="0" w:firstLineChars="0"/>
              <w:rPr>
                <w:rFonts w:ascii="宋体" w:hAnsi="宋体" w:eastAsia="宋体" w:cs="Times New Roman"/>
                <w:sz w:val="21"/>
                <w:szCs w:val="21"/>
                <w:highlight w:val="none"/>
                <w:lang w:val="en-US" w:eastAsia="zh-CN" w:bidi="ar-SA"/>
              </w:rPr>
            </w:pPr>
          </w:p>
        </w:tc>
      </w:tr>
    </w:tbl>
    <w:p>
      <w:pPr>
        <w:shd w:val="clea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w:t>
      </w:r>
    </w:p>
    <w:p>
      <w:pPr>
        <w:shd w:val="clear"/>
        <w:snapToGrid w:val="0"/>
        <w:spacing w:before="0" w:after="0" w:afterAutospacing="0" w:line="240" w:lineRule="auto"/>
        <w:ind w:left="0" w:right="0" w:firstLine="0"/>
        <w:outlineLvl w:val="1"/>
        <w:rPr>
          <w:rFonts w:ascii="宋体" w:hAnsi="宋体"/>
          <w:b/>
          <w:highlight w:val="none"/>
        </w:rPr>
      </w:pPr>
      <w:bookmarkStart w:id="2903" w:name="_Toc22639"/>
      <w:bookmarkStart w:id="2904" w:name="_Toc1760"/>
      <w:r>
        <w:rPr>
          <w:rFonts w:hint="eastAsia" w:ascii="宋体" w:hAnsi="宋体"/>
          <w:b/>
          <w:highlight w:val="none"/>
        </w:rPr>
        <w:t>1.以上所有证明资料原件备查。</w:t>
      </w:r>
      <w:bookmarkEnd w:id="2903"/>
      <w:bookmarkEnd w:id="2904"/>
    </w:p>
    <w:p>
      <w:pPr>
        <w:shd w:val="clear"/>
        <w:snapToGrid w:val="0"/>
        <w:spacing w:before="0" w:after="0" w:afterAutospacing="0" w:line="240" w:lineRule="auto"/>
        <w:ind w:left="0" w:right="0" w:firstLine="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pStyle w:val="4"/>
        <w:shd w:val="clear"/>
        <w:spacing w:after="0" w:line="360" w:lineRule="auto"/>
        <w:ind w:right="-57"/>
        <w:rPr>
          <w:sz w:val="24"/>
          <w:szCs w:val="24"/>
          <w:highlight w:val="none"/>
        </w:rPr>
      </w:pPr>
      <w:r>
        <w:rPr>
          <w:rFonts w:ascii="宋体" w:hAnsi="宋体"/>
          <w:highlight w:val="none"/>
        </w:rPr>
        <w:br w:type="page"/>
      </w:r>
      <w:bookmarkStart w:id="2905" w:name="_Toc22634"/>
      <w:bookmarkStart w:id="2906" w:name="_Toc32509"/>
      <w:bookmarkStart w:id="2907" w:name="_Toc28152"/>
      <w:bookmarkStart w:id="2908" w:name="_Toc20617"/>
      <w:bookmarkStart w:id="2909" w:name="_Toc13810"/>
      <w:bookmarkStart w:id="2910" w:name="_Toc20531"/>
      <w:bookmarkStart w:id="2911" w:name="_Toc12403"/>
      <w:bookmarkStart w:id="2912" w:name="_Toc25750695"/>
      <w:bookmarkStart w:id="2913" w:name="_Toc9343"/>
      <w:bookmarkStart w:id="2914" w:name="_Toc22635"/>
      <w:bookmarkStart w:id="2915" w:name="_Toc8945"/>
      <w:bookmarkStart w:id="2916" w:name="_Toc19299"/>
      <w:bookmarkStart w:id="2917" w:name="_Toc492478850"/>
      <w:bookmarkStart w:id="2918" w:name="_Toc3409"/>
      <w:bookmarkStart w:id="2919" w:name="_Toc15103"/>
      <w:bookmarkStart w:id="2920" w:name="_Toc191"/>
      <w:bookmarkStart w:id="2921" w:name="_Toc5811"/>
      <w:bookmarkStart w:id="2922" w:name="_Toc20215"/>
      <w:bookmarkStart w:id="2923" w:name="_Toc7852"/>
      <w:bookmarkStart w:id="2924" w:name="_Toc6612"/>
      <w:bookmarkStart w:id="2925" w:name="_Toc29670"/>
      <w:bookmarkStart w:id="2926" w:name="_Toc1459"/>
      <w:bookmarkStart w:id="2927" w:name="_Toc5737"/>
      <w:bookmarkStart w:id="2928" w:name="_Toc6102"/>
      <w:bookmarkStart w:id="2929" w:name="_Toc12984826"/>
      <w:bookmarkStart w:id="2930" w:name="_Toc31487"/>
      <w:bookmarkStart w:id="2931" w:name="_Toc12983557"/>
      <w:bookmarkStart w:id="2932" w:name="_Toc25123"/>
      <w:r>
        <w:rPr>
          <w:sz w:val="21"/>
          <w:szCs w:val="21"/>
          <w:highlight w:val="none"/>
        </w:rPr>
        <w:t>附表二</w:t>
      </w:r>
      <w:r>
        <w:rPr>
          <w:rFonts w:hint="eastAsia"/>
          <w:sz w:val="21"/>
          <w:szCs w:val="21"/>
          <w:highlight w:val="none"/>
        </w:rPr>
        <w:t xml:space="preserve"> 符合性</w:t>
      </w:r>
      <w:r>
        <w:rPr>
          <w:sz w:val="21"/>
          <w:szCs w:val="21"/>
          <w:highlight w:val="none"/>
        </w:rPr>
        <w:t>评审表</w:t>
      </w:r>
      <w:bookmarkEnd w:id="2905"/>
      <w:bookmarkEnd w:id="2906"/>
      <w:bookmarkEnd w:id="2907"/>
      <w:bookmarkEnd w:id="2908"/>
      <w:bookmarkEnd w:id="2909"/>
      <w:bookmarkEnd w:id="2910"/>
      <w:bookmarkEnd w:id="2911"/>
      <w:bookmarkEnd w:id="2912"/>
    </w:p>
    <w:p>
      <w:pPr>
        <w:shd w:val="clear"/>
        <w:spacing w:before="0"/>
        <w:ind w:right="0" w:firstLine="0"/>
        <w:jc w:val="center"/>
        <w:outlineLvl w:val="0"/>
        <w:rPr>
          <w:b/>
          <w:sz w:val="24"/>
          <w:szCs w:val="24"/>
          <w:highlight w:val="none"/>
        </w:rPr>
      </w:pPr>
      <w:bookmarkStart w:id="2933" w:name="_Toc22125"/>
      <w:bookmarkStart w:id="2934" w:name="_Toc16147"/>
      <w:bookmarkStart w:id="2935" w:name="_Toc19700"/>
      <w:bookmarkStart w:id="2936" w:name="_Toc13372"/>
      <w:bookmarkStart w:id="2937" w:name="_Toc32047"/>
      <w:bookmarkStart w:id="2938" w:name="_Toc9776"/>
      <w:bookmarkStart w:id="2939" w:name="_Toc20219"/>
      <w:bookmarkStart w:id="2940" w:name="_Toc29749"/>
      <w:bookmarkStart w:id="2941" w:name="_Toc18004"/>
      <w:r>
        <w:rPr>
          <w:rFonts w:hint="eastAsia" w:hAnsi="宋体"/>
          <w:b/>
          <w:sz w:val="24"/>
          <w:szCs w:val="24"/>
          <w:highlight w:val="none"/>
        </w:rPr>
        <w:t>符合性</w:t>
      </w:r>
      <w:r>
        <w:rPr>
          <w:rFonts w:hAnsi="宋体"/>
          <w:b/>
          <w:sz w:val="24"/>
          <w:szCs w:val="24"/>
          <w:highlight w:val="none"/>
        </w:rPr>
        <w:t>评审表</w:t>
      </w:r>
      <w:bookmarkEnd w:id="2933"/>
      <w:bookmarkEnd w:id="2934"/>
      <w:bookmarkEnd w:id="2935"/>
      <w:bookmarkEnd w:id="2936"/>
      <w:bookmarkEnd w:id="2937"/>
      <w:bookmarkEnd w:id="2938"/>
      <w:bookmarkEnd w:id="2939"/>
      <w:bookmarkEnd w:id="2940"/>
      <w:bookmarkEnd w:id="2941"/>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shd w:val="clear"/>
              <w:ind w:left="0" w:firstLine="0"/>
              <w:rPr>
                <w:highlight w:val="none"/>
              </w:rPr>
            </w:pPr>
            <w:r>
              <w:rPr>
                <w:highlight w:val="none"/>
              </w:rPr>
              <w:t>序号</w:t>
            </w:r>
          </w:p>
        </w:tc>
        <w:tc>
          <w:tcPr>
            <w:tcW w:w="6096" w:type="dxa"/>
            <w:tcBorders>
              <w:top w:val="single" w:color="auto" w:sz="12" w:space="0"/>
            </w:tcBorders>
            <w:vAlign w:val="center"/>
          </w:tcPr>
          <w:p>
            <w:pPr>
              <w:shd w:val="clear"/>
              <w:ind w:left="0" w:firstLine="0"/>
              <w:rPr>
                <w:highlight w:val="none"/>
              </w:rPr>
            </w:pPr>
            <w:r>
              <w:rPr>
                <w:rFonts w:hint="eastAsia"/>
                <w:highlight w:val="none"/>
              </w:rPr>
              <w:t>评审项目</w:t>
            </w:r>
          </w:p>
        </w:tc>
        <w:tc>
          <w:tcPr>
            <w:tcW w:w="1134" w:type="dxa"/>
            <w:tcBorders>
              <w:top w:val="single" w:color="auto" w:sz="12" w:space="0"/>
            </w:tcBorders>
          </w:tcPr>
          <w:p>
            <w:pPr>
              <w:shd w:val="clear"/>
              <w:ind w:left="0" w:firstLine="0"/>
              <w:rPr>
                <w:highlight w:val="none"/>
              </w:rPr>
            </w:pPr>
            <w:r>
              <w:rPr>
                <w:rFonts w:hint="eastAsia"/>
                <w:highlight w:val="none"/>
              </w:rPr>
              <w:t>评审结果</w:t>
            </w:r>
          </w:p>
        </w:tc>
        <w:tc>
          <w:tcPr>
            <w:tcW w:w="1098" w:type="dxa"/>
            <w:tcBorders>
              <w:top w:val="single" w:color="auto" w:sz="12" w:space="0"/>
            </w:tcBorders>
            <w:vAlign w:val="center"/>
          </w:tcPr>
          <w:p>
            <w:pPr>
              <w:shd w:val="clear"/>
              <w:ind w:left="0" w:firstLine="0"/>
              <w:rPr>
                <w:highlight w:val="none"/>
              </w:rPr>
            </w:pPr>
            <w:r>
              <w:rPr>
                <w:rFonts w:hint="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shd w:val="clear"/>
              <w:ind w:left="0" w:firstLine="0"/>
              <w:jc w:val="center"/>
              <w:rPr>
                <w:highlight w:val="none"/>
              </w:rPr>
            </w:pPr>
            <w:r>
              <w:rPr>
                <w:highlight w:val="none"/>
              </w:rPr>
              <w:t>1</w:t>
            </w:r>
          </w:p>
        </w:tc>
        <w:tc>
          <w:tcPr>
            <w:tcW w:w="6096" w:type="dxa"/>
            <w:vAlign w:val="center"/>
          </w:tcPr>
          <w:p>
            <w:pPr>
              <w:shd w:val="clear"/>
              <w:ind w:left="0" w:firstLine="0"/>
              <w:rPr>
                <w:highlight w:val="none"/>
              </w:rPr>
            </w:pPr>
            <w:r>
              <w:rPr>
                <w:rFonts w:hint="eastAsia"/>
                <w:highlight w:val="none"/>
              </w:rPr>
              <w:t>比选申请文件按规定签署和盖章</w:t>
            </w:r>
          </w:p>
        </w:tc>
        <w:tc>
          <w:tcPr>
            <w:tcW w:w="1134" w:type="dxa"/>
          </w:tcPr>
          <w:p>
            <w:pPr>
              <w:shd w:val="clear"/>
              <w:ind w:left="0" w:firstLine="0"/>
              <w:rPr>
                <w:highlight w:val="none"/>
              </w:rPr>
            </w:pPr>
          </w:p>
        </w:tc>
        <w:tc>
          <w:tcPr>
            <w:tcW w:w="1098" w:type="dxa"/>
            <w:vMerge w:val="restart"/>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shd w:val="clear"/>
              <w:ind w:left="0" w:firstLine="0"/>
              <w:jc w:val="center"/>
              <w:rPr>
                <w:highlight w:val="none"/>
              </w:rPr>
            </w:pPr>
            <w:r>
              <w:rPr>
                <w:highlight w:val="none"/>
              </w:rPr>
              <w:t>2</w:t>
            </w:r>
          </w:p>
        </w:tc>
        <w:tc>
          <w:tcPr>
            <w:tcW w:w="6096" w:type="dxa"/>
            <w:vAlign w:val="center"/>
          </w:tcPr>
          <w:p>
            <w:pPr>
              <w:shd w:val="clear"/>
              <w:ind w:left="0" w:firstLine="0"/>
              <w:rPr>
                <w:highlight w:val="none"/>
              </w:rPr>
            </w:pPr>
            <w:r>
              <w:rPr>
                <w:rFonts w:hint="eastAsia"/>
                <w:highlight w:val="none"/>
              </w:rPr>
              <w:t>比选申请文件的实质性内容按规定填写、内容齐全的；（按比选文件第四章节规定格式填写的）</w:t>
            </w:r>
          </w:p>
        </w:tc>
        <w:tc>
          <w:tcPr>
            <w:tcW w:w="1134" w:type="dxa"/>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shd w:val="clear"/>
              <w:ind w:left="0" w:firstLine="0"/>
              <w:jc w:val="center"/>
              <w:rPr>
                <w:highlight w:val="none"/>
              </w:rPr>
            </w:pPr>
            <w:r>
              <w:rPr>
                <w:rFonts w:hint="eastAsia"/>
                <w:highlight w:val="none"/>
              </w:rPr>
              <w:t>3</w:t>
            </w:r>
          </w:p>
        </w:tc>
        <w:tc>
          <w:tcPr>
            <w:tcW w:w="6096" w:type="dxa"/>
            <w:vAlign w:val="center"/>
          </w:tcPr>
          <w:p>
            <w:pPr>
              <w:shd w:val="clear"/>
              <w:ind w:left="0" w:firstLine="0"/>
              <w:rPr>
                <w:highlight w:val="none"/>
              </w:rPr>
            </w:pPr>
            <w:r>
              <w:rPr>
                <w:rFonts w:hint="eastAsia"/>
                <w:highlight w:val="none"/>
                <w:lang w:val="en-US" w:eastAsia="zh-CN"/>
              </w:rPr>
              <w:t>比选申请人</w:t>
            </w:r>
            <w:r>
              <w:rPr>
                <w:rFonts w:hint="eastAsia"/>
                <w:highlight w:val="none"/>
              </w:rPr>
              <w:t>人在资格审查文件或技术文件中未透露有关报价的信息</w:t>
            </w:r>
          </w:p>
        </w:tc>
        <w:tc>
          <w:tcPr>
            <w:tcW w:w="1134" w:type="dxa"/>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shd w:val="clear"/>
              <w:ind w:left="0" w:firstLine="0"/>
              <w:jc w:val="center"/>
              <w:rPr>
                <w:highlight w:val="none"/>
              </w:rPr>
            </w:pPr>
            <w:r>
              <w:rPr>
                <w:rFonts w:hint="eastAsia"/>
                <w:highlight w:val="none"/>
              </w:rPr>
              <w:t>4</w:t>
            </w:r>
          </w:p>
        </w:tc>
        <w:tc>
          <w:tcPr>
            <w:tcW w:w="6096" w:type="dxa"/>
            <w:vAlign w:val="center"/>
          </w:tcPr>
          <w:p>
            <w:pPr>
              <w:shd w:val="clear"/>
              <w:ind w:left="0" w:firstLine="0"/>
              <w:rPr>
                <w:highlight w:val="none"/>
              </w:rPr>
            </w:pPr>
            <w:r>
              <w:rPr>
                <w:rFonts w:hint="eastAsia"/>
                <w:highlight w:val="none"/>
              </w:rPr>
              <w:t>在比选申请文件中无虚假文件或资料的</w:t>
            </w:r>
          </w:p>
        </w:tc>
        <w:tc>
          <w:tcPr>
            <w:tcW w:w="1134" w:type="dxa"/>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shd w:val="clear"/>
              <w:ind w:left="0" w:firstLine="0"/>
              <w:jc w:val="center"/>
              <w:rPr>
                <w:highlight w:val="none"/>
              </w:rPr>
            </w:pPr>
            <w:r>
              <w:rPr>
                <w:rFonts w:hint="eastAsia"/>
                <w:highlight w:val="none"/>
              </w:rPr>
              <w:t>5</w:t>
            </w:r>
          </w:p>
        </w:tc>
        <w:tc>
          <w:tcPr>
            <w:tcW w:w="6096" w:type="dxa"/>
            <w:vAlign w:val="center"/>
          </w:tcPr>
          <w:p>
            <w:pPr>
              <w:shd w:val="clear"/>
              <w:ind w:left="0" w:firstLine="0"/>
              <w:rPr>
                <w:highlight w:val="none"/>
              </w:rPr>
            </w:pPr>
            <w:r>
              <w:rPr>
                <w:rFonts w:hint="eastAsia"/>
                <w:highlight w:val="none"/>
              </w:rPr>
              <w:t>技术部分响应、偏离情况说明无负偏离的</w:t>
            </w:r>
          </w:p>
        </w:tc>
        <w:tc>
          <w:tcPr>
            <w:tcW w:w="1134" w:type="dxa"/>
            <w:tcBorders>
              <w:bottom w:val="single" w:color="auto" w:sz="4" w:space="0"/>
            </w:tcBorders>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shd w:val="clear"/>
              <w:ind w:left="0" w:firstLine="0"/>
              <w:jc w:val="center"/>
              <w:rPr>
                <w:highlight w:val="none"/>
              </w:rPr>
            </w:pPr>
            <w:r>
              <w:rPr>
                <w:rFonts w:hint="eastAsia"/>
                <w:highlight w:val="none"/>
              </w:rPr>
              <w:t>6</w:t>
            </w:r>
          </w:p>
        </w:tc>
        <w:tc>
          <w:tcPr>
            <w:tcW w:w="6096" w:type="dxa"/>
            <w:vAlign w:val="center"/>
          </w:tcPr>
          <w:p>
            <w:pPr>
              <w:shd w:val="clear"/>
              <w:ind w:left="0" w:firstLine="0"/>
              <w:rPr>
                <w:highlight w:val="none"/>
              </w:rPr>
            </w:pPr>
            <w:r>
              <w:rPr>
                <w:rFonts w:hint="eastAsia"/>
                <w:highlight w:val="none"/>
              </w:rPr>
              <w:t>商务响应表无负偏离的</w:t>
            </w:r>
          </w:p>
        </w:tc>
        <w:tc>
          <w:tcPr>
            <w:tcW w:w="1134" w:type="dxa"/>
            <w:tcBorders>
              <w:bottom w:val="single" w:color="auto" w:sz="4" w:space="0"/>
            </w:tcBorders>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shd w:val="clear"/>
              <w:ind w:left="0" w:firstLine="0"/>
              <w:jc w:val="center"/>
              <w:rPr>
                <w:highlight w:val="none"/>
              </w:rPr>
            </w:pPr>
            <w:r>
              <w:rPr>
                <w:rFonts w:hint="eastAsia"/>
                <w:highlight w:val="none"/>
              </w:rPr>
              <w:t>7</w:t>
            </w:r>
          </w:p>
        </w:tc>
        <w:tc>
          <w:tcPr>
            <w:tcW w:w="6096" w:type="dxa"/>
            <w:vAlign w:val="center"/>
          </w:tcPr>
          <w:p>
            <w:pPr>
              <w:shd w:val="clear"/>
              <w:ind w:left="0" w:firstLine="0"/>
              <w:rPr>
                <w:highlight w:val="none"/>
              </w:rPr>
            </w:pPr>
            <w:r>
              <w:rPr>
                <w:rFonts w:hint="eastAsia" w:hAnsi="宋体"/>
                <w:highlight w:val="none"/>
              </w:rPr>
              <w:t>比选申请文件按比选文件要求提供按期完成承诺书的</w:t>
            </w:r>
          </w:p>
        </w:tc>
        <w:tc>
          <w:tcPr>
            <w:tcW w:w="1134" w:type="dxa"/>
            <w:tcBorders>
              <w:top w:val="single" w:color="auto" w:sz="4" w:space="0"/>
            </w:tcBorders>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shd w:val="clear"/>
              <w:ind w:left="0" w:firstLine="0"/>
              <w:jc w:val="center"/>
              <w:rPr>
                <w:highlight w:val="none"/>
              </w:rPr>
            </w:pPr>
            <w:r>
              <w:rPr>
                <w:rFonts w:hint="eastAsia"/>
                <w:highlight w:val="none"/>
              </w:rPr>
              <w:t>8</w:t>
            </w:r>
          </w:p>
        </w:tc>
        <w:tc>
          <w:tcPr>
            <w:tcW w:w="6096" w:type="dxa"/>
            <w:vAlign w:val="center"/>
          </w:tcPr>
          <w:p>
            <w:pPr>
              <w:shd w:val="clear"/>
              <w:ind w:left="0" w:firstLine="0"/>
              <w:rPr>
                <w:rFonts w:hAnsi="宋体"/>
                <w:highlight w:val="none"/>
              </w:rPr>
            </w:pPr>
            <w:r>
              <w:rPr>
                <w:rFonts w:hint="eastAsia" w:hAnsi="宋体"/>
                <w:highlight w:val="none"/>
              </w:rPr>
              <w:t>比选申请文件按比选文件要求提供售后服务承诺书的</w:t>
            </w:r>
          </w:p>
        </w:tc>
        <w:tc>
          <w:tcPr>
            <w:tcW w:w="1134" w:type="dxa"/>
            <w:tcBorders>
              <w:top w:val="single" w:color="auto" w:sz="4" w:space="0"/>
            </w:tcBorders>
          </w:tcPr>
          <w:p>
            <w:pPr>
              <w:shd w:val="clear"/>
              <w:ind w:left="0" w:firstLine="0"/>
              <w:rPr>
                <w:highlight w:val="none"/>
              </w:rPr>
            </w:pPr>
          </w:p>
        </w:tc>
        <w:tc>
          <w:tcPr>
            <w:tcW w:w="1098" w:type="dxa"/>
            <w:vMerge w:val="continue"/>
            <w:vAlign w:val="center"/>
          </w:tcPr>
          <w:p>
            <w:pPr>
              <w:shd w:val="clea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shd w:val="clear"/>
              <w:ind w:left="0" w:firstLine="0"/>
              <w:jc w:val="center"/>
              <w:rPr>
                <w:highlight w:val="none"/>
              </w:rPr>
            </w:pPr>
            <w:r>
              <w:rPr>
                <w:rFonts w:hint="eastAsia"/>
                <w:highlight w:val="none"/>
              </w:rPr>
              <w:t>9</w:t>
            </w:r>
          </w:p>
        </w:tc>
        <w:tc>
          <w:tcPr>
            <w:tcW w:w="6096" w:type="dxa"/>
            <w:vAlign w:val="center"/>
          </w:tcPr>
          <w:p>
            <w:pPr>
              <w:shd w:val="clear"/>
              <w:ind w:left="0" w:firstLine="0"/>
              <w:rPr>
                <w:highlight w:val="none"/>
              </w:rPr>
            </w:pPr>
            <w:r>
              <w:rPr>
                <w:rFonts w:hint="eastAsia"/>
                <w:highlight w:val="none"/>
              </w:rPr>
              <w:t>无比选文件、法律、法规规定的其他否决比选申请条件</w:t>
            </w:r>
          </w:p>
        </w:tc>
        <w:tc>
          <w:tcPr>
            <w:tcW w:w="1134" w:type="dxa"/>
          </w:tcPr>
          <w:p>
            <w:pPr>
              <w:shd w:val="clear"/>
              <w:ind w:left="0" w:firstLine="0"/>
              <w:rPr>
                <w:highlight w:val="none"/>
              </w:rPr>
            </w:pPr>
          </w:p>
        </w:tc>
        <w:tc>
          <w:tcPr>
            <w:tcW w:w="1098" w:type="dxa"/>
            <w:vMerge w:val="continue"/>
            <w:vAlign w:val="center"/>
          </w:tcPr>
          <w:p>
            <w:pPr>
              <w:shd w:val="clear"/>
              <w:ind w:left="0" w:firstLine="0"/>
              <w:rPr>
                <w:highlight w:val="none"/>
              </w:rPr>
            </w:pPr>
          </w:p>
        </w:tc>
      </w:tr>
    </w:tbl>
    <w:p>
      <w:pPr>
        <w:shd w:val="clea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shd w:val="clear"/>
        <w:spacing w:before="0"/>
        <w:ind w:right="0" w:firstLine="0"/>
        <w:jc w:val="center"/>
        <w:rPr>
          <w:rFonts w:hAnsi="宋体"/>
          <w:b/>
          <w:sz w:val="24"/>
          <w:szCs w:val="24"/>
          <w:highlight w:val="none"/>
        </w:rPr>
      </w:pPr>
    </w:p>
    <w:p>
      <w:pPr>
        <w:shd w:val="clear"/>
        <w:spacing w:before="0"/>
        <w:ind w:right="0" w:firstLine="0"/>
        <w:jc w:val="center"/>
        <w:rPr>
          <w:highlight w:val="none"/>
        </w:rPr>
        <w:sectPr>
          <w:footerReference r:id="rId15" w:type="default"/>
          <w:pgSz w:w="11905" w:h="16838"/>
          <w:pgMar w:top="1418" w:right="1418" w:bottom="1418" w:left="1418" w:header="454" w:footer="567" w:gutter="0"/>
          <w:pgNumType w:fmt="decimal"/>
          <w:cols w:space="720" w:num="1"/>
          <w:docGrid w:linePitch="319" w:charSpace="0"/>
        </w:sectPr>
      </w:pPr>
    </w:p>
    <w:p>
      <w:pPr>
        <w:pStyle w:val="4"/>
        <w:shd w:val="clear"/>
        <w:rPr>
          <w:rFonts w:hint="eastAsia"/>
          <w:sz w:val="21"/>
          <w:szCs w:val="21"/>
          <w:highlight w:val="none"/>
          <w:lang w:val="en-US" w:eastAsia="zh-CN"/>
        </w:rPr>
      </w:pPr>
      <w:bookmarkStart w:id="2942" w:name="_Toc18071"/>
      <w:bookmarkStart w:id="2943" w:name="_Toc6737"/>
      <w:bookmarkStart w:id="2944" w:name="_Toc10858"/>
      <w:bookmarkStart w:id="2945" w:name="_Toc11858"/>
      <w:bookmarkStart w:id="2946" w:name="_Toc2761"/>
      <w:bookmarkStart w:id="2947" w:name="_Toc26067"/>
      <w:bookmarkStart w:id="2948" w:name="_Toc698"/>
      <w:bookmarkStart w:id="2949" w:name="_Toc47864324"/>
      <w:r>
        <w:rPr>
          <w:rFonts w:hint="eastAsia"/>
          <w:sz w:val="21"/>
          <w:szCs w:val="21"/>
          <w:highlight w:val="none"/>
        </w:rPr>
        <w:t xml:space="preserve">附表三 </w:t>
      </w:r>
      <w:r>
        <w:rPr>
          <w:rFonts w:hint="eastAsia"/>
          <w:sz w:val="21"/>
          <w:szCs w:val="21"/>
          <w:highlight w:val="none"/>
          <w:lang w:val="en-US" w:eastAsia="zh-CN"/>
        </w:rPr>
        <w:t>资信文件评分表</w:t>
      </w:r>
      <w:bookmarkEnd w:id="2942"/>
      <w:bookmarkEnd w:id="2943"/>
      <w:bookmarkEnd w:id="2944"/>
      <w:bookmarkEnd w:id="2945"/>
      <w:bookmarkEnd w:id="2946"/>
      <w:bookmarkEnd w:id="2947"/>
      <w:bookmarkEnd w:id="2948"/>
    </w:p>
    <w:p>
      <w:pPr>
        <w:jc w:val="center"/>
        <w:rPr>
          <w:rFonts w:hint="eastAsia"/>
          <w:b/>
          <w:bCs/>
          <w:lang w:val="en-US" w:eastAsia="zh-CN"/>
        </w:rPr>
      </w:pPr>
      <w:r>
        <w:rPr>
          <w:rFonts w:hint="eastAsia"/>
          <w:b/>
          <w:bCs/>
          <w:sz w:val="21"/>
          <w:szCs w:val="21"/>
          <w:highlight w:val="none"/>
          <w:lang w:val="en-US" w:eastAsia="zh-CN"/>
        </w:rPr>
        <w:t>资信文件评分标准表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00"/>
        <w:gridCol w:w="1583"/>
        <w:gridCol w:w="3367"/>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jc w:val="center"/>
              <w:rPr>
                <w:rFonts w:hint="default"/>
                <w:b/>
                <w:bCs/>
                <w:vertAlign w:val="baseline"/>
                <w:lang w:val="en-US" w:eastAsia="zh-CN"/>
              </w:rPr>
            </w:pPr>
            <w:r>
              <w:rPr>
                <w:rFonts w:hint="eastAsia"/>
                <w:b/>
                <w:bCs/>
                <w:vertAlign w:val="baseline"/>
                <w:lang w:val="en-US" w:eastAsia="zh-CN"/>
              </w:rPr>
              <w:t>序号</w:t>
            </w:r>
          </w:p>
        </w:tc>
        <w:tc>
          <w:tcPr>
            <w:tcW w:w="2500" w:type="dxa"/>
          </w:tcPr>
          <w:p>
            <w:pPr>
              <w:jc w:val="center"/>
              <w:rPr>
                <w:rFonts w:hint="default"/>
                <w:b/>
                <w:bCs/>
                <w:vertAlign w:val="baseline"/>
                <w:lang w:val="en-US" w:eastAsia="zh-CN"/>
              </w:rPr>
            </w:pPr>
            <w:r>
              <w:rPr>
                <w:rFonts w:hint="eastAsia"/>
                <w:b/>
                <w:bCs/>
                <w:vertAlign w:val="baseline"/>
                <w:lang w:val="en-US" w:eastAsia="zh-CN"/>
              </w:rPr>
              <w:t>评审项目</w:t>
            </w:r>
          </w:p>
        </w:tc>
        <w:tc>
          <w:tcPr>
            <w:tcW w:w="1583" w:type="dxa"/>
          </w:tcPr>
          <w:p>
            <w:pPr>
              <w:jc w:val="center"/>
              <w:rPr>
                <w:rFonts w:hint="default"/>
                <w:b/>
                <w:bCs/>
                <w:vertAlign w:val="baseline"/>
                <w:lang w:val="en-US" w:eastAsia="zh-CN"/>
              </w:rPr>
            </w:pPr>
            <w:r>
              <w:rPr>
                <w:rFonts w:hint="eastAsia"/>
                <w:b/>
                <w:bCs/>
                <w:vertAlign w:val="baseline"/>
                <w:lang w:val="en-US" w:eastAsia="zh-CN"/>
              </w:rPr>
              <w:t>标准分</w:t>
            </w:r>
          </w:p>
        </w:tc>
        <w:tc>
          <w:tcPr>
            <w:tcW w:w="3367" w:type="dxa"/>
          </w:tcPr>
          <w:p>
            <w:pPr>
              <w:jc w:val="center"/>
              <w:rPr>
                <w:rFonts w:hint="default"/>
                <w:b/>
                <w:bCs/>
                <w:vertAlign w:val="baseline"/>
                <w:lang w:val="en-US" w:eastAsia="zh-CN"/>
              </w:rPr>
            </w:pPr>
            <w:r>
              <w:rPr>
                <w:rFonts w:hint="eastAsia"/>
                <w:b/>
                <w:bCs/>
                <w:vertAlign w:val="baseline"/>
                <w:lang w:val="en-US" w:eastAsia="zh-CN"/>
              </w:rPr>
              <w:t>评分标准</w:t>
            </w:r>
          </w:p>
        </w:tc>
        <w:tc>
          <w:tcPr>
            <w:tcW w:w="934" w:type="dxa"/>
          </w:tcPr>
          <w:p>
            <w:pPr>
              <w:jc w:val="center"/>
              <w:rPr>
                <w:rFonts w:hint="default"/>
                <w:b/>
                <w:bCs/>
                <w:vertAlign w:val="baseline"/>
                <w:lang w:val="en-US" w:eastAsia="zh-CN"/>
              </w:rPr>
            </w:pPr>
            <w:r>
              <w:rPr>
                <w:rFonts w:hint="eastAsia"/>
                <w:b/>
                <w:bCs/>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rPr>
                <w:rFonts w:hint="default"/>
                <w:vertAlign w:val="baseline"/>
                <w:lang w:val="en-US" w:eastAsia="zh-CN"/>
              </w:rPr>
            </w:pPr>
            <w:r>
              <w:rPr>
                <w:rFonts w:hint="eastAsia"/>
                <w:vertAlign w:val="baseline"/>
                <w:lang w:val="en-US" w:eastAsia="zh-CN"/>
              </w:rPr>
              <w:t>1</w:t>
            </w:r>
          </w:p>
        </w:tc>
        <w:tc>
          <w:tcPr>
            <w:tcW w:w="2500" w:type="dxa"/>
            <w:vAlign w:val="center"/>
          </w:tcPr>
          <w:p>
            <w:pPr>
              <w:jc w:val="center"/>
              <w:rPr>
                <w:rFonts w:hint="eastAsia"/>
                <w:highlight w:val="none"/>
                <w:vertAlign w:val="baseline"/>
                <w:lang w:val="en-US" w:eastAsia="zh-CN"/>
              </w:rPr>
            </w:pPr>
            <w:r>
              <w:rPr>
                <w:rFonts w:hint="eastAsia"/>
                <w:highlight w:val="none"/>
                <w:vertAlign w:val="baseline"/>
                <w:lang w:val="en-US" w:eastAsia="zh-CN"/>
              </w:rPr>
              <w:t>项目经理经验</w:t>
            </w:r>
          </w:p>
        </w:tc>
        <w:tc>
          <w:tcPr>
            <w:tcW w:w="1583" w:type="dxa"/>
            <w:vAlign w:val="center"/>
          </w:tcPr>
          <w:p>
            <w:pPr>
              <w:jc w:val="center"/>
              <w:rPr>
                <w:rFonts w:hint="default"/>
                <w:highlight w:val="none"/>
                <w:vertAlign w:val="baseline"/>
                <w:lang w:val="en-US" w:eastAsia="zh-CN"/>
              </w:rPr>
            </w:pPr>
            <w:r>
              <w:rPr>
                <w:rFonts w:hint="eastAsia"/>
                <w:highlight w:val="none"/>
                <w:vertAlign w:val="baseline"/>
                <w:lang w:val="en-US" w:eastAsia="zh-CN"/>
              </w:rPr>
              <w:t>6</w:t>
            </w:r>
          </w:p>
        </w:tc>
        <w:tc>
          <w:tcPr>
            <w:tcW w:w="3367" w:type="dxa"/>
          </w:tcPr>
          <w:p>
            <w:pPr>
              <w:widowControl w:val="0"/>
              <w:shd w:val="clear"/>
              <w:spacing w:before="0" w:after="0" w:afterAutospacing="0" w:line="276" w:lineRule="auto"/>
              <w:ind w:left="0" w:right="0" w:firstLine="0"/>
              <w:jc w:val="both"/>
              <w:rPr>
                <w:rFonts w:hint="eastAsia"/>
                <w:highlight w:val="none"/>
                <w:vertAlign w:val="baseline"/>
                <w:lang w:val="en-US" w:eastAsia="zh-CN"/>
              </w:rPr>
            </w:pPr>
            <w:r>
              <w:rPr>
                <w:rFonts w:hint="eastAsia" w:ascii="宋体" w:hAnsi="宋体" w:eastAsia="宋体" w:cs="Times New Roman"/>
                <w:bCs/>
                <w:kern w:val="2"/>
                <w:highlight w:val="none"/>
                <w:lang w:val="en-US" w:eastAsia="zh-CN"/>
              </w:rPr>
              <w:t>至比选申请截止时间近五年内</w:t>
            </w:r>
            <w:r>
              <w:rPr>
                <w:rFonts w:hint="eastAsia" w:ascii="宋体" w:hAnsi="宋体" w:cs="Times New Roman"/>
                <w:bCs/>
                <w:kern w:val="2"/>
                <w:highlight w:val="none"/>
                <w:lang w:val="en-US" w:eastAsia="zh-CN"/>
              </w:rPr>
              <w:t>，</w:t>
            </w:r>
            <w:r>
              <w:rPr>
                <w:rFonts w:hint="eastAsia" w:ascii="宋体" w:hAnsi="宋体" w:eastAsia="宋体" w:cs="Times New Roman"/>
                <w:bCs/>
                <w:kern w:val="2"/>
                <w:highlight w:val="none"/>
                <w:lang w:val="en-US" w:eastAsia="zh-CN"/>
              </w:rPr>
              <w:t>项目经理有</w:t>
            </w:r>
            <w:r>
              <w:rPr>
                <w:rFonts w:hint="eastAsia" w:ascii="宋体" w:hAnsi="宋体" w:cs="Times New Roman"/>
                <w:bCs/>
                <w:kern w:val="2"/>
                <w:highlight w:val="none"/>
                <w:lang w:val="en-US" w:eastAsia="zh-CN"/>
              </w:rPr>
              <w:t>1</w:t>
            </w:r>
            <w:r>
              <w:rPr>
                <w:rFonts w:hint="eastAsia" w:ascii="宋体" w:hAnsi="宋体" w:eastAsia="宋体" w:cs="Times New Roman"/>
                <w:bCs/>
                <w:kern w:val="2"/>
                <w:highlight w:val="none"/>
                <w:lang w:val="en-US" w:eastAsia="zh-CN"/>
              </w:rPr>
              <w:t>个叉车委外维保项目业绩得</w:t>
            </w:r>
            <w:r>
              <w:rPr>
                <w:rFonts w:hint="eastAsia" w:ascii="宋体" w:hAnsi="宋体" w:cs="Times New Roman"/>
                <w:bCs/>
                <w:kern w:val="2"/>
                <w:highlight w:val="none"/>
                <w:lang w:val="en-US" w:eastAsia="zh-CN"/>
              </w:rPr>
              <w:t>3</w:t>
            </w:r>
            <w:r>
              <w:rPr>
                <w:rFonts w:hint="eastAsia" w:ascii="宋体" w:hAnsi="宋体" w:eastAsia="宋体" w:cs="Times New Roman"/>
                <w:bCs/>
                <w:kern w:val="2"/>
                <w:highlight w:val="none"/>
                <w:lang w:val="en-US" w:eastAsia="zh-CN"/>
              </w:rPr>
              <w:t>分，有2个叉车委外维保业绩得</w:t>
            </w:r>
            <w:r>
              <w:rPr>
                <w:rFonts w:hint="eastAsia" w:ascii="宋体" w:hAnsi="宋体" w:cs="Times New Roman"/>
                <w:bCs/>
                <w:kern w:val="2"/>
                <w:highlight w:val="none"/>
                <w:lang w:val="en-US" w:eastAsia="zh-CN"/>
              </w:rPr>
              <w:t>6</w:t>
            </w:r>
            <w:r>
              <w:rPr>
                <w:rFonts w:hint="eastAsia" w:ascii="宋体" w:hAnsi="宋体" w:eastAsia="宋体" w:cs="Times New Roman"/>
                <w:bCs/>
                <w:kern w:val="2"/>
                <w:highlight w:val="none"/>
                <w:lang w:val="en-US" w:eastAsia="zh-CN"/>
              </w:rPr>
              <w:t>分，满分</w:t>
            </w:r>
            <w:r>
              <w:rPr>
                <w:rFonts w:hint="eastAsia" w:ascii="宋体" w:hAnsi="宋体" w:cs="Times New Roman"/>
                <w:bCs/>
                <w:kern w:val="2"/>
                <w:highlight w:val="none"/>
                <w:lang w:val="en-US" w:eastAsia="zh-CN"/>
              </w:rPr>
              <w:t>6</w:t>
            </w:r>
            <w:r>
              <w:rPr>
                <w:rFonts w:hint="eastAsia" w:ascii="宋体" w:hAnsi="宋体" w:eastAsia="宋体" w:cs="Times New Roman"/>
                <w:bCs/>
                <w:kern w:val="2"/>
                <w:highlight w:val="none"/>
                <w:lang w:val="en-US" w:eastAsia="zh-CN"/>
              </w:rPr>
              <w:t>分</w:t>
            </w:r>
            <w:r>
              <w:rPr>
                <w:rFonts w:hint="eastAsia" w:ascii="宋体" w:hAnsi="宋体" w:cs="Times New Roman"/>
                <w:bCs/>
                <w:kern w:val="2"/>
                <w:highlight w:val="none"/>
                <w:lang w:val="en-US" w:eastAsia="zh-CN"/>
              </w:rPr>
              <w:t>。</w:t>
            </w:r>
            <w:r>
              <w:rPr>
                <w:rFonts w:hint="eastAsia" w:ascii="宋体" w:hAnsi="宋体" w:eastAsia="宋体" w:cs="Times New Roman"/>
                <w:bCs/>
                <w:kern w:val="2"/>
                <w:highlight w:val="none"/>
                <w:lang w:val="en-US" w:eastAsia="zh-CN"/>
              </w:rPr>
              <w:t>【业绩证明材料为维保合同复印件，业绩证明材料须能体现类似项目特征和承担项目经理的职位，否则不予认可】。</w:t>
            </w:r>
          </w:p>
        </w:tc>
        <w:tc>
          <w:tcPr>
            <w:tcW w:w="9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rPr>
                <w:rFonts w:hint="default"/>
                <w:vertAlign w:val="baseline"/>
                <w:lang w:val="en-US" w:eastAsia="zh-CN"/>
              </w:rPr>
            </w:pPr>
            <w:r>
              <w:rPr>
                <w:rFonts w:hint="eastAsia"/>
                <w:vertAlign w:val="baseline"/>
                <w:lang w:val="en-US" w:eastAsia="zh-CN"/>
              </w:rPr>
              <w:t>2</w:t>
            </w:r>
          </w:p>
        </w:tc>
        <w:tc>
          <w:tcPr>
            <w:tcW w:w="2500" w:type="dxa"/>
            <w:vAlign w:val="center"/>
          </w:tcPr>
          <w:p>
            <w:pPr>
              <w:jc w:val="center"/>
              <w:rPr>
                <w:rFonts w:hint="eastAsia"/>
                <w:vertAlign w:val="baseline"/>
                <w:lang w:val="en-US" w:eastAsia="zh-CN"/>
              </w:rPr>
            </w:pPr>
            <w:r>
              <w:rPr>
                <w:rFonts w:hint="eastAsia"/>
                <w:vertAlign w:val="baseline"/>
                <w:lang w:val="en-US" w:eastAsia="zh-CN"/>
              </w:rPr>
              <w:t>比选申请人类似项目经验</w:t>
            </w:r>
          </w:p>
        </w:tc>
        <w:tc>
          <w:tcPr>
            <w:tcW w:w="1583" w:type="dxa"/>
            <w:vAlign w:val="center"/>
          </w:tcPr>
          <w:p>
            <w:pPr>
              <w:jc w:val="center"/>
              <w:rPr>
                <w:rFonts w:hint="default"/>
                <w:vertAlign w:val="baseline"/>
                <w:lang w:val="en-US" w:eastAsia="zh-CN"/>
              </w:rPr>
            </w:pPr>
            <w:r>
              <w:rPr>
                <w:rFonts w:hint="eastAsia"/>
                <w:vertAlign w:val="baseline"/>
                <w:lang w:val="en-US" w:eastAsia="zh-CN"/>
              </w:rPr>
              <w:t>12</w:t>
            </w:r>
          </w:p>
        </w:tc>
        <w:tc>
          <w:tcPr>
            <w:tcW w:w="3367" w:type="dxa"/>
          </w:tcPr>
          <w:p>
            <w:pPr>
              <w:widowControl w:val="0"/>
              <w:shd w:val="clear"/>
              <w:spacing w:before="0" w:after="0" w:afterAutospacing="0" w:line="276" w:lineRule="auto"/>
              <w:ind w:left="0" w:right="0" w:firstLine="0"/>
              <w:jc w:val="both"/>
              <w:rPr>
                <w:rFonts w:hint="eastAsia"/>
                <w:vertAlign w:val="baseline"/>
                <w:lang w:val="en-US" w:eastAsia="zh-CN"/>
              </w:rPr>
            </w:pPr>
            <w:r>
              <w:rPr>
                <w:rFonts w:hint="eastAsia" w:ascii="宋体" w:hAnsi="宋体" w:eastAsia="宋体" w:cs="Times New Roman"/>
                <w:bCs/>
                <w:kern w:val="2"/>
                <w:highlight w:val="none"/>
                <w:lang w:val="en-US" w:eastAsia="zh-CN"/>
              </w:rPr>
              <w:t>比选申请人</w:t>
            </w:r>
            <w:r>
              <w:rPr>
                <w:rFonts w:hint="eastAsia" w:eastAsia="宋体" w:cs="宋体"/>
                <w:color w:val="auto"/>
                <w:sz w:val="21"/>
                <w:szCs w:val="21"/>
                <w:highlight w:val="none"/>
              </w:rPr>
              <w:t>20</w:t>
            </w:r>
            <w:r>
              <w:rPr>
                <w:rFonts w:hint="eastAsia" w:eastAsia="宋体" w:cs="宋体"/>
                <w:color w:val="auto"/>
                <w:sz w:val="21"/>
                <w:szCs w:val="21"/>
                <w:highlight w:val="none"/>
                <w:lang w:val="en-US" w:eastAsia="zh-CN"/>
              </w:rPr>
              <w:t>19</w:t>
            </w:r>
            <w:r>
              <w:rPr>
                <w:rFonts w:hint="eastAsia" w:eastAsia="宋体" w:cs="宋体"/>
                <w:color w:val="auto"/>
                <w:sz w:val="21"/>
                <w:szCs w:val="21"/>
                <w:highlight w:val="none"/>
              </w:rPr>
              <w:t>年1月1日</w:t>
            </w:r>
            <w:r>
              <w:rPr>
                <w:rFonts w:hint="eastAsia" w:ascii="宋体" w:hAnsi="宋体" w:eastAsia="宋体" w:cs="Times New Roman"/>
                <w:bCs/>
                <w:kern w:val="2"/>
                <w:highlight w:val="none"/>
                <w:lang w:val="en-US" w:eastAsia="zh-CN"/>
              </w:rPr>
              <w:t>至比选申请截止时间内具有一项叉车维保项目（已完成的项目）业绩得6分，在此基础上，每增加1个叉车委外维保项目业绩得3分，满分12分。与资格审查业绩为同一项目的不予重复计分。【业绩证明材料为维保合同复印件，证明文件中须体现出合同双方、合同签订时间、合同服务等内容，否则视为无效证明文件。】</w:t>
            </w:r>
          </w:p>
        </w:tc>
        <w:tc>
          <w:tcPr>
            <w:tcW w:w="9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rPr>
                <w:rFonts w:hint="default"/>
                <w:vertAlign w:val="baseline"/>
                <w:lang w:val="en-US" w:eastAsia="zh-CN"/>
              </w:rPr>
            </w:pPr>
            <w:r>
              <w:rPr>
                <w:rFonts w:hint="eastAsia"/>
                <w:vertAlign w:val="baseline"/>
                <w:lang w:val="en-US" w:eastAsia="zh-CN"/>
              </w:rPr>
              <w:t>3</w:t>
            </w:r>
          </w:p>
        </w:tc>
        <w:tc>
          <w:tcPr>
            <w:tcW w:w="2500" w:type="dxa"/>
            <w:vAlign w:val="center"/>
          </w:tcPr>
          <w:p>
            <w:pPr>
              <w:jc w:val="center"/>
              <w:rPr>
                <w:rFonts w:hint="eastAsia"/>
                <w:vertAlign w:val="baseline"/>
                <w:lang w:val="en-US" w:eastAsia="zh-CN"/>
              </w:rPr>
            </w:pPr>
            <w:r>
              <w:rPr>
                <w:rFonts w:hint="eastAsia"/>
                <w:vertAlign w:val="baseline"/>
                <w:lang w:val="en-US" w:eastAsia="zh-CN"/>
              </w:rPr>
              <w:t>财务状况</w:t>
            </w:r>
          </w:p>
        </w:tc>
        <w:tc>
          <w:tcPr>
            <w:tcW w:w="1583" w:type="dxa"/>
            <w:vAlign w:val="center"/>
          </w:tcPr>
          <w:p>
            <w:pPr>
              <w:jc w:val="center"/>
              <w:rPr>
                <w:rFonts w:hint="default"/>
                <w:vertAlign w:val="baseline"/>
                <w:lang w:val="en-US" w:eastAsia="zh-CN"/>
              </w:rPr>
            </w:pPr>
            <w:r>
              <w:rPr>
                <w:rFonts w:hint="eastAsia"/>
                <w:vertAlign w:val="baseline"/>
                <w:lang w:val="en-US" w:eastAsia="zh-CN"/>
              </w:rPr>
              <w:t>1</w:t>
            </w:r>
          </w:p>
        </w:tc>
        <w:tc>
          <w:tcPr>
            <w:tcW w:w="3367" w:type="dxa"/>
          </w:tcPr>
          <w:p>
            <w:pPr>
              <w:widowControl w:val="0"/>
              <w:shd w:val="clear"/>
              <w:spacing w:before="0" w:after="0" w:afterAutospacing="0" w:line="276" w:lineRule="auto"/>
              <w:ind w:left="0" w:right="0" w:firstLine="0"/>
              <w:jc w:val="both"/>
              <w:rPr>
                <w:rFonts w:hint="eastAsia"/>
                <w:vertAlign w:val="baseline"/>
                <w:lang w:val="en-US" w:eastAsia="zh-CN"/>
              </w:rPr>
            </w:pPr>
            <w:r>
              <w:rPr>
                <w:rFonts w:hint="eastAsia" w:ascii="宋体" w:hAnsi="宋体" w:eastAsia="宋体" w:cs="Times New Roman"/>
                <w:bCs/>
                <w:kern w:val="2"/>
                <w:highlight w:val="none"/>
                <w:lang w:val="en-US" w:eastAsia="zh-CN"/>
              </w:rPr>
              <w:t>提供由会计师事务所出具的无保留意见的比选申请人202</w:t>
            </w:r>
            <w:r>
              <w:rPr>
                <w:rFonts w:hint="eastAsia" w:ascii="宋体" w:hAnsi="宋体" w:cs="Times New Roman"/>
                <w:bCs/>
                <w:kern w:val="2"/>
                <w:highlight w:val="none"/>
                <w:lang w:val="en-US" w:eastAsia="zh-CN"/>
              </w:rPr>
              <w:t>2</w:t>
            </w:r>
            <w:r>
              <w:rPr>
                <w:rFonts w:hint="eastAsia" w:ascii="宋体" w:hAnsi="宋体" w:eastAsia="宋体" w:cs="Times New Roman"/>
                <w:bCs/>
                <w:kern w:val="2"/>
                <w:highlight w:val="none"/>
                <w:lang w:val="en-US" w:eastAsia="zh-CN"/>
              </w:rPr>
              <w:t>年度审计报告（应包含资产负债表、利润表、现金流量表等主要财务报表及附注），得1分。否则不得分。</w:t>
            </w:r>
          </w:p>
        </w:tc>
        <w:tc>
          <w:tcPr>
            <w:tcW w:w="9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rPr>
                <w:rFonts w:hint="default"/>
                <w:vertAlign w:val="baseline"/>
                <w:lang w:val="en-US" w:eastAsia="zh-CN"/>
              </w:rPr>
            </w:pPr>
            <w:r>
              <w:rPr>
                <w:rFonts w:hint="eastAsia"/>
                <w:vertAlign w:val="baseline"/>
                <w:lang w:val="en-US" w:eastAsia="zh-CN"/>
              </w:rPr>
              <w:t>4</w:t>
            </w:r>
          </w:p>
        </w:tc>
        <w:tc>
          <w:tcPr>
            <w:tcW w:w="2500" w:type="dxa"/>
            <w:vAlign w:val="center"/>
          </w:tcPr>
          <w:p>
            <w:pPr>
              <w:jc w:val="center"/>
              <w:rPr>
                <w:rFonts w:hint="eastAsia"/>
                <w:vertAlign w:val="baseline"/>
                <w:lang w:val="en-US" w:eastAsia="zh-CN"/>
              </w:rPr>
            </w:pPr>
            <w:r>
              <w:rPr>
                <w:rFonts w:hint="eastAsia"/>
                <w:vertAlign w:val="baseline"/>
                <w:lang w:val="en-US" w:eastAsia="zh-CN"/>
              </w:rPr>
              <w:t>质量管理体系认证</w:t>
            </w:r>
          </w:p>
        </w:tc>
        <w:tc>
          <w:tcPr>
            <w:tcW w:w="1583" w:type="dxa"/>
            <w:vAlign w:val="center"/>
          </w:tcPr>
          <w:p>
            <w:pPr>
              <w:jc w:val="center"/>
              <w:rPr>
                <w:rFonts w:hint="default"/>
                <w:vertAlign w:val="baseline"/>
                <w:lang w:val="en-US" w:eastAsia="zh-CN"/>
              </w:rPr>
            </w:pPr>
            <w:r>
              <w:rPr>
                <w:rFonts w:hint="eastAsia"/>
                <w:vertAlign w:val="baseline"/>
                <w:lang w:val="en-US" w:eastAsia="zh-CN"/>
              </w:rPr>
              <w:t>1</w:t>
            </w:r>
          </w:p>
        </w:tc>
        <w:tc>
          <w:tcPr>
            <w:tcW w:w="3367" w:type="dxa"/>
          </w:tcPr>
          <w:p>
            <w:pPr>
              <w:widowControl w:val="0"/>
              <w:shd w:val="clear"/>
              <w:spacing w:before="0" w:after="0" w:afterAutospacing="0" w:line="276" w:lineRule="auto"/>
              <w:ind w:left="0" w:right="0" w:firstLine="0"/>
              <w:jc w:val="both"/>
              <w:rPr>
                <w:rFonts w:hint="eastAsia" w:ascii="宋体" w:hAnsi="宋体" w:eastAsia="宋体" w:cs="Times New Roman"/>
                <w:bCs/>
                <w:kern w:val="2"/>
                <w:highlight w:val="none"/>
                <w:lang w:val="en-US" w:eastAsia="zh-CN"/>
              </w:rPr>
            </w:pPr>
            <w:r>
              <w:rPr>
                <w:rFonts w:hint="eastAsia" w:ascii="宋体" w:hAnsi="宋体" w:eastAsia="宋体" w:cs="Times New Roman"/>
                <w:bCs/>
                <w:kern w:val="2"/>
                <w:highlight w:val="none"/>
                <w:lang w:val="en-US" w:eastAsia="zh-CN"/>
              </w:rPr>
              <w:t>具有有效的ISO 9001质量管理体系</w:t>
            </w:r>
          </w:p>
          <w:p>
            <w:pPr>
              <w:widowControl w:val="0"/>
              <w:shd w:val="clear"/>
              <w:spacing w:before="0" w:after="0" w:afterAutospacing="0" w:line="276" w:lineRule="auto"/>
              <w:ind w:left="0" w:right="0" w:firstLine="0"/>
              <w:jc w:val="both"/>
              <w:rPr>
                <w:rFonts w:hint="default"/>
                <w:vertAlign w:val="baseline"/>
                <w:lang w:val="en-US" w:eastAsia="zh-CN"/>
              </w:rPr>
            </w:pPr>
            <w:r>
              <w:rPr>
                <w:rFonts w:hint="eastAsia" w:ascii="宋体" w:hAnsi="宋体" w:eastAsia="宋体" w:cs="Times New Roman"/>
                <w:bCs/>
                <w:kern w:val="2"/>
                <w:highlight w:val="none"/>
                <w:lang w:val="en-US" w:eastAsia="zh-CN"/>
              </w:rPr>
              <w:t>认证证书的得1分。</w:t>
            </w:r>
          </w:p>
        </w:tc>
        <w:tc>
          <w:tcPr>
            <w:tcW w:w="934"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1" w:type="dxa"/>
            <w:gridSpan w:val="2"/>
            <w:vAlign w:val="center"/>
          </w:tcPr>
          <w:p>
            <w:pPr>
              <w:ind w:left="0" w:leftChars="0" w:right="-27" w:rightChars="0" w:firstLine="0" w:firstLineChars="0"/>
              <w:jc w:val="center"/>
              <w:rPr>
                <w:rFonts w:hint="eastAsia" w:ascii="Times New Roman" w:hAnsi="Times New Roman" w:eastAsia="宋体" w:cs="Times New Roman"/>
                <w:sz w:val="21"/>
                <w:szCs w:val="21"/>
                <w:vertAlign w:val="baseline"/>
                <w:lang w:val="en-US" w:eastAsia="zh-CN" w:bidi="ar-SA"/>
              </w:rPr>
            </w:pPr>
            <w:r>
              <w:rPr>
                <w:rFonts w:hint="eastAsia"/>
                <w:vertAlign w:val="baseline"/>
                <w:lang w:val="en-US" w:eastAsia="zh-CN"/>
              </w:rPr>
              <w:t>资信得分</w:t>
            </w:r>
          </w:p>
        </w:tc>
        <w:tc>
          <w:tcPr>
            <w:tcW w:w="1583" w:type="dxa"/>
            <w:vAlign w:val="center"/>
          </w:tcPr>
          <w:p>
            <w:pPr>
              <w:ind w:left="709" w:leftChars="0" w:right="-27" w:rightChars="0" w:hanging="709" w:firstLineChars="0"/>
              <w:jc w:val="center"/>
              <w:rPr>
                <w:rFonts w:hint="eastAsia" w:ascii="Times New Roman" w:hAnsi="Times New Roman" w:eastAsia="宋体" w:cs="Times New Roman"/>
                <w:sz w:val="21"/>
                <w:szCs w:val="21"/>
                <w:vertAlign w:val="baseline"/>
                <w:lang w:val="en-US" w:eastAsia="zh-CN" w:bidi="ar-SA"/>
              </w:rPr>
            </w:pPr>
            <w:r>
              <w:rPr>
                <w:rFonts w:hint="eastAsia"/>
                <w:vertAlign w:val="baseline"/>
                <w:lang w:val="en-US" w:eastAsia="zh-CN"/>
              </w:rPr>
              <w:t>20</w:t>
            </w:r>
          </w:p>
        </w:tc>
        <w:tc>
          <w:tcPr>
            <w:tcW w:w="3367" w:type="dxa"/>
          </w:tcPr>
          <w:p>
            <w:pPr>
              <w:rPr>
                <w:rFonts w:hint="eastAsia"/>
                <w:vertAlign w:val="baseline"/>
                <w:lang w:val="en-US" w:eastAsia="zh-CN"/>
              </w:rPr>
            </w:pPr>
          </w:p>
        </w:tc>
        <w:tc>
          <w:tcPr>
            <w:tcW w:w="934" w:type="dxa"/>
          </w:tcPr>
          <w:p>
            <w:pPr>
              <w:rPr>
                <w:rFonts w:hint="eastAsia"/>
                <w:vertAlign w:val="baseline"/>
                <w:lang w:val="en-US" w:eastAsia="zh-CN"/>
              </w:rPr>
            </w:pPr>
          </w:p>
        </w:tc>
      </w:tr>
    </w:tbl>
    <w:p>
      <w:pP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4"/>
        <w:shd w:val="clear"/>
        <w:ind w:left="0" w:leftChars="0" w:firstLine="0" w:firstLineChars="0"/>
        <w:rPr>
          <w:sz w:val="21"/>
          <w:szCs w:val="21"/>
          <w:highlight w:val="none"/>
        </w:rPr>
      </w:pPr>
      <w:bookmarkStart w:id="2950" w:name="_Toc18327"/>
      <w:bookmarkStart w:id="2951" w:name="_Toc1859"/>
      <w:bookmarkStart w:id="2952" w:name="_Toc20782"/>
      <w:bookmarkStart w:id="2953" w:name="_Toc31421"/>
      <w:bookmarkStart w:id="2954" w:name="_Toc7654"/>
      <w:bookmarkStart w:id="2955" w:name="_Toc6572"/>
      <w:bookmarkStart w:id="2956" w:name="_Toc20773"/>
      <w:r>
        <w:rPr>
          <w:rFonts w:hint="eastAsia"/>
          <w:sz w:val="21"/>
          <w:szCs w:val="21"/>
          <w:highlight w:val="none"/>
        </w:rPr>
        <w:t>附表</w:t>
      </w:r>
      <w:r>
        <w:rPr>
          <w:rFonts w:hint="eastAsia"/>
          <w:sz w:val="21"/>
          <w:szCs w:val="21"/>
          <w:highlight w:val="none"/>
          <w:lang w:val="en-US" w:eastAsia="zh-CN"/>
        </w:rPr>
        <w:t xml:space="preserve">四 </w:t>
      </w:r>
      <w:r>
        <w:rPr>
          <w:rFonts w:hint="eastAsia"/>
          <w:sz w:val="21"/>
          <w:szCs w:val="21"/>
          <w:highlight w:val="none"/>
        </w:rPr>
        <w:t>技术文件评分表</w:t>
      </w:r>
      <w:bookmarkEnd w:id="2949"/>
      <w:bookmarkEnd w:id="2950"/>
      <w:bookmarkEnd w:id="2951"/>
      <w:bookmarkEnd w:id="2952"/>
      <w:bookmarkEnd w:id="2953"/>
      <w:bookmarkEnd w:id="2954"/>
      <w:bookmarkEnd w:id="2955"/>
      <w:bookmarkEnd w:id="2956"/>
    </w:p>
    <w:p>
      <w:pPr>
        <w:shd w:val="clear"/>
        <w:jc w:val="center"/>
        <w:rPr>
          <w:b/>
          <w:bCs/>
          <w:highlight w:val="none"/>
        </w:rPr>
      </w:pPr>
      <w:bookmarkStart w:id="2957" w:name="_Toc47864325"/>
      <w:r>
        <w:rPr>
          <w:rFonts w:hint="eastAsia"/>
          <w:b/>
          <w:bCs/>
          <w:highlight w:val="none"/>
        </w:rPr>
        <w:t>技术文件评分标准表</w:t>
      </w:r>
      <w:bookmarkEnd w:id="2957"/>
    </w:p>
    <w:tbl>
      <w:tblPr>
        <w:tblStyle w:val="31"/>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676"/>
        <w:gridCol w:w="848"/>
        <w:gridCol w:w="1525"/>
        <w:gridCol w:w="573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18" w:type="dxa"/>
            <w:vAlign w:val="center"/>
          </w:tcPr>
          <w:p>
            <w:pPr>
              <w:widowControl w:val="0"/>
              <w:shd w:val="clear"/>
              <w:spacing w:before="0" w:after="0" w:afterAutospacing="0" w:line="276" w:lineRule="auto"/>
              <w:ind w:left="0" w:right="0" w:firstLine="0"/>
              <w:jc w:val="center"/>
              <w:rPr>
                <w:rFonts w:ascii="宋体" w:hAnsi="宋体"/>
                <w:b/>
                <w:bCs/>
                <w:kern w:val="2"/>
                <w:highlight w:val="none"/>
              </w:rPr>
            </w:pPr>
            <w:r>
              <w:rPr>
                <w:rFonts w:ascii="宋体" w:hAnsi="宋体"/>
                <w:b/>
                <w:bCs/>
                <w:kern w:val="2"/>
                <w:highlight w:val="none"/>
              </w:rPr>
              <w:t>序号</w:t>
            </w:r>
          </w:p>
        </w:tc>
        <w:tc>
          <w:tcPr>
            <w:tcW w:w="1524" w:type="dxa"/>
            <w:gridSpan w:val="2"/>
            <w:vAlign w:val="center"/>
          </w:tcPr>
          <w:p>
            <w:pPr>
              <w:widowControl w:val="0"/>
              <w:shd w:val="clear"/>
              <w:spacing w:before="0" w:after="0" w:afterAutospacing="0" w:line="276" w:lineRule="auto"/>
              <w:ind w:left="0" w:right="0" w:firstLine="0"/>
              <w:jc w:val="center"/>
              <w:rPr>
                <w:rFonts w:ascii="宋体" w:hAnsi="宋体"/>
                <w:b/>
                <w:bCs/>
                <w:kern w:val="2"/>
                <w:highlight w:val="none"/>
              </w:rPr>
            </w:pPr>
            <w:r>
              <w:rPr>
                <w:rFonts w:hint="eastAsia" w:ascii="宋体" w:hAnsi="宋体"/>
                <w:b/>
                <w:bCs/>
                <w:kern w:val="2"/>
                <w:highlight w:val="none"/>
              </w:rPr>
              <w:t>评审内容及分值</w:t>
            </w:r>
          </w:p>
        </w:tc>
        <w:tc>
          <w:tcPr>
            <w:tcW w:w="1525" w:type="dxa"/>
            <w:vAlign w:val="center"/>
          </w:tcPr>
          <w:p>
            <w:pPr>
              <w:widowControl w:val="0"/>
              <w:shd w:val="clear"/>
              <w:spacing w:before="0" w:after="0" w:afterAutospacing="0" w:line="276" w:lineRule="auto"/>
              <w:ind w:left="0" w:right="0" w:firstLine="0"/>
              <w:jc w:val="center"/>
              <w:rPr>
                <w:rFonts w:ascii="宋体" w:hAnsi="宋体"/>
                <w:b/>
                <w:bCs/>
                <w:kern w:val="2"/>
                <w:highlight w:val="none"/>
              </w:rPr>
            </w:pPr>
            <w:r>
              <w:rPr>
                <w:rFonts w:ascii="宋体" w:hAnsi="宋体"/>
                <w:b/>
                <w:bCs/>
                <w:kern w:val="2"/>
                <w:highlight w:val="none"/>
              </w:rPr>
              <w:t>标准分</w:t>
            </w:r>
          </w:p>
        </w:tc>
        <w:tc>
          <w:tcPr>
            <w:tcW w:w="5735" w:type="dxa"/>
            <w:vAlign w:val="center"/>
          </w:tcPr>
          <w:p>
            <w:pPr>
              <w:widowControl w:val="0"/>
              <w:shd w:val="clear"/>
              <w:spacing w:before="0" w:after="0" w:afterAutospacing="0" w:line="276" w:lineRule="auto"/>
              <w:ind w:left="0" w:right="0" w:firstLine="0"/>
              <w:jc w:val="center"/>
              <w:rPr>
                <w:rFonts w:ascii="宋体" w:hAnsi="宋体"/>
                <w:b/>
                <w:bCs/>
                <w:kern w:val="2"/>
                <w:highlight w:val="none"/>
              </w:rPr>
            </w:pPr>
            <w:r>
              <w:rPr>
                <w:rFonts w:hint="eastAsia" w:ascii="宋体" w:hAnsi="宋体"/>
                <w:b/>
                <w:bCs/>
                <w:kern w:val="2"/>
                <w:highlight w:val="none"/>
              </w:rPr>
              <w:t>评审标准</w:t>
            </w:r>
          </w:p>
        </w:tc>
        <w:tc>
          <w:tcPr>
            <w:tcW w:w="1051" w:type="dxa"/>
            <w:vAlign w:val="center"/>
          </w:tcPr>
          <w:p>
            <w:pPr>
              <w:widowControl w:val="0"/>
              <w:shd w:val="clear"/>
              <w:spacing w:before="0" w:after="0" w:afterAutospacing="0" w:line="276" w:lineRule="auto"/>
              <w:ind w:left="0" w:right="0" w:firstLine="0"/>
              <w:jc w:val="center"/>
              <w:rPr>
                <w:rFonts w:ascii="宋体" w:hAnsi="宋体"/>
                <w:b/>
                <w:bCs/>
                <w:kern w:val="2"/>
                <w:highlight w:val="none"/>
              </w:rPr>
            </w:pPr>
            <w:r>
              <w:rPr>
                <w:rFonts w:hint="eastAsia" w:ascii="宋体" w:hAnsi="宋体"/>
                <w:b/>
                <w:bCs/>
                <w:kern w:val="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18" w:type="dxa"/>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1</w:t>
            </w:r>
          </w:p>
        </w:tc>
        <w:tc>
          <w:tcPr>
            <w:tcW w:w="1524" w:type="dxa"/>
            <w:gridSpan w:val="2"/>
            <w:vMerge w:val="restart"/>
            <w:vAlign w:val="center"/>
          </w:tcPr>
          <w:p>
            <w:pPr>
              <w:widowControl w:val="0"/>
              <w:shd w:val="clear"/>
              <w:spacing w:before="0" w:after="0" w:afterAutospacing="0" w:line="276" w:lineRule="auto"/>
              <w:ind w:left="0" w:right="0" w:firstLine="0"/>
              <w:rPr>
                <w:rFonts w:ascii="宋体" w:hAnsi="宋体"/>
                <w:bCs/>
                <w:kern w:val="2"/>
                <w:highlight w:val="none"/>
              </w:rPr>
            </w:pPr>
            <w:r>
              <w:rPr>
                <w:rFonts w:hint="eastAsia" w:ascii="宋体" w:hAnsi="宋体" w:cs="宋体"/>
                <w:highlight w:val="none"/>
                <w:lang w:val="en-US" w:eastAsia="zh-CN"/>
              </w:rPr>
              <w:t>维 保 方 案 及 保 障 措 施（满分 16 分）</w:t>
            </w:r>
          </w:p>
        </w:tc>
        <w:tc>
          <w:tcPr>
            <w:tcW w:w="1525" w:type="dxa"/>
            <w:vAlign w:val="center"/>
          </w:tcPr>
          <w:p>
            <w:pPr>
              <w:shd w:val="clear"/>
              <w:snapToGrid w:val="0"/>
              <w:spacing w:line="288" w:lineRule="auto"/>
              <w:jc w:val="center"/>
              <w:rPr>
                <w:rFonts w:hint="default" w:ascii="宋体" w:hAnsi="宋体" w:eastAsia="宋体"/>
                <w:highlight w:val="none"/>
                <w:lang w:val="en-US" w:eastAsia="zh-CN"/>
              </w:rPr>
            </w:pPr>
            <w:r>
              <w:rPr>
                <w:rFonts w:hint="eastAsia" w:ascii="宋体" w:hAnsi="宋体"/>
                <w:bCs/>
                <w:kern w:val="2"/>
                <w:highlight w:val="none"/>
              </w:rPr>
              <w:t>1</w:t>
            </w:r>
            <w:r>
              <w:rPr>
                <w:rFonts w:hint="eastAsia" w:ascii="宋体" w:hAnsi="宋体"/>
                <w:bCs/>
                <w:kern w:val="2"/>
                <w:highlight w:val="none"/>
                <w:lang w:val="en-US" w:eastAsia="zh-CN"/>
              </w:rPr>
              <w:t>2.8</w:t>
            </w:r>
            <w:r>
              <w:rPr>
                <w:rFonts w:hint="eastAsia" w:ascii="宋体" w:hAnsi="宋体"/>
                <w:bCs/>
                <w:kern w:val="2"/>
                <w:highlight w:val="none"/>
              </w:rPr>
              <w:t>≤m≤</w:t>
            </w:r>
            <w:r>
              <w:rPr>
                <w:rFonts w:hint="eastAsia" w:ascii="宋体" w:hAnsi="宋体"/>
                <w:bCs/>
                <w:kern w:val="2"/>
                <w:highlight w:val="none"/>
                <w:lang w:val="en-US" w:eastAsia="zh-CN"/>
              </w:rPr>
              <w:t>16</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轨道交通专业维保方案详细、先进、针对性强，措施具体，其中：①本项目内容、设备工作原理等有深入的了解。②配有针对性、可行性高的设备故障处理方案。③开展维保工作所需的各项资源准备充分、进度计划分工明确、作业流程清晰。④质量管控、保障措施有力、人员调度方法科学，有利于节约</w:t>
            </w:r>
            <w:r>
              <w:rPr>
                <w:rFonts w:hint="eastAsia" w:ascii="宋体" w:hAnsi="宋体"/>
                <w:bCs/>
                <w:kern w:val="2"/>
                <w:highlight w:val="none"/>
                <w:lang w:val="en-US" w:eastAsia="zh-CN"/>
              </w:rPr>
              <w:t>比选</w:t>
            </w:r>
            <w:r>
              <w:rPr>
                <w:rFonts w:hint="eastAsia" w:ascii="宋体" w:hAnsi="宋体"/>
                <w:bCs/>
                <w:kern w:val="2"/>
                <w:highlight w:val="none"/>
              </w:rPr>
              <w:t>人成本。⑤方案制定的依据、理由充分，能提供对应的数据分析支撑材料。⑥对方案中使用到的人力、物力资源、技术等能提供有效的证明材料。</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shd w:val="clear"/>
              <w:snapToGrid w:val="0"/>
              <w:spacing w:line="288" w:lineRule="auto"/>
              <w:jc w:val="center"/>
              <w:rPr>
                <w:rFonts w:hint="default" w:ascii="宋体" w:hAnsi="宋体" w:eastAsia="宋体"/>
                <w:highlight w:val="none"/>
                <w:lang w:val="en-US" w:eastAsia="zh-CN"/>
              </w:rPr>
            </w:pPr>
            <w:r>
              <w:rPr>
                <w:rFonts w:hint="eastAsia" w:ascii="宋体" w:hAnsi="宋体"/>
                <w:bCs/>
                <w:kern w:val="2"/>
                <w:highlight w:val="none"/>
                <w:lang w:val="en-US" w:eastAsia="zh-CN"/>
              </w:rPr>
              <w:t>9.6</w:t>
            </w:r>
            <w:r>
              <w:rPr>
                <w:rFonts w:ascii="宋体" w:hAnsi="宋体"/>
                <w:bCs/>
                <w:kern w:val="2"/>
                <w:highlight w:val="none"/>
              </w:rPr>
              <w:t>＜</w:t>
            </w:r>
            <w:r>
              <w:rPr>
                <w:rFonts w:hint="eastAsia" w:ascii="宋体" w:hAnsi="宋体"/>
                <w:bCs/>
                <w:kern w:val="2"/>
                <w:highlight w:val="none"/>
              </w:rPr>
              <w:t>m</w:t>
            </w:r>
            <w:r>
              <w:rPr>
                <w:rFonts w:ascii="宋体" w:hAnsi="宋体"/>
                <w:bCs/>
                <w:kern w:val="2"/>
                <w:highlight w:val="none"/>
              </w:rPr>
              <w:t>＜</w:t>
            </w:r>
            <w:r>
              <w:rPr>
                <w:rFonts w:hint="eastAsia" w:ascii="宋体" w:hAnsi="宋体"/>
                <w:bCs/>
                <w:kern w:val="2"/>
                <w:highlight w:val="none"/>
              </w:rPr>
              <w:t>1</w:t>
            </w:r>
            <w:r>
              <w:rPr>
                <w:rFonts w:hint="eastAsia" w:ascii="宋体" w:hAnsi="宋体"/>
                <w:bCs/>
                <w:kern w:val="2"/>
                <w:highlight w:val="none"/>
                <w:lang w:val="en-US" w:eastAsia="zh-CN"/>
              </w:rPr>
              <w:t>2.8</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轨道交通专业维保方案可行、较先进、有一定的针对性，措施相对具体，其中：①对本项目内容、设备工作原理等有基本的了解。②配有针对性、可行性较高的设备故障处理方案。③开展维保工作所需的各项资源准备较充分、进度计划分工明确、作业流程清晰。④有基本的质量管控、保障措施、人员调度方法科学，但未能有效体现节约业主成本；⑤方案制定依据、理由不充分，或无法提供相应的有效数据分析及证明材料，或提供的数据分析及证明材料不足以支撑方案。</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shd w:val="clear"/>
              <w:snapToGrid w:val="0"/>
              <w:spacing w:line="288" w:lineRule="auto"/>
              <w:jc w:val="center"/>
              <w:rPr>
                <w:rFonts w:hint="default" w:ascii="宋体" w:hAnsi="宋体" w:eastAsia="宋体"/>
                <w:highlight w:val="none"/>
                <w:lang w:val="en-US" w:eastAsia="zh-CN"/>
              </w:rPr>
            </w:pPr>
            <w:r>
              <w:rPr>
                <w:rFonts w:hint="eastAsia" w:ascii="宋体" w:hAnsi="宋体"/>
                <w:bCs/>
                <w:kern w:val="2"/>
                <w:highlight w:val="none"/>
              </w:rPr>
              <w:t>0&lt;m≤</w:t>
            </w:r>
            <w:r>
              <w:rPr>
                <w:rFonts w:hint="eastAsia" w:ascii="宋体" w:hAnsi="宋体"/>
                <w:bCs/>
                <w:kern w:val="2"/>
                <w:highlight w:val="none"/>
                <w:lang w:val="en-US" w:eastAsia="zh-CN"/>
              </w:rPr>
              <w:t>9.6</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可行性差、不可靠、不具体，对本项目不了解。</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2</w:t>
            </w:r>
          </w:p>
        </w:tc>
        <w:tc>
          <w:tcPr>
            <w:tcW w:w="1524" w:type="dxa"/>
            <w:gridSpan w:val="2"/>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重点、难点分析及安全控制措施（满分 8分）</w:t>
            </w:r>
          </w:p>
        </w:tc>
        <w:tc>
          <w:tcPr>
            <w:tcW w:w="1525"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highlight w:val="none"/>
              </w:rPr>
              <w:t>6</w:t>
            </w:r>
            <w:r>
              <w:rPr>
                <w:rFonts w:hint="eastAsia" w:ascii="宋体" w:hAnsi="宋体"/>
                <w:highlight w:val="none"/>
                <w:lang w:val="en-US" w:eastAsia="zh-CN"/>
              </w:rPr>
              <w:t>.4</w:t>
            </w:r>
            <w:r>
              <w:rPr>
                <w:rFonts w:hint="eastAsia" w:ascii="宋体" w:hAnsi="宋体"/>
                <w:highlight w:val="none"/>
              </w:rPr>
              <w:t>≤m≤8</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对本项目维修作业中存在的安全重点及危险点有明确深入的了解，能充分结合本项目线路及运营的特点，制定的文明施工、安全保证措施明确、具体、针对性及可行性强。</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widowControl w:val="0"/>
              <w:shd w:val="clear"/>
              <w:spacing w:before="0" w:after="0" w:afterAutospacing="0" w:line="276" w:lineRule="auto"/>
              <w:ind w:left="0" w:right="0" w:firstLine="0"/>
              <w:jc w:val="center"/>
              <w:rPr>
                <w:rFonts w:hint="default" w:ascii="宋体" w:hAnsi="宋体" w:eastAsia="宋体"/>
                <w:bCs/>
                <w:kern w:val="2"/>
                <w:highlight w:val="none"/>
                <w:lang w:val="en-US" w:eastAsia="zh-CN"/>
              </w:rPr>
            </w:pPr>
            <w:r>
              <w:rPr>
                <w:rFonts w:hint="eastAsia" w:ascii="宋体" w:hAnsi="宋体"/>
                <w:highlight w:val="none"/>
              </w:rPr>
              <w:t>4</w:t>
            </w:r>
            <w:r>
              <w:rPr>
                <w:rFonts w:hint="eastAsia" w:ascii="宋体" w:hAnsi="宋体"/>
                <w:highlight w:val="none"/>
                <w:lang w:val="en-US" w:eastAsia="zh-CN"/>
              </w:rPr>
              <w:t>.8</w:t>
            </w:r>
            <w:r>
              <w:rPr>
                <w:rFonts w:hint="eastAsia" w:ascii="宋体" w:hAnsi="宋体"/>
                <w:highlight w:val="none"/>
              </w:rPr>
              <w:t>&lt;m&lt;6</w:t>
            </w:r>
            <w:r>
              <w:rPr>
                <w:rFonts w:hint="eastAsia" w:ascii="宋体" w:hAnsi="宋体"/>
                <w:highlight w:val="none"/>
                <w:lang w:val="en-US" w:eastAsia="zh-CN"/>
              </w:rPr>
              <w:t>.4</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对本项目维修作业中存在的安全重点及危险点有明确的了解，能结合本项目线路及运营的特点，制定的文明施工、安全保证措施明确、具体、针对性及可行性一般。</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widowControl w:val="0"/>
              <w:shd w:val="clear"/>
              <w:spacing w:before="0" w:after="0" w:afterAutospacing="0" w:line="276" w:lineRule="auto"/>
              <w:ind w:left="0" w:right="0" w:firstLine="0"/>
              <w:jc w:val="center"/>
              <w:rPr>
                <w:rFonts w:hint="default" w:ascii="宋体" w:hAnsi="宋体" w:eastAsia="宋体"/>
                <w:bCs/>
                <w:kern w:val="2"/>
                <w:highlight w:val="none"/>
                <w:lang w:val="en-US" w:eastAsia="zh-CN"/>
              </w:rPr>
            </w:pPr>
            <w:r>
              <w:rPr>
                <w:rFonts w:hint="eastAsia" w:ascii="宋体" w:hAnsi="宋体"/>
                <w:highlight w:val="none"/>
              </w:rPr>
              <w:t>0&lt;m≤4</w:t>
            </w:r>
            <w:r>
              <w:rPr>
                <w:rFonts w:hint="eastAsia" w:ascii="宋体" w:hAnsi="宋体"/>
                <w:highlight w:val="none"/>
                <w:lang w:val="en-US" w:eastAsia="zh-CN"/>
              </w:rPr>
              <w:t>.8</w:t>
            </w:r>
          </w:p>
        </w:tc>
        <w:tc>
          <w:tcPr>
            <w:tcW w:w="5735" w:type="dxa"/>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bCs/>
                <w:kern w:val="2"/>
                <w:highlight w:val="none"/>
              </w:rPr>
              <w:t>可行性差、不可靠、不具体，对本项目不了解。</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18" w:type="dxa"/>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3</w:t>
            </w:r>
          </w:p>
        </w:tc>
        <w:tc>
          <w:tcPr>
            <w:tcW w:w="676" w:type="dxa"/>
            <w:vMerge w:val="restart"/>
            <w:vAlign w:val="center"/>
          </w:tcPr>
          <w:p>
            <w:pPr>
              <w:widowControl w:val="0"/>
              <w:shd w:val="clear"/>
              <w:spacing w:before="0" w:after="0" w:afterAutospacing="0" w:line="276" w:lineRule="auto"/>
              <w:ind w:left="0" w:right="0" w:firstLine="0"/>
              <w:jc w:val="both"/>
              <w:rPr>
                <w:rFonts w:ascii="宋体" w:hAnsi="宋体"/>
                <w:bCs/>
                <w:kern w:val="2"/>
                <w:highlight w:val="none"/>
              </w:rPr>
            </w:pPr>
            <w:r>
              <w:rPr>
                <w:rFonts w:hint="eastAsia" w:ascii="宋体" w:hAnsi="宋体" w:cs="宋体"/>
                <w:highlight w:val="none"/>
              </w:rPr>
              <w:t>人员配置（满</w:t>
            </w:r>
            <w:r>
              <w:rPr>
                <w:rFonts w:hint="eastAsia" w:ascii="宋体" w:hAnsi="宋体" w:cs="宋体"/>
                <w:highlight w:val="none"/>
                <w:lang w:val="en-US" w:eastAsia="zh-CN"/>
              </w:rPr>
              <w:t>分</w:t>
            </w:r>
            <w:r>
              <w:rPr>
                <w:rFonts w:hint="eastAsia" w:ascii="宋体" w:hAnsi="宋体" w:cs="宋体"/>
                <w:highlight w:val="none"/>
              </w:rPr>
              <w:t>12 分）</w:t>
            </w:r>
          </w:p>
        </w:tc>
        <w:tc>
          <w:tcPr>
            <w:tcW w:w="848" w:type="dxa"/>
            <w:vAlign w:val="center"/>
          </w:tcPr>
          <w:p>
            <w:pPr>
              <w:widowControl w:val="0"/>
              <w:shd w:val="clear"/>
              <w:spacing w:before="0" w:after="0" w:afterAutospacing="0" w:line="276" w:lineRule="auto"/>
              <w:ind w:left="0" w:right="0" w:firstLine="0"/>
              <w:jc w:val="center"/>
              <w:rPr>
                <w:rFonts w:hint="eastAsia" w:ascii="宋体" w:hAnsi="宋体" w:eastAsia="宋体" w:cs="Times New Roman"/>
                <w:bCs/>
                <w:kern w:val="2"/>
                <w:highlight w:val="none"/>
              </w:rPr>
            </w:pPr>
            <w:r>
              <w:rPr>
                <w:rFonts w:hint="eastAsia" w:ascii="宋体" w:hAnsi="宋体" w:eastAsia="宋体" w:cs="Times New Roman"/>
                <w:bCs/>
                <w:kern w:val="2"/>
                <w:highlight w:val="none"/>
              </w:rPr>
              <w:t>项目</w:t>
            </w:r>
          </w:p>
          <w:p>
            <w:pPr>
              <w:widowControl w:val="0"/>
              <w:shd w:val="clear"/>
              <w:spacing w:before="0" w:after="0" w:afterAutospacing="0" w:line="276" w:lineRule="auto"/>
              <w:ind w:left="0" w:right="0" w:firstLine="0"/>
              <w:jc w:val="center"/>
              <w:rPr>
                <w:rFonts w:hint="eastAsia" w:ascii="宋体" w:hAnsi="宋体" w:eastAsia="宋体" w:cs="Times New Roman"/>
                <w:bCs/>
                <w:kern w:val="2"/>
                <w:highlight w:val="none"/>
              </w:rPr>
            </w:pPr>
            <w:r>
              <w:rPr>
                <w:rFonts w:hint="eastAsia" w:ascii="宋体" w:hAnsi="宋体" w:eastAsia="宋体" w:cs="Times New Roman"/>
                <w:bCs/>
                <w:kern w:val="2"/>
                <w:highlight w:val="none"/>
              </w:rPr>
              <w:t>经理</w:t>
            </w:r>
          </w:p>
        </w:tc>
        <w:tc>
          <w:tcPr>
            <w:tcW w:w="1525" w:type="dxa"/>
            <w:vAlign w:val="center"/>
          </w:tcPr>
          <w:p>
            <w:pPr>
              <w:widowControl w:val="0"/>
              <w:shd w:val="clear"/>
              <w:spacing w:before="0" w:after="0" w:afterAutospacing="0" w:line="276" w:lineRule="auto"/>
              <w:ind w:left="0" w:right="0" w:firstLine="0"/>
              <w:jc w:val="center"/>
              <w:rPr>
                <w:rFonts w:hint="eastAsia" w:ascii="宋体" w:hAnsi="宋体" w:eastAsia="宋体"/>
                <w:bCs/>
                <w:kern w:val="2"/>
                <w:highlight w:val="none"/>
                <w:lang w:eastAsia="zh-CN"/>
              </w:rPr>
            </w:pPr>
            <w:r>
              <w:rPr>
                <w:rFonts w:hint="eastAsia" w:ascii="宋体" w:hAnsi="宋体"/>
                <w:bCs/>
                <w:kern w:val="2"/>
                <w:highlight w:val="none"/>
                <w:lang w:val="en-US" w:eastAsia="zh-CN"/>
              </w:rPr>
              <w:t>4</w:t>
            </w:r>
          </w:p>
        </w:tc>
        <w:tc>
          <w:tcPr>
            <w:tcW w:w="5735" w:type="dxa"/>
            <w:vAlign w:val="center"/>
          </w:tcPr>
          <w:p>
            <w:pPr>
              <w:widowControl w:val="0"/>
              <w:shd w:val="clear"/>
              <w:spacing w:before="0" w:after="0" w:afterAutospacing="0" w:line="276" w:lineRule="auto"/>
              <w:ind w:left="0" w:right="0" w:firstLine="0"/>
              <w:jc w:val="both"/>
              <w:rPr>
                <w:rFonts w:hint="default" w:ascii="宋体" w:hAnsi="宋体" w:eastAsia="宋体"/>
                <w:bCs/>
                <w:kern w:val="2"/>
                <w:highlight w:val="none"/>
                <w:lang w:val="en-US" w:eastAsia="zh-CN"/>
              </w:rPr>
            </w:pPr>
            <w:r>
              <w:rPr>
                <w:rFonts w:hint="eastAsia" w:ascii="宋体" w:hAnsi="宋体"/>
                <w:highlight w:val="none"/>
              </w:rPr>
              <w:t>项目经理有2年及以上的项目管理经验</w:t>
            </w:r>
            <w:r>
              <w:rPr>
                <w:rFonts w:hint="eastAsia" w:ascii="宋体" w:hAnsi="宋体"/>
                <w:highlight w:val="none"/>
                <w:lang w:val="en-US" w:eastAsia="zh-CN"/>
              </w:rPr>
              <w:t>且具有国家有关部门核发的特种设备安全管理人员证的得4分</w:t>
            </w:r>
            <w:r>
              <w:rPr>
                <w:rFonts w:hint="eastAsia" w:ascii="宋体" w:hAnsi="宋体"/>
                <w:highlight w:val="none"/>
              </w:rPr>
              <w:t>。【</w:t>
            </w:r>
            <w:r>
              <w:rPr>
                <w:rFonts w:hint="eastAsia" w:ascii="宋体" w:hAnsi="宋体"/>
                <w:highlight w:val="none"/>
                <w:lang w:val="en-US" w:eastAsia="zh-CN"/>
              </w:rPr>
              <w:t>项目管理经验</w:t>
            </w:r>
            <w:r>
              <w:rPr>
                <w:rFonts w:hint="eastAsia" w:ascii="宋体" w:hAnsi="宋体"/>
                <w:highlight w:val="none"/>
              </w:rPr>
              <w:t>证明材料为</w:t>
            </w:r>
            <w:r>
              <w:rPr>
                <w:rFonts w:hint="eastAsia" w:ascii="宋体" w:hAnsi="宋体"/>
                <w:highlight w:val="none"/>
                <w:lang w:val="en-US" w:eastAsia="zh-CN"/>
              </w:rPr>
              <w:t>项目</w:t>
            </w:r>
            <w:r>
              <w:rPr>
                <w:rFonts w:hint="eastAsia" w:ascii="宋体" w:hAnsi="宋体"/>
                <w:highlight w:val="none"/>
              </w:rPr>
              <w:t>合同复印件，业绩证明材料须能体现类似项目特征和承担项目经理的职位，否则不予认可】。</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p>
            <w:pPr>
              <w:widowControl w:val="0"/>
              <w:shd w:val="clear"/>
              <w:spacing w:before="0" w:after="0" w:afterAutospacing="0" w:line="276" w:lineRule="auto"/>
              <w:ind w:left="0" w:right="0" w:firstLine="0"/>
              <w:jc w:val="center"/>
              <w:rPr>
                <w:rFonts w:ascii="宋体" w:hAnsi="宋体"/>
                <w:kern w:val="2"/>
                <w:highlight w:val="none"/>
              </w:rPr>
            </w:pPr>
          </w:p>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676"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848" w:type="dxa"/>
            <w:vAlign w:val="center"/>
          </w:tcPr>
          <w:p>
            <w:pPr>
              <w:widowControl w:val="0"/>
              <w:shd w:val="clear"/>
              <w:spacing w:before="0" w:after="0" w:afterAutospacing="0" w:line="276" w:lineRule="auto"/>
              <w:ind w:left="0" w:right="0" w:firstLine="0"/>
              <w:jc w:val="center"/>
              <w:rPr>
                <w:rFonts w:hint="eastAsia" w:ascii="宋体" w:hAnsi="宋体" w:eastAsia="宋体" w:cs="Times New Roman"/>
                <w:bCs/>
                <w:kern w:val="2"/>
                <w:highlight w:val="none"/>
              </w:rPr>
            </w:pPr>
            <w:r>
              <w:rPr>
                <w:rFonts w:hint="eastAsia" w:ascii="宋体" w:hAnsi="宋体" w:eastAsia="宋体" w:cs="Times New Roman"/>
                <w:bCs/>
                <w:kern w:val="2"/>
                <w:highlight w:val="none"/>
              </w:rPr>
              <w:t>技术</w:t>
            </w:r>
          </w:p>
          <w:p>
            <w:pPr>
              <w:widowControl w:val="0"/>
              <w:shd w:val="clear"/>
              <w:spacing w:before="0" w:after="0" w:afterAutospacing="0" w:line="276" w:lineRule="auto"/>
              <w:ind w:left="0" w:right="0" w:firstLine="0"/>
              <w:jc w:val="center"/>
              <w:rPr>
                <w:rFonts w:hint="eastAsia" w:ascii="宋体" w:hAnsi="宋体" w:eastAsia="宋体" w:cs="Times New Roman"/>
                <w:bCs/>
                <w:kern w:val="2"/>
                <w:highlight w:val="none"/>
              </w:rPr>
            </w:pPr>
            <w:r>
              <w:rPr>
                <w:rFonts w:hint="eastAsia" w:ascii="宋体" w:hAnsi="宋体" w:eastAsia="宋体" w:cs="Times New Roman"/>
                <w:bCs/>
                <w:kern w:val="2"/>
                <w:highlight w:val="none"/>
              </w:rPr>
              <w:t>负责人</w:t>
            </w:r>
          </w:p>
        </w:tc>
        <w:tc>
          <w:tcPr>
            <w:tcW w:w="1525" w:type="dxa"/>
            <w:vAlign w:val="center"/>
          </w:tcPr>
          <w:p>
            <w:pPr>
              <w:widowControl w:val="0"/>
              <w:shd w:val="clear"/>
              <w:spacing w:before="0" w:after="0" w:afterAutospacing="0" w:line="276" w:lineRule="auto"/>
              <w:ind w:left="0" w:right="0" w:firstLine="0"/>
              <w:jc w:val="center"/>
              <w:rPr>
                <w:rFonts w:hint="eastAsia" w:ascii="宋体" w:hAnsi="宋体" w:eastAsia="宋体"/>
                <w:bCs/>
                <w:kern w:val="2"/>
                <w:highlight w:val="none"/>
                <w:lang w:eastAsia="zh-CN"/>
              </w:rPr>
            </w:pPr>
            <w:r>
              <w:rPr>
                <w:rFonts w:hint="eastAsia" w:ascii="宋体" w:hAnsi="宋体"/>
                <w:bCs/>
                <w:kern w:val="2"/>
                <w:highlight w:val="none"/>
                <w:lang w:val="en-US" w:eastAsia="zh-CN"/>
              </w:rPr>
              <w:t>3</w:t>
            </w:r>
          </w:p>
        </w:tc>
        <w:tc>
          <w:tcPr>
            <w:tcW w:w="5735" w:type="dxa"/>
            <w:vAlign w:val="center"/>
          </w:tcPr>
          <w:p>
            <w:pPr>
              <w:widowControl w:val="0"/>
              <w:shd w:val="clear"/>
              <w:spacing w:before="0" w:after="0" w:afterAutospacing="0" w:line="276" w:lineRule="auto"/>
              <w:ind w:left="0" w:right="0" w:firstLine="0"/>
              <w:jc w:val="both"/>
              <w:rPr>
                <w:rFonts w:hint="default" w:ascii="宋体" w:hAnsi="宋体" w:eastAsia="宋体"/>
                <w:highlight w:val="none"/>
                <w:lang w:val="en-US" w:eastAsia="zh-CN"/>
              </w:rPr>
            </w:pPr>
            <w:r>
              <w:rPr>
                <w:rFonts w:hint="eastAsia" w:ascii="宋体" w:hAnsi="宋体"/>
                <w:highlight w:val="none"/>
                <w:lang w:val="en-US" w:eastAsia="zh-CN"/>
              </w:rPr>
              <w:t>具有2年及以上叉车技术管理经验的得3分。</w:t>
            </w:r>
            <w:r>
              <w:rPr>
                <w:rFonts w:hint="eastAsia" w:ascii="宋体" w:hAnsi="宋体"/>
                <w:highlight w:val="none"/>
              </w:rPr>
              <w:t>【</w:t>
            </w:r>
            <w:r>
              <w:rPr>
                <w:rFonts w:hint="eastAsia" w:ascii="宋体" w:hAnsi="宋体"/>
                <w:highlight w:val="none"/>
                <w:lang w:val="en-US" w:eastAsia="zh-CN"/>
              </w:rPr>
              <w:t>技术管理经验</w:t>
            </w:r>
            <w:r>
              <w:rPr>
                <w:rFonts w:hint="eastAsia" w:ascii="宋体" w:hAnsi="宋体"/>
                <w:highlight w:val="none"/>
              </w:rPr>
              <w:t>证明材料为</w:t>
            </w:r>
            <w:r>
              <w:rPr>
                <w:rFonts w:hint="eastAsia" w:ascii="宋体" w:hAnsi="宋体"/>
                <w:highlight w:val="none"/>
                <w:lang w:val="en-US" w:eastAsia="zh-CN"/>
              </w:rPr>
              <w:t>项目</w:t>
            </w:r>
            <w:r>
              <w:rPr>
                <w:rFonts w:hint="eastAsia" w:ascii="宋体" w:hAnsi="宋体"/>
                <w:highlight w:val="none"/>
              </w:rPr>
              <w:t>合同复印件，业绩证明材料须能体现类似项目特征和承担项目</w:t>
            </w:r>
            <w:r>
              <w:rPr>
                <w:rFonts w:hint="eastAsia" w:ascii="宋体" w:hAnsi="宋体"/>
                <w:highlight w:val="none"/>
                <w:lang w:val="en-US" w:eastAsia="zh-CN"/>
              </w:rPr>
              <w:t>技术负责人</w:t>
            </w:r>
            <w:r>
              <w:rPr>
                <w:rFonts w:hint="eastAsia" w:ascii="宋体" w:hAnsi="宋体"/>
                <w:highlight w:val="none"/>
              </w:rPr>
              <w:t>的职位，否则不予认可】。</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676"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848" w:type="dxa"/>
            <w:vAlign w:val="center"/>
          </w:tcPr>
          <w:p>
            <w:pPr>
              <w:widowControl w:val="0"/>
              <w:shd w:val="clear"/>
              <w:spacing w:before="0" w:after="0" w:afterAutospacing="0" w:line="276" w:lineRule="auto"/>
              <w:ind w:left="0" w:right="0" w:firstLine="0"/>
              <w:jc w:val="center"/>
              <w:rPr>
                <w:rFonts w:hint="eastAsia" w:ascii="宋体" w:hAnsi="宋体"/>
                <w:bCs/>
                <w:kern w:val="2"/>
                <w:highlight w:val="none"/>
              </w:rPr>
            </w:pPr>
            <w:r>
              <w:rPr>
                <w:rFonts w:hint="eastAsia" w:ascii="宋体" w:hAnsi="宋体"/>
                <w:bCs/>
                <w:kern w:val="2"/>
                <w:highlight w:val="none"/>
              </w:rPr>
              <w:t>作业</w:t>
            </w:r>
          </w:p>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人员</w:t>
            </w:r>
          </w:p>
        </w:tc>
        <w:tc>
          <w:tcPr>
            <w:tcW w:w="1525" w:type="dxa"/>
            <w:vAlign w:val="center"/>
          </w:tcPr>
          <w:p>
            <w:pPr>
              <w:widowControl w:val="0"/>
              <w:shd w:val="clear"/>
              <w:spacing w:before="0" w:after="0" w:afterAutospacing="0" w:line="276" w:lineRule="auto"/>
              <w:ind w:left="0" w:right="0" w:firstLine="0"/>
              <w:jc w:val="center"/>
              <w:rPr>
                <w:rFonts w:hint="eastAsia" w:ascii="宋体" w:hAnsi="宋体" w:eastAsia="宋体"/>
                <w:bCs/>
                <w:kern w:val="2"/>
                <w:highlight w:val="none"/>
                <w:lang w:eastAsia="zh-CN"/>
              </w:rPr>
            </w:pPr>
            <w:r>
              <w:rPr>
                <w:rFonts w:hint="eastAsia" w:ascii="宋体" w:hAnsi="宋体"/>
                <w:bCs/>
                <w:kern w:val="2"/>
                <w:highlight w:val="none"/>
                <w:lang w:val="en-US" w:eastAsia="zh-CN"/>
              </w:rPr>
              <w:t>5</w:t>
            </w:r>
          </w:p>
        </w:tc>
        <w:tc>
          <w:tcPr>
            <w:tcW w:w="5735" w:type="dxa"/>
            <w:vAlign w:val="center"/>
          </w:tcPr>
          <w:p>
            <w:pPr>
              <w:widowControl w:val="0"/>
              <w:shd w:val="clear"/>
              <w:spacing w:before="0" w:after="0" w:afterAutospacing="0" w:line="276" w:lineRule="auto"/>
              <w:ind w:left="0" w:right="0" w:firstLine="0"/>
              <w:jc w:val="both"/>
              <w:rPr>
                <w:rFonts w:hint="default" w:ascii="宋体" w:hAnsi="宋体" w:eastAsia="宋体"/>
                <w:highlight w:val="none"/>
                <w:lang w:val="en-US" w:eastAsia="zh-CN"/>
              </w:rPr>
            </w:pPr>
            <w:r>
              <w:rPr>
                <w:rFonts w:hint="eastAsia" w:ascii="宋体" w:hAnsi="宋体"/>
                <w:highlight w:val="none"/>
                <w:lang w:val="en-US" w:eastAsia="zh-CN"/>
              </w:rPr>
              <w:t>作业人员（不包括项目经理、技术负责人）具有2年及以上叉车维保工作经验及持有有效期内的叉车司机证、低压电工作业证；按上述要求配置作业人员2人的得4分，大于2 人的得5分。</w:t>
            </w:r>
          </w:p>
        </w:tc>
        <w:tc>
          <w:tcPr>
            <w:tcW w:w="1051" w:type="dxa"/>
            <w:vAlign w:val="center"/>
          </w:tcPr>
          <w:p>
            <w:pPr>
              <w:widowControl w:val="0"/>
              <w:shd w:val="clear"/>
              <w:spacing w:before="0" w:after="0" w:afterAutospacing="0" w:line="276" w:lineRule="auto"/>
              <w:ind w:left="0" w:right="0"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18" w:type="dxa"/>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4</w:t>
            </w:r>
          </w:p>
        </w:tc>
        <w:tc>
          <w:tcPr>
            <w:tcW w:w="1524" w:type="dxa"/>
            <w:gridSpan w:val="2"/>
            <w:vMerge w:val="restart"/>
            <w:vAlign w:val="center"/>
          </w:tcPr>
          <w:p>
            <w:pPr>
              <w:widowControl w:val="0"/>
              <w:shd w:val="clear"/>
              <w:spacing w:before="0" w:after="0" w:afterAutospacing="0" w:line="276" w:lineRule="auto"/>
              <w:ind w:left="0" w:right="0" w:firstLine="0"/>
              <w:rPr>
                <w:rFonts w:ascii="宋体" w:hAnsi="宋体"/>
                <w:bCs/>
                <w:kern w:val="2"/>
                <w:highlight w:val="none"/>
              </w:rPr>
            </w:pPr>
            <w:r>
              <w:rPr>
                <w:rFonts w:hint="eastAsia" w:ascii="宋体" w:hAnsi="宋体"/>
                <w:highlight w:val="none"/>
              </w:rPr>
              <w:t>应急处理预案（满分 8分）</w:t>
            </w:r>
          </w:p>
        </w:tc>
        <w:tc>
          <w:tcPr>
            <w:tcW w:w="1525" w:type="dxa"/>
            <w:vAlign w:val="center"/>
          </w:tcPr>
          <w:p>
            <w:pPr>
              <w:widowControl w:val="0"/>
              <w:shd w:val="clear"/>
              <w:spacing w:before="0" w:after="0" w:afterAutospacing="0" w:line="276" w:lineRule="auto"/>
              <w:ind w:left="0" w:leftChars="0" w:right="0" w:rightChars="0" w:firstLine="0" w:firstLineChars="0"/>
              <w:jc w:val="center"/>
              <w:rPr>
                <w:rFonts w:ascii="宋体" w:hAnsi="宋体" w:eastAsia="宋体" w:cs="Times New Roman"/>
                <w:bCs/>
                <w:kern w:val="2"/>
                <w:sz w:val="21"/>
                <w:szCs w:val="21"/>
                <w:highlight w:val="none"/>
                <w:lang w:val="en-US" w:eastAsia="zh-CN" w:bidi="ar-SA"/>
              </w:rPr>
            </w:pPr>
            <w:r>
              <w:rPr>
                <w:rFonts w:hint="eastAsia" w:ascii="宋体" w:hAnsi="宋体"/>
                <w:highlight w:val="none"/>
              </w:rPr>
              <w:t>6</w:t>
            </w:r>
            <w:r>
              <w:rPr>
                <w:rFonts w:hint="eastAsia" w:ascii="宋体" w:hAnsi="宋体"/>
                <w:highlight w:val="none"/>
                <w:lang w:val="en-US" w:eastAsia="zh-CN"/>
              </w:rPr>
              <w:t>.4</w:t>
            </w:r>
            <w:r>
              <w:rPr>
                <w:rFonts w:hint="eastAsia" w:ascii="宋体" w:hAnsi="宋体"/>
                <w:highlight w:val="none"/>
              </w:rPr>
              <w:t>≤m≤8</w:t>
            </w:r>
          </w:p>
        </w:tc>
        <w:tc>
          <w:tcPr>
            <w:tcW w:w="5735" w:type="dxa"/>
            <w:vAlign w:val="center"/>
          </w:tcPr>
          <w:p>
            <w:pPr>
              <w:keepNext w:val="0"/>
              <w:keepLines w:val="0"/>
              <w:pageBreakBefore w:val="0"/>
              <w:widowControl/>
              <w:shd w:val="clear"/>
              <w:kinsoku/>
              <w:wordWrap/>
              <w:overflowPunct/>
              <w:topLinePunct w:val="0"/>
              <w:autoSpaceDE/>
              <w:autoSpaceDN/>
              <w:bidi w:val="0"/>
              <w:adjustRightInd/>
              <w:snapToGrid/>
              <w:ind w:left="0" w:right="0" w:firstLine="0"/>
              <w:textAlignment w:val="auto"/>
              <w:rPr>
                <w:rFonts w:ascii="宋体" w:hAnsi="宋体" w:cs="Arial"/>
                <w:color w:val="000000" w:themeColor="text1"/>
                <w:highlight w:val="none"/>
              </w:rPr>
            </w:pPr>
            <w:r>
              <w:rPr>
                <w:rFonts w:hint="eastAsia" w:ascii="宋体" w:hAnsi="宋体"/>
                <w:color w:val="000000" w:themeColor="text1"/>
                <w:highlight w:val="none"/>
              </w:rPr>
              <w:t>应急处理预案方案从物资的运输、搬运、安装、所需配备的工器具、人员分工等方面进行阐述，能满足快速、安全的处理，措施描述完善有针对性，对上述内容中 5 个方面有详细描述。</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p>
            <w:pPr>
              <w:widowControl w:val="0"/>
              <w:shd w:val="clear"/>
              <w:spacing w:before="0" w:after="0" w:afterAutospacing="0" w:line="276" w:lineRule="auto"/>
              <w:ind w:left="0" w:right="0" w:firstLine="0"/>
              <w:jc w:val="center"/>
              <w:rPr>
                <w:rFonts w:ascii="宋体" w:hAnsi="宋体"/>
                <w:bCs/>
                <w:kern w:val="2"/>
                <w:highlight w:val="none"/>
              </w:rPr>
            </w:pPr>
          </w:p>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widowControl w:val="0"/>
              <w:shd w:val="clear"/>
              <w:spacing w:before="0" w:after="0" w:afterAutospacing="0" w:line="276" w:lineRule="auto"/>
              <w:ind w:left="0" w:leftChars="0" w:right="0" w:rightChars="0" w:firstLine="0" w:firstLineChars="0"/>
              <w:jc w:val="center"/>
              <w:rPr>
                <w:rFonts w:hint="default" w:ascii="宋体" w:hAnsi="宋体" w:eastAsia="宋体" w:cs="Times New Roman"/>
                <w:bCs/>
                <w:kern w:val="2"/>
                <w:sz w:val="21"/>
                <w:szCs w:val="21"/>
                <w:highlight w:val="none"/>
                <w:lang w:val="en-US" w:eastAsia="zh-CN" w:bidi="ar-SA"/>
              </w:rPr>
            </w:pPr>
            <w:r>
              <w:rPr>
                <w:rFonts w:hint="eastAsia" w:ascii="宋体" w:hAnsi="宋体"/>
                <w:highlight w:val="none"/>
              </w:rPr>
              <w:t>4</w:t>
            </w:r>
            <w:r>
              <w:rPr>
                <w:rFonts w:hint="eastAsia" w:ascii="宋体" w:hAnsi="宋体"/>
                <w:highlight w:val="none"/>
                <w:lang w:val="en-US" w:eastAsia="zh-CN"/>
              </w:rPr>
              <w:t>.8</w:t>
            </w:r>
            <w:r>
              <w:rPr>
                <w:rFonts w:hint="eastAsia" w:ascii="宋体" w:hAnsi="宋体"/>
                <w:highlight w:val="none"/>
              </w:rPr>
              <w:t>&lt;m&lt;6</w:t>
            </w:r>
            <w:r>
              <w:rPr>
                <w:rFonts w:hint="eastAsia" w:ascii="宋体" w:hAnsi="宋体"/>
                <w:highlight w:val="none"/>
                <w:lang w:val="en-US" w:eastAsia="zh-CN"/>
              </w:rPr>
              <w:t>.4</w:t>
            </w:r>
          </w:p>
        </w:tc>
        <w:tc>
          <w:tcPr>
            <w:tcW w:w="5735" w:type="dxa"/>
            <w:vAlign w:val="center"/>
          </w:tcPr>
          <w:p>
            <w:pPr>
              <w:keepNext w:val="0"/>
              <w:keepLines w:val="0"/>
              <w:pageBreakBefore w:val="0"/>
              <w:widowControl/>
              <w:shd w:val="clear"/>
              <w:kinsoku/>
              <w:wordWrap/>
              <w:overflowPunct/>
              <w:topLinePunct w:val="0"/>
              <w:autoSpaceDE/>
              <w:autoSpaceDN/>
              <w:bidi w:val="0"/>
              <w:adjustRightInd/>
              <w:snapToGrid/>
              <w:ind w:left="0" w:right="0" w:firstLine="0"/>
              <w:textAlignment w:val="auto"/>
              <w:rPr>
                <w:rFonts w:ascii="宋体" w:hAnsi="宋体" w:cs="Arial"/>
                <w:color w:val="000000" w:themeColor="text1"/>
                <w:highlight w:val="none"/>
              </w:rPr>
            </w:pPr>
            <w:r>
              <w:rPr>
                <w:rFonts w:hint="eastAsia" w:ascii="宋体" w:hAnsi="宋体"/>
                <w:color w:val="000000" w:themeColor="text1"/>
                <w:highlight w:val="none"/>
              </w:rPr>
              <w:t>应急处理预案方案从物资的运输、搬运、安装、所需配备的工器具、人员分工等方面进行阐述，能满足快速、安全的处理，措施描述完善有针对性，对上述内容中 2-4 个方面有详细描述。</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4" w:type="dxa"/>
            <w:gridSpan w:val="2"/>
            <w:vMerge w:val="continue"/>
            <w:vAlign w:val="center"/>
          </w:tcPr>
          <w:p>
            <w:pPr>
              <w:widowControl w:val="0"/>
              <w:shd w:val="clear"/>
              <w:spacing w:before="0" w:after="0" w:afterAutospacing="0" w:line="276" w:lineRule="auto"/>
              <w:ind w:left="0" w:right="0" w:firstLine="0"/>
              <w:jc w:val="center"/>
              <w:rPr>
                <w:rFonts w:ascii="宋体" w:hAnsi="宋体"/>
                <w:bCs/>
                <w:kern w:val="2"/>
                <w:highlight w:val="none"/>
              </w:rPr>
            </w:pPr>
          </w:p>
        </w:tc>
        <w:tc>
          <w:tcPr>
            <w:tcW w:w="1525" w:type="dxa"/>
            <w:vAlign w:val="center"/>
          </w:tcPr>
          <w:p>
            <w:pPr>
              <w:widowControl w:val="0"/>
              <w:shd w:val="clear"/>
              <w:spacing w:before="0" w:after="0" w:afterAutospacing="0" w:line="276" w:lineRule="auto"/>
              <w:ind w:left="0" w:leftChars="0" w:right="0" w:rightChars="0" w:firstLine="0" w:firstLineChars="0"/>
              <w:jc w:val="center"/>
              <w:rPr>
                <w:rFonts w:hint="default" w:ascii="宋体" w:hAnsi="宋体" w:eastAsia="宋体" w:cs="Times New Roman"/>
                <w:bCs/>
                <w:kern w:val="2"/>
                <w:sz w:val="21"/>
                <w:szCs w:val="21"/>
                <w:highlight w:val="none"/>
                <w:lang w:val="en-US" w:eastAsia="zh-CN" w:bidi="ar-SA"/>
              </w:rPr>
            </w:pPr>
            <w:r>
              <w:rPr>
                <w:rFonts w:hint="eastAsia" w:ascii="宋体" w:hAnsi="宋体"/>
                <w:highlight w:val="none"/>
              </w:rPr>
              <w:t>0&lt;m≤4</w:t>
            </w:r>
            <w:r>
              <w:rPr>
                <w:rFonts w:hint="eastAsia" w:ascii="宋体" w:hAnsi="宋体"/>
                <w:highlight w:val="none"/>
                <w:lang w:val="en-US" w:eastAsia="zh-CN"/>
              </w:rPr>
              <w:t>.8</w:t>
            </w:r>
          </w:p>
        </w:tc>
        <w:tc>
          <w:tcPr>
            <w:tcW w:w="5735" w:type="dxa"/>
            <w:vAlign w:val="center"/>
          </w:tcPr>
          <w:p>
            <w:pPr>
              <w:shd w:val="clear"/>
              <w:snapToGrid w:val="0"/>
              <w:spacing w:line="288" w:lineRule="auto"/>
              <w:jc w:val="both"/>
              <w:rPr>
                <w:rFonts w:ascii="宋体" w:hAnsi="宋体" w:cs="Arial"/>
                <w:color w:val="000000" w:themeColor="text1"/>
                <w:highlight w:val="none"/>
              </w:rPr>
            </w:pPr>
            <w:r>
              <w:rPr>
                <w:rFonts w:hint="eastAsia" w:ascii="宋体" w:hAnsi="宋体"/>
                <w:color w:val="000000" w:themeColor="text1"/>
                <w:highlight w:val="none"/>
              </w:rPr>
              <w:t>应急处理预案不完善，无针对性和操作性。</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restart"/>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rPr>
              <w:t>5</w:t>
            </w:r>
          </w:p>
        </w:tc>
        <w:tc>
          <w:tcPr>
            <w:tcW w:w="1524" w:type="dxa"/>
            <w:gridSpan w:val="2"/>
            <w:vMerge w:val="restart"/>
            <w:vAlign w:val="center"/>
          </w:tcPr>
          <w:p>
            <w:pPr>
              <w:widowControl w:val="0"/>
              <w:shd w:val="clear"/>
              <w:snapToGrid w:val="0"/>
              <w:spacing w:line="276" w:lineRule="auto"/>
              <w:ind w:left="0" w:firstLine="0"/>
              <w:rPr>
                <w:rFonts w:ascii="宋体" w:hAnsi="宋体"/>
                <w:bCs/>
                <w:kern w:val="2"/>
                <w:highlight w:val="none"/>
              </w:rPr>
            </w:pPr>
            <w:r>
              <w:rPr>
                <w:rFonts w:hint="eastAsia" w:ascii="宋体" w:hAnsi="宋体"/>
                <w:bCs/>
                <w:kern w:val="2"/>
                <w:highlight w:val="none"/>
              </w:rPr>
              <w:t>维修维护响应及修复时间（满分 4 分）</w:t>
            </w:r>
          </w:p>
        </w:tc>
        <w:tc>
          <w:tcPr>
            <w:tcW w:w="1525" w:type="dxa"/>
            <w:vAlign w:val="center"/>
          </w:tcPr>
          <w:p>
            <w:pPr>
              <w:widowControl w:val="0"/>
              <w:shd w:val="clear"/>
              <w:spacing w:before="0" w:after="0" w:afterAutospacing="0" w:line="276" w:lineRule="auto"/>
              <w:ind w:left="0" w:right="0" w:firstLine="0"/>
              <w:jc w:val="center"/>
              <w:rPr>
                <w:rFonts w:hint="eastAsia" w:ascii="宋体" w:hAnsi="宋体" w:eastAsia="宋体"/>
                <w:bCs/>
                <w:kern w:val="2"/>
                <w:highlight w:val="none"/>
                <w:lang w:eastAsia="zh-CN"/>
              </w:rPr>
            </w:pPr>
            <w:r>
              <w:rPr>
                <w:rFonts w:hint="eastAsia" w:ascii="宋体" w:hAnsi="宋体"/>
                <w:highlight w:val="none"/>
                <w:lang w:val="en-US" w:eastAsia="zh-CN"/>
              </w:rPr>
              <w:t>3.2</w:t>
            </w:r>
            <w:r>
              <w:rPr>
                <w:rFonts w:hint="eastAsia" w:ascii="宋体" w:hAnsi="宋体"/>
                <w:highlight w:val="none"/>
              </w:rPr>
              <w:t>≤m≤4</w:t>
            </w:r>
          </w:p>
        </w:tc>
        <w:tc>
          <w:tcPr>
            <w:tcW w:w="5735" w:type="dxa"/>
            <w:vAlign w:val="center"/>
          </w:tcPr>
          <w:p>
            <w:pPr>
              <w:widowControl w:val="0"/>
              <w:shd w:val="clear"/>
              <w:snapToGrid w:val="0"/>
              <w:spacing w:line="276" w:lineRule="auto"/>
              <w:ind w:left="0" w:firstLine="0"/>
              <w:jc w:val="both"/>
              <w:rPr>
                <w:rFonts w:ascii="宋体" w:hAnsi="宋体"/>
                <w:bCs/>
                <w:kern w:val="2"/>
                <w:highlight w:val="none"/>
              </w:rPr>
            </w:pPr>
            <w:r>
              <w:rPr>
                <w:rFonts w:hint="eastAsia" w:ascii="宋体" w:hAnsi="宋体"/>
                <w:bCs/>
                <w:kern w:val="2"/>
                <w:highlight w:val="none"/>
              </w:rPr>
              <w:t>响应及修复时间及时，处理恰当。所有设备设施响应时间小、临时处理时间及完全修复时间优于《用户需求书》中维修维护响应及修复时间指标。</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hint="eastAsia" w:ascii="宋体" w:hAnsi="宋体"/>
                <w:bCs/>
                <w:kern w:val="2"/>
                <w:highlight w:val="none"/>
              </w:rPr>
            </w:pPr>
          </w:p>
        </w:tc>
        <w:tc>
          <w:tcPr>
            <w:tcW w:w="1524" w:type="dxa"/>
            <w:gridSpan w:val="2"/>
            <w:vMerge w:val="continue"/>
            <w:vAlign w:val="center"/>
          </w:tcPr>
          <w:p>
            <w:pPr>
              <w:widowControl w:val="0"/>
              <w:shd w:val="clear"/>
              <w:snapToGrid w:val="0"/>
              <w:spacing w:line="276" w:lineRule="auto"/>
              <w:ind w:left="0" w:firstLine="0"/>
              <w:rPr>
                <w:rFonts w:hint="eastAsia" w:ascii="宋体" w:hAnsi="宋体"/>
                <w:bCs/>
                <w:kern w:val="2"/>
                <w:highlight w:val="none"/>
              </w:rPr>
            </w:pPr>
          </w:p>
        </w:tc>
        <w:tc>
          <w:tcPr>
            <w:tcW w:w="1525" w:type="dxa"/>
            <w:vAlign w:val="center"/>
          </w:tcPr>
          <w:p>
            <w:pPr>
              <w:widowControl w:val="0"/>
              <w:shd w:val="clear"/>
              <w:spacing w:before="0" w:after="0" w:afterAutospacing="0" w:line="276" w:lineRule="auto"/>
              <w:ind w:left="0" w:right="0" w:firstLine="0"/>
              <w:jc w:val="center"/>
              <w:rPr>
                <w:rFonts w:hint="default" w:ascii="宋体" w:hAnsi="宋体" w:eastAsia="宋体"/>
                <w:highlight w:val="none"/>
                <w:lang w:val="en-US" w:eastAsia="zh-CN"/>
              </w:rPr>
            </w:pPr>
            <w:r>
              <w:rPr>
                <w:rFonts w:hint="eastAsia" w:ascii="宋体" w:hAnsi="宋体"/>
                <w:highlight w:val="none"/>
                <w:lang w:val="en-US" w:eastAsia="zh-CN"/>
              </w:rPr>
              <w:t>2.4</w:t>
            </w:r>
            <w:r>
              <w:rPr>
                <w:rFonts w:hint="eastAsia" w:ascii="宋体" w:hAnsi="宋体"/>
                <w:highlight w:val="none"/>
              </w:rPr>
              <w:t>&lt;m&lt;</w:t>
            </w:r>
            <w:r>
              <w:rPr>
                <w:rFonts w:hint="eastAsia" w:ascii="宋体" w:hAnsi="宋体"/>
                <w:highlight w:val="none"/>
                <w:lang w:val="en-US" w:eastAsia="zh-CN"/>
              </w:rPr>
              <w:t>3.2</w:t>
            </w:r>
          </w:p>
        </w:tc>
        <w:tc>
          <w:tcPr>
            <w:tcW w:w="5735" w:type="dxa"/>
            <w:vAlign w:val="center"/>
          </w:tcPr>
          <w:p>
            <w:pPr>
              <w:widowControl w:val="0"/>
              <w:shd w:val="clear"/>
              <w:snapToGrid w:val="0"/>
              <w:spacing w:line="276" w:lineRule="auto"/>
              <w:ind w:left="0" w:firstLine="0"/>
              <w:jc w:val="both"/>
              <w:rPr>
                <w:rFonts w:hint="eastAsia" w:ascii="宋体" w:hAnsi="宋体"/>
                <w:bCs/>
                <w:kern w:val="2"/>
                <w:highlight w:val="none"/>
              </w:rPr>
            </w:pPr>
            <w:r>
              <w:rPr>
                <w:rFonts w:hint="eastAsia" w:ascii="宋体" w:hAnsi="宋体"/>
                <w:bCs/>
                <w:kern w:val="2"/>
                <w:highlight w:val="none"/>
              </w:rPr>
              <w:t>故障响应一般，处理一般。所有设备设施响应时间小、临时处理时间及完全修复时间仅满足《用户需求书》中维修维护响应及修复时间指标。</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continue"/>
            <w:vAlign w:val="center"/>
          </w:tcPr>
          <w:p>
            <w:pPr>
              <w:widowControl w:val="0"/>
              <w:shd w:val="clear"/>
              <w:spacing w:before="0" w:after="0" w:afterAutospacing="0" w:line="276" w:lineRule="auto"/>
              <w:ind w:left="0" w:right="0" w:firstLine="0"/>
              <w:jc w:val="center"/>
              <w:rPr>
                <w:rFonts w:hint="eastAsia" w:ascii="宋体" w:hAnsi="宋体"/>
                <w:bCs/>
                <w:kern w:val="2"/>
                <w:highlight w:val="none"/>
              </w:rPr>
            </w:pPr>
          </w:p>
        </w:tc>
        <w:tc>
          <w:tcPr>
            <w:tcW w:w="1524" w:type="dxa"/>
            <w:gridSpan w:val="2"/>
            <w:vMerge w:val="continue"/>
            <w:vAlign w:val="center"/>
          </w:tcPr>
          <w:p>
            <w:pPr>
              <w:widowControl w:val="0"/>
              <w:shd w:val="clear"/>
              <w:snapToGrid w:val="0"/>
              <w:spacing w:line="276" w:lineRule="auto"/>
              <w:ind w:left="0" w:firstLine="0"/>
              <w:rPr>
                <w:rFonts w:hint="eastAsia" w:ascii="宋体" w:hAnsi="宋体"/>
                <w:bCs/>
                <w:kern w:val="2"/>
                <w:highlight w:val="none"/>
              </w:rPr>
            </w:pPr>
          </w:p>
        </w:tc>
        <w:tc>
          <w:tcPr>
            <w:tcW w:w="1525" w:type="dxa"/>
            <w:vAlign w:val="center"/>
          </w:tcPr>
          <w:p>
            <w:pPr>
              <w:widowControl w:val="0"/>
              <w:shd w:val="clear"/>
              <w:spacing w:before="0" w:after="0" w:afterAutospacing="0" w:line="276" w:lineRule="auto"/>
              <w:ind w:left="0" w:right="0" w:firstLine="0"/>
              <w:jc w:val="center"/>
              <w:rPr>
                <w:rFonts w:hint="eastAsia" w:ascii="宋体" w:hAnsi="宋体"/>
                <w:highlight w:val="none"/>
              </w:rPr>
            </w:pPr>
            <w:r>
              <w:rPr>
                <w:rFonts w:hint="eastAsia" w:ascii="宋体" w:hAnsi="宋体"/>
                <w:highlight w:val="none"/>
              </w:rPr>
              <w:t>0&lt;m≤</w:t>
            </w:r>
            <w:r>
              <w:rPr>
                <w:rFonts w:hint="eastAsia" w:ascii="宋体" w:hAnsi="宋体"/>
                <w:highlight w:val="none"/>
                <w:lang w:val="en-US" w:eastAsia="zh-CN"/>
              </w:rPr>
              <w:t>2.4</w:t>
            </w:r>
          </w:p>
        </w:tc>
        <w:tc>
          <w:tcPr>
            <w:tcW w:w="5735" w:type="dxa"/>
            <w:vAlign w:val="center"/>
          </w:tcPr>
          <w:p>
            <w:pPr>
              <w:widowControl w:val="0"/>
              <w:shd w:val="clear"/>
              <w:snapToGrid w:val="0"/>
              <w:spacing w:line="276" w:lineRule="auto"/>
              <w:ind w:left="0" w:firstLine="0"/>
              <w:jc w:val="both"/>
              <w:rPr>
                <w:rFonts w:hint="eastAsia" w:ascii="宋体" w:hAnsi="宋体"/>
                <w:bCs/>
                <w:kern w:val="2"/>
                <w:highlight w:val="none"/>
              </w:rPr>
            </w:pPr>
            <w:r>
              <w:rPr>
                <w:rFonts w:hint="eastAsia" w:ascii="宋体" w:hAnsi="宋体"/>
                <w:bCs/>
                <w:kern w:val="2"/>
                <w:highlight w:val="none"/>
              </w:rPr>
              <w:t>故障响应不及时，处理不当。所有设备设施响应时间小、临时处理时间及完全修复时间</w:t>
            </w:r>
            <w:r>
              <w:rPr>
                <w:rFonts w:hint="eastAsia" w:ascii="宋体" w:hAnsi="宋体"/>
                <w:bCs/>
                <w:kern w:val="2"/>
                <w:highlight w:val="none"/>
                <w:lang w:val="en-US" w:eastAsia="zh-CN"/>
              </w:rPr>
              <w:t>未能</w:t>
            </w:r>
            <w:r>
              <w:rPr>
                <w:rFonts w:hint="eastAsia" w:ascii="宋体" w:hAnsi="宋体"/>
                <w:bCs/>
                <w:kern w:val="2"/>
                <w:highlight w:val="none"/>
              </w:rPr>
              <w:t>满足《用户需求书》中维修维护响应及修复时间指标。</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Align w:val="center"/>
          </w:tcPr>
          <w:p>
            <w:pPr>
              <w:widowControl w:val="0"/>
              <w:shd w:val="clear"/>
              <w:spacing w:before="0" w:after="0" w:afterAutospacing="0" w:line="276" w:lineRule="auto"/>
              <w:ind w:left="0" w:right="0" w:firstLine="0"/>
              <w:jc w:val="center"/>
              <w:rPr>
                <w:rFonts w:hint="eastAsia" w:ascii="宋体" w:hAnsi="宋体" w:eastAsia="宋体"/>
                <w:bCs/>
                <w:kern w:val="2"/>
                <w:highlight w:val="none"/>
                <w:lang w:val="en-US" w:eastAsia="zh-CN"/>
              </w:rPr>
            </w:pPr>
            <w:r>
              <w:rPr>
                <w:rFonts w:hint="eastAsia" w:ascii="宋体" w:hAnsi="宋体"/>
                <w:bCs/>
                <w:kern w:val="2"/>
                <w:highlight w:val="none"/>
                <w:lang w:val="en-US" w:eastAsia="zh-CN"/>
              </w:rPr>
              <w:t>6</w:t>
            </w:r>
          </w:p>
        </w:tc>
        <w:tc>
          <w:tcPr>
            <w:tcW w:w="1524" w:type="dxa"/>
            <w:gridSpan w:val="2"/>
            <w:vAlign w:val="center"/>
          </w:tcPr>
          <w:p>
            <w:pPr>
              <w:widowControl w:val="0"/>
              <w:shd w:val="clear"/>
              <w:snapToGrid w:val="0"/>
              <w:spacing w:line="276" w:lineRule="auto"/>
              <w:ind w:left="0" w:firstLine="0"/>
              <w:rPr>
                <w:rFonts w:hint="eastAsia" w:ascii="宋体" w:hAnsi="宋体" w:eastAsia="宋体"/>
                <w:bCs/>
                <w:kern w:val="2"/>
                <w:highlight w:val="none"/>
                <w:lang w:eastAsia="zh-CN"/>
              </w:rPr>
            </w:pPr>
            <w:r>
              <w:rPr>
                <w:rFonts w:hint="eastAsia" w:ascii="宋体" w:hAnsi="宋体"/>
                <w:bCs/>
                <w:kern w:val="2"/>
                <w:highlight w:val="none"/>
              </w:rPr>
              <w:t>履约评价</w:t>
            </w:r>
            <w:r>
              <w:rPr>
                <w:rFonts w:hint="eastAsia" w:ascii="宋体" w:hAnsi="宋体"/>
                <w:bCs/>
                <w:kern w:val="2"/>
                <w:highlight w:val="none"/>
                <w:lang w:eastAsia="zh-CN"/>
              </w:rPr>
              <w:t>（</w:t>
            </w:r>
            <w:r>
              <w:rPr>
                <w:rFonts w:hint="eastAsia" w:ascii="宋体" w:hAnsi="宋体"/>
                <w:bCs/>
                <w:kern w:val="2"/>
                <w:highlight w:val="none"/>
                <w:lang w:val="en-US" w:eastAsia="zh-CN"/>
              </w:rPr>
              <w:t>满分2分</w:t>
            </w:r>
            <w:r>
              <w:rPr>
                <w:rFonts w:hint="eastAsia" w:ascii="宋体" w:hAnsi="宋体"/>
                <w:bCs/>
                <w:kern w:val="2"/>
                <w:highlight w:val="none"/>
                <w:lang w:eastAsia="zh-CN"/>
              </w:rPr>
              <w:t>）</w:t>
            </w:r>
          </w:p>
        </w:tc>
        <w:tc>
          <w:tcPr>
            <w:tcW w:w="1525" w:type="dxa"/>
            <w:vAlign w:val="center"/>
          </w:tcPr>
          <w:p>
            <w:pPr>
              <w:widowControl w:val="0"/>
              <w:shd w:val="clear"/>
              <w:spacing w:before="0" w:after="0" w:afterAutospacing="0" w:line="276" w:lineRule="auto"/>
              <w:ind w:left="0" w:right="0" w:firstLine="0"/>
              <w:jc w:val="center"/>
              <w:rPr>
                <w:rFonts w:hint="eastAsia" w:ascii="宋体" w:hAnsi="宋体" w:eastAsia="宋体"/>
                <w:highlight w:val="none"/>
                <w:lang w:val="en-US" w:eastAsia="zh-CN"/>
              </w:rPr>
            </w:pPr>
            <w:r>
              <w:rPr>
                <w:rFonts w:hint="eastAsia" w:ascii="宋体" w:hAnsi="宋体"/>
                <w:highlight w:val="none"/>
                <w:lang w:val="en-US" w:eastAsia="zh-CN"/>
              </w:rPr>
              <w:t>2</w:t>
            </w:r>
          </w:p>
        </w:tc>
        <w:tc>
          <w:tcPr>
            <w:tcW w:w="5735" w:type="dxa"/>
            <w:vAlign w:val="center"/>
          </w:tcPr>
          <w:p>
            <w:pPr>
              <w:widowControl w:val="0"/>
              <w:shd w:val="clear"/>
              <w:snapToGrid w:val="0"/>
              <w:spacing w:line="276" w:lineRule="auto"/>
              <w:ind w:left="0" w:firstLine="0"/>
              <w:jc w:val="both"/>
              <w:rPr>
                <w:rFonts w:hint="eastAsia" w:ascii="宋体" w:hAnsi="宋体"/>
                <w:bCs/>
                <w:kern w:val="2"/>
                <w:highlight w:val="none"/>
              </w:rPr>
            </w:pPr>
            <w:r>
              <w:rPr>
                <w:rFonts w:hint="eastAsia" w:ascii="宋体" w:hAnsi="宋体"/>
                <w:bCs/>
                <w:kern w:val="2"/>
                <w:highlight w:val="none"/>
              </w:rPr>
              <w:t>具有 201</w:t>
            </w:r>
            <w:r>
              <w:rPr>
                <w:rFonts w:hint="eastAsia" w:ascii="宋体" w:hAnsi="宋体"/>
                <w:bCs/>
                <w:kern w:val="2"/>
                <w:highlight w:val="none"/>
                <w:lang w:val="en-US" w:eastAsia="zh-CN"/>
              </w:rPr>
              <w:t>9</w:t>
            </w:r>
            <w:r>
              <w:rPr>
                <w:rFonts w:hint="eastAsia" w:ascii="宋体" w:hAnsi="宋体"/>
                <w:bCs/>
                <w:kern w:val="2"/>
                <w:highlight w:val="none"/>
              </w:rPr>
              <w:t>年1月1日以来，由其业绩合同证明对应的甲方</w:t>
            </w:r>
            <w:r>
              <w:rPr>
                <w:rFonts w:hint="eastAsia" w:ascii="宋体" w:hAnsi="宋体"/>
                <w:bCs/>
                <w:color w:val="FF0000"/>
                <w:kern w:val="2"/>
                <w:highlight w:val="none"/>
                <w:lang w:val="en-US" w:eastAsia="zh-CN"/>
              </w:rPr>
              <w:t>分</w:t>
            </w:r>
            <w:r>
              <w:rPr>
                <w:rFonts w:hint="eastAsia" w:ascii="宋体" w:hAnsi="宋体"/>
                <w:bCs/>
                <w:kern w:val="2"/>
                <w:highlight w:val="none"/>
              </w:rPr>
              <w:t>公司以上出具的正面履约评价荣誉证书（同一单位同一线路只计一项），每 1 项得 1 分，最多得 2 分。</w:t>
            </w:r>
          </w:p>
        </w:tc>
        <w:tc>
          <w:tcPr>
            <w:tcW w:w="1051"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42" w:type="dxa"/>
            <w:gridSpan w:val="3"/>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ascii="宋体" w:hAnsi="宋体"/>
                <w:bCs/>
                <w:kern w:val="2"/>
                <w:highlight w:val="none"/>
              </w:rPr>
              <w:t>技术</w:t>
            </w:r>
            <w:r>
              <w:rPr>
                <w:rFonts w:hint="eastAsia" w:ascii="宋体" w:hAnsi="宋体"/>
                <w:bCs/>
                <w:kern w:val="2"/>
                <w:highlight w:val="none"/>
              </w:rPr>
              <w:t>评审总分</w:t>
            </w:r>
          </w:p>
        </w:tc>
        <w:tc>
          <w:tcPr>
            <w:tcW w:w="1525" w:type="dxa"/>
            <w:vAlign w:val="center"/>
          </w:tcPr>
          <w:p>
            <w:pPr>
              <w:widowControl w:val="0"/>
              <w:shd w:val="clear"/>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lang w:val="en-US" w:eastAsia="zh-CN"/>
              </w:rPr>
              <w:t>5</w:t>
            </w:r>
            <w:r>
              <w:rPr>
                <w:rFonts w:hint="eastAsia" w:ascii="宋体" w:hAnsi="宋体"/>
                <w:bCs/>
                <w:kern w:val="2"/>
                <w:highlight w:val="none"/>
              </w:rPr>
              <w:t>0</w:t>
            </w:r>
            <w:r>
              <w:rPr>
                <w:rFonts w:ascii="宋体" w:hAnsi="宋体"/>
                <w:kern w:val="2"/>
                <w:highlight w:val="none"/>
              </w:rPr>
              <w:t>分</w:t>
            </w:r>
          </w:p>
        </w:tc>
        <w:tc>
          <w:tcPr>
            <w:tcW w:w="6786" w:type="dxa"/>
            <w:gridSpan w:val="2"/>
            <w:vAlign w:val="center"/>
          </w:tcPr>
          <w:p>
            <w:pPr>
              <w:widowControl w:val="0"/>
              <w:shd w:val="clear"/>
              <w:spacing w:before="0" w:after="0" w:afterAutospacing="0" w:line="276" w:lineRule="auto"/>
              <w:ind w:left="0" w:right="0" w:firstLine="0"/>
              <w:rPr>
                <w:rFonts w:ascii="宋体" w:hAnsi="宋体"/>
                <w:kern w:val="2"/>
                <w:highlight w:val="none"/>
              </w:rPr>
            </w:pPr>
          </w:p>
        </w:tc>
      </w:tr>
    </w:tbl>
    <w:p>
      <w:pPr>
        <w:shd w:val="clear"/>
        <w:spacing w:before="0"/>
        <w:ind w:right="0" w:firstLine="0"/>
        <w:jc w:val="both"/>
        <w:rPr>
          <w:highlight w:val="none"/>
        </w:rPr>
        <w:sectPr>
          <w:pgSz w:w="11905" w:h="16838"/>
          <w:pgMar w:top="1418" w:right="1418" w:bottom="1418" w:left="1418" w:header="454" w:footer="567" w:gutter="0"/>
          <w:pgNumType w:fmt="decimal"/>
          <w:cols w:space="720" w:num="1"/>
          <w:docGrid w:linePitch="319" w:charSpace="0"/>
        </w:sectPr>
      </w:pPr>
    </w:p>
    <w:p>
      <w:pPr>
        <w:pStyle w:val="4"/>
        <w:shd w:val="clear"/>
        <w:rPr>
          <w:sz w:val="21"/>
          <w:szCs w:val="21"/>
          <w:highlight w:val="none"/>
        </w:rPr>
      </w:pPr>
      <w:bookmarkStart w:id="2958" w:name="_Toc47864326"/>
      <w:bookmarkStart w:id="2959" w:name="_Toc6632"/>
      <w:bookmarkStart w:id="2960" w:name="_Toc5881"/>
      <w:bookmarkStart w:id="2961" w:name="_Toc5515"/>
      <w:bookmarkStart w:id="2962" w:name="_Toc11872"/>
      <w:bookmarkStart w:id="2963" w:name="_Toc3113"/>
      <w:bookmarkStart w:id="2964" w:name="_Toc27619"/>
      <w:bookmarkStart w:id="2965" w:name="_Toc29530"/>
      <w:r>
        <w:rPr>
          <w:rFonts w:hint="eastAsia"/>
          <w:sz w:val="21"/>
          <w:szCs w:val="21"/>
          <w:highlight w:val="none"/>
        </w:rPr>
        <w:t>附表</w:t>
      </w:r>
      <w:r>
        <w:rPr>
          <w:rFonts w:hint="eastAsia"/>
          <w:sz w:val="21"/>
          <w:szCs w:val="21"/>
          <w:highlight w:val="none"/>
          <w:lang w:val="en-US" w:eastAsia="zh-CN"/>
        </w:rPr>
        <w:t>五</w:t>
      </w:r>
      <w:r>
        <w:rPr>
          <w:rFonts w:hint="eastAsia"/>
          <w:sz w:val="21"/>
          <w:szCs w:val="21"/>
          <w:highlight w:val="none"/>
        </w:rPr>
        <w:t xml:space="preserve"> </w:t>
      </w:r>
      <w:r>
        <w:rPr>
          <w:sz w:val="21"/>
          <w:szCs w:val="21"/>
          <w:highlight w:val="none"/>
        </w:rPr>
        <w:t xml:space="preserve"> </w:t>
      </w:r>
      <w:r>
        <w:rPr>
          <w:rFonts w:hint="eastAsia"/>
          <w:sz w:val="21"/>
          <w:szCs w:val="21"/>
          <w:highlight w:val="none"/>
        </w:rPr>
        <w:t>比选报价评分表</w:t>
      </w:r>
      <w:bookmarkEnd w:id="2958"/>
      <w:bookmarkEnd w:id="2959"/>
      <w:bookmarkEnd w:id="2960"/>
      <w:bookmarkEnd w:id="2961"/>
      <w:bookmarkEnd w:id="2962"/>
      <w:bookmarkEnd w:id="2963"/>
      <w:bookmarkEnd w:id="2964"/>
      <w:bookmarkEnd w:id="2965"/>
    </w:p>
    <w:p>
      <w:pPr>
        <w:widowControl w:val="0"/>
        <w:shd w:val="clear"/>
        <w:spacing w:before="0" w:after="0" w:afterAutospacing="0"/>
        <w:ind w:left="0" w:right="0" w:firstLine="0"/>
        <w:jc w:val="center"/>
        <w:outlineLvl w:val="0"/>
        <w:rPr>
          <w:rFonts w:ascii="宋体" w:hAnsi="宋体"/>
          <w:kern w:val="2"/>
          <w:highlight w:val="none"/>
        </w:rPr>
      </w:pPr>
      <w:bookmarkStart w:id="2966" w:name="_Toc10683"/>
      <w:bookmarkStart w:id="2967" w:name="_Toc20960"/>
      <w:bookmarkStart w:id="2968" w:name="_Toc9173"/>
      <w:bookmarkStart w:id="2969" w:name="_Toc28758"/>
      <w:bookmarkStart w:id="2970" w:name="_Toc19604"/>
      <w:bookmarkStart w:id="2971" w:name="_Toc16134"/>
      <w:bookmarkStart w:id="2972" w:name="_Toc11198"/>
      <w:bookmarkStart w:id="2973" w:name="_Toc18784"/>
      <w:bookmarkStart w:id="2974" w:name="_Toc21326"/>
      <w:r>
        <w:rPr>
          <w:rFonts w:hint="eastAsia" w:ascii="Calibri" w:hAnsi="宋体"/>
          <w:b/>
          <w:kern w:val="2"/>
          <w:sz w:val="24"/>
          <w:szCs w:val="24"/>
          <w:highlight w:val="none"/>
        </w:rPr>
        <w:t>比选报价评分表</w:t>
      </w:r>
      <w:bookmarkEnd w:id="2966"/>
      <w:bookmarkEnd w:id="2967"/>
      <w:bookmarkEnd w:id="2968"/>
      <w:bookmarkEnd w:id="2969"/>
      <w:bookmarkEnd w:id="2970"/>
      <w:bookmarkEnd w:id="2971"/>
      <w:bookmarkEnd w:id="2972"/>
      <w:bookmarkEnd w:id="2973"/>
      <w:bookmarkEnd w:id="2974"/>
    </w:p>
    <w:tbl>
      <w:tblPr>
        <w:tblStyle w:val="31"/>
        <w:tblpPr w:leftFromText="180" w:rightFromText="180" w:vertAnchor="page" w:horzAnchor="margin" w:tblpXSpec="center" w:tblpY="3045"/>
        <w:tblW w:w="98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序号</w:t>
            </w:r>
          </w:p>
        </w:tc>
        <w:tc>
          <w:tcPr>
            <w:tcW w:w="1104"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项目</w:t>
            </w:r>
          </w:p>
        </w:tc>
        <w:tc>
          <w:tcPr>
            <w:tcW w:w="3032"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hint="eastAsia" w:ascii="宋体" w:hAnsi="宋体"/>
                <w:b/>
                <w:kern w:val="2"/>
                <w:highlight w:val="none"/>
              </w:rPr>
              <w:t>基准价</w:t>
            </w:r>
          </w:p>
        </w:tc>
        <w:tc>
          <w:tcPr>
            <w:tcW w:w="2977"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评分标准</w:t>
            </w:r>
          </w:p>
        </w:tc>
        <w:tc>
          <w:tcPr>
            <w:tcW w:w="1129"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分值</w:t>
            </w:r>
          </w:p>
        </w:tc>
        <w:tc>
          <w:tcPr>
            <w:tcW w:w="916" w:type="dxa"/>
            <w:vAlign w:val="center"/>
          </w:tcPr>
          <w:p>
            <w:pPr>
              <w:widowControl w:val="0"/>
              <w:shd w:val="clear"/>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1</w:t>
            </w:r>
          </w:p>
        </w:tc>
        <w:tc>
          <w:tcPr>
            <w:tcW w:w="1104" w:type="dxa"/>
            <w:vAlign w:val="center"/>
          </w:tcPr>
          <w:p>
            <w:pPr>
              <w:widowControl w:val="0"/>
              <w:shd w:val="clear"/>
              <w:spacing w:before="0" w:after="0" w:afterAutospacing="0"/>
              <w:ind w:left="0" w:right="0" w:firstLine="0"/>
              <w:jc w:val="left"/>
              <w:rPr>
                <w:rFonts w:ascii="宋体" w:hAnsi="宋体"/>
                <w:kern w:val="2"/>
                <w:highlight w:val="none"/>
              </w:rPr>
            </w:pPr>
            <w:r>
              <w:rPr>
                <w:rFonts w:hint="eastAsia" w:ascii="宋体" w:hAnsi="宋体"/>
                <w:kern w:val="2"/>
                <w:highlight w:val="none"/>
                <w:lang w:val="en-US" w:eastAsia="zh-CN"/>
              </w:rPr>
              <w:t>维保部分</w:t>
            </w:r>
            <w:r>
              <w:rPr>
                <w:rFonts w:hint="eastAsia" w:ascii="宋体" w:hAnsi="宋体"/>
                <w:kern w:val="2"/>
                <w:highlight w:val="none"/>
              </w:rPr>
              <w:t>比选报价</w:t>
            </w:r>
          </w:p>
        </w:tc>
        <w:tc>
          <w:tcPr>
            <w:tcW w:w="3032" w:type="dxa"/>
            <w:vMerge w:val="restart"/>
            <w:vAlign w:val="center"/>
          </w:tcPr>
          <w:p>
            <w:pPr>
              <w:widowControl w:val="0"/>
              <w:shd w:val="clear"/>
              <w:spacing w:before="0" w:after="0" w:afterAutospacing="0"/>
              <w:ind w:left="0" w:right="0" w:firstLine="420" w:firstLineChars="200"/>
              <w:jc w:val="left"/>
              <w:rPr>
                <w:rFonts w:ascii="宋体" w:hAnsi="宋体"/>
                <w:kern w:val="2"/>
                <w:highlight w:val="none"/>
              </w:rPr>
            </w:pPr>
            <w:r>
              <w:rPr>
                <w:rFonts w:hint="eastAsia" w:ascii="宋体" w:hAnsi="宋体"/>
                <w:kern w:val="2"/>
                <w:highlight w:val="none"/>
              </w:rPr>
              <w:t>进入商务文件评审</w:t>
            </w:r>
            <w:r>
              <w:rPr>
                <w:rFonts w:hint="default" w:ascii="宋体" w:hAnsi="宋体"/>
                <w:kern w:val="2"/>
                <w:highlight w:val="none"/>
              </w:rPr>
              <w:t>阶段且</w:t>
            </w:r>
            <w:r>
              <w:rPr>
                <w:rFonts w:hint="eastAsia" w:ascii="宋体" w:hAnsi="宋体" w:cs="宋体"/>
                <w:kern w:val="2"/>
                <w:szCs w:val="24"/>
                <w:highlight w:val="none"/>
              </w:rPr>
              <w:t>满足比选文件要求</w:t>
            </w:r>
            <w:r>
              <w:rPr>
                <w:rFonts w:hint="default" w:ascii="宋体" w:hAnsi="宋体" w:cs="宋体"/>
                <w:kern w:val="2"/>
                <w:szCs w:val="24"/>
                <w:highlight w:val="none"/>
              </w:rPr>
              <w:t>的最低不含税</w:t>
            </w:r>
            <w:r>
              <w:rPr>
                <w:rFonts w:hint="eastAsia" w:ascii="宋体" w:hAnsi="宋体" w:cs="宋体"/>
                <w:kern w:val="2"/>
                <w:szCs w:val="24"/>
                <w:highlight w:val="none"/>
              </w:rPr>
              <w:t>报价为评比基准价。</w:t>
            </w:r>
          </w:p>
        </w:tc>
        <w:tc>
          <w:tcPr>
            <w:tcW w:w="2977" w:type="dxa"/>
            <w:vAlign w:val="center"/>
          </w:tcPr>
          <w:p>
            <w:pPr>
              <w:widowControl w:val="0"/>
              <w:spacing w:before="0" w:after="0" w:afterAutospacing="0"/>
              <w:ind w:left="0" w:right="0" w:firstLine="420" w:firstLineChars="200"/>
              <w:jc w:val="left"/>
            </w:pPr>
            <w:r>
              <w:rPr>
                <w:rFonts w:hint="eastAsia" w:ascii="Calibri" w:hAnsi="宋体"/>
                <w:kern w:val="2"/>
                <w:szCs w:val="24"/>
                <w:highlight w:val="none"/>
              </w:rPr>
              <w:t>比选</w:t>
            </w:r>
            <w:r>
              <w:rPr>
                <w:rFonts w:hint="default" w:ascii="Calibri" w:hAnsi="宋体"/>
                <w:kern w:val="2"/>
                <w:szCs w:val="24"/>
                <w:highlight w:val="none"/>
              </w:rPr>
              <w:t>申请</w:t>
            </w:r>
            <w:r>
              <w:rPr>
                <w:rFonts w:hint="eastAsia" w:ascii="Calibri" w:hAnsi="宋体"/>
                <w:kern w:val="2"/>
                <w:szCs w:val="24"/>
                <w:highlight w:val="none"/>
              </w:rPr>
              <w:t>人</w:t>
            </w:r>
            <w:r>
              <w:rPr>
                <w:rFonts w:hint="default" w:ascii="Calibri" w:hAnsi="宋体"/>
                <w:kern w:val="2"/>
                <w:szCs w:val="24"/>
                <w:highlight w:val="none"/>
              </w:rPr>
              <w:t>维保部分</w:t>
            </w:r>
            <w:r>
              <w:rPr>
                <w:rFonts w:hint="eastAsia" w:ascii="Calibri" w:hAnsi="宋体"/>
                <w:kern w:val="2"/>
                <w:szCs w:val="24"/>
                <w:highlight w:val="none"/>
              </w:rPr>
              <w:t>价格分＝评比基准价/</w:t>
            </w:r>
            <w:r>
              <w:rPr>
                <w:rFonts w:hint="default" w:ascii="Calibri" w:hAnsi="宋体"/>
                <w:kern w:val="2"/>
                <w:szCs w:val="24"/>
                <w:highlight w:val="none"/>
              </w:rPr>
              <w:t>维保部分不含税报价</w:t>
            </w:r>
            <w:r>
              <w:rPr>
                <w:rFonts w:hint="eastAsia" w:ascii="Calibri" w:hAnsi="宋体"/>
                <w:kern w:val="2"/>
                <w:szCs w:val="24"/>
                <w:highlight w:val="none"/>
              </w:rPr>
              <w:t>×</w:t>
            </w:r>
            <w:r>
              <w:rPr>
                <w:rFonts w:hint="eastAsia" w:ascii="Calibri" w:hAnsi="宋体"/>
                <w:kern w:val="2"/>
                <w:szCs w:val="24"/>
                <w:highlight w:val="none"/>
                <w:lang w:val="en-US" w:eastAsia="zh-CN"/>
              </w:rPr>
              <w:t>2</w:t>
            </w:r>
            <w:r>
              <w:rPr>
                <w:rFonts w:hint="eastAsia" w:ascii="Calibri" w:hAnsi="宋体"/>
                <w:kern w:val="2"/>
                <w:szCs w:val="24"/>
                <w:highlight w:val="none"/>
              </w:rPr>
              <w:t>0分</w:t>
            </w:r>
            <w:r>
              <w:rPr>
                <w:rFonts w:hint="default" w:ascii="Calibri" w:hAnsi="宋体"/>
                <w:kern w:val="2"/>
                <w:szCs w:val="24"/>
                <w:highlight w:val="none"/>
              </w:rPr>
              <w:t>，</w:t>
            </w:r>
            <w:r>
              <w:rPr>
                <w:rFonts w:hint="eastAsia" w:ascii="Calibri" w:hAnsi="宋体" w:eastAsia="宋体" w:cs="Times New Roman"/>
                <w:b w:val="0"/>
                <w:kern w:val="2"/>
                <w:sz w:val="21"/>
                <w:szCs w:val="24"/>
                <w:highlight w:val="none"/>
              </w:rPr>
              <w:t>满分</w:t>
            </w:r>
            <w:r>
              <w:rPr>
                <w:rFonts w:hint="eastAsia" w:ascii="Calibri" w:hAnsi="宋体" w:eastAsia="宋体" w:cs="Times New Roman"/>
                <w:b w:val="0"/>
                <w:kern w:val="2"/>
                <w:sz w:val="21"/>
                <w:szCs w:val="24"/>
                <w:highlight w:val="none"/>
                <w:lang w:val="en-US" w:eastAsia="zh-CN"/>
              </w:rPr>
              <w:t>2</w:t>
            </w:r>
            <w:r>
              <w:rPr>
                <w:rFonts w:hint="eastAsia" w:ascii="Calibri" w:hAnsi="宋体" w:eastAsia="宋体" w:cs="Times New Roman"/>
                <w:b w:val="0"/>
                <w:kern w:val="2"/>
                <w:sz w:val="21"/>
                <w:szCs w:val="24"/>
                <w:highlight w:val="none"/>
              </w:rPr>
              <w:t>0分。</w:t>
            </w:r>
          </w:p>
        </w:tc>
        <w:tc>
          <w:tcPr>
            <w:tcW w:w="1129" w:type="dxa"/>
            <w:vAlign w:val="center"/>
          </w:tcPr>
          <w:p>
            <w:pPr>
              <w:widowControl w:val="0"/>
              <w:shd w:val="clear"/>
              <w:spacing w:before="0" w:after="0" w:afterAutospacing="0"/>
              <w:ind w:left="0" w:right="0" w:firstLine="0"/>
              <w:rPr>
                <w:rFonts w:hint="default" w:ascii="宋体" w:hAnsi="宋体" w:eastAsia="宋体"/>
                <w:kern w:val="2"/>
                <w:highlight w:val="none"/>
                <w:lang w:val="en-US" w:eastAsia="zh-CN"/>
              </w:rPr>
            </w:pPr>
            <w:r>
              <w:rPr>
                <w:rFonts w:ascii="宋体" w:hAnsi="宋体"/>
                <w:kern w:val="2"/>
                <w:highlight w:val="none"/>
              </w:rPr>
              <w:t>0</w:t>
            </w:r>
            <w:r>
              <w:rPr>
                <w:rFonts w:hint="eastAsia" w:ascii="宋体" w:hAnsi="宋体"/>
                <w:kern w:val="2"/>
                <w:highlight w:val="none"/>
              </w:rPr>
              <w:t>≤</w:t>
            </w:r>
            <w:r>
              <w:rPr>
                <w:rFonts w:ascii="宋体" w:hAnsi="宋体"/>
                <w:kern w:val="2"/>
                <w:highlight w:val="none"/>
              </w:rPr>
              <w:t>m</w:t>
            </w:r>
            <w:r>
              <w:rPr>
                <w:rFonts w:hint="eastAsia" w:ascii="宋体" w:hAnsi="宋体"/>
                <w:kern w:val="2"/>
                <w:highlight w:val="none"/>
              </w:rPr>
              <w:t>≤</w:t>
            </w:r>
            <w:r>
              <w:rPr>
                <w:rFonts w:hint="eastAsia" w:ascii="宋体" w:hAnsi="宋体"/>
                <w:kern w:val="2"/>
                <w:highlight w:val="none"/>
                <w:lang w:val="en-US" w:eastAsia="zh-CN"/>
              </w:rPr>
              <w:t>20</w:t>
            </w:r>
          </w:p>
        </w:tc>
        <w:tc>
          <w:tcPr>
            <w:tcW w:w="916" w:type="dxa"/>
            <w:vAlign w:val="center"/>
          </w:tcPr>
          <w:p>
            <w:pPr>
              <w:widowControl w:val="0"/>
              <w:shd w:val="clear"/>
              <w:spacing w:before="0" w:after="0" w:afterAutospacing="0"/>
              <w:ind w:left="0" w:right="0" w:firstLine="420" w:firstLineChars="200"/>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hd w:val="clear"/>
              <w:spacing w:before="0" w:after="0" w:afterAutospacing="0" w:line="240" w:lineRule="auto"/>
              <w:ind w:left="0" w:right="0" w:firstLine="0"/>
              <w:jc w:val="center"/>
              <w:rPr>
                <w:rFonts w:hint="eastAsia" w:ascii="宋体" w:hAnsi="宋体" w:eastAsia="宋体"/>
                <w:kern w:val="2"/>
                <w:highlight w:val="none"/>
                <w:lang w:val="en-US" w:eastAsia="zh-CN"/>
              </w:rPr>
            </w:pPr>
            <w:r>
              <w:rPr>
                <w:rFonts w:hint="eastAsia" w:ascii="宋体" w:hAnsi="宋体"/>
                <w:kern w:val="2"/>
                <w:highlight w:val="none"/>
                <w:lang w:val="en-US" w:eastAsia="zh-CN"/>
              </w:rPr>
              <w:t>2</w:t>
            </w:r>
          </w:p>
        </w:tc>
        <w:tc>
          <w:tcPr>
            <w:tcW w:w="1104" w:type="dxa"/>
            <w:vAlign w:val="center"/>
          </w:tcPr>
          <w:p>
            <w:pPr>
              <w:widowControl w:val="0"/>
              <w:shd w:val="clear"/>
              <w:spacing w:before="0" w:after="0" w:afterAutospacing="0"/>
              <w:ind w:left="0" w:right="0" w:firstLine="0"/>
              <w:jc w:val="left"/>
              <w:rPr>
                <w:rFonts w:hint="default" w:ascii="宋体" w:hAnsi="宋体" w:eastAsia="宋体"/>
                <w:kern w:val="2"/>
                <w:highlight w:val="none"/>
                <w:lang w:val="en-US" w:eastAsia="zh-CN"/>
              </w:rPr>
            </w:pPr>
            <w:r>
              <w:rPr>
                <w:rFonts w:hint="eastAsia" w:ascii="宋体" w:hAnsi="宋体"/>
                <w:kern w:val="2"/>
                <w:highlight w:val="none"/>
                <w:lang w:val="en-US" w:eastAsia="zh-CN"/>
              </w:rPr>
              <w:t>备品备件部分比选报价</w:t>
            </w:r>
          </w:p>
        </w:tc>
        <w:tc>
          <w:tcPr>
            <w:tcW w:w="3032" w:type="dxa"/>
            <w:vMerge w:val="continue"/>
            <w:vAlign w:val="center"/>
          </w:tcPr>
          <w:p>
            <w:pPr>
              <w:widowControl w:val="0"/>
              <w:shd w:val="clear"/>
              <w:spacing w:before="0" w:after="0" w:afterAutospacing="0"/>
              <w:ind w:left="0" w:right="0" w:firstLine="420" w:firstLineChars="200"/>
              <w:jc w:val="left"/>
              <w:rPr>
                <w:rFonts w:hint="eastAsia" w:ascii="宋体" w:hAnsi="宋体" w:cs="宋体"/>
                <w:kern w:val="2"/>
                <w:szCs w:val="24"/>
                <w:highlight w:val="none"/>
              </w:rPr>
            </w:pPr>
          </w:p>
        </w:tc>
        <w:tc>
          <w:tcPr>
            <w:tcW w:w="2977" w:type="dxa"/>
            <w:vAlign w:val="center"/>
          </w:tcPr>
          <w:p>
            <w:pPr>
              <w:widowControl w:val="0"/>
              <w:shd w:val="clear"/>
              <w:spacing w:before="0" w:after="0" w:afterAutospacing="0"/>
              <w:ind w:left="0" w:right="0" w:firstLine="420" w:firstLineChars="200"/>
              <w:jc w:val="left"/>
              <w:rPr>
                <w:rFonts w:hint="eastAsia" w:ascii="宋体" w:hAnsi="宋体" w:cs="宋体"/>
                <w:kern w:val="2"/>
                <w:szCs w:val="24"/>
                <w:highlight w:val="none"/>
              </w:rPr>
            </w:pPr>
            <w:r>
              <w:rPr>
                <w:rFonts w:hint="eastAsia" w:ascii="Calibri" w:hAnsi="宋体"/>
                <w:kern w:val="2"/>
                <w:szCs w:val="24"/>
                <w:highlight w:val="none"/>
              </w:rPr>
              <w:t>比选</w:t>
            </w:r>
            <w:r>
              <w:rPr>
                <w:rFonts w:hint="default" w:ascii="Calibri" w:hAnsi="宋体"/>
                <w:kern w:val="2"/>
                <w:szCs w:val="24"/>
                <w:highlight w:val="none"/>
              </w:rPr>
              <w:t>申请</w:t>
            </w:r>
            <w:r>
              <w:rPr>
                <w:rFonts w:hint="eastAsia" w:ascii="Calibri" w:hAnsi="宋体"/>
                <w:kern w:val="2"/>
                <w:szCs w:val="24"/>
                <w:highlight w:val="none"/>
              </w:rPr>
              <w:t>人</w:t>
            </w:r>
            <w:r>
              <w:rPr>
                <w:rFonts w:hint="default" w:ascii="Calibri" w:hAnsi="宋体"/>
                <w:kern w:val="2"/>
                <w:szCs w:val="24"/>
                <w:highlight w:val="none"/>
              </w:rPr>
              <w:t>备品备件部分</w:t>
            </w:r>
            <w:r>
              <w:rPr>
                <w:rFonts w:hint="eastAsia" w:ascii="Calibri" w:hAnsi="宋体"/>
                <w:kern w:val="2"/>
                <w:szCs w:val="24"/>
                <w:highlight w:val="none"/>
              </w:rPr>
              <w:t>价格分＝评比基准价/</w:t>
            </w:r>
            <w:r>
              <w:rPr>
                <w:rFonts w:hint="default" w:ascii="Calibri" w:hAnsi="宋体"/>
                <w:kern w:val="2"/>
                <w:szCs w:val="24"/>
                <w:highlight w:val="none"/>
              </w:rPr>
              <w:t>备品备件部分不含税</w:t>
            </w:r>
            <w:r>
              <w:rPr>
                <w:rFonts w:hint="eastAsia" w:ascii="Calibri" w:hAnsi="宋体"/>
                <w:kern w:val="2"/>
                <w:szCs w:val="24"/>
                <w:highlight w:val="none"/>
              </w:rPr>
              <w:t>报价×</w:t>
            </w:r>
            <w:r>
              <w:rPr>
                <w:rFonts w:hint="eastAsia" w:ascii="Calibri" w:hAnsi="宋体"/>
                <w:kern w:val="2"/>
                <w:szCs w:val="24"/>
                <w:highlight w:val="none"/>
                <w:lang w:val="en-US" w:eastAsia="zh-CN"/>
              </w:rPr>
              <w:t>1</w:t>
            </w:r>
            <w:r>
              <w:rPr>
                <w:rFonts w:hint="eastAsia" w:ascii="Calibri" w:hAnsi="宋体"/>
                <w:kern w:val="2"/>
                <w:szCs w:val="24"/>
                <w:highlight w:val="none"/>
              </w:rPr>
              <w:t>0分</w:t>
            </w:r>
            <w:r>
              <w:rPr>
                <w:rFonts w:hint="default" w:ascii="Calibri" w:hAnsi="宋体"/>
                <w:kern w:val="2"/>
                <w:szCs w:val="24"/>
                <w:highlight w:val="none"/>
              </w:rPr>
              <w:t>，满分10分</w:t>
            </w:r>
            <w:r>
              <w:rPr>
                <w:rFonts w:hint="eastAsia" w:ascii="Calibri" w:hAnsi="宋体"/>
                <w:kern w:val="2"/>
                <w:szCs w:val="24"/>
                <w:highlight w:val="none"/>
              </w:rPr>
              <w:t>。</w:t>
            </w:r>
          </w:p>
        </w:tc>
        <w:tc>
          <w:tcPr>
            <w:tcW w:w="1129" w:type="dxa"/>
            <w:vAlign w:val="center"/>
          </w:tcPr>
          <w:p>
            <w:pPr>
              <w:widowControl w:val="0"/>
              <w:shd w:val="clear"/>
              <w:spacing w:before="0" w:after="0" w:afterAutospacing="0"/>
              <w:ind w:left="0" w:right="0" w:firstLine="0"/>
              <w:rPr>
                <w:rFonts w:ascii="宋体" w:hAnsi="宋体"/>
                <w:kern w:val="2"/>
                <w:highlight w:val="none"/>
              </w:rPr>
            </w:pPr>
            <w:r>
              <w:rPr>
                <w:rFonts w:ascii="宋体" w:hAnsi="宋体"/>
                <w:kern w:val="2"/>
                <w:highlight w:val="none"/>
              </w:rPr>
              <w:t>0</w:t>
            </w:r>
            <w:r>
              <w:rPr>
                <w:rFonts w:hint="eastAsia" w:ascii="宋体" w:hAnsi="宋体"/>
                <w:kern w:val="2"/>
                <w:highlight w:val="none"/>
              </w:rPr>
              <w:t>≤</w:t>
            </w:r>
            <w:r>
              <w:rPr>
                <w:rFonts w:ascii="宋体" w:hAnsi="宋体"/>
                <w:kern w:val="2"/>
                <w:highlight w:val="none"/>
              </w:rPr>
              <w:t>m</w:t>
            </w:r>
            <w:r>
              <w:rPr>
                <w:rFonts w:hint="eastAsia" w:ascii="宋体" w:hAnsi="宋体"/>
                <w:kern w:val="2"/>
                <w:highlight w:val="none"/>
              </w:rPr>
              <w:t>≤</w:t>
            </w:r>
            <w:r>
              <w:rPr>
                <w:rFonts w:hint="eastAsia" w:ascii="宋体" w:hAnsi="宋体"/>
                <w:kern w:val="2"/>
                <w:highlight w:val="none"/>
                <w:lang w:val="en-US" w:eastAsia="zh-CN"/>
              </w:rPr>
              <w:t>10</w:t>
            </w:r>
          </w:p>
        </w:tc>
        <w:tc>
          <w:tcPr>
            <w:tcW w:w="916" w:type="dxa"/>
            <w:vAlign w:val="center"/>
          </w:tcPr>
          <w:p>
            <w:pPr>
              <w:widowControl w:val="0"/>
              <w:shd w:val="clear"/>
              <w:spacing w:before="0" w:after="0" w:afterAutospacing="0"/>
              <w:ind w:left="0" w:right="0" w:firstLine="420" w:firstLineChars="200"/>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1754" w:type="dxa"/>
            <w:gridSpan w:val="2"/>
          </w:tcPr>
          <w:p>
            <w:pPr>
              <w:widowControl w:val="0"/>
              <w:shd w:val="clear"/>
              <w:spacing w:before="0" w:after="0" w:afterAutospacing="0"/>
              <w:ind w:left="0" w:right="0" w:firstLine="420" w:firstLineChars="200"/>
              <w:rPr>
                <w:rFonts w:ascii="宋体" w:hAnsi="宋体"/>
                <w:kern w:val="2"/>
                <w:highlight w:val="none"/>
              </w:rPr>
            </w:pPr>
          </w:p>
        </w:tc>
        <w:tc>
          <w:tcPr>
            <w:tcW w:w="3032" w:type="dxa"/>
          </w:tcPr>
          <w:p>
            <w:pPr>
              <w:widowControl w:val="0"/>
              <w:shd w:val="clear"/>
              <w:spacing w:before="0" w:after="0" w:afterAutospacing="0"/>
              <w:ind w:left="0" w:right="0" w:firstLine="420" w:firstLineChars="200"/>
              <w:rPr>
                <w:rFonts w:ascii="宋体" w:hAnsi="宋体"/>
                <w:kern w:val="2"/>
                <w:highlight w:val="none"/>
              </w:rPr>
            </w:pPr>
          </w:p>
        </w:tc>
        <w:tc>
          <w:tcPr>
            <w:tcW w:w="2977"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lang w:val="en-US" w:eastAsia="zh-CN"/>
              </w:rPr>
              <w:t>3</w:t>
            </w:r>
            <w:r>
              <w:rPr>
                <w:rFonts w:hint="eastAsia" w:ascii="宋体" w:hAnsi="宋体"/>
                <w:kern w:val="2"/>
                <w:highlight w:val="none"/>
              </w:rPr>
              <w:t>0</w:t>
            </w:r>
          </w:p>
        </w:tc>
        <w:tc>
          <w:tcPr>
            <w:tcW w:w="1129" w:type="dxa"/>
            <w:vAlign w:val="center"/>
          </w:tcPr>
          <w:p>
            <w:pPr>
              <w:widowControl w:val="0"/>
              <w:shd w:val="clear"/>
              <w:spacing w:before="0" w:after="0" w:afterAutospacing="0"/>
              <w:ind w:left="0" w:right="0" w:firstLine="420" w:firstLineChars="200"/>
              <w:jc w:val="center"/>
              <w:rPr>
                <w:rFonts w:ascii="宋体" w:hAnsi="宋体"/>
                <w:kern w:val="2"/>
                <w:highlight w:val="none"/>
              </w:rPr>
            </w:pPr>
          </w:p>
        </w:tc>
        <w:tc>
          <w:tcPr>
            <w:tcW w:w="916" w:type="dxa"/>
          </w:tcPr>
          <w:p>
            <w:pPr>
              <w:widowControl w:val="0"/>
              <w:shd w:val="clear"/>
              <w:spacing w:before="0" w:after="0" w:afterAutospacing="0"/>
              <w:ind w:left="0" w:right="0" w:firstLine="420" w:firstLineChars="200"/>
              <w:rPr>
                <w:rFonts w:ascii="宋体" w:hAnsi="宋体"/>
                <w:kern w:val="2"/>
                <w:highlight w:val="none"/>
              </w:rPr>
            </w:pPr>
          </w:p>
        </w:tc>
      </w:tr>
    </w:tbl>
    <w:p>
      <w:pPr>
        <w:widowControl w:val="0"/>
        <w:shd w:val="clear"/>
        <w:spacing w:before="0" w:after="0" w:afterAutospacing="0"/>
        <w:ind w:left="869" w:leftChars="414" w:right="0" w:firstLine="2433" w:firstLineChars="1159"/>
        <w:rPr>
          <w:rFonts w:ascii="宋体" w:hAnsi="宋体"/>
          <w:kern w:val="2"/>
          <w:highlight w:val="none"/>
        </w:rPr>
      </w:pPr>
    </w:p>
    <w:p>
      <w:pPr>
        <w:widowControl w:val="0"/>
        <w:shd w:val="clear"/>
        <w:spacing w:before="0" w:after="0" w:afterAutospacing="0"/>
        <w:ind w:left="0" w:right="0" w:firstLine="0"/>
        <w:rPr>
          <w:rFonts w:ascii="Calibri" w:hAnsi="宋体"/>
          <w:bCs/>
          <w:kern w:val="2"/>
          <w:highlight w:val="none"/>
        </w:rPr>
        <w:sectPr>
          <w:headerReference r:id="rId16" w:type="default"/>
          <w:footerReference r:id="rId17" w:type="default"/>
          <w:pgSz w:w="11905" w:h="16838"/>
          <w:pgMar w:top="1418" w:right="1418" w:bottom="1304" w:left="1418" w:header="454" w:footer="567" w:gutter="0"/>
          <w:pgNumType w:fmt="decimal"/>
          <w:cols w:space="720" w:num="1"/>
          <w:docGrid w:linePitch="312" w:charSpace="0"/>
        </w:sectPr>
      </w:pPr>
      <w:r>
        <w:rPr>
          <w:rFonts w:hint="eastAsia" w:ascii="Calibri" w:hAnsi="宋体"/>
          <w:bCs/>
          <w:kern w:val="2"/>
          <w:highlight w:val="none"/>
        </w:rPr>
        <w:t>注：比选报价如有修正，需填写附表</w:t>
      </w:r>
      <w:r>
        <w:rPr>
          <w:rFonts w:hint="eastAsia" w:ascii="Calibri" w:hAnsi="宋体"/>
          <w:bCs/>
          <w:kern w:val="2"/>
          <w:highlight w:val="none"/>
          <w:lang w:val="en-US" w:eastAsia="zh-CN"/>
        </w:rPr>
        <w:t>七</w:t>
      </w:r>
      <w:r>
        <w:rPr>
          <w:rFonts w:hint="eastAsia" w:ascii="Calibri" w:hAnsi="宋体"/>
          <w:bCs/>
          <w:kern w:val="2"/>
          <w:highlight w:val="none"/>
        </w:rPr>
        <w:t>《比选</w:t>
      </w:r>
      <w:r>
        <w:rPr>
          <w:rFonts w:hint="eastAsia" w:ascii="Calibri" w:hAnsi="宋体"/>
          <w:bCs/>
          <w:kern w:val="2"/>
          <w:highlight w:val="none"/>
          <w:lang w:val="en-US" w:eastAsia="zh-CN"/>
        </w:rPr>
        <w:t>申请</w:t>
      </w:r>
      <w:r>
        <w:rPr>
          <w:rFonts w:hint="eastAsia" w:ascii="Calibri" w:hAnsi="宋体"/>
          <w:bCs/>
          <w:kern w:val="2"/>
          <w:highlight w:val="none"/>
        </w:rPr>
        <w:t>报价修正表》并由比选</w:t>
      </w:r>
      <w:r>
        <w:rPr>
          <w:rFonts w:hint="eastAsia" w:ascii="Calibri" w:hAnsi="宋体"/>
          <w:bCs/>
          <w:kern w:val="2"/>
          <w:highlight w:val="none"/>
          <w:lang w:val="en-US" w:eastAsia="zh-CN"/>
        </w:rPr>
        <w:t>申请</w:t>
      </w:r>
      <w:r>
        <w:rPr>
          <w:rFonts w:hint="eastAsia" w:ascii="Calibri" w:hAnsi="宋体"/>
          <w:bCs/>
          <w:kern w:val="2"/>
          <w:highlight w:val="none"/>
        </w:rPr>
        <w:t>人代表签字确认。</w:t>
      </w:r>
    </w:p>
    <w:p>
      <w:pPr>
        <w:pStyle w:val="4"/>
        <w:shd w:val="clear"/>
        <w:ind w:left="0" w:firstLine="0"/>
        <w:rPr>
          <w:sz w:val="21"/>
          <w:szCs w:val="21"/>
          <w:highlight w:val="none"/>
        </w:rPr>
      </w:pPr>
      <w:bookmarkStart w:id="2975" w:name="_Toc14907"/>
      <w:bookmarkStart w:id="2976" w:name="_Toc17136"/>
      <w:bookmarkStart w:id="2977" w:name="_Toc17504"/>
      <w:bookmarkStart w:id="2978" w:name="_Toc7507"/>
      <w:bookmarkStart w:id="2979" w:name="_Toc31704"/>
      <w:bookmarkStart w:id="2980" w:name="_Toc26210"/>
      <w:bookmarkStart w:id="2981" w:name="_Toc474847277"/>
      <w:bookmarkStart w:id="2982" w:name="_Toc2254"/>
      <w:bookmarkStart w:id="2983" w:name="_Toc47864327"/>
      <w:r>
        <w:rPr>
          <w:sz w:val="21"/>
          <w:szCs w:val="21"/>
          <w:highlight w:val="none"/>
        </w:rPr>
        <w:t>附表</w:t>
      </w:r>
      <w:r>
        <w:rPr>
          <w:rFonts w:hint="eastAsia"/>
          <w:sz w:val="21"/>
          <w:szCs w:val="21"/>
          <w:highlight w:val="none"/>
          <w:lang w:val="en-US" w:eastAsia="zh-CN"/>
        </w:rPr>
        <w:t>六</w:t>
      </w:r>
      <w:r>
        <w:rPr>
          <w:rFonts w:hint="eastAsia"/>
          <w:sz w:val="21"/>
          <w:szCs w:val="21"/>
          <w:highlight w:val="none"/>
        </w:rPr>
        <w:t xml:space="preserve"> </w:t>
      </w:r>
      <w:r>
        <w:rPr>
          <w:sz w:val="21"/>
          <w:szCs w:val="21"/>
          <w:highlight w:val="none"/>
        </w:rPr>
        <w:t xml:space="preserve"> 综合</w:t>
      </w:r>
      <w:r>
        <w:rPr>
          <w:rFonts w:hint="eastAsia"/>
          <w:sz w:val="21"/>
          <w:szCs w:val="21"/>
          <w:highlight w:val="none"/>
        </w:rPr>
        <w:t>评审</w:t>
      </w:r>
      <w:r>
        <w:rPr>
          <w:sz w:val="21"/>
          <w:szCs w:val="21"/>
          <w:highlight w:val="none"/>
        </w:rPr>
        <w:t>得分表</w:t>
      </w:r>
      <w:bookmarkEnd w:id="2975"/>
      <w:bookmarkEnd w:id="2976"/>
      <w:bookmarkEnd w:id="2977"/>
      <w:bookmarkEnd w:id="2978"/>
      <w:bookmarkEnd w:id="2979"/>
      <w:bookmarkEnd w:id="2980"/>
      <w:bookmarkEnd w:id="2981"/>
      <w:bookmarkEnd w:id="2982"/>
      <w:bookmarkEnd w:id="2983"/>
    </w:p>
    <w:p>
      <w:pPr>
        <w:shd w:val="clear"/>
        <w:jc w:val="center"/>
        <w:rPr>
          <w:b/>
          <w:bCs/>
          <w:sz w:val="24"/>
          <w:szCs w:val="24"/>
          <w:highlight w:val="none"/>
        </w:rPr>
      </w:pPr>
      <w:r>
        <w:rPr>
          <w:b/>
          <w:bCs/>
          <w:sz w:val="24"/>
          <w:szCs w:val="24"/>
          <w:highlight w:val="none"/>
        </w:rPr>
        <w:t>综合</w:t>
      </w:r>
      <w:r>
        <w:rPr>
          <w:rFonts w:hint="eastAsia"/>
          <w:b/>
          <w:bCs/>
          <w:sz w:val="24"/>
          <w:szCs w:val="24"/>
          <w:highlight w:val="none"/>
        </w:rPr>
        <w:t>评审</w:t>
      </w:r>
      <w:r>
        <w:rPr>
          <w:b/>
          <w:bCs/>
          <w:sz w:val="24"/>
          <w:szCs w:val="24"/>
          <w:highlight w:val="none"/>
        </w:rPr>
        <w:t>得分表</w:t>
      </w:r>
    </w:p>
    <w:tbl>
      <w:tblPr>
        <w:tblStyle w:val="31"/>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ascii="宋体" w:hAnsi="宋体"/>
                <w:kern w:val="2"/>
                <w:highlight w:val="none"/>
              </w:rPr>
              <w:t>序号</w:t>
            </w:r>
          </w:p>
        </w:tc>
        <w:tc>
          <w:tcPr>
            <w:tcW w:w="2607"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ascii="宋体" w:hAnsi="宋体"/>
                <w:kern w:val="2"/>
                <w:highlight w:val="none"/>
              </w:rPr>
              <w:t>项　目</w:t>
            </w:r>
          </w:p>
        </w:tc>
        <w:tc>
          <w:tcPr>
            <w:tcW w:w="2016"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满分</w:t>
            </w:r>
          </w:p>
        </w:tc>
        <w:tc>
          <w:tcPr>
            <w:tcW w:w="2916"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ascii="宋体" w:hAnsi="宋体"/>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1</w:t>
            </w:r>
          </w:p>
        </w:tc>
        <w:tc>
          <w:tcPr>
            <w:tcW w:w="2607"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lang w:val="en-US" w:eastAsia="zh-CN"/>
              </w:rPr>
              <w:t>资信</w:t>
            </w:r>
            <w:r>
              <w:rPr>
                <w:rFonts w:hint="eastAsia" w:ascii="宋体" w:hAnsi="宋体"/>
                <w:kern w:val="2"/>
                <w:highlight w:val="none"/>
              </w:rPr>
              <w:t>文件</w:t>
            </w:r>
            <w:r>
              <w:rPr>
                <w:rFonts w:ascii="宋体" w:hAnsi="宋体"/>
                <w:kern w:val="2"/>
                <w:highlight w:val="none"/>
              </w:rPr>
              <w:t>得分</w:t>
            </w:r>
          </w:p>
        </w:tc>
        <w:tc>
          <w:tcPr>
            <w:tcW w:w="2016" w:type="dxa"/>
            <w:vAlign w:val="center"/>
          </w:tcPr>
          <w:p>
            <w:pPr>
              <w:widowControl w:val="0"/>
              <w:shd w:val="clear"/>
              <w:spacing w:before="0" w:after="0" w:afterAutospacing="0" w:line="240" w:lineRule="auto"/>
              <w:ind w:left="0" w:right="0" w:firstLine="0"/>
              <w:jc w:val="center"/>
              <w:rPr>
                <w:rFonts w:hint="default" w:ascii="宋体" w:hAnsi="宋体" w:eastAsia="宋体"/>
                <w:kern w:val="2"/>
                <w:highlight w:val="none"/>
                <w:lang w:val="en-US" w:eastAsia="zh-CN"/>
              </w:rPr>
            </w:pPr>
            <w:r>
              <w:rPr>
                <w:rFonts w:hint="eastAsia" w:ascii="宋体" w:hAnsi="宋体"/>
                <w:kern w:val="2"/>
                <w:highlight w:val="none"/>
                <w:lang w:val="en-US" w:eastAsia="zh-CN"/>
              </w:rPr>
              <w:t>20</w:t>
            </w:r>
          </w:p>
        </w:tc>
        <w:tc>
          <w:tcPr>
            <w:tcW w:w="2916" w:type="dxa"/>
            <w:vAlign w:val="center"/>
          </w:tcPr>
          <w:p>
            <w:pPr>
              <w:widowControl w:val="0"/>
              <w:shd w:val="clear"/>
              <w:spacing w:before="0" w:after="0" w:afterAutospacing="0" w:line="240" w:lineRule="auto"/>
              <w:ind w:left="0" w:right="0" w:firstLine="420" w:firstLineChars="200"/>
              <w:jc w:val="center"/>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2</w:t>
            </w:r>
          </w:p>
        </w:tc>
        <w:tc>
          <w:tcPr>
            <w:tcW w:w="2607" w:type="dxa"/>
            <w:vAlign w:val="center"/>
          </w:tcPr>
          <w:p>
            <w:pPr>
              <w:widowControl w:val="0"/>
              <w:shd w:val="clear"/>
              <w:spacing w:before="0" w:after="0" w:afterAutospacing="0" w:line="240" w:lineRule="auto"/>
              <w:ind w:left="0" w:leftChars="0" w:right="0" w:rightChars="0" w:firstLine="0" w:firstLineChars="0"/>
              <w:jc w:val="center"/>
              <w:rPr>
                <w:rFonts w:ascii="宋体" w:hAnsi="宋体" w:eastAsia="宋体" w:cs="Times New Roman"/>
                <w:kern w:val="2"/>
                <w:sz w:val="21"/>
                <w:szCs w:val="21"/>
                <w:highlight w:val="none"/>
                <w:lang w:val="en-US" w:eastAsia="zh-CN" w:bidi="ar-SA"/>
              </w:rPr>
            </w:pPr>
            <w:r>
              <w:rPr>
                <w:rFonts w:ascii="宋体" w:hAnsi="宋体"/>
                <w:kern w:val="2"/>
                <w:highlight w:val="none"/>
              </w:rPr>
              <w:t>技术</w:t>
            </w:r>
            <w:r>
              <w:rPr>
                <w:rFonts w:hint="eastAsia" w:ascii="宋体" w:hAnsi="宋体"/>
                <w:kern w:val="2"/>
                <w:highlight w:val="none"/>
              </w:rPr>
              <w:t>文件</w:t>
            </w:r>
            <w:r>
              <w:rPr>
                <w:rFonts w:ascii="宋体" w:hAnsi="宋体"/>
                <w:kern w:val="2"/>
                <w:highlight w:val="none"/>
              </w:rPr>
              <w:t>得分</w:t>
            </w:r>
          </w:p>
        </w:tc>
        <w:tc>
          <w:tcPr>
            <w:tcW w:w="2016" w:type="dxa"/>
            <w:vAlign w:val="center"/>
          </w:tcPr>
          <w:p>
            <w:pPr>
              <w:widowControl w:val="0"/>
              <w:shd w:val="clear"/>
              <w:spacing w:before="0" w:after="0" w:afterAutospacing="0" w:line="240" w:lineRule="auto"/>
              <w:ind w:left="0" w:right="0" w:firstLine="0"/>
              <w:jc w:val="center"/>
              <w:rPr>
                <w:rFonts w:hint="default" w:ascii="宋体" w:hAnsi="宋体" w:eastAsia="宋体"/>
                <w:kern w:val="2"/>
                <w:highlight w:val="none"/>
                <w:lang w:val="en-US" w:eastAsia="zh-CN"/>
              </w:rPr>
            </w:pPr>
            <w:r>
              <w:rPr>
                <w:rFonts w:hint="eastAsia" w:ascii="宋体" w:hAnsi="宋体"/>
                <w:kern w:val="2"/>
                <w:highlight w:val="none"/>
                <w:lang w:val="en-US" w:eastAsia="zh-CN"/>
              </w:rPr>
              <w:t>50</w:t>
            </w:r>
          </w:p>
        </w:tc>
        <w:tc>
          <w:tcPr>
            <w:tcW w:w="2916" w:type="dxa"/>
            <w:vAlign w:val="center"/>
          </w:tcPr>
          <w:p>
            <w:pPr>
              <w:widowControl w:val="0"/>
              <w:shd w:val="clear"/>
              <w:spacing w:before="0" w:after="0" w:afterAutospacing="0" w:line="240" w:lineRule="auto"/>
              <w:ind w:left="0" w:right="0" w:firstLine="420" w:firstLineChars="200"/>
              <w:jc w:val="center"/>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hd w:val="clear"/>
              <w:spacing w:before="0" w:after="0" w:afterAutospacing="0" w:line="240" w:lineRule="auto"/>
              <w:ind w:left="0" w:right="0" w:firstLine="0"/>
              <w:jc w:val="center"/>
              <w:rPr>
                <w:rFonts w:hint="eastAsia" w:ascii="宋体" w:hAnsi="宋体" w:eastAsia="宋体"/>
                <w:kern w:val="2"/>
                <w:highlight w:val="none"/>
                <w:lang w:val="en-US" w:eastAsia="zh-CN"/>
              </w:rPr>
            </w:pPr>
            <w:r>
              <w:rPr>
                <w:rFonts w:hint="eastAsia" w:ascii="宋体" w:hAnsi="宋体"/>
                <w:kern w:val="2"/>
                <w:highlight w:val="none"/>
                <w:lang w:val="en-US" w:eastAsia="zh-CN"/>
              </w:rPr>
              <w:t>3</w:t>
            </w:r>
          </w:p>
        </w:tc>
        <w:tc>
          <w:tcPr>
            <w:tcW w:w="2607" w:type="dxa"/>
            <w:vAlign w:val="center"/>
          </w:tcPr>
          <w:p>
            <w:pPr>
              <w:widowControl w:val="0"/>
              <w:shd w:val="clear"/>
              <w:spacing w:before="0" w:after="0" w:afterAutospacing="0" w:line="240" w:lineRule="auto"/>
              <w:ind w:left="0" w:leftChars="0" w:right="0" w:rightChars="0" w:firstLine="0" w:firstLineChars="0"/>
              <w:jc w:val="center"/>
              <w:rPr>
                <w:rFonts w:hint="eastAsia" w:ascii="宋体" w:hAnsi="宋体" w:eastAsia="宋体" w:cs="Times New Roman"/>
                <w:kern w:val="2"/>
                <w:sz w:val="21"/>
                <w:szCs w:val="21"/>
                <w:highlight w:val="none"/>
                <w:lang w:val="en-US" w:eastAsia="zh-CN" w:bidi="ar-SA"/>
              </w:rPr>
            </w:pPr>
            <w:r>
              <w:rPr>
                <w:rFonts w:hint="eastAsia" w:ascii="宋体" w:hAnsi="宋体"/>
                <w:kern w:val="2"/>
                <w:highlight w:val="none"/>
              </w:rPr>
              <w:t>比选报价得分</w:t>
            </w:r>
          </w:p>
        </w:tc>
        <w:tc>
          <w:tcPr>
            <w:tcW w:w="2016" w:type="dxa"/>
            <w:vAlign w:val="center"/>
          </w:tcPr>
          <w:p>
            <w:pPr>
              <w:widowControl w:val="0"/>
              <w:shd w:val="clear"/>
              <w:spacing w:before="0" w:after="0" w:afterAutospacing="0" w:line="240" w:lineRule="auto"/>
              <w:ind w:left="0" w:right="0" w:firstLine="0"/>
              <w:jc w:val="center"/>
              <w:rPr>
                <w:rFonts w:hint="default" w:ascii="宋体" w:hAnsi="宋体" w:eastAsia="宋体"/>
                <w:kern w:val="2"/>
                <w:highlight w:val="none"/>
                <w:lang w:val="en-US" w:eastAsia="zh-CN"/>
              </w:rPr>
            </w:pPr>
            <w:r>
              <w:rPr>
                <w:rFonts w:hint="eastAsia" w:ascii="宋体" w:hAnsi="宋体"/>
                <w:kern w:val="2"/>
                <w:highlight w:val="none"/>
                <w:lang w:val="en-US" w:eastAsia="zh-CN"/>
              </w:rPr>
              <w:t>30</w:t>
            </w:r>
          </w:p>
        </w:tc>
        <w:tc>
          <w:tcPr>
            <w:tcW w:w="2916" w:type="dxa"/>
            <w:vAlign w:val="center"/>
          </w:tcPr>
          <w:p>
            <w:pPr>
              <w:widowControl w:val="0"/>
              <w:shd w:val="clear"/>
              <w:spacing w:before="0" w:after="0" w:afterAutospacing="0" w:line="240" w:lineRule="auto"/>
              <w:ind w:left="0" w:right="0" w:firstLine="420" w:firstLineChars="200"/>
              <w:jc w:val="center"/>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hd w:val="clear"/>
              <w:spacing w:before="0" w:after="0" w:afterAutospacing="0" w:line="240" w:lineRule="auto"/>
              <w:ind w:left="0" w:right="0" w:firstLine="0"/>
              <w:jc w:val="center"/>
              <w:rPr>
                <w:rFonts w:ascii="宋体" w:hAnsi="宋体"/>
                <w:kern w:val="2"/>
                <w:highlight w:val="none"/>
              </w:rPr>
            </w:pPr>
            <w:r>
              <w:rPr>
                <w:rFonts w:ascii="宋体" w:hAnsi="宋体"/>
                <w:kern w:val="2"/>
                <w:highlight w:val="none"/>
              </w:rPr>
              <w:t>最终得分（合计）</w:t>
            </w:r>
          </w:p>
        </w:tc>
        <w:tc>
          <w:tcPr>
            <w:tcW w:w="2916" w:type="dxa"/>
            <w:vAlign w:val="center"/>
          </w:tcPr>
          <w:p>
            <w:pPr>
              <w:widowControl w:val="0"/>
              <w:shd w:val="clear"/>
              <w:spacing w:before="0" w:after="0" w:afterAutospacing="0" w:line="240" w:lineRule="auto"/>
              <w:ind w:left="0" w:right="0" w:firstLine="420" w:firstLineChars="200"/>
              <w:jc w:val="center"/>
              <w:rPr>
                <w:rFonts w:ascii="宋体" w:hAnsi="宋体"/>
                <w:kern w:val="2"/>
                <w:highlight w:val="none"/>
              </w:rPr>
            </w:pPr>
          </w:p>
        </w:tc>
      </w:tr>
    </w:tbl>
    <w:p>
      <w:pPr>
        <w:widowControl w:val="0"/>
        <w:shd w:val="clear"/>
        <w:spacing w:before="0" w:after="0" w:afterAutospacing="0"/>
        <w:ind w:left="0" w:right="0" w:firstLine="0"/>
        <w:rPr>
          <w:rFonts w:ascii="Calibri" w:hAnsi="宋体"/>
          <w:bCs/>
          <w:kern w:val="2"/>
          <w:highlight w:val="none"/>
        </w:rPr>
        <w:sectPr>
          <w:pgSz w:w="11905" w:h="16838"/>
          <w:pgMar w:top="1418" w:right="1418" w:bottom="1304" w:left="1418" w:header="454" w:footer="567" w:gutter="0"/>
          <w:pgNumType w:fmt="decimal"/>
          <w:cols w:space="720" w:num="1"/>
          <w:docGrid w:linePitch="312" w:charSpace="0"/>
        </w:sectPr>
      </w:pPr>
    </w:p>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Pr>
        <w:pStyle w:val="4"/>
        <w:shd w:val="clear"/>
        <w:spacing w:after="0" w:line="360" w:lineRule="auto"/>
        <w:ind w:left="0" w:right="-57" w:firstLine="0"/>
        <w:rPr>
          <w:rFonts w:hint="eastAsia"/>
          <w:sz w:val="21"/>
          <w:szCs w:val="21"/>
          <w:highlight w:val="none"/>
        </w:rPr>
      </w:pPr>
      <w:bookmarkStart w:id="2984" w:name="_Toc31696"/>
      <w:bookmarkStart w:id="2985" w:name="_Toc6538"/>
      <w:bookmarkStart w:id="2986" w:name="_Toc1668"/>
      <w:bookmarkStart w:id="2987" w:name="_Toc4832"/>
      <w:bookmarkStart w:id="2988" w:name="_Toc10868"/>
      <w:bookmarkStart w:id="2989" w:name="_Toc11514"/>
      <w:bookmarkStart w:id="2990" w:name="_Toc7168"/>
      <w:r>
        <w:rPr>
          <w:rFonts w:hint="eastAsia"/>
          <w:sz w:val="21"/>
          <w:szCs w:val="21"/>
          <w:highlight w:val="none"/>
        </w:rPr>
        <w:t>附表</w:t>
      </w:r>
      <w:r>
        <w:rPr>
          <w:rFonts w:hint="eastAsia"/>
          <w:sz w:val="21"/>
          <w:szCs w:val="21"/>
          <w:highlight w:val="none"/>
          <w:lang w:val="en-US" w:eastAsia="zh-CN"/>
        </w:rPr>
        <w:t xml:space="preserve">七 </w:t>
      </w:r>
      <w:r>
        <w:rPr>
          <w:rFonts w:hint="eastAsia"/>
          <w:sz w:val="21"/>
          <w:szCs w:val="21"/>
          <w:highlight w:val="none"/>
        </w:rPr>
        <w:t>比选申请报价修正表</w:t>
      </w:r>
      <w:bookmarkEnd w:id="2984"/>
      <w:bookmarkEnd w:id="2985"/>
      <w:bookmarkEnd w:id="2986"/>
      <w:bookmarkEnd w:id="2987"/>
      <w:bookmarkEnd w:id="2988"/>
      <w:bookmarkEnd w:id="2989"/>
      <w:bookmarkEnd w:id="2990"/>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hd w:val="clea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hd w:val="clea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hd w:val="clea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hd w:val="clea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hd w:val="clear"/>
              <w:spacing w:before="0" w:line="240" w:lineRule="auto"/>
              <w:ind w:right="0" w:firstLine="0"/>
              <w:jc w:val="left"/>
              <w:rPr>
                <w:rFonts w:ascii="宋体" w:hAnsi="宋体"/>
                <w:highlight w:val="none"/>
              </w:rPr>
            </w:pPr>
          </w:p>
        </w:tc>
        <w:tc>
          <w:tcPr>
            <w:tcW w:w="3872" w:type="dxa"/>
            <w:tcBorders>
              <w:left w:val="single" w:color="auto" w:sz="4" w:space="0"/>
              <w:right w:val="single" w:color="auto" w:sz="4" w:space="0"/>
            </w:tcBorders>
            <w:vAlign w:val="center"/>
          </w:tcPr>
          <w:p>
            <w:pPr>
              <w:shd w:val="clear"/>
              <w:spacing w:before="0" w:line="240" w:lineRule="auto"/>
              <w:ind w:right="0" w:firstLine="0"/>
              <w:rPr>
                <w:rFonts w:ascii="宋体" w:hAnsi="宋体"/>
                <w:highlight w:val="none"/>
              </w:rPr>
            </w:pPr>
          </w:p>
        </w:tc>
        <w:tc>
          <w:tcPr>
            <w:tcW w:w="4389" w:type="dxa"/>
            <w:tcBorders>
              <w:top w:val="single" w:color="auto" w:sz="4" w:space="0"/>
              <w:left w:val="single" w:color="auto" w:sz="4" w:space="0"/>
              <w:bottom w:val="single" w:color="auto" w:sz="4" w:space="0"/>
              <w:right w:val="single" w:color="auto" w:sz="4" w:space="0"/>
            </w:tcBorders>
          </w:tcPr>
          <w:p>
            <w:pPr>
              <w:shd w:val="clear"/>
              <w:spacing w:before="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hd w:val="clea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hd w:val="clear"/>
              <w:spacing w:before="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hd w:val="clea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hd w:val="clear"/>
              <w:spacing w:before="0" w:line="240" w:lineRule="auto"/>
              <w:ind w:righ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hd w:val="clea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hd w:val="clear"/>
              <w:spacing w:before="0" w:line="240" w:lineRule="auto"/>
              <w:ind w:righ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hd w:val="clear"/>
              <w:spacing w:before="0" w:line="240" w:lineRule="auto"/>
              <w:ind w:right="0" w:firstLine="0"/>
              <w:jc w:val="center"/>
              <w:rPr>
                <w:rFonts w:ascii="宋体" w:hAnsi="宋体"/>
                <w:highlight w:val="none"/>
              </w:rPr>
            </w:pPr>
          </w:p>
        </w:tc>
        <w:tc>
          <w:tcPr>
            <w:tcW w:w="3872" w:type="dxa"/>
            <w:tcBorders>
              <w:left w:val="single" w:color="auto" w:sz="4" w:space="0"/>
              <w:right w:val="single" w:color="auto" w:sz="4" w:space="0"/>
            </w:tcBorders>
            <w:vAlign w:val="center"/>
          </w:tcPr>
          <w:p>
            <w:pPr>
              <w:shd w:val="clear"/>
              <w:spacing w:before="0" w:line="240" w:lineRule="auto"/>
              <w:ind w:right="0" w:firstLine="0"/>
              <w:jc w:val="left"/>
              <w:rPr>
                <w:rFonts w:ascii="宋体" w:hAnsi="宋体"/>
                <w:b/>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hd w:val="clear"/>
              <w:spacing w:before="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jc w:val="left"/>
              <w:rPr>
                <w:rFonts w:ascii="宋体" w:hAnsi="宋体"/>
                <w:b/>
                <w:sz w:val="24"/>
                <w:szCs w:val="24"/>
                <w:highlight w:val="none"/>
              </w:rPr>
            </w:pPr>
            <w:r>
              <w:rPr>
                <w:rFonts w:hint="eastAsia" w:ascii="宋体" w:hAnsi="宋体"/>
                <w:b/>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hd w:val="clea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rPr>
                <w:rFonts w:ascii="宋体" w:hAnsi="宋体"/>
                <w:b/>
                <w:sz w:val="24"/>
                <w:szCs w:val="24"/>
                <w:highlight w:val="none"/>
              </w:rPr>
            </w:pPr>
            <w:r>
              <w:rPr>
                <w:rFonts w:hint="eastAsia" w:ascii="宋体" w:hAnsi="宋体"/>
                <w:b/>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hd w:val="clea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rPr>
                <w:rFonts w:ascii="宋体" w:hAnsi="宋体"/>
                <w:b/>
                <w:sz w:val="24"/>
                <w:szCs w:val="24"/>
                <w:highlight w:val="none"/>
              </w:rPr>
            </w:pPr>
            <w:r>
              <w:rPr>
                <w:rFonts w:hint="eastAsia" w:ascii="宋体" w:hAnsi="宋体"/>
                <w:b/>
                <w:sz w:val="24"/>
                <w:szCs w:val="24"/>
                <w:highlight w:val="none"/>
              </w:rPr>
              <w:t>比选申请人名称</w:t>
            </w:r>
          </w:p>
        </w:tc>
        <w:tc>
          <w:tcPr>
            <w:tcW w:w="11735" w:type="dxa"/>
            <w:gridSpan w:val="3"/>
            <w:tcBorders>
              <w:left w:val="single" w:color="auto" w:sz="4" w:space="0"/>
              <w:right w:val="single" w:color="auto" w:sz="4" w:space="0"/>
            </w:tcBorders>
            <w:vAlign w:val="center"/>
          </w:tcPr>
          <w:p>
            <w:pPr>
              <w:shd w:val="clea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rPr>
                <w:rFonts w:ascii="宋体" w:hAnsi="宋体"/>
                <w:b/>
                <w:sz w:val="24"/>
                <w:szCs w:val="24"/>
                <w:highlight w:val="none"/>
              </w:rPr>
            </w:pPr>
            <w:r>
              <w:rPr>
                <w:rFonts w:hint="eastAsia" w:ascii="宋体" w:hAnsi="宋体"/>
                <w:b/>
                <w:sz w:val="24"/>
                <w:szCs w:val="24"/>
                <w:highlight w:val="none"/>
              </w:rPr>
              <w:t>比选申请人声明</w:t>
            </w:r>
          </w:p>
        </w:tc>
        <w:tc>
          <w:tcPr>
            <w:tcW w:w="11735" w:type="dxa"/>
            <w:gridSpan w:val="3"/>
            <w:tcBorders>
              <w:left w:val="single" w:color="auto" w:sz="4" w:space="0"/>
              <w:right w:val="single" w:color="auto" w:sz="4" w:space="0"/>
            </w:tcBorders>
            <w:vAlign w:val="center"/>
          </w:tcPr>
          <w:p>
            <w:pPr>
              <w:shd w:val="clear"/>
              <w:spacing w:before="0" w:line="240" w:lineRule="auto"/>
              <w:ind w:right="0" w:firstLine="0"/>
              <w:rPr>
                <w:rFonts w:ascii="宋体" w:hAnsi="宋体"/>
                <w:b/>
                <w:sz w:val="24"/>
                <w:szCs w:val="24"/>
                <w:highlight w:val="none"/>
              </w:rPr>
            </w:pPr>
            <w:r>
              <w:rPr>
                <w:rFonts w:hint="eastAsia" w:ascii="宋体" w:hAnsi="宋体" w:cs="宋体"/>
                <w:b/>
                <w:sz w:val="24"/>
                <w:szCs w:val="24"/>
                <w:highlight w:val="none"/>
              </w:rPr>
              <w:t>我单位（</w:t>
            </w:r>
            <w:r>
              <w:rPr>
                <w:rFonts w:ascii="宋体" w:hAnsi="宋体"/>
                <w:b/>
                <w:sz w:val="44"/>
                <w:szCs w:val="44"/>
                <w:highlight w:val="none"/>
              </w:rPr>
              <w:t>□</w:t>
            </w:r>
            <w:r>
              <w:rPr>
                <w:rFonts w:hint="eastAsia" w:ascii="宋体" w:hAnsi="宋体" w:cs="宋体"/>
                <w:b/>
                <w:sz w:val="24"/>
                <w:szCs w:val="24"/>
                <w:highlight w:val="none"/>
              </w:rPr>
              <w:t>接受</w:t>
            </w:r>
            <w:r>
              <w:rPr>
                <w:rFonts w:ascii="宋体" w:hAnsi="宋体"/>
                <w:b/>
                <w:sz w:val="44"/>
                <w:szCs w:val="44"/>
                <w:highlight w:val="none"/>
              </w:rPr>
              <w:t>□</w:t>
            </w:r>
            <w:r>
              <w:rPr>
                <w:rFonts w:ascii="宋体" w:hAnsi="宋体"/>
                <w:b/>
                <w:sz w:val="24"/>
                <w:szCs w:val="24"/>
                <w:highlight w:val="none"/>
              </w:rPr>
              <w:t>不接受</w:t>
            </w:r>
            <w:r>
              <w:rPr>
                <w:rFonts w:hint="eastAsia" w:ascii="宋体" w:hAnsi="宋体"/>
                <w:b/>
                <w:sz w:val="24"/>
                <w:szCs w:val="24"/>
                <w:highlight w:val="none"/>
              </w:rPr>
              <w:t>）本</w:t>
            </w:r>
            <w:r>
              <w:rPr>
                <w:rFonts w:hint="eastAsia" w:ascii="宋体" w:hAnsi="宋体"/>
                <w:b/>
                <w:sz w:val="24"/>
                <w:szCs w:val="24"/>
                <w:highlight w:val="none"/>
                <w:lang w:eastAsia="zh-CN"/>
              </w:rPr>
              <w:t>评分办法</w:t>
            </w:r>
            <w:r>
              <w:rPr>
                <w:rFonts w:hint="eastAsia" w:ascii="宋体" w:hAnsi="宋体"/>
                <w:b/>
                <w:sz w:val="24"/>
                <w:szCs w:val="24"/>
                <w:highlight w:val="none"/>
              </w:rPr>
              <w:t>第</w:t>
            </w:r>
            <w:r>
              <w:rPr>
                <w:rFonts w:hint="eastAsia" w:ascii="宋体" w:hAnsi="宋体"/>
                <w:b/>
                <w:sz w:val="24"/>
                <w:szCs w:val="24"/>
                <w:highlight w:val="none"/>
                <w:lang w:val="en-US" w:eastAsia="zh-CN"/>
              </w:rPr>
              <w:t>5</w:t>
            </w:r>
            <w:r>
              <w:rPr>
                <w:rFonts w:hint="eastAsia" w:ascii="宋体" w:hAnsi="宋体"/>
                <w:b/>
                <w:sz w:val="24"/>
                <w:szCs w:val="24"/>
                <w:highlight w:val="none"/>
              </w:rPr>
              <w:t>.3款价格评审确定的评审总价和中选价。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hd w:val="clear"/>
              <w:spacing w:before="0" w:line="240" w:lineRule="auto"/>
              <w:ind w:right="0"/>
              <w:rPr>
                <w:rFonts w:ascii="宋体" w:hAnsi="宋体"/>
                <w:b/>
                <w:sz w:val="24"/>
                <w:szCs w:val="24"/>
                <w:highlight w:val="none"/>
              </w:rPr>
            </w:pPr>
            <w:r>
              <w:rPr>
                <w:rFonts w:hint="eastAsia" w:ascii="宋体" w:hAnsi="宋体"/>
                <w:b/>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hd w:val="clear"/>
              <w:spacing w:before="0" w:line="240" w:lineRule="auto"/>
              <w:ind w:right="0" w:firstLine="0"/>
              <w:rPr>
                <w:rFonts w:ascii="宋体" w:hAnsi="宋体" w:cs="宋体"/>
                <w:b/>
                <w:sz w:val="24"/>
                <w:szCs w:val="24"/>
                <w:highlight w:val="none"/>
              </w:rPr>
            </w:pPr>
          </w:p>
          <w:p>
            <w:pPr>
              <w:shd w:val="clear"/>
              <w:spacing w:before="0" w:line="240" w:lineRule="auto"/>
              <w:ind w:right="0" w:firstLine="0"/>
              <w:rPr>
                <w:rFonts w:ascii="宋体" w:hAnsi="宋体" w:cs="宋体"/>
                <w:b/>
                <w:sz w:val="24"/>
                <w:szCs w:val="24"/>
                <w:highlight w:val="none"/>
              </w:rPr>
            </w:pPr>
            <w:r>
              <w:rPr>
                <w:rFonts w:hint="eastAsia" w:ascii="宋体" w:hAnsi="宋体" w:cs="宋体"/>
                <w:b/>
                <w:sz w:val="24"/>
                <w:szCs w:val="24"/>
                <w:highlight w:val="none"/>
              </w:rPr>
              <w:t xml:space="preserve">                                                                     日期：    年  月   日</w:t>
            </w:r>
          </w:p>
        </w:tc>
      </w:tr>
    </w:tbl>
    <w:p>
      <w:pPr>
        <w:shd w:val="clear"/>
        <w:spacing w:before="0" w:after="0"/>
        <w:ind w:left="420" w:right="0" w:firstLine="0"/>
        <w:jc w:val="left"/>
        <w:rPr>
          <w:rFonts w:ascii="宋体" w:hAnsi="宋体"/>
          <w:highlight w:val="none"/>
        </w:rPr>
      </w:pPr>
      <w:r>
        <w:rPr>
          <w:rFonts w:hint="eastAsia" w:ascii="宋体" w:hAnsi="宋体"/>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8" w:type="default"/>
      <w:pgSz w:w="16838" w:h="11905" w:orient="landscape"/>
      <w:pgMar w:top="1417" w:right="1417" w:bottom="1417" w:left="1417" w:header="454" w:footer="567" w:gutter="0"/>
      <w:pgNumType w:fmt="decimal"/>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18"/>
      </w:rPr>
      <w:pict>
        <v:shape id="_x0000_s4117" o:spid="_x0000_s411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18"/>
      </w:rPr>
      <w:pict>
        <v:shape id="_x0000_s4118" o:spid="_x0000_s411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535"/>
        <w:tab w:val="clear" w:pos="4153"/>
        <w:tab w:val="clear" w:pos="8306"/>
      </w:tabs>
      <w:ind w:left="0" w:right="343" w:firstLine="0"/>
      <w:jc w:val="both"/>
      <w:rPr>
        <w:rFonts w:hint="default" w:eastAsia="宋体"/>
        <w:lang w:val="en-US" w:eastAsia="zh-CN"/>
      </w:rPr>
    </w:pPr>
    <w:r>
      <w:rPr>
        <w:rFonts w:hint="eastAsia"/>
        <w:lang w:val="en-US" w:eastAsia="zh-CN"/>
      </w:rPr>
      <w:t xml:space="preserve"> </w:t>
    </w:r>
    <w:r>
      <w:rPr>
        <w:rFonts w:hint="eastAsia"/>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535"/>
        <w:tab w:val="clear" w:pos="4153"/>
        <w:tab w:val="clear" w:pos="8306"/>
      </w:tabs>
      <w:ind w:left="0" w:right="343" w:firstLine="0"/>
      <w:jc w:val="both"/>
      <w:rPr>
        <w:rFonts w:hint="default" w:eastAsia="宋体"/>
        <w:lang w:val="en-US" w:eastAsia="zh-CN"/>
      </w:rPr>
    </w:pPr>
    <w:r>
      <w:rPr>
        <w:sz w:val="18"/>
      </w:rPr>
      <w:pict>
        <v:shape id="_x0000_s4120" o:spid="_x0000_s412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r>
      <w:rPr>
        <w:rFonts w:hint="eastAsia"/>
        <w:lang w:val="en-US" w:eastAsia="zh-CN"/>
      </w:rPr>
      <w:t xml:space="preserve"> </w:t>
    </w:r>
    <w:r>
      <w:rPr>
        <w:rFonts w:hint="eastAsia"/>
        <w:lang w:val="en-US" w:eastAsia="zh-CN"/>
      </w:rPr>
      <w:tab/>
    </w:r>
    <w:r>
      <w:rPr>
        <w:rFonts w:hint="eastAsia"/>
        <w:lang w:val="en-US" w:eastAsia="zh-CN"/>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right" w:pos="8728"/>
        <w:tab w:val="clear" w:pos="4153"/>
        <w:tab w:val="clear" w:pos="8306"/>
      </w:tabs>
      <w:ind w:left="0" w:right="343" w:firstLine="0"/>
      <w:jc w:val="both"/>
    </w:pPr>
    <w:r>
      <w:rPr>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4121" o:spid="_x0000_s412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w:pict>
        <v:shape id="_x0000_s4114" o:spid="_x0000_s411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p>
    <w:pPr>
      <w:pStyle w:val="19"/>
      <w:pBdr>
        <w:bottom w:val="none" w:color="auto" w:sz="0" w:space="0"/>
      </w:pBdr>
      <w:tabs>
        <w:tab w:val="right" w:pos="8728"/>
        <w:tab w:val="clear" w:pos="4153"/>
        <w:tab w:val="clear" w:pos="8306"/>
      </w:tabs>
      <w:ind w:left="0" w:right="343" w:firstLine="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540"/>
      <w:jc w:val="center"/>
      <w:rPr>
        <w:rFonts w:hint="default" w:ascii="Times New Roman" w:hAnsi="Times New Roman" w:eastAsia="宋体" w:cs="Times New Roman"/>
        <w:sz w:val="18"/>
        <w:szCs w:val="18"/>
        <w:lang w:val="en-US" w:eastAsia="zh-CN" w:bidi="ar-SA"/>
      </w:rPr>
    </w:pPr>
    <w:r>
      <w:rPr>
        <w:sz w:val="18"/>
      </w:rPr>
      <w:pict>
        <v:shape id="_x0000_s4115" o:spid="_x0000_s411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Times New Roman" w:cs="Times New Roman"/>
        <w:sz w:val="18"/>
        <w:szCs w:val="18"/>
        <w:lang w:val="en-US" w:eastAsia="zh-CN" w:bidi="ar-SA"/>
      </w:rPr>
    </w:pPr>
    <w:r>
      <w:rPr>
        <w:sz w:val="18"/>
      </w:rPr>
      <w:pict>
        <v:shape id="_x0000_s4116" o:spid="_x0000_s411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w:r>
  </w:p>
  <w:p>
    <w:pPr>
      <w:widowControl w:val="0"/>
      <w:tabs>
        <w:tab w:val="center" w:pos="4153"/>
        <w:tab w:val="right" w:pos="8306"/>
      </w:tabs>
      <w:snapToGrid w:val="0"/>
      <w:ind w:right="540"/>
      <w:jc w:val="right"/>
      <w:rPr>
        <w:rFonts w:ascii="Times New Roman" w:hAnsi="Times New Roman" w:eastAsia="宋体" w:cs="Times New Roman"/>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rPr>
        <w:rFonts w:hint="default" w:eastAsia="宋体"/>
        <w:lang w:val="en-US" w:eastAsia="zh-CN"/>
      </w:rPr>
    </w:pPr>
    <w:r>
      <w:tab/>
    </w:r>
    <w:r>
      <w:tab/>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188B"/>
    <w:multiLevelType w:val="multilevel"/>
    <w:tmpl w:val="921F188B"/>
    <w:lvl w:ilvl="0" w:tentative="0">
      <w:start w:val="1"/>
      <w:numFmt w:val="decimal"/>
      <w:lvlText w:val="%1"/>
      <w:lvlJc w:val="left"/>
      <w:pPr>
        <w:tabs>
          <w:tab w:val="left" w:pos="0"/>
        </w:tabs>
        <w:ind w:left="0" w:firstLine="0"/>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sz w:val="24"/>
        <w:szCs w:val="24"/>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AF304BD5"/>
    <w:multiLevelType w:val="singleLevel"/>
    <w:tmpl w:val="AF304BD5"/>
    <w:lvl w:ilvl="0" w:tentative="0">
      <w:start w:val="1"/>
      <w:numFmt w:val="decimal"/>
      <w:suff w:val="nothing"/>
      <w:lvlText w:val="（%1）"/>
      <w:lvlJc w:val="left"/>
      <w:rPr>
        <w:rFonts w:hint="default" w:eastAsia="Times New Roman"/>
        <w:sz w:val="21"/>
        <w:szCs w:val="21"/>
      </w:rPr>
    </w:lvl>
  </w:abstractNum>
  <w:abstractNum w:abstractNumId="2">
    <w:nsid w:val="BDE1120E"/>
    <w:multiLevelType w:val="multilevel"/>
    <w:tmpl w:val="BDE1120E"/>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D73E3F41"/>
    <w:multiLevelType w:val="singleLevel"/>
    <w:tmpl w:val="D73E3F41"/>
    <w:lvl w:ilvl="0" w:tentative="0">
      <w:start w:val="1"/>
      <w:numFmt w:val="decimal"/>
      <w:suff w:val="nothing"/>
      <w:lvlText w:val="（%1）"/>
      <w:lvlJc w:val="left"/>
    </w:lvl>
  </w:abstractNum>
  <w:abstractNum w:abstractNumId="4">
    <w:nsid w:val="11494B66"/>
    <w:multiLevelType w:val="multilevel"/>
    <w:tmpl w:val="11494B66"/>
    <w:lvl w:ilvl="0" w:tentative="0">
      <w:start w:val="1"/>
      <w:numFmt w:val="decimal"/>
      <w:isLgl/>
      <w:suff w:val="space"/>
      <w:lvlText w:val="%1"/>
      <w:lvlJc w:val="left"/>
      <w:pPr>
        <w:ind w:left="0" w:firstLine="0"/>
      </w:pPr>
      <w:rPr>
        <w:rFonts w:hint="default" w:ascii="Times New Roman" w:hAnsi="Times New Roman" w:eastAsia="黑体"/>
        <w:b/>
        <w:i w:val="0"/>
        <w:sz w:val="28"/>
      </w:rPr>
    </w:lvl>
    <w:lvl w:ilvl="1" w:tentative="0">
      <w:start w:val="1"/>
      <w:numFmt w:val="decimal"/>
      <w:isLgl/>
      <w:suff w:val="space"/>
      <w:lvlText w:val="%1.%2"/>
      <w:lvlJc w:val="left"/>
      <w:pPr>
        <w:ind w:left="-32767" w:firstLine="32767"/>
      </w:pPr>
      <w:rPr>
        <w:rFonts w:hint="default" w:ascii="Times New Roman" w:hAnsi="Times New Roman" w:eastAsia="宋体"/>
        <w:b/>
        <w:i w:val="0"/>
        <w:sz w:val="24"/>
      </w:rPr>
    </w:lvl>
    <w:lvl w:ilvl="2" w:tentative="0">
      <w:start w:val="1"/>
      <w:numFmt w:val="decimal"/>
      <w:suff w:val="space"/>
      <w:lvlText w:val="%1.%2.%3"/>
      <w:lvlJc w:val="left"/>
      <w:pPr>
        <w:ind w:left="400" w:firstLine="0"/>
      </w:pPr>
      <w:rPr>
        <w:rFonts w:hint="default" w:ascii="Times New Roman" w:hAnsi="Times New Roman" w:eastAsia="宋体"/>
        <w:b w:val="0"/>
        <w:i w:val="0"/>
        <w:sz w:val="21"/>
      </w:rPr>
    </w:lvl>
    <w:lvl w:ilvl="3" w:tentative="0">
      <w:start w:val="1"/>
      <w:numFmt w:val="decimal"/>
      <w:suff w:val="space"/>
      <w:lvlText w:val="%1.%2.%3.%4"/>
      <w:lvlJc w:val="left"/>
      <w:pPr>
        <w:ind w:left="0" w:firstLine="0"/>
      </w:pPr>
      <w:rPr>
        <w:rFonts w:hint="default" w:ascii="Times New Roman" w:hAnsi="Times New Roman" w:eastAsia="宋体"/>
        <w:b w:val="0"/>
        <w:i w:val="0"/>
        <w:color w:val="auto"/>
        <w:sz w:val="21"/>
      </w:rPr>
    </w:lvl>
    <w:lvl w:ilvl="4" w:tentative="0">
      <w:start w:val="1"/>
      <w:numFmt w:val="none"/>
      <w:lvlText w:val="1）"/>
      <w:lvlJc w:val="left"/>
      <w:pPr>
        <w:ind w:left="0" w:hanging="327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3410CB0"/>
    <w:multiLevelType w:val="singleLevel"/>
    <w:tmpl w:val="13410CB0"/>
    <w:lvl w:ilvl="0" w:tentative="0">
      <w:start w:val="1"/>
      <w:numFmt w:val="decimal"/>
      <w:suff w:val="nothing"/>
      <w:lvlText w:val="（%1）"/>
      <w:lvlJc w:val="left"/>
      <w:pPr>
        <w:ind w:left="0" w:firstLine="397"/>
      </w:pPr>
      <w:rPr>
        <w:rFonts w:hint="default" w:ascii="Times New Roman" w:hAnsi="Times New Roman" w:eastAsia="Times New Roman" w:cs="Times New Roman"/>
        <w:sz w:val="21"/>
        <w:szCs w:val="21"/>
      </w:rPr>
    </w:lvl>
  </w:abstractNum>
  <w:abstractNum w:abstractNumId="6">
    <w:nsid w:val="1764C26E"/>
    <w:multiLevelType w:val="singleLevel"/>
    <w:tmpl w:val="1764C26E"/>
    <w:lvl w:ilvl="0" w:tentative="0">
      <w:start w:val="2"/>
      <w:numFmt w:val="chineseCounting"/>
      <w:suff w:val="nothing"/>
      <w:lvlText w:val="%1、"/>
      <w:lvlJc w:val="left"/>
      <w:rPr>
        <w:rFonts w:hint="eastAsia"/>
      </w:rPr>
    </w:lvl>
  </w:abstractNum>
  <w:abstractNum w:abstractNumId="7">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8">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49F74204"/>
    <w:multiLevelType w:val="singleLevel"/>
    <w:tmpl w:val="49F74204"/>
    <w:lvl w:ilvl="0" w:tentative="0">
      <w:start w:val="1"/>
      <w:numFmt w:val="decimal"/>
      <w:suff w:val="nothing"/>
      <w:lvlText w:val="（%1）"/>
      <w:lvlJc w:val="left"/>
      <w:pPr>
        <w:ind w:left="0" w:firstLine="397"/>
      </w:pPr>
      <w:rPr>
        <w:rFonts w:hint="default" w:eastAsia="Times New Roman"/>
        <w:sz w:val="21"/>
        <w:szCs w:val="21"/>
      </w:rPr>
    </w:lvl>
  </w:abstractNum>
  <w:abstractNum w:abstractNumId="14">
    <w:nsid w:val="4BFE1D08"/>
    <w:multiLevelType w:val="singleLevel"/>
    <w:tmpl w:val="4BFE1D08"/>
    <w:lvl w:ilvl="0" w:tentative="0">
      <w:start w:val="6"/>
      <w:numFmt w:val="chineseCounting"/>
      <w:suff w:val="nothing"/>
      <w:lvlText w:val="%1、"/>
      <w:lvlJc w:val="left"/>
      <w:rPr>
        <w:rFonts w:hint="eastAsia"/>
      </w:rPr>
    </w:lvl>
  </w:abstractNum>
  <w:abstractNum w:abstractNumId="15">
    <w:nsid w:val="585F20B9"/>
    <w:multiLevelType w:val="singleLevel"/>
    <w:tmpl w:val="585F20B9"/>
    <w:lvl w:ilvl="0" w:tentative="0">
      <w:start w:val="1"/>
      <w:numFmt w:val="decimal"/>
      <w:suff w:val="nothing"/>
      <w:lvlText w:val="（%1）"/>
      <w:lvlJc w:val="left"/>
      <w:pPr>
        <w:ind w:left="0" w:firstLine="397"/>
      </w:pPr>
      <w:rPr>
        <w:rFonts w:hint="default" w:eastAsia="Times New Roman"/>
        <w:color w:val="auto"/>
        <w:sz w:val="21"/>
        <w:szCs w:val="21"/>
      </w:rPr>
    </w:lvl>
  </w:abstractNum>
  <w:abstractNum w:abstractNumId="16">
    <w:nsid w:val="66D0C2E8"/>
    <w:multiLevelType w:val="singleLevel"/>
    <w:tmpl w:val="66D0C2E8"/>
    <w:lvl w:ilvl="0" w:tentative="0">
      <w:start w:val="1"/>
      <w:numFmt w:val="decimal"/>
      <w:suff w:val="nothing"/>
      <w:lvlText w:val="（%1）"/>
      <w:lvlJc w:val="left"/>
      <w:rPr>
        <w:rFonts w:hint="default" w:eastAsia="Times New Roman"/>
        <w:sz w:val="21"/>
        <w:szCs w:val="21"/>
      </w:rPr>
    </w:lvl>
  </w:abstractNum>
  <w:num w:numId="1">
    <w:abstractNumId w:val="2"/>
  </w:num>
  <w:num w:numId="2">
    <w:abstractNumId w:val="10"/>
  </w:num>
  <w:num w:numId="3">
    <w:abstractNumId w:val="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3"/>
  </w:num>
  <w:num w:numId="9">
    <w:abstractNumId w:val="14"/>
  </w:num>
  <w:num w:numId="10">
    <w:abstractNumId w:val="11"/>
  </w:num>
  <w:num w:numId="11">
    <w:abstractNumId w:val="0"/>
  </w:num>
  <w:num w:numId="12">
    <w:abstractNumId w:val="7"/>
  </w:num>
  <w:num w:numId="13">
    <w:abstractNumId w:val="4"/>
  </w:num>
  <w:num w:numId="14">
    <w:abstractNumId w:val="5"/>
  </w:num>
  <w:num w:numId="15">
    <w:abstractNumId w:val="13"/>
  </w:num>
  <w:num w:numId="16">
    <w:abstractNumId w:val="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1ZDEyNjM4Y2UxOGYyMWI0NTdkMzUyNGI4MjMxYTMifQ=="/>
    <w:docVar w:name="KSO_WPS_MARK_KEY" w:val="b0dd3264-bdda-4507-9836-6616d6c2b57f"/>
  </w:docVars>
  <w:rsids>
    <w:rsidRoot w:val="00172A27"/>
    <w:rsid w:val="000000F2"/>
    <w:rsid w:val="00000139"/>
    <w:rsid w:val="000045EA"/>
    <w:rsid w:val="00007C3F"/>
    <w:rsid w:val="000143B4"/>
    <w:rsid w:val="00015B06"/>
    <w:rsid w:val="00022F88"/>
    <w:rsid w:val="00030F30"/>
    <w:rsid w:val="00034829"/>
    <w:rsid w:val="000437E6"/>
    <w:rsid w:val="00043E88"/>
    <w:rsid w:val="00050898"/>
    <w:rsid w:val="0005200D"/>
    <w:rsid w:val="000522E5"/>
    <w:rsid w:val="00052A18"/>
    <w:rsid w:val="00070470"/>
    <w:rsid w:val="00074337"/>
    <w:rsid w:val="00081A9B"/>
    <w:rsid w:val="0008222E"/>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D6403"/>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670"/>
    <w:rsid w:val="001445DC"/>
    <w:rsid w:val="001520D4"/>
    <w:rsid w:val="0015296D"/>
    <w:rsid w:val="00155FD4"/>
    <w:rsid w:val="0017175E"/>
    <w:rsid w:val="00180594"/>
    <w:rsid w:val="00183519"/>
    <w:rsid w:val="00186A28"/>
    <w:rsid w:val="001A37D3"/>
    <w:rsid w:val="001A3FCA"/>
    <w:rsid w:val="001B0893"/>
    <w:rsid w:val="001C0C50"/>
    <w:rsid w:val="001E0151"/>
    <w:rsid w:val="001E0D82"/>
    <w:rsid w:val="001E0D93"/>
    <w:rsid w:val="001E5985"/>
    <w:rsid w:val="001E5F4A"/>
    <w:rsid w:val="002030F5"/>
    <w:rsid w:val="002041A6"/>
    <w:rsid w:val="00206D2E"/>
    <w:rsid w:val="00210D44"/>
    <w:rsid w:val="00212AF9"/>
    <w:rsid w:val="00226768"/>
    <w:rsid w:val="00226771"/>
    <w:rsid w:val="00226B2E"/>
    <w:rsid w:val="00226D0E"/>
    <w:rsid w:val="00237A98"/>
    <w:rsid w:val="0024287B"/>
    <w:rsid w:val="002441F7"/>
    <w:rsid w:val="0024741B"/>
    <w:rsid w:val="00261C93"/>
    <w:rsid w:val="00265564"/>
    <w:rsid w:val="00272F80"/>
    <w:rsid w:val="0027764C"/>
    <w:rsid w:val="00281893"/>
    <w:rsid w:val="0028366D"/>
    <w:rsid w:val="00296707"/>
    <w:rsid w:val="002A098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50AC"/>
    <w:rsid w:val="003568E4"/>
    <w:rsid w:val="00361313"/>
    <w:rsid w:val="0036732D"/>
    <w:rsid w:val="003706A5"/>
    <w:rsid w:val="003712A4"/>
    <w:rsid w:val="00383573"/>
    <w:rsid w:val="00393EBC"/>
    <w:rsid w:val="00394D2C"/>
    <w:rsid w:val="00395A23"/>
    <w:rsid w:val="003976F0"/>
    <w:rsid w:val="003A0C71"/>
    <w:rsid w:val="003A170B"/>
    <w:rsid w:val="003A286A"/>
    <w:rsid w:val="003A7F1A"/>
    <w:rsid w:val="003B097F"/>
    <w:rsid w:val="003B2656"/>
    <w:rsid w:val="003B3099"/>
    <w:rsid w:val="003B43D3"/>
    <w:rsid w:val="003B6BE9"/>
    <w:rsid w:val="003C312A"/>
    <w:rsid w:val="003C4653"/>
    <w:rsid w:val="003D0404"/>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40DD"/>
    <w:rsid w:val="00505261"/>
    <w:rsid w:val="00510E4D"/>
    <w:rsid w:val="00512701"/>
    <w:rsid w:val="00512A45"/>
    <w:rsid w:val="0052634A"/>
    <w:rsid w:val="00532363"/>
    <w:rsid w:val="00537390"/>
    <w:rsid w:val="00541401"/>
    <w:rsid w:val="005418DB"/>
    <w:rsid w:val="0054269C"/>
    <w:rsid w:val="005448AD"/>
    <w:rsid w:val="00545844"/>
    <w:rsid w:val="00560A31"/>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29CB"/>
    <w:rsid w:val="005C5B0E"/>
    <w:rsid w:val="005D0BB2"/>
    <w:rsid w:val="005D30DE"/>
    <w:rsid w:val="005E5912"/>
    <w:rsid w:val="005F2A05"/>
    <w:rsid w:val="005F2C46"/>
    <w:rsid w:val="005F481F"/>
    <w:rsid w:val="005F5B89"/>
    <w:rsid w:val="00606397"/>
    <w:rsid w:val="006173A4"/>
    <w:rsid w:val="00622520"/>
    <w:rsid w:val="006279E7"/>
    <w:rsid w:val="00634596"/>
    <w:rsid w:val="006425FA"/>
    <w:rsid w:val="00642B95"/>
    <w:rsid w:val="00647559"/>
    <w:rsid w:val="006523EB"/>
    <w:rsid w:val="00653C14"/>
    <w:rsid w:val="0065460D"/>
    <w:rsid w:val="0066001D"/>
    <w:rsid w:val="00661709"/>
    <w:rsid w:val="006679DC"/>
    <w:rsid w:val="00670400"/>
    <w:rsid w:val="006724B7"/>
    <w:rsid w:val="00672F69"/>
    <w:rsid w:val="00677925"/>
    <w:rsid w:val="00677A8A"/>
    <w:rsid w:val="00681391"/>
    <w:rsid w:val="006922EC"/>
    <w:rsid w:val="00692666"/>
    <w:rsid w:val="00695EDE"/>
    <w:rsid w:val="006A23E9"/>
    <w:rsid w:val="006A2F07"/>
    <w:rsid w:val="006A4D72"/>
    <w:rsid w:val="006A543A"/>
    <w:rsid w:val="006B46DE"/>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73916"/>
    <w:rsid w:val="00785F88"/>
    <w:rsid w:val="00786B37"/>
    <w:rsid w:val="00792362"/>
    <w:rsid w:val="007A04DC"/>
    <w:rsid w:val="007A287A"/>
    <w:rsid w:val="007A2EB0"/>
    <w:rsid w:val="007A51B4"/>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053A"/>
    <w:rsid w:val="0083668C"/>
    <w:rsid w:val="00840E0D"/>
    <w:rsid w:val="008461E9"/>
    <w:rsid w:val="008475AA"/>
    <w:rsid w:val="00856873"/>
    <w:rsid w:val="00860F02"/>
    <w:rsid w:val="00861912"/>
    <w:rsid w:val="008657A4"/>
    <w:rsid w:val="0086730C"/>
    <w:rsid w:val="0088026D"/>
    <w:rsid w:val="00881EB7"/>
    <w:rsid w:val="008821BC"/>
    <w:rsid w:val="00884884"/>
    <w:rsid w:val="0088570D"/>
    <w:rsid w:val="00887902"/>
    <w:rsid w:val="00891420"/>
    <w:rsid w:val="00895FBB"/>
    <w:rsid w:val="008A0C18"/>
    <w:rsid w:val="008A1E1B"/>
    <w:rsid w:val="008B0302"/>
    <w:rsid w:val="008B224C"/>
    <w:rsid w:val="008B73C2"/>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50EE"/>
    <w:rsid w:val="00956B31"/>
    <w:rsid w:val="00956FA8"/>
    <w:rsid w:val="00957AA0"/>
    <w:rsid w:val="009604CB"/>
    <w:rsid w:val="00961F4A"/>
    <w:rsid w:val="00965538"/>
    <w:rsid w:val="0097464F"/>
    <w:rsid w:val="00984BFB"/>
    <w:rsid w:val="00991B49"/>
    <w:rsid w:val="00995A55"/>
    <w:rsid w:val="009A7B76"/>
    <w:rsid w:val="009B0988"/>
    <w:rsid w:val="009B61ED"/>
    <w:rsid w:val="009C5DF4"/>
    <w:rsid w:val="009D3453"/>
    <w:rsid w:val="009E1329"/>
    <w:rsid w:val="009E28E5"/>
    <w:rsid w:val="009E4CE3"/>
    <w:rsid w:val="009F214A"/>
    <w:rsid w:val="009F374F"/>
    <w:rsid w:val="009F588C"/>
    <w:rsid w:val="00A02C14"/>
    <w:rsid w:val="00A03373"/>
    <w:rsid w:val="00A04FA9"/>
    <w:rsid w:val="00A05ECF"/>
    <w:rsid w:val="00A11C51"/>
    <w:rsid w:val="00A1337E"/>
    <w:rsid w:val="00A249A4"/>
    <w:rsid w:val="00A2528E"/>
    <w:rsid w:val="00A34C49"/>
    <w:rsid w:val="00A461C1"/>
    <w:rsid w:val="00A54F86"/>
    <w:rsid w:val="00A63392"/>
    <w:rsid w:val="00A64309"/>
    <w:rsid w:val="00A722C5"/>
    <w:rsid w:val="00A754B0"/>
    <w:rsid w:val="00A859DC"/>
    <w:rsid w:val="00A872DA"/>
    <w:rsid w:val="00A9122E"/>
    <w:rsid w:val="00A91F36"/>
    <w:rsid w:val="00A93A7F"/>
    <w:rsid w:val="00AA0FB3"/>
    <w:rsid w:val="00AB688B"/>
    <w:rsid w:val="00AB6B27"/>
    <w:rsid w:val="00AD6B25"/>
    <w:rsid w:val="00AD6ED0"/>
    <w:rsid w:val="00AE2C17"/>
    <w:rsid w:val="00AE5333"/>
    <w:rsid w:val="00AE6F3C"/>
    <w:rsid w:val="00AF196A"/>
    <w:rsid w:val="00AF54E1"/>
    <w:rsid w:val="00B04E81"/>
    <w:rsid w:val="00B14E6B"/>
    <w:rsid w:val="00B16089"/>
    <w:rsid w:val="00B23000"/>
    <w:rsid w:val="00B266B6"/>
    <w:rsid w:val="00B31CA2"/>
    <w:rsid w:val="00B44CE3"/>
    <w:rsid w:val="00B457D5"/>
    <w:rsid w:val="00B47764"/>
    <w:rsid w:val="00B4784E"/>
    <w:rsid w:val="00B52D63"/>
    <w:rsid w:val="00B62476"/>
    <w:rsid w:val="00B80D2F"/>
    <w:rsid w:val="00B82E58"/>
    <w:rsid w:val="00B863CD"/>
    <w:rsid w:val="00B87A8B"/>
    <w:rsid w:val="00B90EB4"/>
    <w:rsid w:val="00B97802"/>
    <w:rsid w:val="00BA0E5D"/>
    <w:rsid w:val="00BA3124"/>
    <w:rsid w:val="00BA37AA"/>
    <w:rsid w:val="00BA55B3"/>
    <w:rsid w:val="00BB2B84"/>
    <w:rsid w:val="00BB5E15"/>
    <w:rsid w:val="00BD389A"/>
    <w:rsid w:val="00BE2F9C"/>
    <w:rsid w:val="00BE3C13"/>
    <w:rsid w:val="00BF3812"/>
    <w:rsid w:val="00BF4099"/>
    <w:rsid w:val="00C07A4F"/>
    <w:rsid w:val="00C07AF6"/>
    <w:rsid w:val="00C13489"/>
    <w:rsid w:val="00C244BA"/>
    <w:rsid w:val="00C254EC"/>
    <w:rsid w:val="00C25AD7"/>
    <w:rsid w:val="00C27155"/>
    <w:rsid w:val="00C31620"/>
    <w:rsid w:val="00C3605A"/>
    <w:rsid w:val="00C4070E"/>
    <w:rsid w:val="00C46538"/>
    <w:rsid w:val="00C46568"/>
    <w:rsid w:val="00C4748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8A6"/>
    <w:rsid w:val="00CA4DB7"/>
    <w:rsid w:val="00CA4EDA"/>
    <w:rsid w:val="00CA6CAC"/>
    <w:rsid w:val="00CB3033"/>
    <w:rsid w:val="00CB3C9F"/>
    <w:rsid w:val="00CB5F47"/>
    <w:rsid w:val="00CB77BE"/>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15FFE"/>
    <w:rsid w:val="00D21E36"/>
    <w:rsid w:val="00D2321E"/>
    <w:rsid w:val="00D23492"/>
    <w:rsid w:val="00D263E3"/>
    <w:rsid w:val="00D26520"/>
    <w:rsid w:val="00D277F8"/>
    <w:rsid w:val="00D300DD"/>
    <w:rsid w:val="00D44F13"/>
    <w:rsid w:val="00D479CD"/>
    <w:rsid w:val="00D728AB"/>
    <w:rsid w:val="00D74E9C"/>
    <w:rsid w:val="00D829D0"/>
    <w:rsid w:val="00D841A1"/>
    <w:rsid w:val="00D84F11"/>
    <w:rsid w:val="00D92C17"/>
    <w:rsid w:val="00D930BB"/>
    <w:rsid w:val="00D932AD"/>
    <w:rsid w:val="00D93779"/>
    <w:rsid w:val="00D95A48"/>
    <w:rsid w:val="00D95A4C"/>
    <w:rsid w:val="00DB181C"/>
    <w:rsid w:val="00DE249D"/>
    <w:rsid w:val="00DE5743"/>
    <w:rsid w:val="00DE77B9"/>
    <w:rsid w:val="00DF326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1A2E"/>
    <w:rsid w:val="00E653F5"/>
    <w:rsid w:val="00E72F1F"/>
    <w:rsid w:val="00E763ED"/>
    <w:rsid w:val="00E7730D"/>
    <w:rsid w:val="00E86025"/>
    <w:rsid w:val="00E8709E"/>
    <w:rsid w:val="00E93BCC"/>
    <w:rsid w:val="00E9439E"/>
    <w:rsid w:val="00E96E54"/>
    <w:rsid w:val="00EA11E5"/>
    <w:rsid w:val="00EA1ED7"/>
    <w:rsid w:val="00EA5C66"/>
    <w:rsid w:val="00EB0C24"/>
    <w:rsid w:val="00EB1FD4"/>
    <w:rsid w:val="00EC2D7B"/>
    <w:rsid w:val="00EC7653"/>
    <w:rsid w:val="00ED5241"/>
    <w:rsid w:val="00ED64CD"/>
    <w:rsid w:val="00ED7DBB"/>
    <w:rsid w:val="00EE5896"/>
    <w:rsid w:val="00EE6E83"/>
    <w:rsid w:val="00EF0A67"/>
    <w:rsid w:val="00EF1B09"/>
    <w:rsid w:val="00EF20F4"/>
    <w:rsid w:val="00EF2D43"/>
    <w:rsid w:val="00EF2D68"/>
    <w:rsid w:val="00EF5BD9"/>
    <w:rsid w:val="00EF6456"/>
    <w:rsid w:val="00F06631"/>
    <w:rsid w:val="00F115E5"/>
    <w:rsid w:val="00F121C0"/>
    <w:rsid w:val="00F1492D"/>
    <w:rsid w:val="00F2140E"/>
    <w:rsid w:val="00F27441"/>
    <w:rsid w:val="00F275D0"/>
    <w:rsid w:val="00F331FE"/>
    <w:rsid w:val="00F344D6"/>
    <w:rsid w:val="00F35244"/>
    <w:rsid w:val="00F37250"/>
    <w:rsid w:val="00F3752A"/>
    <w:rsid w:val="00F40FBF"/>
    <w:rsid w:val="00F41ABA"/>
    <w:rsid w:val="00F43D41"/>
    <w:rsid w:val="00F502E0"/>
    <w:rsid w:val="00F52871"/>
    <w:rsid w:val="00F52F5A"/>
    <w:rsid w:val="00F56501"/>
    <w:rsid w:val="00F603CC"/>
    <w:rsid w:val="00F72CA9"/>
    <w:rsid w:val="00F74EBD"/>
    <w:rsid w:val="00F82ADB"/>
    <w:rsid w:val="00F831B3"/>
    <w:rsid w:val="00F838F2"/>
    <w:rsid w:val="00F86B8B"/>
    <w:rsid w:val="00F8733F"/>
    <w:rsid w:val="00F9257D"/>
    <w:rsid w:val="00F94057"/>
    <w:rsid w:val="00FB3AAB"/>
    <w:rsid w:val="00FC02B4"/>
    <w:rsid w:val="00FD1370"/>
    <w:rsid w:val="00FD2133"/>
    <w:rsid w:val="00FD4263"/>
    <w:rsid w:val="00FD5F55"/>
    <w:rsid w:val="00FE3364"/>
    <w:rsid w:val="00FE6711"/>
    <w:rsid w:val="00FF2D5E"/>
    <w:rsid w:val="00FF3FB5"/>
    <w:rsid w:val="00FF5A2F"/>
    <w:rsid w:val="01064C9A"/>
    <w:rsid w:val="01066A48"/>
    <w:rsid w:val="01173C22"/>
    <w:rsid w:val="0125247F"/>
    <w:rsid w:val="012810B4"/>
    <w:rsid w:val="01406D18"/>
    <w:rsid w:val="014A102B"/>
    <w:rsid w:val="014F219D"/>
    <w:rsid w:val="014F4893"/>
    <w:rsid w:val="015B6D94"/>
    <w:rsid w:val="01687703"/>
    <w:rsid w:val="01714809"/>
    <w:rsid w:val="0172145C"/>
    <w:rsid w:val="017755D8"/>
    <w:rsid w:val="01852063"/>
    <w:rsid w:val="01A26771"/>
    <w:rsid w:val="01A42093"/>
    <w:rsid w:val="01A544B3"/>
    <w:rsid w:val="01AE77C6"/>
    <w:rsid w:val="01AF0E8E"/>
    <w:rsid w:val="01C42B8B"/>
    <w:rsid w:val="01D37CDA"/>
    <w:rsid w:val="01D46B46"/>
    <w:rsid w:val="01D6678E"/>
    <w:rsid w:val="01D84888"/>
    <w:rsid w:val="01DB6127"/>
    <w:rsid w:val="01E1503A"/>
    <w:rsid w:val="01FC2DC5"/>
    <w:rsid w:val="01FF1E15"/>
    <w:rsid w:val="021138F7"/>
    <w:rsid w:val="02160F0D"/>
    <w:rsid w:val="0224362A"/>
    <w:rsid w:val="02296E92"/>
    <w:rsid w:val="02331ABF"/>
    <w:rsid w:val="023A2E4D"/>
    <w:rsid w:val="023C6C56"/>
    <w:rsid w:val="024E4B4B"/>
    <w:rsid w:val="025D71C4"/>
    <w:rsid w:val="0273010D"/>
    <w:rsid w:val="02900CBF"/>
    <w:rsid w:val="02902A6D"/>
    <w:rsid w:val="02AE1145"/>
    <w:rsid w:val="02BA3F8E"/>
    <w:rsid w:val="02D037B2"/>
    <w:rsid w:val="02DA018C"/>
    <w:rsid w:val="02DE0E3A"/>
    <w:rsid w:val="02DE23BD"/>
    <w:rsid w:val="02DE7C7D"/>
    <w:rsid w:val="02EB239A"/>
    <w:rsid w:val="02FA53AB"/>
    <w:rsid w:val="02FC6355"/>
    <w:rsid w:val="03231B33"/>
    <w:rsid w:val="03300892"/>
    <w:rsid w:val="033D2C87"/>
    <w:rsid w:val="035A410F"/>
    <w:rsid w:val="035C615D"/>
    <w:rsid w:val="03746F52"/>
    <w:rsid w:val="039008C8"/>
    <w:rsid w:val="039B5B6E"/>
    <w:rsid w:val="039B6D12"/>
    <w:rsid w:val="03AF1619"/>
    <w:rsid w:val="03B1713F"/>
    <w:rsid w:val="03B976C1"/>
    <w:rsid w:val="03C076C5"/>
    <w:rsid w:val="03D80B70"/>
    <w:rsid w:val="03E03B25"/>
    <w:rsid w:val="03E07A24"/>
    <w:rsid w:val="03E351F2"/>
    <w:rsid w:val="03EC63C9"/>
    <w:rsid w:val="04151ED5"/>
    <w:rsid w:val="041F054D"/>
    <w:rsid w:val="04216430"/>
    <w:rsid w:val="04267AC4"/>
    <w:rsid w:val="042911B0"/>
    <w:rsid w:val="042E0DB9"/>
    <w:rsid w:val="04387860"/>
    <w:rsid w:val="043D3CA4"/>
    <w:rsid w:val="044572F1"/>
    <w:rsid w:val="044C6E68"/>
    <w:rsid w:val="045C354F"/>
    <w:rsid w:val="045D72C7"/>
    <w:rsid w:val="04626190"/>
    <w:rsid w:val="04675A50"/>
    <w:rsid w:val="047365C9"/>
    <w:rsid w:val="048605CC"/>
    <w:rsid w:val="048E122E"/>
    <w:rsid w:val="04912ACD"/>
    <w:rsid w:val="049820AD"/>
    <w:rsid w:val="04A647CA"/>
    <w:rsid w:val="04AB4D26"/>
    <w:rsid w:val="04B216B8"/>
    <w:rsid w:val="04BD1B14"/>
    <w:rsid w:val="04CD664A"/>
    <w:rsid w:val="04F02772"/>
    <w:rsid w:val="04F80D9E"/>
    <w:rsid w:val="04FA4B16"/>
    <w:rsid w:val="05151950"/>
    <w:rsid w:val="05157BA2"/>
    <w:rsid w:val="051A51B8"/>
    <w:rsid w:val="051F1588"/>
    <w:rsid w:val="05257DE5"/>
    <w:rsid w:val="05474323"/>
    <w:rsid w:val="054F4E62"/>
    <w:rsid w:val="055A7363"/>
    <w:rsid w:val="055C132D"/>
    <w:rsid w:val="055C30DB"/>
    <w:rsid w:val="05663F59"/>
    <w:rsid w:val="0578316B"/>
    <w:rsid w:val="05790131"/>
    <w:rsid w:val="057E5747"/>
    <w:rsid w:val="058332A7"/>
    <w:rsid w:val="05997E8B"/>
    <w:rsid w:val="05A536B6"/>
    <w:rsid w:val="05B97A64"/>
    <w:rsid w:val="05DB51F8"/>
    <w:rsid w:val="05E714FD"/>
    <w:rsid w:val="05ED6429"/>
    <w:rsid w:val="05EF03F3"/>
    <w:rsid w:val="05F17CC7"/>
    <w:rsid w:val="05F318E7"/>
    <w:rsid w:val="05F92040"/>
    <w:rsid w:val="06020126"/>
    <w:rsid w:val="060A6FDB"/>
    <w:rsid w:val="060B3185"/>
    <w:rsid w:val="06110369"/>
    <w:rsid w:val="06162D6B"/>
    <w:rsid w:val="061E65E2"/>
    <w:rsid w:val="06253E14"/>
    <w:rsid w:val="062F07EF"/>
    <w:rsid w:val="063D115E"/>
    <w:rsid w:val="063E0A32"/>
    <w:rsid w:val="063F6470"/>
    <w:rsid w:val="063F6C84"/>
    <w:rsid w:val="0644429B"/>
    <w:rsid w:val="06540256"/>
    <w:rsid w:val="067032E2"/>
    <w:rsid w:val="068F2DD8"/>
    <w:rsid w:val="069A357E"/>
    <w:rsid w:val="06A05249"/>
    <w:rsid w:val="06B17456"/>
    <w:rsid w:val="06BF7DC5"/>
    <w:rsid w:val="06E46DD6"/>
    <w:rsid w:val="06E56575"/>
    <w:rsid w:val="06E710CA"/>
    <w:rsid w:val="06F85085"/>
    <w:rsid w:val="07091040"/>
    <w:rsid w:val="070F2FFA"/>
    <w:rsid w:val="07100621"/>
    <w:rsid w:val="07131EBF"/>
    <w:rsid w:val="07150B7E"/>
    <w:rsid w:val="07246CC9"/>
    <w:rsid w:val="072D11D3"/>
    <w:rsid w:val="075054C2"/>
    <w:rsid w:val="075A7AEE"/>
    <w:rsid w:val="075F5104"/>
    <w:rsid w:val="07673DCC"/>
    <w:rsid w:val="07723089"/>
    <w:rsid w:val="07740BAF"/>
    <w:rsid w:val="07754928"/>
    <w:rsid w:val="078A03D3"/>
    <w:rsid w:val="07926C71"/>
    <w:rsid w:val="0797489E"/>
    <w:rsid w:val="07B90CB8"/>
    <w:rsid w:val="07BB67DE"/>
    <w:rsid w:val="07BF65A4"/>
    <w:rsid w:val="07C82CA9"/>
    <w:rsid w:val="07CB4548"/>
    <w:rsid w:val="07ED1622"/>
    <w:rsid w:val="07ED2710"/>
    <w:rsid w:val="07F12200"/>
    <w:rsid w:val="07F879D8"/>
    <w:rsid w:val="08002443"/>
    <w:rsid w:val="08057A5A"/>
    <w:rsid w:val="080A1514"/>
    <w:rsid w:val="08123BF9"/>
    <w:rsid w:val="08234384"/>
    <w:rsid w:val="082A66E0"/>
    <w:rsid w:val="08320A23"/>
    <w:rsid w:val="08346591"/>
    <w:rsid w:val="083A716B"/>
    <w:rsid w:val="08404F36"/>
    <w:rsid w:val="084263AD"/>
    <w:rsid w:val="08454A79"/>
    <w:rsid w:val="087441AC"/>
    <w:rsid w:val="08850B9A"/>
    <w:rsid w:val="08856DEC"/>
    <w:rsid w:val="088C6F74"/>
    <w:rsid w:val="088F7BF4"/>
    <w:rsid w:val="08AC4379"/>
    <w:rsid w:val="08B03E69"/>
    <w:rsid w:val="08ED78B4"/>
    <w:rsid w:val="08EE6740"/>
    <w:rsid w:val="09092DE7"/>
    <w:rsid w:val="0913264A"/>
    <w:rsid w:val="09242161"/>
    <w:rsid w:val="093F0D49"/>
    <w:rsid w:val="094E5430"/>
    <w:rsid w:val="0955726C"/>
    <w:rsid w:val="095764B1"/>
    <w:rsid w:val="095E1B17"/>
    <w:rsid w:val="09636A99"/>
    <w:rsid w:val="096B1B3E"/>
    <w:rsid w:val="096E162E"/>
    <w:rsid w:val="09746495"/>
    <w:rsid w:val="097C01EF"/>
    <w:rsid w:val="098B3F8E"/>
    <w:rsid w:val="099C43EE"/>
    <w:rsid w:val="09AF2F54"/>
    <w:rsid w:val="09C53944"/>
    <w:rsid w:val="09CB082F"/>
    <w:rsid w:val="09D42004"/>
    <w:rsid w:val="09D43B87"/>
    <w:rsid w:val="09E33DCA"/>
    <w:rsid w:val="09E35B78"/>
    <w:rsid w:val="09E518F1"/>
    <w:rsid w:val="09E6624A"/>
    <w:rsid w:val="09E76999"/>
    <w:rsid w:val="09E813E1"/>
    <w:rsid w:val="09F2225F"/>
    <w:rsid w:val="09FA1BC9"/>
    <w:rsid w:val="0A00497C"/>
    <w:rsid w:val="0A045B92"/>
    <w:rsid w:val="0A051F93"/>
    <w:rsid w:val="0A1A1292"/>
    <w:rsid w:val="0A28211A"/>
    <w:rsid w:val="0A287A2F"/>
    <w:rsid w:val="0A303524"/>
    <w:rsid w:val="0A3960E0"/>
    <w:rsid w:val="0A3B3C06"/>
    <w:rsid w:val="0A4707FD"/>
    <w:rsid w:val="0A4D56E8"/>
    <w:rsid w:val="0A5F1209"/>
    <w:rsid w:val="0A6273E5"/>
    <w:rsid w:val="0A636CB9"/>
    <w:rsid w:val="0A6A5858"/>
    <w:rsid w:val="0A6C2012"/>
    <w:rsid w:val="0A6C3DC0"/>
    <w:rsid w:val="0A742C74"/>
    <w:rsid w:val="0A7809B7"/>
    <w:rsid w:val="0A825391"/>
    <w:rsid w:val="0A960E3D"/>
    <w:rsid w:val="0A9A3BB0"/>
    <w:rsid w:val="0AB47515"/>
    <w:rsid w:val="0AC15FA3"/>
    <w:rsid w:val="0AC53E28"/>
    <w:rsid w:val="0AFF2E86"/>
    <w:rsid w:val="0B09160F"/>
    <w:rsid w:val="0B0C0DCC"/>
    <w:rsid w:val="0B297F03"/>
    <w:rsid w:val="0B2F28EF"/>
    <w:rsid w:val="0B36617C"/>
    <w:rsid w:val="0B3A2110"/>
    <w:rsid w:val="0B3E0E39"/>
    <w:rsid w:val="0B6B12CC"/>
    <w:rsid w:val="0B7078E0"/>
    <w:rsid w:val="0B7B7B9F"/>
    <w:rsid w:val="0B927856"/>
    <w:rsid w:val="0BA852CC"/>
    <w:rsid w:val="0BAA1044"/>
    <w:rsid w:val="0BAC331A"/>
    <w:rsid w:val="0BAD643E"/>
    <w:rsid w:val="0BAE0408"/>
    <w:rsid w:val="0BB04180"/>
    <w:rsid w:val="0BBA6BAF"/>
    <w:rsid w:val="0BBB6405"/>
    <w:rsid w:val="0BBC2B25"/>
    <w:rsid w:val="0BBD2B5E"/>
    <w:rsid w:val="0BCD6AE0"/>
    <w:rsid w:val="0BD669A1"/>
    <w:rsid w:val="0BE36304"/>
    <w:rsid w:val="0BED7182"/>
    <w:rsid w:val="0BF70001"/>
    <w:rsid w:val="0BF73B5D"/>
    <w:rsid w:val="0C107DAF"/>
    <w:rsid w:val="0C142961"/>
    <w:rsid w:val="0C1D4E18"/>
    <w:rsid w:val="0C22507E"/>
    <w:rsid w:val="0C267346"/>
    <w:rsid w:val="0C2A5CE1"/>
    <w:rsid w:val="0C343AC7"/>
    <w:rsid w:val="0C360B29"/>
    <w:rsid w:val="0C3E353A"/>
    <w:rsid w:val="0C3E79DE"/>
    <w:rsid w:val="0C41127C"/>
    <w:rsid w:val="0C4F1BEB"/>
    <w:rsid w:val="0C600A8A"/>
    <w:rsid w:val="0C6D2071"/>
    <w:rsid w:val="0C7B653C"/>
    <w:rsid w:val="0C7C4062"/>
    <w:rsid w:val="0C8573BB"/>
    <w:rsid w:val="0C970E9C"/>
    <w:rsid w:val="0CA27F6D"/>
    <w:rsid w:val="0CB90E13"/>
    <w:rsid w:val="0CBB102F"/>
    <w:rsid w:val="0CD87091"/>
    <w:rsid w:val="0CE75980"/>
    <w:rsid w:val="0CEB6DF6"/>
    <w:rsid w:val="0CEF09E8"/>
    <w:rsid w:val="0CF87285"/>
    <w:rsid w:val="0D0B29C5"/>
    <w:rsid w:val="0D0F4ED6"/>
    <w:rsid w:val="0D1E1392"/>
    <w:rsid w:val="0D3112F1"/>
    <w:rsid w:val="0D4032E2"/>
    <w:rsid w:val="0D430412"/>
    <w:rsid w:val="0D447276"/>
    <w:rsid w:val="0D460BF6"/>
    <w:rsid w:val="0D4C52B3"/>
    <w:rsid w:val="0D8458C4"/>
    <w:rsid w:val="0D914DEA"/>
    <w:rsid w:val="0D917025"/>
    <w:rsid w:val="0D965E01"/>
    <w:rsid w:val="0D9755F8"/>
    <w:rsid w:val="0DA11FD2"/>
    <w:rsid w:val="0DAE46EF"/>
    <w:rsid w:val="0DB02216"/>
    <w:rsid w:val="0DC65945"/>
    <w:rsid w:val="0DD405FA"/>
    <w:rsid w:val="0DDA54E4"/>
    <w:rsid w:val="0DE545B5"/>
    <w:rsid w:val="0DE63E89"/>
    <w:rsid w:val="0E060087"/>
    <w:rsid w:val="0E43199A"/>
    <w:rsid w:val="0E492016"/>
    <w:rsid w:val="0E4E1931"/>
    <w:rsid w:val="0E567261"/>
    <w:rsid w:val="0E572FD9"/>
    <w:rsid w:val="0E625C06"/>
    <w:rsid w:val="0E653000"/>
    <w:rsid w:val="0E912047"/>
    <w:rsid w:val="0E9E09DE"/>
    <w:rsid w:val="0EA1103E"/>
    <w:rsid w:val="0EA33B28"/>
    <w:rsid w:val="0EAC0C2F"/>
    <w:rsid w:val="0EAE624A"/>
    <w:rsid w:val="0ECA7307"/>
    <w:rsid w:val="0ED10695"/>
    <w:rsid w:val="0ED63EFE"/>
    <w:rsid w:val="0EE859DF"/>
    <w:rsid w:val="0EF12AE6"/>
    <w:rsid w:val="0EF56D77"/>
    <w:rsid w:val="0F096081"/>
    <w:rsid w:val="0F0F5675"/>
    <w:rsid w:val="0F144A26"/>
    <w:rsid w:val="0F242EBB"/>
    <w:rsid w:val="0F2509E1"/>
    <w:rsid w:val="0F2A5FF8"/>
    <w:rsid w:val="0F3D21CF"/>
    <w:rsid w:val="0F5372FC"/>
    <w:rsid w:val="0F596500"/>
    <w:rsid w:val="0F5F3EF3"/>
    <w:rsid w:val="0F615EBD"/>
    <w:rsid w:val="0F7F6343"/>
    <w:rsid w:val="0F86704A"/>
    <w:rsid w:val="0F925C2F"/>
    <w:rsid w:val="0F9861FB"/>
    <w:rsid w:val="0F987405"/>
    <w:rsid w:val="0F9A6231"/>
    <w:rsid w:val="0FA01802"/>
    <w:rsid w:val="0FB3423F"/>
    <w:rsid w:val="0FB51D65"/>
    <w:rsid w:val="0FBC1346"/>
    <w:rsid w:val="0FCB77DB"/>
    <w:rsid w:val="0FD50659"/>
    <w:rsid w:val="0FD66412"/>
    <w:rsid w:val="0FDE3060"/>
    <w:rsid w:val="0FE22E8A"/>
    <w:rsid w:val="0FE8038D"/>
    <w:rsid w:val="0FF00FEF"/>
    <w:rsid w:val="0FF56606"/>
    <w:rsid w:val="0FFA1E6E"/>
    <w:rsid w:val="10017644"/>
    <w:rsid w:val="10044A9B"/>
    <w:rsid w:val="10233173"/>
    <w:rsid w:val="103A04BC"/>
    <w:rsid w:val="104A6951"/>
    <w:rsid w:val="10635C65"/>
    <w:rsid w:val="10797237"/>
    <w:rsid w:val="108005C5"/>
    <w:rsid w:val="109776BD"/>
    <w:rsid w:val="10AC760C"/>
    <w:rsid w:val="10C36704"/>
    <w:rsid w:val="10D26B5E"/>
    <w:rsid w:val="10E15DD4"/>
    <w:rsid w:val="10E16B8A"/>
    <w:rsid w:val="10E54345"/>
    <w:rsid w:val="10E87F18"/>
    <w:rsid w:val="10EC7A09"/>
    <w:rsid w:val="11064A55"/>
    <w:rsid w:val="110748F4"/>
    <w:rsid w:val="111B02EE"/>
    <w:rsid w:val="11254CC9"/>
    <w:rsid w:val="113969C6"/>
    <w:rsid w:val="114C41A1"/>
    <w:rsid w:val="115A7068"/>
    <w:rsid w:val="115D4462"/>
    <w:rsid w:val="115E01DA"/>
    <w:rsid w:val="116A6B7F"/>
    <w:rsid w:val="116C6D9B"/>
    <w:rsid w:val="116E041E"/>
    <w:rsid w:val="1178239F"/>
    <w:rsid w:val="117A6DE1"/>
    <w:rsid w:val="117F0FBB"/>
    <w:rsid w:val="11991213"/>
    <w:rsid w:val="11AF190D"/>
    <w:rsid w:val="11B161BA"/>
    <w:rsid w:val="11BD735F"/>
    <w:rsid w:val="11D50CC6"/>
    <w:rsid w:val="11D87F8D"/>
    <w:rsid w:val="11DD37F5"/>
    <w:rsid w:val="11F8062F"/>
    <w:rsid w:val="11F84407"/>
    <w:rsid w:val="11FA2C92"/>
    <w:rsid w:val="12064A78"/>
    <w:rsid w:val="120C7C36"/>
    <w:rsid w:val="120D3F11"/>
    <w:rsid w:val="120E39AF"/>
    <w:rsid w:val="12241424"/>
    <w:rsid w:val="12282CC2"/>
    <w:rsid w:val="124D62E4"/>
    <w:rsid w:val="12527D3F"/>
    <w:rsid w:val="1257764D"/>
    <w:rsid w:val="125B4CDA"/>
    <w:rsid w:val="12680E73"/>
    <w:rsid w:val="12686DF7"/>
    <w:rsid w:val="127468C5"/>
    <w:rsid w:val="12774704"/>
    <w:rsid w:val="127777A6"/>
    <w:rsid w:val="127A3113"/>
    <w:rsid w:val="127E158D"/>
    <w:rsid w:val="128123D2"/>
    <w:rsid w:val="1288550F"/>
    <w:rsid w:val="128F5708"/>
    <w:rsid w:val="12951189"/>
    <w:rsid w:val="12A14823"/>
    <w:rsid w:val="12AD2E79"/>
    <w:rsid w:val="12B427A8"/>
    <w:rsid w:val="12D70244"/>
    <w:rsid w:val="12DA1AE3"/>
    <w:rsid w:val="12DE5B33"/>
    <w:rsid w:val="12E017EF"/>
    <w:rsid w:val="12E45CE5"/>
    <w:rsid w:val="13051255"/>
    <w:rsid w:val="130628D8"/>
    <w:rsid w:val="13370CE3"/>
    <w:rsid w:val="133E25B0"/>
    <w:rsid w:val="133E5617"/>
    <w:rsid w:val="13474D18"/>
    <w:rsid w:val="134A0A16"/>
    <w:rsid w:val="135D5275"/>
    <w:rsid w:val="136267C4"/>
    <w:rsid w:val="13637D2A"/>
    <w:rsid w:val="136E2957"/>
    <w:rsid w:val="136F09AA"/>
    <w:rsid w:val="13785584"/>
    <w:rsid w:val="13837DFD"/>
    <w:rsid w:val="13AA7707"/>
    <w:rsid w:val="13AC7D2E"/>
    <w:rsid w:val="13B011C1"/>
    <w:rsid w:val="13BD568C"/>
    <w:rsid w:val="13C407C9"/>
    <w:rsid w:val="13D31095"/>
    <w:rsid w:val="13DD7ADC"/>
    <w:rsid w:val="13FA79FF"/>
    <w:rsid w:val="141352AC"/>
    <w:rsid w:val="14182106"/>
    <w:rsid w:val="141879C0"/>
    <w:rsid w:val="141A2ADF"/>
    <w:rsid w:val="14213E6D"/>
    <w:rsid w:val="142F43C4"/>
    <w:rsid w:val="143811B7"/>
    <w:rsid w:val="14446869"/>
    <w:rsid w:val="14451667"/>
    <w:rsid w:val="145539B3"/>
    <w:rsid w:val="14573C1C"/>
    <w:rsid w:val="1457788F"/>
    <w:rsid w:val="14617160"/>
    <w:rsid w:val="146D2C0E"/>
    <w:rsid w:val="147C70C3"/>
    <w:rsid w:val="147D6BCA"/>
    <w:rsid w:val="14860174"/>
    <w:rsid w:val="148B7538"/>
    <w:rsid w:val="14904B4F"/>
    <w:rsid w:val="14A0114E"/>
    <w:rsid w:val="14C36CD2"/>
    <w:rsid w:val="14CE4FD7"/>
    <w:rsid w:val="14F01A71"/>
    <w:rsid w:val="14F41582"/>
    <w:rsid w:val="15155054"/>
    <w:rsid w:val="151B6B0E"/>
    <w:rsid w:val="15336BA3"/>
    <w:rsid w:val="153E45AB"/>
    <w:rsid w:val="153F1CD6"/>
    <w:rsid w:val="1542409B"/>
    <w:rsid w:val="15453B8B"/>
    <w:rsid w:val="154E6DC7"/>
    <w:rsid w:val="156B2323"/>
    <w:rsid w:val="15791A87"/>
    <w:rsid w:val="158A48A3"/>
    <w:rsid w:val="159B3570"/>
    <w:rsid w:val="159B7C4F"/>
    <w:rsid w:val="159F1212"/>
    <w:rsid w:val="15A563D8"/>
    <w:rsid w:val="15A85EC8"/>
    <w:rsid w:val="15B30AF5"/>
    <w:rsid w:val="15C34AB0"/>
    <w:rsid w:val="15D46344"/>
    <w:rsid w:val="15D66ED9"/>
    <w:rsid w:val="15D671A9"/>
    <w:rsid w:val="15EF151B"/>
    <w:rsid w:val="15F35395"/>
    <w:rsid w:val="15F86E50"/>
    <w:rsid w:val="1602382A"/>
    <w:rsid w:val="16135A37"/>
    <w:rsid w:val="161377E5"/>
    <w:rsid w:val="16157A01"/>
    <w:rsid w:val="16175528"/>
    <w:rsid w:val="16210154"/>
    <w:rsid w:val="16214E95"/>
    <w:rsid w:val="16343A97"/>
    <w:rsid w:val="163A2FC4"/>
    <w:rsid w:val="165B2F3A"/>
    <w:rsid w:val="165E2AC2"/>
    <w:rsid w:val="165F1FF7"/>
    <w:rsid w:val="165F6ECF"/>
    <w:rsid w:val="166167A3"/>
    <w:rsid w:val="16702E8A"/>
    <w:rsid w:val="16763C47"/>
    <w:rsid w:val="168E2054"/>
    <w:rsid w:val="16A82624"/>
    <w:rsid w:val="16AA61F6"/>
    <w:rsid w:val="16AD7C3A"/>
    <w:rsid w:val="16BE1E47"/>
    <w:rsid w:val="16CF71BC"/>
    <w:rsid w:val="16D74CB7"/>
    <w:rsid w:val="16E3540A"/>
    <w:rsid w:val="16E6314C"/>
    <w:rsid w:val="16ED0036"/>
    <w:rsid w:val="16F92E7F"/>
    <w:rsid w:val="17017F86"/>
    <w:rsid w:val="170F61FF"/>
    <w:rsid w:val="172F4566"/>
    <w:rsid w:val="17457132"/>
    <w:rsid w:val="17514A69"/>
    <w:rsid w:val="17566045"/>
    <w:rsid w:val="17606B7B"/>
    <w:rsid w:val="176127D3"/>
    <w:rsid w:val="17793FC0"/>
    <w:rsid w:val="177C760C"/>
    <w:rsid w:val="17822E75"/>
    <w:rsid w:val="17A4103D"/>
    <w:rsid w:val="17A438FA"/>
    <w:rsid w:val="17AF353E"/>
    <w:rsid w:val="17B1375A"/>
    <w:rsid w:val="17C92852"/>
    <w:rsid w:val="17CB38E3"/>
    <w:rsid w:val="17DC426C"/>
    <w:rsid w:val="17F01389"/>
    <w:rsid w:val="18075128"/>
    <w:rsid w:val="182C4B8E"/>
    <w:rsid w:val="183121A5"/>
    <w:rsid w:val="18374C5F"/>
    <w:rsid w:val="1838227D"/>
    <w:rsid w:val="18383533"/>
    <w:rsid w:val="18390C53"/>
    <w:rsid w:val="184E2D57"/>
    <w:rsid w:val="184E71FB"/>
    <w:rsid w:val="18544E28"/>
    <w:rsid w:val="18581E27"/>
    <w:rsid w:val="185F6D12"/>
    <w:rsid w:val="186D58D3"/>
    <w:rsid w:val="187C5B16"/>
    <w:rsid w:val="188B3FAB"/>
    <w:rsid w:val="18C63235"/>
    <w:rsid w:val="18CD2A5B"/>
    <w:rsid w:val="18D45952"/>
    <w:rsid w:val="1914553B"/>
    <w:rsid w:val="192835A8"/>
    <w:rsid w:val="192B4E46"/>
    <w:rsid w:val="192F0DDA"/>
    <w:rsid w:val="19314B52"/>
    <w:rsid w:val="194B41B5"/>
    <w:rsid w:val="19595E57"/>
    <w:rsid w:val="196507C7"/>
    <w:rsid w:val="196F567B"/>
    <w:rsid w:val="197B53D3"/>
    <w:rsid w:val="199450E1"/>
    <w:rsid w:val="19A07E7C"/>
    <w:rsid w:val="19A8705E"/>
    <w:rsid w:val="19AB7B3C"/>
    <w:rsid w:val="19B55864"/>
    <w:rsid w:val="19B74155"/>
    <w:rsid w:val="19B80DD0"/>
    <w:rsid w:val="19BB441C"/>
    <w:rsid w:val="19C5529B"/>
    <w:rsid w:val="19DB061A"/>
    <w:rsid w:val="19EC040D"/>
    <w:rsid w:val="19EC0A79"/>
    <w:rsid w:val="19F65454"/>
    <w:rsid w:val="19FB6F0E"/>
    <w:rsid w:val="19FE2B58"/>
    <w:rsid w:val="1A051B3B"/>
    <w:rsid w:val="1A202A12"/>
    <w:rsid w:val="1A352F08"/>
    <w:rsid w:val="1A3A7A37"/>
    <w:rsid w:val="1A3F504D"/>
    <w:rsid w:val="1A444411"/>
    <w:rsid w:val="1A4677ED"/>
    <w:rsid w:val="1A481757"/>
    <w:rsid w:val="1A495ECC"/>
    <w:rsid w:val="1A5A3C35"/>
    <w:rsid w:val="1A607EA5"/>
    <w:rsid w:val="1A626F8D"/>
    <w:rsid w:val="1A642D06"/>
    <w:rsid w:val="1A6BB4AF"/>
    <w:rsid w:val="1A703458"/>
    <w:rsid w:val="1A8213DE"/>
    <w:rsid w:val="1A9D6217"/>
    <w:rsid w:val="1AC612CA"/>
    <w:rsid w:val="1AD11A1D"/>
    <w:rsid w:val="1ADF238C"/>
    <w:rsid w:val="1ADF6A10"/>
    <w:rsid w:val="1B132457"/>
    <w:rsid w:val="1B214753"/>
    <w:rsid w:val="1B2B55D1"/>
    <w:rsid w:val="1B3202CF"/>
    <w:rsid w:val="1B342968"/>
    <w:rsid w:val="1B462551"/>
    <w:rsid w:val="1B5508A0"/>
    <w:rsid w:val="1B5E7755"/>
    <w:rsid w:val="1B662AAD"/>
    <w:rsid w:val="1B7C7BDB"/>
    <w:rsid w:val="1B903686"/>
    <w:rsid w:val="1BA55384"/>
    <w:rsid w:val="1BA64C58"/>
    <w:rsid w:val="1BAA0BEC"/>
    <w:rsid w:val="1BAC6712"/>
    <w:rsid w:val="1BAF28AD"/>
    <w:rsid w:val="1BB92BDD"/>
    <w:rsid w:val="1BC21057"/>
    <w:rsid w:val="1BC300AD"/>
    <w:rsid w:val="1BCF41AF"/>
    <w:rsid w:val="1BD73063"/>
    <w:rsid w:val="1BE51C24"/>
    <w:rsid w:val="1BE539D2"/>
    <w:rsid w:val="1BEB14AC"/>
    <w:rsid w:val="1BF41E67"/>
    <w:rsid w:val="1BF44D9F"/>
    <w:rsid w:val="1C1D0913"/>
    <w:rsid w:val="1C1F5136"/>
    <w:rsid w:val="1C275D99"/>
    <w:rsid w:val="1C2A5889"/>
    <w:rsid w:val="1C2A7637"/>
    <w:rsid w:val="1C310455"/>
    <w:rsid w:val="1C387FA6"/>
    <w:rsid w:val="1C440792"/>
    <w:rsid w:val="1C4701E9"/>
    <w:rsid w:val="1C5F148C"/>
    <w:rsid w:val="1C623275"/>
    <w:rsid w:val="1C6307D1"/>
    <w:rsid w:val="1C65711B"/>
    <w:rsid w:val="1C6653A7"/>
    <w:rsid w:val="1C793CCB"/>
    <w:rsid w:val="1C7A6810"/>
    <w:rsid w:val="1C7D1E5D"/>
    <w:rsid w:val="1C8651B5"/>
    <w:rsid w:val="1C8C6544"/>
    <w:rsid w:val="1C9D42AD"/>
    <w:rsid w:val="1CBB0BC6"/>
    <w:rsid w:val="1CC0259B"/>
    <w:rsid w:val="1CE974F2"/>
    <w:rsid w:val="1CF2284B"/>
    <w:rsid w:val="1CF92C89"/>
    <w:rsid w:val="1D08160B"/>
    <w:rsid w:val="1D0E0D07"/>
    <w:rsid w:val="1D100F23"/>
    <w:rsid w:val="1D1F1166"/>
    <w:rsid w:val="1D2263F3"/>
    <w:rsid w:val="1D4A26C7"/>
    <w:rsid w:val="1D4B3AEC"/>
    <w:rsid w:val="1D65301C"/>
    <w:rsid w:val="1D754282"/>
    <w:rsid w:val="1D7768AC"/>
    <w:rsid w:val="1D801C31"/>
    <w:rsid w:val="1D823FCA"/>
    <w:rsid w:val="1D8316F5"/>
    <w:rsid w:val="1D8E3BF5"/>
    <w:rsid w:val="1D976F4E"/>
    <w:rsid w:val="1D9A259A"/>
    <w:rsid w:val="1D9B4C90"/>
    <w:rsid w:val="1DA84CB7"/>
    <w:rsid w:val="1DB056D7"/>
    <w:rsid w:val="1DB775F0"/>
    <w:rsid w:val="1DC6338F"/>
    <w:rsid w:val="1DDC0E05"/>
    <w:rsid w:val="1DDC7057"/>
    <w:rsid w:val="1E014C22"/>
    <w:rsid w:val="1E0C3498"/>
    <w:rsid w:val="1E0D0FBE"/>
    <w:rsid w:val="1E124827"/>
    <w:rsid w:val="1E256308"/>
    <w:rsid w:val="1E4C3518"/>
    <w:rsid w:val="1E636E30"/>
    <w:rsid w:val="1E707ECB"/>
    <w:rsid w:val="1E710156"/>
    <w:rsid w:val="1E7159F1"/>
    <w:rsid w:val="1E780B2E"/>
    <w:rsid w:val="1E935967"/>
    <w:rsid w:val="1E984D2C"/>
    <w:rsid w:val="1EB853CE"/>
    <w:rsid w:val="1EC71AB5"/>
    <w:rsid w:val="1EDF295B"/>
    <w:rsid w:val="1EF36406"/>
    <w:rsid w:val="1EFF124F"/>
    <w:rsid w:val="1F040613"/>
    <w:rsid w:val="1F095C2A"/>
    <w:rsid w:val="1F0D396C"/>
    <w:rsid w:val="1F15637C"/>
    <w:rsid w:val="1F1D0A50"/>
    <w:rsid w:val="1F2962CC"/>
    <w:rsid w:val="1F2D7B6A"/>
    <w:rsid w:val="1F343953"/>
    <w:rsid w:val="1F384D30"/>
    <w:rsid w:val="1F4D3D68"/>
    <w:rsid w:val="1F59063E"/>
    <w:rsid w:val="1F5C21FD"/>
    <w:rsid w:val="1F833C2E"/>
    <w:rsid w:val="1F841F36"/>
    <w:rsid w:val="1F8E612F"/>
    <w:rsid w:val="1F9A660A"/>
    <w:rsid w:val="1FA15E62"/>
    <w:rsid w:val="1FA357C3"/>
    <w:rsid w:val="1FB05914"/>
    <w:rsid w:val="1FB62CC6"/>
    <w:rsid w:val="1FB8572D"/>
    <w:rsid w:val="1FD71884"/>
    <w:rsid w:val="1FDB0EFC"/>
    <w:rsid w:val="1FE44472"/>
    <w:rsid w:val="1FE508BB"/>
    <w:rsid w:val="1FE60BCB"/>
    <w:rsid w:val="1FED04D2"/>
    <w:rsid w:val="1FF70178"/>
    <w:rsid w:val="1FF82F2B"/>
    <w:rsid w:val="20012282"/>
    <w:rsid w:val="200C02C1"/>
    <w:rsid w:val="200E08F3"/>
    <w:rsid w:val="20112FE8"/>
    <w:rsid w:val="201900EE"/>
    <w:rsid w:val="201C373B"/>
    <w:rsid w:val="20210E4D"/>
    <w:rsid w:val="202E2AB2"/>
    <w:rsid w:val="202F7912"/>
    <w:rsid w:val="20362A4E"/>
    <w:rsid w:val="204C04C4"/>
    <w:rsid w:val="204D7D98"/>
    <w:rsid w:val="20574D48"/>
    <w:rsid w:val="2059498F"/>
    <w:rsid w:val="20735A50"/>
    <w:rsid w:val="207F1B87"/>
    <w:rsid w:val="207F2647"/>
    <w:rsid w:val="208263B2"/>
    <w:rsid w:val="208A2D9A"/>
    <w:rsid w:val="208D5BA9"/>
    <w:rsid w:val="2091237A"/>
    <w:rsid w:val="20927EFF"/>
    <w:rsid w:val="209A3C32"/>
    <w:rsid w:val="20AF4886"/>
    <w:rsid w:val="20B10327"/>
    <w:rsid w:val="20CE712B"/>
    <w:rsid w:val="20D373A8"/>
    <w:rsid w:val="20D71AE6"/>
    <w:rsid w:val="20DE099C"/>
    <w:rsid w:val="20E94389"/>
    <w:rsid w:val="20F14BC7"/>
    <w:rsid w:val="2124555B"/>
    <w:rsid w:val="212A7703"/>
    <w:rsid w:val="213E4AA8"/>
    <w:rsid w:val="21464F13"/>
    <w:rsid w:val="21494A03"/>
    <w:rsid w:val="215238B8"/>
    <w:rsid w:val="2164183D"/>
    <w:rsid w:val="2176689B"/>
    <w:rsid w:val="21834047"/>
    <w:rsid w:val="218551D4"/>
    <w:rsid w:val="21897555"/>
    <w:rsid w:val="21983295"/>
    <w:rsid w:val="219914E7"/>
    <w:rsid w:val="219C2D85"/>
    <w:rsid w:val="219E2400"/>
    <w:rsid w:val="21BA145D"/>
    <w:rsid w:val="21BF6A73"/>
    <w:rsid w:val="21CE72F8"/>
    <w:rsid w:val="21E805E5"/>
    <w:rsid w:val="21F33730"/>
    <w:rsid w:val="21F66939"/>
    <w:rsid w:val="220B3A67"/>
    <w:rsid w:val="22104F6C"/>
    <w:rsid w:val="221D551E"/>
    <w:rsid w:val="222664DB"/>
    <w:rsid w:val="222C7150"/>
    <w:rsid w:val="22421B7E"/>
    <w:rsid w:val="22574EFE"/>
    <w:rsid w:val="226B2757"/>
    <w:rsid w:val="227855A0"/>
    <w:rsid w:val="22791318"/>
    <w:rsid w:val="227D15BA"/>
    <w:rsid w:val="227E2123"/>
    <w:rsid w:val="228757E3"/>
    <w:rsid w:val="2288155B"/>
    <w:rsid w:val="22882045"/>
    <w:rsid w:val="228928AA"/>
    <w:rsid w:val="22916662"/>
    <w:rsid w:val="22993768"/>
    <w:rsid w:val="229D0B61"/>
    <w:rsid w:val="22AC2EE9"/>
    <w:rsid w:val="22C24A6D"/>
    <w:rsid w:val="22C95DFC"/>
    <w:rsid w:val="22CA56D0"/>
    <w:rsid w:val="22CB7A9A"/>
    <w:rsid w:val="22EF5136"/>
    <w:rsid w:val="22F4099F"/>
    <w:rsid w:val="23007E1A"/>
    <w:rsid w:val="23073D8C"/>
    <w:rsid w:val="2309444A"/>
    <w:rsid w:val="230A1F70"/>
    <w:rsid w:val="231828DF"/>
    <w:rsid w:val="23201794"/>
    <w:rsid w:val="23250B58"/>
    <w:rsid w:val="233674CD"/>
    <w:rsid w:val="233C21E3"/>
    <w:rsid w:val="23425BAE"/>
    <w:rsid w:val="234C07DB"/>
    <w:rsid w:val="23515DF1"/>
    <w:rsid w:val="23695F79"/>
    <w:rsid w:val="236F41BE"/>
    <w:rsid w:val="23775858"/>
    <w:rsid w:val="23921DA8"/>
    <w:rsid w:val="239F4DAE"/>
    <w:rsid w:val="23B26890"/>
    <w:rsid w:val="23B476E7"/>
    <w:rsid w:val="23BF4B9C"/>
    <w:rsid w:val="23C16AD3"/>
    <w:rsid w:val="23C2284B"/>
    <w:rsid w:val="23D34A58"/>
    <w:rsid w:val="23D444EB"/>
    <w:rsid w:val="23E10F23"/>
    <w:rsid w:val="23E37EDD"/>
    <w:rsid w:val="23E635C8"/>
    <w:rsid w:val="23F525D6"/>
    <w:rsid w:val="24013925"/>
    <w:rsid w:val="24082954"/>
    <w:rsid w:val="240A49D7"/>
    <w:rsid w:val="24207C9D"/>
    <w:rsid w:val="24213A15"/>
    <w:rsid w:val="242D4168"/>
    <w:rsid w:val="24340B9E"/>
    <w:rsid w:val="244042CC"/>
    <w:rsid w:val="2441521A"/>
    <w:rsid w:val="24461228"/>
    <w:rsid w:val="245636BF"/>
    <w:rsid w:val="245A4C34"/>
    <w:rsid w:val="245C4A4D"/>
    <w:rsid w:val="245C67FB"/>
    <w:rsid w:val="246851A0"/>
    <w:rsid w:val="246F652F"/>
    <w:rsid w:val="24724271"/>
    <w:rsid w:val="247E2C16"/>
    <w:rsid w:val="248F4E23"/>
    <w:rsid w:val="249E5066"/>
    <w:rsid w:val="249E67CE"/>
    <w:rsid w:val="24A47DD7"/>
    <w:rsid w:val="24AC7783"/>
    <w:rsid w:val="24AE34FB"/>
    <w:rsid w:val="24C40440"/>
    <w:rsid w:val="24C83E91"/>
    <w:rsid w:val="24D34D10"/>
    <w:rsid w:val="24D64276"/>
    <w:rsid w:val="24D80578"/>
    <w:rsid w:val="24D8103B"/>
    <w:rsid w:val="24D869DB"/>
    <w:rsid w:val="24E3784B"/>
    <w:rsid w:val="24E52C95"/>
    <w:rsid w:val="24E54A43"/>
    <w:rsid w:val="24F829C8"/>
    <w:rsid w:val="251E582B"/>
    <w:rsid w:val="252A06A8"/>
    <w:rsid w:val="25333A00"/>
    <w:rsid w:val="253D03DB"/>
    <w:rsid w:val="25445C0D"/>
    <w:rsid w:val="254634F6"/>
    <w:rsid w:val="25490546"/>
    <w:rsid w:val="254B6F9C"/>
    <w:rsid w:val="255547A1"/>
    <w:rsid w:val="25626093"/>
    <w:rsid w:val="256E4A38"/>
    <w:rsid w:val="2572277A"/>
    <w:rsid w:val="25754019"/>
    <w:rsid w:val="25905E1A"/>
    <w:rsid w:val="2595289C"/>
    <w:rsid w:val="259F4BF2"/>
    <w:rsid w:val="25AD2970"/>
    <w:rsid w:val="25C12DBA"/>
    <w:rsid w:val="25C74149"/>
    <w:rsid w:val="25DA3E7C"/>
    <w:rsid w:val="25E02127"/>
    <w:rsid w:val="25E20F82"/>
    <w:rsid w:val="25EC2454"/>
    <w:rsid w:val="25EC394B"/>
    <w:rsid w:val="25F5515A"/>
    <w:rsid w:val="25F62262"/>
    <w:rsid w:val="260E3B25"/>
    <w:rsid w:val="26121868"/>
    <w:rsid w:val="261C4494"/>
    <w:rsid w:val="261D3C03"/>
    <w:rsid w:val="261E020C"/>
    <w:rsid w:val="261E39C0"/>
    <w:rsid w:val="261F38B3"/>
    <w:rsid w:val="26296BB1"/>
    <w:rsid w:val="26492DAF"/>
    <w:rsid w:val="265E51B1"/>
    <w:rsid w:val="266222B6"/>
    <w:rsid w:val="26662D4A"/>
    <w:rsid w:val="26667E3A"/>
    <w:rsid w:val="2667722A"/>
    <w:rsid w:val="268362C1"/>
    <w:rsid w:val="26843239"/>
    <w:rsid w:val="2685028B"/>
    <w:rsid w:val="26B53F3D"/>
    <w:rsid w:val="26C80178"/>
    <w:rsid w:val="26CC7C68"/>
    <w:rsid w:val="26D1527F"/>
    <w:rsid w:val="26D42FC1"/>
    <w:rsid w:val="26E825C8"/>
    <w:rsid w:val="26F157C1"/>
    <w:rsid w:val="26F5411F"/>
    <w:rsid w:val="26F947D6"/>
    <w:rsid w:val="26FE1DEC"/>
    <w:rsid w:val="270D0F81"/>
    <w:rsid w:val="270D14C0"/>
    <w:rsid w:val="27113197"/>
    <w:rsid w:val="2749750B"/>
    <w:rsid w:val="27550961"/>
    <w:rsid w:val="27592EF0"/>
    <w:rsid w:val="275D2FB6"/>
    <w:rsid w:val="27652B8D"/>
    <w:rsid w:val="27677991"/>
    <w:rsid w:val="27716A62"/>
    <w:rsid w:val="27826579"/>
    <w:rsid w:val="27870033"/>
    <w:rsid w:val="278C389C"/>
    <w:rsid w:val="278F0C96"/>
    <w:rsid w:val="279463ED"/>
    <w:rsid w:val="279664C8"/>
    <w:rsid w:val="279A1B15"/>
    <w:rsid w:val="27AB1F74"/>
    <w:rsid w:val="27B4448B"/>
    <w:rsid w:val="27B54BA0"/>
    <w:rsid w:val="27C71777"/>
    <w:rsid w:val="27CC76DE"/>
    <w:rsid w:val="27D36DD5"/>
    <w:rsid w:val="27F27271"/>
    <w:rsid w:val="27F531EF"/>
    <w:rsid w:val="27FA6A57"/>
    <w:rsid w:val="27FC27CF"/>
    <w:rsid w:val="28043432"/>
    <w:rsid w:val="280F0166"/>
    <w:rsid w:val="281573ED"/>
    <w:rsid w:val="28163846"/>
    <w:rsid w:val="281A4A03"/>
    <w:rsid w:val="281C69CE"/>
    <w:rsid w:val="28235FAE"/>
    <w:rsid w:val="282B4E63"/>
    <w:rsid w:val="28584124"/>
    <w:rsid w:val="285901F0"/>
    <w:rsid w:val="285F3CB1"/>
    <w:rsid w:val="287F6F5C"/>
    <w:rsid w:val="28824360"/>
    <w:rsid w:val="288B76AF"/>
    <w:rsid w:val="289A78F2"/>
    <w:rsid w:val="289B1FE8"/>
    <w:rsid w:val="28AE0E79"/>
    <w:rsid w:val="28B1556C"/>
    <w:rsid w:val="28D20AE9"/>
    <w:rsid w:val="28D56B7C"/>
    <w:rsid w:val="28D92B11"/>
    <w:rsid w:val="28DC7F0B"/>
    <w:rsid w:val="28E12060"/>
    <w:rsid w:val="28E765AF"/>
    <w:rsid w:val="28E86836"/>
    <w:rsid w:val="29096303"/>
    <w:rsid w:val="291458F7"/>
    <w:rsid w:val="291476A5"/>
    <w:rsid w:val="292F44DF"/>
    <w:rsid w:val="29385A89"/>
    <w:rsid w:val="294A1318"/>
    <w:rsid w:val="294B14D7"/>
    <w:rsid w:val="296A5517"/>
    <w:rsid w:val="2971721D"/>
    <w:rsid w:val="29745E29"/>
    <w:rsid w:val="298F1421"/>
    <w:rsid w:val="29986528"/>
    <w:rsid w:val="29B449E4"/>
    <w:rsid w:val="29D357B2"/>
    <w:rsid w:val="29DB01C2"/>
    <w:rsid w:val="29DB4666"/>
    <w:rsid w:val="29EC6874"/>
    <w:rsid w:val="29F37C02"/>
    <w:rsid w:val="29F55AB0"/>
    <w:rsid w:val="2A0140CD"/>
    <w:rsid w:val="2A0B6CFA"/>
    <w:rsid w:val="2A1537B0"/>
    <w:rsid w:val="2A263995"/>
    <w:rsid w:val="2A2B5331"/>
    <w:rsid w:val="2A331DAD"/>
    <w:rsid w:val="2A351FC9"/>
    <w:rsid w:val="2A4C2E6E"/>
    <w:rsid w:val="2A5476B8"/>
    <w:rsid w:val="2A6428AE"/>
    <w:rsid w:val="2A697EC4"/>
    <w:rsid w:val="2A7C19A5"/>
    <w:rsid w:val="2A7D74CC"/>
    <w:rsid w:val="2A7F1496"/>
    <w:rsid w:val="2A7F1DA4"/>
    <w:rsid w:val="2A846AAC"/>
    <w:rsid w:val="2AA84549"/>
    <w:rsid w:val="2AAE2EE9"/>
    <w:rsid w:val="2AC375D4"/>
    <w:rsid w:val="2ACA0963"/>
    <w:rsid w:val="2ACA2711"/>
    <w:rsid w:val="2ACB46DB"/>
    <w:rsid w:val="2AD01CF1"/>
    <w:rsid w:val="2AD73080"/>
    <w:rsid w:val="2ADC41F2"/>
    <w:rsid w:val="2AEA4B61"/>
    <w:rsid w:val="2B050A6E"/>
    <w:rsid w:val="2B2037DE"/>
    <w:rsid w:val="2B2160A9"/>
    <w:rsid w:val="2B381D70"/>
    <w:rsid w:val="2B4509EC"/>
    <w:rsid w:val="2B485D2C"/>
    <w:rsid w:val="2B4D50F0"/>
    <w:rsid w:val="2B4F24F4"/>
    <w:rsid w:val="2B520958"/>
    <w:rsid w:val="2B547A60"/>
    <w:rsid w:val="2B612949"/>
    <w:rsid w:val="2B61738D"/>
    <w:rsid w:val="2B667F60"/>
    <w:rsid w:val="2B6D1DB9"/>
    <w:rsid w:val="2B6D7540"/>
    <w:rsid w:val="2B875000"/>
    <w:rsid w:val="2B91392E"/>
    <w:rsid w:val="2B9717A5"/>
    <w:rsid w:val="2BA22F04"/>
    <w:rsid w:val="2BA54F2C"/>
    <w:rsid w:val="2BAE3DE1"/>
    <w:rsid w:val="2BD1187D"/>
    <w:rsid w:val="2BD15DE8"/>
    <w:rsid w:val="2C0B1233"/>
    <w:rsid w:val="2C106849"/>
    <w:rsid w:val="2C1B0B2F"/>
    <w:rsid w:val="2C293467"/>
    <w:rsid w:val="2C2F0EB2"/>
    <w:rsid w:val="2C416A03"/>
    <w:rsid w:val="2C4538F6"/>
    <w:rsid w:val="2C4748C9"/>
    <w:rsid w:val="2C502114"/>
    <w:rsid w:val="2C7028E2"/>
    <w:rsid w:val="2C723060"/>
    <w:rsid w:val="2C7A0167"/>
    <w:rsid w:val="2C7C7A3B"/>
    <w:rsid w:val="2C800313"/>
    <w:rsid w:val="2C851BCF"/>
    <w:rsid w:val="2C864D5D"/>
    <w:rsid w:val="2C8E761A"/>
    <w:rsid w:val="2C901738"/>
    <w:rsid w:val="2C9D332F"/>
    <w:rsid w:val="2CC969F8"/>
    <w:rsid w:val="2CF241A1"/>
    <w:rsid w:val="2D0C728F"/>
    <w:rsid w:val="2D1A7254"/>
    <w:rsid w:val="2D1C6441"/>
    <w:rsid w:val="2D1F3A80"/>
    <w:rsid w:val="2D23435A"/>
    <w:rsid w:val="2D3C366E"/>
    <w:rsid w:val="2D4331C7"/>
    <w:rsid w:val="2D512530"/>
    <w:rsid w:val="2D5A4AE2"/>
    <w:rsid w:val="2D60735C"/>
    <w:rsid w:val="2D7746A6"/>
    <w:rsid w:val="2D7B23E8"/>
    <w:rsid w:val="2D8017AD"/>
    <w:rsid w:val="2D986AF6"/>
    <w:rsid w:val="2D9B0395"/>
    <w:rsid w:val="2DA059AB"/>
    <w:rsid w:val="2DA6434A"/>
    <w:rsid w:val="2DB17BB8"/>
    <w:rsid w:val="2DB564BC"/>
    <w:rsid w:val="2DB66923"/>
    <w:rsid w:val="2DC82FCE"/>
    <w:rsid w:val="2DDC0E70"/>
    <w:rsid w:val="2DF9330D"/>
    <w:rsid w:val="2E147F5B"/>
    <w:rsid w:val="2E2C5491"/>
    <w:rsid w:val="2E5D389C"/>
    <w:rsid w:val="2E8826D9"/>
    <w:rsid w:val="2E8C4181"/>
    <w:rsid w:val="2E924A16"/>
    <w:rsid w:val="2E946BEB"/>
    <w:rsid w:val="2E960B5C"/>
    <w:rsid w:val="2E9D638E"/>
    <w:rsid w:val="2E9F388C"/>
    <w:rsid w:val="2EA119DB"/>
    <w:rsid w:val="2EBD433B"/>
    <w:rsid w:val="2EC23394"/>
    <w:rsid w:val="2EC83D8C"/>
    <w:rsid w:val="2ED51684"/>
    <w:rsid w:val="2EE30245"/>
    <w:rsid w:val="2EE6563F"/>
    <w:rsid w:val="2F0A64BB"/>
    <w:rsid w:val="2F175402"/>
    <w:rsid w:val="2F2A5E74"/>
    <w:rsid w:val="2F3E547B"/>
    <w:rsid w:val="2F44006F"/>
    <w:rsid w:val="2F462582"/>
    <w:rsid w:val="2F5527C5"/>
    <w:rsid w:val="2F5E5DC9"/>
    <w:rsid w:val="2F6D3FB3"/>
    <w:rsid w:val="2F846602"/>
    <w:rsid w:val="2F972DDE"/>
    <w:rsid w:val="2FCB737A"/>
    <w:rsid w:val="2FCE2CA3"/>
    <w:rsid w:val="2FD14541"/>
    <w:rsid w:val="2FD96482"/>
    <w:rsid w:val="2FE20297"/>
    <w:rsid w:val="2FF36392"/>
    <w:rsid w:val="300E30A0"/>
    <w:rsid w:val="301937F3"/>
    <w:rsid w:val="301F52AD"/>
    <w:rsid w:val="303F2EE9"/>
    <w:rsid w:val="30466CDD"/>
    <w:rsid w:val="30607673"/>
    <w:rsid w:val="30711881"/>
    <w:rsid w:val="3075311F"/>
    <w:rsid w:val="30793568"/>
    <w:rsid w:val="307A6987"/>
    <w:rsid w:val="30801AC4"/>
    <w:rsid w:val="30913CD1"/>
    <w:rsid w:val="30AC4FEF"/>
    <w:rsid w:val="30D17987"/>
    <w:rsid w:val="30D36097"/>
    <w:rsid w:val="30DE4D6B"/>
    <w:rsid w:val="30E107B4"/>
    <w:rsid w:val="30E16A06"/>
    <w:rsid w:val="30F73B34"/>
    <w:rsid w:val="30FD4EC2"/>
    <w:rsid w:val="31077AEF"/>
    <w:rsid w:val="31132938"/>
    <w:rsid w:val="313308E4"/>
    <w:rsid w:val="313D5889"/>
    <w:rsid w:val="31442AF1"/>
    <w:rsid w:val="31452002"/>
    <w:rsid w:val="3148438F"/>
    <w:rsid w:val="316136A3"/>
    <w:rsid w:val="316556A2"/>
    <w:rsid w:val="316F5DC0"/>
    <w:rsid w:val="31782E10"/>
    <w:rsid w:val="31A55DA1"/>
    <w:rsid w:val="31B04B94"/>
    <w:rsid w:val="31B40F34"/>
    <w:rsid w:val="31B9703B"/>
    <w:rsid w:val="31C561C1"/>
    <w:rsid w:val="31CD2AE7"/>
    <w:rsid w:val="31DD71CE"/>
    <w:rsid w:val="31EA5447"/>
    <w:rsid w:val="31F32D4E"/>
    <w:rsid w:val="32052280"/>
    <w:rsid w:val="320C360F"/>
    <w:rsid w:val="3212499D"/>
    <w:rsid w:val="321D581C"/>
    <w:rsid w:val="32222E32"/>
    <w:rsid w:val="323E5792"/>
    <w:rsid w:val="325035D5"/>
    <w:rsid w:val="32562ADC"/>
    <w:rsid w:val="325B2C7D"/>
    <w:rsid w:val="32696CB3"/>
    <w:rsid w:val="326C7146"/>
    <w:rsid w:val="327B69E7"/>
    <w:rsid w:val="3287538B"/>
    <w:rsid w:val="32881493"/>
    <w:rsid w:val="32892EB1"/>
    <w:rsid w:val="32B53CA7"/>
    <w:rsid w:val="32C658EC"/>
    <w:rsid w:val="32C97752"/>
    <w:rsid w:val="32D560F7"/>
    <w:rsid w:val="32D61E6F"/>
    <w:rsid w:val="32E0684A"/>
    <w:rsid w:val="32E740EA"/>
    <w:rsid w:val="32E761B5"/>
    <w:rsid w:val="32EC2577"/>
    <w:rsid w:val="32F12805"/>
    <w:rsid w:val="32FD564D"/>
    <w:rsid w:val="33016EEC"/>
    <w:rsid w:val="33291F9F"/>
    <w:rsid w:val="332E1254"/>
    <w:rsid w:val="332E1CAB"/>
    <w:rsid w:val="334129FB"/>
    <w:rsid w:val="33572FB0"/>
    <w:rsid w:val="3369683F"/>
    <w:rsid w:val="337D79BD"/>
    <w:rsid w:val="337E053C"/>
    <w:rsid w:val="339D5FE4"/>
    <w:rsid w:val="33A1247D"/>
    <w:rsid w:val="33C30645"/>
    <w:rsid w:val="33C65A3F"/>
    <w:rsid w:val="33D20888"/>
    <w:rsid w:val="33D26ADA"/>
    <w:rsid w:val="33D53ED4"/>
    <w:rsid w:val="33DC34B5"/>
    <w:rsid w:val="33E83C08"/>
    <w:rsid w:val="33EA5BD2"/>
    <w:rsid w:val="33EB36F8"/>
    <w:rsid w:val="33F24A86"/>
    <w:rsid w:val="33F64577"/>
    <w:rsid w:val="33FC76B3"/>
    <w:rsid w:val="340F0DD2"/>
    <w:rsid w:val="341420F9"/>
    <w:rsid w:val="34254E5C"/>
    <w:rsid w:val="342804A8"/>
    <w:rsid w:val="342D1890"/>
    <w:rsid w:val="343C3F54"/>
    <w:rsid w:val="344828F8"/>
    <w:rsid w:val="345F3C5D"/>
    <w:rsid w:val="347D48DE"/>
    <w:rsid w:val="347E456C"/>
    <w:rsid w:val="347F27BE"/>
    <w:rsid w:val="34A044E2"/>
    <w:rsid w:val="34B1049E"/>
    <w:rsid w:val="34B3790A"/>
    <w:rsid w:val="34B41D3C"/>
    <w:rsid w:val="34C04B85"/>
    <w:rsid w:val="34C46423"/>
    <w:rsid w:val="34C603ED"/>
    <w:rsid w:val="34C75F13"/>
    <w:rsid w:val="34D10B40"/>
    <w:rsid w:val="34EE524E"/>
    <w:rsid w:val="35074561"/>
    <w:rsid w:val="350E769E"/>
    <w:rsid w:val="352D221A"/>
    <w:rsid w:val="352E1AEE"/>
    <w:rsid w:val="353249F4"/>
    <w:rsid w:val="354D628D"/>
    <w:rsid w:val="356216B8"/>
    <w:rsid w:val="35675000"/>
    <w:rsid w:val="35686328"/>
    <w:rsid w:val="356B4AF0"/>
    <w:rsid w:val="356B689E"/>
    <w:rsid w:val="3587247F"/>
    <w:rsid w:val="35912EE2"/>
    <w:rsid w:val="359304E6"/>
    <w:rsid w:val="359A7184"/>
    <w:rsid w:val="359C114E"/>
    <w:rsid w:val="35C80195"/>
    <w:rsid w:val="35CA5CBB"/>
    <w:rsid w:val="35E63805"/>
    <w:rsid w:val="35EA1EB9"/>
    <w:rsid w:val="35EC0123"/>
    <w:rsid w:val="35FB40C6"/>
    <w:rsid w:val="36062A6B"/>
    <w:rsid w:val="362178A5"/>
    <w:rsid w:val="36266C69"/>
    <w:rsid w:val="36407D2B"/>
    <w:rsid w:val="366539EC"/>
    <w:rsid w:val="36687282"/>
    <w:rsid w:val="366F0610"/>
    <w:rsid w:val="367148C1"/>
    <w:rsid w:val="36745C27"/>
    <w:rsid w:val="3687595A"/>
    <w:rsid w:val="368B29F1"/>
    <w:rsid w:val="369E4A52"/>
    <w:rsid w:val="36A22AF6"/>
    <w:rsid w:val="36AC716F"/>
    <w:rsid w:val="36AD40A0"/>
    <w:rsid w:val="36B45DB4"/>
    <w:rsid w:val="36B93FCC"/>
    <w:rsid w:val="36CF43BF"/>
    <w:rsid w:val="36D16B63"/>
    <w:rsid w:val="36E05005"/>
    <w:rsid w:val="36EB413B"/>
    <w:rsid w:val="36F32FEF"/>
    <w:rsid w:val="37021F02"/>
    <w:rsid w:val="37054AD1"/>
    <w:rsid w:val="370A0339"/>
    <w:rsid w:val="37215DAE"/>
    <w:rsid w:val="372F1B4E"/>
    <w:rsid w:val="373841CD"/>
    <w:rsid w:val="374237D5"/>
    <w:rsid w:val="374D4D72"/>
    <w:rsid w:val="37500442"/>
    <w:rsid w:val="37546B18"/>
    <w:rsid w:val="37555A58"/>
    <w:rsid w:val="375F2433"/>
    <w:rsid w:val="37645C9B"/>
    <w:rsid w:val="37863E63"/>
    <w:rsid w:val="37870C0D"/>
    <w:rsid w:val="37955E55"/>
    <w:rsid w:val="379B0C01"/>
    <w:rsid w:val="37A97B52"/>
    <w:rsid w:val="37C60704"/>
    <w:rsid w:val="37C73884"/>
    <w:rsid w:val="37CD1A92"/>
    <w:rsid w:val="37DE4B11"/>
    <w:rsid w:val="37E4092F"/>
    <w:rsid w:val="37F21170"/>
    <w:rsid w:val="37F35A2D"/>
    <w:rsid w:val="37F60FE9"/>
    <w:rsid w:val="37FB0359"/>
    <w:rsid w:val="38082ACA"/>
    <w:rsid w:val="380A6843"/>
    <w:rsid w:val="380F026E"/>
    <w:rsid w:val="381C6576"/>
    <w:rsid w:val="382611A3"/>
    <w:rsid w:val="38276369"/>
    <w:rsid w:val="382D2F86"/>
    <w:rsid w:val="382F62A9"/>
    <w:rsid w:val="38364FE0"/>
    <w:rsid w:val="38482EC7"/>
    <w:rsid w:val="3855655E"/>
    <w:rsid w:val="38635F53"/>
    <w:rsid w:val="386931F4"/>
    <w:rsid w:val="386C36FA"/>
    <w:rsid w:val="38797524"/>
    <w:rsid w:val="389F7439"/>
    <w:rsid w:val="38B43A08"/>
    <w:rsid w:val="38BE4B27"/>
    <w:rsid w:val="38C53848"/>
    <w:rsid w:val="38E54BBA"/>
    <w:rsid w:val="38E56968"/>
    <w:rsid w:val="38E70932"/>
    <w:rsid w:val="38EF77E6"/>
    <w:rsid w:val="38F8623C"/>
    <w:rsid w:val="38FD0BB7"/>
    <w:rsid w:val="39032421"/>
    <w:rsid w:val="39070FD4"/>
    <w:rsid w:val="390E4110"/>
    <w:rsid w:val="391657D7"/>
    <w:rsid w:val="39317DFF"/>
    <w:rsid w:val="393D67A4"/>
    <w:rsid w:val="39557F91"/>
    <w:rsid w:val="396F535C"/>
    <w:rsid w:val="39701904"/>
    <w:rsid w:val="397B3A87"/>
    <w:rsid w:val="397D39AC"/>
    <w:rsid w:val="39875C71"/>
    <w:rsid w:val="39902D77"/>
    <w:rsid w:val="39934616"/>
    <w:rsid w:val="399B46BF"/>
    <w:rsid w:val="399C796E"/>
    <w:rsid w:val="39A55AE7"/>
    <w:rsid w:val="39AA35CB"/>
    <w:rsid w:val="39C37796"/>
    <w:rsid w:val="39F57734"/>
    <w:rsid w:val="39F754D9"/>
    <w:rsid w:val="3A105517"/>
    <w:rsid w:val="3A15327D"/>
    <w:rsid w:val="3A192D6D"/>
    <w:rsid w:val="3A263C5D"/>
    <w:rsid w:val="3A2A31CC"/>
    <w:rsid w:val="3A4A561C"/>
    <w:rsid w:val="3A63697A"/>
    <w:rsid w:val="3A6F0BDF"/>
    <w:rsid w:val="3A726921"/>
    <w:rsid w:val="3A7E0F12"/>
    <w:rsid w:val="3A873F10"/>
    <w:rsid w:val="3A8C6729"/>
    <w:rsid w:val="3A900B55"/>
    <w:rsid w:val="3A9B2E28"/>
    <w:rsid w:val="3AA0348E"/>
    <w:rsid w:val="3ABB2076"/>
    <w:rsid w:val="3AD15949"/>
    <w:rsid w:val="3AD62A0C"/>
    <w:rsid w:val="3AD9074E"/>
    <w:rsid w:val="3AE01B8A"/>
    <w:rsid w:val="3AEC50AC"/>
    <w:rsid w:val="3B00217F"/>
    <w:rsid w:val="3B023801"/>
    <w:rsid w:val="3B162817"/>
    <w:rsid w:val="3B183024"/>
    <w:rsid w:val="3B1C2ED8"/>
    <w:rsid w:val="3B212AA2"/>
    <w:rsid w:val="3B2319C9"/>
    <w:rsid w:val="3B36794F"/>
    <w:rsid w:val="3B385475"/>
    <w:rsid w:val="3B464036"/>
    <w:rsid w:val="3B53174F"/>
    <w:rsid w:val="3B6C511E"/>
    <w:rsid w:val="3B7D5CB5"/>
    <w:rsid w:val="3B9308FD"/>
    <w:rsid w:val="3B9C1EA7"/>
    <w:rsid w:val="3B9E3980"/>
    <w:rsid w:val="3BA025D6"/>
    <w:rsid w:val="3BAE1BDB"/>
    <w:rsid w:val="3BB05953"/>
    <w:rsid w:val="3BB75E56"/>
    <w:rsid w:val="3BBB7E54"/>
    <w:rsid w:val="3BC431AC"/>
    <w:rsid w:val="3BD333EF"/>
    <w:rsid w:val="3BD56F73"/>
    <w:rsid w:val="3BE06D42"/>
    <w:rsid w:val="3BF207EF"/>
    <w:rsid w:val="3BFD6B23"/>
    <w:rsid w:val="3BFE63CA"/>
    <w:rsid w:val="3C124EA3"/>
    <w:rsid w:val="3C16573F"/>
    <w:rsid w:val="3C2D6FA3"/>
    <w:rsid w:val="3C335C3C"/>
    <w:rsid w:val="3C3E73E9"/>
    <w:rsid w:val="3C535BD0"/>
    <w:rsid w:val="3C6D3843"/>
    <w:rsid w:val="3C6D73A0"/>
    <w:rsid w:val="3C7544A7"/>
    <w:rsid w:val="3C7A386B"/>
    <w:rsid w:val="3C7D0548"/>
    <w:rsid w:val="3C982030"/>
    <w:rsid w:val="3C9A5CBB"/>
    <w:rsid w:val="3CA9347D"/>
    <w:rsid w:val="3CBC20D5"/>
    <w:rsid w:val="3CC35212"/>
    <w:rsid w:val="3CD72A6B"/>
    <w:rsid w:val="3CD94BF0"/>
    <w:rsid w:val="3CF8135F"/>
    <w:rsid w:val="3D0221DE"/>
    <w:rsid w:val="3D037D04"/>
    <w:rsid w:val="3D0C4E0B"/>
    <w:rsid w:val="3D1A2CFA"/>
    <w:rsid w:val="3D1D2B74"/>
    <w:rsid w:val="3D3103CE"/>
    <w:rsid w:val="3D334751"/>
    <w:rsid w:val="3D4F4CF8"/>
    <w:rsid w:val="3D54230E"/>
    <w:rsid w:val="3D5619DA"/>
    <w:rsid w:val="3D571F0F"/>
    <w:rsid w:val="3D5B5962"/>
    <w:rsid w:val="3D62327F"/>
    <w:rsid w:val="3D6337C1"/>
    <w:rsid w:val="3D6469F5"/>
    <w:rsid w:val="3D6E1622"/>
    <w:rsid w:val="3D70539A"/>
    <w:rsid w:val="3D803103"/>
    <w:rsid w:val="3D8175A7"/>
    <w:rsid w:val="3D9624B0"/>
    <w:rsid w:val="3DA05553"/>
    <w:rsid w:val="3DA2751D"/>
    <w:rsid w:val="3DB744C0"/>
    <w:rsid w:val="3DE74F30"/>
    <w:rsid w:val="3DE970EF"/>
    <w:rsid w:val="3DEB0EC4"/>
    <w:rsid w:val="3E037B92"/>
    <w:rsid w:val="3E047890"/>
    <w:rsid w:val="3E103980"/>
    <w:rsid w:val="3E171CB9"/>
    <w:rsid w:val="3E216694"/>
    <w:rsid w:val="3E29754C"/>
    <w:rsid w:val="3E2B306F"/>
    <w:rsid w:val="3E391C30"/>
    <w:rsid w:val="3E3C527C"/>
    <w:rsid w:val="3E3F2FBE"/>
    <w:rsid w:val="3E442382"/>
    <w:rsid w:val="3E5500EC"/>
    <w:rsid w:val="3E6D3399"/>
    <w:rsid w:val="3E6F178C"/>
    <w:rsid w:val="3E8D3D29"/>
    <w:rsid w:val="3E8F7AA2"/>
    <w:rsid w:val="3EA0184F"/>
    <w:rsid w:val="3EB23790"/>
    <w:rsid w:val="3EBB0897"/>
    <w:rsid w:val="3EBC016B"/>
    <w:rsid w:val="3EBD534C"/>
    <w:rsid w:val="3EC040FF"/>
    <w:rsid w:val="3EC51715"/>
    <w:rsid w:val="3EC534C3"/>
    <w:rsid w:val="3EC95A9A"/>
    <w:rsid w:val="3F06588A"/>
    <w:rsid w:val="3F067638"/>
    <w:rsid w:val="3F1A0FBD"/>
    <w:rsid w:val="3F1D32FF"/>
    <w:rsid w:val="3F1E2BD3"/>
    <w:rsid w:val="3F255D10"/>
    <w:rsid w:val="3F2A4723"/>
    <w:rsid w:val="3F2B709E"/>
    <w:rsid w:val="3F397A0D"/>
    <w:rsid w:val="3F3C12AC"/>
    <w:rsid w:val="3F3C397E"/>
    <w:rsid w:val="3F4F65FA"/>
    <w:rsid w:val="3F514D57"/>
    <w:rsid w:val="3F5E56C6"/>
    <w:rsid w:val="3F601B4E"/>
    <w:rsid w:val="3F7153F9"/>
    <w:rsid w:val="3F730138"/>
    <w:rsid w:val="3F854A01"/>
    <w:rsid w:val="3F8C2233"/>
    <w:rsid w:val="3F8C5D8F"/>
    <w:rsid w:val="3F8F3AD1"/>
    <w:rsid w:val="3F9115F7"/>
    <w:rsid w:val="3F980BD8"/>
    <w:rsid w:val="3FA07A8C"/>
    <w:rsid w:val="3FA97ADE"/>
    <w:rsid w:val="3FC30D58"/>
    <w:rsid w:val="3FDC5A4A"/>
    <w:rsid w:val="3FE43E1D"/>
    <w:rsid w:val="3FEF631E"/>
    <w:rsid w:val="3FFF2A05"/>
    <w:rsid w:val="40112738"/>
    <w:rsid w:val="40152228"/>
    <w:rsid w:val="40185875"/>
    <w:rsid w:val="40287A50"/>
    <w:rsid w:val="404C1170"/>
    <w:rsid w:val="4059187D"/>
    <w:rsid w:val="406960D0"/>
    <w:rsid w:val="406B3DDC"/>
    <w:rsid w:val="407A208B"/>
    <w:rsid w:val="409D6CDF"/>
    <w:rsid w:val="40A8309D"/>
    <w:rsid w:val="40B90E06"/>
    <w:rsid w:val="40D529D3"/>
    <w:rsid w:val="40D57DED"/>
    <w:rsid w:val="40D82ED1"/>
    <w:rsid w:val="40D914A8"/>
    <w:rsid w:val="40DC1E39"/>
    <w:rsid w:val="40EE1FD9"/>
    <w:rsid w:val="40EF4858"/>
    <w:rsid w:val="41006A35"/>
    <w:rsid w:val="413B5A2F"/>
    <w:rsid w:val="414032D5"/>
    <w:rsid w:val="41540B2E"/>
    <w:rsid w:val="416B795B"/>
    <w:rsid w:val="417967E7"/>
    <w:rsid w:val="417E5BAB"/>
    <w:rsid w:val="41856F3A"/>
    <w:rsid w:val="41914247"/>
    <w:rsid w:val="419E763E"/>
    <w:rsid w:val="41A90E7A"/>
    <w:rsid w:val="41C0599B"/>
    <w:rsid w:val="41C452AF"/>
    <w:rsid w:val="41D1376A"/>
    <w:rsid w:val="41D35EF7"/>
    <w:rsid w:val="41D61E12"/>
    <w:rsid w:val="41E2438C"/>
    <w:rsid w:val="41EA3241"/>
    <w:rsid w:val="41F540C0"/>
    <w:rsid w:val="42032F0D"/>
    <w:rsid w:val="420A48B3"/>
    <w:rsid w:val="420F2CA7"/>
    <w:rsid w:val="4214792C"/>
    <w:rsid w:val="422051D1"/>
    <w:rsid w:val="422229DB"/>
    <w:rsid w:val="42233547"/>
    <w:rsid w:val="42246753"/>
    <w:rsid w:val="42277FF1"/>
    <w:rsid w:val="423D1BAA"/>
    <w:rsid w:val="4249440B"/>
    <w:rsid w:val="425132C0"/>
    <w:rsid w:val="42611755"/>
    <w:rsid w:val="42660B19"/>
    <w:rsid w:val="426E5C20"/>
    <w:rsid w:val="427D5E63"/>
    <w:rsid w:val="42982C9D"/>
    <w:rsid w:val="42A42918"/>
    <w:rsid w:val="42BA2C13"/>
    <w:rsid w:val="42BD47E6"/>
    <w:rsid w:val="42C25D59"/>
    <w:rsid w:val="42C43A92"/>
    <w:rsid w:val="42D71A17"/>
    <w:rsid w:val="42D9753D"/>
    <w:rsid w:val="42DA1507"/>
    <w:rsid w:val="42DC527F"/>
    <w:rsid w:val="42DF0946"/>
    <w:rsid w:val="42F9198D"/>
    <w:rsid w:val="430B346F"/>
    <w:rsid w:val="43100A85"/>
    <w:rsid w:val="431B6011"/>
    <w:rsid w:val="432A7D99"/>
    <w:rsid w:val="43613C0E"/>
    <w:rsid w:val="436D4129"/>
    <w:rsid w:val="438E6EAE"/>
    <w:rsid w:val="43AA712C"/>
    <w:rsid w:val="43BE2EEC"/>
    <w:rsid w:val="43CB4067"/>
    <w:rsid w:val="43D1290A"/>
    <w:rsid w:val="43D63A7D"/>
    <w:rsid w:val="43EF3098"/>
    <w:rsid w:val="43F108B7"/>
    <w:rsid w:val="43F932B4"/>
    <w:rsid w:val="43FE4D82"/>
    <w:rsid w:val="44024872"/>
    <w:rsid w:val="440C3D53"/>
    <w:rsid w:val="44136FEB"/>
    <w:rsid w:val="44205405"/>
    <w:rsid w:val="44347D41"/>
    <w:rsid w:val="443864E5"/>
    <w:rsid w:val="443F0837"/>
    <w:rsid w:val="44472BCC"/>
    <w:rsid w:val="4452291E"/>
    <w:rsid w:val="445F1CC4"/>
    <w:rsid w:val="445F7F16"/>
    <w:rsid w:val="44682E92"/>
    <w:rsid w:val="446C097E"/>
    <w:rsid w:val="446E1F07"/>
    <w:rsid w:val="44705C7F"/>
    <w:rsid w:val="447D0F6A"/>
    <w:rsid w:val="44823ADE"/>
    <w:rsid w:val="44906321"/>
    <w:rsid w:val="449C2DB0"/>
    <w:rsid w:val="449C7973"/>
    <w:rsid w:val="449D27EC"/>
    <w:rsid w:val="44D51F86"/>
    <w:rsid w:val="44DD0E3B"/>
    <w:rsid w:val="44E977E0"/>
    <w:rsid w:val="44FB6886"/>
    <w:rsid w:val="451707F1"/>
    <w:rsid w:val="451B3A9B"/>
    <w:rsid w:val="452C75D2"/>
    <w:rsid w:val="453B44DF"/>
    <w:rsid w:val="45482758"/>
    <w:rsid w:val="45587CF1"/>
    <w:rsid w:val="455C4DA2"/>
    <w:rsid w:val="4561325C"/>
    <w:rsid w:val="456B28EB"/>
    <w:rsid w:val="45725A27"/>
    <w:rsid w:val="45746C77"/>
    <w:rsid w:val="45790441"/>
    <w:rsid w:val="45880BDF"/>
    <w:rsid w:val="458F0387"/>
    <w:rsid w:val="459B4F7E"/>
    <w:rsid w:val="45A2455E"/>
    <w:rsid w:val="45A265AB"/>
    <w:rsid w:val="45AF27D7"/>
    <w:rsid w:val="45B85163"/>
    <w:rsid w:val="45DD7293"/>
    <w:rsid w:val="45F23B34"/>
    <w:rsid w:val="45F4468E"/>
    <w:rsid w:val="45F7164A"/>
    <w:rsid w:val="45FD1795"/>
    <w:rsid w:val="45FF375F"/>
    <w:rsid w:val="4605689B"/>
    <w:rsid w:val="46080139"/>
    <w:rsid w:val="461B1B5D"/>
    <w:rsid w:val="461F6BBA"/>
    <w:rsid w:val="46342CDD"/>
    <w:rsid w:val="46396545"/>
    <w:rsid w:val="46496788"/>
    <w:rsid w:val="464C6278"/>
    <w:rsid w:val="467079F0"/>
    <w:rsid w:val="46717A8D"/>
    <w:rsid w:val="46733F54"/>
    <w:rsid w:val="467D2693"/>
    <w:rsid w:val="467F21AA"/>
    <w:rsid w:val="468974CC"/>
    <w:rsid w:val="468E6891"/>
    <w:rsid w:val="46B362F7"/>
    <w:rsid w:val="46B502C1"/>
    <w:rsid w:val="46C2478C"/>
    <w:rsid w:val="46D350C3"/>
    <w:rsid w:val="46E6047B"/>
    <w:rsid w:val="46E766B7"/>
    <w:rsid w:val="46F012F9"/>
    <w:rsid w:val="46F54AD7"/>
    <w:rsid w:val="46F74436"/>
    <w:rsid w:val="46FC5DCE"/>
    <w:rsid w:val="46FD7572"/>
    <w:rsid w:val="47057F6B"/>
    <w:rsid w:val="470E2BE4"/>
    <w:rsid w:val="4723347D"/>
    <w:rsid w:val="473016F6"/>
    <w:rsid w:val="47307948"/>
    <w:rsid w:val="47394A4E"/>
    <w:rsid w:val="473E02ED"/>
    <w:rsid w:val="47486CB4"/>
    <w:rsid w:val="476475F1"/>
    <w:rsid w:val="476F7A5C"/>
    <w:rsid w:val="477A28B9"/>
    <w:rsid w:val="477B5067"/>
    <w:rsid w:val="479B2599"/>
    <w:rsid w:val="47A16A4D"/>
    <w:rsid w:val="47A633EB"/>
    <w:rsid w:val="47A86347"/>
    <w:rsid w:val="47A91A8B"/>
    <w:rsid w:val="47B42327"/>
    <w:rsid w:val="47BA5463"/>
    <w:rsid w:val="47BB2886"/>
    <w:rsid w:val="47C55249"/>
    <w:rsid w:val="47E86DA3"/>
    <w:rsid w:val="47F22E4F"/>
    <w:rsid w:val="47F95FEE"/>
    <w:rsid w:val="47FB61A8"/>
    <w:rsid w:val="47FC4F95"/>
    <w:rsid w:val="4803495B"/>
    <w:rsid w:val="480908C5"/>
    <w:rsid w:val="480A49AD"/>
    <w:rsid w:val="480A798E"/>
    <w:rsid w:val="480F3A01"/>
    <w:rsid w:val="48111527"/>
    <w:rsid w:val="482A083B"/>
    <w:rsid w:val="48316DCF"/>
    <w:rsid w:val="485458B8"/>
    <w:rsid w:val="485F6737"/>
    <w:rsid w:val="4860425D"/>
    <w:rsid w:val="48615ED1"/>
    <w:rsid w:val="48627FD5"/>
    <w:rsid w:val="486378A9"/>
    <w:rsid w:val="486423C4"/>
    <w:rsid w:val="486C5BD0"/>
    <w:rsid w:val="486D73A7"/>
    <w:rsid w:val="487D6BBD"/>
    <w:rsid w:val="489A776F"/>
    <w:rsid w:val="489F4D85"/>
    <w:rsid w:val="48A028AB"/>
    <w:rsid w:val="48A44149"/>
    <w:rsid w:val="48BD520B"/>
    <w:rsid w:val="48BF0222"/>
    <w:rsid w:val="48D2515B"/>
    <w:rsid w:val="48D507A7"/>
    <w:rsid w:val="48E44E8E"/>
    <w:rsid w:val="48EC381B"/>
    <w:rsid w:val="48F549A5"/>
    <w:rsid w:val="48FD7CFE"/>
    <w:rsid w:val="490F00DF"/>
    <w:rsid w:val="49101BF7"/>
    <w:rsid w:val="49221512"/>
    <w:rsid w:val="493F2815"/>
    <w:rsid w:val="49492F43"/>
    <w:rsid w:val="494D658F"/>
    <w:rsid w:val="495F3B00"/>
    <w:rsid w:val="496076FB"/>
    <w:rsid w:val="49687BB3"/>
    <w:rsid w:val="496F0BFB"/>
    <w:rsid w:val="49747FC0"/>
    <w:rsid w:val="499441BE"/>
    <w:rsid w:val="49AB0551"/>
    <w:rsid w:val="49AD1724"/>
    <w:rsid w:val="49B303BC"/>
    <w:rsid w:val="49C425C9"/>
    <w:rsid w:val="49D06F26"/>
    <w:rsid w:val="49DC5B65"/>
    <w:rsid w:val="49FF78FE"/>
    <w:rsid w:val="4A072690"/>
    <w:rsid w:val="4A1700B3"/>
    <w:rsid w:val="4A183041"/>
    <w:rsid w:val="4A1A47F4"/>
    <w:rsid w:val="4A335FBB"/>
    <w:rsid w:val="4A445F6B"/>
    <w:rsid w:val="4A4554B8"/>
    <w:rsid w:val="4A4C6847"/>
    <w:rsid w:val="4A5B0578"/>
    <w:rsid w:val="4A653DAC"/>
    <w:rsid w:val="4A751CF7"/>
    <w:rsid w:val="4A791606"/>
    <w:rsid w:val="4A7E09CA"/>
    <w:rsid w:val="4A803F4B"/>
    <w:rsid w:val="4A895201"/>
    <w:rsid w:val="4A993A56"/>
    <w:rsid w:val="4AA11890"/>
    <w:rsid w:val="4AA23FC0"/>
    <w:rsid w:val="4AA448D5"/>
    <w:rsid w:val="4AA85ABC"/>
    <w:rsid w:val="4AAF608A"/>
    <w:rsid w:val="4AB8212E"/>
    <w:rsid w:val="4AB97C54"/>
    <w:rsid w:val="4ADB0864"/>
    <w:rsid w:val="4AE253FD"/>
    <w:rsid w:val="4AEE5B50"/>
    <w:rsid w:val="4AFA5BA7"/>
    <w:rsid w:val="4B00399D"/>
    <w:rsid w:val="4B0567DE"/>
    <w:rsid w:val="4B284BDC"/>
    <w:rsid w:val="4B2E51AA"/>
    <w:rsid w:val="4B3563BE"/>
    <w:rsid w:val="4B3A1029"/>
    <w:rsid w:val="4B3C4B0D"/>
    <w:rsid w:val="4B46773A"/>
    <w:rsid w:val="4B4E2A92"/>
    <w:rsid w:val="4B5A31E5"/>
    <w:rsid w:val="4B674448"/>
    <w:rsid w:val="4B756271"/>
    <w:rsid w:val="4B790354"/>
    <w:rsid w:val="4B797B0F"/>
    <w:rsid w:val="4B7C13AE"/>
    <w:rsid w:val="4B7C315C"/>
    <w:rsid w:val="4B851C65"/>
    <w:rsid w:val="4B893ACB"/>
    <w:rsid w:val="4B8B6B20"/>
    <w:rsid w:val="4B904E59"/>
    <w:rsid w:val="4BC114B6"/>
    <w:rsid w:val="4BCA3FAA"/>
    <w:rsid w:val="4BDE5816"/>
    <w:rsid w:val="4BDF3FF7"/>
    <w:rsid w:val="4BEA78CB"/>
    <w:rsid w:val="4BF90C50"/>
    <w:rsid w:val="4BFB6776"/>
    <w:rsid w:val="4C066EC9"/>
    <w:rsid w:val="4C0849EF"/>
    <w:rsid w:val="4C3457E4"/>
    <w:rsid w:val="4C3E58C4"/>
    <w:rsid w:val="4C44439A"/>
    <w:rsid w:val="4C4503C8"/>
    <w:rsid w:val="4C4A325A"/>
    <w:rsid w:val="4C746529"/>
    <w:rsid w:val="4C7C5E4E"/>
    <w:rsid w:val="4C7D362F"/>
    <w:rsid w:val="4C820D28"/>
    <w:rsid w:val="4C9149E5"/>
    <w:rsid w:val="4CA26BF2"/>
    <w:rsid w:val="4CA46E0E"/>
    <w:rsid w:val="4CB46925"/>
    <w:rsid w:val="4CB92522"/>
    <w:rsid w:val="4CC052CA"/>
    <w:rsid w:val="4CCA7EF7"/>
    <w:rsid w:val="4CD46FC7"/>
    <w:rsid w:val="4CEA0599"/>
    <w:rsid w:val="4CEE059A"/>
    <w:rsid w:val="4CF82CB6"/>
    <w:rsid w:val="4CF916C8"/>
    <w:rsid w:val="4D021D86"/>
    <w:rsid w:val="4D0A29E9"/>
    <w:rsid w:val="4D1821CE"/>
    <w:rsid w:val="4D223AFD"/>
    <w:rsid w:val="4D2515D1"/>
    <w:rsid w:val="4D297313"/>
    <w:rsid w:val="4D2D2AF8"/>
    <w:rsid w:val="4D331F40"/>
    <w:rsid w:val="4D423F31"/>
    <w:rsid w:val="4D5819A6"/>
    <w:rsid w:val="4D6754DA"/>
    <w:rsid w:val="4D7E0172"/>
    <w:rsid w:val="4D7E765F"/>
    <w:rsid w:val="4D807BBD"/>
    <w:rsid w:val="4D84279B"/>
    <w:rsid w:val="4D8B1D7C"/>
    <w:rsid w:val="4D943B05"/>
    <w:rsid w:val="4D9A1FBF"/>
    <w:rsid w:val="4D9C1893"/>
    <w:rsid w:val="4DA77A79"/>
    <w:rsid w:val="4DAA24CE"/>
    <w:rsid w:val="4DBD016E"/>
    <w:rsid w:val="4DD74FC1"/>
    <w:rsid w:val="4DE876AC"/>
    <w:rsid w:val="4DF86CA8"/>
    <w:rsid w:val="4E002804"/>
    <w:rsid w:val="4E08517B"/>
    <w:rsid w:val="4E1834CC"/>
    <w:rsid w:val="4E2807AC"/>
    <w:rsid w:val="4E2935F3"/>
    <w:rsid w:val="4E406BF2"/>
    <w:rsid w:val="4E457760"/>
    <w:rsid w:val="4E6323B1"/>
    <w:rsid w:val="4E8D742E"/>
    <w:rsid w:val="4E970774"/>
    <w:rsid w:val="4E9B5FEF"/>
    <w:rsid w:val="4EA12ED9"/>
    <w:rsid w:val="4EB16B2C"/>
    <w:rsid w:val="4EC72940"/>
    <w:rsid w:val="4EC76DE4"/>
    <w:rsid w:val="4ED41501"/>
    <w:rsid w:val="4EEC61EE"/>
    <w:rsid w:val="4EF37BD9"/>
    <w:rsid w:val="4F0B3174"/>
    <w:rsid w:val="4F17780C"/>
    <w:rsid w:val="4F4D693A"/>
    <w:rsid w:val="4F672375"/>
    <w:rsid w:val="4F6818EC"/>
    <w:rsid w:val="4F6A4AE3"/>
    <w:rsid w:val="4F6F09F1"/>
    <w:rsid w:val="4F723E73"/>
    <w:rsid w:val="4F7D4367"/>
    <w:rsid w:val="4F8545A9"/>
    <w:rsid w:val="4F8606E7"/>
    <w:rsid w:val="4F9B57F7"/>
    <w:rsid w:val="4F9D237F"/>
    <w:rsid w:val="4FA42819"/>
    <w:rsid w:val="4FA62E9D"/>
    <w:rsid w:val="4FB05ACA"/>
    <w:rsid w:val="4FCC21D8"/>
    <w:rsid w:val="4FDF1F0B"/>
    <w:rsid w:val="4FE614EB"/>
    <w:rsid w:val="4FEE13C7"/>
    <w:rsid w:val="4FF21C3E"/>
    <w:rsid w:val="4FFA2821"/>
    <w:rsid w:val="4FFC2ABD"/>
    <w:rsid w:val="502A762A"/>
    <w:rsid w:val="502D6EA4"/>
    <w:rsid w:val="5044757A"/>
    <w:rsid w:val="505446A7"/>
    <w:rsid w:val="505C17AE"/>
    <w:rsid w:val="50666C6D"/>
    <w:rsid w:val="506968FB"/>
    <w:rsid w:val="506972E2"/>
    <w:rsid w:val="507C3BFE"/>
    <w:rsid w:val="508F56DF"/>
    <w:rsid w:val="50B95BA6"/>
    <w:rsid w:val="50C51101"/>
    <w:rsid w:val="50C730CB"/>
    <w:rsid w:val="50CF47A9"/>
    <w:rsid w:val="50D75E4F"/>
    <w:rsid w:val="50DC7706"/>
    <w:rsid w:val="50E30032"/>
    <w:rsid w:val="50F25FF8"/>
    <w:rsid w:val="50F73284"/>
    <w:rsid w:val="50F97A16"/>
    <w:rsid w:val="51002139"/>
    <w:rsid w:val="51320415"/>
    <w:rsid w:val="513424C7"/>
    <w:rsid w:val="5141692F"/>
    <w:rsid w:val="515B1A65"/>
    <w:rsid w:val="516D3716"/>
    <w:rsid w:val="517174DB"/>
    <w:rsid w:val="517A013D"/>
    <w:rsid w:val="517A638F"/>
    <w:rsid w:val="5184720E"/>
    <w:rsid w:val="51850890"/>
    <w:rsid w:val="518B5B88"/>
    <w:rsid w:val="518B776F"/>
    <w:rsid w:val="519136D9"/>
    <w:rsid w:val="51915487"/>
    <w:rsid w:val="519311FF"/>
    <w:rsid w:val="51975849"/>
    <w:rsid w:val="51A52CE0"/>
    <w:rsid w:val="51AC2F54"/>
    <w:rsid w:val="51AC406F"/>
    <w:rsid w:val="51B264A9"/>
    <w:rsid w:val="51B74BC8"/>
    <w:rsid w:val="51BE3C46"/>
    <w:rsid w:val="51C413B8"/>
    <w:rsid w:val="51C969CF"/>
    <w:rsid w:val="51D13AD5"/>
    <w:rsid w:val="51D27F79"/>
    <w:rsid w:val="51D35A9F"/>
    <w:rsid w:val="51E01477"/>
    <w:rsid w:val="51F85506"/>
    <w:rsid w:val="5209326F"/>
    <w:rsid w:val="52132420"/>
    <w:rsid w:val="521560B8"/>
    <w:rsid w:val="522400A9"/>
    <w:rsid w:val="523C34B2"/>
    <w:rsid w:val="523E560F"/>
    <w:rsid w:val="524E1F82"/>
    <w:rsid w:val="525C3CE7"/>
    <w:rsid w:val="525C44B0"/>
    <w:rsid w:val="525E6860"/>
    <w:rsid w:val="5265784B"/>
    <w:rsid w:val="526B5CD8"/>
    <w:rsid w:val="52727066"/>
    <w:rsid w:val="52742DDF"/>
    <w:rsid w:val="528D3EA0"/>
    <w:rsid w:val="529209FB"/>
    <w:rsid w:val="52A64F62"/>
    <w:rsid w:val="52AA2CA4"/>
    <w:rsid w:val="52AA6800"/>
    <w:rsid w:val="52AB3F0E"/>
    <w:rsid w:val="52BE04FE"/>
    <w:rsid w:val="52C0340D"/>
    <w:rsid w:val="52C61160"/>
    <w:rsid w:val="52CA3090"/>
    <w:rsid w:val="52CB3C4D"/>
    <w:rsid w:val="52D27B05"/>
    <w:rsid w:val="52D7511B"/>
    <w:rsid w:val="52FA18C9"/>
    <w:rsid w:val="530C12BE"/>
    <w:rsid w:val="530F2B07"/>
    <w:rsid w:val="532E1C4F"/>
    <w:rsid w:val="53342223"/>
    <w:rsid w:val="5334256E"/>
    <w:rsid w:val="53403699"/>
    <w:rsid w:val="53456529"/>
    <w:rsid w:val="535D1AC5"/>
    <w:rsid w:val="53634C01"/>
    <w:rsid w:val="538C5F06"/>
    <w:rsid w:val="53936481"/>
    <w:rsid w:val="539574B0"/>
    <w:rsid w:val="539B1FD4"/>
    <w:rsid w:val="53A3200E"/>
    <w:rsid w:val="53B13BBE"/>
    <w:rsid w:val="53C02053"/>
    <w:rsid w:val="53C90F08"/>
    <w:rsid w:val="53D63625"/>
    <w:rsid w:val="53E2021C"/>
    <w:rsid w:val="53F32429"/>
    <w:rsid w:val="53FC12DE"/>
    <w:rsid w:val="54012529"/>
    <w:rsid w:val="54051908"/>
    <w:rsid w:val="540E7126"/>
    <w:rsid w:val="541969E6"/>
    <w:rsid w:val="543071D9"/>
    <w:rsid w:val="545000DE"/>
    <w:rsid w:val="546155E5"/>
    <w:rsid w:val="548337AD"/>
    <w:rsid w:val="548412D3"/>
    <w:rsid w:val="54890697"/>
    <w:rsid w:val="54933CA6"/>
    <w:rsid w:val="549B47CC"/>
    <w:rsid w:val="54A656ED"/>
    <w:rsid w:val="54AA132A"/>
    <w:rsid w:val="54B75204"/>
    <w:rsid w:val="54B90F7D"/>
    <w:rsid w:val="54C55B73"/>
    <w:rsid w:val="54D51B2F"/>
    <w:rsid w:val="54F40207"/>
    <w:rsid w:val="54F47D11"/>
    <w:rsid w:val="54F75F49"/>
    <w:rsid w:val="54FC355F"/>
    <w:rsid w:val="55010481"/>
    <w:rsid w:val="551C150B"/>
    <w:rsid w:val="55320D2F"/>
    <w:rsid w:val="55344AA7"/>
    <w:rsid w:val="553D1BAE"/>
    <w:rsid w:val="55521AC9"/>
    <w:rsid w:val="5553075C"/>
    <w:rsid w:val="555C7B5A"/>
    <w:rsid w:val="55781E6C"/>
    <w:rsid w:val="557E675B"/>
    <w:rsid w:val="558C7A4D"/>
    <w:rsid w:val="55915F80"/>
    <w:rsid w:val="55971D20"/>
    <w:rsid w:val="55B47996"/>
    <w:rsid w:val="55CA793F"/>
    <w:rsid w:val="55CF47D0"/>
    <w:rsid w:val="55DB13C7"/>
    <w:rsid w:val="55E646B3"/>
    <w:rsid w:val="55F14235"/>
    <w:rsid w:val="55F847C8"/>
    <w:rsid w:val="55FC0515"/>
    <w:rsid w:val="56091E79"/>
    <w:rsid w:val="56186177"/>
    <w:rsid w:val="561F3061"/>
    <w:rsid w:val="56290384"/>
    <w:rsid w:val="56334D5F"/>
    <w:rsid w:val="56466840"/>
    <w:rsid w:val="56483F22"/>
    <w:rsid w:val="565D3FE6"/>
    <w:rsid w:val="565F3DA6"/>
    <w:rsid w:val="56772E9D"/>
    <w:rsid w:val="567A298E"/>
    <w:rsid w:val="56954A0E"/>
    <w:rsid w:val="569577C7"/>
    <w:rsid w:val="5697353F"/>
    <w:rsid w:val="56B539C6"/>
    <w:rsid w:val="56B75990"/>
    <w:rsid w:val="56CF0F2B"/>
    <w:rsid w:val="57030BD5"/>
    <w:rsid w:val="57142DD0"/>
    <w:rsid w:val="571A5ECC"/>
    <w:rsid w:val="57346FE0"/>
    <w:rsid w:val="573568B4"/>
    <w:rsid w:val="57364B06"/>
    <w:rsid w:val="573653B0"/>
    <w:rsid w:val="573838EF"/>
    <w:rsid w:val="5765719A"/>
    <w:rsid w:val="57680A38"/>
    <w:rsid w:val="579161E1"/>
    <w:rsid w:val="57A31A70"/>
    <w:rsid w:val="57AC1F91"/>
    <w:rsid w:val="57AE0B41"/>
    <w:rsid w:val="57AE40A9"/>
    <w:rsid w:val="57BB2CCB"/>
    <w:rsid w:val="57C540DC"/>
    <w:rsid w:val="57DD4F82"/>
    <w:rsid w:val="57E44562"/>
    <w:rsid w:val="57EC1669"/>
    <w:rsid w:val="580A7D41"/>
    <w:rsid w:val="581C558A"/>
    <w:rsid w:val="58207565"/>
    <w:rsid w:val="58267675"/>
    <w:rsid w:val="58313520"/>
    <w:rsid w:val="583176C1"/>
    <w:rsid w:val="58394A78"/>
    <w:rsid w:val="58476BBE"/>
    <w:rsid w:val="584A4889"/>
    <w:rsid w:val="584B7FA3"/>
    <w:rsid w:val="58501BF8"/>
    <w:rsid w:val="586C4558"/>
    <w:rsid w:val="586C6306"/>
    <w:rsid w:val="5878703E"/>
    <w:rsid w:val="588310FC"/>
    <w:rsid w:val="58845D45"/>
    <w:rsid w:val="58953AAF"/>
    <w:rsid w:val="589F492D"/>
    <w:rsid w:val="58B73A25"/>
    <w:rsid w:val="58B97B99"/>
    <w:rsid w:val="58BA0C53"/>
    <w:rsid w:val="58D2260D"/>
    <w:rsid w:val="58D81FD1"/>
    <w:rsid w:val="58D9746D"/>
    <w:rsid w:val="58EF69A5"/>
    <w:rsid w:val="58FA7DB6"/>
    <w:rsid w:val="58FF53CC"/>
    <w:rsid w:val="591E3AA4"/>
    <w:rsid w:val="592D1F39"/>
    <w:rsid w:val="5935077A"/>
    <w:rsid w:val="593C217C"/>
    <w:rsid w:val="594C6863"/>
    <w:rsid w:val="59526FF3"/>
    <w:rsid w:val="5960230F"/>
    <w:rsid w:val="59613991"/>
    <w:rsid w:val="596160B9"/>
    <w:rsid w:val="59637709"/>
    <w:rsid w:val="597A73EC"/>
    <w:rsid w:val="597C6A1D"/>
    <w:rsid w:val="59875AED"/>
    <w:rsid w:val="59890A9F"/>
    <w:rsid w:val="59926240"/>
    <w:rsid w:val="5998713C"/>
    <w:rsid w:val="59A17ACF"/>
    <w:rsid w:val="59A651FF"/>
    <w:rsid w:val="59B91A1F"/>
    <w:rsid w:val="59BE7035"/>
    <w:rsid w:val="59C30027"/>
    <w:rsid w:val="59C70970"/>
    <w:rsid w:val="59D87766"/>
    <w:rsid w:val="59DF097B"/>
    <w:rsid w:val="59F91E1B"/>
    <w:rsid w:val="5A111CDF"/>
    <w:rsid w:val="5A142F92"/>
    <w:rsid w:val="5A1454E6"/>
    <w:rsid w:val="5A1924BD"/>
    <w:rsid w:val="5A1B4488"/>
    <w:rsid w:val="5A23432A"/>
    <w:rsid w:val="5A2C21F1"/>
    <w:rsid w:val="5A4438FE"/>
    <w:rsid w:val="5A47702B"/>
    <w:rsid w:val="5A5D1054"/>
    <w:rsid w:val="5A67147B"/>
    <w:rsid w:val="5A6F5526"/>
    <w:rsid w:val="5A7013AB"/>
    <w:rsid w:val="5A740E30"/>
    <w:rsid w:val="5A767910"/>
    <w:rsid w:val="5A791111"/>
    <w:rsid w:val="5A8A32B5"/>
    <w:rsid w:val="5A902780"/>
    <w:rsid w:val="5A90452E"/>
    <w:rsid w:val="5A952E8C"/>
    <w:rsid w:val="5A987886"/>
    <w:rsid w:val="5AAC50E0"/>
    <w:rsid w:val="5AAE70AA"/>
    <w:rsid w:val="5AB10EDB"/>
    <w:rsid w:val="5AB3646E"/>
    <w:rsid w:val="5AB67D0C"/>
    <w:rsid w:val="5ABA1C31"/>
    <w:rsid w:val="5ABB5323"/>
    <w:rsid w:val="5ABC44A3"/>
    <w:rsid w:val="5AC127D2"/>
    <w:rsid w:val="5AC266B1"/>
    <w:rsid w:val="5ACD5782"/>
    <w:rsid w:val="5AD00DCE"/>
    <w:rsid w:val="5AE623A0"/>
    <w:rsid w:val="5AEC7133"/>
    <w:rsid w:val="5AF745AD"/>
    <w:rsid w:val="5AF874AD"/>
    <w:rsid w:val="5B062A42"/>
    <w:rsid w:val="5B096777"/>
    <w:rsid w:val="5B0B62AA"/>
    <w:rsid w:val="5B242EC8"/>
    <w:rsid w:val="5B321A89"/>
    <w:rsid w:val="5B345801"/>
    <w:rsid w:val="5B3752F1"/>
    <w:rsid w:val="5B5714EF"/>
    <w:rsid w:val="5B6D19DB"/>
    <w:rsid w:val="5B70610D"/>
    <w:rsid w:val="5B721E85"/>
    <w:rsid w:val="5B765E19"/>
    <w:rsid w:val="5B81656C"/>
    <w:rsid w:val="5B8A3673"/>
    <w:rsid w:val="5B8B3E48"/>
    <w:rsid w:val="5BAD7361"/>
    <w:rsid w:val="5BB95D06"/>
    <w:rsid w:val="5BCC5A39"/>
    <w:rsid w:val="5BCF1086"/>
    <w:rsid w:val="5BD11967"/>
    <w:rsid w:val="5BD15ABE"/>
    <w:rsid w:val="5BD82630"/>
    <w:rsid w:val="5BEC37C7"/>
    <w:rsid w:val="5BF44F90"/>
    <w:rsid w:val="5C090A3C"/>
    <w:rsid w:val="5C1318BA"/>
    <w:rsid w:val="5C133668"/>
    <w:rsid w:val="5C1E38A5"/>
    <w:rsid w:val="5C3653AF"/>
    <w:rsid w:val="5C376F94"/>
    <w:rsid w:val="5C427AAA"/>
    <w:rsid w:val="5C531CB7"/>
    <w:rsid w:val="5C602626"/>
    <w:rsid w:val="5C657C3C"/>
    <w:rsid w:val="5C664513"/>
    <w:rsid w:val="5C6C4B26"/>
    <w:rsid w:val="5C860045"/>
    <w:rsid w:val="5C961809"/>
    <w:rsid w:val="5C9F314E"/>
    <w:rsid w:val="5CA87AE6"/>
    <w:rsid w:val="5CAE15E3"/>
    <w:rsid w:val="5CB562D2"/>
    <w:rsid w:val="5CC130C4"/>
    <w:rsid w:val="5CC35CB2"/>
    <w:rsid w:val="5CC46711"/>
    <w:rsid w:val="5CC74453"/>
    <w:rsid w:val="5CE15514"/>
    <w:rsid w:val="5CE60D7D"/>
    <w:rsid w:val="5CF820A4"/>
    <w:rsid w:val="5CFC40FC"/>
    <w:rsid w:val="5D0024AC"/>
    <w:rsid w:val="5D086F45"/>
    <w:rsid w:val="5D0C00B7"/>
    <w:rsid w:val="5D101956"/>
    <w:rsid w:val="5D221689"/>
    <w:rsid w:val="5D272BC8"/>
    <w:rsid w:val="5D447851"/>
    <w:rsid w:val="5D467A6D"/>
    <w:rsid w:val="5D537A94"/>
    <w:rsid w:val="5D563694"/>
    <w:rsid w:val="5D5C0005"/>
    <w:rsid w:val="5D635F29"/>
    <w:rsid w:val="5D6D0B56"/>
    <w:rsid w:val="5D8244AA"/>
    <w:rsid w:val="5D885990"/>
    <w:rsid w:val="5D944335"/>
    <w:rsid w:val="5D9562FF"/>
    <w:rsid w:val="5DA30A1C"/>
    <w:rsid w:val="5DA6050C"/>
    <w:rsid w:val="5DA87DE0"/>
    <w:rsid w:val="5DB03139"/>
    <w:rsid w:val="5DC36855"/>
    <w:rsid w:val="5DC54774"/>
    <w:rsid w:val="5DD0647C"/>
    <w:rsid w:val="5DD230AF"/>
    <w:rsid w:val="5DD76029"/>
    <w:rsid w:val="5DE51034"/>
    <w:rsid w:val="5DF179D9"/>
    <w:rsid w:val="5DFC5261"/>
    <w:rsid w:val="5DFE20F6"/>
    <w:rsid w:val="5E0A45F7"/>
    <w:rsid w:val="5E13248A"/>
    <w:rsid w:val="5E135354"/>
    <w:rsid w:val="5E145476"/>
    <w:rsid w:val="5E197D0A"/>
    <w:rsid w:val="5E267EC8"/>
    <w:rsid w:val="5E3D3BE5"/>
    <w:rsid w:val="5E46461D"/>
    <w:rsid w:val="5E5800D8"/>
    <w:rsid w:val="5E5E2B95"/>
    <w:rsid w:val="5E687B70"/>
    <w:rsid w:val="5E744166"/>
    <w:rsid w:val="5E7D74BF"/>
    <w:rsid w:val="5E846139"/>
    <w:rsid w:val="5E8719B0"/>
    <w:rsid w:val="5E93283E"/>
    <w:rsid w:val="5E977A67"/>
    <w:rsid w:val="5E9860A7"/>
    <w:rsid w:val="5E9F5687"/>
    <w:rsid w:val="5EA26F25"/>
    <w:rsid w:val="5EA66A16"/>
    <w:rsid w:val="5EAE7678"/>
    <w:rsid w:val="5EB15437"/>
    <w:rsid w:val="5EC61DC6"/>
    <w:rsid w:val="5EE4753E"/>
    <w:rsid w:val="5EE65064"/>
    <w:rsid w:val="5EF534F9"/>
    <w:rsid w:val="5EFD0600"/>
    <w:rsid w:val="5F0B4F92"/>
    <w:rsid w:val="5F166FCB"/>
    <w:rsid w:val="5F180F96"/>
    <w:rsid w:val="5F1F0576"/>
    <w:rsid w:val="5F2F125F"/>
    <w:rsid w:val="5F30008D"/>
    <w:rsid w:val="5F3D27AA"/>
    <w:rsid w:val="5F435542"/>
    <w:rsid w:val="5F453294"/>
    <w:rsid w:val="5F455138"/>
    <w:rsid w:val="5F465B03"/>
    <w:rsid w:val="5F4A6B4E"/>
    <w:rsid w:val="5F526256"/>
    <w:rsid w:val="5F57386C"/>
    <w:rsid w:val="5F584042"/>
    <w:rsid w:val="5F5F6BC4"/>
    <w:rsid w:val="5F6146EB"/>
    <w:rsid w:val="5F695772"/>
    <w:rsid w:val="5F6B5569"/>
    <w:rsid w:val="5F6F10F2"/>
    <w:rsid w:val="5F7822AB"/>
    <w:rsid w:val="5F84172F"/>
    <w:rsid w:val="5F881C77"/>
    <w:rsid w:val="5F93061C"/>
    <w:rsid w:val="5F9C1BC7"/>
    <w:rsid w:val="5F9C5723"/>
    <w:rsid w:val="5F9F3465"/>
    <w:rsid w:val="5FA12D39"/>
    <w:rsid w:val="5FA82319"/>
    <w:rsid w:val="5FCF3D4A"/>
    <w:rsid w:val="5FD96977"/>
    <w:rsid w:val="5FE33352"/>
    <w:rsid w:val="5FED2422"/>
    <w:rsid w:val="5FF53085"/>
    <w:rsid w:val="6004728E"/>
    <w:rsid w:val="60086116"/>
    <w:rsid w:val="60340051"/>
    <w:rsid w:val="60360D16"/>
    <w:rsid w:val="60425D0F"/>
    <w:rsid w:val="604F240F"/>
    <w:rsid w:val="609B00D0"/>
    <w:rsid w:val="60B371C8"/>
    <w:rsid w:val="60B455AA"/>
    <w:rsid w:val="60BA0556"/>
    <w:rsid w:val="60CF2D92"/>
    <w:rsid w:val="60EB4BB4"/>
    <w:rsid w:val="60F129E1"/>
    <w:rsid w:val="60F81D9E"/>
    <w:rsid w:val="60F92D32"/>
    <w:rsid w:val="61002482"/>
    <w:rsid w:val="61025A59"/>
    <w:rsid w:val="611D0AE5"/>
    <w:rsid w:val="61202662"/>
    <w:rsid w:val="6122434D"/>
    <w:rsid w:val="6138147B"/>
    <w:rsid w:val="613B0F6B"/>
    <w:rsid w:val="614222D7"/>
    <w:rsid w:val="614F4F63"/>
    <w:rsid w:val="61514191"/>
    <w:rsid w:val="61565DA5"/>
    <w:rsid w:val="61624289"/>
    <w:rsid w:val="61630BEE"/>
    <w:rsid w:val="618059B4"/>
    <w:rsid w:val="618860A5"/>
    <w:rsid w:val="618943CD"/>
    <w:rsid w:val="618E15AD"/>
    <w:rsid w:val="619071A0"/>
    <w:rsid w:val="619E1C26"/>
    <w:rsid w:val="61B85987"/>
    <w:rsid w:val="61C176C2"/>
    <w:rsid w:val="61C64CD9"/>
    <w:rsid w:val="61CA444D"/>
    <w:rsid w:val="61D218D0"/>
    <w:rsid w:val="61F335F4"/>
    <w:rsid w:val="61F93300"/>
    <w:rsid w:val="62175534"/>
    <w:rsid w:val="621F43E9"/>
    <w:rsid w:val="62265778"/>
    <w:rsid w:val="62344338"/>
    <w:rsid w:val="62347E94"/>
    <w:rsid w:val="623600B0"/>
    <w:rsid w:val="623C143F"/>
    <w:rsid w:val="62400DDA"/>
    <w:rsid w:val="624A7DF8"/>
    <w:rsid w:val="624D4042"/>
    <w:rsid w:val="625B7B17"/>
    <w:rsid w:val="62727EF0"/>
    <w:rsid w:val="62772DCA"/>
    <w:rsid w:val="628506F0"/>
    <w:rsid w:val="628801E0"/>
    <w:rsid w:val="628A0885"/>
    <w:rsid w:val="62A212A2"/>
    <w:rsid w:val="62A2189B"/>
    <w:rsid w:val="62AC0373"/>
    <w:rsid w:val="62BD432E"/>
    <w:rsid w:val="62C4410D"/>
    <w:rsid w:val="62C70D09"/>
    <w:rsid w:val="62D54B62"/>
    <w:rsid w:val="62DE3432"/>
    <w:rsid w:val="62E713AB"/>
    <w:rsid w:val="62E86A38"/>
    <w:rsid w:val="62F70A87"/>
    <w:rsid w:val="63041F5D"/>
    <w:rsid w:val="63073C66"/>
    <w:rsid w:val="631A075A"/>
    <w:rsid w:val="631F28F3"/>
    <w:rsid w:val="632048BD"/>
    <w:rsid w:val="632919C3"/>
    <w:rsid w:val="63473E01"/>
    <w:rsid w:val="63585E05"/>
    <w:rsid w:val="635A7DCF"/>
    <w:rsid w:val="635C7888"/>
    <w:rsid w:val="635F7193"/>
    <w:rsid w:val="636E5628"/>
    <w:rsid w:val="638210D3"/>
    <w:rsid w:val="6391074D"/>
    <w:rsid w:val="6397692D"/>
    <w:rsid w:val="639A01CB"/>
    <w:rsid w:val="63B357B8"/>
    <w:rsid w:val="63BA086D"/>
    <w:rsid w:val="63BA35CC"/>
    <w:rsid w:val="63CD05A1"/>
    <w:rsid w:val="63D7141F"/>
    <w:rsid w:val="63EA386F"/>
    <w:rsid w:val="63FE2C62"/>
    <w:rsid w:val="64063AB3"/>
    <w:rsid w:val="64124C4E"/>
    <w:rsid w:val="6417181C"/>
    <w:rsid w:val="641A490A"/>
    <w:rsid w:val="641F014B"/>
    <w:rsid w:val="64412D3D"/>
    <w:rsid w:val="64506E11"/>
    <w:rsid w:val="64516980"/>
    <w:rsid w:val="64526CF8"/>
    <w:rsid w:val="646A4041"/>
    <w:rsid w:val="647F2B70"/>
    <w:rsid w:val="648669A1"/>
    <w:rsid w:val="64874BF3"/>
    <w:rsid w:val="649B41FB"/>
    <w:rsid w:val="649D6039"/>
    <w:rsid w:val="64A31301"/>
    <w:rsid w:val="64BD5738"/>
    <w:rsid w:val="64C5396E"/>
    <w:rsid w:val="64DA7905"/>
    <w:rsid w:val="64F8789F"/>
    <w:rsid w:val="64F953C5"/>
    <w:rsid w:val="65037FF2"/>
    <w:rsid w:val="65075028"/>
    <w:rsid w:val="65136487"/>
    <w:rsid w:val="651B533C"/>
    <w:rsid w:val="653B59DE"/>
    <w:rsid w:val="65420B1A"/>
    <w:rsid w:val="65532D27"/>
    <w:rsid w:val="65572CA9"/>
    <w:rsid w:val="655B3F7A"/>
    <w:rsid w:val="65747859"/>
    <w:rsid w:val="6577520F"/>
    <w:rsid w:val="657F58CB"/>
    <w:rsid w:val="65867FC7"/>
    <w:rsid w:val="6588650D"/>
    <w:rsid w:val="65890FF7"/>
    <w:rsid w:val="658E3D60"/>
    <w:rsid w:val="658F191F"/>
    <w:rsid w:val="6595496B"/>
    <w:rsid w:val="659B022A"/>
    <w:rsid w:val="65A25A5D"/>
    <w:rsid w:val="65A92947"/>
    <w:rsid w:val="65AC5C01"/>
    <w:rsid w:val="65AD6914"/>
    <w:rsid w:val="65B03CD6"/>
    <w:rsid w:val="65BA2017"/>
    <w:rsid w:val="65BC08CD"/>
    <w:rsid w:val="65D5373C"/>
    <w:rsid w:val="65D73958"/>
    <w:rsid w:val="65DF6369"/>
    <w:rsid w:val="65F03C9B"/>
    <w:rsid w:val="65F10D2C"/>
    <w:rsid w:val="65F237B6"/>
    <w:rsid w:val="65F31E15"/>
    <w:rsid w:val="65FA7647"/>
    <w:rsid w:val="66006004"/>
    <w:rsid w:val="66057B86"/>
    <w:rsid w:val="661A1A97"/>
    <w:rsid w:val="6626043C"/>
    <w:rsid w:val="6635242D"/>
    <w:rsid w:val="663A3EE7"/>
    <w:rsid w:val="665723A3"/>
    <w:rsid w:val="665E1984"/>
    <w:rsid w:val="665E3732"/>
    <w:rsid w:val="665F56FC"/>
    <w:rsid w:val="666A4362"/>
    <w:rsid w:val="667F18FA"/>
    <w:rsid w:val="66896F80"/>
    <w:rsid w:val="668A2779"/>
    <w:rsid w:val="66901F2E"/>
    <w:rsid w:val="669E1C6B"/>
    <w:rsid w:val="669E7FD2"/>
    <w:rsid w:val="66A355E9"/>
    <w:rsid w:val="66B05341"/>
    <w:rsid w:val="66B970EE"/>
    <w:rsid w:val="66BF1E45"/>
    <w:rsid w:val="66C517B1"/>
    <w:rsid w:val="66C51A03"/>
    <w:rsid w:val="66D460EA"/>
    <w:rsid w:val="66D54DD5"/>
    <w:rsid w:val="66DB2FD4"/>
    <w:rsid w:val="66DE7F19"/>
    <w:rsid w:val="66E16111"/>
    <w:rsid w:val="66E63625"/>
    <w:rsid w:val="66E7670E"/>
    <w:rsid w:val="66ED2D08"/>
    <w:rsid w:val="66FB3677"/>
    <w:rsid w:val="66FD2CAB"/>
    <w:rsid w:val="670F3AA3"/>
    <w:rsid w:val="6723497B"/>
    <w:rsid w:val="6727446C"/>
    <w:rsid w:val="673318F1"/>
    <w:rsid w:val="67332E10"/>
    <w:rsid w:val="67381478"/>
    <w:rsid w:val="674C4941"/>
    <w:rsid w:val="67541119"/>
    <w:rsid w:val="6759039D"/>
    <w:rsid w:val="675C5183"/>
    <w:rsid w:val="675D326D"/>
    <w:rsid w:val="676A6C30"/>
    <w:rsid w:val="677254F4"/>
    <w:rsid w:val="67803B7C"/>
    <w:rsid w:val="67884299"/>
    <w:rsid w:val="678A7265"/>
    <w:rsid w:val="679D472E"/>
    <w:rsid w:val="67AC4971"/>
    <w:rsid w:val="67B53825"/>
    <w:rsid w:val="67B6134C"/>
    <w:rsid w:val="67C25F42"/>
    <w:rsid w:val="67C37D04"/>
    <w:rsid w:val="67D22629"/>
    <w:rsid w:val="67D55C76"/>
    <w:rsid w:val="67EE6FBC"/>
    <w:rsid w:val="67F26828"/>
    <w:rsid w:val="67F33E52"/>
    <w:rsid w:val="67FD51CC"/>
    <w:rsid w:val="68182006"/>
    <w:rsid w:val="681A5D7E"/>
    <w:rsid w:val="681B566D"/>
    <w:rsid w:val="681C5653"/>
    <w:rsid w:val="681D4424"/>
    <w:rsid w:val="68273FF7"/>
    <w:rsid w:val="68282249"/>
    <w:rsid w:val="682C4FBF"/>
    <w:rsid w:val="68372919"/>
    <w:rsid w:val="6844104D"/>
    <w:rsid w:val="684E77D6"/>
    <w:rsid w:val="685079F2"/>
    <w:rsid w:val="68680898"/>
    <w:rsid w:val="68882CE8"/>
    <w:rsid w:val="688A4CB2"/>
    <w:rsid w:val="689F0032"/>
    <w:rsid w:val="68AF4719"/>
    <w:rsid w:val="68B50051"/>
    <w:rsid w:val="68BC5088"/>
    <w:rsid w:val="68CC52CB"/>
    <w:rsid w:val="68D128E1"/>
    <w:rsid w:val="68DF5E64"/>
    <w:rsid w:val="68E51EE8"/>
    <w:rsid w:val="68EE6FEC"/>
    <w:rsid w:val="68F55EA4"/>
    <w:rsid w:val="69004F74"/>
    <w:rsid w:val="69086C2A"/>
    <w:rsid w:val="690F6F65"/>
    <w:rsid w:val="69117181"/>
    <w:rsid w:val="69201173"/>
    <w:rsid w:val="69286279"/>
    <w:rsid w:val="692D2718"/>
    <w:rsid w:val="692F13B6"/>
    <w:rsid w:val="69390486"/>
    <w:rsid w:val="69482477"/>
    <w:rsid w:val="696B4909"/>
    <w:rsid w:val="697A2F79"/>
    <w:rsid w:val="699D0A15"/>
    <w:rsid w:val="69A929F6"/>
    <w:rsid w:val="69AF296E"/>
    <w:rsid w:val="69B0699A"/>
    <w:rsid w:val="69B12712"/>
    <w:rsid w:val="69B63885"/>
    <w:rsid w:val="69BD4C13"/>
    <w:rsid w:val="69D02B99"/>
    <w:rsid w:val="69DF2DDC"/>
    <w:rsid w:val="69E91EAC"/>
    <w:rsid w:val="69EC2B8E"/>
    <w:rsid w:val="6A2627B9"/>
    <w:rsid w:val="6A2C1D99"/>
    <w:rsid w:val="6A333127"/>
    <w:rsid w:val="6A481D41"/>
    <w:rsid w:val="6A4A4F08"/>
    <w:rsid w:val="6A512E17"/>
    <w:rsid w:val="6A55309E"/>
    <w:rsid w:val="6A6D488B"/>
    <w:rsid w:val="6A742C86"/>
    <w:rsid w:val="6A7C687C"/>
    <w:rsid w:val="6A841BD5"/>
    <w:rsid w:val="6A885221"/>
    <w:rsid w:val="6A9051B8"/>
    <w:rsid w:val="6A9A5B6B"/>
    <w:rsid w:val="6AAB0F10"/>
    <w:rsid w:val="6AB853DB"/>
    <w:rsid w:val="6ABA55F7"/>
    <w:rsid w:val="6AC23DD9"/>
    <w:rsid w:val="6AC6529E"/>
    <w:rsid w:val="6ACF2E50"/>
    <w:rsid w:val="6AD8677C"/>
    <w:rsid w:val="6AE508C6"/>
    <w:rsid w:val="6B0540E0"/>
    <w:rsid w:val="6B083784"/>
    <w:rsid w:val="6B0A2279"/>
    <w:rsid w:val="6B0F5943"/>
    <w:rsid w:val="6B2009D5"/>
    <w:rsid w:val="6B20545A"/>
    <w:rsid w:val="6B2A0087"/>
    <w:rsid w:val="6B4C26F3"/>
    <w:rsid w:val="6B532B05"/>
    <w:rsid w:val="6B5C0BAE"/>
    <w:rsid w:val="6B623045"/>
    <w:rsid w:val="6B741C4A"/>
    <w:rsid w:val="6B7660BC"/>
    <w:rsid w:val="6B7B6B34"/>
    <w:rsid w:val="6B916358"/>
    <w:rsid w:val="6B95409A"/>
    <w:rsid w:val="6BAC4F3F"/>
    <w:rsid w:val="6BAD2A66"/>
    <w:rsid w:val="6BB107A8"/>
    <w:rsid w:val="6BB92A33"/>
    <w:rsid w:val="6BBB1626"/>
    <w:rsid w:val="6BBB33D4"/>
    <w:rsid w:val="6BC26511"/>
    <w:rsid w:val="6BC739B0"/>
    <w:rsid w:val="6BC73B27"/>
    <w:rsid w:val="6BC77FCB"/>
    <w:rsid w:val="6BCE135A"/>
    <w:rsid w:val="6BCE3108"/>
    <w:rsid w:val="6BD67A5C"/>
    <w:rsid w:val="6BF80185"/>
    <w:rsid w:val="6C071083"/>
    <w:rsid w:val="6C1F1BB5"/>
    <w:rsid w:val="6C1F3963"/>
    <w:rsid w:val="6C264CF2"/>
    <w:rsid w:val="6C3534BF"/>
    <w:rsid w:val="6C3A4EB6"/>
    <w:rsid w:val="6C403F43"/>
    <w:rsid w:val="6C554C34"/>
    <w:rsid w:val="6C567661"/>
    <w:rsid w:val="6C580C23"/>
    <w:rsid w:val="6C613F7C"/>
    <w:rsid w:val="6C615D2A"/>
    <w:rsid w:val="6C637539"/>
    <w:rsid w:val="6C7812C6"/>
    <w:rsid w:val="6C7D4B2E"/>
    <w:rsid w:val="6C846341"/>
    <w:rsid w:val="6C8D2FC3"/>
    <w:rsid w:val="6C904861"/>
    <w:rsid w:val="6C953C26"/>
    <w:rsid w:val="6CA332C1"/>
    <w:rsid w:val="6CA35F05"/>
    <w:rsid w:val="6CBB6FD8"/>
    <w:rsid w:val="6CBC7B76"/>
    <w:rsid w:val="6CC12C6C"/>
    <w:rsid w:val="6CC85DA9"/>
    <w:rsid w:val="6CCF1A7B"/>
    <w:rsid w:val="6CE95D1F"/>
    <w:rsid w:val="6CFC155D"/>
    <w:rsid w:val="6D1F1741"/>
    <w:rsid w:val="6D266C9A"/>
    <w:rsid w:val="6D457B5A"/>
    <w:rsid w:val="6D4D2752"/>
    <w:rsid w:val="6D5835D1"/>
    <w:rsid w:val="6D745F31"/>
    <w:rsid w:val="6D8343C6"/>
    <w:rsid w:val="6D8617C0"/>
    <w:rsid w:val="6D8C05D6"/>
    <w:rsid w:val="6D8E2216"/>
    <w:rsid w:val="6D957AEC"/>
    <w:rsid w:val="6D9640F9"/>
    <w:rsid w:val="6DA85BDA"/>
    <w:rsid w:val="6DAA54AF"/>
    <w:rsid w:val="6DB51925"/>
    <w:rsid w:val="6DB602F7"/>
    <w:rsid w:val="6DB620A5"/>
    <w:rsid w:val="6DC347C2"/>
    <w:rsid w:val="6DE54372"/>
    <w:rsid w:val="6DEE5CE3"/>
    <w:rsid w:val="6DEF4CE9"/>
    <w:rsid w:val="6E032E11"/>
    <w:rsid w:val="6E210E19"/>
    <w:rsid w:val="6E22598D"/>
    <w:rsid w:val="6E241705"/>
    <w:rsid w:val="6E292877"/>
    <w:rsid w:val="6E3B6A4F"/>
    <w:rsid w:val="6E445903"/>
    <w:rsid w:val="6E445FFF"/>
    <w:rsid w:val="6E471756"/>
    <w:rsid w:val="6E4753F3"/>
    <w:rsid w:val="6E5042A8"/>
    <w:rsid w:val="6E544255"/>
    <w:rsid w:val="6E5C0E9F"/>
    <w:rsid w:val="6E5D4CFC"/>
    <w:rsid w:val="6E637175"/>
    <w:rsid w:val="6E777A87"/>
    <w:rsid w:val="6E7D4EB7"/>
    <w:rsid w:val="6E8C2E06"/>
    <w:rsid w:val="6E9267D3"/>
    <w:rsid w:val="6EA97E5C"/>
    <w:rsid w:val="6EAC4CE5"/>
    <w:rsid w:val="6EC90424"/>
    <w:rsid w:val="6ED22195"/>
    <w:rsid w:val="6ED66714"/>
    <w:rsid w:val="6ED722D3"/>
    <w:rsid w:val="6EDE7B06"/>
    <w:rsid w:val="6EDF1A89"/>
    <w:rsid w:val="6EE13152"/>
    <w:rsid w:val="6EE40E94"/>
    <w:rsid w:val="6EF03395"/>
    <w:rsid w:val="6EF2710D"/>
    <w:rsid w:val="6EF36B68"/>
    <w:rsid w:val="6F0A08FB"/>
    <w:rsid w:val="6F1D3569"/>
    <w:rsid w:val="6F1E713A"/>
    <w:rsid w:val="6F2F0361"/>
    <w:rsid w:val="6F3757AB"/>
    <w:rsid w:val="6F377380"/>
    <w:rsid w:val="6F3E05A4"/>
    <w:rsid w:val="6F433E0D"/>
    <w:rsid w:val="6F524050"/>
    <w:rsid w:val="6F5558EE"/>
    <w:rsid w:val="6F6A1399"/>
    <w:rsid w:val="6F6D0A2A"/>
    <w:rsid w:val="6F7B7E0B"/>
    <w:rsid w:val="6F97048C"/>
    <w:rsid w:val="6F990D06"/>
    <w:rsid w:val="6F997ED1"/>
    <w:rsid w:val="6FA005F7"/>
    <w:rsid w:val="6FAD74D8"/>
    <w:rsid w:val="6FB22D40"/>
    <w:rsid w:val="6FBD596D"/>
    <w:rsid w:val="6FCF56A0"/>
    <w:rsid w:val="6FE0340A"/>
    <w:rsid w:val="6FEB0B81"/>
    <w:rsid w:val="6FF670D1"/>
    <w:rsid w:val="6FFA3255"/>
    <w:rsid w:val="70003AAC"/>
    <w:rsid w:val="700A6A83"/>
    <w:rsid w:val="700B6914"/>
    <w:rsid w:val="700E505F"/>
    <w:rsid w:val="70141305"/>
    <w:rsid w:val="70207981"/>
    <w:rsid w:val="702552C0"/>
    <w:rsid w:val="702A28D7"/>
    <w:rsid w:val="702A4CA8"/>
    <w:rsid w:val="70311913"/>
    <w:rsid w:val="7040659E"/>
    <w:rsid w:val="70433998"/>
    <w:rsid w:val="70455963"/>
    <w:rsid w:val="70500692"/>
    <w:rsid w:val="705F6A24"/>
    <w:rsid w:val="706109EE"/>
    <w:rsid w:val="70637B3F"/>
    <w:rsid w:val="70781894"/>
    <w:rsid w:val="708C3591"/>
    <w:rsid w:val="708E10B8"/>
    <w:rsid w:val="709F2893"/>
    <w:rsid w:val="70A24B63"/>
    <w:rsid w:val="70B36D70"/>
    <w:rsid w:val="70CE7706"/>
    <w:rsid w:val="70DF36C1"/>
    <w:rsid w:val="70E138DD"/>
    <w:rsid w:val="70E94540"/>
    <w:rsid w:val="70F25AEA"/>
    <w:rsid w:val="70FE623D"/>
    <w:rsid w:val="71214D96"/>
    <w:rsid w:val="7130216F"/>
    <w:rsid w:val="71325EE7"/>
    <w:rsid w:val="71412EFE"/>
    <w:rsid w:val="714479C8"/>
    <w:rsid w:val="7148570A"/>
    <w:rsid w:val="71566377"/>
    <w:rsid w:val="715E6CDC"/>
    <w:rsid w:val="71752277"/>
    <w:rsid w:val="718C36F6"/>
    <w:rsid w:val="719426FE"/>
    <w:rsid w:val="71950224"/>
    <w:rsid w:val="71A14E1B"/>
    <w:rsid w:val="71A16BC9"/>
    <w:rsid w:val="71A212BE"/>
    <w:rsid w:val="71AB5C99"/>
    <w:rsid w:val="71AF5789"/>
    <w:rsid w:val="71B57E05"/>
    <w:rsid w:val="71BB4CAC"/>
    <w:rsid w:val="71C01745"/>
    <w:rsid w:val="71DF1931"/>
    <w:rsid w:val="71DF7820"/>
    <w:rsid w:val="71E13469"/>
    <w:rsid w:val="71E35433"/>
    <w:rsid w:val="71E76CD1"/>
    <w:rsid w:val="71F413EE"/>
    <w:rsid w:val="71F47640"/>
    <w:rsid w:val="71FD22B9"/>
    <w:rsid w:val="71FD64F5"/>
    <w:rsid w:val="7202789C"/>
    <w:rsid w:val="72037883"/>
    <w:rsid w:val="720A4FF6"/>
    <w:rsid w:val="721455EC"/>
    <w:rsid w:val="72160DB2"/>
    <w:rsid w:val="721F2F12"/>
    <w:rsid w:val="72293FCA"/>
    <w:rsid w:val="722C2936"/>
    <w:rsid w:val="722C6DDA"/>
    <w:rsid w:val="723D2D95"/>
    <w:rsid w:val="725956F5"/>
    <w:rsid w:val="726245AA"/>
    <w:rsid w:val="72734A09"/>
    <w:rsid w:val="727F515C"/>
    <w:rsid w:val="72802C82"/>
    <w:rsid w:val="72873222"/>
    <w:rsid w:val="72964253"/>
    <w:rsid w:val="729F57FE"/>
    <w:rsid w:val="72AA064D"/>
    <w:rsid w:val="72BF1BF3"/>
    <w:rsid w:val="72C54B39"/>
    <w:rsid w:val="72D229A4"/>
    <w:rsid w:val="72DC258A"/>
    <w:rsid w:val="72DD6326"/>
    <w:rsid w:val="72DF51C9"/>
    <w:rsid w:val="72E41463"/>
    <w:rsid w:val="73095D79"/>
    <w:rsid w:val="734343DB"/>
    <w:rsid w:val="734359DE"/>
    <w:rsid w:val="734737A0"/>
    <w:rsid w:val="73700F48"/>
    <w:rsid w:val="73911753"/>
    <w:rsid w:val="73912374"/>
    <w:rsid w:val="73AF7B76"/>
    <w:rsid w:val="73CB3660"/>
    <w:rsid w:val="73D2575F"/>
    <w:rsid w:val="73E3796C"/>
    <w:rsid w:val="73EA3012"/>
    <w:rsid w:val="74022A74"/>
    <w:rsid w:val="74122B00"/>
    <w:rsid w:val="74321B65"/>
    <w:rsid w:val="74424470"/>
    <w:rsid w:val="7447028B"/>
    <w:rsid w:val="74480466"/>
    <w:rsid w:val="745368A0"/>
    <w:rsid w:val="74587A8E"/>
    <w:rsid w:val="74822CE1"/>
    <w:rsid w:val="7491561A"/>
    <w:rsid w:val="74A933A8"/>
    <w:rsid w:val="74CA3F6B"/>
    <w:rsid w:val="74CA5557"/>
    <w:rsid w:val="74D6127F"/>
    <w:rsid w:val="74DB6440"/>
    <w:rsid w:val="74DF0134"/>
    <w:rsid w:val="74E9541B"/>
    <w:rsid w:val="74FA1839"/>
    <w:rsid w:val="750556C0"/>
    <w:rsid w:val="750E6C6B"/>
    <w:rsid w:val="751D6EAE"/>
    <w:rsid w:val="752C3307"/>
    <w:rsid w:val="75383CE8"/>
    <w:rsid w:val="753A7A60"/>
    <w:rsid w:val="7549409D"/>
    <w:rsid w:val="75501031"/>
    <w:rsid w:val="75611901"/>
    <w:rsid w:val="759A22AD"/>
    <w:rsid w:val="75B415C0"/>
    <w:rsid w:val="75B50E95"/>
    <w:rsid w:val="75B84A72"/>
    <w:rsid w:val="75BC0475"/>
    <w:rsid w:val="75C13CDD"/>
    <w:rsid w:val="75C534E6"/>
    <w:rsid w:val="75CA2B92"/>
    <w:rsid w:val="75D03F20"/>
    <w:rsid w:val="75DB4D9F"/>
    <w:rsid w:val="75E023B5"/>
    <w:rsid w:val="75E44BC8"/>
    <w:rsid w:val="75E579CC"/>
    <w:rsid w:val="75E867DB"/>
    <w:rsid w:val="75EE7A68"/>
    <w:rsid w:val="75F907E4"/>
    <w:rsid w:val="76023EAA"/>
    <w:rsid w:val="760342F6"/>
    <w:rsid w:val="76092870"/>
    <w:rsid w:val="761402B1"/>
    <w:rsid w:val="762766F2"/>
    <w:rsid w:val="76312C11"/>
    <w:rsid w:val="76547160"/>
    <w:rsid w:val="76684159"/>
    <w:rsid w:val="7669683C"/>
    <w:rsid w:val="7671300D"/>
    <w:rsid w:val="76777490"/>
    <w:rsid w:val="767E397C"/>
    <w:rsid w:val="76850317"/>
    <w:rsid w:val="76852F5D"/>
    <w:rsid w:val="768865A9"/>
    <w:rsid w:val="76A809F9"/>
    <w:rsid w:val="76AE4262"/>
    <w:rsid w:val="76E159D1"/>
    <w:rsid w:val="76E41A31"/>
    <w:rsid w:val="76E61C4D"/>
    <w:rsid w:val="76F00637"/>
    <w:rsid w:val="76FD2AF3"/>
    <w:rsid w:val="76FD6F97"/>
    <w:rsid w:val="77084209"/>
    <w:rsid w:val="771826FF"/>
    <w:rsid w:val="772462D2"/>
    <w:rsid w:val="77387FCF"/>
    <w:rsid w:val="77444B0A"/>
    <w:rsid w:val="774B2B08"/>
    <w:rsid w:val="774C1A98"/>
    <w:rsid w:val="774D4AD7"/>
    <w:rsid w:val="774E334F"/>
    <w:rsid w:val="774E6E46"/>
    <w:rsid w:val="775F37AE"/>
    <w:rsid w:val="77684705"/>
    <w:rsid w:val="77701517"/>
    <w:rsid w:val="778379A5"/>
    <w:rsid w:val="77925931"/>
    <w:rsid w:val="779F217F"/>
    <w:rsid w:val="77A62DB2"/>
    <w:rsid w:val="77A80CB1"/>
    <w:rsid w:val="77A85521"/>
    <w:rsid w:val="77B44EF6"/>
    <w:rsid w:val="77BE04D4"/>
    <w:rsid w:val="77C20279"/>
    <w:rsid w:val="77C423C8"/>
    <w:rsid w:val="77CD4362"/>
    <w:rsid w:val="77D45F4A"/>
    <w:rsid w:val="77D870BC"/>
    <w:rsid w:val="77DE0CA2"/>
    <w:rsid w:val="77DE57B1"/>
    <w:rsid w:val="77ED700C"/>
    <w:rsid w:val="77F35CA4"/>
    <w:rsid w:val="78007B88"/>
    <w:rsid w:val="7801310F"/>
    <w:rsid w:val="78014865"/>
    <w:rsid w:val="78061E7B"/>
    <w:rsid w:val="780659D7"/>
    <w:rsid w:val="781E0F73"/>
    <w:rsid w:val="781F1403"/>
    <w:rsid w:val="782642CC"/>
    <w:rsid w:val="78350435"/>
    <w:rsid w:val="78436C2C"/>
    <w:rsid w:val="78462278"/>
    <w:rsid w:val="784D3606"/>
    <w:rsid w:val="7860333A"/>
    <w:rsid w:val="78760DAF"/>
    <w:rsid w:val="78794CDE"/>
    <w:rsid w:val="78857244"/>
    <w:rsid w:val="789456D9"/>
    <w:rsid w:val="78992912"/>
    <w:rsid w:val="789E3E62"/>
    <w:rsid w:val="789E449D"/>
    <w:rsid w:val="78AD0549"/>
    <w:rsid w:val="78AD22F7"/>
    <w:rsid w:val="78AE3CDA"/>
    <w:rsid w:val="78B864E3"/>
    <w:rsid w:val="78BA3D92"/>
    <w:rsid w:val="78BD1CCA"/>
    <w:rsid w:val="78CC4E73"/>
    <w:rsid w:val="78D6184E"/>
    <w:rsid w:val="78DE6A82"/>
    <w:rsid w:val="78E90DDB"/>
    <w:rsid w:val="78F341AE"/>
    <w:rsid w:val="79065AB5"/>
    <w:rsid w:val="7908577F"/>
    <w:rsid w:val="79134850"/>
    <w:rsid w:val="79226841"/>
    <w:rsid w:val="793C6F47"/>
    <w:rsid w:val="794964C4"/>
    <w:rsid w:val="797572B9"/>
    <w:rsid w:val="797F1EE5"/>
    <w:rsid w:val="79856DD0"/>
    <w:rsid w:val="79876FEC"/>
    <w:rsid w:val="7988058F"/>
    <w:rsid w:val="798B6ADC"/>
    <w:rsid w:val="79A400E8"/>
    <w:rsid w:val="79A5465B"/>
    <w:rsid w:val="79B25E17"/>
    <w:rsid w:val="79BF22E2"/>
    <w:rsid w:val="79C45B4A"/>
    <w:rsid w:val="79CB4C84"/>
    <w:rsid w:val="79E46056"/>
    <w:rsid w:val="79FB5AFF"/>
    <w:rsid w:val="7A010B4C"/>
    <w:rsid w:val="7A0768D6"/>
    <w:rsid w:val="7A0C6C3F"/>
    <w:rsid w:val="7A4456B4"/>
    <w:rsid w:val="7A596A72"/>
    <w:rsid w:val="7A5C2227"/>
    <w:rsid w:val="7A600B8F"/>
    <w:rsid w:val="7A695F3F"/>
    <w:rsid w:val="7A721A4A"/>
    <w:rsid w:val="7A7237F8"/>
    <w:rsid w:val="7A792DD8"/>
    <w:rsid w:val="7A7A653A"/>
    <w:rsid w:val="7A7C6425"/>
    <w:rsid w:val="7A831561"/>
    <w:rsid w:val="7A97325F"/>
    <w:rsid w:val="7AB43E11"/>
    <w:rsid w:val="7AB4796D"/>
    <w:rsid w:val="7AB61937"/>
    <w:rsid w:val="7ABB0CFB"/>
    <w:rsid w:val="7ACE4ED2"/>
    <w:rsid w:val="7AD0192F"/>
    <w:rsid w:val="7AD7400E"/>
    <w:rsid w:val="7AED1666"/>
    <w:rsid w:val="7AEF309B"/>
    <w:rsid w:val="7AF35895"/>
    <w:rsid w:val="7AF64741"/>
    <w:rsid w:val="7AF91823"/>
    <w:rsid w:val="7AFB37ED"/>
    <w:rsid w:val="7AFE6E3A"/>
    <w:rsid w:val="7B24506C"/>
    <w:rsid w:val="7B252618"/>
    <w:rsid w:val="7B2B05CC"/>
    <w:rsid w:val="7B2F16E9"/>
    <w:rsid w:val="7B2F1B69"/>
    <w:rsid w:val="7B3A20A1"/>
    <w:rsid w:val="7B3B2796"/>
    <w:rsid w:val="7B407452"/>
    <w:rsid w:val="7B4F2100"/>
    <w:rsid w:val="7B5B428C"/>
    <w:rsid w:val="7B6C6499"/>
    <w:rsid w:val="7B713AB0"/>
    <w:rsid w:val="7B784E3E"/>
    <w:rsid w:val="7B786BEC"/>
    <w:rsid w:val="7B827F44"/>
    <w:rsid w:val="7B9A4824"/>
    <w:rsid w:val="7BA43E85"/>
    <w:rsid w:val="7BA71FCD"/>
    <w:rsid w:val="7BAE6AB2"/>
    <w:rsid w:val="7BAE7724"/>
    <w:rsid w:val="7BAF42CB"/>
    <w:rsid w:val="7BBA0FB3"/>
    <w:rsid w:val="7BCF6EF5"/>
    <w:rsid w:val="7BD77DB7"/>
    <w:rsid w:val="7BDC361F"/>
    <w:rsid w:val="7C0C43C3"/>
    <w:rsid w:val="7C1022A4"/>
    <w:rsid w:val="7C121F8A"/>
    <w:rsid w:val="7C176405"/>
    <w:rsid w:val="7C1D638C"/>
    <w:rsid w:val="7C200750"/>
    <w:rsid w:val="7C324FED"/>
    <w:rsid w:val="7C376AA7"/>
    <w:rsid w:val="7C43369E"/>
    <w:rsid w:val="7C501917"/>
    <w:rsid w:val="7C547659"/>
    <w:rsid w:val="7C5E2286"/>
    <w:rsid w:val="7C635AEE"/>
    <w:rsid w:val="7C6A03D6"/>
    <w:rsid w:val="7C6A0C2B"/>
    <w:rsid w:val="7C701FB9"/>
    <w:rsid w:val="7C765821"/>
    <w:rsid w:val="7C7C3B8A"/>
    <w:rsid w:val="7C7E056D"/>
    <w:rsid w:val="7C7E46D6"/>
    <w:rsid w:val="7C95557C"/>
    <w:rsid w:val="7CA12173"/>
    <w:rsid w:val="7CAA1027"/>
    <w:rsid w:val="7CAA34B7"/>
    <w:rsid w:val="7CAF663E"/>
    <w:rsid w:val="7CB11429"/>
    <w:rsid w:val="7CB579CC"/>
    <w:rsid w:val="7CB853B5"/>
    <w:rsid w:val="7CB974BC"/>
    <w:rsid w:val="7CC12815"/>
    <w:rsid w:val="7CC61BD9"/>
    <w:rsid w:val="7CC73E78"/>
    <w:rsid w:val="7CCC6E0A"/>
    <w:rsid w:val="7CCF4F32"/>
    <w:rsid w:val="7CE00EED"/>
    <w:rsid w:val="7CEC1640"/>
    <w:rsid w:val="7D006E99"/>
    <w:rsid w:val="7D020E63"/>
    <w:rsid w:val="7D034F71"/>
    <w:rsid w:val="7D1C2FB9"/>
    <w:rsid w:val="7D1C7A4B"/>
    <w:rsid w:val="7D1D079C"/>
    <w:rsid w:val="7D2E7EAA"/>
    <w:rsid w:val="7D366D5F"/>
    <w:rsid w:val="7D3C6FBB"/>
    <w:rsid w:val="7D3E79C1"/>
    <w:rsid w:val="7D3F20B7"/>
    <w:rsid w:val="7D513B99"/>
    <w:rsid w:val="7D6D3955"/>
    <w:rsid w:val="7D7A30EF"/>
    <w:rsid w:val="7D7A4E9D"/>
    <w:rsid w:val="7D902913"/>
    <w:rsid w:val="7D9046C1"/>
    <w:rsid w:val="7DA71A0B"/>
    <w:rsid w:val="7DA737B9"/>
    <w:rsid w:val="7DA912DF"/>
    <w:rsid w:val="7DB14637"/>
    <w:rsid w:val="7DB303AF"/>
    <w:rsid w:val="7DBF3B43"/>
    <w:rsid w:val="7DC0487A"/>
    <w:rsid w:val="7DD61531"/>
    <w:rsid w:val="7DFA4230"/>
    <w:rsid w:val="7E205AAD"/>
    <w:rsid w:val="7E21356B"/>
    <w:rsid w:val="7E2B43EA"/>
    <w:rsid w:val="7E395A20"/>
    <w:rsid w:val="7E3A462D"/>
    <w:rsid w:val="7E4234E1"/>
    <w:rsid w:val="7E4B683A"/>
    <w:rsid w:val="7E546B65"/>
    <w:rsid w:val="7E5F1447"/>
    <w:rsid w:val="7E6416AA"/>
    <w:rsid w:val="7E692AF8"/>
    <w:rsid w:val="7E745D91"/>
    <w:rsid w:val="7E75394A"/>
    <w:rsid w:val="7E7C4C45"/>
    <w:rsid w:val="7E8024AF"/>
    <w:rsid w:val="7E81400A"/>
    <w:rsid w:val="7E977CD1"/>
    <w:rsid w:val="7EA61CC2"/>
    <w:rsid w:val="7EA85A3A"/>
    <w:rsid w:val="7EA97CFB"/>
    <w:rsid w:val="7EAB1087"/>
    <w:rsid w:val="7EB4618D"/>
    <w:rsid w:val="7EB50157"/>
    <w:rsid w:val="7EB75BCC"/>
    <w:rsid w:val="7ECB34D7"/>
    <w:rsid w:val="7ED93E46"/>
    <w:rsid w:val="7EEF6163"/>
    <w:rsid w:val="7EF20263"/>
    <w:rsid w:val="7F030EC3"/>
    <w:rsid w:val="7F211349"/>
    <w:rsid w:val="7F567244"/>
    <w:rsid w:val="7F651B7D"/>
    <w:rsid w:val="7F765B38"/>
    <w:rsid w:val="7F795FD9"/>
    <w:rsid w:val="7F871AF4"/>
    <w:rsid w:val="7F8738A2"/>
    <w:rsid w:val="7F8C289B"/>
    <w:rsid w:val="7F8E2E82"/>
    <w:rsid w:val="7F8E69AD"/>
    <w:rsid w:val="7FAD0893"/>
    <w:rsid w:val="7FAF285E"/>
    <w:rsid w:val="7FB623D9"/>
    <w:rsid w:val="7FB65F35"/>
    <w:rsid w:val="7FBC2E67"/>
    <w:rsid w:val="7FC248DA"/>
    <w:rsid w:val="7FE9630A"/>
    <w:rsid w:val="7FF34055"/>
    <w:rsid w:val="A6FA46F3"/>
    <w:rsid w:val="ABF67C68"/>
    <w:rsid w:val="FFE3424F"/>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unhideWhenUsed/>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beforeLines="0" w:afterLines="0" w:line="360" w:lineRule="auto"/>
    </w:pPr>
    <w:rPr>
      <w:rFonts w:hint="default"/>
      <w:b/>
      <w:sz w:val="28"/>
      <w:szCs w:val="22"/>
    </w:rPr>
  </w:style>
  <w:style w:type="paragraph" w:styleId="3">
    <w:name w:val="Body Text"/>
    <w:basedOn w:val="1"/>
    <w:link w:val="55"/>
    <w:semiHidden/>
    <w:unhideWhenUsed/>
    <w:qFormat/>
    <w:uiPriority w:val="99"/>
    <w:pPr>
      <w:spacing w:after="12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spacing w:before="120" w:beforeAutospacing="0" w:after="0" w:afterAutospacing="1" w:line="360" w:lineRule="auto"/>
      <w:ind w:left="709" w:right="-27" w:hanging="709"/>
      <w:jc w:val="left"/>
    </w:pPr>
    <w:rPr>
      <w:rFonts w:hint="default" w:ascii="Times New Roman" w:hAnsi="Times New Roman" w:eastAsia="宋体" w:cs="Times New Roman"/>
      <w:kern w:val="0"/>
      <w:sz w:val="21"/>
      <w:szCs w:val="21"/>
      <w:lang w:val="en-US" w:eastAsia="zh-CN" w:bidi="ar"/>
    </w:rPr>
  </w:style>
  <w:style w:type="paragraph" w:styleId="11">
    <w:name w:val="Body Text Indent"/>
    <w:basedOn w:val="1"/>
    <w:qFormat/>
    <w:uiPriority w:val="0"/>
    <w:pPr>
      <w:spacing w:line="360" w:lineRule="auto"/>
      <w:ind w:firstLine="560" w:firstLineChars="200"/>
    </w:pPr>
    <w:rPr>
      <w:rFonts w:ascii="仿宋_GB2312" w:hAnsi="宋体" w:eastAsia="仿宋_GB2312"/>
      <w:color w:val="FF0000"/>
      <w:sz w:val="28"/>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next w:val="7"/>
    <w:link w:val="53"/>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7"/>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rPr>
      <w:sz w:val="24"/>
    </w:rPr>
  </w:style>
  <w:style w:type="paragraph" w:styleId="29">
    <w:name w:val="annotation subject"/>
    <w:basedOn w:val="10"/>
    <w:next w:val="10"/>
    <w:semiHidden/>
    <w:unhideWhenUsed/>
    <w:qFormat/>
    <w:uiPriority w:val="0"/>
    <w:rPr>
      <w:b/>
    </w:rPr>
  </w:style>
  <w:style w:type="paragraph" w:styleId="30">
    <w:name w:val="Body Text First Indent 2"/>
    <w:basedOn w:val="11"/>
    <w:unhideWhenUsed/>
    <w:qFormat/>
    <w:uiPriority w:val="0"/>
    <w:pPr>
      <w:spacing w:after="120" w:line="240" w:lineRule="auto"/>
      <w:ind w:left="420" w:leftChars="200" w:firstLine="420"/>
    </w:pPr>
    <w:rPr>
      <w:rFonts w:ascii="Calibri" w:hAnsi="Calibri" w:eastAsia="Times New Roman"/>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FollowedHyperlink"/>
    <w:basedOn w:val="33"/>
    <w:semiHidden/>
    <w:unhideWhenUsed/>
    <w:qFormat/>
    <w:uiPriority w:val="99"/>
    <w:rPr>
      <w:color w:val="800080"/>
      <w:u w:val="single"/>
    </w:rPr>
  </w:style>
  <w:style w:type="character" w:styleId="37">
    <w:name w:val="Hyperlink"/>
    <w:basedOn w:val="33"/>
    <w:unhideWhenUsed/>
    <w:qFormat/>
    <w:uiPriority w:val="99"/>
    <w:rPr>
      <w:color w:val="0000FF"/>
      <w:u w:val="single"/>
    </w:rPr>
  </w:style>
  <w:style w:type="character" w:styleId="38">
    <w:name w:val="annotation reference"/>
    <w:basedOn w:val="33"/>
    <w:semiHidden/>
    <w:unhideWhenUsed/>
    <w:qFormat/>
    <w:uiPriority w:val="0"/>
    <w:rPr>
      <w:sz w:val="21"/>
      <w:szCs w:val="21"/>
    </w:rPr>
  </w:style>
  <w:style w:type="character" w:styleId="39">
    <w:name w:val="footnote reference"/>
    <w:basedOn w:val="33"/>
    <w:semiHidden/>
    <w:unhideWhenUsed/>
    <w:qFormat/>
    <w:uiPriority w:val="0"/>
    <w:rPr>
      <w:vertAlign w:val="superscript"/>
    </w:rPr>
  </w:style>
  <w:style w:type="paragraph" w:styleId="40">
    <w:name w:val="List Paragraph"/>
    <w:basedOn w:val="1"/>
    <w:qFormat/>
    <w:uiPriority w:val="34"/>
    <w:pPr>
      <w:ind w:firstLine="200"/>
    </w:pPr>
    <w:rPr>
      <w:rFonts w:ascii="Calibri" w:hAnsi="Calibri"/>
    </w:rPr>
  </w:style>
  <w:style w:type="character" w:customStyle="1" w:styleId="41">
    <w:name w:val="正文文本 2 Char"/>
    <w:basedOn w:val="33"/>
    <w:qFormat/>
    <w:uiPriority w:val="0"/>
    <w:rPr>
      <w:rFonts w:ascii="Times New Roman" w:hAnsi="Times New Roman" w:eastAsia="宋体" w:cs="Times New Roman"/>
    </w:rPr>
  </w:style>
  <w:style w:type="character" w:customStyle="1" w:styleId="42">
    <w:name w:val="16"/>
    <w:basedOn w:val="33"/>
    <w:qFormat/>
    <w:uiPriority w:val="0"/>
    <w:rPr>
      <w:rFonts w:hint="default" w:ascii="Times New Roman" w:hAnsi="Times New Roman" w:cs="Times New Roman"/>
      <w:color w:val="0000FF"/>
      <w:u w:val="single"/>
    </w:rPr>
  </w:style>
  <w:style w:type="character" w:customStyle="1" w:styleId="43">
    <w:name w:val="15"/>
    <w:basedOn w:val="33"/>
    <w:qFormat/>
    <w:uiPriority w:val="0"/>
    <w:rPr>
      <w:rFonts w:hint="default" w:ascii="Times New Roman" w:hAnsi="Times New Roman" w:cs="Times New Roman"/>
      <w:color w:val="0000FF"/>
      <w:u w:val="single"/>
    </w:rPr>
  </w:style>
  <w:style w:type="character" w:customStyle="1" w:styleId="44">
    <w:name w:val="标题 3 Char"/>
    <w:qFormat/>
    <w:uiPriority w:val="0"/>
    <w:rPr>
      <w:b/>
      <w:sz w:val="24"/>
      <w:szCs w:val="24"/>
    </w:rPr>
  </w:style>
  <w:style w:type="character" w:customStyle="1" w:styleId="45">
    <w:name w:val="标题 2 Char"/>
    <w:qFormat/>
    <w:uiPriority w:val="0"/>
    <w:rPr>
      <w:rFonts w:ascii="Arial" w:hAnsi="Arial" w:eastAsia="黑体"/>
      <w:b/>
      <w:sz w:val="32"/>
      <w:szCs w:val="32"/>
    </w:rPr>
  </w:style>
  <w:style w:type="character" w:customStyle="1" w:styleId="46">
    <w:name w:val="批注框文本 Char"/>
    <w:basedOn w:val="33"/>
    <w:semiHidden/>
    <w:qFormat/>
    <w:uiPriority w:val="0"/>
    <w:rPr>
      <w:sz w:val="18"/>
      <w:szCs w:val="18"/>
    </w:rPr>
  </w:style>
  <w:style w:type="character" w:customStyle="1" w:styleId="47">
    <w:name w:val="批注文字 Char"/>
    <w:basedOn w:val="33"/>
    <w:semiHidden/>
    <w:qFormat/>
    <w:uiPriority w:val="0"/>
    <w:rPr>
      <w:sz w:val="21"/>
      <w:szCs w:val="21"/>
    </w:rPr>
  </w:style>
  <w:style w:type="character" w:customStyle="1" w:styleId="48">
    <w:name w:val="批注主题 Char"/>
    <w:basedOn w:val="47"/>
    <w:semiHidden/>
    <w:qFormat/>
    <w:uiPriority w:val="0"/>
    <w:rPr>
      <w:b/>
      <w:sz w:val="21"/>
      <w:szCs w:val="21"/>
    </w:rPr>
  </w:style>
  <w:style w:type="character" w:customStyle="1" w:styleId="49">
    <w:name w:val="文档结构图 Char"/>
    <w:basedOn w:val="33"/>
    <w:semiHidden/>
    <w:qFormat/>
    <w:uiPriority w:val="0"/>
    <w:rPr>
      <w:rFonts w:ascii="宋体"/>
      <w:sz w:val="18"/>
      <w:szCs w:val="18"/>
    </w:rPr>
  </w:style>
  <w:style w:type="character" w:customStyle="1" w:styleId="50">
    <w:name w:val="页脚 Char"/>
    <w:qFormat/>
    <w:uiPriority w:val="99"/>
    <w:rPr>
      <w:sz w:val="18"/>
      <w:szCs w:val="18"/>
    </w:rPr>
  </w:style>
  <w:style w:type="character" w:customStyle="1" w:styleId="51">
    <w:name w:val="脚注文本 Char"/>
    <w:basedOn w:val="33"/>
    <w:semiHidden/>
    <w:qFormat/>
    <w:uiPriority w:val="0"/>
    <w:rPr>
      <w:sz w:val="18"/>
      <w:szCs w:val="18"/>
    </w:rPr>
  </w:style>
  <w:style w:type="paragraph" w:customStyle="1" w:styleId="52">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3">
    <w:name w:val="纯文本 字符"/>
    <w:link w:val="14"/>
    <w:qFormat/>
    <w:locked/>
    <w:uiPriority w:val="0"/>
    <w:rPr>
      <w:rFonts w:ascii="宋体" w:hAnsi="Courier New" w:cs="宋体"/>
    </w:rPr>
  </w:style>
  <w:style w:type="paragraph" w:customStyle="1" w:styleId="54">
    <w:name w:val="修订1"/>
    <w:hidden/>
    <w:semiHidden/>
    <w:qFormat/>
    <w:uiPriority w:val="99"/>
    <w:rPr>
      <w:rFonts w:ascii="Times New Roman" w:hAnsi="Times New Roman" w:eastAsia="宋体" w:cs="Times New Roman"/>
      <w:sz w:val="21"/>
      <w:szCs w:val="21"/>
      <w:lang w:val="en-US" w:eastAsia="zh-CN" w:bidi="ar-SA"/>
    </w:rPr>
  </w:style>
  <w:style w:type="character" w:customStyle="1" w:styleId="55">
    <w:name w:val="正文文本 字符"/>
    <w:basedOn w:val="33"/>
    <w:link w:val="3"/>
    <w:semiHidden/>
    <w:qFormat/>
    <w:uiPriority w:val="99"/>
    <w:rPr>
      <w:sz w:val="21"/>
      <w:szCs w:val="21"/>
    </w:rPr>
  </w:style>
  <w:style w:type="paragraph" w:customStyle="1" w:styleId="56">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7">
    <w:name w:val="日期 字符"/>
    <w:basedOn w:val="33"/>
    <w:link w:val="16"/>
    <w:semiHidden/>
    <w:qFormat/>
    <w:uiPriority w:val="99"/>
    <w:rPr>
      <w:sz w:val="21"/>
      <w:szCs w:val="21"/>
    </w:rPr>
  </w:style>
  <w:style w:type="character" w:customStyle="1" w:styleId="58">
    <w:name w:val="10"/>
    <w:basedOn w:val="33"/>
    <w:qFormat/>
    <w:uiPriority w:val="0"/>
    <w:rPr>
      <w:rFonts w:hint="default" w:ascii="Times New Roman" w:hAnsi="Times New Roman" w:cs="Times New Roman"/>
    </w:rPr>
  </w:style>
  <w:style w:type="paragraph" w:customStyle="1" w:styleId="59">
    <w:name w:val="Heading #2|1"/>
    <w:qFormat/>
    <w:uiPriority w:val="0"/>
    <w:pPr>
      <w:widowControl w:val="0"/>
      <w:spacing w:before="0" w:after="120" w:afterAutospacing="0" w:line="240" w:lineRule="auto"/>
      <w:ind w:left="0" w:right="0" w:firstLine="0"/>
      <w:jc w:val="center"/>
      <w:outlineLvl w:val="1"/>
    </w:pPr>
    <w:rPr>
      <w:rFonts w:ascii="宋体" w:hAnsi="宋体" w:eastAsia="宋体" w:cs="宋体"/>
      <w:sz w:val="38"/>
      <w:szCs w:val="38"/>
      <w:lang w:val="zh-TW" w:eastAsia="zh-TW" w:bidi="zh-TW"/>
    </w:rPr>
  </w:style>
  <w:style w:type="paragraph" w:customStyle="1" w:styleId="60">
    <w:name w:val="Table caption|1"/>
    <w:qFormat/>
    <w:uiPriority w:val="0"/>
    <w:pPr>
      <w:widowControl w:val="0"/>
      <w:spacing w:before="0" w:after="0" w:afterAutospacing="0" w:line="240" w:lineRule="auto"/>
      <w:ind w:left="0" w:right="0" w:firstLine="0"/>
      <w:jc w:val="right"/>
    </w:pPr>
    <w:rPr>
      <w:rFonts w:ascii="Times New Roman" w:hAnsi="Times New Roman" w:eastAsia="宋体" w:cs="Times New Roman"/>
      <w:sz w:val="20"/>
      <w:szCs w:val="20"/>
      <w:lang w:val="en-US" w:eastAsia="zh-CN" w:bidi="ar-SA"/>
    </w:rPr>
  </w:style>
  <w:style w:type="paragraph" w:customStyle="1" w:styleId="61">
    <w:name w:val="Other|1"/>
    <w:qFormat/>
    <w:uiPriority w:val="0"/>
    <w:pPr>
      <w:widowControl w:val="0"/>
      <w:spacing w:before="0" w:after="0" w:afterAutospacing="0" w:line="240" w:lineRule="auto"/>
      <w:ind w:left="0" w:right="0" w:firstLine="0"/>
      <w:jc w:val="center"/>
    </w:pPr>
    <w:rPr>
      <w:rFonts w:ascii="宋体" w:hAnsi="宋体" w:eastAsia="宋体" w:cs="宋体"/>
      <w:sz w:val="20"/>
      <w:szCs w:val="20"/>
      <w:lang w:val="zh-TW" w:eastAsia="zh-TW" w:bidi="zh-TW"/>
    </w:rPr>
  </w:style>
  <w:style w:type="paragraph" w:customStyle="1" w:styleId="62">
    <w:name w:val="Char"/>
    <w:qFormat/>
    <w:uiPriority w:val="0"/>
    <w:pPr>
      <w:spacing w:before="0" w:after="160" w:afterAutospacing="0" w:line="240" w:lineRule="exact"/>
      <w:ind w:left="0" w:right="0" w:firstLine="0"/>
      <w:jc w:val="left"/>
    </w:pPr>
    <w:rPr>
      <w:rFonts w:ascii="Tahoma" w:hAnsi="Tahoma" w:eastAsia="宋体" w:cs="Times New Roman"/>
      <w:sz w:val="24"/>
      <w:szCs w:val="24"/>
      <w:lang w:val="en-US" w:eastAsia="en-US" w:bidi="ar-SA"/>
    </w:rPr>
  </w:style>
  <w:style w:type="paragraph" w:customStyle="1" w:styleId="63">
    <w:name w:val="Blockquote"/>
    <w:basedOn w:val="1"/>
    <w:qFormat/>
    <w:uiPriority w:val="0"/>
    <w:pPr>
      <w:autoSpaceDE w:val="0"/>
      <w:autoSpaceDN w:val="0"/>
      <w:adjustRightInd w:val="0"/>
      <w:spacing w:before="100" w:after="100"/>
      <w:ind w:left="360" w:right="360"/>
      <w:jc w:val="left"/>
    </w:pPr>
    <w:rPr>
      <w:rFonts w:ascii="Times New Roman" w:hAnsi="Times New Roman" w:cs="Times New Roman"/>
      <w:kern w:val="0"/>
      <w:sz w:val="24"/>
      <w:szCs w:val="20"/>
    </w:rPr>
  </w:style>
  <w:style w:type="character" w:customStyle="1" w:styleId="64">
    <w:name w:val="font01"/>
    <w:basedOn w:val="33"/>
    <w:qFormat/>
    <w:uiPriority w:val="0"/>
    <w:rPr>
      <w:rFonts w:hint="eastAsia" w:ascii="宋体" w:hAnsi="宋体" w:eastAsia="宋体" w:cs="宋体"/>
      <w:color w:val="000000"/>
      <w:sz w:val="22"/>
      <w:szCs w:val="22"/>
      <w:u w:val="none"/>
    </w:rPr>
  </w:style>
  <w:style w:type="character" w:customStyle="1" w:styleId="65">
    <w:name w:val="font31"/>
    <w:basedOn w:val="33"/>
    <w:qFormat/>
    <w:uiPriority w:val="0"/>
    <w:rPr>
      <w:rFonts w:ascii="Arial" w:hAnsi="Arial" w:cs="Arial"/>
      <w:color w:val="000000"/>
      <w:sz w:val="22"/>
      <w:szCs w:val="22"/>
      <w:u w:val="none"/>
    </w:rPr>
  </w:style>
  <w:style w:type="paragraph" w:customStyle="1" w:styleId="66">
    <w:name w:val="WPSOffice手动目录 1"/>
    <w:qFormat/>
    <w:uiPriority w:val="0"/>
    <w:pPr>
      <w:ind w:leftChars="0"/>
    </w:pPr>
    <w:rPr>
      <w:rFonts w:ascii="Times New Roman" w:hAnsi="Times New Roman" w:eastAsia="宋体" w:cs="Times New Roman"/>
      <w:sz w:val="20"/>
      <w:szCs w:val="20"/>
    </w:rPr>
  </w:style>
  <w:style w:type="paragraph" w:customStyle="1" w:styleId="6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diagramColors" Target="diagrams/colors1.xml"/><Relationship Id="rId22" Type="http://schemas.openxmlformats.org/officeDocument/2006/relationships/diagramQuickStyle" Target="diagrams/quickStyle1.xml"/><Relationship Id="rId21" Type="http://schemas.openxmlformats.org/officeDocument/2006/relationships/diagramLayout" Target="diagrams/layout1.xml"/><Relationship Id="rId20" Type="http://schemas.openxmlformats.org/officeDocument/2006/relationships/diagramData" Target="diagrams/data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5.xml"/><Relationship Id="rId17" Type="http://schemas.openxmlformats.org/officeDocument/2006/relationships/footer" Target="footer11.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align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align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alig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b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b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b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bgShp">
    <dgm:fillClrLst meth="repeat">
      <a:sysClr val="windowText" lastClr="000000">
        <a:tint val="40000"/>
      </a:sysClr>
    </dgm:fillClrLst>
    <dgm:linClrLst meth="repeat">
      <a:sysClr val="windowText" lastClr="000000"/>
    </dgm:linClrLst>
    <dgm:effectClrLst/>
    <dgm:txLinClrLst/>
    <dgm:txFillClrLst meth="repeat">
      <a:sysClr val="windowText" lastClr="000000"/>
    </dgm:txFillClrLst>
    <dgm:txEffectClrLst/>
  </dgm:styleLbl>
  <dgm:styleLbl name="b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callout">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con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dkBgShp">
    <dgm:fillClrLst meth="repeat">
      <a:sysClr val="windowText" lastClr="000000">
        <a:shade val="80000"/>
      </a:sysClr>
    </dgm:fillClrLst>
    <dgm:linClrLst meth="repeat">
      <a:sysClr val="windowText" lastClr="000000"/>
    </dgm:linClrLst>
    <dgm:effectClrLst/>
    <dgm:txLinClrLst/>
    <dgm:txFillClrLst meth="repeat">
      <a:sysClr val="window" lastClr="FFFFFF"/>
    </dgm:txFillClrLst>
    <dgm:txEffectClrLst/>
  </dgm:styleLbl>
  <dgm:styleLbl name="fgAcc0">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2">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3">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4">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f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fgShp">
    <dgm:fillClrLst meth="repeat">
      <a:sysClr val="windowText" lastClr="000000">
        <a:tint val="60000"/>
      </a:sysClr>
    </dgm:fillClrLst>
    <dgm:linClrLst meth="repeat">
      <a:sysClr val="window" lastClr="FFFFFF"/>
    </dgm:linClrLst>
    <dgm:effectClrLst/>
    <dgm:txLinClrLst/>
    <dgm:txFillClrLst meth="repeat">
      <a:sysClr val="windowText" lastClr="000000"/>
    </dgm:txFillClrLst>
    <dgm:txEffectClrLst/>
  </dgm:styleLbl>
  <dgm:styleLbl name="f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l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1">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2">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3">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4">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2D1">
    <dgm:fillClrLst meth="repeat">
      <a:sysClr val="windowText" lastClr="000000">
        <a:tint val="60000"/>
      </a:sysClr>
    </dgm:fillClrLst>
    <dgm:linClrLst meth="repeat">
      <a:sysClr val="windowText" lastClr="000000">
        <a:tint val="60000"/>
      </a:sysClr>
    </dgm:linClrLst>
    <dgm:effectClrLst/>
    <dgm:txLinClrLst/>
    <dgm:txFillClrLst/>
    <dgm:txEffectClrLst/>
  </dgm:styleLbl>
  <dgm:styleLbl name="parChTrans2D2">
    <dgm:fillClrLst meth="repeat">
      <a:sysClr val="windowText" lastClr="000000"/>
    </dgm:fillClrLst>
    <dgm:linClrLst meth="repeat">
      <a:sysClr val="windowText" lastClr="000000"/>
    </dgm:linClrLst>
    <dgm:effectClrLst/>
    <dgm:txLinClrLst/>
    <dgm:txFillClrLst/>
    <dgm:txEffectClrLst/>
  </dgm:styleLbl>
  <dgm:styleLbl name="parChTrans2D3">
    <dgm:fillClrLst meth="repeat">
      <a:sysClr val="windowText" lastClr="000000"/>
    </dgm:fillClrLst>
    <dgm:linClrLst meth="repeat">
      <a:sysClr val="windowText" lastClr="000000"/>
    </dgm:linClrLst>
    <dgm:effectClrLst/>
    <dgm:txLinClrLst/>
    <dgm:txFillClrLst/>
    <dgm:txEffectClrLst/>
  </dgm:styleLbl>
  <dgm:styleLbl name="parChTrans2D4">
    <dgm:fillClrLst meth="repeat">
      <a:sysClr val="windowText" lastClr="000000"/>
    </dgm:fillClrLst>
    <dgm:linClrLst meth="repeat">
      <a:sysClr val="windowText" lastClr="000000"/>
    </dgm:linClrLst>
    <dgm:effectClrLst/>
    <dgm:txLinClrLst/>
    <dgm:txFillClrLst meth="repeat">
      <a:sysClr val="window" lastClr="FFFFFF"/>
    </dgm:txFillClrLst>
    <dgm:txEffectClrLst/>
  </dgm:styleLbl>
  <dgm:styleLbl name="revTx">
    <dgm:fillClrLst meth="repeat">
      <a:sysClr val="window" lastClr="FFFFFF">
        <a:alpha val="0"/>
      </a:sysClr>
    </dgm:fillClrLst>
    <dgm:linClrLst meth="repeat">
      <a:sysClr val="windowText" lastClr="000000">
        <a:alpha val="0"/>
      </a:sysClr>
    </dgm:linClrLst>
    <dgm:effectClrLst/>
    <dgm:txLinClrLst/>
    <dgm:txFillClrLst meth="repeat">
      <a:sysClr val="windowText" lastClr="000000"/>
    </dgm:txFillClrLst>
    <dgm:txEffectClrLst/>
  </dgm:styleLbl>
  <dgm:styleLbl name="sibTrans1D1">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solidAlign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B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F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trAlignAcc1">
    <dgm:fillClrLst meth="repeat">
      <a:sysClr val="windowText" lastClr="000000">
        <a:alpha val="40000"/>
        <a:tint val="40000"/>
      </a:sysClr>
    </dgm:fillClrLst>
    <dgm:linClrLst meth="repeat">
      <a:sysClr val="windowText" lastClr="000000"/>
    </dgm:linClrLst>
    <dgm:effectClrLst/>
    <dgm:txLinClrLst/>
    <dgm:txFillClrLst meth="repeat">
      <a:sysClr val="windowText" lastClr="000000"/>
    </dgm:txFillClrLst>
    <dgm:txEffectClrLst/>
  </dgm:styleLbl>
  <dgm:styleLbl name="trBgShp">
    <dgm:fillClrLst meth="repeat">
      <a:sysClr val="windowText" lastClr="000000">
        <a:tint val="50000"/>
        <a:alpha val="40000"/>
      </a:sysClr>
    </dgm:fillClrLst>
    <dgm:linClrLst meth="repeat">
      <a:sysClr val="windowText" lastClr="000000"/>
    </dgm:linClrLst>
    <dgm:effectClrLst/>
    <dgm:txLinClrLst/>
    <dgm:txFillClrLst meth="repeat">
      <a:sysClr val="window" lastClr="FFFFFF"/>
    </dgm:txFillClrLst>
    <dgm:txEffectClrLst/>
  </dgm:styleLbl>
  <dgm:styleLbl name="vennNode1">
    <dgm:fillClrLst meth="repeat">
      <a:sysClr val="window" lastClr="FFFFFF">
        <a:alpha val="50000"/>
      </a:sysClr>
    </dgm:fillClrLst>
    <dgm:linClrLst meth="repeat">
      <a:sysClr val="windowText" lastClr="000000">
        <a:shade val="80000"/>
      </a:sys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1" qsCatId="simple" csTypeId="urn:microsoft.com/office/officeart/2005/8/colors/accent0_1" csCatId="accent1" phldr="0"/>
      <dgm:spPr/>
      <dgm:t>
        <a:bodyPr/>
        <a:p>
          <a:endParaRPr lang="zh-CN" altLang="en-US"/>
        </a:p>
      </dgm:t>
    </dgm:pt>
    <dgm:pt modelId="{47C757F0-AA23-46BE-9311-EA432CDEEAA1}">
      <dgm:prSet phldrT="[文本]" phldr="0" custT="1"/>
      <dgm:spPr/>
      <dgm:t>
        <a:bodyPr vert="horz" wrap="square"/>
        <a:p>
          <a:pPr algn="ctr">
            <a:lnSpc>
              <a:spcPct val="100000"/>
            </a:lnSpc>
            <a:spcBef>
              <a:spcPct val="0"/>
            </a:spcBef>
            <a:spcAft>
              <a:spcPct val="35000"/>
            </a:spcAft>
          </a:pPr>
          <a:r>
            <a:rPr lang="zh-CN" altLang="en-US" sz="1050">
              <a:latin typeface="宋体" panose="02010600030101010101" charset="-122"/>
              <a:ea typeface="宋体" panose="02010600030101010101" charset="-122"/>
            </a:rPr>
            <a:t>项目</a:t>
          </a:r>
          <a:r>
            <a:rPr lang="zh-CN" altLang="en-US" sz="1050">
              <a:latin typeface="宋体" panose="02010600030101010101" charset="-122"/>
              <a:ea typeface="宋体" panose="02010600030101010101" charset="-122"/>
            </a:rPr>
            <a:t>经理</a:t>
          </a:r>
          <a:r>
            <a:rPr lang="zh-CN" altLang="en-US" sz="1050">
              <a:latin typeface="宋体" panose="02010600030101010101" charset="-122"/>
              <a:ea typeface="宋体" panose="02010600030101010101" charset="-122"/>
            </a:rPr>
            <a:t/>
          </a:r>
          <a:endParaRPr lang="zh-CN" altLang="en-US" sz="1050">
            <a:latin typeface="宋体" panose="02010600030101010101" charset="-122"/>
            <a:ea typeface="宋体" panose="02010600030101010101" charset="-122"/>
          </a:endParaRPr>
        </a:p>
      </dgm:t>
    </dgm:pt>
    <dgm:pt modelId="{AB39B06D-FE6C-48B2-B5B4-77CD0C8CF7AD}" cxnId="{E65B0B16-FE3E-498F-A024-0443C069602B}" type="parTrans">
      <dgm:prSet/>
      <dgm:spPr/>
      <dgm:t>
        <a:bodyPr/>
        <a:p>
          <a:endParaRPr lang="zh-CN" altLang="en-US"/>
        </a:p>
      </dgm:t>
    </dgm:pt>
    <dgm:pt modelId="{DF0D1C21-B79E-4875-B7FA-EF183CB48B88}" cxnId="{E65B0B16-FE3E-498F-A024-0443C069602B}" type="sibTrans">
      <dgm:prSet/>
      <dgm:spPr/>
      <dgm:t>
        <a:bodyPr/>
        <a:p>
          <a:endParaRPr lang="zh-CN" altLang="en-US"/>
        </a:p>
      </dgm:t>
    </dgm:pt>
    <dgm:pt modelId="{B29BF47F-FB6F-4BB3-8B1F-25C507DDACF5}" type="asst">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技术</a:t>
          </a:r>
          <a:r>
            <a:rPr lang="zh-CN" altLang="en-US" sz="1050">
              <a:latin typeface="宋体" panose="02010600030101010101" charset="-122"/>
              <a:ea typeface="宋体" panose="02010600030101010101" charset="-122"/>
            </a:rPr>
            <a:t>负责人</a:t>
          </a:r>
          <a:r>
            <a:rPr lang="zh-CN" altLang="en-US" sz="1050">
              <a:latin typeface="宋体" panose="02010600030101010101" charset="-122"/>
              <a:ea typeface="宋体" panose="02010600030101010101" charset="-122"/>
            </a:rPr>
            <a:t/>
          </a:r>
          <a:endParaRPr lang="zh-CN" altLang="en-US" sz="1050">
            <a:latin typeface="宋体" panose="02010600030101010101" charset="-122"/>
            <a:ea typeface="宋体" panose="02010600030101010101" charset="-122"/>
          </a:endParaRPr>
        </a:p>
      </dgm:t>
    </dgm:pt>
    <dgm:pt modelId="{4294CB15-5EAF-442A-BADC-24588A60ECFF}" cxnId="{15EB789C-1CE0-49A7-B0C2-FDC2CDD9DD85}" type="parTrans">
      <dgm:prSet/>
      <dgm:spPr/>
      <dgm:t>
        <a:bodyPr/>
        <a:p>
          <a:endParaRPr lang="zh-CN" altLang="en-US"/>
        </a:p>
      </dgm:t>
    </dgm:pt>
    <dgm:pt modelId="{4FBEC948-3FA9-4375-B83A-B44348E5F34D}" cxnId="{15EB789C-1CE0-49A7-B0C2-FDC2CDD9DD85}" type="sibTrans">
      <dgm:prSet/>
      <dgm:spPr/>
      <dgm:t>
        <a:bodyPr/>
        <a:p>
          <a:endParaRPr lang="zh-CN" altLang="en-US"/>
        </a:p>
      </dgm:t>
    </dgm:pt>
    <dgm:pt modelId="{12714FC6-8B41-47E5-91DD-F02D34D23B93}">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作业</a:t>
          </a:r>
          <a:r>
            <a:rPr lang="zh-CN" altLang="en-US" sz="1050">
              <a:latin typeface="宋体" panose="02010600030101010101" charset="-122"/>
              <a:ea typeface="宋体" panose="02010600030101010101" charset="-122"/>
            </a:rPr>
            <a:t>人员</a:t>
          </a:r>
          <a:r>
            <a:rPr lang="zh-CN" altLang="en-US" sz="1050">
              <a:latin typeface="宋体" panose="02010600030101010101" charset="-122"/>
              <a:ea typeface="宋体" panose="02010600030101010101" charset="-122"/>
            </a:rPr>
            <a:t/>
          </a:r>
          <a:endParaRPr lang="zh-CN" altLang="en-US" sz="1050">
            <a:latin typeface="宋体" panose="02010600030101010101" charset="-122"/>
            <a:ea typeface="宋体" panose="02010600030101010101" charset="-122"/>
          </a:endParaRPr>
        </a:p>
      </dgm:t>
    </dgm:pt>
    <dgm:pt modelId="{EACD17F5-D793-4A43-B489-D1804D50CFEF}" cxnId="{08FC37DA-0E70-4284-8728-53E193B43E35}" type="parTrans">
      <dgm:prSet/>
      <dgm:spPr/>
      <dgm:t>
        <a:bodyPr/>
        <a:p>
          <a:endParaRPr lang="zh-CN" altLang="en-US"/>
        </a:p>
      </dgm:t>
    </dgm:pt>
    <dgm:pt modelId="{FA45D93F-0724-4936-AA45-E6762732A19D}" cxnId="{08FC37DA-0E70-4284-8728-53E193B43E35}" type="sibTrans">
      <dgm:prSet/>
      <dgm:spPr/>
      <dgm:t>
        <a:bodyPr/>
        <a:p>
          <a:endParaRPr lang="zh-CN" altLang="en-US"/>
        </a:p>
      </dgm:t>
    </dgm:pt>
    <dgm:pt modelId="{BFA84FD1-0681-439F-B03D-D2F3A5DFC6B3}">
      <dgm:prSet phldr="0" custT="1"/>
      <dgm:spPr/>
      <dgm:t>
        <a:bodyPr vert="horz" wrap="square"/>
        <a:p>
          <a:pPr>
            <a:lnSpc>
              <a:spcPct val="100000"/>
            </a:lnSpc>
            <a:spcBef>
              <a:spcPct val="0"/>
            </a:spcBef>
            <a:spcAft>
              <a:spcPct val="35000"/>
            </a:spcAft>
          </a:pPr>
          <a:r>
            <a:rPr lang="zh-CN" sz="1050">
              <a:latin typeface="宋体" panose="02010600030101010101" charset="-122"/>
              <a:ea typeface="宋体" panose="02010600030101010101" charset="-122"/>
            </a:rPr>
            <a:t>作业</a:t>
          </a:r>
          <a:r>
            <a:rPr lang="zh-CN" sz="1050">
              <a:latin typeface="宋体" panose="02010600030101010101" charset="-122"/>
              <a:ea typeface="宋体" panose="02010600030101010101" charset="-122"/>
            </a:rPr>
            <a:t>人员</a:t>
          </a:r>
          <a:r>
            <a:rPr altLang="en-US" sz="1050">
              <a:latin typeface="宋体" panose="02010600030101010101" charset="-122"/>
              <a:ea typeface="宋体" panose="02010600030101010101" charset="-122"/>
            </a:rPr>
            <a:t/>
          </a:r>
          <a:endParaRPr altLang="en-US" sz="1050">
            <a:latin typeface="宋体" panose="02010600030101010101" charset="-122"/>
            <a:ea typeface="宋体" panose="02010600030101010101" charset="-122"/>
          </a:endParaRPr>
        </a:p>
      </dgm:t>
    </dgm:pt>
    <dgm:pt modelId="{4D0AFD10-E076-4F41-A47A-8D3E878979A6}" cxnId="{7A6489ED-EBE0-4012-83BD-3A94E1451370}" type="parTrans">
      <dgm:prSet/>
      <dgm:spPr/>
    </dgm:pt>
    <dgm:pt modelId="{54C3E077-7B65-4A91-A49E-D8F75B9D1E7A}" cxnId="{7A6489ED-EBE0-4012-83BD-3A94E1451370}" type="sibTrans">
      <dgm:prSet/>
      <dgm:spPr/>
    </dgm:pt>
    <dgm:pt modelId="{4EC42421-831D-4CD3-8215-2AF4300F9C01}">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作业</a:t>
          </a:r>
          <a:r>
            <a:rPr lang="zh-CN" altLang="en-US" sz="1050">
              <a:latin typeface="宋体" panose="02010600030101010101" charset="-122"/>
              <a:ea typeface="宋体" panose="02010600030101010101" charset="-122"/>
            </a:rPr>
            <a:t>人员</a:t>
          </a:r>
          <a:r>
            <a:rPr lang="zh-CN" altLang="en-US" sz="1050">
              <a:latin typeface="宋体" panose="02010600030101010101" charset="-122"/>
              <a:ea typeface="宋体" panose="02010600030101010101" charset="-122"/>
            </a:rPr>
            <a:t/>
          </a:r>
          <a:endParaRPr lang="zh-CN" altLang="en-US" sz="1050">
            <a:latin typeface="宋体" panose="02010600030101010101" charset="-122"/>
            <a:ea typeface="宋体" panose="02010600030101010101" charset="-122"/>
          </a:endParaRPr>
        </a:p>
      </dgm:t>
    </dgm:pt>
    <dgm:pt modelId="{8D5FB264-0A5C-4C3A-85B7-453D9BD837DF}" cxnId="{745C7546-371E-4487-A366-8D46719BF724}" type="parTrans">
      <dgm:prSet/>
      <dgm:spPr/>
      <dgm:t>
        <a:bodyPr/>
        <a:p>
          <a:endParaRPr lang="zh-CN" altLang="en-US"/>
        </a:p>
      </dgm:t>
    </dgm:pt>
    <dgm:pt modelId="{A1825131-D805-48C8-BFCE-E45C02E6F5CE}" cxnId="{745C7546-371E-4487-A366-8D46719BF724}" type="sibTrans">
      <dgm:prSet/>
      <dgm:spPr/>
      <dgm:t>
        <a:bodyPr/>
        <a:p>
          <a:endParaRPr lang="zh-CN" altLang="en-US"/>
        </a:p>
      </dgm:t>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pt>
    <dgm:pt modelId="{F728C3E8-5128-4BB6-90CC-A86769ECE335}" type="pres">
      <dgm:prSet presAssocID="{47C757F0-AA23-46BE-9311-EA432CDEEAA1}" presName="hierRoot1" presStyleCnt="0">
        <dgm:presLayoutVars>
          <dgm:hierBranch/>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D8101220-15C0-4C00-96D9-16575B9ABA10}" type="pres">
      <dgm:prSet presAssocID="{EACD17F5-D793-4A43-B489-D1804D50CFEF}" presName="Name35" presStyleLbl="parChTrans1D2" presStyleIdx="0" presStyleCnt="4"/>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3">
        <dgm:presLayoutVars>
          <dgm:chPref val="3"/>
        </dgm:presLayoutVars>
      </dgm:prSet>
      <dgm:spPr/>
    </dgm:pt>
    <dgm:pt modelId="{9A037140-9B69-4B9F-A134-F2F2EB0F2E32}" type="pres">
      <dgm:prSet presAssocID="{12714FC6-8B41-47E5-91DD-F02D34D23B93}" presName="rootConnector" presStyleCnt="0"/>
      <dgm:spPr/>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CC7ABF79-0D4C-4EFA-905F-F8F331C824CD}" type="pres">
      <dgm:prSet presAssocID="{4D0AFD10-E076-4F41-A47A-8D3E878979A6}" presName="Name35" presStyleLbl="parChTrans1D2" presStyleIdx="1" presStyleCnt="4"/>
      <dgm:spPr/>
    </dgm:pt>
    <dgm:pt modelId="{48760EE4-83DD-4936-85B6-282A09876590}" type="pres">
      <dgm:prSet presAssocID="{BFA84FD1-0681-439F-B03D-D2F3A5DFC6B3}" presName="hierRoot2" presStyleCnt="0">
        <dgm:presLayoutVars>
          <dgm:hierBranch val="init"/>
        </dgm:presLayoutVars>
      </dgm:prSet>
      <dgm:spPr/>
    </dgm:pt>
    <dgm:pt modelId="{B3FECF72-5127-4453-811D-D76DC6F7BF26}" type="pres">
      <dgm:prSet presAssocID="{BFA84FD1-0681-439F-B03D-D2F3A5DFC6B3}" presName="rootComposite" presStyleCnt="0"/>
      <dgm:spPr/>
    </dgm:pt>
    <dgm:pt modelId="{4A19335E-AD3F-4AF4-BC6C-B6C8F1498CE7}" type="pres">
      <dgm:prSet presAssocID="{BFA84FD1-0681-439F-B03D-D2F3A5DFC6B3}" presName="rootText" presStyleLbl="node2" presStyleIdx="1" presStyleCnt="3">
        <dgm:presLayoutVars>
          <dgm:chPref val="3"/>
        </dgm:presLayoutVars>
      </dgm:prSet>
      <dgm:spPr/>
    </dgm:pt>
    <dgm:pt modelId="{F0B2DF07-C201-4C25-8CD5-DBC5AAFAC400}" type="pres">
      <dgm:prSet presAssocID="{BFA84FD1-0681-439F-B03D-D2F3A5DFC6B3}" presName="rootConnector" presStyleCnt="0"/>
      <dgm:spPr/>
    </dgm:pt>
    <dgm:pt modelId="{AA2E26CE-331E-4372-ABC7-2D633620F209}" type="pres">
      <dgm:prSet presAssocID="{BFA84FD1-0681-439F-B03D-D2F3A5DFC6B3}" presName="hierChild4" presStyleCnt="0"/>
      <dgm:spPr/>
    </dgm:pt>
    <dgm:pt modelId="{A54EBBD9-B8F5-427E-9F93-09C3E16AD0F9}" type="pres">
      <dgm:prSet presAssocID="{BFA84FD1-0681-439F-B03D-D2F3A5DFC6B3}" presName="hierChild5" presStyleCnt="0"/>
      <dgm:spPr/>
    </dgm:pt>
    <dgm:pt modelId="{3EC95EE0-62B2-46FE-84F8-C546FADB847C}" type="pres">
      <dgm:prSet presAssocID="{8D5FB264-0A5C-4C3A-85B7-453D9BD837DF}" presName="Name35" presStyleLbl="parChTrans1D2" presStyleIdx="2" presStyleCnt="4"/>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2" presStyleCnt="3">
        <dgm:presLayoutVars>
          <dgm:chPref val="3"/>
        </dgm:presLayoutVars>
      </dgm:prSet>
      <dgm:spPr/>
    </dgm:pt>
    <dgm:pt modelId="{6238C53E-A961-488B-8FBD-6EC13507B069}" type="pres">
      <dgm:prSet presAssocID="{4EC42421-831D-4CD3-8215-2AF4300F9C01}" presName="rootConnector" presStyleCnt="0"/>
      <dgm:spPr/>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3" presStyleCnt="4"/>
      <dgm:spPr/>
    </dgm:pt>
    <dgm:pt modelId="{2C28615C-654F-4C05-9383-C72EAED46321}" type="pres">
      <dgm:prSet presAssocID="{B29BF47F-FB6F-4BB3-8B1F-25C507DDACF5}" presName="hierRoot3" presStyleCnt="0">
        <dgm:presLayoutVars>
          <dgm:hierBranch val="init"/>
        </dgm:presLayoutVars>
      </dgm:prSet>
      <dgm:spPr/>
    </dgm:pt>
    <dgm:pt modelId="{531B400A-09FB-4AC6-91D5-6C58DB555D6A}" type="pres">
      <dgm:prSet presAssocID="{B29BF47F-FB6F-4BB3-8B1F-25C507DDACF5}" presName="rootComposite3" presStyleCnt="0"/>
      <dgm:spPr/>
    </dgm:pt>
    <dgm:pt modelId="{15F46F7C-8483-49B2-9069-BD47518FA3C5}" type="pres">
      <dgm:prSet presAssocID="{B29BF47F-FB6F-4BB3-8B1F-25C507DDACF5}" presName="rootText3" presStyleLbl="asst1" presStyleIdx="0" presStyleCnt="1">
        <dgm:presLayoutVars>
          <dgm:chPref val="3"/>
        </dgm:presLayoutVars>
      </dgm:prSet>
      <dgm:spPr/>
    </dgm:pt>
    <dgm:pt modelId="{84CA6990-2D5D-47C3-9020-DF2944DEADCF}" type="pres">
      <dgm:prSet presAssocID="{B29BF47F-FB6F-4BB3-8B1F-25C507DDACF5}" presName="rootConnector3" presStyleCnt="0"/>
      <dgm:spPr/>
    </dgm:pt>
    <dgm:pt modelId="{0851F80F-8C6D-4400-A85F-BC390C21E4EE}" type="pres">
      <dgm:prSet presAssocID="{B29BF47F-FB6F-4BB3-8B1F-25C507DDACF5}" presName="hierChild6" presStyleCnt="0"/>
      <dgm:spPr/>
    </dgm:pt>
    <dgm:pt modelId="{3025C0A7-DA6F-4394-8167-7956EFF162F0}" type="pres">
      <dgm:prSet presAssocID="{B29BF47F-FB6F-4BB3-8B1F-25C507DDACF5}" presName="hierChild7" presStyleCnt="0"/>
      <dgm:spPr/>
    </dgm:pt>
  </dgm:ptLst>
  <dgm:cxnLst>
    <dgm:cxn modelId="{E65B0B16-FE3E-498F-A024-0443C069602B}" srcId="{A77D31B3-3808-4FBA-8FA4-CC8D448A173E}" destId="{47C757F0-AA23-46BE-9311-EA432CDEEAA1}" srcOrd="0" destOrd="0" parTransId="{AB39B06D-FE6C-48B2-B5B4-77CD0C8CF7AD}" sibTransId="{DF0D1C21-B79E-4875-B7FA-EF183CB48B88}"/>
    <dgm:cxn modelId="{15EB789C-1CE0-49A7-B0C2-FDC2CDD9DD85}" srcId="{47C757F0-AA23-46BE-9311-EA432CDEEAA1}" destId="{B29BF47F-FB6F-4BB3-8B1F-25C507DDACF5}" srcOrd="0" destOrd="0" parTransId="{4294CB15-5EAF-442A-BADC-24588A60ECFF}" sibTransId="{4FBEC948-3FA9-4375-B83A-B44348E5F34D}"/>
    <dgm:cxn modelId="{08FC37DA-0E70-4284-8728-53E193B43E35}" srcId="{47C757F0-AA23-46BE-9311-EA432CDEEAA1}" destId="{12714FC6-8B41-47E5-91DD-F02D34D23B93}" srcOrd="1" destOrd="0" parTransId="{EACD17F5-D793-4A43-B489-D1804D50CFEF}" sibTransId="{FA45D93F-0724-4936-AA45-E6762732A19D}"/>
    <dgm:cxn modelId="{7A6489ED-EBE0-4012-83BD-3A94E1451370}" srcId="{47C757F0-AA23-46BE-9311-EA432CDEEAA1}" destId="{BFA84FD1-0681-439F-B03D-D2F3A5DFC6B3}" srcOrd="2" destOrd="0" parTransId="{4D0AFD10-E076-4F41-A47A-8D3E878979A6}" sibTransId="{54C3E077-7B65-4A91-A49E-D8F75B9D1E7A}"/>
    <dgm:cxn modelId="{745C7546-371E-4487-A366-8D46719BF724}" srcId="{47C757F0-AA23-46BE-9311-EA432CDEEAA1}" destId="{4EC42421-831D-4CD3-8215-2AF4300F9C01}" srcOrd="3" destOrd="0" parTransId="{8D5FB264-0A5C-4C3A-85B7-453D9BD837DF}" sibTransId="{A1825131-D805-48C8-BFCE-E45C02E6F5CE}"/>
    <dgm:cxn modelId="{7F142C16-87B0-4D19-AA0C-EE70B378045E}" type="presOf" srcId="{A77D31B3-3808-4FBA-8FA4-CC8D448A173E}" destId="{E498DC9C-C5AC-4482-A26F-3B99DC5D79F0}" srcOrd="0" destOrd="0" presId="urn:microsoft.com/office/officeart/2005/8/layout/orgChart1"/>
    <dgm:cxn modelId="{6CCD503A-046B-4E2F-AE39-B91520B34064}" type="presParOf" srcId="{E498DC9C-C5AC-4482-A26F-3B99DC5D79F0}" destId="{F728C3E8-5128-4BB6-90CC-A86769ECE335}" srcOrd="0" destOrd="0" presId="urn:microsoft.com/office/officeart/2005/8/layout/orgChart1"/>
    <dgm:cxn modelId="{E8981582-89D0-4B5D-8B11-B7690AD325E5}" type="presParOf" srcId="{F728C3E8-5128-4BB6-90CC-A86769ECE335}" destId="{79147750-B6BF-43FD-83A0-7ACDC9B53EFF}" srcOrd="0" destOrd="0" presId="urn:microsoft.com/office/officeart/2005/8/layout/orgChart1"/>
    <dgm:cxn modelId="{C00BF01F-D102-4A8F-8FA1-E6080FC2E07F}" type="presOf" srcId="{47C757F0-AA23-46BE-9311-EA432CDEEAA1}" destId="{79147750-B6BF-43FD-83A0-7ACDC9B53EFF}" srcOrd="0" destOrd="0" presId="urn:microsoft.com/office/officeart/2005/8/layout/orgChart1"/>
    <dgm:cxn modelId="{D78F34B3-9EE8-453C-B098-C16EDA3C1A03}" type="presParOf" srcId="{79147750-B6BF-43FD-83A0-7ACDC9B53EFF}" destId="{AE79172D-D441-42BB-84EA-E3D989670DED}" srcOrd="0" destOrd="0" presId="urn:microsoft.com/office/officeart/2005/8/layout/orgChart1"/>
    <dgm:cxn modelId="{2CCC4979-CD43-4535-96E8-191992116D9E}" type="presOf" srcId="{47C757F0-AA23-46BE-9311-EA432CDEEAA1}" destId="{AE79172D-D441-42BB-84EA-E3D989670DED}" srcOrd="0" destOrd="0" presId="urn:microsoft.com/office/officeart/2005/8/layout/orgChart1"/>
    <dgm:cxn modelId="{07FDE2D9-52C4-4110-B8F5-7CC2A21879E7}" type="presParOf" srcId="{79147750-B6BF-43FD-83A0-7ACDC9B53EFF}" destId="{86420519-308D-4A6A-8FEA-6FB2E39BA448}" srcOrd="1" destOrd="0" presId="urn:microsoft.com/office/officeart/2005/8/layout/orgChart1"/>
    <dgm:cxn modelId="{24D2E9A3-5D7D-4967-A50B-5A5CA384DEEC}" type="presOf" srcId="{47C757F0-AA23-46BE-9311-EA432CDEEAA1}" destId="{86420519-308D-4A6A-8FEA-6FB2E39BA448}" srcOrd="0" destOrd="0" presId="urn:microsoft.com/office/officeart/2005/8/layout/orgChart1"/>
    <dgm:cxn modelId="{EED13321-DBC1-4E71-BF24-2341CFBCDBF0}" type="presParOf" srcId="{F728C3E8-5128-4BB6-90CC-A86769ECE335}" destId="{9A0FF10C-81C7-47CD-A320-768F2009480B}" srcOrd="1" destOrd="0" presId="urn:microsoft.com/office/officeart/2005/8/layout/orgChart1"/>
    <dgm:cxn modelId="{B32447DE-4F0E-40F8-938C-7051CE3B6C94}" type="presParOf" srcId="{9A0FF10C-81C7-47CD-A320-768F2009480B}" destId="{D8101220-15C0-4C00-96D9-16575B9ABA10}" srcOrd="0" destOrd="1" presId="urn:microsoft.com/office/officeart/2005/8/layout/orgChart1"/>
    <dgm:cxn modelId="{9B8D0AE4-61E9-4B2B-96D7-1E25B3C4F94B}" type="presOf" srcId="{EACD17F5-D793-4A43-B489-D1804D50CFEF}" destId="{D8101220-15C0-4C00-96D9-16575B9ABA10}" srcOrd="0" destOrd="0" presId="urn:microsoft.com/office/officeart/2005/8/layout/orgChart1"/>
    <dgm:cxn modelId="{19B31A81-59D2-4A44-864A-55505E8B3DC4}" type="presParOf" srcId="{9A0FF10C-81C7-47CD-A320-768F2009480B}" destId="{D6C5C065-A308-417C-8ECC-04FC2BEC646C}" srcOrd="1" destOrd="1" presId="urn:microsoft.com/office/officeart/2005/8/layout/orgChart1"/>
    <dgm:cxn modelId="{5F7B4B22-1E3B-4BCC-A329-950831E1E138}" type="presParOf" srcId="{D6C5C065-A308-417C-8ECC-04FC2BEC646C}" destId="{E36491EF-5019-46FD-BC82-1BD579B9EE0E}" srcOrd="0" destOrd="1" presId="urn:microsoft.com/office/officeart/2005/8/layout/orgChart1"/>
    <dgm:cxn modelId="{88F84962-28B6-4762-B146-C6C895587B7A}" type="presOf" srcId="{12714FC6-8B41-47E5-91DD-F02D34D23B93}" destId="{E36491EF-5019-46FD-BC82-1BD579B9EE0E}" srcOrd="0" destOrd="0" presId="urn:microsoft.com/office/officeart/2005/8/layout/orgChart1"/>
    <dgm:cxn modelId="{C2EF3181-2E35-4676-B624-BFA567BC7598}" type="presParOf" srcId="{E36491EF-5019-46FD-BC82-1BD579B9EE0E}" destId="{43B7C837-49D6-40CE-BBAB-953D9E4BA7ED}" srcOrd="0" destOrd="0" presId="urn:microsoft.com/office/officeart/2005/8/layout/orgChart1"/>
    <dgm:cxn modelId="{82111431-FE79-40C9-B24A-2138B3977682}" type="presOf" srcId="{12714FC6-8B41-47E5-91DD-F02D34D23B93}" destId="{43B7C837-49D6-40CE-BBAB-953D9E4BA7ED}" srcOrd="0" destOrd="0" presId="urn:microsoft.com/office/officeart/2005/8/layout/orgChart1"/>
    <dgm:cxn modelId="{51E1148D-812D-4F08-B305-DA37288B87ED}" type="presParOf" srcId="{E36491EF-5019-46FD-BC82-1BD579B9EE0E}" destId="{9A037140-9B69-4B9F-A134-F2F2EB0F2E32}" srcOrd="1" destOrd="0" presId="urn:microsoft.com/office/officeart/2005/8/layout/orgChart1"/>
    <dgm:cxn modelId="{BD41856F-A73D-46F8-A438-56B4FEDF8BEE}" type="presOf" srcId="{12714FC6-8B41-47E5-91DD-F02D34D23B93}" destId="{9A037140-9B69-4B9F-A134-F2F2EB0F2E32}" srcOrd="0" destOrd="0" presId="urn:microsoft.com/office/officeart/2005/8/layout/orgChart1"/>
    <dgm:cxn modelId="{C6088893-ACA9-44D6-9910-98C10697E481}" type="presParOf" srcId="{D6C5C065-A308-417C-8ECC-04FC2BEC646C}" destId="{FA37AA5D-87C2-47F6-9B72-B753C073E744}" srcOrd="1" destOrd="1" presId="urn:microsoft.com/office/officeart/2005/8/layout/orgChart1"/>
    <dgm:cxn modelId="{EEB0856C-CBCC-45BC-887F-594F59895829}" type="presParOf" srcId="{D6C5C065-A308-417C-8ECC-04FC2BEC646C}" destId="{A7309641-2A58-41EA-9E42-56812CF298ED}" srcOrd="2" destOrd="1" presId="urn:microsoft.com/office/officeart/2005/8/layout/orgChart1"/>
    <dgm:cxn modelId="{BF64DB87-87B6-4B94-8E20-3D0D544C2884}" type="presParOf" srcId="{9A0FF10C-81C7-47CD-A320-768F2009480B}" destId="{CC7ABF79-0D4C-4EFA-905F-F8F331C824CD}" srcOrd="2" destOrd="1" presId="urn:microsoft.com/office/officeart/2005/8/layout/orgChart1"/>
    <dgm:cxn modelId="{C87F6ECB-F73A-41AC-AD22-903C70ECBEC5}" type="presOf" srcId="{4D0AFD10-E076-4F41-A47A-8D3E878979A6}" destId="{CC7ABF79-0D4C-4EFA-905F-F8F331C824CD}" srcOrd="0" destOrd="0" presId="urn:microsoft.com/office/officeart/2005/8/layout/orgChart1"/>
    <dgm:cxn modelId="{532621E9-BE0D-431E-AEBA-96224AF675AF}" type="presParOf" srcId="{9A0FF10C-81C7-47CD-A320-768F2009480B}" destId="{48760EE4-83DD-4936-85B6-282A09876590}" srcOrd="3" destOrd="1" presId="urn:microsoft.com/office/officeart/2005/8/layout/orgChart1"/>
    <dgm:cxn modelId="{E478B826-D0AE-4F3E-A34E-54B96AC68295}" type="presParOf" srcId="{48760EE4-83DD-4936-85B6-282A09876590}" destId="{B3FECF72-5127-4453-811D-D76DC6F7BF26}" srcOrd="0" destOrd="3" presId="urn:microsoft.com/office/officeart/2005/8/layout/orgChart1"/>
    <dgm:cxn modelId="{BC00DDB6-CF7D-4056-89E4-7727786E8075}" type="presOf" srcId="{BFA84FD1-0681-439F-B03D-D2F3A5DFC6B3}" destId="{B3FECF72-5127-4453-811D-D76DC6F7BF26}" srcOrd="0" destOrd="0" presId="urn:microsoft.com/office/officeart/2005/8/layout/orgChart1"/>
    <dgm:cxn modelId="{6214158E-9C46-4C01-BD8A-1F604C95A633}" type="presParOf" srcId="{B3FECF72-5127-4453-811D-D76DC6F7BF26}" destId="{4A19335E-AD3F-4AF4-BC6C-B6C8F1498CE7}" srcOrd="0" destOrd="0" presId="urn:microsoft.com/office/officeart/2005/8/layout/orgChart1"/>
    <dgm:cxn modelId="{7C008884-3ED1-4F6C-B027-90CA8414C74E}" type="presOf" srcId="{BFA84FD1-0681-439F-B03D-D2F3A5DFC6B3}" destId="{4A19335E-AD3F-4AF4-BC6C-B6C8F1498CE7}" srcOrd="0" destOrd="0" presId="urn:microsoft.com/office/officeart/2005/8/layout/orgChart1"/>
    <dgm:cxn modelId="{4638A754-E79E-40AC-88A3-AD4208B8A4BC}" type="presParOf" srcId="{B3FECF72-5127-4453-811D-D76DC6F7BF26}" destId="{F0B2DF07-C201-4C25-8CD5-DBC5AAFAC400}" srcOrd="1" destOrd="0" presId="urn:microsoft.com/office/officeart/2005/8/layout/orgChart1"/>
    <dgm:cxn modelId="{E5EBEC40-FDB8-4A66-980B-9EE14B61ADC1}" type="presOf" srcId="{BFA84FD1-0681-439F-B03D-D2F3A5DFC6B3}" destId="{F0B2DF07-C201-4C25-8CD5-DBC5AAFAC400}" srcOrd="0" destOrd="0" presId="urn:microsoft.com/office/officeart/2005/8/layout/orgChart1"/>
    <dgm:cxn modelId="{D8E456F3-F779-406D-AE2C-6FE46BAFCC20}" type="presParOf" srcId="{48760EE4-83DD-4936-85B6-282A09876590}" destId="{AA2E26CE-331E-4372-ABC7-2D633620F209}" srcOrd="1" destOrd="3" presId="urn:microsoft.com/office/officeart/2005/8/layout/orgChart1"/>
    <dgm:cxn modelId="{6D034097-25B9-4FB0-8602-709D7A6B3BB5}" type="presParOf" srcId="{48760EE4-83DD-4936-85B6-282A09876590}" destId="{A54EBBD9-B8F5-427E-9F93-09C3E16AD0F9}" srcOrd="2" destOrd="3" presId="urn:microsoft.com/office/officeart/2005/8/layout/orgChart1"/>
    <dgm:cxn modelId="{94D14860-0275-4CBC-93C6-B9EFB1D1FE47}" type="presParOf" srcId="{9A0FF10C-81C7-47CD-A320-768F2009480B}" destId="{3EC95EE0-62B2-46FE-84F8-C546FADB847C}" srcOrd="4" destOrd="1" presId="urn:microsoft.com/office/officeart/2005/8/layout/orgChart1"/>
    <dgm:cxn modelId="{AA3254CA-EAC6-40CE-9A27-06E5C848602A}" type="presOf" srcId="{8D5FB264-0A5C-4C3A-85B7-453D9BD837DF}" destId="{3EC95EE0-62B2-46FE-84F8-C546FADB847C}" srcOrd="0" destOrd="0" presId="urn:microsoft.com/office/officeart/2005/8/layout/orgChart1"/>
    <dgm:cxn modelId="{BB1A7B72-FAA0-4012-85F6-FE85D27CC0BE}" type="presParOf" srcId="{9A0FF10C-81C7-47CD-A320-768F2009480B}" destId="{C6F584B9-7EA2-46D8-913B-8F508509ECAB}" srcOrd="5" destOrd="1" presId="urn:microsoft.com/office/officeart/2005/8/layout/orgChart1"/>
    <dgm:cxn modelId="{4EE65487-8EB0-4ED0-94EB-4C6ED06C51AF}" type="presParOf" srcId="{C6F584B9-7EA2-46D8-913B-8F508509ECAB}" destId="{6CAD9CE6-86A1-4F7D-98A6-3AF53F55F9E3}" srcOrd="0" destOrd="5" presId="urn:microsoft.com/office/officeart/2005/8/layout/orgChart1"/>
    <dgm:cxn modelId="{0D8AE06D-24D0-438A-A80E-6E80B60CAF50}" type="presOf" srcId="{4EC42421-831D-4CD3-8215-2AF4300F9C01}" destId="{6CAD9CE6-86A1-4F7D-98A6-3AF53F55F9E3}" srcOrd="0" destOrd="0" presId="urn:microsoft.com/office/officeart/2005/8/layout/orgChart1"/>
    <dgm:cxn modelId="{200EEA1F-7420-4CEB-B889-EF9647E178D5}" type="presParOf" srcId="{6CAD9CE6-86A1-4F7D-98A6-3AF53F55F9E3}" destId="{08A0D1D2-3A20-4D63-8E35-B7C8B6B16D48}" srcOrd="0" destOrd="0" presId="urn:microsoft.com/office/officeart/2005/8/layout/orgChart1"/>
    <dgm:cxn modelId="{6909271B-BCF2-4EBA-A1A3-0A9304BD2B40}" type="presOf" srcId="{4EC42421-831D-4CD3-8215-2AF4300F9C01}" destId="{08A0D1D2-3A20-4D63-8E35-B7C8B6B16D48}" srcOrd="0" destOrd="0" presId="urn:microsoft.com/office/officeart/2005/8/layout/orgChart1"/>
    <dgm:cxn modelId="{DF73B7D0-DC39-4A98-A007-0FA8F1F9C188}" type="presParOf" srcId="{6CAD9CE6-86A1-4F7D-98A6-3AF53F55F9E3}" destId="{6238C53E-A961-488B-8FBD-6EC13507B069}" srcOrd="1" destOrd="0" presId="urn:microsoft.com/office/officeart/2005/8/layout/orgChart1"/>
    <dgm:cxn modelId="{A620695C-27DF-43B7-947F-3B4F606CEFEF}" type="presOf" srcId="{4EC42421-831D-4CD3-8215-2AF4300F9C01}" destId="{6238C53E-A961-488B-8FBD-6EC13507B069}" srcOrd="0" destOrd="0" presId="urn:microsoft.com/office/officeart/2005/8/layout/orgChart1"/>
    <dgm:cxn modelId="{C14C0B6F-0D97-40B2-85DE-5CB074819A3E}" type="presParOf" srcId="{C6F584B9-7EA2-46D8-913B-8F508509ECAB}" destId="{A9C46FD3-3BE9-4E6E-BFF6-B0B42B13F857}" srcOrd="1" destOrd="5" presId="urn:microsoft.com/office/officeart/2005/8/layout/orgChart1"/>
    <dgm:cxn modelId="{DBAE893C-E6EB-4C7F-9B3B-959753636127}" type="presParOf" srcId="{C6F584B9-7EA2-46D8-913B-8F508509ECAB}" destId="{A663BBFB-A120-4F5B-82EC-DB644DB9966B}" srcOrd="2" destOrd="5" presId="urn:microsoft.com/office/officeart/2005/8/layout/orgChart1"/>
    <dgm:cxn modelId="{867FBEA3-6A8B-4EF7-8BDE-25D6C092B079}" type="presParOf" srcId="{F728C3E8-5128-4BB6-90CC-A86769ECE335}" destId="{0E819307-1B4E-434E-BA76-D5A4192B0663}" srcOrd="2" destOrd="0" presId="urn:microsoft.com/office/officeart/2005/8/layout/orgChart1"/>
    <dgm:cxn modelId="{EAD8C3D8-7DDC-4DFF-9EA7-C14BC66A453C}" type="presParOf" srcId="{0E819307-1B4E-434E-BA76-D5A4192B0663}" destId="{7CC60CE2-51D0-47DE-A469-FE4884597341}" srcOrd="0" destOrd="2" presId="urn:microsoft.com/office/officeart/2005/8/layout/orgChart1"/>
    <dgm:cxn modelId="{87B2E834-505C-44FA-AB20-714B02DB8A3A}" type="presOf" srcId="{4294CB15-5EAF-442A-BADC-24588A60ECFF}" destId="{7CC60CE2-51D0-47DE-A469-FE4884597341}" srcOrd="0" destOrd="0" presId="urn:microsoft.com/office/officeart/2005/8/layout/orgChart1"/>
    <dgm:cxn modelId="{B9FEA856-FFD2-4BD4-96FF-5A25836D747E}" type="presParOf" srcId="{0E819307-1B4E-434E-BA76-D5A4192B0663}" destId="{2C28615C-654F-4C05-9383-C72EAED46321}" srcOrd="1" destOrd="2" presId="urn:microsoft.com/office/officeart/2005/8/layout/orgChart1"/>
    <dgm:cxn modelId="{E34B2BE6-BA99-4D9D-846F-0F4CA2C20B0E}" type="presParOf" srcId="{2C28615C-654F-4C05-9383-C72EAED46321}" destId="{531B400A-09FB-4AC6-91D5-6C58DB555D6A}" srcOrd="0" destOrd="1" presId="urn:microsoft.com/office/officeart/2005/8/layout/orgChart1"/>
    <dgm:cxn modelId="{8FECC099-505E-4D47-8A3F-4FC13245D142}" type="presOf" srcId="{B29BF47F-FB6F-4BB3-8B1F-25C507DDACF5}" destId="{531B400A-09FB-4AC6-91D5-6C58DB555D6A}" srcOrd="0" destOrd="0" presId="urn:microsoft.com/office/officeart/2005/8/layout/orgChart1"/>
    <dgm:cxn modelId="{351B60F0-3F34-4EF0-8ECD-AB1C734C8B4F}" type="presParOf" srcId="{531B400A-09FB-4AC6-91D5-6C58DB555D6A}" destId="{15F46F7C-8483-49B2-9069-BD47518FA3C5}" srcOrd="0" destOrd="0" presId="urn:microsoft.com/office/officeart/2005/8/layout/orgChart1"/>
    <dgm:cxn modelId="{D38054A9-83C0-48C2-9C86-5EE45AC2BF67}" type="presOf" srcId="{B29BF47F-FB6F-4BB3-8B1F-25C507DDACF5}" destId="{15F46F7C-8483-49B2-9069-BD47518FA3C5}" srcOrd="0" destOrd="0" presId="urn:microsoft.com/office/officeart/2005/8/layout/orgChart1"/>
    <dgm:cxn modelId="{D1D80219-9105-496D-AD7B-606A5798FE24}" type="presParOf" srcId="{531B400A-09FB-4AC6-91D5-6C58DB555D6A}" destId="{84CA6990-2D5D-47C3-9020-DF2944DEADCF}" srcOrd="1" destOrd="0" presId="urn:microsoft.com/office/officeart/2005/8/layout/orgChart1"/>
    <dgm:cxn modelId="{668FB6A5-1640-49D7-AD10-F1E2FE78130E}" type="presOf" srcId="{B29BF47F-FB6F-4BB3-8B1F-25C507DDACF5}" destId="{84CA6990-2D5D-47C3-9020-DF2944DEADCF}" srcOrd="0" destOrd="0" presId="urn:microsoft.com/office/officeart/2005/8/layout/orgChart1"/>
    <dgm:cxn modelId="{EFB92E5F-0959-4923-929F-18BE82C35441}" type="presParOf" srcId="{2C28615C-654F-4C05-9383-C72EAED46321}" destId="{0851F80F-8C6D-4400-A85F-BC390C21E4EE}" srcOrd="1" destOrd="1" presId="urn:microsoft.com/office/officeart/2005/8/layout/orgChart1"/>
    <dgm:cxn modelId="{00A13EFB-4D6E-4B54-8169-7D332A4F9D7A}" type="presParOf" srcId="{2C28615C-654F-4C05-9383-C72EAED46321}" destId="{3025C0A7-DA6F-4394-8167-7956EFF162F0}" srcOrd="2" destOrd="1"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3173095" cy="1827530"/>
        <a:chOff x="0" y="0"/>
        <a:chExt cx="3173095" cy="1827530"/>
      </a:xfrm>
    </dsp:grpSpPr>
    <dsp:sp modelId="{D8101220-15C0-4C00-96D9-16575B9ABA10}">
      <dsp:nvSpPr>
        <dsp:cNvPr id="5" name="任意多边形 4"/>
        <dsp:cNvSpPr/>
      </dsp:nvSpPr>
      <dsp:spPr bwMode="white">
        <a:xfrm>
          <a:off x="463903" y="486974"/>
          <a:ext cx="1122645" cy="853581"/>
        </a:xfrm>
        <a:custGeom>
          <a:avLst/>
          <a:gdLst/>
          <a:ahLst/>
          <a:cxnLst/>
          <a:pathLst>
            <a:path w="1768" h="1344">
              <a:moveTo>
                <a:pt x="1768" y="0"/>
              </a:moveTo>
              <a:lnTo>
                <a:pt x="1768" y="1191"/>
              </a:lnTo>
              <a:lnTo>
                <a:pt x="0" y="1191"/>
              </a:lnTo>
              <a:lnTo>
                <a:pt x="0"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463903" y="486974"/>
        <a:ext cx="1122645" cy="853581"/>
      </dsp:txXfrm>
    </dsp:sp>
    <dsp:sp modelId="{CC7ABF79-0D4C-4EFA-905F-F8F331C824CD}">
      <dsp:nvSpPr>
        <dsp:cNvPr id="8" name="任意多边形 7"/>
        <dsp:cNvSpPr/>
      </dsp:nvSpPr>
      <dsp:spPr bwMode="white">
        <a:xfrm>
          <a:off x="1586548" y="486974"/>
          <a:ext cx="0" cy="853581"/>
        </a:xfrm>
        <a:custGeom>
          <a:avLst/>
          <a:gdLst/>
          <a:ahLst/>
          <a:cxnLst/>
          <a:pathLst>
            <a:path h="1344">
              <a:moveTo>
                <a:pt x="0" y="0"/>
              </a:moveTo>
              <a:lnTo>
                <a:pt x="0"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1586548" y="486974"/>
        <a:ext cx="0" cy="853581"/>
      </dsp:txXfrm>
    </dsp:sp>
    <dsp:sp modelId="{3EC95EE0-62B2-46FE-84F8-C546FADB847C}">
      <dsp:nvSpPr>
        <dsp:cNvPr id="11" name="任意多边形 10"/>
        <dsp:cNvSpPr/>
      </dsp:nvSpPr>
      <dsp:spPr bwMode="white">
        <a:xfrm>
          <a:off x="1586548" y="486974"/>
          <a:ext cx="1122645" cy="853581"/>
        </a:xfrm>
        <a:custGeom>
          <a:avLst/>
          <a:gdLst/>
          <a:ahLst/>
          <a:cxnLst/>
          <a:pathLst>
            <a:path w="1768" h="1344">
              <a:moveTo>
                <a:pt x="0" y="0"/>
              </a:moveTo>
              <a:lnTo>
                <a:pt x="0" y="1191"/>
              </a:lnTo>
              <a:lnTo>
                <a:pt x="1768" y="1191"/>
              </a:lnTo>
              <a:lnTo>
                <a:pt x="1768"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1586548" y="486974"/>
        <a:ext cx="1122645" cy="853581"/>
      </dsp:txXfrm>
    </dsp:sp>
    <dsp:sp modelId="{7CC60CE2-51D0-47DE-A469-FE4884597341}">
      <dsp:nvSpPr>
        <dsp:cNvPr id="14" name="任意多边形 13"/>
        <dsp:cNvSpPr/>
      </dsp:nvSpPr>
      <dsp:spPr bwMode="white">
        <a:xfrm>
          <a:off x="1489128" y="486974"/>
          <a:ext cx="97420" cy="426791"/>
        </a:xfrm>
        <a:custGeom>
          <a:avLst/>
          <a:gdLst/>
          <a:ahLst/>
          <a:cxnLst/>
          <a:pathLst>
            <a:path w="153" h="672">
              <a:moveTo>
                <a:pt x="153" y="0"/>
              </a:moveTo>
              <a:lnTo>
                <a:pt x="153" y="672"/>
              </a:lnTo>
              <a:lnTo>
                <a:pt x="0" y="672"/>
              </a:lnTo>
            </a:path>
          </a:pathLst>
        </a:custGeom>
      </dsp:spPr>
      <dsp:style>
        <a:lnRef idx="2">
          <a:sysClr val="windowText" lastClr="000000">
            <a:shade val="60000"/>
          </a:sysClr>
        </a:lnRef>
        <a:fillRef idx="0">
          <a:sysClr val="windowText" lastClr="000000"/>
        </a:fillRef>
        <a:effectRef idx="0">
          <a:scrgbClr r="0" g="0" b="0"/>
        </a:effectRef>
        <a:fontRef idx="minor"/>
      </dsp:style>
      <dsp:txXfrm>
        <a:off x="1489128" y="486974"/>
        <a:ext cx="97420" cy="426791"/>
      </dsp:txXfrm>
    </dsp:sp>
    <dsp:sp modelId="{AE79172D-D441-42BB-84EA-E3D989670DED}">
      <dsp:nvSpPr>
        <dsp:cNvPr id="3" name="矩形 2"/>
        <dsp:cNvSpPr/>
      </dsp:nvSpPr>
      <dsp:spPr bwMode="white">
        <a:xfrm>
          <a:off x="1122645" y="23072"/>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项目</a:t>
          </a:r>
          <a:r>
            <a:rPr lang="zh-CN" altLang="en-US" sz="1050">
              <a:solidFill>
                <a:sysClr val="windowText" lastClr="000000"/>
              </a:solidFill>
              <a:latin typeface="宋体" panose="02010600030101010101" charset="-122"/>
              <a:ea typeface="宋体" panose="02010600030101010101" charset="-122"/>
            </a:rPr>
            <a:t>经理</a:t>
          </a:r>
          <a:endParaRPr lang="zh-CN" altLang="en-US" sz="1050">
            <a:solidFill>
              <a:sysClr val="windowText" lastClr="000000"/>
            </a:solidFill>
            <a:latin typeface="宋体" panose="02010600030101010101" charset="-122"/>
            <a:ea typeface="宋体" panose="02010600030101010101" charset="-122"/>
          </a:endParaRPr>
        </a:p>
      </dsp:txBody>
      <dsp:txXfrm>
        <a:off x="1122645" y="23072"/>
        <a:ext cx="927806" cy="463903"/>
      </dsp:txXfrm>
    </dsp:sp>
    <dsp:sp modelId="{43B7C837-49D6-40CE-BBAB-953D9E4BA7ED}">
      <dsp:nvSpPr>
        <dsp:cNvPr id="6" name="矩形 5"/>
        <dsp:cNvSpPr/>
      </dsp:nvSpPr>
      <dsp:spPr bwMode="white">
        <a:xfrm>
          <a:off x="0"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作业</a:t>
          </a:r>
          <a:r>
            <a:rPr lang="zh-CN" altLang="en-US" sz="1050">
              <a:solidFill>
                <a:sysClr val="windowText" lastClr="000000"/>
              </a:solidFill>
              <a:latin typeface="宋体" panose="02010600030101010101" charset="-122"/>
              <a:ea typeface="宋体" panose="02010600030101010101" charset="-122"/>
            </a:rPr>
            <a:t>人员</a:t>
          </a:r>
          <a:endParaRPr lang="zh-CN" altLang="en-US" sz="1050">
            <a:solidFill>
              <a:sysClr val="windowText" lastClr="000000"/>
            </a:solidFill>
            <a:latin typeface="宋体" panose="02010600030101010101" charset="-122"/>
            <a:ea typeface="宋体" panose="02010600030101010101" charset="-122"/>
          </a:endParaRPr>
        </a:p>
      </dsp:txBody>
      <dsp:txXfrm>
        <a:off x="0" y="1340556"/>
        <a:ext cx="927806" cy="463903"/>
      </dsp:txXfrm>
    </dsp:sp>
    <dsp:sp modelId="{4A19335E-AD3F-4AF4-BC6C-B6C8F1498CE7}">
      <dsp:nvSpPr>
        <dsp:cNvPr id="9" name="矩形 8"/>
        <dsp:cNvSpPr/>
      </dsp:nvSpPr>
      <dsp:spPr bwMode="white">
        <a:xfrm>
          <a:off x="1122645"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050">
              <a:solidFill>
                <a:sysClr val="windowText" lastClr="000000"/>
              </a:solidFill>
              <a:latin typeface="宋体" panose="02010600030101010101" charset="-122"/>
              <a:ea typeface="宋体" panose="02010600030101010101" charset="-122"/>
            </a:rPr>
            <a:t>作业</a:t>
          </a:r>
          <a:r>
            <a:rPr lang="zh-CN" sz="1050">
              <a:solidFill>
                <a:sysClr val="windowText" lastClr="000000"/>
              </a:solidFill>
              <a:latin typeface="宋体" panose="02010600030101010101" charset="-122"/>
              <a:ea typeface="宋体" panose="02010600030101010101" charset="-122"/>
            </a:rPr>
            <a:t>人员</a:t>
          </a:r>
          <a:endParaRPr altLang="en-US" sz="1050">
            <a:solidFill>
              <a:sysClr val="windowText" lastClr="000000"/>
            </a:solidFill>
            <a:latin typeface="宋体" panose="02010600030101010101" charset="-122"/>
            <a:ea typeface="宋体" panose="02010600030101010101" charset="-122"/>
          </a:endParaRPr>
        </a:p>
      </dsp:txBody>
      <dsp:txXfrm>
        <a:off x="1122645" y="1340556"/>
        <a:ext cx="927806" cy="463903"/>
      </dsp:txXfrm>
    </dsp:sp>
    <dsp:sp modelId="{08A0D1D2-3A20-4D63-8E35-B7C8B6B16D48}">
      <dsp:nvSpPr>
        <dsp:cNvPr id="12" name="矩形 11"/>
        <dsp:cNvSpPr/>
      </dsp:nvSpPr>
      <dsp:spPr bwMode="white">
        <a:xfrm>
          <a:off x="2245289"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作业</a:t>
          </a:r>
          <a:r>
            <a:rPr lang="zh-CN" altLang="en-US" sz="1050">
              <a:solidFill>
                <a:sysClr val="windowText" lastClr="000000"/>
              </a:solidFill>
              <a:latin typeface="宋体" panose="02010600030101010101" charset="-122"/>
              <a:ea typeface="宋体" panose="02010600030101010101" charset="-122"/>
            </a:rPr>
            <a:t>人员</a:t>
          </a:r>
          <a:endParaRPr lang="zh-CN" altLang="en-US" sz="1050">
            <a:solidFill>
              <a:sysClr val="windowText" lastClr="000000"/>
            </a:solidFill>
            <a:latin typeface="宋体" panose="02010600030101010101" charset="-122"/>
            <a:ea typeface="宋体" panose="02010600030101010101" charset="-122"/>
          </a:endParaRPr>
        </a:p>
      </dsp:txBody>
      <dsp:txXfrm>
        <a:off x="2245289" y="1340556"/>
        <a:ext cx="927806" cy="463903"/>
      </dsp:txXfrm>
    </dsp:sp>
    <dsp:sp modelId="{15F46F7C-8483-49B2-9069-BD47518FA3C5}">
      <dsp:nvSpPr>
        <dsp:cNvPr id="15" name="矩形 14"/>
        <dsp:cNvSpPr/>
      </dsp:nvSpPr>
      <dsp:spPr bwMode="white">
        <a:xfrm>
          <a:off x="561322" y="681814"/>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技术</a:t>
          </a:r>
          <a:r>
            <a:rPr lang="zh-CN" altLang="en-US" sz="1050">
              <a:solidFill>
                <a:sysClr val="windowText" lastClr="000000"/>
              </a:solidFill>
              <a:latin typeface="宋体" panose="02010600030101010101" charset="-122"/>
              <a:ea typeface="宋体" panose="02010600030101010101" charset="-122"/>
            </a:rPr>
            <a:t>负责人</a:t>
          </a:r>
          <a:endParaRPr lang="zh-CN" altLang="en-US" sz="1050">
            <a:solidFill>
              <a:sysClr val="windowText" lastClr="000000"/>
            </a:solidFill>
            <a:latin typeface="宋体" panose="02010600030101010101" charset="-122"/>
            <a:ea typeface="宋体" panose="02010600030101010101" charset="-122"/>
          </a:endParaRPr>
        </a:p>
      </dsp:txBody>
      <dsp:txXfrm>
        <a:off x="561322" y="681814"/>
        <a:ext cx="927806" cy="463903"/>
      </dsp:txXfrm>
    </dsp:sp>
    <dsp:sp modelId="{86420519-308D-4A6A-8FEA-6FB2E39BA448}">
      <dsp:nvSpPr>
        <dsp:cNvPr id="4" name="矩形 3" hidden="1"/>
        <dsp:cNvSpPr/>
      </dsp:nvSpPr>
      <dsp:spPr>
        <a:xfrm>
          <a:off x="1864889" y="23072"/>
          <a:ext cx="185561" cy="463903"/>
        </a:xfrm>
        <a:prstGeom prst="rect">
          <a:avLst/>
        </a:prstGeom>
      </dsp:spPr>
      <dsp:txXfrm>
        <a:off x="1864889" y="23072"/>
        <a:ext cx="185561" cy="463903"/>
      </dsp:txXfrm>
    </dsp:sp>
    <dsp:sp modelId="{9A037140-9B69-4B9F-A134-F2F2EB0F2E32}">
      <dsp:nvSpPr>
        <dsp:cNvPr id="7" name="矩形 6" hidden="1"/>
        <dsp:cNvSpPr/>
      </dsp:nvSpPr>
      <dsp:spPr>
        <a:xfrm>
          <a:off x="0" y="1340556"/>
          <a:ext cx="185561" cy="463903"/>
        </a:xfrm>
        <a:prstGeom prst="rect">
          <a:avLst/>
        </a:prstGeom>
      </dsp:spPr>
      <dsp:txXfrm>
        <a:off x="0" y="1340556"/>
        <a:ext cx="185561" cy="463903"/>
      </dsp:txXfrm>
    </dsp:sp>
    <dsp:sp modelId="{F0B2DF07-C201-4C25-8CD5-DBC5AAFAC400}">
      <dsp:nvSpPr>
        <dsp:cNvPr id="10" name="矩形 9" hidden="1"/>
        <dsp:cNvSpPr/>
      </dsp:nvSpPr>
      <dsp:spPr>
        <a:xfrm>
          <a:off x="1122645" y="1340556"/>
          <a:ext cx="185561" cy="463903"/>
        </a:xfrm>
        <a:prstGeom prst="rect">
          <a:avLst/>
        </a:prstGeom>
      </dsp:spPr>
      <dsp:txXfrm>
        <a:off x="1122645" y="1340556"/>
        <a:ext cx="185561" cy="463903"/>
      </dsp:txXfrm>
    </dsp:sp>
    <dsp:sp modelId="{6238C53E-A961-488B-8FBD-6EC13507B069}">
      <dsp:nvSpPr>
        <dsp:cNvPr id="13" name="矩形 12" hidden="1"/>
        <dsp:cNvSpPr/>
      </dsp:nvSpPr>
      <dsp:spPr>
        <a:xfrm>
          <a:off x="2245289" y="1340556"/>
          <a:ext cx="185561" cy="463903"/>
        </a:xfrm>
        <a:prstGeom prst="rect">
          <a:avLst/>
        </a:prstGeom>
      </dsp:spPr>
      <dsp:txXfrm>
        <a:off x="2245289" y="1340556"/>
        <a:ext cx="185561" cy="463903"/>
      </dsp:txXfrm>
    </dsp:sp>
    <dsp:sp modelId="{84CA6990-2D5D-47C3-9020-DF2944DEADCF}">
      <dsp:nvSpPr>
        <dsp:cNvPr id="16" name="矩形 15" hidden="1"/>
        <dsp:cNvSpPr/>
      </dsp:nvSpPr>
      <dsp:spPr>
        <a:xfrm>
          <a:off x="561322" y="681814"/>
          <a:ext cx="185561" cy="463903"/>
        </a:xfrm>
        <a:prstGeom prst="rect">
          <a:avLst/>
        </a:prstGeom>
      </dsp:spPr>
      <dsp:txXfrm>
        <a:off x="561322" y="681814"/>
        <a:ext cx="185561" cy="4639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ysClr val="windowText" lastClr="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20" textRotate="1"/>
    <customShpInfo spid="_x0000_s4113" textRotate="1"/>
    <customShpInfo spid="_x0000_s4121" textRotate="1"/>
    <customShpInfo spid="_x0000_s4114" textRotate="1"/>
    <customShpInfo spid="_x0000_s4115" textRotate="1"/>
    <customShpInfo spid="_x0000_s4116" textRotate="1"/>
    <customShpInfo spid="_x0000_s4117" textRotate="1"/>
    <customShpInfo spid="_x0000_s4118" textRotate="1"/>
  </customShpExts>
</s:customData>
</file>

<file path=customXml/item2.xml><?xml version="1.0" encoding="utf-8"?>
<b:Sources xmlns="http://schemas.openxmlformats.org/officeDocument/2006/bibliography" xmlns:b="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Company>Sky123.Org</Company>
  <Pages>131</Pages>
  <Words>68725</Words>
  <Characters>74816</Characters>
  <Lines>1</Lines>
  <Paragraphs>1</Paragraphs>
  <TotalTime>5</TotalTime>
  <ScaleCrop>false</ScaleCrop>
  <LinksUpToDate>false</LinksUpToDate>
  <CharactersWithSpaces>77376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2019-12-31T01:01:00Z</dcterms:created>
  <dc:creator>NTKO</dc:creator>
  <cp:lastModifiedBy>谭艳玲</cp:lastModifiedBy>
  <cp:lastPrinted>2024-01-09T07:41:00Z</cp:lastPrinted>
  <dcterms:modified xsi:type="dcterms:W3CDTF">2024-02-22T09:03:14Z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F5379D8FF95C4EEFAA28D1C819AA4143</vt:lpwstr>
  </property>
</Properties>
</file>