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heme="minorEastAsia" w:hAnsiTheme="minorEastAsia" w:eastAsiaTheme="minorEastAsia"/>
          <w:sz w:val="44"/>
          <w:szCs w:val="48"/>
          <w:highlight w:val="none"/>
        </w:rPr>
      </w:pPr>
      <w:bookmarkStart w:id="1603" w:name="_GoBack"/>
      <w:bookmarkEnd w:id="1603"/>
      <w:r>
        <w:rPr>
          <w:rFonts w:hint="eastAsia" w:ascii="宋体" w:hAnsi="宋体" w:cs="宋体"/>
          <w:b/>
          <w:sz w:val="32"/>
          <w:szCs w:val="32"/>
          <w:highlight w:val="none"/>
        </w:rPr>
        <w:t>南宁市金盾道路清障有限责任公司</w:t>
      </w:r>
      <w:r>
        <w:rPr>
          <w:rFonts w:hint="eastAsia" w:asciiTheme="minorEastAsia" w:hAnsiTheme="minorEastAsia" w:eastAsiaTheme="minorEastAsia"/>
          <w:sz w:val="44"/>
          <w:szCs w:val="48"/>
          <w:highlight w:val="none"/>
        </w:rPr>
        <w:t xml:space="preserve"> </w:t>
      </w:r>
    </w:p>
    <w:p>
      <w:pPr>
        <w:spacing w:after="120"/>
        <w:jc w:val="center"/>
        <w:rPr>
          <w:rFonts w:ascii="宋体" w:hAnsi="宋体" w:cs="宋体"/>
          <w:sz w:val="32"/>
          <w:szCs w:val="32"/>
          <w:highlight w:val="none"/>
        </w:rPr>
      </w:pPr>
      <w:r>
        <w:rPr>
          <w:rFonts w:hint="eastAsia" w:ascii="宋体" w:hAnsi="宋体" w:cs="宋体"/>
          <w:sz w:val="32"/>
          <w:szCs w:val="32"/>
          <w:highlight w:val="none"/>
        </w:rPr>
        <w:t>那洪分公司电梯安装采购项目</w:t>
      </w:r>
    </w:p>
    <w:p>
      <w:pPr>
        <w:pStyle w:val="27"/>
        <w:ind w:firstLine="470"/>
        <w:rPr>
          <w:rFonts w:eastAsiaTheme="minorEastAsia"/>
          <w:highlight w:val="none"/>
        </w:rPr>
      </w:pPr>
    </w:p>
    <w:p>
      <w:pPr>
        <w:spacing w:after="120"/>
        <w:jc w:val="center"/>
        <w:rPr>
          <w:rFonts w:asciiTheme="minorEastAsia" w:hAnsiTheme="minorEastAsia" w:eastAsiaTheme="minorEastAsia"/>
          <w:b/>
          <w:sz w:val="52"/>
          <w:szCs w:val="52"/>
          <w:highlight w:val="none"/>
        </w:rPr>
      </w:pPr>
    </w:p>
    <w:p>
      <w:pPr>
        <w:spacing w:after="120"/>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比</w:t>
      </w:r>
    </w:p>
    <w:p>
      <w:pPr>
        <w:spacing w:after="120"/>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选</w:t>
      </w:r>
    </w:p>
    <w:p>
      <w:pPr>
        <w:spacing w:after="120"/>
        <w:jc w:val="center"/>
        <w:rPr>
          <w:rFonts w:asciiTheme="minorEastAsia" w:hAnsiTheme="minorEastAsia" w:eastAsiaTheme="minorEastAsia"/>
          <w:b/>
          <w:sz w:val="52"/>
          <w:szCs w:val="52"/>
          <w:highlight w:val="none"/>
        </w:rPr>
      </w:pPr>
      <w:r>
        <w:rPr>
          <w:rFonts w:asciiTheme="minorEastAsia" w:hAnsiTheme="minorEastAsia" w:eastAsiaTheme="minorEastAsia"/>
          <w:b/>
          <w:sz w:val="52"/>
          <w:szCs w:val="52"/>
          <w:highlight w:val="none"/>
        </w:rPr>
        <w:t>文</w:t>
      </w:r>
    </w:p>
    <w:p>
      <w:pPr>
        <w:spacing w:after="120"/>
        <w:jc w:val="center"/>
        <w:rPr>
          <w:rFonts w:asciiTheme="minorEastAsia" w:hAnsiTheme="minorEastAsia" w:eastAsiaTheme="minorEastAsia"/>
          <w:b/>
          <w:sz w:val="52"/>
          <w:szCs w:val="52"/>
          <w:highlight w:val="none"/>
        </w:rPr>
      </w:pPr>
      <w:r>
        <w:rPr>
          <w:rFonts w:asciiTheme="minorEastAsia" w:hAnsiTheme="minorEastAsia" w:eastAsiaTheme="minorEastAsia"/>
          <w:b/>
          <w:sz w:val="52"/>
          <w:szCs w:val="52"/>
          <w:highlight w:val="none"/>
        </w:rPr>
        <w:t>件</w:t>
      </w: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jc w:val="center"/>
        <w:rPr>
          <w:rFonts w:asciiTheme="minorEastAsia" w:hAnsiTheme="minorEastAsia" w:eastAsiaTheme="minorEastAsia"/>
          <w:b/>
          <w:sz w:val="52"/>
          <w:szCs w:val="20"/>
          <w:highlight w:val="none"/>
        </w:rPr>
      </w:pPr>
    </w:p>
    <w:p>
      <w:pPr>
        <w:spacing w:line="360" w:lineRule="exact"/>
        <w:ind w:left="630" w:leftChars="300"/>
        <w:rPr>
          <w:rFonts w:asciiTheme="minorEastAsia" w:hAnsiTheme="minorEastAsia" w:eastAsiaTheme="minorEastAsia"/>
          <w:sz w:val="28"/>
          <w:szCs w:val="28"/>
          <w:highlight w:val="none"/>
        </w:rPr>
      </w:pPr>
    </w:p>
    <w:p>
      <w:pPr>
        <w:spacing w:line="360" w:lineRule="exact"/>
        <w:ind w:firstLine="2560" w:firstLineChars="8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项目编号：</w:t>
      </w:r>
      <w:r>
        <w:rPr>
          <w:rStyle w:val="34"/>
          <w:rFonts w:hint="eastAsia" w:ascii="宋体" w:hAnsi="宋体" w:eastAsia="宋体" w:cs="宋体"/>
          <w:sz w:val="32"/>
          <w:szCs w:val="32"/>
          <w:highlight w:val="none"/>
          <w:lang w:val="en-US" w:eastAsia="zh-CN"/>
        </w:rPr>
        <w:t>20240</w:t>
      </w:r>
      <w:r>
        <w:rPr>
          <w:rStyle w:val="34"/>
          <w:rFonts w:hint="eastAsia" w:ascii="宋体" w:hAnsi="宋体" w:cs="宋体"/>
          <w:sz w:val="32"/>
          <w:szCs w:val="32"/>
          <w:highlight w:val="none"/>
          <w:lang w:val="en-US" w:eastAsia="zh-CN"/>
        </w:rPr>
        <w:t>222</w:t>
      </w:r>
      <w:r>
        <w:rPr>
          <w:rStyle w:val="34"/>
          <w:rFonts w:hint="eastAsia" w:ascii="宋体" w:hAnsi="宋体" w:eastAsia="宋体" w:cs="宋体"/>
          <w:sz w:val="32"/>
          <w:szCs w:val="32"/>
          <w:highlight w:val="none"/>
          <w:lang w:val="en-US" w:eastAsia="zh-CN"/>
        </w:rPr>
        <w:t>0001</w:t>
      </w:r>
    </w:p>
    <w:p>
      <w:pPr>
        <w:spacing w:line="720" w:lineRule="exact"/>
        <w:jc w:val="center"/>
        <w:rPr>
          <w:rFonts w:ascii="方正小标宋简体" w:hAnsi="方正小标宋简体" w:eastAsia="方正小标宋简体"/>
          <w:sz w:val="44"/>
          <w:szCs w:val="44"/>
          <w:highlight w:val="none"/>
        </w:rPr>
      </w:pPr>
      <w:r>
        <w:rPr>
          <w:rFonts w:hint="eastAsia" w:asciiTheme="minorEastAsia" w:hAnsiTheme="minorEastAsia" w:eastAsiaTheme="minorEastAsia"/>
          <w:sz w:val="32"/>
          <w:szCs w:val="32"/>
          <w:highlight w:val="none"/>
        </w:rPr>
        <w:t>比选发起人：</w:t>
      </w:r>
      <w:r>
        <w:rPr>
          <w:rFonts w:hint="eastAsia" w:ascii="宋体" w:hAnsi="宋体" w:cs="宋体"/>
          <w:sz w:val="32"/>
          <w:szCs w:val="32"/>
          <w:highlight w:val="none"/>
        </w:rPr>
        <w:t>南宁市金盾道路清障有限责任公司</w:t>
      </w:r>
    </w:p>
    <w:p>
      <w:pPr>
        <w:spacing w:line="360" w:lineRule="exact"/>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w:t>
      </w:r>
    </w:p>
    <w:p>
      <w:pPr>
        <w:jc w:val="center"/>
        <w:rPr>
          <w:rFonts w:cs="宋体" w:asciiTheme="minorEastAsia" w:hAnsiTheme="minorEastAsia" w:eastAsiaTheme="minorEastAsia"/>
          <w:b/>
          <w:bCs/>
          <w:kern w:val="0"/>
          <w:sz w:val="32"/>
          <w:szCs w:val="32"/>
          <w:highlight w:val="none"/>
        </w:rPr>
      </w:pPr>
      <w:r>
        <w:rPr>
          <w:rFonts w:hint="eastAsia" w:asciiTheme="minorEastAsia" w:hAnsiTheme="minorEastAsia" w:eastAsiaTheme="minorEastAsia"/>
          <w:sz w:val="32"/>
          <w:szCs w:val="32"/>
          <w:highlight w:val="none"/>
        </w:rPr>
        <w:t>202</w:t>
      </w:r>
      <w:r>
        <w:rPr>
          <w:rFonts w:asciiTheme="minorEastAsia" w:hAnsiTheme="minorEastAsia" w:eastAsiaTheme="minorEastAsia"/>
          <w:sz w:val="32"/>
          <w:szCs w:val="32"/>
          <w:highlight w:val="none"/>
        </w:rPr>
        <w:t>4</w:t>
      </w:r>
      <w:r>
        <w:rPr>
          <w:rFonts w:hint="eastAsia" w:asciiTheme="minorEastAsia" w:hAnsiTheme="minorEastAsia" w:eastAsiaTheme="minorEastAsia"/>
          <w:sz w:val="32"/>
          <w:szCs w:val="32"/>
          <w:highlight w:val="none"/>
        </w:rPr>
        <w:t>年</w:t>
      </w:r>
      <w:r>
        <w:rPr>
          <w:rFonts w:hint="eastAsia" w:asciiTheme="minorEastAsia" w:hAnsiTheme="minorEastAsia" w:eastAsiaTheme="minorEastAsia"/>
          <w:sz w:val="32"/>
          <w:szCs w:val="32"/>
          <w:highlight w:val="none"/>
          <w:lang w:val="en-US" w:eastAsia="zh-CN"/>
        </w:rPr>
        <w:t>02</w:t>
      </w:r>
      <w:r>
        <w:rPr>
          <w:rFonts w:hint="eastAsia" w:asciiTheme="minorEastAsia" w:hAnsiTheme="minorEastAsia" w:eastAsiaTheme="minorEastAsia"/>
          <w:sz w:val="32"/>
          <w:szCs w:val="32"/>
          <w:highlight w:val="none"/>
        </w:rPr>
        <w:t>月</w:t>
      </w:r>
      <w:r>
        <w:rPr>
          <w:rFonts w:hint="eastAsia" w:asciiTheme="minorEastAsia" w:hAnsiTheme="minorEastAsia" w:eastAsiaTheme="minorEastAsia"/>
          <w:sz w:val="32"/>
          <w:szCs w:val="32"/>
          <w:highlight w:val="none"/>
          <w:lang w:val="en-US" w:eastAsia="zh-CN"/>
        </w:rPr>
        <w:t>22</w:t>
      </w:r>
      <w:r>
        <w:rPr>
          <w:rFonts w:hint="eastAsia" w:asciiTheme="minorEastAsia" w:hAnsiTheme="minorEastAsia" w:eastAsiaTheme="minorEastAsia"/>
          <w:sz w:val="32"/>
          <w:szCs w:val="32"/>
          <w:highlight w:val="none"/>
        </w:rPr>
        <w:t>日</w:t>
      </w:r>
    </w:p>
    <w:p>
      <w:pPr>
        <w:jc w:val="center"/>
        <w:rPr>
          <w:rFonts w:cs="宋体" w:asciiTheme="minorEastAsia" w:hAnsiTheme="minorEastAsia" w:eastAsiaTheme="minorEastAsia"/>
          <w:b/>
          <w:bCs/>
          <w:kern w:val="0"/>
          <w:sz w:val="32"/>
          <w:szCs w:val="32"/>
          <w:highlight w:val="none"/>
        </w:rPr>
      </w:pPr>
    </w:p>
    <w:p>
      <w:pPr>
        <w:jc w:val="center"/>
        <w:rPr>
          <w:rFonts w:cs="宋体" w:asciiTheme="minorEastAsia" w:hAnsiTheme="minorEastAsia" w:eastAsiaTheme="minorEastAsia"/>
          <w:b/>
          <w:bCs/>
          <w:kern w:val="0"/>
          <w:sz w:val="32"/>
          <w:szCs w:val="32"/>
          <w:highlight w:val="none"/>
        </w:rPr>
      </w:pPr>
    </w:p>
    <w:p>
      <w:pPr>
        <w:jc w:val="center"/>
        <w:rPr>
          <w:rFonts w:cs="宋体" w:asciiTheme="minorEastAsia" w:hAnsiTheme="minorEastAsia" w:eastAsiaTheme="minorEastAsia"/>
          <w:b/>
          <w:bCs/>
          <w:kern w:val="0"/>
          <w:sz w:val="32"/>
          <w:szCs w:val="32"/>
          <w:highlight w:val="none"/>
        </w:rPr>
      </w:pPr>
    </w:p>
    <w:p>
      <w:pPr>
        <w:jc w:val="center"/>
        <w:rPr>
          <w:rFonts w:cs="宋体" w:asciiTheme="minorEastAsia" w:hAnsiTheme="minorEastAsia" w:eastAsiaTheme="minorEastAsia"/>
          <w:b/>
          <w:bCs/>
          <w:kern w:val="0"/>
          <w:sz w:val="32"/>
          <w:szCs w:val="32"/>
          <w:highlight w:val="none"/>
        </w:rPr>
      </w:pPr>
    </w:p>
    <w:p>
      <w:pPr>
        <w:pStyle w:val="27"/>
        <w:ind w:firstLine="630"/>
        <w:rPr>
          <w:rFonts w:cs="宋体" w:asciiTheme="minorEastAsia" w:hAnsiTheme="minorEastAsia" w:eastAsiaTheme="minorEastAsia"/>
          <w:b/>
          <w:bCs/>
          <w:kern w:val="0"/>
          <w:sz w:val="32"/>
          <w:szCs w:val="32"/>
          <w:highlight w:val="none"/>
        </w:rPr>
      </w:pPr>
    </w:p>
    <w:p>
      <w:pPr>
        <w:pStyle w:val="27"/>
        <w:ind w:firstLine="630"/>
        <w:rPr>
          <w:rFonts w:cs="宋体" w:asciiTheme="minorEastAsia" w:hAnsiTheme="minorEastAsia" w:eastAsiaTheme="minorEastAsia"/>
          <w:b/>
          <w:bCs/>
          <w:kern w:val="0"/>
          <w:sz w:val="32"/>
          <w:szCs w:val="32"/>
          <w:highlight w:val="none"/>
        </w:rPr>
      </w:pPr>
    </w:p>
    <w:p>
      <w:pPr>
        <w:pStyle w:val="27"/>
        <w:ind w:firstLine="630"/>
        <w:rPr>
          <w:rFonts w:cs="宋体" w:asciiTheme="minorEastAsia" w:hAnsiTheme="minorEastAsia" w:eastAsiaTheme="minorEastAsia"/>
          <w:b/>
          <w:bCs/>
          <w:kern w:val="0"/>
          <w:sz w:val="32"/>
          <w:szCs w:val="32"/>
          <w:highlight w:val="none"/>
        </w:rPr>
      </w:pPr>
    </w:p>
    <w:p>
      <w:pPr>
        <w:pStyle w:val="27"/>
        <w:ind w:firstLine="630"/>
        <w:rPr>
          <w:rFonts w:cs="宋体" w:asciiTheme="minorEastAsia" w:hAnsiTheme="minorEastAsia" w:eastAsiaTheme="minorEastAsia"/>
          <w:b/>
          <w:bCs/>
          <w:kern w:val="0"/>
          <w:sz w:val="32"/>
          <w:szCs w:val="32"/>
          <w:highlight w:val="none"/>
        </w:rPr>
      </w:pPr>
    </w:p>
    <w:p>
      <w:pPr>
        <w:pStyle w:val="27"/>
        <w:ind w:firstLine="630"/>
        <w:rPr>
          <w:rFonts w:cs="宋体" w:asciiTheme="minorEastAsia" w:hAnsiTheme="minorEastAsia" w:eastAsiaTheme="minorEastAsia"/>
          <w:b/>
          <w:bCs/>
          <w:kern w:val="0"/>
          <w:sz w:val="32"/>
          <w:szCs w:val="32"/>
          <w:highlight w:val="none"/>
        </w:rPr>
      </w:pPr>
    </w:p>
    <w:sdt>
      <w:sdtPr>
        <w:rPr>
          <w:rFonts w:hint="eastAsia" w:cs="宋体" w:asciiTheme="minorEastAsia" w:hAnsiTheme="minorEastAsia" w:eastAsiaTheme="minorEastAsia"/>
          <w:b w:val="0"/>
          <w:bCs w:val="0"/>
          <w:color w:val="auto"/>
          <w:kern w:val="2"/>
          <w:sz w:val="21"/>
          <w:szCs w:val="21"/>
          <w:highlight w:val="none"/>
          <w:lang w:val="zh-CN"/>
        </w:rPr>
        <w:id w:val="1243295833"/>
        <w:docPartObj>
          <w:docPartGallery w:val="Table of Contents"/>
          <w:docPartUnique/>
        </w:docPartObj>
      </w:sdtPr>
      <w:sdtEndPr>
        <w:rPr>
          <w:rFonts w:hint="default" w:cs="Times New Roman" w:asciiTheme="minorEastAsia" w:hAnsiTheme="minorEastAsia" w:eastAsiaTheme="minorEastAsia"/>
          <w:b w:val="0"/>
          <w:bCs w:val="0"/>
          <w:color w:val="auto"/>
          <w:kern w:val="2"/>
          <w:sz w:val="21"/>
          <w:szCs w:val="21"/>
          <w:highlight w:val="none"/>
          <w:lang w:val="zh-CN"/>
        </w:rPr>
      </w:sdtEndPr>
      <w:sdtContent>
        <w:p>
          <w:pPr>
            <w:pStyle w:val="67"/>
            <w:spacing w:before="0" w:line="240" w:lineRule="auto"/>
            <w:jc w:val="center"/>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zh-CN"/>
            </w:rPr>
            <w:t>目录</w:t>
          </w:r>
        </w:p>
        <w:p>
          <w:pPr>
            <w:pStyle w:val="22"/>
            <w:tabs>
              <w:tab w:val="right" w:leader="dot" w:pos="9069"/>
            </w:tabs>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fldChar w:fldCharType="begin"/>
          </w:r>
          <w:r>
            <w:rPr>
              <w:rFonts w:hint="eastAsia" w:cs="宋体" w:asciiTheme="minorEastAsia" w:hAnsiTheme="minorEastAsia" w:eastAsiaTheme="minorEastAsia"/>
              <w:highlight w:val="none"/>
            </w:rPr>
            <w:instrText xml:space="preserve"> TOC \o "1-2" \h \z \u </w:instrText>
          </w:r>
          <w:r>
            <w:rPr>
              <w:rFonts w:hint="eastAsia" w:cs="宋体" w:asciiTheme="minorEastAsia" w:hAnsiTheme="minorEastAsia" w:eastAsiaTheme="minorEastAsia"/>
              <w:highlight w:val="none"/>
            </w:rPr>
            <w:fldChar w:fldCharType="separate"/>
          </w:r>
          <w:r>
            <w:rPr>
              <w:highlight w:val="none"/>
            </w:rPr>
            <w:fldChar w:fldCharType="begin"/>
          </w:r>
          <w:r>
            <w:rPr>
              <w:highlight w:val="none"/>
            </w:rPr>
            <w:instrText xml:space="preserve"> HYPERLINK \l "_Toc31488" </w:instrText>
          </w:r>
          <w:r>
            <w:rPr>
              <w:highlight w:val="none"/>
            </w:rPr>
            <w:fldChar w:fldCharType="separate"/>
          </w:r>
          <w:r>
            <w:rPr>
              <w:rFonts w:hint="eastAsia" w:cs="宋体" w:asciiTheme="minorEastAsia" w:hAnsiTheme="minorEastAsia" w:eastAsiaTheme="minorEastAsia"/>
              <w:b/>
              <w:sz w:val="21"/>
              <w:szCs w:val="21"/>
              <w:highlight w:val="none"/>
            </w:rPr>
            <w:t>第一章 比选公告</w:t>
          </w:r>
          <w:r>
            <w:rPr>
              <w:rFonts w:hint="eastAsia" w:cs="宋体" w:asciiTheme="minorEastAsia" w:hAnsiTheme="minorEastAsia" w:eastAsiaTheme="minorEastAsia"/>
              <w:b/>
              <w:sz w:val="21"/>
              <w:szCs w:val="21"/>
              <w:highlight w:val="none"/>
            </w:rPr>
            <w:fldChar w:fldCharType="end"/>
          </w:r>
        </w:p>
        <w:p>
          <w:pPr>
            <w:pStyle w:val="22"/>
            <w:tabs>
              <w:tab w:val="right" w:leader="dot" w:pos="9069"/>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"_Toc7309" </w:instrText>
          </w:r>
          <w:r>
            <w:rPr>
              <w:highlight w:val="none"/>
            </w:rPr>
            <w:fldChar w:fldCharType="separate"/>
          </w:r>
          <w:r>
            <w:rPr>
              <w:rFonts w:hint="eastAsia" w:cs="宋体" w:asciiTheme="minorEastAsia" w:hAnsiTheme="minorEastAsia" w:eastAsiaTheme="minorEastAsia"/>
              <w:b/>
              <w:sz w:val="21"/>
              <w:szCs w:val="21"/>
              <w:highlight w:val="none"/>
            </w:rPr>
            <w:t>第二章 比选申请须知</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t>5</w:t>
          </w:r>
          <w:r>
            <w:rPr>
              <w:rFonts w:hint="eastAsia" w:cs="宋体" w:asciiTheme="minorEastAsia" w:hAnsiTheme="minorEastAsia" w:eastAsiaTheme="minorEastAsia"/>
              <w:sz w:val="21"/>
              <w:szCs w:val="21"/>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"_Toc30604" </w:instrText>
          </w:r>
          <w:r>
            <w:rPr>
              <w:highlight w:val="none"/>
            </w:rPr>
            <w:fldChar w:fldCharType="separate"/>
          </w:r>
          <w:r>
            <w:rPr>
              <w:rFonts w:hint="eastAsia" w:cs="宋体" w:asciiTheme="minorEastAsia" w:hAnsiTheme="minorEastAsia" w:eastAsiaTheme="minorEastAsia"/>
              <w:szCs w:val="24"/>
              <w:highlight w:val="none"/>
            </w:rPr>
            <w:t>一、说明</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7</w:t>
          </w:r>
          <w:r>
            <w:rPr>
              <w:rFonts w:cs="宋体" w:asciiTheme="minorEastAsia" w:hAnsiTheme="minorEastAsia" w:eastAsiaTheme="minorEastAsia"/>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"_Toc30347" </w:instrText>
          </w:r>
          <w:r>
            <w:rPr>
              <w:highlight w:val="none"/>
            </w:rPr>
            <w:fldChar w:fldCharType="separate"/>
          </w:r>
          <w:r>
            <w:rPr>
              <w:rFonts w:hint="eastAsia" w:cs="宋体" w:asciiTheme="minorEastAsia" w:hAnsiTheme="minorEastAsia" w:eastAsiaTheme="minorEastAsia"/>
              <w:szCs w:val="24"/>
              <w:highlight w:val="none"/>
            </w:rPr>
            <w:t>二、比选文件</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8</w:t>
          </w:r>
          <w:r>
            <w:rPr>
              <w:rFonts w:cs="宋体" w:asciiTheme="minorEastAsia" w:hAnsiTheme="minorEastAsia" w:eastAsiaTheme="minorEastAsia"/>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"_Toc7373" </w:instrText>
          </w:r>
          <w:r>
            <w:rPr>
              <w:highlight w:val="none"/>
            </w:rPr>
            <w:fldChar w:fldCharType="separate"/>
          </w:r>
          <w:r>
            <w:rPr>
              <w:rFonts w:hint="eastAsia" w:cs="宋体" w:asciiTheme="minorEastAsia" w:hAnsiTheme="minorEastAsia" w:eastAsiaTheme="minorEastAsia"/>
              <w:szCs w:val="24"/>
              <w:highlight w:val="none"/>
            </w:rPr>
            <w:t>三、比选申请文件的编制</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9</w:t>
          </w:r>
          <w:r>
            <w:rPr>
              <w:rFonts w:cs="宋体" w:asciiTheme="minorEastAsia" w:hAnsiTheme="minorEastAsia" w:eastAsiaTheme="minorEastAsia"/>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"_Toc1720" </w:instrText>
          </w:r>
          <w:r>
            <w:rPr>
              <w:highlight w:val="none"/>
            </w:rPr>
            <w:fldChar w:fldCharType="separate"/>
          </w:r>
          <w:r>
            <w:rPr>
              <w:rFonts w:hint="eastAsia" w:cs="宋体" w:asciiTheme="minorEastAsia" w:hAnsiTheme="minorEastAsia" w:eastAsiaTheme="minorEastAsia"/>
              <w:szCs w:val="24"/>
              <w:highlight w:val="none"/>
            </w:rPr>
            <w:t>四、比选申请文件的密封和递交</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11</w:t>
          </w:r>
          <w:r>
            <w:rPr>
              <w:rFonts w:cs="宋体" w:asciiTheme="minorEastAsia" w:hAnsiTheme="minorEastAsia" w:eastAsiaTheme="minorEastAsia"/>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"_Toc8077" </w:instrText>
          </w:r>
          <w:r>
            <w:rPr>
              <w:highlight w:val="none"/>
            </w:rPr>
            <w:fldChar w:fldCharType="separate"/>
          </w:r>
          <w:r>
            <w:rPr>
              <w:rFonts w:hint="eastAsia" w:cs="宋体" w:asciiTheme="minorEastAsia" w:hAnsiTheme="minorEastAsia" w:eastAsiaTheme="minorEastAsia"/>
              <w:szCs w:val="24"/>
              <w:highlight w:val="none"/>
            </w:rPr>
            <w:t>五、比选申请文件递交与评审</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12</w:t>
          </w:r>
          <w:r>
            <w:rPr>
              <w:rFonts w:cs="宋体" w:asciiTheme="minorEastAsia" w:hAnsiTheme="minorEastAsia" w:eastAsiaTheme="minorEastAsia"/>
              <w:highlight w:val="none"/>
            </w:rPr>
            <w:fldChar w:fldCharType="end"/>
          </w:r>
        </w:p>
        <w:p>
          <w:pPr>
            <w:pStyle w:val="24"/>
            <w:tabs>
              <w:tab w:val="right" w:leader="dot" w:pos="9069"/>
              <w:tab w:val="clear" w:pos="9061"/>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"_Toc19260" </w:instrText>
          </w:r>
          <w:r>
            <w:rPr>
              <w:highlight w:val="none"/>
            </w:rPr>
            <w:fldChar w:fldCharType="separate"/>
          </w:r>
          <w:r>
            <w:rPr>
              <w:rFonts w:hint="eastAsia" w:cs="宋体" w:asciiTheme="minorEastAsia" w:hAnsiTheme="minorEastAsia" w:eastAsiaTheme="minorEastAsia"/>
              <w:szCs w:val="24"/>
              <w:highlight w:val="none"/>
            </w:rPr>
            <w:t>六、授予合同</w:t>
          </w:r>
          <w:r>
            <w:rPr>
              <w:rFonts w:hint="eastAsia" w:cs="宋体" w:asciiTheme="minorEastAsia" w:hAnsiTheme="minorEastAsia" w:eastAsiaTheme="minorEastAsia"/>
              <w:highlight w:val="none"/>
            </w:rPr>
            <w:tab/>
          </w:r>
          <w:r>
            <w:rPr>
              <w:rFonts w:cs="宋体" w:asciiTheme="minorEastAsia" w:hAnsiTheme="minorEastAsia" w:eastAsiaTheme="minorEastAsia"/>
              <w:highlight w:val="none"/>
            </w:rPr>
            <w:t>14</w:t>
          </w:r>
          <w:r>
            <w:rPr>
              <w:rFonts w:cs="宋体" w:asciiTheme="minorEastAsia" w:hAnsiTheme="minorEastAsia" w:eastAsiaTheme="minorEastAsia"/>
              <w:highlight w:val="none"/>
            </w:rPr>
            <w:fldChar w:fldCharType="end"/>
          </w:r>
        </w:p>
        <w:p>
          <w:pPr>
            <w:pStyle w:val="22"/>
            <w:tabs>
              <w:tab w:val="right" w:leader="dot" w:pos="9069"/>
            </w:tabs>
            <w:spacing w:line="360" w:lineRule="auto"/>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"_Toc4402" </w:instrText>
          </w:r>
          <w:r>
            <w:rPr>
              <w:highlight w:val="none"/>
            </w:rPr>
            <w:fldChar w:fldCharType="separate"/>
          </w:r>
          <w:r>
            <w:rPr>
              <w:rFonts w:hint="eastAsia" w:cs="宋体" w:asciiTheme="minorEastAsia" w:hAnsiTheme="minorEastAsia" w:eastAsiaTheme="minorEastAsia"/>
              <w:b/>
              <w:sz w:val="21"/>
              <w:szCs w:val="21"/>
              <w:highlight w:val="none"/>
            </w:rPr>
            <w:t>第三章 合同条款及格式</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t>1</w:t>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7</w:t>
          </w:r>
        </w:p>
        <w:p>
          <w:pPr>
            <w:spacing w:line="360" w:lineRule="auto"/>
            <w:rPr>
              <w:rFonts w:asciiTheme="minorEastAsia" w:hAnsiTheme="minorEastAsia" w:eastAsiaTheme="minorEastAsia"/>
              <w:highlight w:val="none"/>
            </w:rPr>
          </w:pPr>
          <w:r>
            <w:rPr>
              <w:rFonts w:hint="eastAsia"/>
              <w:highlight w:val="none"/>
            </w:rPr>
            <w:t xml:space="preserve"> </w:t>
          </w:r>
          <w:r>
            <w:rPr>
              <w:highlight w:val="none"/>
            </w:rPr>
            <w:t xml:space="preserve">     </w:t>
          </w:r>
          <w:r>
            <w:rPr>
              <w:rFonts w:hint="eastAsia"/>
              <w:highlight w:val="none"/>
            </w:rPr>
            <w:t xml:space="preserve">一、合同协议书 </w:t>
          </w:r>
          <w:r>
            <w:rPr>
              <w:highlight w:val="none"/>
            </w:rPr>
            <w:t>. . . . . . . . . . . . . . . . . . . . . . . . . . . . . . . . . . . . . . . . . . . . . . . . . . . . . . . . . . . . . . . . . . .</w:t>
          </w:r>
          <w:r>
            <w:rPr>
              <w:rFonts w:hint="eastAsia" w:asciiTheme="minorEastAsia" w:hAnsiTheme="minorEastAsia" w:eastAsiaTheme="minorEastAsia"/>
              <w:highlight w:val="none"/>
            </w:rPr>
            <w:t>19</w:t>
          </w:r>
        </w:p>
        <w:p>
          <w:pPr>
            <w:pStyle w:val="27"/>
            <w:spacing w:line="276" w:lineRule="auto"/>
            <w:ind w:left="0" w:leftChars="0" w:firstLine="630" w:firstLineChars="300"/>
            <w:rPr>
              <w:highlight w:val="none"/>
            </w:rPr>
          </w:pPr>
          <w:r>
            <w:rPr>
              <w:rFonts w:hint="eastAsia" w:asciiTheme="minorEastAsia" w:hAnsiTheme="minorEastAsia" w:eastAsiaTheme="minorEastAsia"/>
              <w:sz w:val="21"/>
              <w:szCs w:val="21"/>
              <w:highlight w:val="none"/>
            </w:rPr>
            <w:t>二</w:t>
          </w:r>
          <w:r>
            <w:rPr>
              <w:rFonts w:hint="eastAsia" w:eastAsia="宋体" w:cs="Times New Roman"/>
              <w:sz w:val="21"/>
              <w:szCs w:val="22"/>
              <w:highlight w:val="none"/>
            </w:rPr>
            <w:t>、中选通知书 . . . . . . . . . . . . . . . . . . . . . . . . . . . . . . . . . . . . . . . . . . . . . . . . . . . . . . . . . . . . . . . . . . .21</w:t>
          </w:r>
        </w:p>
        <w:p>
          <w:pPr>
            <w:pStyle w:val="27"/>
            <w:spacing w:line="276" w:lineRule="auto"/>
            <w:ind w:left="0" w:leftChars="0" w:firstLine="630" w:firstLineChars="300"/>
            <w:rPr>
              <w:rFonts w:eastAsia="宋体"/>
              <w:sz w:val="21"/>
              <w:szCs w:val="21"/>
              <w:highlight w:val="none"/>
            </w:rPr>
          </w:pPr>
          <w:r>
            <w:rPr>
              <w:rFonts w:hint="eastAsia" w:asciiTheme="minorEastAsia" w:hAnsiTheme="minorEastAsia" w:eastAsiaTheme="minorEastAsia"/>
              <w:sz w:val="21"/>
              <w:szCs w:val="21"/>
              <w:highlight w:val="none"/>
            </w:rPr>
            <w:t xml:space="preserve">三、合同条款 </w:t>
          </w:r>
          <w:r>
            <w:rPr>
              <w:sz w:val="21"/>
              <w:szCs w:val="21"/>
              <w:highlight w:val="none"/>
            </w:rPr>
            <w:t>. . . . . . . . . . . . . . . . . . . . . . . . . . . . . . . . . . . . . . . . . . . . . . . . . . . . . . . . . . . . . . . . . . . . .</w:t>
          </w:r>
          <w:r>
            <w:rPr>
              <w:rFonts w:hint="eastAsia" w:ascii="宋体" w:hAnsi="宋体" w:eastAsia="宋体" w:cs="宋体"/>
              <w:sz w:val="21"/>
              <w:szCs w:val="21"/>
              <w:highlight w:val="none"/>
            </w:rPr>
            <w:t>22</w:t>
          </w:r>
        </w:p>
        <w:p>
          <w:pPr>
            <w:pStyle w:val="22"/>
            <w:tabs>
              <w:tab w:val="right" w:leader="dot" w:pos="9069"/>
            </w:tabs>
            <w:spacing w:line="360" w:lineRule="auto"/>
            <w:rPr>
              <w:rFonts w:cs="宋体" w:asciiTheme="minorEastAsia" w:hAnsiTheme="minorEastAsia" w:eastAsiaTheme="minorEastAsia"/>
              <w:highlight w:val="none"/>
            </w:rPr>
          </w:pPr>
          <w:r>
            <w:rPr>
              <w:highlight w:val="none"/>
            </w:rPr>
            <w:fldChar w:fldCharType="begin"/>
          </w:r>
          <w:r>
            <w:rPr>
              <w:highlight w:val="none"/>
            </w:rPr>
            <w:instrText xml:space="preserve"> HYPERLINK \l "_Toc6674" </w:instrText>
          </w:r>
          <w:r>
            <w:rPr>
              <w:highlight w:val="none"/>
            </w:rPr>
            <w:fldChar w:fldCharType="separate"/>
          </w:r>
          <w:r>
            <w:rPr>
              <w:rFonts w:hint="eastAsia" w:cs="宋体" w:asciiTheme="minorEastAsia" w:hAnsiTheme="minorEastAsia" w:eastAsiaTheme="minorEastAsia"/>
              <w:b/>
              <w:sz w:val="21"/>
              <w:szCs w:val="21"/>
              <w:highlight w:val="none"/>
            </w:rPr>
            <w:t>第四章 比选申请文件格式</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30</w:t>
          </w:r>
        </w:p>
        <w:p>
          <w:pPr>
            <w:pStyle w:val="22"/>
            <w:tabs>
              <w:tab w:val="right" w:leader="dot" w:pos="9069"/>
            </w:tabs>
            <w:spacing w:line="360" w:lineRule="auto"/>
            <w:ind w:firstLine="560" w:firstLineChars="200"/>
            <w:rPr>
              <w:rFonts w:cs="宋体" w:asciiTheme="minorEastAsia" w:hAnsiTheme="minorEastAsia" w:eastAsiaTheme="minorEastAsia"/>
              <w:highlight w:val="none"/>
            </w:rPr>
          </w:pPr>
          <w:r>
            <w:rPr>
              <w:highlight w:val="none"/>
            </w:rPr>
            <w:fldChar w:fldCharType="begin"/>
          </w:r>
          <w:r>
            <w:rPr>
              <w:highlight w:val="none"/>
            </w:rPr>
            <w:instrText xml:space="preserve"> HYPERLINK \l "_Toc6674" </w:instrText>
          </w:r>
          <w:r>
            <w:rPr>
              <w:highlight w:val="none"/>
            </w:rPr>
            <w:fldChar w:fldCharType="separate"/>
          </w:r>
          <w:r>
            <w:rPr>
              <w:rFonts w:hint="eastAsia" w:cs="宋体" w:asciiTheme="minorEastAsia" w:hAnsiTheme="minorEastAsia" w:eastAsiaTheme="minorEastAsia"/>
              <w:sz w:val="21"/>
              <w:szCs w:val="21"/>
              <w:highlight w:val="none"/>
            </w:rPr>
            <w:t>A</w:t>
          </w:r>
          <w:r>
            <w:rPr>
              <w:rFonts w:cs="宋体" w:asciiTheme="minorEastAsia" w:hAnsiTheme="minorEastAsia" w:eastAsiaTheme="minorEastAsia"/>
              <w:sz w:val="21"/>
              <w:szCs w:val="21"/>
              <w:highlight w:val="none"/>
            </w:rPr>
            <w:t xml:space="preserve"> </w:t>
          </w:r>
          <w:r>
            <w:rPr>
              <w:rFonts w:hint="eastAsia" w:cs="宋体" w:asciiTheme="minorEastAsia" w:hAnsiTheme="minorEastAsia" w:eastAsiaTheme="minorEastAsia"/>
              <w:sz w:val="21"/>
              <w:szCs w:val="21"/>
              <w:highlight w:val="none"/>
            </w:rPr>
            <w:t>资格审查文件</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30</w:t>
          </w:r>
        </w:p>
        <w:p>
          <w:pPr>
            <w:pStyle w:val="22"/>
            <w:tabs>
              <w:tab w:val="right" w:leader="dot" w:pos="9069"/>
            </w:tabs>
            <w:spacing w:line="360" w:lineRule="auto"/>
            <w:ind w:firstLine="560" w:firstLineChars="200"/>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"_Toc8077" </w:instrText>
          </w:r>
          <w:r>
            <w:rPr>
              <w:highlight w:val="none"/>
            </w:rPr>
            <w:fldChar w:fldCharType="separate"/>
          </w:r>
          <w:r>
            <w:rPr>
              <w:rFonts w:hint="eastAsia" w:cs="宋体" w:asciiTheme="minorEastAsia" w:hAnsiTheme="minorEastAsia" w:eastAsiaTheme="minorEastAsia"/>
              <w:sz w:val="21"/>
              <w:szCs w:val="21"/>
              <w:highlight w:val="none"/>
            </w:rPr>
            <w:t>B</w:t>
          </w:r>
          <w:r>
            <w:rPr>
              <w:rFonts w:cs="宋体" w:asciiTheme="minorEastAsia" w:hAnsiTheme="minorEastAsia" w:eastAsiaTheme="minorEastAsia"/>
              <w:sz w:val="21"/>
              <w:szCs w:val="21"/>
              <w:highlight w:val="none"/>
            </w:rPr>
            <w:t xml:space="preserve"> </w:t>
          </w:r>
          <w:r>
            <w:rPr>
              <w:rFonts w:hint="eastAsia" w:cs="宋体" w:asciiTheme="minorEastAsia" w:hAnsiTheme="minorEastAsia" w:eastAsiaTheme="minorEastAsia"/>
              <w:sz w:val="21"/>
              <w:szCs w:val="21"/>
              <w:highlight w:val="none"/>
            </w:rPr>
            <w:t>价格文件</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34</w:t>
          </w:r>
        </w:p>
        <w:p>
          <w:pPr>
            <w:pStyle w:val="22"/>
            <w:tabs>
              <w:tab w:val="right" w:leader="dot" w:pos="9069"/>
            </w:tabs>
            <w:spacing w:line="360" w:lineRule="auto"/>
            <w:ind w:firstLine="560" w:firstLineChars="200"/>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"_Toc8077" </w:instrText>
          </w:r>
          <w:r>
            <w:rPr>
              <w:highlight w:val="none"/>
            </w:rPr>
            <w:fldChar w:fldCharType="separate"/>
          </w:r>
          <w:r>
            <w:rPr>
              <w:rFonts w:cs="宋体" w:asciiTheme="minorEastAsia" w:hAnsiTheme="minorEastAsia" w:eastAsiaTheme="minorEastAsia"/>
              <w:sz w:val="21"/>
              <w:szCs w:val="21"/>
              <w:highlight w:val="none"/>
            </w:rPr>
            <w:t xml:space="preserve">C </w:t>
          </w:r>
          <w:r>
            <w:rPr>
              <w:rFonts w:hint="eastAsia" w:cs="宋体" w:asciiTheme="minorEastAsia" w:hAnsiTheme="minorEastAsia" w:eastAsiaTheme="minorEastAsia"/>
              <w:sz w:val="21"/>
              <w:szCs w:val="21"/>
              <w:highlight w:val="none"/>
            </w:rPr>
            <w:t>技术文件</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38</w:t>
          </w:r>
        </w:p>
        <w:p>
          <w:pPr>
            <w:pStyle w:val="22"/>
            <w:tabs>
              <w:tab w:val="right" w:leader="dot" w:pos="9069"/>
            </w:tabs>
            <w:spacing w:line="360" w:lineRule="auto"/>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"_Toc8077" </w:instrText>
          </w:r>
          <w:r>
            <w:rPr>
              <w:highlight w:val="none"/>
            </w:rPr>
            <w:fldChar w:fldCharType="separate"/>
          </w:r>
          <w:r>
            <w:rPr>
              <w:rFonts w:hint="eastAsia" w:cs="宋体" w:asciiTheme="minorEastAsia" w:hAnsiTheme="minorEastAsia" w:eastAsiaTheme="minorEastAsia"/>
              <w:b/>
              <w:sz w:val="21"/>
              <w:szCs w:val="21"/>
              <w:highlight w:val="none"/>
            </w:rPr>
            <w:t>第五章 用户需求书</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40</w:t>
          </w:r>
        </w:p>
        <w:p>
          <w:pPr>
            <w:pStyle w:val="22"/>
            <w:tabs>
              <w:tab w:val="right" w:leader="dot" w:pos="9069"/>
            </w:tabs>
            <w:spacing w:line="360" w:lineRule="auto"/>
            <w:ind w:firstLine="560" w:firstLineChars="200"/>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"_Toc8077" </w:instrText>
          </w:r>
          <w:r>
            <w:rPr>
              <w:highlight w:val="none"/>
            </w:rPr>
            <w:fldChar w:fldCharType="separate"/>
          </w:r>
          <w:r>
            <w:rPr>
              <w:rFonts w:hint="eastAsia"/>
              <w:sz w:val="21"/>
              <w:szCs w:val="21"/>
              <w:highlight w:val="none"/>
            </w:rPr>
            <w:t>一、商务要求</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42</w:t>
          </w:r>
        </w:p>
        <w:p>
          <w:pPr>
            <w:pStyle w:val="22"/>
            <w:tabs>
              <w:tab w:val="right" w:leader="dot" w:pos="9069"/>
            </w:tabs>
            <w:spacing w:line="360" w:lineRule="auto"/>
            <w:ind w:firstLine="560" w:firstLineChars="200"/>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"_Toc8077" </w:instrText>
          </w:r>
          <w:r>
            <w:rPr>
              <w:highlight w:val="none"/>
            </w:rPr>
            <w:fldChar w:fldCharType="separate"/>
          </w:r>
          <w:r>
            <w:rPr>
              <w:rFonts w:hint="eastAsia"/>
              <w:sz w:val="21"/>
              <w:szCs w:val="21"/>
              <w:highlight w:val="none"/>
            </w:rPr>
            <w:t>二、技术需求及电梯技术参数表</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56</w:t>
          </w:r>
        </w:p>
        <w:p>
          <w:pPr>
            <w:pStyle w:val="22"/>
            <w:tabs>
              <w:tab w:val="right" w:leader="dot" w:pos="9069"/>
            </w:tabs>
            <w:spacing w:line="360" w:lineRule="auto"/>
            <w:rPr>
              <w:rFonts w:cs="宋体" w:asciiTheme="minorEastAsia" w:hAnsiTheme="minorEastAsia" w:eastAsiaTheme="minorEastAsia"/>
              <w:sz w:val="21"/>
              <w:szCs w:val="21"/>
              <w:highlight w:val="none"/>
            </w:rPr>
          </w:pPr>
          <w:r>
            <w:rPr>
              <w:highlight w:val="none"/>
            </w:rPr>
            <w:fldChar w:fldCharType="begin"/>
          </w:r>
          <w:r>
            <w:rPr>
              <w:highlight w:val="none"/>
            </w:rPr>
            <w:instrText xml:space="preserve"> HYPERLINK \l "_Toc4402" </w:instrText>
          </w:r>
          <w:r>
            <w:rPr>
              <w:highlight w:val="none"/>
            </w:rPr>
            <w:fldChar w:fldCharType="separate"/>
          </w:r>
          <w:r>
            <w:rPr>
              <w:rFonts w:hint="eastAsia" w:cs="宋体" w:asciiTheme="minorEastAsia" w:hAnsiTheme="minorEastAsia" w:eastAsiaTheme="minorEastAsia"/>
              <w:b/>
              <w:sz w:val="21"/>
              <w:szCs w:val="21"/>
              <w:highlight w:val="none"/>
            </w:rPr>
            <w:t>第六章 评分办法</w:t>
          </w:r>
          <w:r>
            <w:rPr>
              <w:rFonts w:hint="eastAsia" w:cs="宋体" w:asciiTheme="minorEastAsia" w:hAnsiTheme="minorEastAsia" w:eastAsiaTheme="minorEastAsia"/>
              <w:sz w:val="21"/>
              <w:szCs w:val="21"/>
              <w:highlight w:val="none"/>
            </w:rPr>
            <w:tab/>
          </w:r>
          <w:r>
            <w:rPr>
              <w:rFonts w:hint="eastAsia" w:cs="宋体" w:asciiTheme="minorEastAsia" w:hAnsiTheme="minorEastAsia" w:eastAsiaTheme="minorEastAsia"/>
              <w:sz w:val="21"/>
              <w:szCs w:val="21"/>
              <w:highlight w:val="none"/>
            </w:rPr>
            <w:fldChar w:fldCharType="end"/>
          </w:r>
          <w:r>
            <w:rPr>
              <w:rFonts w:hint="eastAsia" w:cs="宋体" w:asciiTheme="minorEastAsia" w:hAnsiTheme="minorEastAsia" w:eastAsiaTheme="minorEastAsia"/>
              <w:sz w:val="21"/>
              <w:szCs w:val="21"/>
              <w:highlight w:val="none"/>
            </w:rPr>
            <w:t>50</w:t>
          </w:r>
        </w:p>
        <w:p>
          <w:pPr>
            <w:spacing w:line="360" w:lineRule="auto"/>
            <w:rPr>
              <w:highlight w:val="none"/>
            </w:rPr>
          </w:pPr>
          <w:r>
            <w:rPr>
              <w:rFonts w:hint="eastAsia"/>
              <w:highlight w:val="none"/>
            </w:rPr>
            <w:t xml:space="preserve"> </w:t>
          </w:r>
          <w:r>
            <w:rPr>
              <w:highlight w:val="none"/>
            </w:rPr>
            <w:t xml:space="preserve">     </w:t>
          </w:r>
          <w:r>
            <w:rPr>
              <w:rFonts w:hint="eastAsia"/>
              <w:highlight w:val="none"/>
            </w:rPr>
            <w:t xml:space="preserve">一、评审原则 </w:t>
          </w:r>
          <w:r>
            <w:rPr>
              <w:highlight w:val="none"/>
            </w:rPr>
            <w:t>. . . . . . . . . . . . . . . . . . . . . . . . . . . . . . . . . . . . . . . . . . . . . . . . . . . . . . . . . . . . . . . . . . . . .</w:t>
          </w:r>
          <w:r>
            <w:rPr>
              <w:rFonts w:hint="eastAsia"/>
              <w:highlight w:val="none"/>
            </w:rPr>
            <w:t>50</w:t>
          </w:r>
        </w:p>
        <w:p>
          <w:pPr>
            <w:pStyle w:val="27"/>
            <w:spacing w:line="276" w:lineRule="auto"/>
            <w:ind w:left="0" w:leftChars="0" w:firstLine="630" w:firstLineChars="300"/>
            <w:rPr>
              <w:rFonts w:eastAsia="宋体"/>
              <w:sz w:val="21"/>
              <w:szCs w:val="21"/>
              <w:highlight w:val="none"/>
            </w:rPr>
          </w:pPr>
          <w:r>
            <w:rPr>
              <w:rFonts w:hint="eastAsia" w:asciiTheme="minorEastAsia" w:hAnsiTheme="minorEastAsia" w:eastAsiaTheme="minorEastAsia"/>
              <w:sz w:val="21"/>
              <w:szCs w:val="21"/>
              <w:highlight w:val="none"/>
            </w:rPr>
            <w:t xml:space="preserve">二、评定方法 </w:t>
          </w:r>
          <w:r>
            <w:rPr>
              <w:sz w:val="21"/>
              <w:szCs w:val="21"/>
              <w:highlight w:val="none"/>
            </w:rPr>
            <w:t>. . . . . . . . . . . . . . . . . . . . . . . . . . . . . . . . . . . . . . . . . . . . . . . . . . . . . . . . . . . . . . . . . . . . .</w:t>
          </w:r>
          <w:r>
            <w:rPr>
              <w:rFonts w:hint="eastAsia" w:eastAsia="宋体"/>
              <w:sz w:val="21"/>
              <w:szCs w:val="21"/>
              <w:highlight w:val="none"/>
            </w:rPr>
            <w:t>50</w:t>
          </w:r>
        </w:p>
        <w:p>
          <w:pPr>
            <w:pStyle w:val="27"/>
            <w:spacing w:line="276" w:lineRule="auto"/>
            <w:ind w:left="0" w:leftChars="0" w:firstLine="630" w:firstLineChars="300"/>
            <w:rPr>
              <w:rFonts w:eastAsia="宋体"/>
              <w:sz w:val="21"/>
              <w:szCs w:val="21"/>
              <w:highlight w:val="none"/>
            </w:rPr>
          </w:pPr>
          <w:r>
            <w:rPr>
              <w:rFonts w:hint="eastAsia" w:asciiTheme="minorEastAsia" w:hAnsiTheme="minorEastAsia" w:eastAsiaTheme="minorEastAsia"/>
              <w:sz w:val="21"/>
              <w:szCs w:val="21"/>
              <w:highlight w:val="none"/>
            </w:rPr>
            <w:t>三、评审流程</w:t>
          </w:r>
          <w:r>
            <w:rPr>
              <w:rFonts w:asciiTheme="minorEastAsia" w:hAnsiTheme="minorEastAsia" w:eastAsiaTheme="minorEastAsia"/>
              <w:sz w:val="21"/>
              <w:szCs w:val="21"/>
              <w:highlight w:val="none"/>
            </w:rPr>
            <w:t xml:space="preserve"> ...</w:t>
          </w:r>
          <w:r>
            <w:rPr>
              <w:sz w:val="21"/>
              <w:szCs w:val="21"/>
              <w:highlight w:val="none"/>
            </w:rPr>
            <w:t xml:space="preserve">. . . . . . . . . . . . . . . . . . . . . . . . . . . . . . . . . . . . . . . . . . . . . . . . . . . . . . . . . . . . . . . . . </w:t>
          </w:r>
          <w:r>
            <w:rPr>
              <w:rFonts w:hint="eastAsia" w:eastAsia="宋体"/>
              <w:sz w:val="21"/>
              <w:szCs w:val="21"/>
              <w:highlight w:val="none"/>
            </w:rPr>
            <w:t>50</w:t>
          </w:r>
        </w:p>
        <w:p>
          <w:pPr>
            <w:pStyle w:val="22"/>
            <w:tabs>
              <w:tab w:val="right" w:leader="dot" w:pos="9069"/>
            </w:tabs>
            <w:spacing w:line="360" w:lineRule="auto"/>
            <w:rPr>
              <w:rFonts w:cs="宋体" w:asciiTheme="minorEastAsia" w:hAnsiTheme="minorEastAsia" w:eastAsiaTheme="minorEastAsia"/>
              <w:highlight w:val="none"/>
            </w:rPr>
          </w:pPr>
        </w:p>
        <w:p>
          <w:pPr>
            <w:pStyle w:val="24"/>
            <w:tabs>
              <w:tab w:val="right" w:leader="dot" w:pos="9069"/>
              <w:tab w:val="clear" w:pos="9061"/>
            </w:tabs>
            <w:spacing w:line="360" w:lineRule="auto"/>
            <w:rPr>
              <w:rFonts w:cs="宋体" w:asciiTheme="minorEastAsia" w:hAnsiTheme="minorEastAsia" w:eastAsiaTheme="minorEastAsia"/>
              <w:highlight w:val="none"/>
            </w:rPr>
          </w:pPr>
        </w:p>
        <w:p>
          <w:pPr>
            <w:jc w:val="center"/>
            <w:rPr>
              <w:rFonts w:asciiTheme="minorEastAsia" w:hAnsiTheme="minorEastAsia" w:eastAsiaTheme="minorEastAsia"/>
              <w:szCs w:val="21"/>
              <w:highlight w:val="none"/>
              <w:lang w:val="zh-CN"/>
            </w:rPr>
          </w:pPr>
          <w:r>
            <w:rPr>
              <w:rFonts w:hint="eastAsia" w:cs="宋体" w:asciiTheme="minorEastAsia" w:hAnsiTheme="minorEastAsia" w:eastAsiaTheme="minorEastAsia"/>
              <w:highlight w:val="none"/>
            </w:rPr>
            <w:fldChar w:fldCharType="end"/>
          </w:r>
        </w:p>
      </w:sdtContent>
    </w:sdt>
    <w:p>
      <w:pPr>
        <w:pStyle w:val="27"/>
        <w:ind w:firstLine="470"/>
        <w:rPr>
          <w:rFonts w:asciiTheme="minorEastAsia" w:hAnsiTheme="minorEastAsia" w:eastAsiaTheme="minorEastAsia"/>
          <w:highlight w:val="none"/>
        </w:rPr>
      </w:pPr>
    </w:p>
    <w:p>
      <w:pPr>
        <w:pStyle w:val="27"/>
        <w:ind w:firstLine="470"/>
        <w:rPr>
          <w:rFonts w:asciiTheme="minorEastAsia" w:hAnsiTheme="minorEastAsia" w:eastAsiaTheme="minorEastAsia"/>
          <w:highlight w:val="none"/>
        </w:rPr>
      </w:pPr>
    </w:p>
    <w:p>
      <w:pPr>
        <w:rPr>
          <w:rFonts w:cs="宋体" w:asciiTheme="minorEastAsia" w:hAnsiTheme="minorEastAsia" w:eastAsiaTheme="minorEastAsia"/>
          <w:b/>
          <w:bCs/>
          <w:kern w:val="0"/>
          <w:sz w:val="32"/>
          <w:szCs w:val="32"/>
          <w:highlight w:val="none"/>
        </w:rPr>
      </w:pPr>
    </w:p>
    <w:p>
      <w:pPr>
        <w:pStyle w:val="20"/>
        <w:rPr>
          <w:highlight w:val="none"/>
        </w:rPr>
      </w:pPr>
    </w:p>
    <w:p>
      <w:pPr>
        <w:jc w:val="center"/>
        <w:rPr>
          <w:rFonts w:cs="宋体" w:asciiTheme="minorEastAsia" w:hAnsiTheme="minorEastAsia" w:eastAsiaTheme="minorEastAsia"/>
          <w:b/>
          <w:bCs/>
          <w:kern w:val="0"/>
          <w:sz w:val="32"/>
          <w:szCs w:val="32"/>
          <w:highlight w:val="none"/>
        </w:rPr>
      </w:pPr>
      <w:r>
        <w:rPr>
          <w:rFonts w:hint="eastAsia" w:cs="宋体" w:asciiTheme="minorEastAsia" w:hAnsiTheme="minorEastAsia" w:eastAsiaTheme="minorEastAsia"/>
          <w:b/>
          <w:bCs/>
          <w:kern w:val="0"/>
          <w:sz w:val="32"/>
          <w:szCs w:val="32"/>
          <w:highlight w:val="none"/>
        </w:rPr>
        <w:t>第一章 比选公告</w:t>
      </w:r>
    </w:p>
    <w:p>
      <w:pPr>
        <w:jc w:val="center"/>
        <w:rPr>
          <w:rFonts w:cs="宋体" w:asciiTheme="minorEastAsia" w:hAnsiTheme="minorEastAsia" w:eastAsiaTheme="minorEastAsia"/>
          <w:b/>
          <w:bCs/>
          <w:kern w:val="0"/>
          <w:sz w:val="32"/>
          <w:szCs w:val="32"/>
          <w:highlight w:val="none"/>
        </w:rPr>
      </w:pPr>
    </w:p>
    <w:p>
      <w:pPr>
        <w:jc w:val="center"/>
        <w:rPr>
          <w:rFonts w:ascii="宋体" w:hAnsi="宋体" w:cs="宋体"/>
          <w:b/>
          <w:bCs/>
          <w:kern w:val="0"/>
          <w:sz w:val="30"/>
          <w:szCs w:val="30"/>
          <w:highlight w:val="none"/>
        </w:rPr>
      </w:pPr>
      <w:r>
        <w:rPr>
          <w:rFonts w:hint="eastAsia" w:ascii="宋体" w:hAnsi="宋体" w:cs="宋体"/>
          <w:b/>
          <w:bCs/>
          <w:kern w:val="0"/>
          <w:sz w:val="30"/>
          <w:szCs w:val="30"/>
          <w:highlight w:val="none"/>
        </w:rPr>
        <w:t>南宁市金盾道路清障有限责任公司</w:t>
      </w:r>
    </w:p>
    <w:p>
      <w:pPr>
        <w:jc w:val="center"/>
        <w:rPr>
          <w:rFonts w:cs="宋体" w:asciiTheme="minorEastAsia" w:hAnsiTheme="minorEastAsia" w:eastAsiaTheme="minorEastAsia"/>
          <w:b/>
          <w:bCs/>
          <w:kern w:val="0"/>
          <w:sz w:val="32"/>
          <w:szCs w:val="32"/>
          <w:highlight w:val="none"/>
        </w:rPr>
      </w:pPr>
      <w:r>
        <w:rPr>
          <w:rFonts w:hint="eastAsia" w:ascii="宋体" w:hAnsi="宋体" w:cs="宋体"/>
          <w:b/>
          <w:bCs/>
          <w:sz w:val="30"/>
          <w:szCs w:val="30"/>
          <w:highlight w:val="none"/>
        </w:rPr>
        <w:t>那洪分公司电梯安装采购</w:t>
      </w:r>
      <w:r>
        <w:rPr>
          <w:rFonts w:hint="eastAsia" w:ascii="宋体" w:hAnsi="宋体" w:cs="宋体"/>
          <w:b/>
          <w:bCs/>
          <w:sz w:val="32"/>
          <w:szCs w:val="32"/>
          <w:highlight w:val="none"/>
        </w:rPr>
        <w:t>项目</w:t>
      </w:r>
      <w:r>
        <w:rPr>
          <w:rFonts w:hint="eastAsia" w:cs="宋体" w:asciiTheme="minorEastAsia" w:hAnsiTheme="minorEastAsia" w:eastAsiaTheme="minorEastAsia"/>
          <w:b/>
          <w:bCs/>
          <w:kern w:val="0"/>
          <w:sz w:val="32"/>
          <w:szCs w:val="32"/>
          <w:highlight w:val="none"/>
        </w:rPr>
        <w:t>比选公告</w:t>
      </w:r>
    </w:p>
    <w:p>
      <w:pPr>
        <w:spacing w:line="360" w:lineRule="auto"/>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1.比选条件</w:t>
      </w:r>
    </w:p>
    <w:p>
      <w:pPr>
        <w:spacing w:after="120"/>
        <w:ind w:firstLine="420" w:firstLineChars="200"/>
        <w:rPr>
          <w:rFonts w:ascii="宋体" w:hAnsi="宋体" w:cs="宋体"/>
          <w:szCs w:val="21"/>
          <w:highlight w:val="none"/>
        </w:rPr>
      </w:pPr>
      <w:r>
        <w:rPr>
          <w:rFonts w:hint="eastAsia" w:cs="宋体" w:asciiTheme="minorEastAsia" w:hAnsiTheme="minorEastAsia" w:eastAsiaTheme="minorEastAsia"/>
          <w:szCs w:val="21"/>
          <w:highlight w:val="none"/>
        </w:rPr>
        <w:t>本比选项目</w:t>
      </w:r>
      <w:r>
        <w:rPr>
          <w:rFonts w:hint="eastAsia" w:ascii="宋体" w:hAnsi="宋体" w:cs="宋体"/>
          <w:kern w:val="0"/>
          <w:szCs w:val="21"/>
          <w:highlight w:val="none"/>
        </w:rPr>
        <w:t>南宁市金盾道路清障有限责任公司</w:t>
      </w:r>
      <w:r>
        <w:rPr>
          <w:rFonts w:hint="eastAsia" w:ascii="宋体" w:hAnsi="宋体" w:cs="宋体"/>
          <w:szCs w:val="21"/>
          <w:highlight w:val="none"/>
          <w:u w:val="single"/>
        </w:rPr>
        <w:t>那洪分公司电梯安装采购</w:t>
      </w:r>
      <w:r>
        <w:rPr>
          <w:rFonts w:hint="eastAsia" w:ascii="宋体" w:hAnsi="宋体" w:cs="宋体"/>
          <w:szCs w:val="21"/>
          <w:highlight w:val="none"/>
        </w:rPr>
        <w:t>项目</w:t>
      </w:r>
    </w:p>
    <w:p>
      <w:pPr>
        <w:spacing w:line="360" w:lineRule="auto"/>
        <w:ind w:firstLine="420" w:firstLineChars="200"/>
        <w:outlineLvl w:val="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比选人为</w:t>
      </w:r>
      <w:r>
        <w:rPr>
          <w:rFonts w:hint="eastAsia" w:ascii="宋体" w:hAnsi="宋体" w:cs="宋体"/>
          <w:kern w:val="0"/>
          <w:szCs w:val="21"/>
          <w:highlight w:val="none"/>
        </w:rPr>
        <w:t>南宁市金盾道路清障有限责任公司</w:t>
      </w:r>
      <w:r>
        <w:rPr>
          <w:rFonts w:hint="eastAsia" w:cs="宋体" w:asciiTheme="minorEastAsia" w:hAnsiTheme="minorEastAsia" w:eastAsiaTheme="minorEastAsia"/>
          <w:szCs w:val="21"/>
          <w:highlight w:val="none"/>
        </w:rPr>
        <w:t>，比选项目资金来源为企业自有资金。</w:t>
      </w:r>
    </w:p>
    <w:p>
      <w:pPr>
        <w:spacing w:line="360" w:lineRule="auto"/>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2.项目概况与比选范围</w:t>
      </w:r>
    </w:p>
    <w:p>
      <w:pPr>
        <w:spacing w:line="360" w:lineRule="auto"/>
        <w:ind w:left="420" w:leftChars="200"/>
        <w:rPr>
          <w:rFonts w:hint="eastAsia" w:ascii="宋体" w:hAnsi="宋体" w:cs="宋体"/>
          <w:kern w:val="0"/>
          <w:szCs w:val="21"/>
          <w:highlight w:val="none"/>
        </w:rPr>
      </w:pPr>
      <w:r>
        <w:rPr>
          <w:rFonts w:hint="eastAsia" w:ascii="宋体" w:hAnsi="宋体" w:cs="宋体"/>
          <w:kern w:val="0"/>
          <w:szCs w:val="21"/>
          <w:highlight w:val="none"/>
        </w:rPr>
        <w:t>项目编号：</w:t>
      </w:r>
      <w:r>
        <w:rPr>
          <w:rFonts w:hint="eastAsia" w:ascii="宋体" w:hAnsi="宋体" w:cs="宋体"/>
          <w:kern w:val="0"/>
          <w:szCs w:val="21"/>
          <w:highlight w:val="none"/>
          <w:lang w:val="en-US" w:eastAsia="zh-CN"/>
        </w:rPr>
        <w:t>202402220001</w:t>
      </w:r>
    </w:p>
    <w:p>
      <w:pPr>
        <w:spacing w:line="360" w:lineRule="auto"/>
        <w:ind w:left="420" w:leftChars="200"/>
        <w:rPr>
          <w:rFonts w:ascii="宋体" w:hAnsi="宋体" w:cs="宋体"/>
          <w:szCs w:val="21"/>
          <w:highlight w:val="none"/>
        </w:rPr>
      </w:pPr>
      <w:r>
        <w:rPr>
          <w:rFonts w:hint="eastAsia" w:cs="宋体" w:asciiTheme="minorEastAsia" w:hAnsiTheme="minorEastAsia" w:eastAsiaTheme="minorEastAsia"/>
          <w:szCs w:val="21"/>
          <w:highlight w:val="none"/>
        </w:rPr>
        <w:t>项目名称：</w:t>
      </w:r>
      <w:r>
        <w:rPr>
          <w:rFonts w:hint="eastAsia" w:ascii="宋体" w:hAnsi="宋体" w:cs="宋体"/>
          <w:kern w:val="0"/>
          <w:szCs w:val="21"/>
          <w:highlight w:val="none"/>
        </w:rPr>
        <w:t>南宁市金盾道路清障有限责任公司</w:t>
      </w:r>
      <w:r>
        <w:rPr>
          <w:rFonts w:hint="eastAsia" w:ascii="宋体" w:hAnsi="宋体" w:cs="宋体"/>
          <w:szCs w:val="21"/>
          <w:highlight w:val="none"/>
          <w:u w:val="single"/>
        </w:rPr>
        <w:t>那洪分公司电梯安装采购</w:t>
      </w:r>
      <w:r>
        <w:rPr>
          <w:rFonts w:hint="eastAsia" w:ascii="宋体" w:hAnsi="宋体" w:cs="宋体"/>
          <w:szCs w:val="21"/>
          <w:highlight w:val="none"/>
        </w:rPr>
        <w:t>项目</w:t>
      </w:r>
    </w:p>
    <w:p>
      <w:pPr>
        <w:spacing w:line="360" w:lineRule="auto"/>
        <w:ind w:left="420" w:leftChars="200"/>
        <w:rPr>
          <w:rFonts w:ascii="宋体" w:hAnsi="宋体" w:cs="宋体"/>
          <w:szCs w:val="21"/>
          <w:highlight w:val="none"/>
        </w:rPr>
      </w:pPr>
      <w:r>
        <w:rPr>
          <w:rFonts w:hint="eastAsia" w:cs="宋体" w:asciiTheme="minorEastAsia" w:hAnsiTheme="minorEastAsia" w:eastAsiaTheme="minorEastAsia"/>
          <w:szCs w:val="21"/>
          <w:highlight w:val="none"/>
          <w:lang w:val="en-US" w:eastAsia="zh-CN"/>
        </w:rPr>
        <w:t>不</w:t>
      </w:r>
      <w:r>
        <w:rPr>
          <w:rFonts w:hint="eastAsia" w:cs="宋体" w:asciiTheme="minorEastAsia" w:hAnsiTheme="minorEastAsia" w:eastAsiaTheme="minorEastAsia"/>
          <w:szCs w:val="21"/>
          <w:highlight w:val="none"/>
        </w:rPr>
        <w:t>含税上限控制价：人民币捌拾万元整（￥</w:t>
      </w:r>
      <w:r>
        <w:rPr>
          <w:rFonts w:hint="eastAsia" w:ascii="宋体" w:hAnsi="宋体" w:cs="宋体"/>
          <w:szCs w:val="21"/>
          <w:highlight w:val="none"/>
        </w:rPr>
        <w:t>800000.00</w:t>
      </w:r>
      <w:r>
        <w:rPr>
          <w:rFonts w:hint="eastAsia" w:cs="宋体" w:asciiTheme="minorEastAsia" w:hAnsiTheme="minorEastAsia" w:eastAsiaTheme="minorEastAsia"/>
          <w:szCs w:val="21"/>
          <w:highlight w:val="none"/>
        </w:rPr>
        <w:t>）。</w:t>
      </w:r>
    </w:p>
    <w:p>
      <w:pPr>
        <w:spacing w:line="360" w:lineRule="auto"/>
        <w:ind w:firstLine="420" w:firstLineChars="200"/>
        <w:rPr>
          <w:rFonts w:cs="宋体" w:asciiTheme="minorEastAsia" w:hAnsiTheme="minorEastAsia" w:eastAsiaTheme="minorEastAsia"/>
          <w:szCs w:val="21"/>
          <w:highlight w:val="none"/>
          <w:u w:val="single"/>
        </w:rPr>
      </w:pPr>
      <w:r>
        <w:rPr>
          <w:rFonts w:hint="eastAsia" w:ascii="宋体" w:hAnsi="宋体" w:cs="宋体"/>
          <w:szCs w:val="21"/>
          <w:highlight w:val="none"/>
          <w:lang w:val="en-US" w:eastAsia="zh-CN"/>
        </w:rPr>
        <w:t>交货期</w:t>
      </w:r>
      <w:r>
        <w:rPr>
          <w:rFonts w:hint="eastAsia" w:ascii="宋体" w:hAnsi="宋体" w:cs="宋体"/>
          <w:szCs w:val="21"/>
          <w:highlight w:val="none"/>
        </w:rPr>
        <w:t>：合同签订之日起90 个日历日内到货并安装完毕，</w:t>
      </w:r>
      <w:r>
        <w:rPr>
          <w:rFonts w:hint="eastAsia" w:ascii="宋体" w:hAnsi="宋体" w:cs="宋体"/>
          <w:szCs w:val="21"/>
          <w:highlight w:val="none"/>
          <w:lang w:val="en-US" w:eastAsia="zh-CN"/>
        </w:rPr>
        <w:t>安装完毕后</w:t>
      </w:r>
      <w:r>
        <w:rPr>
          <w:rFonts w:hint="eastAsia" w:ascii="宋体" w:hAnsi="宋体" w:cs="宋体"/>
          <w:szCs w:val="21"/>
          <w:highlight w:val="none"/>
        </w:rPr>
        <w:t>30个日历日内完成特种设备使用登记并取得特种设备检验机构出具的《电梯准用证》，无条件交付采购人使用。</w:t>
      </w:r>
    </w:p>
    <w:p>
      <w:pPr>
        <w:spacing w:line="360" w:lineRule="auto"/>
        <w:ind w:firstLine="420" w:firstLineChars="200"/>
        <w:jc w:val="left"/>
        <w:rPr>
          <w:rFonts w:hint="eastAsia" w:eastAsia="宋体" w:cs="宋体" w:asciiTheme="minorEastAsia" w:hAnsiTheme="minorEastAsia"/>
          <w:szCs w:val="21"/>
          <w:highlight w:val="none"/>
          <w:lang w:val="en-US" w:eastAsia="zh-CN"/>
        </w:rPr>
      </w:pPr>
      <w:r>
        <w:rPr>
          <w:rFonts w:hint="eastAsia" w:cs="宋体" w:asciiTheme="minorEastAsia" w:hAnsiTheme="minorEastAsia" w:eastAsiaTheme="minorEastAsia"/>
          <w:szCs w:val="21"/>
          <w:highlight w:val="none"/>
        </w:rPr>
        <w:t>比选范围：</w:t>
      </w:r>
      <w:r>
        <w:rPr>
          <w:rFonts w:hint="eastAsia" w:ascii="宋体" w:hAnsi="宋体" w:cs="宋体"/>
          <w:szCs w:val="21"/>
          <w:highlight w:val="none"/>
        </w:rPr>
        <w:t>采购及安装电梯1台</w:t>
      </w:r>
      <w:r>
        <w:rPr>
          <w:rFonts w:hint="eastAsia" w:ascii="宋体" w:hAnsi="宋体" w:cs="宋体"/>
          <w:szCs w:val="21"/>
          <w:highlight w:val="none"/>
          <w:lang w:val="en-US" w:eastAsia="zh-CN"/>
        </w:rPr>
        <w:t>.</w:t>
      </w:r>
    </w:p>
    <w:p>
      <w:pPr>
        <w:spacing w:line="360" w:lineRule="auto"/>
        <w:ind w:firstLine="422" w:firstLineChars="200"/>
        <w:outlineLvl w:val="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3.比选申请人资格要求</w:t>
      </w:r>
    </w:p>
    <w:p>
      <w:pPr>
        <w:spacing w:line="360" w:lineRule="auto"/>
        <w:ind w:firstLine="420"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3.1</w:t>
      </w:r>
      <w:r>
        <w:rPr>
          <w:rFonts w:hint="eastAsia" w:asciiTheme="minorEastAsia" w:hAnsiTheme="minorEastAsia" w:eastAsiaTheme="minorEastAsia"/>
          <w:highlight w:val="none"/>
        </w:rPr>
        <w:t>比选申请人为中华人民共和国境内依法设立的法人或其他组织，</w:t>
      </w:r>
      <w:r>
        <w:rPr>
          <w:rFonts w:hint="eastAsia"/>
          <w:highlight w:val="none"/>
        </w:rPr>
        <w:t>若以分公司名义参与比选申请，必须出具总公司授权参与的证明</w:t>
      </w:r>
      <w:r>
        <w:rPr>
          <w:rFonts w:hint="eastAsia" w:asciiTheme="minorEastAsia" w:hAnsiTheme="minorEastAsia" w:eastAsiaTheme="minorEastAsia"/>
          <w:highlight w:val="none"/>
        </w:rPr>
        <w:t>；</w:t>
      </w:r>
    </w:p>
    <w:p>
      <w:pPr>
        <w:spacing w:line="360" w:lineRule="auto"/>
        <w:ind w:firstLine="420" w:firstLineChars="200"/>
        <w:rPr>
          <w:highlight w:val="none"/>
        </w:rPr>
      </w:pPr>
      <w:r>
        <w:rPr>
          <w:rFonts w:hint="eastAsia" w:ascii="宋体" w:hAnsi="宋体" w:cs="宋体"/>
          <w:szCs w:val="21"/>
          <w:highlight w:val="none"/>
        </w:rPr>
        <w:t>3.</w:t>
      </w:r>
      <w:r>
        <w:rPr>
          <w:rFonts w:hint="eastAsia" w:ascii="宋体" w:hAnsi="宋体" w:cs="宋体"/>
          <w:szCs w:val="21"/>
          <w:highlight w:val="none"/>
          <w:lang w:val="en-US" w:eastAsia="zh-CN"/>
        </w:rPr>
        <w:t>2</w:t>
      </w:r>
      <w:r>
        <w:rPr>
          <w:rFonts w:hint="eastAsia" w:ascii="宋体" w:hAnsi="宋体" w:cs="宋体"/>
          <w:szCs w:val="21"/>
          <w:highlight w:val="none"/>
        </w:rPr>
        <w:t>本项目的特定资格要求：</w:t>
      </w:r>
      <w:r>
        <w:rPr>
          <w:rFonts w:hint="eastAsia" w:asciiTheme="minorEastAsia" w:hAnsiTheme="minorEastAsia" w:eastAsiaTheme="minorEastAsia"/>
          <w:highlight w:val="none"/>
        </w:rPr>
        <w:t>比选申请人</w:t>
      </w:r>
      <w:r>
        <w:rPr>
          <w:rFonts w:hint="eastAsia" w:ascii="宋体" w:hAnsi="宋体" w:cs="宋体"/>
          <w:szCs w:val="21"/>
          <w:highlight w:val="none"/>
        </w:rPr>
        <w:t>必须具有《中华人民共和国特种设备安装改造维修许可证（电梯）》安装、维修</w:t>
      </w:r>
      <w:r>
        <w:rPr>
          <w:rFonts w:ascii="宋体" w:hAnsi="宋体" w:cs="宋体"/>
          <w:szCs w:val="21"/>
          <w:highlight w:val="none"/>
        </w:rPr>
        <w:t>A2</w:t>
      </w:r>
      <w:r>
        <w:rPr>
          <w:rFonts w:hint="eastAsia" w:ascii="宋体" w:hAnsi="宋体" w:cs="宋体"/>
          <w:szCs w:val="21"/>
          <w:highlight w:val="none"/>
        </w:rPr>
        <w:t>级及以上证书或《中华人民共和国特种设备生产许可证》电梯安装（含修理）【曳引驱动载货电梯和强制驱动载货电梯（含防爆电梯中的载货电梯）】证书。</w:t>
      </w:r>
    </w:p>
    <w:p>
      <w:pPr>
        <w:pStyle w:val="2"/>
        <w:spacing w:line="360" w:lineRule="auto"/>
        <w:rPr>
          <w:rFonts w:hint="default" w:eastAsia="宋体"/>
          <w:highlight w:val="none"/>
          <w:lang w:val="en-US" w:eastAsia="zh-CN"/>
        </w:rPr>
      </w:pPr>
      <w:r>
        <w:rPr>
          <w:rFonts w:hint="eastAsia"/>
          <w:highlight w:val="none"/>
          <w:lang w:val="en-US" w:eastAsia="zh-CN"/>
        </w:rPr>
        <w:t xml:space="preserve">    3.3对在“信用中国”网站(www.creditchina. gov.cn)被列入失信被执行人、重大税收违法失信主体的比选申请人，不得参与采购活动。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5</w:t>
      </w:r>
      <w:r>
        <w:rPr>
          <w:rFonts w:hint="eastAsia" w:asciiTheme="minorEastAsia" w:hAnsiTheme="minorEastAsia" w:eastAsiaTheme="minorEastAsia"/>
          <w:highlight w:val="none"/>
        </w:rPr>
        <w:t>单位负责人为同一人或者存在控股、管理关系的不同单位，不得参加同一标段比选申请或者未划分标段的同一比选项目比选申请；</w:t>
      </w:r>
    </w:p>
    <w:p>
      <w:pPr>
        <w:pStyle w:val="27"/>
        <w:spacing w:line="360" w:lineRule="auto"/>
        <w:ind w:left="0" w:leftChars="0" w:firstLineChars="2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3.</w:t>
      </w:r>
      <w:r>
        <w:rPr>
          <w:rFonts w:hint="eastAsia" w:cs="宋体" w:asciiTheme="minorEastAsia" w:hAnsiTheme="minorEastAsia" w:eastAsiaTheme="minorEastAsia"/>
          <w:sz w:val="21"/>
          <w:szCs w:val="21"/>
          <w:highlight w:val="none"/>
          <w:lang w:val="en-US" w:eastAsia="zh-CN"/>
        </w:rPr>
        <w:t>6</w:t>
      </w:r>
      <w:r>
        <w:rPr>
          <w:rFonts w:hint="eastAsia" w:cs="宋体" w:asciiTheme="minorEastAsia" w:hAnsiTheme="minorEastAsia" w:eastAsiaTheme="minorEastAsia"/>
          <w:sz w:val="21"/>
          <w:szCs w:val="21"/>
          <w:highlight w:val="none"/>
        </w:rPr>
        <w:t>本项目不接受联合体比选申请。</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4.资格审查方式</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本项目对比选申请人的资格审查采用资格后审方式，只有资格审查合格的比选申请人才有可能被授予合同。</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5.比选文件的获取</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5.1比选文件获取：</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本项目不发放纸质文件，请各比选申请人自行网上下载。下载网址：南宁轨道交通集团有限责任公司官网(http://www.nngdjt.com)。</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highlight w:val="none"/>
        </w:rPr>
        <w:t>6.</w:t>
      </w:r>
      <w:r>
        <w:rPr>
          <w:rFonts w:asciiTheme="minorEastAsia" w:hAnsiTheme="minorEastAsia" w:eastAsiaTheme="minorEastAsia"/>
          <w:b/>
          <w:highlight w:val="none"/>
        </w:rPr>
        <w:t>比选申请截止时间</w:t>
      </w:r>
      <w:r>
        <w:rPr>
          <w:rFonts w:hint="eastAsia" w:asciiTheme="minorEastAsia" w:hAnsiTheme="minorEastAsia" w:eastAsiaTheme="minorEastAsia"/>
          <w:b/>
          <w:highlight w:val="none"/>
        </w:rPr>
        <w:t>和</w:t>
      </w:r>
      <w:r>
        <w:rPr>
          <w:rFonts w:asciiTheme="minorEastAsia" w:hAnsiTheme="minorEastAsia" w:eastAsiaTheme="minorEastAsia"/>
          <w:b/>
          <w:highlight w:val="none"/>
        </w:rPr>
        <w:t>地点</w:t>
      </w:r>
    </w:p>
    <w:p>
      <w:pPr>
        <w:spacing w:line="360" w:lineRule="auto"/>
        <w:ind w:left="210" w:leftChars="100" w:firstLine="210" w:firstLineChars="100"/>
        <w:rPr>
          <w:rFonts w:asciiTheme="minorEastAsia" w:hAnsiTheme="minorEastAsia" w:eastAsiaTheme="minorEastAsia"/>
          <w:highlight w:val="none"/>
        </w:rPr>
      </w:pPr>
      <w:r>
        <w:rPr>
          <w:rFonts w:hint="eastAsia" w:asciiTheme="minorEastAsia" w:hAnsiTheme="minorEastAsia" w:eastAsiaTheme="minorEastAsia"/>
          <w:color w:val="auto"/>
          <w:highlight w:val="none"/>
        </w:rPr>
        <w:t>6.1比选申请文件须密封后于</w:t>
      </w:r>
      <w:r>
        <w:rPr>
          <w:rFonts w:hint="eastAsia" w:asciiTheme="minorEastAsia" w:hAnsiTheme="minorEastAsia" w:eastAsiaTheme="minorEastAsia"/>
          <w:color w:val="auto"/>
          <w:highlight w:val="none"/>
          <w:lang w:val="en-US" w:eastAsia="zh-CN"/>
        </w:rPr>
        <w:t>2</w:t>
      </w:r>
      <w:r>
        <w:rPr>
          <w:rFonts w:hint="eastAsia" w:asciiTheme="minorEastAsia" w:hAnsiTheme="minorEastAsia" w:eastAsiaTheme="minorEastAsia"/>
          <w:color w:val="auto"/>
          <w:highlight w:val="none"/>
          <w:u w:val="single"/>
        </w:rPr>
        <w:t>02</w:t>
      </w:r>
      <w:r>
        <w:rPr>
          <w:rFonts w:asciiTheme="minorEastAsia" w:hAnsiTheme="minorEastAsia" w:eastAsiaTheme="minorEastAsia"/>
          <w:color w:val="auto"/>
          <w:highlight w:val="none"/>
          <w:u w:val="single"/>
        </w:rPr>
        <w:t>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lang w:val="en-US" w:eastAsia="zh-CN"/>
        </w:rPr>
        <w:t>3</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lang w:val="en-US" w:eastAsia="zh-CN"/>
        </w:rPr>
        <w:t>15</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lang w:val="en-US" w:eastAsia="zh-CN"/>
        </w:rPr>
        <w:t>17时前</w:t>
      </w:r>
      <w:r>
        <w:rPr>
          <w:rFonts w:hint="eastAsia" w:asciiTheme="minorEastAsia" w:hAnsiTheme="minorEastAsia" w:eastAsiaTheme="minorEastAsia"/>
          <w:color w:val="auto"/>
          <w:highlight w:val="none"/>
        </w:rPr>
        <w:t>（北京时间）递交</w:t>
      </w:r>
      <w:r>
        <w:rPr>
          <w:rFonts w:hint="eastAsia" w:asciiTheme="minorEastAsia" w:hAnsiTheme="minorEastAsia" w:eastAsiaTheme="minorEastAsia"/>
          <w:highlight w:val="none"/>
        </w:rPr>
        <w:t>，递交地点在</w:t>
      </w:r>
      <w:r>
        <w:rPr>
          <w:rFonts w:hint="eastAsia" w:ascii="宋体" w:hAnsi="宋体"/>
          <w:highlight w:val="none"/>
          <w:u w:val="single"/>
        </w:rPr>
        <w:t>广西南宁市江南区友谊路2</w:t>
      </w:r>
      <w:r>
        <w:rPr>
          <w:rFonts w:ascii="宋体" w:hAnsi="宋体"/>
          <w:highlight w:val="none"/>
          <w:u w:val="single"/>
        </w:rPr>
        <w:t>1-6</w:t>
      </w:r>
      <w:r>
        <w:rPr>
          <w:rFonts w:hint="eastAsia" w:ascii="宋体" w:hAnsi="宋体"/>
          <w:highlight w:val="none"/>
          <w:u w:val="single"/>
        </w:rPr>
        <w:t>号友谊机动车检测站办公楼3楼</w:t>
      </w:r>
      <w:r>
        <w:rPr>
          <w:rFonts w:hint="eastAsia" w:ascii="宋体" w:hAnsi="宋体"/>
          <w:highlight w:val="none"/>
          <w:u w:val="single"/>
          <w:lang w:val="en-US" w:eastAsia="zh-CN"/>
        </w:rPr>
        <w:t>314</w:t>
      </w:r>
      <w:r>
        <w:rPr>
          <w:rFonts w:hint="eastAsia" w:asciiTheme="minorEastAsia" w:hAnsiTheme="minorEastAsia" w:eastAsiaTheme="minorEastAsia"/>
          <w:highlight w:val="none"/>
          <w:u w:val="single"/>
        </w:rPr>
        <w:t xml:space="preserve"> </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6.2</w:t>
      </w:r>
      <w:r>
        <w:rPr>
          <w:rFonts w:asciiTheme="minorEastAsia" w:hAnsiTheme="minorEastAsia" w:eastAsiaTheme="minorEastAsia"/>
          <w:highlight w:val="none"/>
        </w:rPr>
        <w:t>逾期送达的或者未送达指定地点</w:t>
      </w:r>
      <w:r>
        <w:rPr>
          <w:rFonts w:hint="eastAsia" w:asciiTheme="minorEastAsia" w:hAnsiTheme="minorEastAsia" w:eastAsiaTheme="minorEastAsia"/>
          <w:highlight w:val="none"/>
        </w:rPr>
        <w:t>或者</w:t>
      </w:r>
      <w:r>
        <w:rPr>
          <w:rFonts w:asciiTheme="minorEastAsia" w:hAnsiTheme="minorEastAsia" w:eastAsiaTheme="minorEastAsia"/>
          <w:highlight w:val="none"/>
        </w:rPr>
        <w:t>未按</w:t>
      </w:r>
      <w:r>
        <w:rPr>
          <w:rFonts w:hint="eastAsia" w:asciiTheme="minorEastAsia" w:hAnsiTheme="minorEastAsia" w:eastAsiaTheme="minorEastAsia"/>
          <w:highlight w:val="none"/>
        </w:rPr>
        <w:t>比选</w:t>
      </w:r>
      <w:r>
        <w:rPr>
          <w:rFonts w:asciiTheme="minorEastAsia" w:hAnsiTheme="minorEastAsia" w:eastAsiaTheme="minorEastAsia"/>
          <w:highlight w:val="none"/>
        </w:rPr>
        <w:t>文件要求密封的</w:t>
      </w:r>
      <w:r>
        <w:rPr>
          <w:rFonts w:hint="eastAsia" w:asciiTheme="minorEastAsia" w:hAnsiTheme="minorEastAsia" w:eastAsiaTheme="minorEastAsia"/>
          <w:highlight w:val="none"/>
        </w:rPr>
        <w:t>比选申请</w:t>
      </w:r>
      <w:r>
        <w:rPr>
          <w:rFonts w:asciiTheme="minorEastAsia" w:hAnsiTheme="minorEastAsia" w:eastAsiaTheme="minorEastAsia"/>
          <w:highlight w:val="none"/>
        </w:rPr>
        <w:t>文件将被拒绝</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6.3请比选申请人法定代表人或其授权代表携法人委托书原件准时参加。</w:t>
      </w:r>
      <w:r>
        <w:rPr>
          <w:rFonts w:asciiTheme="minorEastAsia" w:hAnsiTheme="minorEastAsia" w:eastAsiaTheme="minorEastAsia"/>
          <w:highlight w:val="none"/>
        </w:rPr>
        <w:t>比选申请文件必须由</w:t>
      </w:r>
      <w:r>
        <w:rPr>
          <w:rFonts w:hint="eastAsia" w:asciiTheme="minorEastAsia" w:hAnsiTheme="minorEastAsia" w:eastAsiaTheme="minorEastAsia"/>
          <w:highlight w:val="none"/>
        </w:rPr>
        <w:t>比选申请人</w:t>
      </w:r>
      <w:r>
        <w:rPr>
          <w:rFonts w:asciiTheme="minorEastAsia" w:hAnsiTheme="minorEastAsia" w:eastAsiaTheme="minorEastAsia"/>
          <w:highlight w:val="none"/>
        </w:rPr>
        <w:t>法定代表人或其授权代表递交，否则比选人不予受理。</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7.发布公告的媒介</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本次比选公告同时在南宁轨道交通集团有限责任公司官网(http://www.nngdjt.com)发布。</w:t>
      </w:r>
    </w:p>
    <w:p>
      <w:pPr>
        <w:ind w:firstLine="422" w:firstLineChars="200"/>
        <w:rPr>
          <w:color w:val="auto"/>
          <w:highlight w:val="none"/>
        </w:rPr>
      </w:pPr>
      <w:r>
        <w:rPr>
          <w:rFonts w:hint="eastAsia" w:ascii="宋体" w:hAnsi="宋体"/>
          <w:b/>
          <w:color w:val="auto"/>
          <w:highlight w:val="none"/>
        </w:rPr>
        <w:t>8.比选纪律监督部门及电话：</w:t>
      </w:r>
      <w:r>
        <w:rPr>
          <w:rFonts w:hint="eastAsia" w:ascii="宋体" w:hAnsi="宋体"/>
          <w:b/>
          <w:color w:val="auto"/>
          <w:highlight w:val="none"/>
          <w:lang w:val="en-US" w:eastAsia="zh-CN"/>
        </w:rPr>
        <w:t>综合管理部13117711714</w:t>
      </w:r>
      <w:r>
        <w:rPr>
          <w:rFonts w:hint="eastAsia" w:ascii="宋体" w:hAnsi="宋体"/>
          <w:b/>
          <w:color w:val="auto"/>
          <w:highlight w:val="none"/>
        </w:rPr>
        <w:t>。</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9.联系方式</w:t>
      </w:r>
    </w:p>
    <w:p>
      <w:pPr>
        <w:spacing w:line="360" w:lineRule="auto"/>
        <w:ind w:firstLine="420" w:firstLineChars="200"/>
        <w:rPr>
          <w:rFonts w:asciiTheme="minorEastAsia" w:hAnsiTheme="minorEastAsia" w:eastAsiaTheme="minorEastAsia"/>
          <w:highlight w:val="none"/>
          <w:u w:val="single"/>
        </w:rPr>
      </w:pPr>
      <w:r>
        <w:rPr>
          <w:rFonts w:hint="eastAsia" w:asciiTheme="minorEastAsia" w:hAnsiTheme="minorEastAsia" w:eastAsiaTheme="minorEastAsia"/>
          <w:highlight w:val="none"/>
        </w:rPr>
        <w:t xml:space="preserve">比 选 人：南宁市金盾道路清障有限责任公司  </w:t>
      </w:r>
    </w:p>
    <w:p>
      <w:pPr>
        <w:spacing w:line="360" w:lineRule="auto"/>
        <w:ind w:firstLine="420" w:firstLineChars="200"/>
        <w:rPr>
          <w:rFonts w:asciiTheme="minorEastAsia" w:hAnsiTheme="minorEastAsia" w:eastAsiaTheme="minorEastAsia"/>
          <w:highlight w:val="none"/>
          <w:u w:val="single"/>
        </w:rPr>
      </w:pPr>
      <w:r>
        <w:rPr>
          <w:rFonts w:hint="eastAsia" w:asciiTheme="minorEastAsia" w:hAnsiTheme="minorEastAsia" w:eastAsiaTheme="minorEastAsia"/>
          <w:highlight w:val="none"/>
        </w:rPr>
        <w:t>地    址：南宁市</w:t>
      </w:r>
      <w:r>
        <w:rPr>
          <w:rFonts w:hint="eastAsia" w:ascii="宋体" w:hAnsi="宋体"/>
          <w:highlight w:val="none"/>
        </w:rPr>
        <w:t>江南区友谊路2</w:t>
      </w:r>
      <w:r>
        <w:rPr>
          <w:rFonts w:ascii="宋体" w:hAnsi="宋体"/>
          <w:highlight w:val="none"/>
        </w:rPr>
        <w:t>1-6</w:t>
      </w:r>
      <w:r>
        <w:rPr>
          <w:rFonts w:hint="eastAsia" w:ascii="宋体" w:hAnsi="宋体"/>
          <w:highlight w:val="none"/>
        </w:rPr>
        <w:t>号</w:t>
      </w:r>
      <w:r>
        <w:rPr>
          <w:rFonts w:hint="eastAsia" w:asciiTheme="minorEastAsia" w:hAnsiTheme="minorEastAsia" w:eastAsiaTheme="minorEastAsia"/>
          <w:highlight w:val="none"/>
        </w:rPr>
        <w:t xml:space="preserve">   </w:t>
      </w:r>
    </w:p>
    <w:p>
      <w:pPr>
        <w:spacing w:line="360" w:lineRule="auto"/>
        <w:ind w:firstLine="420" w:firstLineChars="200"/>
        <w:rPr>
          <w:rFonts w:asciiTheme="minorEastAsia" w:hAnsiTheme="minorEastAsia" w:eastAsiaTheme="minorEastAsia"/>
          <w:highlight w:val="none"/>
          <w:u w:val="single"/>
        </w:rPr>
      </w:pPr>
      <w:r>
        <w:rPr>
          <w:rFonts w:hint="eastAsia" w:asciiTheme="minorEastAsia" w:hAnsiTheme="minorEastAsia" w:eastAsiaTheme="minorEastAsia"/>
          <w:highlight w:val="none"/>
        </w:rPr>
        <w:t>邮    编：</w:t>
      </w:r>
      <w:r>
        <w:rPr>
          <w:rFonts w:asciiTheme="minorEastAsia" w:hAnsiTheme="minorEastAsia" w:eastAsiaTheme="minorEastAsia"/>
          <w:highlight w:val="none"/>
        </w:rPr>
        <w:t>530000</w:t>
      </w:r>
      <w:r>
        <w:rPr>
          <w:rFonts w:hint="eastAsia" w:asciiTheme="minorEastAsia" w:hAnsiTheme="minorEastAsia" w:eastAsiaTheme="minorEastAsia"/>
          <w:highlight w:val="none"/>
        </w:rPr>
        <w:t xml:space="preserve">                        </w:t>
      </w:r>
    </w:p>
    <w:p>
      <w:pPr>
        <w:spacing w:line="360" w:lineRule="auto"/>
        <w:ind w:firstLine="420" w:firstLineChars="200"/>
        <w:rPr>
          <w:rFonts w:hint="default" w:eastAsia="宋体" w:asciiTheme="minorEastAsia" w:hAnsiTheme="minorEastAsia"/>
          <w:highlight w:val="none"/>
          <w:u w:val="single"/>
          <w:lang w:val="en-US" w:eastAsia="zh-CN"/>
        </w:rPr>
      </w:pPr>
      <w:r>
        <w:rPr>
          <w:rFonts w:hint="eastAsia" w:asciiTheme="minorEastAsia" w:hAnsiTheme="minorEastAsia" w:eastAsiaTheme="minorEastAsia"/>
          <w:highlight w:val="none"/>
        </w:rPr>
        <w:t>联 系 人：</w:t>
      </w:r>
      <w:r>
        <w:rPr>
          <w:rFonts w:hint="eastAsia" w:ascii="宋体" w:hAnsi="宋体" w:cs="宋体"/>
          <w:szCs w:val="21"/>
          <w:highlight w:val="none"/>
        </w:rPr>
        <w:t>苏工</w:t>
      </w:r>
      <w:r>
        <w:rPr>
          <w:rFonts w:hint="eastAsia" w:ascii="宋体" w:hAnsi="宋体" w:cs="宋体"/>
          <w:szCs w:val="21"/>
          <w:highlight w:val="none"/>
          <w:lang w:val="en-US" w:eastAsia="zh-CN"/>
        </w:rPr>
        <w:t xml:space="preserve"> 范工</w:t>
      </w:r>
    </w:p>
    <w:p>
      <w:pPr>
        <w:spacing w:line="360" w:lineRule="auto"/>
        <w:ind w:firstLine="420" w:firstLineChars="200"/>
        <w:rPr>
          <w:rFonts w:asciiTheme="minorEastAsia" w:hAnsiTheme="minorEastAsia" w:eastAsiaTheme="minorEastAsia"/>
          <w:highlight w:val="none"/>
          <w:u w:val="single"/>
        </w:rPr>
      </w:pPr>
      <w:r>
        <w:rPr>
          <w:rFonts w:hint="eastAsia" w:asciiTheme="minorEastAsia" w:hAnsiTheme="minorEastAsia" w:eastAsiaTheme="minorEastAsia"/>
          <w:highlight w:val="none"/>
        </w:rPr>
        <w:t>电    话：</w:t>
      </w:r>
      <w:r>
        <w:rPr>
          <w:rFonts w:ascii="宋体" w:hAnsi="宋体" w:cs="宋体"/>
          <w:szCs w:val="21"/>
          <w:highlight w:val="none"/>
        </w:rPr>
        <w:t>13978627345</w:t>
      </w:r>
      <w:r>
        <w:rPr>
          <w:rFonts w:hint="eastAsia" w:asciiTheme="minorEastAsia" w:hAnsiTheme="minorEastAsia" w:eastAsiaTheme="minorEastAsia"/>
          <w:highlight w:val="none"/>
        </w:rPr>
        <w:t xml:space="preserve"> </w:t>
      </w:r>
      <w:r>
        <w:rPr>
          <w:rFonts w:hint="eastAsia" w:asciiTheme="minorEastAsia" w:hAnsiTheme="minorEastAsia" w:eastAsiaTheme="minorEastAsia"/>
          <w:highlight w:val="none"/>
          <w:lang w:val="en-US" w:eastAsia="zh-CN"/>
        </w:rPr>
        <w:t>17877006029</w:t>
      </w:r>
      <w:r>
        <w:rPr>
          <w:rFonts w:hint="eastAsia" w:asciiTheme="minorEastAsia" w:hAnsiTheme="minorEastAsia" w:eastAsiaTheme="minorEastAsia"/>
          <w:highlight w:val="none"/>
        </w:rPr>
        <w:t xml:space="preserve"> </w:t>
      </w:r>
    </w:p>
    <w:p>
      <w:pPr>
        <w:spacing w:line="360" w:lineRule="auto"/>
        <w:rPr>
          <w:rFonts w:asciiTheme="minorEastAsia" w:hAnsiTheme="minorEastAsia" w:eastAsiaTheme="minorEastAsia"/>
          <w:bCs/>
          <w:szCs w:val="28"/>
          <w:highlight w:val="none"/>
        </w:rPr>
      </w:pPr>
      <w:r>
        <w:rPr>
          <w:rFonts w:asciiTheme="minorEastAsia" w:hAnsiTheme="minorEastAsia" w:eastAsiaTheme="minorEastAsia"/>
          <w:sz w:val="44"/>
          <w:szCs w:val="48"/>
          <w:highlight w:val="none"/>
        </w:rPr>
        <w:br w:type="page"/>
      </w:r>
    </w:p>
    <w:p>
      <w:pPr>
        <w:pStyle w:val="4"/>
        <w:jc w:val="center"/>
        <w:rPr>
          <w:rFonts w:asciiTheme="minorEastAsia" w:hAnsiTheme="minorEastAsia" w:eastAsiaTheme="minorEastAsia"/>
          <w:sz w:val="28"/>
          <w:szCs w:val="28"/>
          <w:highlight w:val="none"/>
        </w:rPr>
      </w:pPr>
      <w:bookmarkStart w:id="0" w:name="_Toc114052411"/>
      <w:bookmarkStart w:id="1" w:name="_Toc114052337"/>
      <w:bookmarkStart w:id="2" w:name="_Toc286386831"/>
      <w:bookmarkStart w:id="3" w:name="_Toc436771464"/>
      <w:bookmarkStart w:id="4" w:name="_Toc392862472"/>
      <w:bookmarkStart w:id="5" w:name="_Toc392862473"/>
      <w:r>
        <w:rPr>
          <w:rFonts w:hint="eastAsia" w:asciiTheme="minorEastAsia" w:hAnsiTheme="minorEastAsia" w:eastAsiaTheme="minorEastAsia"/>
          <w:sz w:val="32"/>
          <w:szCs w:val="32"/>
          <w:highlight w:val="none"/>
        </w:rPr>
        <w:t>第二章 比选申请须知</w:t>
      </w:r>
      <w:bookmarkEnd w:id="0"/>
      <w:bookmarkEnd w:id="1"/>
      <w:bookmarkEnd w:id="2"/>
      <w:bookmarkEnd w:id="3"/>
      <w:bookmarkEnd w:id="4"/>
    </w:p>
    <w:p>
      <w:pPr>
        <w:pStyle w:val="2"/>
        <w:jc w:val="center"/>
        <w:rPr>
          <w:rFonts w:asciiTheme="minorEastAsia" w:hAnsiTheme="minorEastAsia" w:eastAsiaTheme="minorEastAsia"/>
          <w:b/>
          <w:sz w:val="30"/>
          <w:szCs w:val="30"/>
          <w:highlight w:val="none"/>
        </w:rPr>
      </w:pPr>
      <w:r>
        <w:rPr>
          <w:rFonts w:hint="eastAsia" w:asciiTheme="minorEastAsia" w:hAnsiTheme="minorEastAsia" w:eastAsiaTheme="minorEastAsia"/>
          <w:b/>
          <w:sz w:val="30"/>
          <w:szCs w:val="30"/>
          <w:highlight w:val="none"/>
        </w:rPr>
        <w:t>比选申请须知前附表</w:t>
      </w:r>
    </w:p>
    <w:tbl>
      <w:tblPr>
        <w:tblStyle w:val="28"/>
        <w:tblW w:w="9973" w:type="dxa"/>
        <w:tblInd w:w="112" w:type="dxa"/>
        <w:tblLayout w:type="fixed"/>
        <w:tblCellMar>
          <w:top w:w="0" w:type="dxa"/>
          <w:left w:w="108" w:type="dxa"/>
          <w:bottom w:w="0" w:type="dxa"/>
          <w:right w:w="108" w:type="dxa"/>
        </w:tblCellMar>
      </w:tblPr>
      <w:tblGrid>
        <w:gridCol w:w="847"/>
        <w:gridCol w:w="1843"/>
        <w:gridCol w:w="7283"/>
      </w:tblGrid>
      <w:tr>
        <w:tblPrEx>
          <w:tblCellMar>
            <w:top w:w="0" w:type="dxa"/>
            <w:left w:w="108" w:type="dxa"/>
            <w:bottom w:w="0" w:type="dxa"/>
            <w:right w:w="108" w:type="dxa"/>
          </w:tblCellMar>
        </w:tblPrEx>
        <w:trPr>
          <w:trHeight w:val="42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条款号</w:t>
            </w:r>
          </w:p>
        </w:tc>
        <w:tc>
          <w:tcPr>
            <w:tcW w:w="18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条款名称</w:t>
            </w:r>
          </w:p>
        </w:tc>
        <w:tc>
          <w:tcPr>
            <w:tcW w:w="728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比选人</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名称：南宁市金盾道路清障有限责任公司</w:t>
            </w:r>
          </w:p>
          <w:p>
            <w:pPr>
              <w:rPr>
                <w:rFonts w:asciiTheme="minorEastAsia" w:hAnsiTheme="minorEastAsia" w:eastAsiaTheme="minorEastAsia"/>
                <w:highlight w:val="none"/>
              </w:rPr>
            </w:pPr>
            <w:r>
              <w:rPr>
                <w:rFonts w:hint="eastAsia" w:asciiTheme="minorEastAsia" w:hAnsiTheme="minorEastAsia" w:eastAsiaTheme="minorEastAsia"/>
                <w:highlight w:val="none"/>
              </w:rPr>
              <w:t>地址：南宁市</w:t>
            </w:r>
            <w:r>
              <w:rPr>
                <w:rFonts w:hint="eastAsia" w:ascii="宋体" w:hAnsi="宋体"/>
                <w:highlight w:val="none"/>
              </w:rPr>
              <w:t>江南区友谊路2</w:t>
            </w:r>
            <w:r>
              <w:rPr>
                <w:rFonts w:ascii="宋体" w:hAnsi="宋体"/>
                <w:highlight w:val="none"/>
              </w:rPr>
              <w:t>1-6</w:t>
            </w:r>
            <w:r>
              <w:rPr>
                <w:rFonts w:hint="eastAsia" w:ascii="宋体" w:hAnsi="宋体"/>
                <w:highlight w:val="none"/>
              </w:rPr>
              <w:t>号</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联系人：</w:t>
            </w:r>
            <w:r>
              <w:rPr>
                <w:rFonts w:hint="eastAsia" w:ascii="宋体" w:hAnsi="宋体" w:cs="宋体"/>
                <w:color w:val="auto"/>
                <w:szCs w:val="21"/>
                <w:highlight w:val="none"/>
              </w:rPr>
              <w:t>苏工</w:t>
            </w:r>
            <w:r>
              <w:rPr>
                <w:rFonts w:hint="eastAsia" w:ascii="宋体" w:hAnsi="宋体" w:cs="宋体"/>
                <w:color w:val="auto"/>
                <w:szCs w:val="21"/>
                <w:highlight w:val="none"/>
                <w:lang w:val="en-US" w:eastAsia="zh-CN"/>
              </w:rPr>
              <w:t xml:space="preserve"> 范工</w:t>
            </w:r>
          </w:p>
          <w:p>
            <w:pPr>
              <w:rPr>
                <w:rFonts w:hint="eastAsia" w:asciiTheme="minorEastAsia" w:hAnsiTheme="minorEastAsia" w:eastAsiaTheme="minorEastAsia"/>
                <w:highlight w:val="none"/>
                <w:lang w:val="en-US" w:eastAsia="zh-CN"/>
              </w:rPr>
            </w:pPr>
            <w:r>
              <w:rPr>
                <w:rFonts w:hint="eastAsia" w:asciiTheme="minorEastAsia" w:hAnsiTheme="minorEastAsia" w:eastAsiaTheme="minorEastAsia"/>
                <w:color w:val="auto"/>
                <w:highlight w:val="none"/>
              </w:rPr>
              <w:t>联系电话：</w:t>
            </w:r>
            <w:r>
              <w:rPr>
                <w:rFonts w:ascii="宋体" w:hAnsi="宋体" w:cs="宋体"/>
                <w:color w:val="auto"/>
                <w:szCs w:val="21"/>
                <w:highlight w:val="none"/>
              </w:rPr>
              <w:t>13978627345</w:t>
            </w:r>
            <w:r>
              <w:rPr>
                <w:rStyle w:val="34"/>
                <w:rFonts w:hint="eastAsia" w:eastAsiaTheme="minorEastAsia" w:cstheme="minorBidi"/>
                <w:color w:val="auto"/>
                <w:highlight w:val="none"/>
                <w:lang w:val="en-US" w:eastAsia="zh-CN"/>
              </w:rPr>
              <w:t xml:space="preserve"> </w:t>
            </w:r>
            <w:r>
              <w:rPr>
                <w:rFonts w:hint="eastAsia" w:asciiTheme="minorEastAsia" w:hAnsiTheme="minorEastAsia" w:eastAsiaTheme="minorEastAsia"/>
                <w:color w:val="auto"/>
                <w:highlight w:val="none"/>
                <w:lang w:val="en-US" w:eastAsia="zh-CN"/>
              </w:rPr>
              <w:t>17877006029</w:t>
            </w:r>
          </w:p>
        </w:tc>
      </w:tr>
      <w:tr>
        <w:tblPrEx>
          <w:tblCellMar>
            <w:top w:w="0" w:type="dxa"/>
            <w:left w:w="108" w:type="dxa"/>
            <w:bottom w:w="0" w:type="dxa"/>
            <w:right w:w="108" w:type="dxa"/>
          </w:tblCellMar>
        </w:tblPrEx>
        <w:trPr>
          <w:trHeight w:val="35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项目名称</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南宁市金盾道路清障有限责任公司</w:t>
            </w:r>
            <w:r>
              <w:rPr>
                <w:rFonts w:hint="eastAsia" w:ascii="宋体" w:hAnsi="宋体" w:cs="宋体"/>
                <w:szCs w:val="21"/>
                <w:highlight w:val="none"/>
                <w:u w:val="single"/>
              </w:rPr>
              <w:t>那洪分公司电梯安装采购</w:t>
            </w:r>
            <w:r>
              <w:rPr>
                <w:rFonts w:hint="eastAsia" w:ascii="宋体" w:hAnsi="宋体" w:cs="宋体"/>
                <w:szCs w:val="21"/>
                <w:highlight w:val="none"/>
              </w:rPr>
              <w:t>项目</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项目编号</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202402220001</w:t>
            </w:r>
          </w:p>
        </w:tc>
      </w:tr>
      <w:tr>
        <w:tblPrEx>
          <w:tblCellMar>
            <w:top w:w="0" w:type="dxa"/>
            <w:left w:w="108" w:type="dxa"/>
            <w:bottom w:w="0" w:type="dxa"/>
            <w:right w:w="108" w:type="dxa"/>
          </w:tblCellMar>
        </w:tblPrEx>
        <w:trPr>
          <w:trHeight w:val="724"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w:t>
            </w:r>
            <w:r>
              <w:rPr>
                <w:rFonts w:asciiTheme="minorEastAsia" w:hAnsiTheme="minorEastAsia" w:eastAsiaTheme="minorEastAsia"/>
                <w:highlight w:val="none"/>
              </w:rPr>
              <w:t>范围</w:t>
            </w:r>
          </w:p>
        </w:tc>
        <w:tc>
          <w:tcPr>
            <w:tcW w:w="728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highlight w:val="none"/>
              </w:rPr>
            </w:pPr>
            <w:r>
              <w:rPr>
                <w:rFonts w:hint="eastAsia" w:ascii="宋体" w:hAnsi="宋体" w:cs="宋体"/>
                <w:szCs w:val="21"/>
                <w:highlight w:val="none"/>
              </w:rPr>
              <w:t>采购及安装电梯1台</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1.5</w:t>
            </w:r>
          </w:p>
        </w:tc>
        <w:tc>
          <w:tcPr>
            <w:tcW w:w="184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highlight w:val="none"/>
                <w:lang w:eastAsia="zh-CN"/>
              </w:rPr>
            </w:pPr>
            <w:r>
              <w:rPr>
                <w:rFonts w:hint="eastAsia" w:ascii="宋体" w:hAnsi="宋体" w:cs="宋体" w:eastAsiaTheme="minorEastAsia"/>
                <w:szCs w:val="21"/>
                <w:highlight w:val="none"/>
                <w:lang w:val="en-US" w:eastAsia="zh-CN"/>
              </w:rPr>
              <w:t>交货期</w:t>
            </w:r>
          </w:p>
        </w:tc>
        <w:tc>
          <w:tcPr>
            <w:tcW w:w="7283"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eastAsiaTheme="minorEastAsia"/>
                <w:szCs w:val="21"/>
                <w:highlight w:val="none"/>
                <w:u w:val="single"/>
              </w:rPr>
            </w:pPr>
            <w:r>
              <w:rPr>
                <w:rFonts w:hint="eastAsia" w:ascii="宋体" w:hAnsi="宋体" w:cs="宋体"/>
                <w:szCs w:val="21"/>
                <w:highlight w:val="none"/>
              </w:rPr>
              <w:t>合同签订之日起90 个日历日内到货并安装完毕，</w:t>
            </w:r>
            <w:r>
              <w:rPr>
                <w:rFonts w:hint="eastAsia" w:ascii="宋体" w:hAnsi="宋体" w:cs="宋体"/>
                <w:szCs w:val="21"/>
                <w:highlight w:val="none"/>
                <w:lang w:val="en-US" w:eastAsia="zh-CN"/>
              </w:rPr>
              <w:t>安装完毕后</w:t>
            </w:r>
            <w:r>
              <w:rPr>
                <w:rFonts w:hint="eastAsia" w:ascii="宋体" w:hAnsi="宋体" w:cs="宋体"/>
                <w:szCs w:val="21"/>
                <w:highlight w:val="none"/>
              </w:rPr>
              <w:t>30个日历日内完成特种设备使用登记并取得特种设备检验机构出具的《电梯准用证》，无条件交付采购人使用。</w:t>
            </w:r>
            <w:r>
              <w:rPr>
                <w:rFonts w:hint="eastAsia" w:asciiTheme="minorEastAsia" w:hAnsiTheme="minorEastAsia" w:eastAsiaTheme="minorEastAsia"/>
                <w:highlight w:val="none"/>
              </w:rPr>
              <w:t xml:space="preserve">        </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资金来源</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企业自有资金</w:t>
            </w:r>
          </w:p>
        </w:tc>
      </w:tr>
      <w:tr>
        <w:tblPrEx>
          <w:tblCellMar>
            <w:top w:w="0" w:type="dxa"/>
            <w:left w:w="108" w:type="dxa"/>
            <w:bottom w:w="0" w:type="dxa"/>
            <w:right w:w="108" w:type="dxa"/>
          </w:tblCellMar>
        </w:tblPrEx>
        <w:trPr>
          <w:trHeight w:val="67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上限控制价</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cs="宋体" w:asciiTheme="minorEastAsia" w:hAnsiTheme="minorEastAsia" w:eastAsiaTheme="minorEastAsia"/>
                <w:szCs w:val="21"/>
                <w:highlight w:val="none"/>
                <w:lang w:eastAsia="zh-CN"/>
              </w:rPr>
              <w:t>不含税</w:t>
            </w:r>
            <w:r>
              <w:rPr>
                <w:rFonts w:hint="eastAsia" w:cs="宋体" w:asciiTheme="minorEastAsia" w:hAnsiTheme="minorEastAsia" w:eastAsiaTheme="minorEastAsia"/>
                <w:szCs w:val="21"/>
                <w:highlight w:val="none"/>
              </w:rPr>
              <w:t>人民币捌拾万元整（￥</w:t>
            </w:r>
            <w:r>
              <w:rPr>
                <w:rFonts w:hint="eastAsia" w:ascii="宋体" w:hAnsi="宋体" w:cs="宋体"/>
                <w:szCs w:val="21"/>
                <w:highlight w:val="none"/>
              </w:rPr>
              <w:t>800000.00</w:t>
            </w:r>
            <w:r>
              <w:rPr>
                <w:rFonts w:hint="eastAsia" w:cs="宋体" w:asciiTheme="minorEastAsia" w:hAnsiTheme="minorEastAsia" w:eastAsiaTheme="minorEastAsia"/>
                <w:szCs w:val="21"/>
                <w:highlight w:val="none"/>
              </w:rPr>
              <w:t>）</w:t>
            </w:r>
            <w:r>
              <w:rPr>
                <w:rFonts w:hint="eastAsia" w:asciiTheme="minorEastAsia" w:hAnsiTheme="minorEastAsia" w:eastAsiaTheme="minorEastAsia"/>
                <w:highlight w:val="none"/>
              </w:rPr>
              <w:t>，比选申请报价高于上限控制价的比选申请文件将按否决比选申请处理。</w:t>
            </w:r>
          </w:p>
        </w:tc>
      </w:tr>
      <w:tr>
        <w:tblPrEx>
          <w:tblCellMar>
            <w:top w:w="0" w:type="dxa"/>
            <w:left w:w="108" w:type="dxa"/>
            <w:bottom w:w="0" w:type="dxa"/>
            <w:right w:w="108" w:type="dxa"/>
          </w:tblCellMar>
        </w:tblPrEx>
        <w:trPr>
          <w:trHeight w:val="483"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比选申请人应具备的资格条件</w:t>
            </w:r>
          </w:p>
        </w:tc>
        <w:tc>
          <w:tcPr>
            <w:tcW w:w="7283"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w:t>
            </w:r>
            <w:r>
              <w:rPr>
                <w:rFonts w:hint="eastAsia" w:asciiTheme="minorEastAsia" w:hAnsiTheme="minorEastAsia" w:eastAsiaTheme="minorEastAsia"/>
                <w:highlight w:val="none"/>
              </w:rPr>
              <w:t>比选申请人为中华人民共和国境内依法设立的法人或其他组织，</w:t>
            </w:r>
            <w:r>
              <w:rPr>
                <w:rFonts w:hint="eastAsia"/>
                <w:highlight w:val="none"/>
              </w:rPr>
              <w:t>若以分公司名义参与比选申请，必须出具总公司授权参与的证明</w:t>
            </w:r>
            <w:r>
              <w:rPr>
                <w:rFonts w:hint="eastAsia" w:asciiTheme="minorEastAsia" w:hAnsiTheme="minorEastAsia" w:eastAsiaTheme="minorEastAsia"/>
                <w:highlight w:val="none"/>
              </w:rPr>
              <w:t>；</w:t>
            </w:r>
          </w:p>
          <w:p>
            <w:pPr>
              <w:spacing w:line="360" w:lineRule="auto"/>
              <w:ind w:firstLine="420" w:firstLineChars="200"/>
              <w:rPr>
                <w:rFonts w:hint="eastAsia" w:ascii="宋体" w:hAnsi="宋体" w:cs="宋体"/>
                <w:szCs w:val="21"/>
                <w:highlight w:val="none"/>
              </w:rPr>
            </w:pP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lang w:val="en-US" w:eastAsia="zh-CN"/>
              </w:rPr>
              <w:t>2</w:t>
            </w:r>
            <w:r>
              <w:rPr>
                <w:rFonts w:hint="eastAsia" w:cs="宋体" w:asciiTheme="minorEastAsia" w:hAnsiTheme="minorEastAsia" w:eastAsiaTheme="minorEastAsia"/>
                <w:szCs w:val="21"/>
                <w:highlight w:val="none"/>
              </w:rPr>
              <w:t>）</w:t>
            </w:r>
            <w:r>
              <w:rPr>
                <w:rFonts w:hint="eastAsia" w:ascii="宋体" w:hAnsi="宋体" w:cs="宋体"/>
                <w:szCs w:val="21"/>
                <w:highlight w:val="none"/>
              </w:rPr>
              <w:t>本项目的特定资格要求：</w:t>
            </w:r>
            <w:r>
              <w:rPr>
                <w:rFonts w:hint="eastAsia" w:asciiTheme="minorEastAsia" w:hAnsiTheme="minorEastAsia" w:eastAsiaTheme="minorEastAsia"/>
                <w:highlight w:val="none"/>
              </w:rPr>
              <w:t>比选申请人</w:t>
            </w:r>
            <w:r>
              <w:rPr>
                <w:rFonts w:hint="eastAsia" w:ascii="宋体" w:hAnsi="宋体" w:cs="宋体"/>
                <w:szCs w:val="21"/>
                <w:highlight w:val="none"/>
              </w:rPr>
              <w:t>必须具有《中华人民共和国特种设备安装改造维修许可证（电梯）》安装、维修</w:t>
            </w:r>
            <w:r>
              <w:rPr>
                <w:rFonts w:ascii="宋体" w:hAnsi="宋体" w:cs="宋体"/>
                <w:szCs w:val="21"/>
                <w:highlight w:val="none"/>
              </w:rPr>
              <w:t>A2</w:t>
            </w:r>
            <w:r>
              <w:rPr>
                <w:rFonts w:hint="eastAsia" w:ascii="宋体" w:hAnsi="宋体" w:cs="宋体"/>
                <w:szCs w:val="21"/>
                <w:highlight w:val="none"/>
              </w:rPr>
              <w:t>级及以上证书或《中华人民共和国特种设备生产许可证》电梯安装（含修理）【曳引驱动载货电梯和强制驱动载货电梯（含防爆电梯中的载货电梯）】证书。</w:t>
            </w:r>
          </w:p>
          <w:p>
            <w:pPr>
              <w:pStyle w:val="2"/>
              <w:spacing w:line="360" w:lineRule="auto"/>
              <w:ind w:firstLine="420" w:firstLineChars="200"/>
              <w:rPr>
                <w:highlight w:val="none"/>
              </w:rPr>
            </w:pP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lang w:val="en-US" w:eastAsia="zh-CN"/>
              </w:rPr>
              <w:t>3</w:t>
            </w:r>
            <w:r>
              <w:rPr>
                <w:rFonts w:hint="eastAsia" w:cs="宋体" w:asciiTheme="minorEastAsia" w:hAnsiTheme="minorEastAsia" w:eastAsiaTheme="minorEastAsia"/>
                <w:szCs w:val="21"/>
                <w:highlight w:val="none"/>
              </w:rPr>
              <w:t>）</w:t>
            </w:r>
            <w:r>
              <w:rPr>
                <w:rFonts w:hint="eastAsia"/>
                <w:highlight w:val="none"/>
                <w:lang w:val="en-US" w:eastAsia="zh-CN"/>
              </w:rPr>
              <w:t>对在“信用中国”网站(www.creditchina. gov.cn)被列入失信被执行人、重大税收违法失信主体的比选申请人，不得参与采购活动。</w:t>
            </w:r>
          </w:p>
          <w:p>
            <w:pPr>
              <w:spacing w:line="360" w:lineRule="auto"/>
              <w:ind w:firstLine="420" w:firstLineChars="200"/>
              <w:rPr>
                <w:rFonts w:asciiTheme="minorEastAsia" w:hAnsiTheme="minorEastAsia" w:eastAsiaTheme="minorEastAsia"/>
                <w:highlight w:val="none"/>
              </w:rPr>
            </w:pP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lang w:val="en-US" w:eastAsia="zh-CN"/>
              </w:rPr>
              <w:t>4</w:t>
            </w:r>
            <w:r>
              <w:rPr>
                <w:rFonts w:hint="eastAsia" w:cs="宋体" w:asciiTheme="minorEastAsia" w:hAnsiTheme="minorEastAsia" w:eastAsiaTheme="minorEastAsia"/>
                <w:szCs w:val="21"/>
                <w:highlight w:val="none"/>
              </w:rPr>
              <w:t>）</w:t>
            </w:r>
            <w:r>
              <w:rPr>
                <w:rFonts w:hint="eastAsia" w:asciiTheme="minorEastAsia" w:hAnsiTheme="minorEastAsia" w:eastAsiaTheme="minorEastAsia"/>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ind w:firstLine="420" w:firstLineChars="200"/>
              <w:rPr>
                <w:rFonts w:asciiTheme="minorEastAsia" w:hAnsiTheme="minorEastAsia" w:eastAsiaTheme="minorEastAsia"/>
                <w:highlight w:val="none"/>
              </w:rPr>
            </w:pP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lang w:val="en-US" w:eastAsia="zh-CN"/>
              </w:rPr>
              <w:t>5</w:t>
            </w:r>
            <w:r>
              <w:rPr>
                <w:rFonts w:hint="eastAsia" w:cs="宋体" w:asciiTheme="minorEastAsia" w:hAnsiTheme="minorEastAsia" w:eastAsiaTheme="minorEastAsia"/>
                <w:szCs w:val="21"/>
                <w:highlight w:val="none"/>
              </w:rPr>
              <w:t>）</w:t>
            </w:r>
            <w:r>
              <w:rPr>
                <w:rFonts w:hint="eastAsia" w:asciiTheme="minorEastAsia" w:hAnsiTheme="minorEastAsia" w:eastAsiaTheme="minorEastAsia"/>
                <w:highlight w:val="none"/>
              </w:rPr>
              <w:t>单位负责人为同一人或者存在控股、管理关系的不同单位，不得参加同一标段比选申请或者未划分标段的同一比选项目比选申请；</w:t>
            </w:r>
          </w:p>
          <w:p>
            <w:pPr>
              <w:pStyle w:val="27"/>
              <w:spacing w:line="360" w:lineRule="auto"/>
              <w:ind w:left="0" w:leftChars="0" w:firstLineChars="2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18"/>
                <w:highlight w:val="none"/>
              </w:rPr>
              <w:t>（</w:t>
            </w:r>
            <w:r>
              <w:rPr>
                <w:rFonts w:hint="eastAsia" w:cs="宋体" w:asciiTheme="minorEastAsia" w:hAnsiTheme="minorEastAsia" w:eastAsiaTheme="minorEastAsia"/>
                <w:sz w:val="21"/>
                <w:szCs w:val="18"/>
                <w:highlight w:val="none"/>
                <w:lang w:val="en-US" w:eastAsia="zh-CN"/>
              </w:rPr>
              <w:t>6</w:t>
            </w:r>
            <w:r>
              <w:rPr>
                <w:rFonts w:hint="eastAsia" w:cs="宋体" w:asciiTheme="minorEastAsia" w:hAnsiTheme="minorEastAsia" w:eastAsiaTheme="minorEastAsia"/>
                <w:sz w:val="21"/>
                <w:szCs w:val="18"/>
                <w:highlight w:val="none"/>
              </w:rPr>
              <w:t>）</w:t>
            </w:r>
            <w:r>
              <w:rPr>
                <w:rFonts w:hint="eastAsia" w:cs="宋体" w:asciiTheme="minorEastAsia" w:hAnsiTheme="minorEastAsia" w:eastAsiaTheme="minorEastAsia"/>
                <w:sz w:val="21"/>
                <w:szCs w:val="21"/>
                <w:highlight w:val="none"/>
              </w:rPr>
              <w:t>本项目不接受联合体比选申请。</w:t>
            </w:r>
          </w:p>
        </w:tc>
      </w:tr>
      <w:tr>
        <w:tblPrEx>
          <w:tblCellMar>
            <w:top w:w="0" w:type="dxa"/>
            <w:left w:w="108" w:type="dxa"/>
            <w:bottom w:w="0" w:type="dxa"/>
            <w:right w:w="108" w:type="dxa"/>
          </w:tblCellMar>
        </w:tblPrEx>
        <w:trPr>
          <w:trHeight w:val="1169"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6.1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比选申请人要求澄清比选文件</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对比选文件提出疑问的截止时间：</w:t>
            </w:r>
            <w:r>
              <w:rPr>
                <w:rFonts w:hint="eastAsia" w:asciiTheme="minorEastAsia" w:hAnsiTheme="minorEastAsia" w:eastAsiaTheme="minorEastAsia"/>
                <w:highlight w:val="none"/>
                <w:u w:val="single"/>
              </w:rPr>
              <w:t xml:space="preserve"> 202</w:t>
            </w:r>
            <w:r>
              <w:rPr>
                <w:rFonts w:asciiTheme="minorEastAsia" w:hAnsiTheme="minorEastAsia" w:eastAsiaTheme="minorEastAsia"/>
                <w:highlight w:val="none"/>
                <w:u w:val="single"/>
              </w:rPr>
              <w:t>4</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14</w:t>
            </w:r>
            <w:r>
              <w:rPr>
                <w:rFonts w:hint="eastAsia" w:asciiTheme="minorEastAsia" w:hAnsiTheme="minorEastAsia" w:eastAsiaTheme="minorEastAsia"/>
                <w:highlight w:val="none"/>
              </w:rPr>
              <w:t>日</w:t>
            </w:r>
            <w:r>
              <w:rPr>
                <w:rFonts w:hint="eastAsia" w:asciiTheme="minorEastAsia" w:hAnsiTheme="minorEastAsia" w:eastAsiaTheme="minorEastAsia"/>
                <w:highlight w:val="none"/>
                <w:u w:val="single"/>
                <w:lang w:val="en-US" w:eastAsia="zh-CN"/>
              </w:rPr>
              <w:t>18:00</w:t>
            </w:r>
            <w:r>
              <w:rPr>
                <w:rFonts w:hint="eastAsia" w:asciiTheme="minorEastAsia" w:hAnsiTheme="minorEastAsia" w:eastAsiaTheme="minorEastAsia"/>
                <w:highlight w:val="none"/>
              </w:rPr>
              <w:t>前。比选申请人不在规定期限内提出，比选人有权不予答复，或答复后比选申请截止时间由比选人确定是否顺延。</w:t>
            </w:r>
          </w:p>
          <w:p>
            <w:pPr>
              <w:rPr>
                <w:rFonts w:asciiTheme="minorEastAsia" w:hAnsiTheme="minorEastAsia" w:eastAsiaTheme="minorEastAsia"/>
                <w:highlight w:val="none"/>
                <w:u w:val="single"/>
              </w:rPr>
            </w:pPr>
            <w:r>
              <w:rPr>
                <w:rFonts w:hint="eastAsia" w:asciiTheme="minorEastAsia" w:hAnsiTheme="minorEastAsia" w:eastAsiaTheme="minorEastAsia"/>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比选文件澄清发布方式</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南宁轨道交通集团有限责任公司官网发布(http://www.nngdjt.com)</w:t>
            </w:r>
          </w:p>
        </w:tc>
      </w:tr>
      <w:tr>
        <w:tblPrEx>
          <w:tblCellMar>
            <w:top w:w="0" w:type="dxa"/>
            <w:left w:w="108" w:type="dxa"/>
            <w:bottom w:w="0" w:type="dxa"/>
            <w:right w:w="108" w:type="dxa"/>
          </w:tblCellMar>
        </w:tblPrEx>
        <w:trPr>
          <w:trHeight w:val="88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比选申请人确认收到澄清的方式</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10.1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构成比选申请文件的组成</w:t>
            </w:r>
          </w:p>
        </w:tc>
        <w:tc>
          <w:tcPr>
            <w:tcW w:w="7283"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比选申请文件组成部分：资格审查文件、价格文件、技术文件</w:t>
            </w:r>
          </w:p>
          <w:p>
            <w:pPr>
              <w:spacing w:line="276"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资格审查文件</w:t>
            </w:r>
          </w:p>
          <w:p>
            <w:pPr>
              <w:spacing w:line="276"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（1）法定代表人授权书（格式见A1）及法定代表人资格证明书（如无授权时，只需提供法定代表人资格证明书，格式见A2），法定代表人及被授权人身份证复印件；</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（2）比选申请人有效的营业执照复印件；</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（3）承诺书（格式见A3）；</w:t>
            </w:r>
          </w:p>
          <w:p>
            <w:pPr>
              <w:rPr>
                <w:rFonts w:cs="宋体"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）比选申请人资质证书复印件；</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（5）比选申请人认为应提交的其他比选申请资料（如有）。</w:t>
            </w:r>
          </w:p>
          <w:p>
            <w:pPr>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价格文件</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（1）比选申请报价一览表（格式见B1）；</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（2）比选申请函（格式见B2）；</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（3）比选申请报价表（格式见B3）；</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（4）比选申请人认为应提交的其他比选申请资料（如有）。</w:t>
            </w:r>
          </w:p>
          <w:p>
            <w:pPr>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技术文件</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（1）比选响应表（格式见C1）</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（2）比选申请人认为应提交的其他比选申请资料（如有）。</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12.1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比选申请报价</w:t>
            </w:r>
          </w:p>
        </w:tc>
        <w:tc>
          <w:tcPr>
            <w:tcW w:w="7283" w:type="dxa"/>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rPr>
                <w:rFonts w:cs="宋体" w:asciiTheme="minorEastAsia" w:hAnsiTheme="minorEastAsia" w:eastAsiaTheme="minorEastAsia"/>
                <w:highlight w:val="none"/>
              </w:rPr>
            </w:pPr>
            <w:r>
              <w:rPr>
                <w:rFonts w:hint="eastAsia" w:cs="宋体" w:asciiTheme="minorEastAsia" w:hAnsiTheme="minorEastAsia" w:eastAsiaTheme="minorEastAsia"/>
                <w:highlight w:val="none"/>
              </w:rPr>
              <w:t>（2）比选申请人须按第</w:t>
            </w:r>
            <w:r>
              <w:rPr>
                <w:rFonts w:hint="eastAsia" w:cs="宋体" w:asciiTheme="minorEastAsia" w:hAnsiTheme="minorEastAsia" w:eastAsiaTheme="minorEastAsia"/>
                <w:highlight w:val="none"/>
                <w:lang w:eastAsia="zh-CN"/>
              </w:rPr>
              <w:t>五</w:t>
            </w:r>
            <w:r>
              <w:rPr>
                <w:rFonts w:hint="eastAsia" w:cs="宋体" w:asciiTheme="minorEastAsia" w:hAnsiTheme="minorEastAsia" w:eastAsiaTheme="minorEastAsia"/>
                <w:highlight w:val="none"/>
              </w:rPr>
              <w:t>章《用户需求书》中的</w:t>
            </w:r>
            <w:r>
              <w:rPr>
                <w:rFonts w:hint="eastAsia" w:cs="宋体" w:asciiTheme="minorEastAsia" w:hAnsiTheme="minorEastAsia" w:eastAsiaTheme="minorEastAsia"/>
                <w:highlight w:val="none"/>
                <w:lang w:eastAsia="zh-CN"/>
              </w:rPr>
              <w:t>《电梯技术参数需求表》</w:t>
            </w:r>
            <w:r>
              <w:rPr>
                <w:rFonts w:hint="eastAsia" w:cs="宋体" w:asciiTheme="minorEastAsia" w:hAnsiTheme="minorEastAsia" w:eastAsiaTheme="minorEastAsia"/>
                <w:highlight w:val="none"/>
              </w:rPr>
              <w:t>的顺序填报比选申请报价表，不允许打乱顺序。</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14.1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比选申请保证金</w:t>
            </w:r>
          </w:p>
        </w:tc>
        <w:tc>
          <w:tcPr>
            <w:tcW w:w="728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highlight w:val="none"/>
                <w:lang w:eastAsia="zh-CN"/>
              </w:rPr>
            </w:pPr>
            <w:r>
              <w:rPr>
                <w:rFonts w:hint="eastAsia" w:ascii="宋体" w:hAnsi="宋体" w:cs="宋体" w:eastAsiaTheme="minorEastAsia"/>
                <w:szCs w:val="21"/>
                <w:highlight w:val="none"/>
                <w:lang w:val="en-US" w:eastAsia="zh-CN"/>
              </w:rPr>
              <w:t>无</w:t>
            </w:r>
          </w:p>
        </w:tc>
      </w:tr>
      <w:tr>
        <w:tblPrEx>
          <w:tblCellMar>
            <w:top w:w="0" w:type="dxa"/>
            <w:left w:w="108" w:type="dxa"/>
            <w:bottom w:w="0" w:type="dxa"/>
            <w:right w:w="108" w:type="dxa"/>
          </w:tblCellMar>
        </w:tblPrEx>
        <w:trPr>
          <w:trHeight w:val="386" w:hRule="atLeast"/>
        </w:trPr>
        <w:tc>
          <w:tcPr>
            <w:tcW w:w="847"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15.1</w:t>
            </w:r>
          </w:p>
        </w:tc>
        <w:tc>
          <w:tcPr>
            <w:tcW w:w="1843" w:type="dxa"/>
            <w:tcBorders>
              <w:top w:val="single" w:color="auto" w:sz="4" w:space="0"/>
              <w:left w:val="nil"/>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比选申请有效期</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16.1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比选申请文件副本份数</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28.1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比选申请截止时间</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bookmarkStart w:id="6" w:name="CgwjmbEntity：KBSJ3_0"/>
            <w:r>
              <w:rPr>
                <w:rFonts w:asciiTheme="minorEastAsia" w:hAnsiTheme="minorEastAsia" w:eastAsiaTheme="minorEastAsia"/>
                <w:highlight w:val="none"/>
              </w:rPr>
              <w:t xml:space="preserve"> </w:t>
            </w:r>
            <w:r>
              <w:rPr>
                <w:rFonts w:asciiTheme="minorEastAsia" w:hAnsiTheme="minorEastAsia" w:eastAsiaTheme="minorEastAsia"/>
                <w:highlight w:val="none"/>
                <w:u w:val="none"/>
              </w:rPr>
              <w:t xml:space="preserve"> </w:t>
            </w:r>
            <w:r>
              <w:rPr>
                <w:rFonts w:hint="eastAsia" w:asciiTheme="minorEastAsia" w:hAnsiTheme="minorEastAsia" w:eastAsiaTheme="minorEastAsia"/>
                <w:highlight w:val="none"/>
                <w:u w:val="none"/>
              </w:rPr>
              <w:t>202</w:t>
            </w:r>
            <w:r>
              <w:rPr>
                <w:rFonts w:asciiTheme="minorEastAsia" w:hAnsiTheme="minorEastAsia" w:eastAsiaTheme="minorEastAsia"/>
                <w:highlight w:val="none"/>
                <w:u w:val="none"/>
              </w:rPr>
              <w:t>4</w:t>
            </w:r>
            <w:r>
              <w:rPr>
                <w:rFonts w:hint="eastAsia" w:asciiTheme="minorEastAsia" w:hAnsiTheme="minorEastAsia" w:eastAsiaTheme="minorEastAsia"/>
                <w:highlight w:val="none"/>
              </w:rPr>
              <w:t>年</w:t>
            </w:r>
            <w:bookmarkEnd w:id="6"/>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15</w:t>
            </w:r>
            <w:r>
              <w:rPr>
                <w:rFonts w:hint="eastAsia" w:asciiTheme="minorEastAsia" w:hAnsiTheme="minorEastAsia" w:eastAsiaTheme="minorEastAsia"/>
                <w:highlight w:val="none"/>
              </w:rPr>
              <w:t>日</w:t>
            </w:r>
            <w:r>
              <w:rPr>
                <w:rFonts w:hint="eastAsia" w:asciiTheme="minorEastAsia" w:hAnsiTheme="minorEastAsia" w:eastAsiaTheme="minorEastAsia"/>
                <w:highlight w:val="none"/>
                <w:lang w:val="en-US" w:eastAsia="zh-CN"/>
              </w:rPr>
              <w:t>17</w:t>
            </w:r>
            <w:r>
              <w:rPr>
                <w:rFonts w:hint="eastAsia" w:asciiTheme="minorEastAsia" w:hAnsiTheme="minorEastAsia" w:eastAsiaTheme="minorEastAsia"/>
                <w:highlight w:val="none"/>
              </w:rPr>
              <w:t>时</w:t>
            </w:r>
          </w:p>
        </w:tc>
      </w:tr>
      <w:tr>
        <w:tblPrEx>
          <w:tblCellMar>
            <w:top w:w="0" w:type="dxa"/>
            <w:left w:w="108" w:type="dxa"/>
            <w:bottom w:w="0" w:type="dxa"/>
            <w:right w:w="108" w:type="dxa"/>
          </w:tblCellMar>
        </w:tblPrEx>
        <w:trPr>
          <w:trHeight w:val="66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递交比选申请文件地点</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名称：南宁市金盾道路清障有限责任公司</w:t>
            </w:r>
          </w:p>
          <w:p>
            <w:pPr>
              <w:rPr>
                <w:rFonts w:hint="default" w:eastAsia="宋体" w:asciiTheme="minorEastAsia" w:hAnsiTheme="minorEastAsia"/>
                <w:highlight w:val="none"/>
                <w:lang w:val="en-US" w:eastAsia="zh-CN"/>
              </w:rPr>
            </w:pPr>
            <w:r>
              <w:rPr>
                <w:rFonts w:hint="eastAsia" w:asciiTheme="minorEastAsia" w:hAnsiTheme="minorEastAsia" w:eastAsiaTheme="minorEastAsia"/>
                <w:highlight w:val="none"/>
              </w:rPr>
              <w:t>地址：</w:t>
            </w:r>
            <w:r>
              <w:rPr>
                <w:rFonts w:hint="eastAsia" w:ascii="宋体" w:hAnsi="宋体"/>
                <w:highlight w:val="none"/>
              </w:rPr>
              <w:t>广西南宁市江南区友谊路2</w:t>
            </w:r>
            <w:r>
              <w:rPr>
                <w:rFonts w:ascii="宋体" w:hAnsi="宋体"/>
                <w:highlight w:val="none"/>
              </w:rPr>
              <w:t>1-6</w:t>
            </w:r>
            <w:r>
              <w:rPr>
                <w:rFonts w:hint="eastAsia" w:ascii="宋体" w:hAnsi="宋体"/>
                <w:highlight w:val="none"/>
              </w:rPr>
              <w:t>号友谊机动车检测站办公楼3楼</w:t>
            </w:r>
            <w:r>
              <w:rPr>
                <w:rFonts w:hint="eastAsia" w:ascii="宋体" w:hAnsi="宋体"/>
                <w:highlight w:val="none"/>
                <w:lang w:val="en-US" w:eastAsia="zh-CN"/>
              </w:rPr>
              <w:t>314</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22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评审方法</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最低评审价法（评审价以</w:t>
            </w:r>
            <w:r>
              <w:rPr>
                <w:rFonts w:hint="eastAsia" w:asciiTheme="minorEastAsia" w:hAnsiTheme="minorEastAsia" w:eastAsiaTheme="minorEastAsia"/>
                <w:highlight w:val="none"/>
                <w:lang w:val="en-US" w:eastAsia="zh-CN"/>
              </w:rPr>
              <w:t>不</w:t>
            </w:r>
            <w:r>
              <w:rPr>
                <w:rFonts w:hint="eastAsia" w:asciiTheme="minorEastAsia" w:hAnsiTheme="minorEastAsia" w:eastAsiaTheme="minorEastAsia"/>
                <w:highlight w:val="none"/>
              </w:rPr>
              <w:t>含税总报价为基准）</w:t>
            </w:r>
          </w:p>
        </w:tc>
      </w:tr>
      <w:tr>
        <w:tblPrEx>
          <w:tblCellMar>
            <w:top w:w="0" w:type="dxa"/>
            <w:left w:w="108" w:type="dxa"/>
            <w:bottom w:w="0" w:type="dxa"/>
            <w:right w:w="108" w:type="dxa"/>
          </w:tblCellMar>
        </w:tblPrEx>
        <w:trPr>
          <w:trHeight w:val="579"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34.4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放弃中选人资格</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36.1</w:t>
            </w:r>
          </w:p>
        </w:tc>
        <w:tc>
          <w:tcPr>
            <w:tcW w:w="1843" w:type="dxa"/>
            <w:tcBorders>
              <w:top w:val="single" w:color="auto" w:sz="4" w:space="0"/>
              <w:left w:val="nil"/>
              <w:right w:val="single" w:color="auto" w:sz="4" w:space="0"/>
            </w:tcBorders>
            <w:vAlign w:val="center"/>
          </w:tcPr>
          <w:p>
            <w:pPr>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履约</w:t>
            </w:r>
            <w:r>
              <w:rPr>
                <w:rFonts w:hint="eastAsia" w:asciiTheme="minorEastAsia" w:hAnsiTheme="minorEastAsia" w:eastAsiaTheme="minorEastAsia"/>
                <w:highlight w:val="none"/>
                <w:lang w:val="en-US" w:eastAsia="zh-CN"/>
              </w:rPr>
              <w:t>保证金</w:t>
            </w:r>
          </w:p>
        </w:tc>
        <w:tc>
          <w:tcPr>
            <w:tcW w:w="7283" w:type="dxa"/>
            <w:tcBorders>
              <w:top w:val="single" w:color="auto" w:sz="4" w:space="0"/>
              <w:left w:val="nil"/>
              <w:bottom w:val="single" w:color="auto" w:sz="4" w:space="0"/>
              <w:right w:val="single" w:color="auto" w:sz="4" w:space="0"/>
            </w:tcBorders>
            <w:vAlign w:val="center"/>
          </w:tcPr>
          <w:p>
            <w:pPr>
              <w:rPr>
                <w:rFonts w:ascii="宋体" w:hAnsi="宋体"/>
                <w:kern w:val="0"/>
                <w:szCs w:val="21"/>
                <w:highlight w:val="none"/>
              </w:rPr>
            </w:pPr>
            <w:r>
              <w:rPr>
                <w:rFonts w:hint="eastAsia" w:asciiTheme="minorEastAsia" w:hAnsiTheme="minorEastAsia" w:eastAsiaTheme="minorEastAsia"/>
                <w:highlight w:val="none"/>
              </w:rPr>
              <w:t>履约</w:t>
            </w:r>
            <w:r>
              <w:rPr>
                <w:rFonts w:hint="eastAsia" w:asciiTheme="minorEastAsia" w:hAnsiTheme="minorEastAsia" w:eastAsiaTheme="minorEastAsia"/>
                <w:highlight w:val="none"/>
                <w:lang w:val="en-US" w:eastAsia="zh-CN"/>
              </w:rPr>
              <w:t>保证金</w:t>
            </w:r>
            <w:r>
              <w:rPr>
                <w:rFonts w:hint="eastAsia" w:ascii="宋体" w:hAnsi="宋体"/>
                <w:kern w:val="0"/>
                <w:szCs w:val="21"/>
                <w:highlight w:val="none"/>
              </w:rPr>
              <w:t>额：中选金额的</w:t>
            </w:r>
            <w:r>
              <w:rPr>
                <w:rFonts w:ascii="宋体" w:hAnsi="宋体"/>
                <w:kern w:val="0"/>
                <w:szCs w:val="21"/>
                <w:highlight w:val="none"/>
              </w:rPr>
              <w:t>5%</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履约保证金的形式：转账或电汇或银行保函；</w:t>
            </w:r>
          </w:p>
          <w:p>
            <w:pPr>
              <w:spacing w:before="0" w:after="0" w:afterAutospacing="0"/>
              <w:ind w:left="0" w:right="0" w:firstLine="0"/>
              <w:rPr>
                <w:rFonts w:hint="eastAsia" w:ascii="宋体" w:hAnsi="宋体"/>
                <w:highlight w:val="none"/>
                <w:lang w:val="en-US" w:eastAsia="zh-CN"/>
              </w:rPr>
            </w:pPr>
            <w:r>
              <w:rPr>
                <w:rFonts w:hint="eastAsia" w:ascii="宋体" w:hAnsi="宋体"/>
                <w:color w:val="auto"/>
                <w:highlight w:val="none"/>
              </w:rPr>
              <w:t>递交地点：</w:t>
            </w:r>
            <w:r>
              <w:rPr>
                <w:rFonts w:hint="eastAsia" w:ascii="宋体" w:hAnsi="宋体"/>
                <w:highlight w:val="none"/>
              </w:rPr>
              <w:t>广西南宁市江南区友谊路2</w:t>
            </w:r>
            <w:r>
              <w:rPr>
                <w:rFonts w:ascii="宋体" w:hAnsi="宋体"/>
                <w:highlight w:val="none"/>
              </w:rPr>
              <w:t>1-6</w:t>
            </w:r>
            <w:r>
              <w:rPr>
                <w:rFonts w:hint="eastAsia" w:ascii="宋体" w:hAnsi="宋体"/>
                <w:highlight w:val="none"/>
              </w:rPr>
              <w:t>号友谊机动车检测站办公楼3楼</w:t>
            </w:r>
            <w:r>
              <w:rPr>
                <w:rFonts w:hint="eastAsia" w:ascii="宋体" w:hAnsi="宋体"/>
                <w:highlight w:val="none"/>
                <w:lang w:val="en-US" w:eastAsia="zh-CN"/>
              </w:rPr>
              <w:t>314</w:t>
            </w:r>
          </w:p>
          <w:p>
            <w:pPr>
              <w:pStyle w:val="2"/>
              <w:rPr>
                <w:rFonts w:hint="eastAsia" w:hAnsi="宋体"/>
                <w:highlight w:val="none"/>
                <w:lang w:val="en-US" w:eastAsia="zh-CN"/>
              </w:rPr>
            </w:pPr>
            <w:r>
              <w:rPr>
                <w:rFonts w:hint="eastAsia" w:hAnsi="宋体"/>
                <w:highlight w:val="none"/>
                <w:lang w:val="en-US" w:eastAsia="zh-CN"/>
              </w:rPr>
              <w:t>履约保证金收款账户：</w:t>
            </w:r>
          </w:p>
          <w:p>
            <w:pPr>
              <w:pStyle w:val="3"/>
              <w:numPr>
                <w:ilvl w:val="0"/>
                <w:numId w:val="2"/>
              </w:numPr>
              <w:ind w:left="0" w:firstLine="0"/>
              <w:rPr>
                <w:rFonts w:hint="eastAsia" w:hAnsi="宋体"/>
                <w:b w:val="0"/>
                <w:bCs w:val="0"/>
                <w:highlight w:val="none"/>
                <w:lang w:val="en-US" w:eastAsia="zh-CN"/>
              </w:rPr>
            </w:pPr>
            <w:r>
              <w:rPr>
                <w:rFonts w:hint="eastAsia" w:hAnsi="宋体"/>
                <w:b w:val="0"/>
                <w:bCs w:val="0"/>
                <w:highlight w:val="none"/>
                <w:lang w:val="en-US" w:eastAsia="zh-CN"/>
              </w:rPr>
              <w:t>账户名称：南宁市金盾道路清障有限责任公司</w:t>
            </w:r>
          </w:p>
          <w:p>
            <w:pPr>
              <w:pStyle w:val="3"/>
              <w:numPr>
                <w:ilvl w:val="0"/>
                <w:numId w:val="2"/>
              </w:numPr>
              <w:ind w:left="0" w:firstLine="0"/>
              <w:rPr>
                <w:rFonts w:hint="default" w:ascii="Calibri" w:hAnsi="宋体"/>
                <w:b w:val="0"/>
                <w:bCs w:val="0"/>
                <w:highlight w:val="none"/>
              </w:rPr>
            </w:pPr>
            <w:r>
              <w:rPr>
                <w:rFonts w:hint="eastAsia" w:hAnsi="宋体"/>
                <w:b w:val="0"/>
                <w:bCs w:val="0"/>
                <w:highlight w:val="none"/>
                <w:lang w:val="en-US" w:eastAsia="zh-CN"/>
              </w:rPr>
              <w:t>开户行：中国建设银行股份有限公司南宁亭洪路支行</w:t>
            </w:r>
          </w:p>
          <w:p>
            <w:pPr>
              <w:pStyle w:val="3"/>
              <w:numPr>
                <w:ilvl w:val="0"/>
                <w:numId w:val="2"/>
              </w:numPr>
              <w:ind w:left="0" w:firstLine="0"/>
              <w:rPr>
                <w:rFonts w:hint="default" w:ascii="Calibri" w:hAnsi="宋体"/>
                <w:color w:val="auto"/>
                <w:highlight w:val="none"/>
              </w:rPr>
            </w:pPr>
            <w:r>
              <w:rPr>
                <w:rFonts w:hint="eastAsia" w:hAnsi="宋体"/>
                <w:b w:val="0"/>
                <w:bCs w:val="0"/>
                <w:highlight w:val="none"/>
                <w:lang w:val="en-US" w:eastAsia="zh-CN"/>
              </w:rPr>
              <w:t>银行账号：4500 1604 9530 5050 191</w:t>
            </w:r>
            <w:r>
              <w:rPr>
                <w:rFonts w:hint="eastAsia" w:hAnsi="宋体"/>
                <w:highlight w:val="none"/>
                <w:lang w:val="en-US" w:eastAsia="zh-CN"/>
              </w:rPr>
              <w:t>0</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备注：</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1.提交履约保证金的时间：应在合同签订前且最迟应在</w:t>
            </w:r>
            <w:r>
              <w:rPr>
                <w:rFonts w:hint="eastAsia" w:ascii="宋体" w:hAnsi="宋体"/>
                <w:color w:val="auto"/>
                <w:highlight w:val="none"/>
                <w:lang w:eastAsia="zh-CN"/>
              </w:rPr>
              <w:t>中选</w:t>
            </w:r>
            <w:r>
              <w:rPr>
                <w:rFonts w:hint="eastAsia" w:ascii="宋体" w:hAnsi="宋体"/>
                <w:color w:val="auto"/>
                <w:highlight w:val="none"/>
              </w:rPr>
              <w:t>通知书发出之日起20日内。</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2.若</w:t>
            </w:r>
            <w:r>
              <w:rPr>
                <w:rFonts w:hint="eastAsia" w:ascii="宋体" w:hAnsi="宋体"/>
                <w:color w:val="auto"/>
                <w:highlight w:val="none"/>
                <w:lang w:eastAsia="zh-CN"/>
              </w:rPr>
              <w:t>中选</w:t>
            </w:r>
            <w:r>
              <w:rPr>
                <w:rFonts w:hint="eastAsia" w:ascii="宋体" w:hAnsi="宋体"/>
                <w:color w:val="auto"/>
                <w:highlight w:val="none"/>
              </w:rPr>
              <w:t>人未在规定时间内足额缴纳履约保证金，</w:t>
            </w:r>
            <w:r>
              <w:rPr>
                <w:rFonts w:hint="eastAsia" w:ascii="宋体" w:hAnsi="宋体"/>
                <w:color w:val="auto"/>
                <w:highlight w:val="none"/>
                <w:lang w:val="en-US" w:eastAsia="zh-CN"/>
              </w:rPr>
              <w:t>比选人</w:t>
            </w:r>
            <w:r>
              <w:rPr>
                <w:rFonts w:hint="eastAsia" w:ascii="宋体" w:hAnsi="宋体"/>
                <w:color w:val="auto"/>
                <w:highlight w:val="none"/>
              </w:rPr>
              <w:t>有权取消其</w:t>
            </w:r>
            <w:r>
              <w:rPr>
                <w:rFonts w:hint="eastAsia" w:ascii="宋体" w:hAnsi="宋体"/>
                <w:color w:val="auto"/>
                <w:highlight w:val="none"/>
                <w:lang w:eastAsia="zh-CN"/>
              </w:rPr>
              <w:t>中选</w:t>
            </w:r>
            <w:r>
              <w:rPr>
                <w:rFonts w:hint="eastAsia" w:ascii="宋体" w:hAnsi="宋体"/>
                <w:color w:val="auto"/>
                <w:highlight w:val="none"/>
              </w:rPr>
              <w:t>资格。</w:t>
            </w:r>
          </w:p>
          <w:p>
            <w:pPr>
              <w:pStyle w:val="2"/>
              <w:rPr>
                <w:highlight w:val="none"/>
              </w:rPr>
            </w:pPr>
            <w:r>
              <w:rPr>
                <w:rFonts w:hint="eastAsia" w:ascii="宋体" w:hAnsi="宋体"/>
                <w:color w:val="auto"/>
                <w:highlight w:val="none"/>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37.5</w:t>
            </w:r>
          </w:p>
        </w:tc>
        <w:tc>
          <w:tcPr>
            <w:tcW w:w="1843" w:type="dxa"/>
            <w:vMerge w:val="restart"/>
            <w:tcBorders>
              <w:top w:val="single" w:color="auto" w:sz="4" w:space="0"/>
              <w:left w:val="nil"/>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需要补充的其他内容</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1.比选申请人在递交比选申请文件时，同时递交比选申请文件电子版。</w:t>
            </w:r>
          </w:p>
          <w:p>
            <w:pPr>
              <w:rPr>
                <w:rFonts w:asciiTheme="minorEastAsia" w:hAnsiTheme="minorEastAsia" w:eastAsiaTheme="minorEastAsia"/>
                <w:highlight w:val="none"/>
              </w:rPr>
            </w:pPr>
            <w:r>
              <w:rPr>
                <w:rFonts w:hint="eastAsia" w:asciiTheme="minorEastAsia" w:hAnsiTheme="minorEastAsia" w:eastAsiaTheme="minorEastAsia"/>
                <w:highlight w:val="none"/>
              </w:rPr>
              <w:t>2.比选申请文件电子版内容：</w:t>
            </w:r>
            <w:r>
              <w:rPr>
                <w:rFonts w:hint="eastAsia" w:cs="Arial" w:asciiTheme="minorEastAsia" w:hAnsiTheme="minorEastAsia" w:eastAsiaTheme="minorEastAsia"/>
                <w:highlight w:val="none"/>
              </w:rPr>
              <w:t>资格审查文件、价格文件和技术文件</w:t>
            </w:r>
          </w:p>
          <w:p>
            <w:pPr>
              <w:rPr>
                <w:rFonts w:asciiTheme="minorEastAsia" w:hAnsiTheme="minorEastAsia" w:eastAsiaTheme="minorEastAsia"/>
                <w:highlight w:val="none"/>
              </w:rPr>
            </w:pPr>
            <w:r>
              <w:rPr>
                <w:rFonts w:asciiTheme="minorEastAsia" w:hAnsiTheme="minorEastAsia" w:eastAsiaTheme="minorEastAsia"/>
                <w:highlight w:val="none"/>
              </w:rPr>
              <w:t>3.</w:t>
            </w:r>
            <w:r>
              <w:rPr>
                <w:rFonts w:hint="eastAsia" w:asciiTheme="minorEastAsia" w:hAnsiTheme="minorEastAsia" w:eastAsiaTheme="minorEastAsia"/>
                <w:highlight w:val="none"/>
              </w:rPr>
              <w:t>比选申请文件电子版份数：1份。</w:t>
            </w:r>
          </w:p>
          <w:p>
            <w:pPr>
              <w:rPr>
                <w:rFonts w:asciiTheme="minorEastAsia" w:hAnsiTheme="minorEastAsia" w:eastAsiaTheme="minorEastAsia"/>
                <w:highlight w:val="none"/>
              </w:rPr>
            </w:pPr>
            <w:r>
              <w:rPr>
                <w:rFonts w:asciiTheme="minorEastAsia" w:hAnsiTheme="minorEastAsia" w:eastAsiaTheme="minorEastAsia"/>
                <w:highlight w:val="none"/>
              </w:rPr>
              <w:t>4.</w:t>
            </w:r>
            <w:r>
              <w:rPr>
                <w:rFonts w:hint="eastAsia" w:asciiTheme="minorEastAsia" w:hAnsiTheme="minorEastAsia" w:eastAsiaTheme="minorEastAsia"/>
                <w:highlight w:val="none"/>
              </w:rPr>
              <w:t>比选申请文件电子版形式：每份包括</w:t>
            </w:r>
            <w:r>
              <w:rPr>
                <w:rFonts w:asciiTheme="minorEastAsia" w:hAnsiTheme="minorEastAsia" w:eastAsiaTheme="minorEastAsia"/>
                <w:highlight w:val="none"/>
              </w:rPr>
              <w:t>office</w:t>
            </w:r>
            <w:r>
              <w:rPr>
                <w:rFonts w:hint="eastAsia" w:asciiTheme="minorEastAsia" w:hAnsiTheme="minorEastAsia" w:eastAsiaTheme="minorEastAsia"/>
                <w:highlight w:val="none"/>
              </w:rPr>
              <w:t>版本（文本内容为</w:t>
            </w:r>
            <w:r>
              <w:rPr>
                <w:rFonts w:asciiTheme="minorEastAsia" w:hAnsiTheme="minorEastAsia" w:eastAsiaTheme="minorEastAsia"/>
                <w:highlight w:val="none"/>
              </w:rPr>
              <w:t>Word</w:t>
            </w:r>
            <w:r>
              <w:rPr>
                <w:rFonts w:hint="eastAsia" w:asciiTheme="minorEastAsia" w:hAnsiTheme="minorEastAsia" w:eastAsiaTheme="minorEastAsia"/>
                <w:highlight w:val="none"/>
              </w:rPr>
              <w:t>格式，工程量清单为</w:t>
            </w:r>
            <w:r>
              <w:rPr>
                <w:rFonts w:asciiTheme="minorEastAsia" w:hAnsiTheme="minorEastAsia" w:eastAsiaTheme="minorEastAsia"/>
                <w:highlight w:val="none"/>
              </w:rPr>
              <w:t>word</w:t>
            </w:r>
            <w:r>
              <w:rPr>
                <w:rFonts w:hint="eastAsia" w:asciiTheme="minorEastAsia" w:hAnsiTheme="minorEastAsia" w:eastAsiaTheme="minorEastAsia"/>
                <w:highlight w:val="none"/>
              </w:rPr>
              <w:t>或</w:t>
            </w:r>
            <w:r>
              <w:rPr>
                <w:rFonts w:asciiTheme="minorEastAsia" w:hAnsiTheme="minorEastAsia" w:eastAsiaTheme="minorEastAsia"/>
                <w:highlight w:val="none"/>
              </w:rPr>
              <w:t>Excel</w:t>
            </w:r>
            <w:r>
              <w:rPr>
                <w:rFonts w:hint="eastAsia" w:asciiTheme="minorEastAsia" w:hAnsiTheme="minorEastAsia" w:eastAsiaTheme="minorEastAsia"/>
                <w:highlight w:val="none"/>
              </w:rPr>
              <w:t>格式）的全套比选申请文件</w:t>
            </w:r>
            <w:r>
              <w:rPr>
                <w:rFonts w:asciiTheme="minorEastAsia" w:hAnsiTheme="minorEastAsia" w:eastAsiaTheme="minorEastAsia"/>
                <w:highlight w:val="none"/>
              </w:rPr>
              <w:t>(</w:t>
            </w:r>
            <w:r>
              <w:rPr>
                <w:rFonts w:hint="eastAsia" w:cs="Arial" w:asciiTheme="minorEastAsia" w:hAnsiTheme="minorEastAsia" w:eastAsiaTheme="minorEastAsia"/>
                <w:highlight w:val="none"/>
              </w:rPr>
              <w:t>资格审查文件、价格文件和技术文件</w:t>
            </w:r>
            <w:r>
              <w:rPr>
                <w:rFonts w:asciiTheme="minorEastAsia" w:hAnsiTheme="minorEastAsia" w:eastAsiaTheme="minorEastAsia"/>
                <w:highlight w:val="none"/>
              </w:rPr>
              <w:t>)</w:t>
            </w:r>
            <w:r>
              <w:rPr>
                <w:rFonts w:hint="eastAsia" w:asciiTheme="minorEastAsia" w:hAnsiTheme="minorEastAsia" w:eastAsiaTheme="minorEastAsia"/>
                <w:highlight w:val="none"/>
              </w:rPr>
              <w:t>和盖章后的全套比选申请文件</w:t>
            </w:r>
            <w:r>
              <w:rPr>
                <w:rFonts w:asciiTheme="minorEastAsia" w:hAnsiTheme="minorEastAsia" w:eastAsiaTheme="minorEastAsia"/>
                <w:highlight w:val="none"/>
              </w:rPr>
              <w:t>(</w:t>
            </w:r>
            <w:r>
              <w:rPr>
                <w:rFonts w:hint="eastAsia" w:cs="Arial" w:asciiTheme="minorEastAsia" w:hAnsiTheme="minorEastAsia" w:eastAsiaTheme="minorEastAsia"/>
                <w:highlight w:val="none"/>
              </w:rPr>
              <w:t>资格审查文件、价格文件和技术文件</w:t>
            </w:r>
            <w:r>
              <w:rPr>
                <w:rFonts w:asciiTheme="minorEastAsia" w:hAnsiTheme="minorEastAsia" w:eastAsiaTheme="minorEastAsia"/>
                <w:highlight w:val="none"/>
              </w:rPr>
              <w:t>)</w:t>
            </w:r>
            <w:r>
              <w:rPr>
                <w:rFonts w:hint="eastAsia" w:asciiTheme="minorEastAsia" w:hAnsiTheme="minorEastAsia" w:eastAsiaTheme="minorEastAsia"/>
                <w:highlight w:val="none"/>
              </w:rPr>
              <w:t>正本的</w:t>
            </w:r>
            <w:r>
              <w:rPr>
                <w:rFonts w:asciiTheme="minorEastAsia" w:hAnsiTheme="minorEastAsia" w:eastAsiaTheme="minorEastAsia"/>
                <w:highlight w:val="none"/>
              </w:rPr>
              <w:t>PDF</w:t>
            </w:r>
            <w:r>
              <w:rPr>
                <w:rFonts w:hint="eastAsia" w:asciiTheme="minorEastAsia" w:hAnsiTheme="minorEastAsia" w:eastAsiaTheme="minorEastAsia"/>
                <w:highlight w:val="none"/>
              </w:rPr>
              <w:t>版本扫描件。</w:t>
            </w:r>
          </w:p>
          <w:p>
            <w:pPr>
              <w:rPr>
                <w:rFonts w:asciiTheme="minorEastAsia" w:hAnsiTheme="minorEastAsia" w:eastAsiaTheme="minorEastAsia"/>
                <w:highlight w:val="none"/>
              </w:rPr>
            </w:pPr>
            <w:r>
              <w:rPr>
                <w:rFonts w:hint="eastAsia" w:asciiTheme="minorEastAsia" w:hAnsiTheme="minorEastAsia" w:eastAsiaTheme="minorEastAsia"/>
                <w:highlight w:val="none"/>
              </w:rPr>
              <w:t>保存介质：</w:t>
            </w:r>
            <w:r>
              <w:rPr>
                <w:rFonts w:asciiTheme="minorEastAsia" w:hAnsiTheme="minorEastAsia" w:eastAsiaTheme="minorEastAsia"/>
                <w:highlight w:val="none"/>
              </w:rPr>
              <w:t>U</w:t>
            </w:r>
            <w:r>
              <w:rPr>
                <w:rFonts w:hint="eastAsia" w:asciiTheme="minorEastAsia" w:hAnsiTheme="minorEastAsia" w:eastAsiaTheme="minorEastAsia"/>
                <w:highlight w:val="none"/>
              </w:rPr>
              <w:t>盘。</w:t>
            </w:r>
          </w:p>
          <w:p>
            <w:pPr>
              <w:rPr>
                <w:rFonts w:asciiTheme="minorEastAsia" w:hAnsiTheme="minorEastAsia" w:eastAsiaTheme="minorEastAsia"/>
                <w:highlight w:val="none"/>
              </w:rPr>
            </w:pPr>
            <w:r>
              <w:rPr>
                <w:rFonts w:asciiTheme="minorEastAsia" w:hAnsiTheme="minorEastAsia" w:eastAsiaTheme="minorEastAsia"/>
                <w:highlight w:val="none"/>
              </w:rPr>
              <w:t>5</w:t>
            </w:r>
            <w:r>
              <w:rPr>
                <w:rFonts w:hint="eastAsia" w:asciiTheme="minorEastAsia" w:hAnsiTheme="minorEastAsia" w:eastAsiaTheme="minorEastAsia"/>
                <w:highlight w:val="none"/>
              </w:rPr>
              <w:t>.</w:t>
            </w:r>
            <w:r>
              <w:rPr>
                <w:rFonts w:asciiTheme="minorEastAsia" w:hAnsiTheme="minorEastAsia" w:eastAsiaTheme="minorEastAsia"/>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rPr>
                <w:rFonts w:asciiTheme="minorEastAsia" w:hAnsiTheme="minorEastAsia" w:eastAsiaTheme="minorEastAsia"/>
                <w:highlight w:val="none"/>
              </w:rPr>
            </w:pPr>
          </w:p>
        </w:tc>
        <w:tc>
          <w:tcPr>
            <w:tcW w:w="1843" w:type="dxa"/>
            <w:vMerge w:val="continue"/>
            <w:tcBorders>
              <w:left w:val="nil"/>
              <w:right w:val="single" w:color="auto" w:sz="4" w:space="0"/>
            </w:tcBorders>
            <w:vAlign w:val="center"/>
          </w:tcPr>
          <w:p>
            <w:pPr>
              <w:rPr>
                <w:rFonts w:asciiTheme="minorEastAsia" w:hAnsiTheme="minorEastAsia" w:eastAsiaTheme="minorEastAsia"/>
                <w:highlight w:val="none"/>
              </w:rPr>
            </w:pP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1.本比选文件中描述比选申请人的</w:t>
            </w:r>
            <w:r>
              <w:rPr>
                <w:rFonts w:asciiTheme="minorEastAsia" w:hAnsiTheme="minorEastAsia" w:eastAsiaTheme="minorEastAsia"/>
                <w:highlight w:val="none"/>
              </w:rPr>
              <w:t>“</w:t>
            </w:r>
            <w:r>
              <w:rPr>
                <w:rFonts w:hint="eastAsia" w:asciiTheme="minorEastAsia" w:hAnsiTheme="minorEastAsia" w:eastAsiaTheme="minorEastAsia"/>
                <w:highlight w:val="none"/>
              </w:rPr>
              <w:t>公章</w:t>
            </w:r>
            <w:r>
              <w:rPr>
                <w:rFonts w:asciiTheme="minorEastAsia" w:hAnsiTheme="minorEastAsia" w:eastAsiaTheme="minorEastAsia"/>
                <w:highlight w:val="none"/>
              </w:rPr>
              <w:t>”</w:t>
            </w:r>
            <w:r>
              <w:rPr>
                <w:rFonts w:hint="eastAsia" w:asciiTheme="minorEastAsia" w:hAnsiTheme="minorEastAsia" w:eastAsiaTheme="minorEastAsia"/>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rPr>
                <w:rFonts w:asciiTheme="minorEastAsia" w:hAnsiTheme="minorEastAsia" w:eastAsiaTheme="minorEastAsia"/>
                <w:highlight w:val="none"/>
              </w:rPr>
            </w:pPr>
            <w:r>
              <w:rPr>
                <w:rFonts w:hint="eastAsia" w:asciiTheme="minorEastAsia" w:hAnsiTheme="minorEastAsia" w:eastAsiaTheme="minorEastAsia"/>
                <w:highlight w:val="none"/>
              </w:rPr>
              <w:t>2.本比选文件中描述比选申请人的</w:t>
            </w:r>
            <w:r>
              <w:rPr>
                <w:rFonts w:asciiTheme="minorEastAsia" w:hAnsiTheme="minorEastAsia" w:eastAsiaTheme="minorEastAsia"/>
                <w:highlight w:val="none"/>
              </w:rPr>
              <w:t>“</w:t>
            </w:r>
            <w:r>
              <w:rPr>
                <w:rFonts w:hint="eastAsia" w:asciiTheme="minorEastAsia" w:hAnsiTheme="minorEastAsia" w:eastAsiaTheme="minorEastAsia"/>
                <w:highlight w:val="none"/>
              </w:rPr>
              <w:t>签字</w:t>
            </w:r>
            <w:r>
              <w:rPr>
                <w:rFonts w:asciiTheme="minorEastAsia" w:hAnsiTheme="minorEastAsia" w:eastAsiaTheme="minorEastAsia"/>
                <w:highlight w:val="none"/>
              </w:rPr>
              <w:t>”</w:t>
            </w:r>
            <w:r>
              <w:rPr>
                <w:rFonts w:hint="eastAsia" w:asciiTheme="minorEastAsia" w:hAnsiTheme="minorEastAsia" w:eastAsiaTheme="minorEastAsia"/>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highlight w:val="none"/>
              </w:rPr>
            </w:pPr>
          </w:p>
        </w:tc>
        <w:tc>
          <w:tcPr>
            <w:tcW w:w="1843" w:type="dxa"/>
            <w:vMerge w:val="continue"/>
            <w:tcBorders>
              <w:left w:val="nil"/>
              <w:bottom w:val="single" w:color="auto" w:sz="4" w:space="0"/>
              <w:right w:val="single" w:color="auto" w:sz="4" w:space="0"/>
            </w:tcBorders>
            <w:vAlign w:val="center"/>
          </w:tcPr>
          <w:p>
            <w:pPr>
              <w:rPr>
                <w:rFonts w:asciiTheme="minorEastAsia" w:hAnsiTheme="minorEastAsia" w:eastAsiaTheme="minorEastAsia"/>
                <w:highlight w:val="none"/>
              </w:rPr>
            </w:pP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1.本项目比选文件的最终解释权归比选人。</w:t>
            </w:r>
          </w:p>
          <w:p>
            <w:pPr>
              <w:rPr>
                <w:rFonts w:asciiTheme="minorEastAsia" w:hAnsiTheme="minorEastAsia" w:eastAsiaTheme="minorEastAsia"/>
                <w:highlight w:val="none"/>
              </w:rPr>
            </w:pPr>
          </w:p>
        </w:tc>
      </w:tr>
      <w:bookmarkEnd w:id="5"/>
    </w:tbl>
    <w:p>
      <w:pPr>
        <w:pStyle w:val="5"/>
        <w:spacing w:after="0" w:line="360" w:lineRule="auto"/>
        <w:ind w:firstLine="482" w:firstLineChars="200"/>
        <w:rPr>
          <w:rFonts w:asciiTheme="minorEastAsia" w:hAnsiTheme="minorEastAsia" w:eastAsiaTheme="minorEastAsia"/>
          <w:sz w:val="24"/>
          <w:szCs w:val="24"/>
          <w:highlight w:val="none"/>
        </w:rPr>
      </w:pPr>
      <w:bookmarkStart w:id="7" w:name="_Toc25750590"/>
      <w:bookmarkStart w:id="8" w:name="_Toc392862474"/>
      <w:bookmarkStart w:id="9" w:name="_Toc114052413"/>
      <w:bookmarkStart w:id="10" w:name="_Toc114052339"/>
      <w:bookmarkStart w:id="11" w:name="_Toc286386833"/>
      <w:r>
        <w:rPr>
          <w:rFonts w:hint="eastAsia" w:asciiTheme="minorEastAsia" w:hAnsiTheme="minorEastAsia" w:eastAsiaTheme="minorEastAsia"/>
          <w:sz w:val="24"/>
          <w:szCs w:val="24"/>
          <w:highlight w:val="none"/>
        </w:rPr>
        <w:t>一、</w:t>
      </w:r>
      <w:r>
        <w:rPr>
          <w:rFonts w:asciiTheme="minorEastAsia" w:hAnsiTheme="minorEastAsia" w:eastAsiaTheme="minorEastAsia"/>
          <w:sz w:val="24"/>
          <w:szCs w:val="24"/>
          <w:highlight w:val="none"/>
        </w:rPr>
        <w:t>说明</w:t>
      </w:r>
      <w:bookmarkEnd w:id="7"/>
    </w:p>
    <w:p>
      <w:pPr>
        <w:pStyle w:val="7"/>
        <w:spacing w:before="0" w:after="0" w:line="360" w:lineRule="auto"/>
        <w:ind w:firstLine="422" w:firstLineChars="200"/>
        <w:rPr>
          <w:rFonts w:asciiTheme="minorEastAsia" w:hAnsiTheme="minorEastAsia" w:eastAsiaTheme="minorEastAsia"/>
          <w:sz w:val="21"/>
          <w:szCs w:val="21"/>
          <w:highlight w:val="none"/>
        </w:rPr>
      </w:pPr>
      <w:bookmarkStart w:id="12" w:name="_Toc9366"/>
      <w:bookmarkStart w:id="13" w:name="_Toc383891168"/>
      <w:bookmarkStart w:id="14" w:name="_Toc28326"/>
      <w:bookmarkStart w:id="15" w:name="_Toc12526"/>
      <w:bookmarkStart w:id="16" w:name="_Toc30570"/>
      <w:bookmarkStart w:id="17" w:name="_Toc11224"/>
      <w:bookmarkStart w:id="18" w:name="_Toc6861"/>
      <w:bookmarkStart w:id="19" w:name="_Toc492478718"/>
      <w:bookmarkStart w:id="20" w:name="_Toc390098419"/>
      <w:bookmarkStart w:id="21" w:name="_Toc27079"/>
      <w:bookmarkStart w:id="22" w:name="_Toc8166"/>
      <w:bookmarkStart w:id="23" w:name="_Toc3804"/>
      <w:bookmarkStart w:id="24" w:name="_Toc385427793"/>
      <w:bookmarkStart w:id="25" w:name="_Toc31563"/>
      <w:bookmarkStart w:id="26" w:name="_Toc12983505"/>
      <w:bookmarkStart w:id="27" w:name="_Toc17845"/>
      <w:bookmarkStart w:id="28" w:name="_Toc21139"/>
      <w:bookmarkStart w:id="29" w:name="_Toc3364"/>
      <w:bookmarkStart w:id="30" w:name="_Toc7778"/>
      <w:bookmarkStart w:id="31" w:name="_Toc25750591"/>
      <w:bookmarkStart w:id="32" w:name="_Toc5495"/>
      <w:bookmarkStart w:id="33" w:name="_Toc463"/>
      <w:bookmarkStart w:id="34" w:name="_Toc375039064"/>
      <w:bookmarkStart w:id="35" w:name="_Toc14066"/>
      <w:r>
        <w:rPr>
          <w:rFonts w:hint="eastAsia" w:asciiTheme="minorEastAsia" w:hAnsiTheme="minorEastAsia" w:eastAsiaTheme="minorEastAsia"/>
          <w:sz w:val="21"/>
          <w:szCs w:val="21"/>
          <w:highlight w:val="none"/>
        </w:rPr>
        <w:t xml:space="preserve">1. </w:t>
      </w:r>
      <w:r>
        <w:rPr>
          <w:rFonts w:asciiTheme="minorEastAsia" w:hAnsiTheme="minorEastAsia" w:eastAsiaTheme="minorEastAsia"/>
          <w:sz w:val="21"/>
          <w:szCs w:val="21"/>
          <w:highlight w:val="none"/>
        </w:rPr>
        <w:t>项目说明</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1.1 比选人</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1.2 项目名称</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1.3 项目编号</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1.4 比选范围：</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1.5 服务期：</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1.6 资金来源情况：</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1.7 上限控制价</w:t>
      </w:r>
      <w:r>
        <w:rPr>
          <w:rFonts w:asciiTheme="minorEastAsia" w:hAnsiTheme="minorEastAsia" w:eastAsiaTheme="minorEastAsia"/>
          <w:highlight w:val="none"/>
        </w:rPr>
        <w:t>：详见比选申请须知前附表。</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36" w:name="_Toc12983506"/>
      <w:bookmarkStart w:id="37" w:name="_Toc22987"/>
      <w:bookmarkStart w:id="38" w:name="_Toc27847"/>
      <w:bookmarkStart w:id="39" w:name="_Toc375039065"/>
      <w:bookmarkStart w:id="40" w:name="_Toc16860"/>
      <w:bookmarkStart w:id="41" w:name="_Toc27845"/>
      <w:bookmarkStart w:id="42" w:name="_Toc390098420"/>
      <w:bookmarkStart w:id="43" w:name="_Toc24429"/>
      <w:bookmarkStart w:id="44" w:name="_Toc25750592"/>
      <w:bookmarkStart w:id="45" w:name="_Toc492478719"/>
      <w:bookmarkStart w:id="46" w:name="_Toc10907"/>
      <w:bookmarkStart w:id="47" w:name="_Toc385427794"/>
      <w:bookmarkStart w:id="48" w:name="_Toc4780"/>
      <w:bookmarkStart w:id="49" w:name="_Toc8052"/>
      <w:bookmarkStart w:id="50" w:name="_Toc1552"/>
      <w:bookmarkStart w:id="51" w:name="_Toc31314"/>
      <w:bookmarkStart w:id="52" w:name="_Toc6038"/>
      <w:bookmarkStart w:id="53" w:name="_Toc21874"/>
      <w:bookmarkStart w:id="54" w:name="_Toc6985"/>
      <w:bookmarkStart w:id="55" w:name="_Toc383891169"/>
      <w:r>
        <w:rPr>
          <w:rFonts w:hint="eastAsia" w:asciiTheme="minorEastAsia" w:hAnsiTheme="minorEastAsia" w:eastAsiaTheme="minorEastAsia"/>
          <w:sz w:val="21"/>
          <w:szCs w:val="21"/>
          <w:highlight w:val="none"/>
        </w:rPr>
        <w:t>2. 定义.</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本比选文件使用的下列词汇具有如下规定的意义。</w:t>
      </w:r>
    </w:p>
    <w:p>
      <w:pPr>
        <w:tabs>
          <w:tab w:val="left" w:pos="8364"/>
        </w:tabs>
        <w:spacing w:line="360" w:lineRule="auto"/>
        <w:ind w:firstLine="420" w:firstLineChars="200"/>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rPr>
        <w:t xml:space="preserve">2.1 </w:t>
      </w:r>
      <w:r>
        <w:rPr>
          <w:rFonts w:asciiTheme="minorEastAsia" w:hAnsiTheme="minorEastAsia" w:eastAsiaTheme="minorEastAsia"/>
          <w:highlight w:val="none"/>
        </w:rPr>
        <w:t>“比选人”系指提出</w:t>
      </w:r>
      <w:r>
        <w:rPr>
          <w:rFonts w:hint="eastAsia" w:asciiTheme="minorEastAsia" w:hAnsiTheme="minorEastAsia" w:eastAsiaTheme="minorEastAsia"/>
          <w:highlight w:val="none"/>
        </w:rPr>
        <w:t>比选</w:t>
      </w:r>
      <w:r>
        <w:rPr>
          <w:rFonts w:asciiTheme="minorEastAsia" w:hAnsiTheme="minorEastAsia" w:eastAsiaTheme="minorEastAsia"/>
          <w:highlight w:val="none"/>
        </w:rPr>
        <w:t>采购</w:t>
      </w:r>
      <w:r>
        <w:rPr>
          <w:rFonts w:hint="eastAsia" w:asciiTheme="minorEastAsia" w:hAnsiTheme="minorEastAsia" w:eastAsiaTheme="minorEastAsia"/>
          <w:highlight w:val="none"/>
        </w:rPr>
        <w:t>服务</w:t>
      </w:r>
      <w:r>
        <w:rPr>
          <w:rFonts w:asciiTheme="minorEastAsia" w:hAnsiTheme="minorEastAsia" w:eastAsiaTheme="minorEastAsia"/>
          <w:highlight w:val="none"/>
        </w:rPr>
        <w:t>的国家机关、企业、事业单位或其它组织。本比选文件中比选人是指</w:t>
      </w:r>
      <w:r>
        <w:rPr>
          <w:rFonts w:hint="eastAsia" w:asciiTheme="minorEastAsia" w:hAnsiTheme="minorEastAsia" w:eastAsiaTheme="minorEastAsia"/>
          <w:highlight w:val="none"/>
        </w:rPr>
        <w:t>南宁市金盾道路清障有限责任公司</w:t>
      </w:r>
      <w:r>
        <w:rPr>
          <w:rFonts w:asciiTheme="minorEastAsia" w:hAnsiTheme="minorEastAsia" w:eastAsiaTheme="minorEastAsia"/>
          <w:highlight w:val="none"/>
        </w:rPr>
        <w:t>。如无特别说明本比选文件中的“发包人、业主、甲方和比选人”均指：</w:t>
      </w:r>
      <w:r>
        <w:rPr>
          <w:rFonts w:hint="eastAsia" w:asciiTheme="minorEastAsia" w:hAnsiTheme="minorEastAsia" w:eastAsiaTheme="minorEastAsia"/>
          <w:highlight w:val="none"/>
        </w:rPr>
        <w:t>南宁市金盾道路清障有限责任公司</w:t>
      </w:r>
      <w:r>
        <w:rPr>
          <w:rFonts w:asciiTheme="minorEastAsia" w:hAnsiTheme="minorEastAsia" w:eastAsiaTheme="minorEastAsia"/>
          <w:highlight w:val="none"/>
        </w:rPr>
        <w:t>。</w:t>
      </w:r>
      <w:r>
        <w:rPr>
          <w:rFonts w:hint="eastAsia" w:asciiTheme="minorEastAsia" w:hAnsiTheme="minorEastAsia" w:eastAsiaTheme="minorEastAsia"/>
          <w:highlight w:val="none"/>
          <w:lang w:val="en-US" w:eastAsia="zh-CN"/>
        </w:rPr>
        <w:t xml:space="preserve"> </w:t>
      </w:r>
    </w:p>
    <w:p>
      <w:pPr>
        <w:tabs>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2</w:t>
      </w:r>
      <w:r>
        <w:rPr>
          <w:rFonts w:asciiTheme="minorEastAsia" w:hAnsiTheme="minorEastAsia" w:eastAsiaTheme="minorEastAsia"/>
          <w:highlight w:val="none"/>
        </w:rPr>
        <w:t xml:space="preserve"> “比选申请人”</w:t>
      </w:r>
      <w:r>
        <w:rPr>
          <w:rFonts w:hint="eastAsia" w:asciiTheme="minorEastAsia" w:hAnsiTheme="minorEastAsia" w:eastAsiaTheme="minorEastAsia"/>
          <w:highlight w:val="none"/>
        </w:rPr>
        <w:t>系指响应比选、参加比选申请竞争的法人或其他组织</w:t>
      </w:r>
      <w:r>
        <w:rPr>
          <w:rFonts w:asciiTheme="minorEastAsia" w:hAnsiTheme="minorEastAsia" w:eastAsiaTheme="minorEastAsia"/>
          <w:highlight w:val="none"/>
        </w:rPr>
        <w:t>。</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2.3 </w:t>
      </w:r>
      <w:r>
        <w:rPr>
          <w:rFonts w:asciiTheme="minorEastAsia" w:hAnsiTheme="minorEastAsia" w:eastAsiaTheme="minorEastAsia"/>
          <w:highlight w:val="none"/>
        </w:rPr>
        <w:t>“</w:t>
      </w:r>
      <w:r>
        <w:rPr>
          <w:rFonts w:hint="eastAsia" w:asciiTheme="minorEastAsia" w:hAnsiTheme="minorEastAsia" w:eastAsiaTheme="minorEastAsia"/>
          <w:highlight w:val="none"/>
        </w:rPr>
        <w:t>服务</w:t>
      </w:r>
      <w:r>
        <w:rPr>
          <w:rFonts w:asciiTheme="minorEastAsia" w:hAnsiTheme="minorEastAsia" w:eastAsiaTheme="minorEastAsia"/>
          <w:highlight w:val="none"/>
        </w:rPr>
        <w:t>”</w:t>
      </w:r>
      <w:r>
        <w:rPr>
          <w:rFonts w:hint="eastAsia" w:asciiTheme="minorEastAsia" w:hAnsiTheme="minorEastAsia" w:eastAsiaTheme="minorEastAsia"/>
          <w:highlight w:val="none"/>
        </w:rPr>
        <w:t>系指招标文件规定比选申请人须承担的一切合同标的内容及配套工作。</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2.4 </w:t>
      </w:r>
      <w:r>
        <w:rPr>
          <w:rFonts w:asciiTheme="minorEastAsia" w:hAnsiTheme="minorEastAsia" w:eastAsiaTheme="minorEastAsia"/>
          <w:highlight w:val="none"/>
        </w:rPr>
        <w:t>“电子文件”系指将比选申请文件全部内容以</w:t>
      </w:r>
      <w:r>
        <w:rPr>
          <w:rFonts w:hint="eastAsia" w:asciiTheme="minorEastAsia" w:hAnsiTheme="minorEastAsia" w:eastAsiaTheme="minorEastAsia"/>
          <w:highlight w:val="none"/>
        </w:rPr>
        <w:t>OFFICE</w:t>
      </w:r>
      <w:r>
        <w:rPr>
          <w:rFonts w:asciiTheme="minorEastAsia" w:hAnsiTheme="minorEastAsia" w:eastAsiaTheme="minorEastAsia"/>
          <w:highlight w:val="none"/>
        </w:rPr>
        <w:t>的WORD、PROJECT、EXCEL等格式书写的可读电子介质</w:t>
      </w:r>
      <w:r>
        <w:rPr>
          <w:rFonts w:hint="eastAsia" w:asciiTheme="minorEastAsia" w:hAnsiTheme="minorEastAsia" w:eastAsiaTheme="minorEastAsia"/>
          <w:highlight w:val="none"/>
        </w:rPr>
        <w:t>及PDF扫描版本（盖章版）</w:t>
      </w:r>
      <w:r>
        <w:rPr>
          <w:rFonts w:asciiTheme="minorEastAsia" w:hAnsiTheme="minorEastAsia" w:eastAsiaTheme="minorEastAsia"/>
          <w:highlight w:val="none"/>
        </w:rPr>
        <w:t>。</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2.5 </w:t>
      </w:r>
      <w:r>
        <w:rPr>
          <w:rFonts w:asciiTheme="minorEastAsia" w:hAnsiTheme="minorEastAsia" w:eastAsiaTheme="minorEastAsia"/>
          <w:highlight w:val="none"/>
        </w:rPr>
        <w:t>“书面形式”系指打字或印刷的函件，包括传真、电报等。</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2.6 </w:t>
      </w:r>
      <w:r>
        <w:rPr>
          <w:rFonts w:asciiTheme="minorEastAsia" w:hAnsiTheme="minorEastAsia" w:eastAsiaTheme="minorEastAsia"/>
          <w:highlight w:val="none"/>
        </w:rPr>
        <w:t>“日”、“天”系指日历天。</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56" w:name="_Toc492478720"/>
      <w:bookmarkStart w:id="57" w:name="_Toc385427795"/>
      <w:bookmarkStart w:id="58" w:name="_Toc383891170"/>
      <w:bookmarkStart w:id="59" w:name="_Toc375039066"/>
      <w:bookmarkStart w:id="60" w:name="_Toc390098421"/>
      <w:bookmarkStart w:id="61" w:name="_Toc12983507"/>
      <w:bookmarkStart w:id="62" w:name="_Toc17568"/>
      <w:bookmarkStart w:id="63" w:name="_Toc29401"/>
      <w:bookmarkStart w:id="64" w:name="_Toc24844"/>
      <w:bookmarkStart w:id="65" w:name="_Toc8288"/>
      <w:bookmarkStart w:id="66" w:name="_Toc29859"/>
      <w:bookmarkStart w:id="67" w:name="_Toc31477"/>
      <w:bookmarkStart w:id="68" w:name="_Toc22845"/>
      <w:bookmarkStart w:id="69" w:name="_Toc25786"/>
      <w:bookmarkStart w:id="70" w:name="_Toc17075"/>
      <w:bookmarkStart w:id="71" w:name="_Toc9929"/>
      <w:bookmarkStart w:id="72" w:name="_Toc12940"/>
      <w:bookmarkStart w:id="73" w:name="_Toc7306"/>
      <w:bookmarkStart w:id="74" w:name="_Toc7797"/>
      <w:bookmarkStart w:id="75" w:name="_Toc25750593"/>
      <w:bookmarkStart w:id="76" w:name="_Toc307"/>
      <w:bookmarkStart w:id="77" w:name="_Toc22115"/>
      <w:bookmarkStart w:id="78" w:name="_Toc30498"/>
      <w:bookmarkStart w:id="79" w:name="_Toc10653"/>
      <w:r>
        <w:rPr>
          <w:rFonts w:asciiTheme="minorEastAsia" w:hAnsiTheme="minorEastAsia" w:eastAsiaTheme="minorEastAsia"/>
          <w:sz w:val="21"/>
          <w:szCs w:val="21"/>
          <w:highlight w:val="none"/>
        </w:rPr>
        <w:t>3. 比选申请人</w:t>
      </w:r>
      <w:bookmarkEnd w:id="56"/>
      <w:bookmarkEnd w:id="57"/>
      <w:bookmarkEnd w:id="58"/>
      <w:bookmarkEnd w:id="59"/>
      <w:bookmarkEnd w:id="60"/>
      <w:r>
        <w:rPr>
          <w:rFonts w:hint="eastAsia" w:asciiTheme="minorEastAsia" w:hAnsiTheme="minorEastAsia" w:eastAsiaTheme="minorEastAsia"/>
          <w:sz w:val="21"/>
          <w:szCs w:val="21"/>
          <w:highlight w:val="none"/>
        </w:rPr>
        <w:t>应具备的资格条件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3.1 </w:t>
      </w:r>
      <w:r>
        <w:rPr>
          <w:rFonts w:asciiTheme="minorEastAsia" w:hAnsiTheme="minorEastAsia" w:eastAsiaTheme="minorEastAsia"/>
          <w:highlight w:val="none"/>
        </w:rPr>
        <w:t>详见比选申请须知前附表。</w:t>
      </w:r>
    </w:p>
    <w:p>
      <w:pPr>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 xml:space="preserve">3.2 </w:t>
      </w:r>
      <w:r>
        <w:rPr>
          <w:rFonts w:hint="eastAsia" w:asciiTheme="minorEastAsia" w:hAnsiTheme="minorEastAsia" w:eastAsiaTheme="minorEastAsia"/>
          <w:highlight w:val="none"/>
        </w:rPr>
        <w:t>比选申请人不得存在以下情况之一，否则其比选申请将被否决：</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（1）处于被责令停业，或比选申请资格被</w:t>
      </w:r>
      <w:r>
        <w:rPr>
          <w:rFonts w:hint="eastAsia" w:ascii="宋体" w:hAnsi="宋体" w:eastAsiaTheme="minorEastAsia"/>
          <w:szCs w:val="21"/>
          <w:highlight w:val="none"/>
        </w:rPr>
        <w:t>国家金融监督管理总局（国家金融监督管理总局的派出机构批准的也予以认可）</w:t>
      </w:r>
      <w:r>
        <w:rPr>
          <w:rFonts w:hint="eastAsia" w:asciiTheme="minorEastAsia" w:hAnsiTheme="minorEastAsia" w:eastAsiaTheme="minorEastAsia"/>
          <w:highlight w:val="none"/>
        </w:rPr>
        <w:t>取消，或财产被接管、破产状态；</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（2）有骗取中选、严重违约或重大质量安全责任事故；</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（3）单位负责人为同一人或者存在控股、管理关系的不同单位，不得同时参加比选项目比选申请；</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（4）比选申请人向比选人或评审委员会成员以行贿的手段谋取中选的；</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（5）串通比选申请或弄虚作假或有其他违法行为的；</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（6）在比选申请文件中提供虚假文件和</w:t>
      </w:r>
      <w:r>
        <w:rPr>
          <w:rFonts w:asciiTheme="minorEastAsia" w:hAnsiTheme="minorEastAsia" w:eastAsiaTheme="minorEastAsia"/>
          <w:highlight w:val="none"/>
        </w:rPr>
        <w:t>/</w:t>
      </w:r>
      <w:r>
        <w:rPr>
          <w:rFonts w:hint="eastAsia" w:asciiTheme="minorEastAsia" w:hAnsiTheme="minorEastAsia" w:eastAsiaTheme="minorEastAsia"/>
          <w:highlight w:val="none"/>
        </w:rPr>
        <w:t>或资料的。</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80" w:name="_Toc383891171"/>
      <w:bookmarkStart w:id="81" w:name="_Toc1737"/>
      <w:bookmarkStart w:id="82" w:name="_Toc24103"/>
      <w:bookmarkStart w:id="83" w:name="_Toc7832"/>
      <w:bookmarkStart w:id="84" w:name="_Toc1125"/>
      <w:bookmarkStart w:id="85" w:name="_Toc19081"/>
      <w:bookmarkStart w:id="86" w:name="_Toc19709"/>
      <w:bookmarkStart w:id="87" w:name="_Toc390098422"/>
      <w:bookmarkStart w:id="88" w:name="_Toc21602"/>
      <w:bookmarkStart w:id="89" w:name="_Toc18668"/>
      <w:bookmarkStart w:id="90" w:name="_Toc31789"/>
      <w:bookmarkStart w:id="91" w:name="_Toc616"/>
      <w:bookmarkStart w:id="92" w:name="_Toc385427796"/>
      <w:bookmarkStart w:id="93" w:name="_Toc30752"/>
      <w:bookmarkStart w:id="94" w:name="_Toc25750594"/>
      <w:bookmarkStart w:id="95" w:name="_Toc492478721"/>
      <w:bookmarkStart w:id="96" w:name="_Toc3292"/>
      <w:bookmarkStart w:id="97" w:name="_Toc23146"/>
      <w:bookmarkStart w:id="98" w:name="_Toc375039067"/>
      <w:bookmarkStart w:id="99" w:name="_Toc21215"/>
      <w:bookmarkStart w:id="100" w:name="_Toc12983508"/>
      <w:bookmarkStart w:id="101" w:name="_Toc4438"/>
      <w:bookmarkStart w:id="102" w:name="_Toc25914"/>
      <w:bookmarkStart w:id="103" w:name="_Toc7103"/>
      <w:r>
        <w:rPr>
          <w:rFonts w:hint="eastAsia" w:asciiTheme="minorEastAsia" w:hAnsiTheme="minorEastAsia" w:eastAsiaTheme="minorEastAsia"/>
          <w:sz w:val="21"/>
          <w:szCs w:val="21"/>
          <w:highlight w:val="none"/>
        </w:rPr>
        <w:t xml:space="preserve">4. </w:t>
      </w:r>
      <w:r>
        <w:rPr>
          <w:rFonts w:asciiTheme="minorEastAsia" w:hAnsiTheme="minorEastAsia" w:eastAsiaTheme="minorEastAsia"/>
          <w:sz w:val="21"/>
          <w:szCs w:val="21"/>
          <w:highlight w:val="none"/>
        </w:rPr>
        <w:t>比选申请费用</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比选申请人准备和参加比选申请活动发生的费用自理</w:t>
      </w:r>
      <w:r>
        <w:rPr>
          <w:rFonts w:asciiTheme="minorEastAsia" w:hAnsiTheme="minorEastAsia" w:eastAsiaTheme="minorEastAsia"/>
          <w:highlight w:val="none"/>
        </w:rPr>
        <w:t>。</w:t>
      </w:r>
    </w:p>
    <w:p>
      <w:pPr>
        <w:pStyle w:val="5"/>
        <w:spacing w:after="0" w:line="360" w:lineRule="auto"/>
        <w:ind w:firstLine="482" w:firstLineChars="200"/>
        <w:rPr>
          <w:rFonts w:asciiTheme="minorEastAsia" w:hAnsiTheme="minorEastAsia" w:eastAsiaTheme="minorEastAsia"/>
          <w:sz w:val="24"/>
          <w:szCs w:val="24"/>
          <w:highlight w:val="none"/>
        </w:rPr>
      </w:pPr>
      <w:bookmarkStart w:id="104" w:name="_Toc5160"/>
      <w:bookmarkStart w:id="105" w:name="_Toc390098423"/>
      <w:bookmarkStart w:id="106" w:name="_Toc16608"/>
      <w:bookmarkStart w:id="107" w:name="_Toc16131"/>
      <w:bookmarkStart w:id="108" w:name="_Toc25750595"/>
      <w:bookmarkStart w:id="109" w:name="_Toc6528"/>
      <w:bookmarkStart w:id="110" w:name="_Toc3854"/>
      <w:bookmarkStart w:id="111" w:name="_Toc7339"/>
      <w:bookmarkStart w:id="112" w:name="_Toc375039068"/>
      <w:bookmarkStart w:id="113" w:name="_Toc492478722"/>
      <w:bookmarkStart w:id="114" w:name="_Toc29160"/>
      <w:bookmarkStart w:id="115" w:name="_Toc19617"/>
      <w:bookmarkStart w:id="116" w:name="_Toc9677"/>
      <w:bookmarkStart w:id="117" w:name="_Toc15763"/>
      <w:bookmarkStart w:id="118" w:name="_Toc18528"/>
      <w:bookmarkStart w:id="119" w:name="_Toc16530"/>
      <w:bookmarkStart w:id="120" w:name="_Toc385427797"/>
      <w:bookmarkStart w:id="121" w:name="_Toc8562"/>
      <w:bookmarkStart w:id="122" w:name="_Toc2986"/>
      <w:bookmarkStart w:id="123" w:name="_Toc12983509"/>
      <w:bookmarkStart w:id="124" w:name="_Toc2609"/>
      <w:bookmarkStart w:id="125" w:name="_Toc383891172"/>
      <w:bookmarkStart w:id="126" w:name="_Toc5487"/>
      <w:bookmarkStart w:id="127" w:name="_Toc28220"/>
      <w:r>
        <w:rPr>
          <w:rFonts w:hint="eastAsia" w:asciiTheme="minorEastAsia" w:hAnsiTheme="minorEastAsia" w:eastAsiaTheme="minorEastAsia"/>
          <w:sz w:val="24"/>
          <w:szCs w:val="24"/>
          <w:highlight w:val="none"/>
        </w:rPr>
        <w:t>二、</w:t>
      </w:r>
      <w:r>
        <w:rPr>
          <w:rFonts w:asciiTheme="minorEastAsia" w:hAnsiTheme="minorEastAsia" w:eastAsiaTheme="minorEastAsia"/>
          <w:sz w:val="24"/>
          <w:szCs w:val="24"/>
          <w:highlight w:val="none"/>
        </w:rPr>
        <w:t>比选文件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sz w:val="24"/>
          <w:szCs w:val="24"/>
          <w:highlight w:val="none"/>
        </w:rPr>
        <w:t xml:space="preserve"> </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128" w:name="_Toc9756"/>
      <w:bookmarkStart w:id="129" w:name="_Toc6764"/>
      <w:bookmarkStart w:id="130" w:name="_Toc32710"/>
      <w:bookmarkStart w:id="131" w:name="_Toc30401"/>
      <w:bookmarkStart w:id="132" w:name="_Toc4157"/>
      <w:bookmarkStart w:id="133" w:name="_Toc383891173"/>
      <w:bookmarkStart w:id="134" w:name="_Toc27870"/>
      <w:bookmarkStart w:id="135" w:name="_Toc5877"/>
      <w:bookmarkStart w:id="136" w:name="_Toc492478723"/>
      <w:bookmarkStart w:id="137" w:name="_Toc13114"/>
      <w:bookmarkStart w:id="138" w:name="_Toc6637"/>
      <w:bookmarkStart w:id="139" w:name="_Toc29225"/>
      <w:bookmarkStart w:id="140" w:name="_Toc25750596"/>
      <w:bookmarkStart w:id="141" w:name="_Toc375039069"/>
      <w:bookmarkStart w:id="142" w:name="_Toc18436"/>
      <w:bookmarkStart w:id="143" w:name="_Toc839"/>
      <w:bookmarkStart w:id="144" w:name="_Toc21811"/>
      <w:bookmarkStart w:id="145" w:name="_Toc19561"/>
      <w:bookmarkStart w:id="146" w:name="_Toc12983510"/>
      <w:bookmarkStart w:id="147" w:name="_Toc29472"/>
      <w:bookmarkStart w:id="148" w:name="_Toc385427798"/>
      <w:bookmarkStart w:id="149" w:name="_Toc390098424"/>
      <w:bookmarkStart w:id="150" w:name="_Toc26333"/>
      <w:bookmarkStart w:id="151" w:name="_Toc25378"/>
      <w:r>
        <w:rPr>
          <w:rFonts w:hint="eastAsia" w:asciiTheme="minorEastAsia" w:hAnsiTheme="minorEastAsia" w:eastAsiaTheme="minorEastAsia"/>
          <w:sz w:val="21"/>
          <w:szCs w:val="21"/>
          <w:highlight w:val="none"/>
        </w:rPr>
        <w:t xml:space="preserve">5. </w:t>
      </w:r>
      <w:r>
        <w:rPr>
          <w:rFonts w:asciiTheme="minorEastAsia" w:hAnsiTheme="minorEastAsia" w:eastAsiaTheme="minorEastAsia"/>
          <w:sz w:val="21"/>
          <w:szCs w:val="21"/>
          <w:highlight w:val="none"/>
        </w:rPr>
        <w:t>比选文件构成</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5.1 </w:t>
      </w:r>
      <w:r>
        <w:rPr>
          <w:rFonts w:asciiTheme="minorEastAsia" w:hAnsiTheme="minorEastAsia" w:eastAsiaTheme="minorEastAsia"/>
          <w:highlight w:val="none"/>
        </w:rPr>
        <w:t>比选文件包括下列内容：</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第一章 </w:t>
      </w:r>
      <w:r>
        <w:rPr>
          <w:rFonts w:asciiTheme="minorEastAsia" w:hAnsiTheme="minorEastAsia" w:eastAsiaTheme="minorEastAsia"/>
          <w:highlight w:val="none"/>
        </w:rPr>
        <w:t>比选公告</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第二章 </w:t>
      </w:r>
      <w:r>
        <w:rPr>
          <w:rFonts w:asciiTheme="minorEastAsia" w:hAnsiTheme="minorEastAsia" w:eastAsiaTheme="minorEastAsia"/>
          <w:highlight w:val="none"/>
        </w:rPr>
        <w:t>比选申请须知</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第三章 </w:t>
      </w:r>
      <w:r>
        <w:rPr>
          <w:rFonts w:asciiTheme="minorEastAsia" w:hAnsiTheme="minorEastAsia" w:eastAsiaTheme="minorEastAsia"/>
          <w:highlight w:val="none"/>
        </w:rPr>
        <w:t>合同条款</w:t>
      </w:r>
      <w:r>
        <w:rPr>
          <w:rFonts w:hint="eastAsia" w:asciiTheme="minorEastAsia" w:hAnsiTheme="minorEastAsia" w:eastAsiaTheme="minorEastAsia"/>
          <w:highlight w:val="none"/>
        </w:rPr>
        <w:t>及格式</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第四章 </w:t>
      </w:r>
      <w:r>
        <w:rPr>
          <w:rFonts w:asciiTheme="minorEastAsia" w:hAnsiTheme="minorEastAsia" w:eastAsiaTheme="minorEastAsia"/>
          <w:highlight w:val="none"/>
        </w:rPr>
        <w:t>比选申请文件格式</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第五章 </w:t>
      </w:r>
      <w:r>
        <w:rPr>
          <w:rFonts w:asciiTheme="minorEastAsia" w:hAnsiTheme="minorEastAsia" w:eastAsiaTheme="minorEastAsia"/>
          <w:highlight w:val="none"/>
        </w:rPr>
        <w:t>用户需求书</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第六章 </w:t>
      </w:r>
      <w:r>
        <w:rPr>
          <w:rFonts w:asciiTheme="minorEastAsia" w:hAnsiTheme="minorEastAsia" w:eastAsiaTheme="minorEastAsia"/>
          <w:highlight w:val="none"/>
        </w:rPr>
        <w:t>评</w:t>
      </w:r>
      <w:r>
        <w:rPr>
          <w:rFonts w:hint="eastAsia" w:asciiTheme="minorEastAsia" w:hAnsiTheme="minorEastAsia" w:eastAsiaTheme="minorEastAsia"/>
          <w:highlight w:val="none"/>
        </w:rPr>
        <w:t>分</w:t>
      </w:r>
      <w:r>
        <w:rPr>
          <w:rFonts w:asciiTheme="minorEastAsia" w:hAnsiTheme="minorEastAsia" w:eastAsiaTheme="minorEastAsia"/>
          <w:highlight w:val="none"/>
        </w:rPr>
        <w:t>办法</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5.2 </w:t>
      </w:r>
      <w:r>
        <w:rPr>
          <w:rFonts w:asciiTheme="minorEastAsia" w:hAnsiTheme="minorEastAsia" w:eastAsiaTheme="minorEastAsia"/>
          <w:highlight w:val="none"/>
        </w:rPr>
        <w:t>比选申请人应认真检阅比选文件中所有的章节、条款、格式、图纸、附表和附件等。如果在收到比选文件后发现有缺页、印刷不清楚或对其中内容不理解而未向</w:t>
      </w:r>
      <w:r>
        <w:rPr>
          <w:rFonts w:hint="eastAsia" w:asciiTheme="minorEastAsia" w:hAnsiTheme="minorEastAsia" w:eastAsiaTheme="minorEastAsia"/>
          <w:highlight w:val="none"/>
        </w:rPr>
        <w:t>比选人</w:t>
      </w:r>
      <w:r>
        <w:rPr>
          <w:rFonts w:asciiTheme="minorEastAsia" w:hAnsiTheme="minorEastAsia" w:eastAsiaTheme="minorEastAsia"/>
          <w:highlight w:val="none"/>
        </w:rPr>
        <w:t>提出，由此导致的比选申请失误，其责任由比选申请人自负。</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5.3 </w:t>
      </w:r>
      <w:r>
        <w:rPr>
          <w:rFonts w:asciiTheme="minorEastAsia" w:hAnsiTheme="minorEastAsia" w:eastAsiaTheme="minorEastAsia"/>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152" w:name="_Toc31386"/>
      <w:bookmarkStart w:id="153" w:name="_Toc15154"/>
      <w:bookmarkStart w:id="154" w:name="_Toc28270"/>
      <w:bookmarkStart w:id="155" w:name="_Toc21365"/>
      <w:bookmarkStart w:id="156" w:name="_Toc12983511"/>
      <w:bookmarkStart w:id="157" w:name="_Toc385427799"/>
      <w:bookmarkStart w:id="158" w:name="_Toc26811"/>
      <w:bookmarkStart w:id="159" w:name="_Toc2789"/>
      <w:bookmarkStart w:id="160" w:name="_Toc2664"/>
      <w:bookmarkStart w:id="161" w:name="_Toc26909"/>
      <w:bookmarkStart w:id="162" w:name="_Toc11896"/>
      <w:bookmarkStart w:id="163" w:name="_Toc18631"/>
      <w:bookmarkStart w:id="164" w:name="_Toc25750597"/>
      <w:bookmarkStart w:id="165" w:name="_Toc31848"/>
      <w:bookmarkStart w:id="166" w:name="_Toc492478724"/>
      <w:bookmarkStart w:id="167" w:name="_Toc383891174"/>
      <w:bookmarkStart w:id="168" w:name="_Toc2489"/>
      <w:bookmarkStart w:id="169" w:name="_Toc29001"/>
      <w:bookmarkStart w:id="170" w:name="_Toc14426"/>
      <w:bookmarkStart w:id="171" w:name="_Toc390098425"/>
      <w:bookmarkStart w:id="172" w:name="_Toc375039070"/>
      <w:bookmarkStart w:id="173" w:name="_Toc20903"/>
      <w:bookmarkStart w:id="174" w:name="_Toc10162"/>
      <w:bookmarkStart w:id="175" w:name="_Toc17279"/>
      <w:r>
        <w:rPr>
          <w:rFonts w:hint="eastAsia" w:asciiTheme="minorEastAsia" w:hAnsiTheme="minorEastAsia" w:eastAsiaTheme="minorEastAsia"/>
          <w:sz w:val="21"/>
          <w:szCs w:val="21"/>
          <w:highlight w:val="none"/>
        </w:rPr>
        <w:t>6.</w:t>
      </w:r>
      <w:r>
        <w:rPr>
          <w:rFonts w:asciiTheme="minorEastAsia" w:hAnsiTheme="minorEastAsia" w:eastAsiaTheme="minorEastAsia"/>
          <w:sz w:val="21"/>
          <w:szCs w:val="21"/>
          <w:highlight w:val="none"/>
        </w:rPr>
        <w:t>比选文件的澄清</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6.1 </w:t>
      </w:r>
      <w:r>
        <w:rPr>
          <w:rFonts w:asciiTheme="minorEastAsia" w:hAnsiTheme="minorEastAsia" w:eastAsiaTheme="minorEastAsia"/>
          <w:highlight w:val="none"/>
        </w:rPr>
        <w:t>任何要求对比选文件进行澄清的比选申请人，应在比选申请须知前附表所规定的时间</w:t>
      </w:r>
      <w:r>
        <w:rPr>
          <w:rFonts w:hint="eastAsia" w:asciiTheme="minorEastAsia" w:hAnsiTheme="minorEastAsia" w:eastAsiaTheme="minorEastAsia"/>
          <w:highlight w:val="none"/>
        </w:rPr>
        <w:t>及形式向比选人提出。</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6.2 比选人</w:t>
      </w:r>
      <w:r>
        <w:rPr>
          <w:rFonts w:asciiTheme="minorEastAsia" w:hAnsiTheme="minorEastAsia" w:eastAsiaTheme="minorEastAsia"/>
          <w:highlight w:val="none"/>
        </w:rPr>
        <w:t>将根据比选申请人的</w:t>
      </w:r>
      <w:r>
        <w:rPr>
          <w:rFonts w:hint="eastAsia" w:asciiTheme="minorEastAsia" w:hAnsiTheme="minorEastAsia" w:eastAsiaTheme="minorEastAsia"/>
          <w:highlight w:val="none"/>
        </w:rPr>
        <w:t>书面</w:t>
      </w:r>
      <w:r>
        <w:rPr>
          <w:rFonts w:asciiTheme="minorEastAsia" w:hAnsiTheme="minorEastAsia" w:eastAsiaTheme="minorEastAsia"/>
          <w:highlight w:val="none"/>
        </w:rPr>
        <w:t>澄清要求</w:t>
      </w:r>
      <w:r>
        <w:rPr>
          <w:rFonts w:hint="eastAsia" w:asciiTheme="minorEastAsia" w:hAnsiTheme="minorEastAsia" w:eastAsiaTheme="minorEastAsia"/>
          <w:highlight w:val="none"/>
        </w:rPr>
        <w:t>进行澄清答复，答复的方式及比选申请人确认的方式详见比选申请须知前附表，比选人</w:t>
      </w:r>
      <w:r>
        <w:rPr>
          <w:rFonts w:asciiTheme="minorEastAsia" w:hAnsiTheme="minorEastAsia" w:eastAsiaTheme="minorEastAsia"/>
          <w:highlight w:val="none"/>
        </w:rPr>
        <w:t>只答复与比选文件内容有关的问题，并有权对任何与比选文件无关的问题不作回答。</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176" w:name="_Toc375039071"/>
      <w:bookmarkStart w:id="177" w:name="_Toc26952"/>
      <w:bookmarkStart w:id="178" w:name="_Toc15674"/>
      <w:bookmarkStart w:id="179" w:name="_Toc5364"/>
      <w:bookmarkStart w:id="180" w:name="_Toc15137"/>
      <w:bookmarkStart w:id="181" w:name="_Toc24128"/>
      <w:bookmarkStart w:id="182" w:name="_Toc22529"/>
      <w:bookmarkStart w:id="183" w:name="_Toc2976"/>
      <w:bookmarkStart w:id="184" w:name="_Toc19345"/>
      <w:bookmarkStart w:id="185" w:name="_Toc390098426"/>
      <w:bookmarkStart w:id="186" w:name="_Toc492478725"/>
      <w:bookmarkStart w:id="187" w:name="_Toc29795"/>
      <w:bookmarkStart w:id="188" w:name="_Toc27124"/>
      <w:bookmarkStart w:id="189" w:name="_Toc12983512"/>
      <w:bookmarkStart w:id="190" w:name="_Toc24191"/>
      <w:bookmarkStart w:id="191" w:name="_Toc15498"/>
      <w:bookmarkStart w:id="192" w:name="_Toc30378"/>
      <w:bookmarkStart w:id="193" w:name="_Toc383891175"/>
      <w:bookmarkStart w:id="194" w:name="_Toc385427800"/>
      <w:bookmarkStart w:id="195" w:name="_Toc7063"/>
      <w:bookmarkStart w:id="196" w:name="_Toc14181"/>
      <w:bookmarkStart w:id="197" w:name="_Toc2072"/>
      <w:bookmarkStart w:id="198" w:name="_Toc24583"/>
      <w:bookmarkStart w:id="199" w:name="_Toc25750598"/>
      <w:r>
        <w:rPr>
          <w:rFonts w:hint="eastAsia" w:asciiTheme="minorEastAsia" w:hAnsiTheme="minorEastAsia" w:eastAsiaTheme="minorEastAsia"/>
          <w:sz w:val="21"/>
          <w:szCs w:val="21"/>
          <w:highlight w:val="none"/>
        </w:rPr>
        <w:t xml:space="preserve">7. </w:t>
      </w:r>
      <w:r>
        <w:rPr>
          <w:rFonts w:asciiTheme="minorEastAsia" w:hAnsiTheme="minorEastAsia" w:eastAsiaTheme="minorEastAsia"/>
          <w:sz w:val="21"/>
          <w:szCs w:val="21"/>
          <w:highlight w:val="none"/>
        </w:rPr>
        <w:t>比选文件的补遗或修改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7.1 </w:t>
      </w:r>
      <w:r>
        <w:rPr>
          <w:rFonts w:asciiTheme="minorEastAsia" w:hAnsiTheme="minorEastAsia" w:eastAsiaTheme="minorEastAsia"/>
          <w:highlight w:val="none"/>
        </w:rPr>
        <w:t>在比选申请截止期前，无论出于何种原因，</w:t>
      </w:r>
      <w:r>
        <w:rPr>
          <w:rFonts w:hint="eastAsia" w:asciiTheme="minorEastAsia" w:hAnsiTheme="minorEastAsia" w:eastAsiaTheme="minorEastAsia"/>
          <w:highlight w:val="none"/>
        </w:rPr>
        <w:t>比选人</w:t>
      </w:r>
      <w:r>
        <w:rPr>
          <w:rFonts w:asciiTheme="minorEastAsia" w:hAnsiTheme="minorEastAsia" w:eastAsiaTheme="minorEastAsia"/>
          <w:highlight w:val="none"/>
        </w:rPr>
        <w:t>可以主动或应比选申请人澄清要求对比选文件进行必要的补遗或修改。</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7.2 </w:t>
      </w:r>
      <w:r>
        <w:rPr>
          <w:rFonts w:asciiTheme="minorEastAsia" w:hAnsiTheme="minorEastAsia" w:eastAsiaTheme="minorEastAsia"/>
          <w:highlight w:val="none"/>
        </w:rPr>
        <w:t>比选文件的补遗或修改通知是比选文件的组成部分，补充比选文件在</w:t>
      </w:r>
      <w:r>
        <w:rPr>
          <w:rFonts w:hint="eastAsia" w:asciiTheme="minorEastAsia" w:hAnsiTheme="minorEastAsia" w:eastAsiaTheme="minorEastAsia"/>
          <w:bCs/>
          <w:highlight w:val="none"/>
        </w:rPr>
        <w:t>发布公告的媒介</w:t>
      </w:r>
      <w:r>
        <w:rPr>
          <w:rFonts w:asciiTheme="minorEastAsia" w:hAnsiTheme="minorEastAsia" w:eastAsiaTheme="minorEastAsia"/>
          <w:highlight w:val="none"/>
        </w:rPr>
        <w:t>上发布之日起，视为比选申请人已收到该补充比选文件。比选申请人未及时关注</w:t>
      </w:r>
      <w:r>
        <w:rPr>
          <w:rFonts w:hint="eastAsia" w:asciiTheme="minorEastAsia" w:hAnsiTheme="minorEastAsia" w:eastAsiaTheme="minorEastAsia"/>
          <w:highlight w:val="none"/>
        </w:rPr>
        <w:t>南宁轨道交通集团有限责任公司官网</w:t>
      </w:r>
      <w:r>
        <w:rPr>
          <w:rFonts w:asciiTheme="minorEastAsia" w:hAnsiTheme="minorEastAsia" w:eastAsiaTheme="minorEastAsia"/>
          <w:highlight w:val="none"/>
        </w:rPr>
        <w:t>上发布的补充比选文件造成的损失，由比选申请人自行负责。</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7.3 </w:t>
      </w:r>
      <w:r>
        <w:rPr>
          <w:rFonts w:asciiTheme="minorEastAsia" w:hAnsiTheme="minorEastAsia" w:eastAsiaTheme="minorEastAsia"/>
          <w:highlight w:val="none"/>
        </w:rPr>
        <w:t>当后发的补遗或修改通知与原比选文件或此前发出的补遗或修改通知之间存有不一致时，应以后发的补遗或修改通知为准。</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7.4 </w:t>
      </w:r>
      <w:r>
        <w:rPr>
          <w:rFonts w:asciiTheme="minorEastAsia" w:hAnsiTheme="minorEastAsia" w:eastAsiaTheme="minorEastAsia"/>
          <w:highlight w:val="none"/>
        </w:rPr>
        <w:t>为使比选申请人准备比选申请时有充分时间对比选文件的补遗或修改部分进行研究，</w:t>
      </w:r>
      <w:r>
        <w:rPr>
          <w:rFonts w:hint="eastAsia" w:asciiTheme="minorEastAsia" w:hAnsiTheme="minorEastAsia" w:eastAsiaTheme="minorEastAsia"/>
          <w:highlight w:val="none"/>
        </w:rPr>
        <w:t>比选人</w:t>
      </w:r>
      <w:r>
        <w:rPr>
          <w:rFonts w:asciiTheme="minorEastAsia" w:hAnsiTheme="minorEastAsia" w:eastAsiaTheme="minorEastAsia"/>
          <w:highlight w:val="none"/>
        </w:rPr>
        <w:t>可适当推迟比选申请截止</w:t>
      </w:r>
      <w:r>
        <w:rPr>
          <w:rFonts w:hint="eastAsia" w:asciiTheme="minorEastAsia" w:hAnsiTheme="minorEastAsia" w:eastAsiaTheme="minorEastAsia"/>
          <w:highlight w:val="none"/>
        </w:rPr>
        <w:t>时间</w:t>
      </w:r>
      <w:r>
        <w:rPr>
          <w:rFonts w:asciiTheme="minorEastAsia" w:hAnsiTheme="minorEastAsia" w:eastAsiaTheme="minorEastAsia"/>
          <w:highlight w:val="none"/>
        </w:rPr>
        <w:t>。</w:t>
      </w:r>
    </w:p>
    <w:p>
      <w:pPr>
        <w:pStyle w:val="5"/>
        <w:spacing w:after="0" w:line="360" w:lineRule="auto"/>
        <w:ind w:firstLine="482" w:firstLineChars="200"/>
        <w:rPr>
          <w:rFonts w:asciiTheme="minorEastAsia" w:hAnsiTheme="minorEastAsia" w:eastAsiaTheme="minorEastAsia"/>
          <w:sz w:val="24"/>
          <w:szCs w:val="24"/>
          <w:highlight w:val="none"/>
        </w:rPr>
      </w:pPr>
      <w:bookmarkStart w:id="200" w:name="_Toc383891176"/>
      <w:bookmarkStart w:id="201" w:name="_Toc10869"/>
      <w:bookmarkStart w:id="202" w:name="_Toc24557"/>
      <w:bookmarkStart w:id="203" w:name="_Toc4718"/>
      <w:bookmarkStart w:id="204" w:name="_Toc25750599"/>
      <w:bookmarkStart w:id="205" w:name="_Toc30363"/>
      <w:bookmarkStart w:id="206" w:name="_Toc14185"/>
      <w:bookmarkStart w:id="207" w:name="_Toc24759"/>
      <w:bookmarkStart w:id="208" w:name="_Toc95"/>
      <w:bookmarkStart w:id="209" w:name="_Toc27913"/>
      <w:bookmarkStart w:id="210" w:name="_Toc16406"/>
      <w:bookmarkStart w:id="211" w:name="_Toc375039072"/>
      <w:bookmarkStart w:id="212" w:name="_Toc17335"/>
      <w:bookmarkStart w:id="213" w:name="_Toc18679"/>
      <w:bookmarkStart w:id="214" w:name="_Toc25361"/>
      <w:bookmarkStart w:id="215" w:name="_Toc385427801"/>
      <w:bookmarkStart w:id="216" w:name="_Toc7604"/>
      <w:bookmarkStart w:id="217" w:name="_Toc2902"/>
      <w:bookmarkStart w:id="218" w:name="_Toc12983513"/>
      <w:bookmarkStart w:id="219" w:name="_Toc17692"/>
      <w:bookmarkStart w:id="220" w:name="_Toc28044"/>
      <w:bookmarkStart w:id="221" w:name="_Toc390098427"/>
      <w:bookmarkStart w:id="222" w:name="_Toc5805"/>
      <w:bookmarkStart w:id="223" w:name="_Toc492478726"/>
      <w:r>
        <w:rPr>
          <w:rFonts w:hint="eastAsia" w:asciiTheme="minorEastAsia" w:hAnsiTheme="minorEastAsia" w:eastAsiaTheme="minorEastAsia"/>
          <w:sz w:val="24"/>
          <w:szCs w:val="24"/>
          <w:highlight w:val="none"/>
        </w:rPr>
        <w:t>三、</w:t>
      </w:r>
      <w:r>
        <w:rPr>
          <w:rFonts w:asciiTheme="minorEastAsia" w:hAnsiTheme="minorEastAsia" w:eastAsiaTheme="minorEastAsia"/>
          <w:sz w:val="24"/>
          <w:szCs w:val="24"/>
          <w:highlight w:val="none"/>
        </w:rPr>
        <w:t>比选申请文件的编制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7"/>
        <w:spacing w:before="0" w:after="0" w:line="360" w:lineRule="auto"/>
        <w:ind w:firstLine="422" w:firstLineChars="200"/>
        <w:rPr>
          <w:rFonts w:asciiTheme="minorEastAsia" w:hAnsiTheme="minorEastAsia" w:eastAsiaTheme="minorEastAsia"/>
          <w:sz w:val="21"/>
          <w:szCs w:val="21"/>
          <w:highlight w:val="none"/>
        </w:rPr>
      </w:pPr>
      <w:bookmarkStart w:id="224" w:name="_Toc16435"/>
      <w:bookmarkStart w:id="225" w:name="_Toc492478727"/>
      <w:bookmarkStart w:id="226" w:name="_Toc390098428"/>
      <w:bookmarkStart w:id="227" w:name="_Toc13418"/>
      <w:bookmarkStart w:id="228" w:name="_Toc16186"/>
      <w:bookmarkStart w:id="229" w:name="_Toc1733"/>
      <w:bookmarkStart w:id="230" w:name="_Toc26150"/>
      <w:bookmarkStart w:id="231" w:name="_Toc11259"/>
      <w:bookmarkStart w:id="232" w:name="_Toc383891177"/>
      <w:bookmarkStart w:id="233" w:name="_Toc12456"/>
      <w:bookmarkStart w:id="234" w:name="_Toc23794"/>
      <w:bookmarkStart w:id="235" w:name="_Toc2819"/>
      <w:bookmarkStart w:id="236" w:name="_Toc18350"/>
      <w:bookmarkStart w:id="237" w:name="_Toc375039073"/>
      <w:bookmarkStart w:id="238" w:name="_Toc9592"/>
      <w:bookmarkStart w:id="239" w:name="_Toc12074"/>
      <w:bookmarkStart w:id="240" w:name="_Toc29862"/>
      <w:bookmarkStart w:id="241" w:name="_Toc12983514"/>
      <w:bookmarkStart w:id="242" w:name="_Toc385427802"/>
      <w:bookmarkStart w:id="243" w:name="_Toc21673"/>
      <w:bookmarkStart w:id="244" w:name="_Toc20025"/>
      <w:bookmarkStart w:id="245" w:name="_Toc26680"/>
      <w:bookmarkStart w:id="246" w:name="_Toc25750600"/>
      <w:bookmarkStart w:id="247" w:name="_Toc4384"/>
      <w:r>
        <w:rPr>
          <w:rFonts w:hint="eastAsia" w:asciiTheme="minorEastAsia" w:hAnsiTheme="minorEastAsia" w:eastAsiaTheme="minorEastAsia"/>
          <w:sz w:val="21"/>
          <w:szCs w:val="21"/>
          <w:highlight w:val="none"/>
        </w:rPr>
        <w:t xml:space="preserve">8. </w:t>
      </w:r>
      <w:r>
        <w:rPr>
          <w:rFonts w:asciiTheme="minorEastAsia" w:hAnsiTheme="minorEastAsia" w:eastAsiaTheme="minorEastAsia"/>
          <w:sz w:val="21"/>
          <w:szCs w:val="21"/>
          <w:highlight w:val="none"/>
        </w:rPr>
        <w:t>编制要求</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tabs>
          <w:tab w:val="left" w:pos="1134"/>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7"/>
        <w:numPr>
          <w:ilvl w:val="0"/>
          <w:numId w:val="3"/>
        </w:numPr>
        <w:spacing w:before="0" w:after="0" w:line="360" w:lineRule="auto"/>
        <w:ind w:firstLine="422" w:firstLineChars="200"/>
        <w:rPr>
          <w:rFonts w:asciiTheme="minorEastAsia" w:hAnsiTheme="minorEastAsia" w:eastAsiaTheme="minorEastAsia"/>
          <w:sz w:val="21"/>
          <w:szCs w:val="21"/>
          <w:highlight w:val="none"/>
        </w:rPr>
      </w:pPr>
      <w:bookmarkStart w:id="248" w:name="_Toc1047"/>
      <w:bookmarkStart w:id="249" w:name="_Toc390098429"/>
      <w:bookmarkStart w:id="250" w:name="_Toc3492"/>
      <w:bookmarkStart w:id="251" w:name="_Toc9887"/>
      <w:bookmarkStart w:id="252" w:name="_Toc383891178"/>
      <w:bookmarkStart w:id="253" w:name="_Toc12207"/>
      <w:bookmarkStart w:id="254" w:name="_Toc25750601"/>
      <w:bookmarkStart w:id="255" w:name="_Toc375039074"/>
      <w:bookmarkStart w:id="256" w:name="_Toc6261"/>
      <w:bookmarkStart w:id="257" w:name="_Toc492478728"/>
      <w:bookmarkStart w:id="258" w:name="_Toc385427803"/>
      <w:bookmarkStart w:id="259" w:name="_Toc16237"/>
      <w:bookmarkStart w:id="260" w:name="_Toc28296"/>
      <w:bookmarkStart w:id="261" w:name="_Toc11161"/>
      <w:bookmarkStart w:id="262" w:name="_Toc15570"/>
      <w:bookmarkStart w:id="263" w:name="_Toc26753"/>
      <w:bookmarkStart w:id="264" w:name="_Toc12983515"/>
      <w:bookmarkStart w:id="265" w:name="_Toc25770"/>
      <w:bookmarkStart w:id="266" w:name="_Toc24857"/>
      <w:bookmarkStart w:id="267" w:name="_Toc19885"/>
      <w:bookmarkStart w:id="268" w:name="_Toc22026"/>
      <w:bookmarkStart w:id="269" w:name="_Toc24935"/>
      <w:bookmarkStart w:id="270" w:name="_Toc11040"/>
      <w:bookmarkStart w:id="271" w:name="_Toc28065"/>
      <w:r>
        <w:rPr>
          <w:rFonts w:asciiTheme="minorEastAsia" w:hAnsiTheme="minorEastAsia" w:eastAsiaTheme="minorEastAsia"/>
          <w:sz w:val="21"/>
          <w:szCs w:val="21"/>
          <w:highlight w:val="none"/>
        </w:rPr>
        <w:t>比选申请语言及计量单位</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9.1 </w:t>
      </w:r>
      <w:r>
        <w:rPr>
          <w:rFonts w:asciiTheme="minorEastAsia" w:hAnsiTheme="minorEastAsia" w:eastAsiaTheme="minorEastAsia"/>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9.2 </w:t>
      </w:r>
      <w:r>
        <w:rPr>
          <w:rFonts w:asciiTheme="minorEastAsia" w:hAnsiTheme="minorEastAsia" w:eastAsiaTheme="minorEastAsia"/>
          <w:highlight w:val="none"/>
        </w:rPr>
        <w:t>除在比选文件另有规定外，计量单位应使用中华人民共和国法定计量单位。</w:t>
      </w:r>
    </w:p>
    <w:p>
      <w:pPr>
        <w:pStyle w:val="7"/>
        <w:numPr>
          <w:ilvl w:val="0"/>
          <w:numId w:val="3"/>
        </w:numPr>
        <w:spacing w:before="0" w:after="0" w:line="360" w:lineRule="auto"/>
        <w:ind w:firstLine="422" w:firstLineChars="200"/>
        <w:rPr>
          <w:rFonts w:asciiTheme="minorEastAsia" w:hAnsiTheme="minorEastAsia" w:eastAsiaTheme="minorEastAsia"/>
          <w:sz w:val="21"/>
          <w:szCs w:val="21"/>
          <w:highlight w:val="none"/>
        </w:rPr>
      </w:pPr>
      <w:bookmarkStart w:id="272" w:name="_Toc29881"/>
      <w:bookmarkStart w:id="273" w:name="_Toc24760"/>
      <w:bookmarkStart w:id="274" w:name="_Toc492478729"/>
      <w:bookmarkStart w:id="275" w:name="_Toc30356"/>
      <w:bookmarkStart w:id="276" w:name="_Toc18149"/>
      <w:bookmarkStart w:id="277" w:name="_Toc390098430"/>
      <w:bookmarkStart w:id="278" w:name="_Toc385427804"/>
      <w:bookmarkStart w:id="279" w:name="_Toc25750602"/>
      <w:bookmarkStart w:id="280" w:name="_Toc12983516"/>
      <w:bookmarkStart w:id="281" w:name="_Toc3877"/>
      <w:bookmarkStart w:id="282" w:name="_Toc22476"/>
      <w:bookmarkStart w:id="283" w:name="_Toc53"/>
      <w:bookmarkStart w:id="284" w:name="_Toc30991"/>
      <w:bookmarkStart w:id="285" w:name="_Toc19681"/>
      <w:bookmarkStart w:id="286" w:name="_Toc15809"/>
      <w:bookmarkStart w:id="287" w:name="_Toc23364"/>
      <w:bookmarkStart w:id="288" w:name="_Toc14323"/>
      <w:bookmarkStart w:id="289" w:name="_Toc3411"/>
      <w:bookmarkStart w:id="290" w:name="_Toc23229"/>
      <w:bookmarkStart w:id="291" w:name="_Toc375039075"/>
      <w:bookmarkStart w:id="292" w:name="_Toc16307"/>
      <w:bookmarkStart w:id="293" w:name="_Toc383891179"/>
      <w:bookmarkStart w:id="294" w:name="_Toc3464"/>
      <w:bookmarkStart w:id="295" w:name="_Toc28164"/>
      <w:r>
        <w:rPr>
          <w:rFonts w:asciiTheme="minorEastAsia" w:hAnsiTheme="minorEastAsia" w:eastAsiaTheme="minorEastAsia"/>
          <w:sz w:val="21"/>
          <w:szCs w:val="21"/>
          <w:highlight w:val="none"/>
        </w:rPr>
        <w:t>比选申请文件组成</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tabs>
          <w:tab w:val="left" w:pos="1134"/>
          <w:tab w:val="left" w:pos="1701"/>
          <w:tab w:val="left" w:pos="1843"/>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10.1 </w:t>
      </w:r>
      <w:r>
        <w:rPr>
          <w:rFonts w:asciiTheme="minorEastAsia" w:hAnsiTheme="minorEastAsia" w:eastAsiaTheme="minorEastAsia"/>
          <w:highlight w:val="none"/>
        </w:rPr>
        <w:t>比选申请文件应提供足够、准确和真实的信息，以供评审委员会判断比选申请人是否具备承担本项目的能力。比选申请人递交的比选申请文件</w:t>
      </w:r>
      <w:r>
        <w:rPr>
          <w:rFonts w:hint="eastAsia" w:asciiTheme="minorEastAsia" w:hAnsiTheme="minorEastAsia" w:eastAsiaTheme="minorEastAsia"/>
          <w:highlight w:val="none"/>
        </w:rPr>
        <w:t>组成详见比选申请须知前附表</w:t>
      </w:r>
      <w:r>
        <w:rPr>
          <w:rFonts w:asciiTheme="minorEastAsia" w:hAnsiTheme="minorEastAsia" w:eastAsiaTheme="minorEastAsia"/>
          <w:highlight w:val="none"/>
        </w:rPr>
        <w:t>。</w:t>
      </w:r>
    </w:p>
    <w:p>
      <w:pPr>
        <w:tabs>
          <w:tab w:val="left" w:pos="1134"/>
          <w:tab w:val="left" w:pos="1701"/>
          <w:tab w:val="left" w:pos="1843"/>
        </w:tabs>
        <w:spacing w:line="360" w:lineRule="auto"/>
        <w:ind w:firstLine="420" w:firstLineChars="200"/>
        <w:rPr>
          <w:rFonts w:asciiTheme="minorEastAsia" w:hAnsiTheme="minorEastAsia" w:eastAsiaTheme="minorEastAsia"/>
          <w:bCs/>
          <w:highlight w:val="none"/>
        </w:rPr>
      </w:pPr>
      <w:r>
        <w:rPr>
          <w:rFonts w:hint="eastAsia" w:asciiTheme="minorEastAsia" w:hAnsiTheme="minorEastAsia" w:eastAsiaTheme="minorEastAsia"/>
          <w:bCs/>
          <w:highlight w:val="none"/>
        </w:rPr>
        <w:t>10.2资格审查文件和技术文件不得透露有关报价的任何信息，否则导致其比选申请被否决。</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296" w:name="_Toc20490"/>
      <w:bookmarkStart w:id="297" w:name="_Toc492478730"/>
      <w:bookmarkStart w:id="298" w:name="_Toc385427805"/>
      <w:bookmarkStart w:id="299" w:name="_Toc7608"/>
      <w:bookmarkStart w:id="300" w:name="_Toc2395"/>
      <w:bookmarkStart w:id="301" w:name="_Toc15448"/>
      <w:bookmarkStart w:id="302" w:name="_Toc390098431"/>
      <w:bookmarkStart w:id="303" w:name="_Toc3670"/>
      <w:bookmarkStart w:id="304" w:name="_Toc25750603"/>
      <w:bookmarkStart w:id="305" w:name="_Toc12983517"/>
      <w:bookmarkStart w:id="306" w:name="_Toc11211"/>
      <w:bookmarkStart w:id="307" w:name="_Toc375039076"/>
      <w:bookmarkStart w:id="308" w:name="_Toc14630"/>
      <w:bookmarkStart w:id="309" w:name="_Toc8151"/>
      <w:bookmarkStart w:id="310" w:name="_Toc21144"/>
      <w:bookmarkStart w:id="311" w:name="_Toc383891180"/>
      <w:bookmarkStart w:id="312" w:name="_Toc20248"/>
      <w:bookmarkStart w:id="313" w:name="_Toc23002"/>
      <w:bookmarkStart w:id="314" w:name="_Toc15919"/>
      <w:bookmarkStart w:id="315" w:name="_Toc27019"/>
      <w:bookmarkStart w:id="316" w:name="_Toc27194"/>
      <w:bookmarkStart w:id="317" w:name="_Toc675"/>
      <w:bookmarkStart w:id="318" w:name="_Toc14308"/>
      <w:bookmarkStart w:id="319" w:name="_Toc16783"/>
      <w:r>
        <w:rPr>
          <w:rFonts w:hint="eastAsia" w:asciiTheme="minorEastAsia" w:hAnsiTheme="minorEastAsia" w:eastAsiaTheme="minorEastAsia"/>
          <w:sz w:val="21"/>
          <w:szCs w:val="21"/>
          <w:highlight w:val="none"/>
        </w:rPr>
        <w:t xml:space="preserve">11. </w:t>
      </w:r>
      <w:r>
        <w:rPr>
          <w:rFonts w:asciiTheme="minorEastAsia" w:hAnsiTheme="minorEastAsia" w:eastAsiaTheme="minorEastAsia"/>
          <w:sz w:val="21"/>
          <w:szCs w:val="21"/>
          <w:highlight w:val="none"/>
        </w:rPr>
        <w:t>比选申请文件格式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11.1 </w:t>
      </w:r>
      <w:r>
        <w:rPr>
          <w:rFonts w:asciiTheme="minorEastAsia" w:hAnsiTheme="minorEastAsia" w:eastAsiaTheme="minorEastAsia"/>
          <w:highlight w:val="none"/>
        </w:rPr>
        <w:t>比选申请人应按本比选申请须知</w:t>
      </w:r>
      <w:r>
        <w:rPr>
          <w:rFonts w:hint="eastAsia" w:asciiTheme="minorEastAsia" w:hAnsiTheme="minorEastAsia" w:eastAsiaTheme="minorEastAsia"/>
          <w:highlight w:val="none"/>
        </w:rPr>
        <w:t>前附表</w:t>
      </w:r>
      <w:r>
        <w:rPr>
          <w:rFonts w:asciiTheme="minorEastAsia" w:hAnsiTheme="minorEastAsia" w:eastAsiaTheme="minorEastAsia"/>
          <w:highlight w:val="none"/>
        </w:rPr>
        <w:t>第10条的内容与要求和提供的格式编写其比选申请文件，比选申请人不得缺少或留空任何比选文件要求填写的表格或提交的资料。</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11.2 </w:t>
      </w:r>
      <w:r>
        <w:rPr>
          <w:rFonts w:asciiTheme="minorEastAsia" w:hAnsiTheme="minorEastAsia" w:eastAsiaTheme="minorEastAsia"/>
          <w:highlight w:val="none"/>
        </w:rPr>
        <w:t>比选申请人应将比选申请文件按本比选申请须知</w:t>
      </w:r>
      <w:r>
        <w:rPr>
          <w:rFonts w:hint="eastAsia" w:asciiTheme="minorEastAsia" w:hAnsiTheme="minorEastAsia" w:eastAsiaTheme="minorEastAsia"/>
          <w:highlight w:val="none"/>
        </w:rPr>
        <w:t>前附表</w:t>
      </w:r>
      <w:r>
        <w:rPr>
          <w:rFonts w:asciiTheme="minorEastAsia" w:hAnsiTheme="minorEastAsia" w:eastAsiaTheme="minorEastAsia"/>
          <w:highlight w:val="none"/>
        </w:rPr>
        <w:t>第10条规定的顺序编排、编制目录、逐页标注连续页码、并装订成册，各分册前须有分册目录。</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11.3 </w:t>
      </w:r>
      <w:r>
        <w:rPr>
          <w:rFonts w:asciiTheme="minorEastAsia" w:hAnsiTheme="minorEastAsia" w:eastAsiaTheme="minorEastAsia"/>
          <w:highlight w:val="none"/>
        </w:rPr>
        <w:t>比选申请文件的规格：统一为A4印刷本，纸质封面，印刷本厚度</w:t>
      </w:r>
      <w:r>
        <w:rPr>
          <w:rFonts w:hint="eastAsia" w:asciiTheme="minorEastAsia" w:hAnsiTheme="minorEastAsia" w:eastAsiaTheme="minorEastAsia"/>
          <w:highlight w:val="none"/>
        </w:rPr>
        <w:t>宜</w:t>
      </w:r>
      <w:r>
        <w:rPr>
          <w:rFonts w:asciiTheme="minorEastAsia" w:hAnsiTheme="minorEastAsia" w:eastAsiaTheme="minorEastAsia"/>
          <w:highlight w:val="none"/>
        </w:rPr>
        <w:t>控制在</w:t>
      </w:r>
      <w:r>
        <w:rPr>
          <w:rFonts w:hint="eastAsia" w:asciiTheme="minorEastAsia" w:hAnsiTheme="minorEastAsia" w:eastAsiaTheme="minorEastAsia"/>
          <w:highlight w:val="none"/>
        </w:rPr>
        <w:t>5</w:t>
      </w:r>
      <w:r>
        <w:rPr>
          <w:rFonts w:asciiTheme="minorEastAsia" w:hAnsiTheme="minorEastAsia" w:eastAsiaTheme="minorEastAsia"/>
          <w:highlight w:val="none"/>
        </w:rPr>
        <w:t>公分以内，超过厚度</w:t>
      </w:r>
      <w:r>
        <w:rPr>
          <w:rFonts w:hint="eastAsia" w:asciiTheme="minorEastAsia" w:hAnsiTheme="minorEastAsia" w:eastAsiaTheme="minorEastAsia"/>
          <w:highlight w:val="none"/>
        </w:rPr>
        <w:t>可</w:t>
      </w:r>
      <w:r>
        <w:rPr>
          <w:rFonts w:asciiTheme="minorEastAsia" w:hAnsiTheme="minorEastAsia" w:eastAsiaTheme="minorEastAsia"/>
          <w:highlight w:val="none"/>
        </w:rPr>
        <w:t>分册装订。封面标明文件题名、编号、比选申请人名称、比选申请时间，</w:t>
      </w:r>
      <w:r>
        <w:rPr>
          <w:rFonts w:hint="eastAsia" w:asciiTheme="minorEastAsia" w:hAnsiTheme="minorEastAsia" w:eastAsiaTheme="minorEastAsia"/>
          <w:highlight w:val="none"/>
        </w:rPr>
        <w:t>封面上标明</w:t>
      </w:r>
      <w:r>
        <w:rPr>
          <w:rFonts w:asciiTheme="minorEastAsia" w:hAnsiTheme="minorEastAsia" w:eastAsiaTheme="minorEastAsia"/>
          <w:highlight w:val="none"/>
        </w:rPr>
        <w:t>正本（或副本）。</w:t>
      </w:r>
      <w:r>
        <w:rPr>
          <w:rFonts w:hint="eastAsia" w:asciiTheme="minorEastAsia" w:hAnsiTheme="minorEastAsia" w:eastAsiaTheme="minorEastAsia"/>
          <w:highlight w:val="none"/>
        </w:rPr>
        <w:t>使用不锈钢书钉或拉线装订或无线胶装</w:t>
      </w:r>
      <w:r>
        <w:rPr>
          <w:rFonts w:asciiTheme="minorEastAsia" w:hAnsiTheme="minorEastAsia" w:eastAsiaTheme="minorEastAsia"/>
          <w:highlight w:val="none"/>
        </w:rPr>
        <w:t>，装订时书钉不外露；不能使用塑料面或塑料胶条装订。</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11.4</w:t>
      </w:r>
      <w:r>
        <w:rPr>
          <w:rFonts w:asciiTheme="minorEastAsia" w:hAnsiTheme="minorEastAsia" w:eastAsiaTheme="minorEastAsia"/>
          <w:highlight w:val="none"/>
        </w:rPr>
        <w:t>比选申请文件的页码：必须按每本</w:t>
      </w:r>
      <w:r>
        <w:rPr>
          <w:rFonts w:hint="eastAsia" w:asciiTheme="minorEastAsia" w:hAnsiTheme="minorEastAsia" w:eastAsiaTheme="minorEastAsia"/>
          <w:highlight w:val="none"/>
        </w:rPr>
        <w:t>正文</w:t>
      </w:r>
      <w:r>
        <w:rPr>
          <w:rFonts w:asciiTheme="minorEastAsia" w:hAnsiTheme="minorEastAsia" w:eastAsiaTheme="minorEastAsia"/>
          <w:highlight w:val="none"/>
        </w:rPr>
        <w:t>逐页从1开始，按照流水号编号。</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11.5</w:t>
      </w:r>
      <w:r>
        <w:rPr>
          <w:rFonts w:asciiTheme="minorEastAsia" w:hAnsiTheme="minorEastAsia" w:eastAsiaTheme="minorEastAsia"/>
          <w:highlight w:val="none"/>
        </w:rPr>
        <w:t>图纸的整理：图纸横向按手风琴折叠，竖向按顺时针方向折叠，折叠后图标露在右下角，每本图纸厚度不</w:t>
      </w:r>
      <w:r>
        <w:rPr>
          <w:rFonts w:hint="eastAsia" w:asciiTheme="minorEastAsia" w:hAnsiTheme="minorEastAsia" w:eastAsiaTheme="minorEastAsia"/>
          <w:highlight w:val="none"/>
        </w:rPr>
        <w:t>宜</w:t>
      </w:r>
      <w:r>
        <w:rPr>
          <w:rFonts w:asciiTheme="minorEastAsia" w:hAnsiTheme="minorEastAsia" w:eastAsiaTheme="minorEastAsia"/>
          <w:highlight w:val="none"/>
        </w:rPr>
        <w:t>超过4公分，超过</w:t>
      </w:r>
      <w:r>
        <w:rPr>
          <w:rFonts w:hint="eastAsia" w:asciiTheme="minorEastAsia" w:hAnsiTheme="minorEastAsia" w:eastAsiaTheme="minorEastAsia"/>
          <w:highlight w:val="none"/>
        </w:rPr>
        <w:t>可</w:t>
      </w:r>
      <w:r>
        <w:rPr>
          <w:rFonts w:asciiTheme="minorEastAsia" w:hAnsiTheme="minorEastAsia" w:eastAsiaTheme="minorEastAsia"/>
          <w:highlight w:val="none"/>
        </w:rPr>
        <w:t>分卷装订，每卷图纸从图纸封面起逐张从1开始</w:t>
      </w:r>
      <w:r>
        <w:rPr>
          <w:rFonts w:hint="eastAsia" w:asciiTheme="minorEastAsia" w:hAnsiTheme="minorEastAsia" w:eastAsiaTheme="minorEastAsia"/>
          <w:highlight w:val="none"/>
        </w:rPr>
        <w:t>，</w:t>
      </w:r>
      <w:r>
        <w:rPr>
          <w:rFonts w:asciiTheme="minorEastAsia" w:hAnsiTheme="minorEastAsia" w:eastAsiaTheme="minorEastAsia"/>
          <w:highlight w:val="none"/>
        </w:rPr>
        <w:t>按照流水号编号。</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320" w:name="_Toc17379"/>
      <w:bookmarkStart w:id="321" w:name="_Toc7857"/>
      <w:bookmarkStart w:id="322" w:name="_Toc26974"/>
      <w:bookmarkStart w:id="323" w:name="_Toc3799"/>
      <w:bookmarkStart w:id="324" w:name="_Toc390098432"/>
      <w:bookmarkStart w:id="325" w:name="_Toc492478731"/>
      <w:bookmarkStart w:id="326" w:name="_Toc21084"/>
      <w:bookmarkStart w:id="327" w:name="_Toc16653"/>
      <w:bookmarkStart w:id="328" w:name="_Toc3813"/>
      <w:bookmarkStart w:id="329" w:name="_Toc25750604"/>
      <w:bookmarkStart w:id="330" w:name="_Toc6671"/>
      <w:bookmarkStart w:id="331" w:name="_Toc22295"/>
      <w:bookmarkStart w:id="332" w:name="_Toc383891181"/>
      <w:bookmarkStart w:id="333" w:name="_Toc31743"/>
      <w:bookmarkStart w:id="334" w:name="_Toc17526"/>
      <w:bookmarkStart w:id="335" w:name="_Toc20685"/>
      <w:bookmarkStart w:id="336" w:name="_Toc26482"/>
      <w:bookmarkStart w:id="337" w:name="_Toc17338"/>
      <w:bookmarkStart w:id="338" w:name="_Toc9416"/>
      <w:bookmarkStart w:id="339" w:name="_Toc385427806"/>
      <w:bookmarkStart w:id="340" w:name="_Toc24264"/>
      <w:bookmarkStart w:id="341" w:name="_Toc375039077"/>
      <w:bookmarkStart w:id="342" w:name="_Toc14123"/>
      <w:bookmarkStart w:id="343" w:name="_Toc12983518"/>
      <w:r>
        <w:rPr>
          <w:rFonts w:hint="eastAsia" w:asciiTheme="minorEastAsia" w:hAnsiTheme="minorEastAsia" w:eastAsiaTheme="minorEastAsia"/>
          <w:sz w:val="21"/>
          <w:szCs w:val="21"/>
          <w:highlight w:val="none"/>
        </w:rPr>
        <w:t xml:space="preserve">12. </w:t>
      </w:r>
      <w:r>
        <w:rPr>
          <w:rFonts w:asciiTheme="minorEastAsia" w:hAnsiTheme="minorEastAsia" w:eastAsiaTheme="minorEastAsia"/>
          <w:sz w:val="21"/>
          <w:szCs w:val="21"/>
          <w:highlight w:val="none"/>
        </w:rPr>
        <w:t>比选申请报价</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tabs>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 xml:space="preserve">12.1 </w:t>
      </w:r>
      <w:r>
        <w:rPr>
          <w:rFonts w:hint="eastAsia" w:asciiTheme="minorEastAsia" w:hAnsiTheme="minorEastAsia" w:eastAsiaTheme="minorEastAsia"/>
          <w:highlight w:val="none"/>
        </w:rPr>
        <w:t>本项目采用</w:t>
      </w:r>
      <w:r>
        <w:rPr>
          <w:rFonts w:hint="eastAsia" w:asciiTheme="minorEastAsia" w:hAnsiTheme="minorEastAsia" w:eastAsiaTheme="minorEastAsia"/>
          <w:highlight w:val="none"/>
          <w:lang w:val="en-US" w:eastAsia="zh-CN"/>
        </w:rPr>
        <w:t>不</w:t>
      </w:r>
      <w:r>
        <w:rPr>
          <w:rFonts w:hint="eastAsia" w:asciiTheme="minorEastAsia" w:hAnsiTheme="minorEastAsia" w:eastAsiaTheme="minorEastAsia"/>
          <w:highlight w:val="none"/>
        </w:rPr>
        <w:t>含税报价</w:t>
      </w:r>
      <w:r>
        <w:rPr>
          <w:rFonts w:hint="eastAsia" w:asciiTheme="minorEastAsia" w:hAnsiTheme="minorEastAsia" w:eastAsiaTheme="minorEastAsia"/>
          <w:highlight w:val="none"/>
          <w:lang w:eastAsia="zh-CN"/>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Theme="minorEastAsia" w:hAnsiTheme="minorEastAsia" w:eastAsiaTheme="minorEastAsia"/>
          <w:highlight w:val="none"/>
        </w:rPr>
        <w:t>比选申请人须按第五章《用户需求书》中的</w:t>
      </w:r>
      <w:r>
        <w:rPr>
          <w:rFonts w:hint="eastAsia" w:asciiTheme="minorEastAsia" w:hAnsiTheme="minorEastAsia" w:eastAsiaTheme="minorEastAsia"/>
          <w:highlight w:val="none"/>
          <w:lang w:eastAsia="zh-CN"/>
        </w:rPr>
        <w:t>《电梯技术参数需求表》</w:t>
      </w:r>
      <w:r>
        <w:rPr>
          <w:rFonts w:hint="eastAsia" w:asciiTheme="minorEastAsia" w:hAnsiTheme="minorEastAsia" w:eastAsiaTheme="minorEastAsia"/>
          <w:highlight w:val="none"/>
        </w:rPr>
        <w:t>的顺序填报比选申请报价表，不允许打乱顺序。比选申请人应完整地填写比选文件中提供的“比选申请报价一览表”及“比选申请报价表”。按“比选申请报价表”的要求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 xml:space="preserve">12.2 </w:t>
      </w:r>
      <w:r>
        <w:rPr>
          <w:rFonts w:hint="eastAsia" w:asciiTheme="minorEastAsia" w:hAnsiTheme="minorEastAsia" w:eastAsiaTheme="minorEastAsia"/>
          <w:highlight w:val="none"/>
        </w:rPr>
        <w:t>比选申请报价应包括履行合同标的全过程产生的所有成本和费用以及比选申请人应承担的费用。</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12.3所有与本项目有关的未列入配合费细目的工作内容，均被认为已经包含在其他细目及比选申请总价中。</w:t>
      </w:r>
    </w:p>
    <w:p>
      <w:pPr>
        <w:tabs>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12.</w:t>
      </w:r>
      <w:r>
        <w:rPr>
          <w:rFonts w:hint="eastAsia" w:asciiTheme="minorEastAsia" w:hAnsiTheme="minorEastAsia" w:eastAsiaTheme="minorEastAsia"/>
          <w:highlight w:val="none"/>
        </w:rPr>
        <w:t>4</w:t>
      </w:r>
      <w:r>
        <w:rPr>
          <w:rFonts w:asciiTheme="minorEastAsia" w:hAnsiTheme="minorEastAsia" w:eastAsiaTheme="minorEastAsia"/>
          <w:highlight w:val="none"/>
        </w:rPr>
        <w:t xml:space="preserve"> </w:t>
      </w:r>
      <w:r>
        <w:rPr>
          <w:rFonts w:hint="eastAsia" w:asciiTheme="minorEastAsia" w:hAnsiTheme="minorEastAsia" w:eastAsiaTheme="minorEastAsia"/>
          <w:highlight w:val="none"/>
        </w:rPr>
        <w:t>项目不接受</w:t>
      </w:r>
      <w:r>
        <w:rPr>
          <w:rFonts w:asciiTheme="minorEastAsia" w:hAnsiTheme="minorEastAsia" w:eastAsiaTheme="minorEastAsia"/>
          <w:highlight w:val="none"/>
        </w:rPr>
        <w:t>比选申请人免费</w:t>
      </w:r>
      <w:r>
        <w:rPr>
          <w:rFonts w:hint="eastAsia" w:asciiTheme="minorEastAsia" w:hAnsiTheme="minorEastAsia" w:eastAsiaTheme="minorEastAsia"/>
          <w:highlight w:val="none"/>
        </w:rPr>
        <w:t>、赠送、打折</w:t>
      </w:r>
      <w:r>
        <w:rPr>
          <w:rFonts w:asciiTheme="minorEastAsia" w:hAnsiTheme="minorEastAsia" w:eastAsiaTheme="minorEastAsia"/>
          <w:highlight w:val="none"/>
        </w:rPr>
        <w:t>提供</w:t>
      </w:r>
      <w:r>
        <w:rPr>
          <w:rFonts w:hint="eastAsia" w:asciiTheme="minorEastAsia" w:hAnsiTheme="minorEastAsia" w:eastAsiaTheme="minorEastAsia"/>
          <w:highlight w:val="none"/>
        </w:rPr>
        <w:t>任何形式的服务。</w:t>
      </w:r>
    </w:p>
    <w:p>
      <w:pPr>
        <w:spacing w:line="360" w:lineRule="auto"/>
        <w:ind w:firstLine="420" w:firstLineChars="200"/>
        <w:rPr>
          <w:rFonts w:cs="宋体" w:asciiTheme="minorEastAsia" w:hAnsiTheme="minorEastAsia" w:eastAsiaTheme="minorEastAsia"/>
          <w:highlight w:val="none"/>
        </w:rPr>
      </w:pPr>
      <w:r>
        <w:rPr>
          <w:rFonts w:asciiTheme="minorEastAsia" w:hAnsiTheme="minorEastAsia" w:eastAsiaTheme="minorEastAsia"/>
          <w:highlight w:val="none"/>
        </w:rPr>
        <w:t>12.</w:t>
      </w:r>
      <w:r>
        <w:rPr>
          <w:rFonts w:hint="eastAsia" w:asciiTheme="minorEastAsia" w:hAnsiTheme="minorEastAsia" w:eastAsiaTheme="minorEastAsia"/>
          <w:highlight w:val="none"/>
        </w:rPr>
        <w:t>5</w:t>
      </w:r>
      <w:r>
        <w:rPr>
          <w:rFonts w:asciiTheme="minorEastAsia" w:hAnsiTheme="minorEastAsia" w:eastAsiaTheme="minorEastAsia"/>
          <w:highlight w:val="none"/>
        </w:rPr>
        <w:t xml:space="preserve"> </w:t>
      </w:r>
      <w:r>
        <w:rPr>
          <w:rFonts w:cs="宋体" w:asciiTheme="minorEastAsia" w:hAnsiTheme="minorEastAsia" w:eastAsiaTheme="minorEastAsia"/>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Theme="minorEastAsia" w:hAnsiTheme="minorEastAsia" w:eastAsiaTheme="minorEastAsia"/>
          <w:b/>
          <w:highlight w:val="none"/>
        </w:rPr>
      </w:pPr>
      <w:r>
        <w:rPr>
          <w:rFonts w:asciiTheme="minorEastAsia" w:hAnsiTheme="minorEastAsia" w:eastAsiaTheme="minorEastAsia"/>
          <w:highlight w:val="none"/>
        </w:rPr>
        <w:t>12.</w:t>
      </w:r>
      <w:r>
        <w:rPr>
          <w:rFonts w:hint="eastAsia" w:asciiTheme="minorEastAsia" w:hAnsiTheme="minorEastAsia" w:eastAsiaTheme="minorEastAsia"/>
          <w:highlight w:val="none"/>
        </w:rPr>
        <w:t>6</w:t>
      </w:r>
      <w:r>
        <w:rPr>
          <w:rFonts w:asciiTheme="minorEastAsia" w:hAnsiTheme="minorEastAsia" w:eastAsiaTheme="minorEastAsia"/>
          <w:highlight w:val="none"/>
        </w:rPr>
        <w:t xml:space="preserve"> </w:t>
      </w:r>
      <w:r>
        <w:rPr>
          <w:rFonts w:hint="eastAsia" w:asciiTheme="minorEastAsia" w:hAnsiTheme="minorEastAsia" w:eastAsiaTheme="minorEastAsia"/>
          <w:b/>
          <w:highlight w:val="none"/>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12.7 比选申请人不得在价格文件之外的比选申请文件中出现任何有关本项目的报价信息。</w:t>
      </w:r>
    </w:p>
    <w:p>
      <w:pPr>
        <w:pStyle w:val="7"/>
        <w:numPr>
          <w:ilvl w:val="0"/>
          <w:numId w:val="4"/>
        </w:numPr>
        <w:spacing w:before="0" w:after="0" w:line="360" w:lineRule="auto"/>
        <w:ind w:firstLine="422" w:firstLineChars="200"/>
        <w:rPr>
          <w:rFonts w:asciiTheme="minorEastAsia" w:hAnsiTheme="minorEastAsia" w:eastAsiaTheme="minorEastAsia"/>
          <w:sz w:val="21"/>
          <w:szCs w:val="21"/>
          <w:highlight w:val="none"/>
        </w:rPr>
      </w:pPr>
      <w:bookmarkStart w:id="344" w:name="_Toc26064"/>
      <w:bookmarkStart w:id="345" w:name="_Toc492478732"/>
      <w:bookmarkStart w:id="346" w:name="_Toc18875"/>
      <w:bookmarkStart w:id="347" w:name="_Toc21706"/>
      <w:bookmarkStart w:id="348" w:name="_Toc12762"/>
      <w:bookmarkStart w:id="349" w:name="_Toc390098433"/>
      <w:bookmarkStart w:id="350" w:name="_Toc15940"/>
      <w:bookmarkStart w:id="351" w:name="_Toc25459"/>
      <w:bookmarkStart w:id="352" w:name="_Toc1664"/>
      <w:bookmarkStart w:id="353" w:name="_Toc21448"/>
      <w:bookmarkStart w:id="354" w:name="_Toc28476"/>
      <w:bookmarkStart w:id="355" w:name="_Toc12947"/>
      <w:bookmarkStart w:id="356" w:name="_Toc375039078"/>
      <w:bookmarkStart w:id="357" w:name="_Toc25750605"/>
      <w:bookmarkStart w:id="358" w:name="_Toc385427807"/>
      <w:bookmarkStart w:id="359" w:name="_Toc12983519"/>
      <w:bookmarkStart w:id="360" w:name="_Toc5836"/>
      <w:bookmarkStart w:id="361" w:name="_Toc10220"/>
      <w:bookmarkStart w:id="362" w:name="_Toc2710"/>
      <w:bookmarkStart w:id="363" w:name="_Toc21430"/>
      <w:bookmarkStart w:id="364" w:name="_Toc20156"/>
      <w:bookmarkStart w:id="365" w:name="_Toc7428"/>
      <w:bookmarkStart w:id="366" w:name="_Toc28880"/>
      <w:bookmarkStart w:id="367" w:name="_Toc383891182"/>
      <w:r>
        <w:rPr>
          <w:rFonts w:asciiTheme="minorEastAsia" w:hAnsiTheme="minorEastAsia" w:eastAsiaTheme="minorEastAsia"/>
          <w:sz w:val="21"/>
          <w:szCs w:val="21"/>
          <w:highlight w:val="none"/>
        </w:rPr>
        <w:t>比选申请货币</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13.1</w:t>
      </w:r>
      <w:r>
        <w:rPr>
          <w:rFonts w:asciiTheme="minorEastAsia" w:hAnsiTheme="minorEastAsia" w:eastAsiaTheme="minorEastAsia"/>
          <w:highlight w:val="none"/>
        </w:rPr>
        <w:t>比选申请人提供的服务用人民币报价。在比选申请文件中的报价一律用人民币币种填报，比选人不接受任何非人民币币种的比选申请报价。</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13.2</w:t>
      </w:r>
      <w:r>
        <w:rPr>
          <w:rFonts w:asciiTheme="minorEastAsia" w:hAnsiTheme="minorEastAsia" w:eastAsiaTheme="minorEastAsia"/>
          <w:highlight w:val="none"/>
        </w:rPr>
        <w:t>比选人将以人民币与中选的比选申请人签订合同。</w:t>
      </w:r>
    </w:p>
    <w:p>
      <w:pPr>
        <w:pStyle w:val="7"/>
        <w:numPr>
          <w:ilvl w:val="0"/>
          <w:numId w:val="4"/>
        </w:numPr>
        <w:spacing w:before="0" w:after="0" w:line="360" w:lineRule="auto"/>
        <w:ind w:firstLine="422" w:firstLineChars="200"/>
        <w:rPr>
          <w:rFonts w:asciiTheme="minorEastAsia" w:hAnsiTheme="minorEastAsia" w:eastAsiaTheme="minorEastAsia"/>
          <w:sz w:val="21"/>
          <w:szCs w:val="21"/>
          <w:highlight w:val="none"/>
        </w:rPr>
      </w:pPr>
      <w:bookmarkStart w:id="368" w:name="_Toc25750606"/>
      <w:bookmarkStart w:id="369" w:name="_Toc1530"/>
      <w:bookmarkStart w:id="370" w:name="_Toc30606"/>
      <w:bookmarkStart w:id="371" w:name="_Toc375039081"/>
      <w:bookmarkStart w:id="372" w:name="_Toc16314"/>
      <w:bookmarkStart w:id="373" w:name="_Toc22051"/>
      <w:bookmarkStart w:id="374" w:name="_Toc12049"/>
      <w:bookmarkStart w:id="375" w:name="_Toc30040"/>
      <w:bookmarkStart w:id="376" w:name="_Toc14309"/>
      <w:bookmarkStart w:id="377" w:name="_Toc5974"/>
      <w:bookmarkStart w:id="378" w:name="_Toc14922"/>
      <w:bookmarkStart w:id="379" w:name="_Toc9237"/>
      <w:bookmarkStart w:id="380" w:name="_Toc24199"/>
      <w:bookmarkStart w:id="381" w:name="_Toc28665"/>
      <w:bookmarkStart w:id="382" w:name="_Toc385427810"/>
      <w:bookmarkStart w:id="383" w:name="_Toc27508"/>
      <w:bookmarkStart w:id="384" w:name="_Toc1624"/>
      <w:bookmarkStart w:id="385" w:name="_Toc7417"/>
      <w:bookmarkStart w:id="386" w:name="_Toc12983520"/>
      <w:bookmarkStart w:id="387" w:name="_Toc383891185"/>
      <w:bookmarkStart w:id="388" w:name="_Toc30848"/>
      <w:bookmarkStart w:id="389" w:name="_Toc390098436"/>
      <w:bookmarkStart w:id="390" w:name="_Toc492478735"/>
      <w:bookmarkStart w:id="391" w:name="_Toc11690"/>
      <w:r>
        <w:rPr>
          <w:rFonts w:asciiTheme="minorEastAsia" w:hAnsiTheme="minorEastAsia" w:eastAsiaTheme="minorEastAsia"/>
          <w:sz w:val="21"/>
          <w:szCs w:val="21"/>
          <w:highlight w:val="none"/>
        </w:rPr>
        <w:t>比选保证金</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2"/>
        <w:spacing w:line="360" w:lineRule="auto"/>
        <w:ind w:firstLine="420" w:firstLineChars="200"/>
        <w:rPr>
          <w:rFonts w:cs="Times New Roman" w:asciiTheme="minorEastAsia" w:hAnsiTheme="minorEastAsia" w:eastAsiaTheme="minorEastAsia"/>
          <w:szCs w:val="21"/>
          <w:highlight w:val="none"/>
        </w:rPr>
      </w:pPr>
      <w:r>
        <w:rPr>
          <w:rFonts w:hint="eastAsia" w:cs="Times New Roman" w:asciiTheme="minorEastAsia" w:hAnsiTheme="minorEastAsia" w:eastAsiaTheme="minorEastAsia"/>
          <w:szCs w:val="21"/>
          <w:highlight w:val="none"/>
        </w:rPr>
        <w:t>本项目</w:t>
      </w:r>
      <w:r>
        <w:rPr>
          <w:rFonts w:hint="eastAsia" w:asciiTheme="minorEastAsia" w:hAnsiTheme="minorEastAsia" w:eastAsiaTheme="minorEastAsia"/>
          <w:szCs w:val="21"/>
          <w:highlight w:val="none"/>
        </w:rPr>
        <w:t>不要求递交比选保证金。</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392" w:name="_Toc390098437"/>
      <w:bookmarkStart w:id="393" w:name="_Toc20643"/>
      <w:bookmarkStart w:id="394" w:name="_Toc9117"/>
      <w:bookmarkStart w:id="395" w:name="_Toc385427811"/>
      <w:bookmarkStart w:id="396" w:name="_Toc10918"/>
      <w:bookmarkStart w:id="397" w:name="_Toc12983521"/>
      <w:bookmarkStart w:id="398" w:name="_Toc845"/>
      <w:bookmarkStart w:id="399" w:name="_Toc383891186"/>
      <w:bookmarkStart w:id="400" w:name="_Toc4433"/>
      <w:bookmarkStart w:id="401" w:name="_Toc23114"/>
      <w:bookmarkStart w:id="402" w:name="_Toc25750607"/>
      <w:bookmarkStart w:id="403" w:name="_Toc20070"/>
      <w:bookmarkStart w:id="404" w:name="_Toc7808"/>
      <w:bookmarkStart w:id="405" w:name="_Toc28997"/>
      <w:bookmarkStart w:id="406" w:name="_Toc5690"/>
      <w:bookmarkStart w:id="407" w:name="_Toc492478736"/>
      <w:bookmarkStart w:id="408" w:name="_Toc375039082"/>
      <w:bookmarkStart w:id="409" w:name="_Toc24656"/>
      <w:bookmarkStart w:id="410" w:name="_Toc691"/>
      <w:bookmarkStart w:id="411" w:name="_Toc20493"/>
      <w:bookmarkStart w:id="412" w:name="_Toc1604"/>
      <w:bookmarkStart w:id="413" w:name="_Toc2268"/>
      <w:bookmarkStart w:id="414" w:name="_Toc28555"/>
      <w:bookmarkStart w:id="415" w:name="_Toc30499"/>
      <w:r>
        <w:rPr>
          <w:rFonts w:hint="eastAsia" w:asciiTheme="minorEastAsia" w:hAnsiTheme="minorEastAsia" w:eastAsiaTheme="minorEastAsia"/>
          <w:sz w:val="21"/>
          <w:szCs w:val="21"/>
          <w:highlight w:val="none"/>
        </w:rPr>
        <w:t xml:space="preserve">15. </w:t>
      </w:r>
      <w:r>
        <w:rPr>
          <w:rFonts w:asciiTheme="minorEastAsia" w:hAnsiTheme="minorEastAsia" w:eastAsiaTheme="minorEastAsia"/>
          <w:sz w:val="21"/>
          <w:szCs w:val="21"/>
          <w:highlight w:val="none"/>
        </w:rPr>
        <w:t>比选申请有效期</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15.1 </w:t>
      </w:r>
      <w:r>
        <w:rPr>
          <w:rFonts w:asciiTheme="minorEastAsia" w:hAnsiTheme="minorEastAsia" w:eastAsiaTheme="minorEastAsia"/>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15.2 </w:t>
      </w:r>
      <w:r>
        <w:rPr>
          <w:rFonts w:asciiTheme="minorEastAsia" w:hAnsiTheme="minorEastAsia" w:eastAsiaTheme="minorEastAsia"/>
          <w:highlight w:val="none"/>
        </w:rPr>
        <w:t>特殊情况下，</w:t>
      </w:r>
      <w:r>
        <w:rPr>
          <w:rFonts w:hint="eastAsia" w:asciiTheme="minorEastAsia" w:hAnsiTheme="minorEastAsia" w:eastAsiaTheme="minorEastAsia"/>
          <w:highlight w:val="none"/>
        </w:rPr>
        <w:t>比选人</w:t>
      </w:r>
      <w:r>
        <w:rPr>
          <w:rFonts w:asciiTheme="minorEastAsia" w:hAnsiTheme="minorEastAsia" w:eastAsiaTheme="minorEastAsia"/>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Theme="minorEastAsia" w:hAnsiTheme="minorEastAsia" w:eastAsiaTheme="minorEastAsia"/>
          <w:highlight w:val="none"/>
        </w:rPr>
        <w:t>。</w:t>
      </w:r>
      <w:r>
        <w:rPr>
          <w:rFonts w:asciiTheme="minorEastAsia" w:hAnsiTheme="minorEastAsia" w:eastAsiaTheme="minorEastAsia"/>
          <w:highlight w:val="none"/>
        </w:rPr>
        <w:t xml:space="preserve"> </w:t>
      </w:r>
    </w:p>
    <w:p>
      <w:pPr>
        <w:tabs>
          <w:tab w:val="left" w:pos="1134"/>
          <w:tab w:val="left" w:pos="8364"/>
        </w:tabs>
        <w:spacing w:line="360" w:lineRule="auto"/>
        <w:ind w:firstLine="420" w:firstLineChars="200"/>
        <w:rPr>
          <w:rFonts w:asciiTheme="minorEastAsia" w:hAnsiTheme="minorEastAsia" w:eastAsiaTheme="minorEastAsia"/>
          <w:highlight w:val="none"/>
        </w:rPr>
      </w:pPr>
      <w:bookmarkStart w:id="416" w:name="_Toc19603"/>
      <w:bookmarkStart w:id="417" w:name="_Toc19044"/>
      <w:bookmarkStart w:id="418" w:name="_Toc24922"/>
      <w:bookmarkStart w:id="419" w:name="_Toc6065"/>
      <w:bookmarkStart w:id="420" w:name="_Toc12506"/>
      <w:bookmarkStart w:id="421" w:name="_Toc383891187"/>
      <w:bookmarkStart w:id="422" w:name="_Toc29108"/>
      <w:bookmarkStart w:id="423" w:name="_Toc385427812"/>
      <w:bookmarkStart w:id="424" w:name="_Toc375039083"/>
      <w:bookmarkStart w:id="425" w:name="_Toc32020"/>
      <w:bookmarkStart w:id="426" w:name="_Toc12983522"/>
      <w:bookmarkStart w:id="427" w:name="_Toc25468"/>
      <w:bookmarkStart w:id="428" w:name="_Toc4216"/>
      <w:bookmarkStart w:id="429" w:name="_Toc32525"/>
      <w:bookmarkStart w:id="430" w:name="_Toc14672"/>
      <w:bookmarkStart w:id="431" w:name="_Toc390098438"/>
      <w:bookmarkStart w:id="432" w:name="_Toc12435"/>
      <w:bookmarkStart w:id="433" w:name="_Toc3414"/>
      <w:bookmarkStart w:id="434" w:name="_Toc8100"/>
      <w:bookmarkStart w:id="435" w:name="_Toc492478737"/>
      <w:bookmarkStart w:id="436" w:name="_Toc27730"/>
      <w:bookmarkStart w:id="437" w:name="_Toc301"/>
      <w:bookmarkStart w:id="438" w:name="_Toc25684"/>
      <w:r>
        <w:rPr>
          <w:rFonts w:hint="eastAsia" w:asciiTheme="minorEastAsia" w:hAnsiTheme="minorEastAsia" w:eastAsiaTheme="minorEastAsia"/>
          <w:highlight w:val="none"/>
        </w:rPr>
        <w:t xml:space="preserve">16. </w:t>
      </w:r>
      <w:r>
        <w:rPr>
          <w:rFonts w:asciiTheme="minorEastAsia" w:hAnsiTheme="minorEastAsia" w:eastAsiaTheme="minorEastAsia"/>
          <w:highlight w:val="none"/>
        </w:rPr>
        <w:t>比选申请文件的制作和签署</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16.1 </w:t>
      </w:r>
      <w:r>
        <w:rPr>
          <w:rFonts w:asciiTheme="minorEastAsia" w:hAnsiTheme="minorEastAsia" w:eastAsiaTheme="minorEastAsia"/>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Theme="minorEastAsia" w:hAnsiTheme="minorEastAsia" w:eastAsiaTheme="minorEastAsia"/>
          <w:highlight w:val="none"/>
        </w:rPr>
        <w:t>质</w:t>
      </w:r>
      <w:r>
        <w:rPr>
          <w:rFonts w:asciiTheme="minorEastAsia" w:hAnsiTheme="minorEastAsia" w:eastAsiaTheme="minorEastAsia"/>
          <w:highlight w:val="none"/>
        </w:rPr>
        <w:t>文件不符以纸</w:t>
      </w:r>
      <w:r>
        <w:rPr>
          <w:rFonts w:hint="eastAsia" w:asciiTheme="minorEastAsia" w:hAnsiTheme="minorEastAsia" w:eastAsiaTheme="minorEastAsia"/>
          <w:highlight w:val="none"/>
        </w:rPr>
        <w:t>质</w:t>
      </w:r>
      <w:r>
        <w:rPr>
          <w:rFonts w:asciiTheme="minorEastAsia" w:hAnsiTheme="minorEastAsia" w:eastAsiaTheme="minorEastAsia"/>
          <w:highlight w:val="none"/>
        </w:rPr>
        <w:t>文件为准。</w:t>
      </w:r>
      <w:r>
        <w:rPr>
          <w:rFonts w:hint="eastAsia" w:asciiTheme="minorEastAsia" w:hAnsiTheme="minorEastAsia" w:eastAsiaTheme="minorEastAsia"/>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 xml:space="preserve">16.2 </w:t>
      </w:r>
      <w:r>
        <w:rPr>
          <w:rFonts w:asciiTheme="minorEastAsia" w:hAnsiTheme="minorEastAsia" w:eastAsiaTheme="minorEastAsia"/>
          <w:b/>
          <w:highlight w:val="none"/>
        </w:rPr>
        <w:t>比选申请文件的正本需打印，并由比选申请人法定代表人或其授权委托人</w:t>
      </w:r>
      <w:r>
        <w:rPr>
          <w:rFonts w:hint="eastAsia" w:asciiTheme="minorEastAsia" w:hAnsiTheme="minorEastAsia" w:eastAsiaTheme="minorEastAsia"/>
          <w:b/>
          <w:highlight w:val="none"/>
        </w:rPr>
        <w:t>在比选文件规定的相关位置</w:t>
      </w:r>
      <w:r>
        <w:rPr>
          <w:rFonts w:asciiTheme="minorEastAsia" w:hAnsiTheme="minorEastAsia" w:eastAsiaTheme="minorEastAsia"/>
          <w:b/>
          <w:highlight w:val="none"/>
        </w:rPr>
        <w:t>签字并加盖公章。授权委托人应将以书面形式出具的“法定代表人授权书”附在比选申请文件中。</w:t>
      </w:r>
      <w:r>
        <w:rPr>
          <w:rFonts w:hint="eastAsia" w:asciiTheme="minorEastAsia" w:hAnsiTheme="minorEastAsia" w:eastAsiaTheme="minorEastAsia"/>
          <w:b/>
          <w:highlight w:val="none"/>
        </w:rPr>
        <w:t>比选申请文件正本需</w:t>
      </w:r>
      <w:r>
        <w:rPr>
          <w:rFonts w:asciiTheme="minorEastAsia" w:hAnsiTheme="minorEastAsia" w:eastAsiaTheme="minorEastAsia"/>
          <w:b/>
          <w:highlight w:val="none"/>
        </w:rPr>
        <w:t>骑缝加盖比选申请人单位公章</w:t>
      </w:r>
      <w:r>
        <w:rPr>
          <w:rFonts w:hint="eastAsia" w:asciiTheme="minorEastAsia" w:hAnsiTheme="minorEastAsia" w:eastAsiaTheme="minorEastAsia"/>
          <w:b/>
          <w:highlight w:val="none"/>
        </w:rPr>
        <w:t>，</w:t>
      </w:r>
      <w:r>
        <w:rPr>
          <w:rFonts w:asciiTheme="minorEastAsia" w:hAnsiTheme="minorEastAsia" w:eastAsiaTheme="minorEastAsia"/>
          <w:b/>
          <w:highlight w:val="none"/>
        </w:rPr>
        <w:t>比选申请文件的副本可采用正本的复印件</w:t>
      </w:r>
      <w:r>
        <w:rPr>
          <w:rFonts w:hint="eastAsia" w:asciiTheme="minorEastAsia" w:hAnsiTheme="minorEastAsia" w:eastAsiaTheme="minorEastAsia"/>
          <w:b/>
          <w:highlight w:val="none"/>
        </w:rPr>
        <w:t>（需</w:t>
      </w:r>
      <w:r>
        <w:rPr>
          <w:rFonts w:asciiTheme="minorEastAsia" w:hAnsiTheme="minorEastAsia" w:eastAsiaTheme="minorEastAsia"/>
          <w:b/>
          <w:highlight w:val="none"/>
        </w:rPr>
        <w:t>骑缝加盖比选申请人单位公章</w:t>
      </w:r>
      <w:r>
        <w:rPr>
          <w:rFonts w:hint="eastAsia" w:asciiTheme="minorEastAsia" w:hAnsiTheme="minorEastAsia" w:eastAsiaTheme="minorEastAsia"/>
          <w:b/>
          <w:highlight w:val="none"/>
        </w:rPr>
        <w:t>）</w:t>
      </w:r>
      <w:r>
        <w:rPr>
          <w:rFonts w:asciiTheme="minorEastAsia" w:hAnsiTheme="minorEastAsia" w:eastAsiaTheme="minorEastAsia"/>
          <w:b/>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16.3 </w:t>
      </w:r>
      <w:r>
        <w:rPr>
          <w:rFonts w:asciiTheme="minorEastAsia" w:hAnsiTheme="minorEastAsia" w:eastAsiaTheme="minorEastAsia"/>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16.4 </w:t>
      </w:r>
      <w:r>
        <w:rPr>
          <w:rFonts w:asciiTheme="minorEastAsia" w:hAnsiTheme="minorEastAsia" w:eastAsiaTheme="minorEastAsia"/>
          <w:highlight w:val="none"/>
        </w:rPr>
        <w:t>比选人拒绝接受以</w:t>
      </w:r>
      <w:r>
        <w:rPr>
          <w:rFonts w:hint="eastAsia" w:asciiTheme="minorEastAsia" w:hAnsiTheme="minorEastAsia" w:eastAsiaTheme="minorEastAsia"/>
          <w:highlight w:val="none"/>
        </w:rPr>
        <w:t>邮寄、</w:t>
      </w:r>
      <w:r>
        <w:rPr>
          <w:rFonts w:asciiTheme="minorEastAsia" w:hAnsiTheme="minorEastAsia" w:eastAsiaTheme="minorEastAsia"/>
          <w:highlight w:val="none"/>
        </w:rPr>
        <w:t>电报、电话、传真、电子邮件形式的比选申请。</w:t>
      </w:r>
    </w:p>
    <w:p>
      <w:pPr>
        <w:pStyle w:val="5"/>
        <w:spacing w:after="0" w:line="360" w:lineRule="auto"/>
        <w:ind w:firstLine="482" w:firstLineChars="200"/>
        <w:rPr>
          <w:rFonts w:asciiTheme="minorEastAsia" w:hAnsiTheme="minorEastAsia" w:eastAsiaTheme="minorEastAsia"/>
          <w:sz w:val="24"/>
          <w:szCs w:val="24"/>
          <w:highlight w:val="none"/>
        </w:rPr>
      </w:pPr>
      <w:bookmarkStart w:id="439" w:name="_Toc375039084"/>
      <w:bookmarkStart w:id="440" w:name="_Toc385427813"/>
      <w:bookmarkStart w:id="441" w:name="_Toc390098439"/>
      <w:bookmarkStart w:id="442" w:name="_Toc383891188"/>
      <w:bookmarkStart w:id="443" w:name="_Toc10234"/>
      <w:bookmarkStart w:id="444" w:name="_Toc492478738"/>
      <w:bookmarkStart w:id="445" w:name="_Toc18322"/>
      <w:bookmarkStart w:id="446" w:name="_Toc12983523"/>
      <w:bookmarkStart w:id="447" w:name="_Toc1315"/>
      <w:bookmarkStart w:id="448" w:name="_Toc15116"/>
      <w:bookmarkStart w:id="449" w:name="_Toc2113"/>
      <w:bookmarkStart w:id="450" w:name="_Toc6101"/>
      <w:bookmarkStart w:id="451" w:name="_Toc23177"/>
      <w:bookmarkStart w:id="452" w:name="_Toc2975"/>
      <w:bookmarkStart w:id="453" w:name="_Toc26776"/>
      <w:bookmarkStart w:id="454" w:name="_Toc25750608"/>
      <w:bookmarkStart w:id="455" w:name="_Toc26551"/>
      <w:bookmarkStart w:id="456" w:name="_Toc1952"/>
      <w:bookmarkStart w:id="457" w:name="_Toc30452"/>
      <w:bookmarkStart w:id="458" w:name="_Toc759"/>
      <w:bookmarkStart w:id="459" w:name="_Toc16409"/>
      <w:bookmarkStart w:id="460" w:name="_Toc30187"/>
      <w:bookmarkStart w:id="461" w:name="_Toc32054"/>
      <w:bookmarkStart w:id="462" w:name="_Toc30962"/>
      <w:r>
        <w:rPr>
          <w:rFonts w:hint="eastAsia" w:asciiTheme="minorEastAsia" w:hAnsiTheme="minorEastAsia" w:eastAsiaTheme="minorEastAsia"/>
          <w:sz w:val="24"/>
          <w:szCs w:val="24"/>
          <w:highlight w:val="none"/>
        </w:rPr>
        <w:t>四、</w:t>
      </w:r>
      <w:r>
        <w:rPr>
          <w:rFonts w:asciiTheme="minorEastAsia" w:hAnsiTheme="minorEastAsia" w:eastAsiaTheme="minorEastAsia"/>
          <w:sz w:val="24"/>
          <w:szCs w:val="24"/>
          <w:highlight w:val="none"/>
        </w:rPr>
        <w:t>比选申请文件</w:t>
      </w:r>
      <w:bookmarkEnd w:id="439"/>
      <w:bookmarkEnd w:id="440"/>
      <w:bookmarkEnd w:id="441"/>
      <w:bookmarkEnd w:id="442"/>
      <w:r>
        <w:rPr>
          <w:rFonts w:hint="eastAsia" w:asciiTheme="minorEastAsia" w:hAnsiTheme="minorEastAsia" w:eastAsiaTheme="minorEastAsia"/>
          <w:sz w:val="24"/>
          <w:szCs w:val="24"/>
          <w:highlight w:val="none"/>
        </w:rPr>
        <w:t>的密封和递交</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7"/>
        <w:spacing w:before="0" w:after="0" w:line="360" w:lineRule="auto"/>
        <w:ind w:firstLine="422" w:firstLineChars="200"/>
        <w:rPr>
          <w:rFonts w:asciiTheme="minorEastAsia" w:hAnsiTheme="minorEastAsia" w:eastAsiaTheme="minorEastAsia"/>
          <w:sz w:val="21"/>
          <w:szCs w:val="21"/>
          <w:highlight w:val="none"/>
        </w:rPr>
      </w:pPr>
      <w:bookmarkStart w:id="463" w:name="_Toc17200"/>
      <w:bookmarkStart w:id="464" w:name="_Toc13875"/>
      <w:bookmarkStart w:id="465" w:name="_Toc375039085"/>
      <w:bookmarkStart w:id="466" w:name="_Toc492478739"/>
      <w:bookmarkStart w:id="467" w:name="_Toc26249"/>
      <w:bookmarkStart w:id="468" w:name="_Toc383891189"/>
      <w:bookmarkStart w:id="469" w:name="_Toc15663"/>
      <w:bookmarkStart w:id="470" w:name="_Toc12329"/>
      <w:bookmarkStart w:id="471" w:name="_Toc385427814"/>
      <w:bookmarkStart w:id="472" w:name="_Toc25750609"/>
      <w:bookmarkStart w:id="473" w:name="_Toc12983524"/>
      <w:bookmarkStart w:id="474" w:name="_Toc9307"/>
      <w:bookmarkStart w:id="475" w:name="_Toc15071"/>
      <w:bookmarkStart w:id="476" w:name="_Toc13621"/>
      <w:bookmarkStart w:id="477" w:name="_Toc5922"/>
      <w:bookmarkStart w:id="478" w:name="_Toc18616"/>
      <w:bookmarkStart w:id="479" w:name="_Toc30196"/>
      <w:bookmarkStart w:id="480" w:name="_Toc390098440"/>
      <w:bookmarkStart w:id="481" w:name="_Toc12117"/>
      <w:bookmarkStart w:id="482" w:name="_Toc13829"/>
      <w:bookmarkStart w:id="483" w:name="_Toc24648"/>
      <w:bookmarkStart w:id="484" w:name="_Toc19495"/>
      <w:bookmarkStart w:id="485" w:name="_Toc15735"/>
      <w:bookmarkStart w:id="486" w:name="_Toc15650"/>
      <w:r>
        <w:rPr>
          <w:rFonts w:hint="eastAsia" w:asciiTheme="minorEastAsia" w:hAnsiTheme="minorEastAsia" w:eastAsiaTheme="minorEastAsia"/>
          <w:sz w:val="21"/>
          <w:szCs w:val="21"/>
          <w:highlight w:val="none"/>
        </w:rPr>
        <w:t xml:space="preserve">17. </w:t>
      </w:r>
      <w:r>
        <w:rPr>
          <w:rFonts w:asciiTheme="minorEastAsia" w:hAnsiTheme="minorEastAsia" w:eastAsiaTheme="minorEastAsia"/>
          <w:sz w:val="21"/>
          <w:szCs w:val="21"/>
          <w:highlight w:val="none"/>
        </w:rPr>
        <w:t>比选申请文件</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tabs>
          <w:tab w:val="left" w:pos="1134"/>
          <w:tab w:val="left" w:pos="8364"/>
        </w:tabs>
        <w:spacing w:line="360" w:lineRule="auto"/>
        <w:ind w:firstLine="420" w:firstLineChars="200"/>
        <w:rPr>
          <w:rFonts w:asciiTheme="minorEastAsia" w:hAnsiTheme="minorEastAsia" w:eastAsiaTheme="minorEastAsia"/>
          <w:highlight w:val="none"/>
        </w:rPr>
      </w:pPr>
      <w:bookmarkStart w:id="487" w:name="_Toc383891190"/>
      <w:bookmarkStart w:id="488" w:name="_Toc390098441"/>
      <w:bookmarkStart w:id="489" w:name="_Toc385427815"/>
      <w:bookmarkStart w:id="490" w:name="_Toc375039086"/>
      <w:r>
        <w:rPr>
          <w:rFonts w:hint="eastAsia" w:asciiTheme="minorEastAsia" w:hAnsiTheme="minorEastAsia" w:eastAsiaTheme="minorEastAsia"/>
          <w:highlight w:val="none"/>
        </w:rPr>
        <w:t xml:space="preserve">17.1 </w:t>
      </w:r>
      <w:r>
        <w:rPr>
          <w:rFonts w:asciiTheme="minorEastAsia" w:hAnsiTheme="minorEastAsia" w:eastAsiaTheme="minorEastAsia"/>
          <w:highlight w:val="none"/>
        </w:rPr>
        <w:t>封装方式</w:t>
      </w:r>
    </w:p>
    <w:p>
      <w:pPr>
        <w:tabs>
          <w:tab w:val="left" w:pos="420"/>
          <w:tab w:val="left" w:pos="720"/>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）比选申请人可将比选申请文件封装为</w:t>
      </w:r>
      <w:r>
        <w:rPr>
          <w:rFonts w:asciiTheme="minorEastAsia" w:hAnsiTheme="minorEastAsia" w:eastAsiaTheme="minorEastAsia"/>
          <w:highlight w:val="none"/>
        </w:rPr>
        <w:t>1</w:t>
      </w:r>
      <w:r>
        <w:rPr>
          <w:rFonts w:hint="eastAsia" w:asciiTheme="minorEastAsia" w:hAnsiTheme="minorEastAsia" w:eastAsiaTheme="minorEastAsia"/>
          <w:highlight w:val="none"/>
        </w:rPr>
        <w:t>个包。</w:t>
      </w:r>
    </w:p>
    <w:p>
      <w:pPr>
        <w:tabs>
          <w:tab w:val="left" w:pos="420"/>
          <w:tab w:val="left" w:pos="720"/>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（3）所有密封箱/袋应保证其密封性，并骑缝加盖比选申请人单位公章。</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17.2 </w:t>
      </w:r>
      <w:r>
        <w:rPr>
          <w:rFonts w:asciiTheme="minorEastAsia" w:hAnsiTheme="minorEastAsia" w:eastAsiaTheme="minorEastAsia"/>
          <w:highlight w:val="none"/>
        </w:rPr>
        <w:t>所有密封箱/袋都应具有下列识别标志：</w:t>
      </w:r>
    </w:p>
    <w:p>
      <w:pPr>
        <w:tabs>
          <w:tab w:val="left" w:pos="1155"/>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w:t>
      </w:r>
      <w:r>
        <w:rPr>
          <w:rFonts w:asciiTheme="minorEastAsia" w:hAnsiTheme="minorEastAsia" w:eastAsiaTheme="minorEastAsia"/>
          <w:highlight w:val="none"/>
        </w:rPr>
        <w:t>项目名称：</w:t>
      </w:r>
      <w:r>
        <w:rPr>
          <w:rFonts w:hint="eastAsia" w:cs="宋体" w:asciiTheme="minorEastAsia" w:hAnsiTheme="minorEastAsia" w:eastAsiaTheme="minorEastAsia"/>
          <w:szCs w:val="21"/>
          <w:highlight w:val="none"/>
          <w:u w:val="single"/>
        </w:rPr>
        <w:t>南宁市金盾道路清障有限责任公司那洪分公司电梯采购安装项目</w:t>
      </w:r>
      <w:r>
        <w:rPr>
          <w:rFonts w:asciiTheme="minorEastAsia" w:hAnsiTheme="minorEastAsia" w:eastAsiaTheme="minorEastAsia"/>
          <w:highlight w:val="none"/>
        </w:rPr>
        <w:t>；</w:t>
      </w:r>
    </w:p>
    <w:p>
      <w:pPr>
        <w:tabs>
          <w:tab w:val="left" w:pos="420"/>
          <w:tab w:val="left" w:pos="720"/>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w:t>
      </w:r>
      <w:r>
        <w:rPr>
          <w:rFonts w:asciiTheme="minorEastAsia" w:hAnsiTheme="minorEastAsia" w:eastAsiaTheme="minorEastAsia"/>
          <w:highlight w:val="none"/>
        </w:rPr>
        <w:t>项目编号：</w:t>
      </w:r>
      <w:r>
        <w:rPr>
          <w:rFonts w:hint="eastAsia" w:ascii="宋体" w:hAnsi="宋体" w:cs="宋体"/>
          <w:kern w:val="0"/>
          <w:szCs w:val="21"/>
          <w:highlight w:val="none"/>
          <w:lang w:val="en-US" w:eastAsia="zh-CN"/>
        </w:rPr>
        <w:t>202402220001</w:t>
      </w:r>
      <w:r>
        <w:rPr>
          <w:rFonts w:hint="eastAsia"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17.3 </w:t>
      </w:r>
      <w:r>
        <w:rPr>
          <w:rFonts w:asciiTheme="minorEastAsia" w:hAnsiTheme="minorEastAsia" w:eastAsiaTheme="minorEastAsia"/>
          <w:highlight w:val="none"/>
        </w:rPr>
        <w:t>所有密封箱</w:t>
      </w:r>
      <w:r>
        <w:rPr>
          <w:rFonts w:hint="eastAsia" w:asciiTheme="minorEastAsia" w:hAnsiTheme="minorEastAsia" w:eastAsiaTheme="minorEastAsia"/>
          <w:highlight w:val="none"/>
        </w:rPr>
        <w:t>/</w:t>
      </w:r>
      <w:r>
        <w:rPr>
          <w:rFonts w:asciiTheme="minorEastAsia" w:hAnsiTheme="minorEastAsia" w:eastAsiaTheme="minorEastAsia"/>
          <w:highlight w:val="none"/>
        </w:rPr>
        <w:t>袋上均应写明比选申请人的名称与地址，以便比选申请被宣布迟到时，能原封退回。</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17.4 </w:t>
      </w:r>
      <w:r>
        <w:rPr>
          <w:rFonts w:asciiTheme="minorEastAsia" w:hAnsiTheme="minorEastAsia" w:eastAsiaTheme="minorEastAsia"/>
          <w:highlight w:val="none"/>
        </w:rPr>
        <w:t>如果密封箱</w:t>
      </w:r>
      <w:r>
        <w:rPr>
          <w:rFonts w:hint="eastAsia" w:asciiTheme="minorEastAsia" w:hAnsiTheme="minorEastAsia" w:eastAsiaTheme="minorEastAsia"/>
          <w:highlight w:val="none"/>
        </w:rPr>
        <w:t>/</w:t>
      </w:r>
      <w:r>
        <w:rPr>
          <w:rFonts w:asciiTheme="minorEastAsia" w:hAnsiTheme="minorEastAsia" w:eastAsiaTheme="minorEastAsia"/>
          <w:highlight w:val="none"/>
        </w:rPr>
        <w:t>袋上没有按上述规定密封并加写标志，比选人将不承担比选申请文件错放或提前开封的责任，由此造成的提前开封的比选申请文件，比选人将予以拒绝，并退还给比选申请人。</w:t>
      </w:r>
    </w:p>
    <w:p>
      <w:pPr>
        <w:pStyle w:val="7"/>
        <w:numPr>
          <w:ilvl w:val="0"/>
          <w:numId w:val="5"/>
        </w:numPr>
        <w:spacing w:before="0" w:after="0" w:line="360" w:lineRule="auto"/>
        <w:ind w:firstLine="422" w:firstLineChars="200"/>
        <w:rPr>
          <w:rFonts w:asciiTheme="minorEastAsia" w:hAnsiTheme="minorEastAsia" w:eastAsiaTheme="minorEastAsia"/>
          <w:sz w:val="21"/>
          <w:szCs w:val="21"/>
          <w:highlight w:val="none"/>
        </w:rPr>
      </w:pPr>
      <w:bookmarkStart w:id="491" w:name="_Toc642"/>
      <w:bookmarkStart w:id="492" w:name="_Toc492478740"/>
      <w:bookmarkStart w:id="493" w:name="_Toc16266"/>
      <w:bookmarkStart w:id="494" w:name="_Toc22180"/>
      <w:bookmarkStart w:id="495" w:name="_Toc11096"/>
      <w:bookmarkStart w:id="496" w:name="_Toc28071"/>
      <w:bookmarkStart w:id="497" w:name="_Toc22445"/>
      <w:bookmarkStart w:id="498" w:name="_Toc32760"/>
      <w:bookmarkStart w:id="499" w:name="_Toc12983525"/>
      <w:bookmarkStart w:id="500" w:name="_Toc13883"/>
      <w:bookmarkStart w:id="501" w:name="_Toc25750610"/>
      <w:bookmarkStart w:id="502" w:name="_Toc23859"/>
      <w:bookmarkStart w:id="503" w:name="_Toc11255"/>
      <w:bookmarkStart w:id="504" w:name="_Toc11039"/>
      <w:bookmarkStart w:id="505" w:name="_Toc6339"/>
      <w:bookmarkStart w:id="506" w:name="_Toc2337"/>
      <w:bookmarkStart w:id="507" w:name="_Toc16818"/>
      <w:bookmarkStart w:id="508" w:name="_Toc16755"/>
      <w:bookmarkStart w:id="509" w:name="_Toc6482"/>
      <w:bookmarkStart w:id="510" w:name="_Toc4735"/>
      <w:r>
        <w:rPr>
          <w:rFonts w:asciiTheme="minorEastAsia" w:hAnsiTheme="minorEastAsia" w:eastAsiaTheme="minorEastAsia"/>
          <w:sz w:val="21"/>
          <w:szCs w:val="21"/>
          <w:highlight w:val="none"/>
        </w:rPr>
        <w:t>比选申请截止期</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18.1 </w:t>
      </w:r>
      <w:r>
        <w:rPr>
          <w:rFonts w:asciiTheme="minorEastAsia" w:hAnsiTheme="minorEastAsia" w:eastAsiaTheme="minorEastAsia"/>
          <w:highlight w:val="none"/>
        </w:rPr>
        <w:t>所有比选申请文件应派专人送交，并须按“比选申请须知前附表”中规定的比选申请截止时间</w:t>
      </w:r>
      <w:r>
        <w:rPr>
          <w:rFonts w:hint="eastAsia" w:asciiTheme="minorEastAsia" w:hAnsiTheme="minorEastAsia" w:eastAsiaTheme="minorEastAsia"/>
          <w:highlight w:val="none"/>
        </w:rPr>
        <w:t>前</w:t>
      </w:r>
      <w:r>
        <w:rPr>
          <w:rFonts w:asciiTheme="minorEastAsia" w:hAnsiTheme="minorEastAsia" w:eastAsiaTheme="minorEastAsia"/>
          <w:highlight w:val="none"/>
        </w:rPr>
        <w:t>送至</w:t>
      </w:r>
      <w:r>
        <w:rPr>
          <w:rFonts w:hint="eastAsia" w:asciiTheme="minorEastAsia" w:hAnsiTheme="minorEastAsia" w:eastAsiaTheme="minorEastAsia"/>
          <w:highlight w:val="none"/>
        </w:rPr>
        <w:t>比选文件规定的</w:t>
      </w:r>
      <w:r>
        <w:rPr>
          <w:rFonts w:asciiTheme="minorEastAsia" w:hAnsiTheme="minorEastAsia" w:eastAsiaTheme="minorEastAsia"/>
          <w:highlight w:val="none"/>
        </w:rPr>
        <w:t>地点。如有必要，比选申请人可事先自行到该场地进行察看。</w:t>
      </w:r>
    </w:p>
    <w:p>
      <w:pPr>
        <w:tabs>
          <w:tab w:val="left" w:pos="1134"/>
          <w:tab w:val="left" w:pos="8364"/>
        </w:tabs>
        <w:spacing w:line="360" w:lineRule="auto"/>
        <w:ind w:firstLine="422" w:firstLineChars="200"/>
        <w:rPr>
          <w:rFonts w:asciiTheme="minorEastAsia" w:hAnsiTheme="minorEastAsia" w:eastAsiaTheme="minorEastAsia"/>
          <w:highlight w:val="none"/>
        </w:rPr>
      </w:pPr>
      <w:r>
        <w:rPr>
          <w:rFonts w:hint="eastAsia" w:asciiTheme="minorEastAsia" w:hAnsiTheme="minorEastAsia" w:eastAsiaTheme="minorEastAsia"/>
          <w:b/>
          <w:highlight w:val="none"/>
        </w:rPr>
        <w:t xml:space="preserve">18.2 </w:t>
      </w:r>
      <w:r>
        <w:rPr>
          <w:rFonts w:asciiTheme="minorEastAsia" w:hAnsiTheme="minorEastAsia" w:eastAsiaTheme="minorEastAsia"/>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18.3 </w:t>
      </w:r>
      <w:r>
        <w:rPr>
          <w:rFonts w:asciiTheme="minorEastAsia" w:hAnsiTheme="minorEastAsia" w:eastAsiaTheme="minorEastAsia"/>
          <w:highlight w:val="none"/>
        </w:rPr>
        <w:t>出现</w:t>
      </w:r>
      <w:r>
        <w:rPr>
          <w:rFonts w:hint="eastAsia" w:asciiTheme="minorEastAsia" w:hAnsiTheme="minorEastAsia" w:eastAsiaTheme="minorEastAsia"/>
          <w:highlight w:val="none"/>
        </w:rPr>
        <w:t>本</w:t>
      </w:r>
      <w:r>
        <w:rPr>
          <w:rFonts w:asciiTheme="minorEastAsia" w:hAnsiTheme="minorEastAsia" w:eastAsiaTheme="minorEastAsia"/>
          <w:highlight w:val="none"/>
        </w:rPr>
        <w:t>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7"/>
        <w:numPr>
          <w:ilvl w:val="0"/>
          <w:numId w:val="5"/>
        </w:numPr>
        <w:spacing w:before="0" w:after="0" w:line="360" w:lineRule="auto"/>
        <w:ind w:firstLine="422" w:firstLineChars="200"/>
        <w:rPr>
          <w:rFonts w:asciiTheme="minorEastAsia" w:hAnsiTheme="minorEastAsia" w:eastAsiaTheme="minorEastAsia"/>
          <w:sz w:val="21"/>
          <w:szCs w:val="21"/>
          <w:highlight w:val="none"/>
        </w:rPr>
      </w:pPr>
      <w:bookmarkStart w:id="511" w:name="_Toc11373"/>
      <w:bookmarkStart w:id="512" w:name="_Toc15252"/>
      <w:bookmarkStart w:id="513" w:name="_Toc25750611"/>
      <w:bookmarkStart w:id="514" w:name="_Toc14239"/>
      <w:bookmarkStart w:id="515" w:name="_Toc29066"/>
      <w:bookmarkStart w:id="516" w:name="_Toc13581"/>
      <w:bookmarkStart w:id="517" w:name="_Toc26431"/>
      <w:bookmarkStart w:id="518" w:name="_Toc2226"/>
      <w:bookmarkStart w:id="519" w:name="_Toc32252"/>
      <w:bookmarkStart w:id="520" w:name="_Toc29473"/>
      <w:bookmarkStart w:id="521" w:name="_Toc12983526"/>
      <w:bookmarkStart w:id="522" w:name="_Toc10818"/>
      <w:bookmarkStart w:id="523" w:name="_Toc492478741"/>
      <w:bookmarkStart w:id="524" w:name="_Toc383891191"/>
      <w:bookmarkStart w:id="525" w:name="_Toc3597"/>
      <w:bookmarkStart w:id="526" w:name="_Toc23404"/>
      <w:bookmarkStart w:id="527" w:name="_Toc375039087"/>
      <w:bookmarkStart w:id="528" w:name="_Toc32621"/>
      <w:bookmarkStart w:id="529" w:name="_Toc385427816"/>
      <w:bookmarkStart w:id="530" w:name="_Toc390098442"/>
      <w:bookmarkStart w:id="531" w:name="_Toc324"/>
      <w:bookmarkStart w:id="532" w:name="_Toc21960"/>
      <w:bookmarkStart w:id="533" w:name="_Toc9522"/>
      <w:bookmarkStart w:id="534" w:name="_Toc22945"/>
      <w:r>
        <w:rPr>
          <w:rFonts w:asciiTheme="minorEastAsia" w:hAnsiTheme="minorEastAsia" w:eastAsiaTheme="minorEastAsia"/>
          <w:sz w:val="21"/>
          <w:szCs w:val="21"/>
          <w:highlight w:val="none"/>
        </w:rPr>
        <w:t>迟交的比选申请文件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19.1 比选人</w:t>
      </w:r>
      <w:r>
        <w:rPr>
          <w:rFonts w:asciiTheme="minorEastAsia" w:hAnsiTheme="minorEastAsia" w:eastAsiaTheme="minorEastAsia"/>
          <w:highlight w:val="none"/>
        </w:rPr>
        <w:t>将拒绝并原封退回在</w:t>
      </w:r>
      <w:r>
        <w:rPr>
          <w:rFonts w:hint="eastAsia" w:asciiTheme="minorEastAsia" w:hAnsiTheme="minorEastAsia" w:eastAsiaTheme="minorEastAsia"/>
          <w:highlight w:val="none"/>
        </w:rPr>
        <w:t>本须知</w:t>
      </w:r>
      <w:r>
        <w:rPr>
          <w:rFonts w:asciiTheme="minorEastAsia" w:hAnsiTheme="minorEastAsia" w:eastAsiaTheme="minorEastAsia"/>
          <w:highlight w:val="none"/>
        </w:rPr>
        <w:t>18.1</w:t>
      </w:r>
      <w:r>
        <w:rPr>
          <w:rFonts w:hint="eastAsia" w:asciiTheme="minorEastAsia" w:hAnsiTheme="minorEastAsia" w:eastAsiaTheme="minorEastAsia"/>
          <w:highlight w:val="none"/>
        </w:rPr>
        <w:t>条</w:t>
      </w:r>
      <w:r>
        <w:rPr>
          <w:rFonts w:asciiTheme="minorEastAsia" w:hAnsiTheme="minorEastAsia" w:eastAsiaTheme="minorEastAsia"/>
          <w:highlight w:val="none"/>
        </w:rPr>
        <w:t>规定的比选申请截止时间后收到的任何比选申请文件。</w:t>
      </w:r>
    </w:p>
    <w:p>
      <w:pPr>
        <w:pStyle w:val="7"/>
        <w:numPr>
          <w:ilvl w:val="0"/>
          <w:numId w:val="5"/>
        </w:numPr>
        <w:spacing w:before="0" w:after="0" w:line="360" w:lineRule="auto"/>
        <w:ind w:firstLine="422" w:firstLineChars="200"/>
        <w:rPr>
          <w:rFonts w:asciiTheme="minorEastAsia" w:hAnsiTheme="minorEastAsia" w:eastAsiaTheme="minorEastAsia"/>
          <w:sz w:val="21"/>
          <w:szCs w:val="21"/>
          <w:highlight w:val="none"/>
        </w:rPr>
      </w:pPr>
      <w:bookmarkStart w:id="535" w:name="_Toc26282"/>
      <w:bookmarkStart w:id="536" w:name="_Toc25750612"/>
      <w:bookmarkStart w:id="537" w:name="_Toc243"/>
      <w:bookmarkStart w:id="538" w:name="_Toc21796"/>
      <w:bookmarkStart w:id="539" w:name="_Toc9706"/>
      <w:bookmarkStart w:id="540" w:name="_Toc385427817"/>
      <w:bookmarkStart w:id="541" w:name="_Toc28452"/>
      <w:bookmarkStart w:id="542" w:name="_Toc4605"/>
      <w:bookmarkStart w:id="543" w:name="_Toc14411"/>
      <w:bookmarkStart w:id="544" w:name="_Toc31033"/>
      <w:bookmarkStart w:id="545" w:name="_Toc14522"/>
      <w:bookmarkStart w:id="546" w:name="_Toc390098443"/>
      <w:bookmarkStart w:id="547" w:name="_Toc8636"/>
      <w:bookmarkStart w:id="548" w:name="_Toc29208"/>
      <w:bookmarkStart w:id="549" w:name="_Toc23449"/>
      <w:bookmarkStart w:id="550" w:name="_Toc27195"/>
      <w:bookmarkStart w:id="551" w:name="_Toc383891192"/>
      <w:bookmarkStart w:id="552" w:name="_Toc24030"/>
      <w:bookmarkStart w:id="553" w:name="_Toc12983527"/>
      <w:bookmarkStart w:id="554" w:name="_Toc17797"/>
      <w:bookmarkStart w:id="555" w:name="_Toc492478742"/>
      <w:bookmarkStart w:id="556" w:name="_Toc375039088"/>
      <w:bookmarkStart w:id="557" w:name="_Toc12682"/>
      <w:bookmarkStart w:id="558" w:name="_Toc25427"/>
      <w:r>
        <w:rPr>
          <w:rFonts w:asciiTheme="minorEastAsia" w:hAnsiTheme="minorEastAsia" w:eastAsiaTheme="minorEastAsia"/>
          <w:sz w:val="21"/>
          <w:szCs w:val="21"/>
          <w:highlight w:val="none"/>
        </w:rPr>
        <w:t>比选申请文件的修改和撤回</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20.1 </w:t>
      </w:r>
      <w:r>
        <w:rPr>
          <w:rFonts w:asciiTheme="minorEastAsia" w:hAnsiTheme="minorEastAsia" w:eastAsiaTheme="minorEastAsia"/>
          <w:highlight w:val="none"/>
        </w:rPr>
        <w:t>比选申请人在提交比选申请文件后可对其比选申请文件进行修改或撤回，但该修改或撤回的书面通知须在比选申请截止时间之前送达</w:t>
      </w:r>
      <w:r>
        <w:rPr>
          <w:rFonts w:hint="eastAsia" w:asciiTheme="minorEastAsia" w:hAnsiTheme="minorEastAsia" w:eastAsiaTheme="minorEastAsia"/>
          <w:highlight w:val="none"/>
        </w:rPr>
        <w:t>比选单位</w:t>
      </w:r>
      <w:r>
        <w:rPr>
          <w:rFonts w:asciiTheme="minorEastAsia" w:hAnsiTheme="minorEastAsia" w:eastAsiaTheme="minorEastAsia"/>
          <w:highlight w:val="none"/>
        </w:rPr>
        <w:t>；且该通知需经正式授权的比选申请人代表签字方为有效。</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20.2 </w:t>
      </w:r>
      <w:r>
        <w:rPr>
          <w:rFonts w:asciiTheme="minorEastAsia" w:hAnsiTheme="minorEastAsia" w:eastAsiaTheme="minorEastAsia"/>
          <w:highlight w:val="none"/>
        </w:rPr>
        <w:t>比选申请人对比选申请文件修改的书面材料或撤回的通知应按本比选申请须知</w:t>
      </w:r>
      <w:r>
        <w:rPr>
          <w:rFonts w:hint="eastAsia" w:asciiTheme="minorEastAsia" w:hAnsiTheme="minorEastAsia" w:eastAsiaTheme="minorEastAsia"/>
          <w:highlight w:val="none"/>
        </w:rPr>
        <w:t>16</w:t>
      </w:r>
      <w:r>
        <w:rPr>
          <w:rFonts w:asciiTheme="minorEastAsia" w:hAnsiTheme="minorEastAsia" w:eastAsiaTheme="minorEastAsia"/>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Theme="minorEastAsia" w:hAnsiTheme="minorEastAsia" w:eastAsiaTheme="minorEastAsia"/>
          <w:highlight w:val="none"/>
        </w:rPr>
        <w:t>17</w:t>
      </w:r>
      <w:r>
        <w:rPr>
          <w:rFonts w:asciiTheme="minorEastAsia" w:hAnsiTheme="minorEastAsia" w:eastAsiaTheme="minorEastAsia"/>
          <w:highlight w:val="none"/>
        </w:rPr>
        <w:t>条</w:t>
      </w:r>
      <w:r>
        <w:rPr>
          <w:rFonts w:asciiTheme="minorEastAsia" w:hAnsiTheme="minorEastAsia" w:eastAsiaTheme="minorEastAsia"/>
          <w:highlight w:val="none"/>
        </w:rPr>
        <w:fldChar w:fldCharType="end"/>
      </w:r>
      <w:r>
        <w:rPr>
          <w:rFonts w:asciiTheme="minorEastAsia" w:hAnsiTheme="minorEastAsia" w:eastAsiaTheme="minorEastAsia"/>
          <w:highlight w:val="none"/>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20.3 </w:t>
      </w:r>
      <w:r>
        <w:rPr>
          <w:rFonts w:asciiTheme="minorEastAsia" w:hAnsiTheme="minorEastAsia" w:eastAsiaTheme="minorEastAsia"/>
          <w:highlight w:val="none"/>
        </w:rPr>
        <w:t>比选申请截止时间以后比选申请人不得修改比选申请文件。</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20.4 </w:t>
      </w:r>
      <w:r>
        <w:rPr>
          <w:rFonts w:asciiTheme="minorEastAsia" w:hAnsiTheme="minorEastAsia" w:eastAsiaTheme="minorEastAsia"/>
          <w:highlight w:val="none"/>
        </w:rPr>
        <w:t>比选申请人不得在比选申请截止时间至比选申请有效期期满前撤销比选申请文件。否则</w:t>
      </w:r>
      <w:r>
        <w:rPr>
          <w:rFonts w:hint="eastAsia" w:asciiTheme="minorEastAsia" w:hAnsiTheme="minorEastAsia" w:eastAsiaTheme="minorEastAsia"/>
          <w:highlight w:val="none"/>
        </w:rPr>
        <w:t>比选人有权</w:t>
      </w:r>
      <w:r>
        <w:rPr>
          <w:rFonts w:asciiTheme="minorEastAsia" w:hAnsiTheme="minorEastAsia" w:eastAsiaTheme="minorEastAsia"/>
          <w:highlight w:val="none"/>
        </w:rPr>
        <w:t>要求</w:t>
      </w:r>
      <w:r>
        <w:rPr>
          <w:rFonts w:hint="eastAsia" w:asciiTheme="minorEastAsia" w:hAnsiTheme="minorEastAsia" w:eastAsiaTheme="minorEastAsia"/>
          <w:highlight w:val="none"/>
        </w:rPr>
        <w:t>比选申请人</w:t>
      </w:r>
      <w:r>
        <w:rPr>
          <w:rFonts w:asciiTheme="minorEastAsia" w:hAnsiTheme="minorEastAsia" w:eastAsiaTheme="minorEastAsia"/>
          <w:highlight w:val="none"/>
        </w:rPr>
        <w:t>对损失给予赔偿。</w:t>
      </w:r>
    </w:p>
    <w:p>
      <w:pPr>
        <w:pStyle w:val="5"/>
        <w:spacing w:after="0" w:line="360" w:lineRule="auto"/>
        <w:ind w:firstLine="482" w:firstLineChars="200"/>
        <w:rPr>
          <w:rFonts w:asciiTheme="minorEastAsia" w:hAnsiTheme="minorEastAsia" w:eastAsiaTheme="minorEastAsia"/>
          <w:sz w:val="24"/>
          <w:szCs w:val="24"/>
          <w:highlight w:val="none"/>
        </w:rPr>
      </w:pPr>
      <w:bookmarkStart w:id="559" w:name="_Toc3006"/>
      <w:bookmarkStart w:id="560" w:name="_Toc12182"/>
      <w:bookmarkStart w:id="561" w:name="_Toc9549"/>
      <w:bookmarkStart w:id="562" w:name="_Toc31978"/>
      <w:bookmarkStart w:id="563" w:name="_Toc383891193"/>
      <w:bookmarkStart w:id="564" w:name="_Toc4291"/>
      <w:bookmarkStart w:id="565" w:name="_Toc9728"/>
      <w:bookmarkStart w:id="566" w:name="_Toc492478743"/>
      <w:bookmarkStart w:id="567" w:name="_Toc2306"/>
      <w:bookmarkStart w:id="568" w:name="_Toc11529"/>
      <w:bookmarkStart w:id="569" w:name="_Toc12983528"/>
      <w:bookmarkStart w:id="570" w:name="_Toc28694"/>
      <w:bookmarkStart w:id="571" w:name="_Toc5592"/>
      <w:bookmarkStart w:id="572" w:name="_Toc375039089"/>
      <w:bookmarkStart w:id="573" w:name="_Toc18076"/>
      <w:bookmarkStart w:id="574" w:name="_Toc29264"/>
      <w:bookmarkStart w:id="575" w:name="_Toc16856"/>
      <w:bookmarkStart w:id="576" w:name="_Toc25433"/>
      <w:bookmarkStart w:id="577" w:name="_Toc390098444"/>
      <w:bookmarkStart w:id="578" w:name="_Toc10325"/>
      <w:bookmarkStart w:id="579" w:name="_Toc22587"/>
      <w:bookmarkStart w:id="580" w:name="_Toc385427818"/>
      <w:bookmarkStart w:id="581" w:name="_Toc24485"/>
      <w:bookmarkStart w:id="582" w:name="_Toc25750613"/>
      <w:r>
        <w:rPr>
          <w:rFonts w:hint="eastAsia" w:asciiTheme="minorEastAsia" w:hAnsiTheme="minorEastAsia" w:eastAsiaTheme="minorEastAsia"/>
          <w:sz w:val="24"/>
          <w:szCs w:val="24"/>
          <w:highlight w:val="none"/>
        </w:rPr>
        <w:t>五、</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Fonts w:hint="eastAsia" w:asciiTheme="minorEastAsia" w:hAnsiTheme="minorEastAsia" w:eastAsiaTheme="minorEastAsia"/>
          <w:sz w:val="24"/>
          <w:szCs w:val="24"/>
          <w:highlight w:val="none"/>
        </w:rPr>
        <w:t>比选申请文件递交</w:t>
      </w:r>
      <w:bookmarkEnd w:id="582"/>
      <w:r>
        <w:rPr>
          <w:rFonts w:hint="eastAsia" w:asciiTheme="minorEastAsia" w:hAnsiTheme="minorEastAsia" w:eastAsiaTheme="minorEastAsia"/>
          <w:sz w:val="24"/>
          <w:szCs w:val="24"/>
          <w:highlight w:val="none"/>
        </w:rPr>
        <w:t>与评审</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583" w:name="_Toc12983529"/>
      <w:bookmarkStart w:id="584" w:name="_Toc385427819"/>
      <w:bookmarkStart w:id="585" w:name="_Toc895"/>
      <w:bookmarkStart w:id="586" w:name="_Toc25116"/>
      <w:bookmarkStart w:id="587" w:name="_Toc10292"/>
      <w:bookmarkStart w:id="588" w:name="_Toc375039090"/>
      <w:bookmarkStart w:id="589" w:name="_Toc9309"/>
      <w:bookmarkStart w:id="590" w:name="_Toc10883"/>
      <w:bookmarkStart w:id="591" w:name="_Toc6377"/>
      <w:bookmarkStart w:id="592" w:name="_Toc383891194"/>
      <w:bookmarkStart w:id="593" w:name="_Toc390098445"/>
      <w:bookmarkStart w:id="594" w:name="_Toc24196"/>
      <w:bookmarkStart w:id="595" w:name="_Toc5182"/>
      <w:bookmarkStart w:id="596" w:name="_Toc9264"/>
      <w:bookmarkStart w:id="597" w:name="_Toc6974"/>
      <w:bookmarkStart w:id="598" w:name="_Toc6839"/>
      <w:bookmarkStart w:id="599" w:name="_Toc4365"/>
      <w:bookmarkStart w:id="600" w:name="_Toc4638"/>
      <w:bookmarkStart w:id="601" w:name="_Toc4825"/>
      <w:bookmarkStart w:id="602" w:name="_Toc4674"/>
      <w:bookmarkStart w:id="603" w:name="_Toc23705"/>
      <w:bookmarkStart w:id="604" w:name="_Toc18919"/>
      <w:bookmarkStart w:id="605" w:name="_Toc492478744"/>
      <w:bookmarkStart w:id="606" w:name="_Toc25750614"/>
      <w:r>
        <w:rPr>
          <w:rFonts w:hint="eastAsia" w:asciiTheme="minorEastAsia" w:hAnsiTheme="minorEastAsia" w:eastAsiaTheme="minorEastAsia"/>
          <w:sz w:val="21"/>
          <w:szCs w:val="21"/>
          <w:highlight w:val="none"/>
        </w:rPr>
        <w:t xml:space="preserve">21. </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Fonts w:hint="eastAsia" w:asciiTheme="minorEastAsia" w:hAnsiTheme="minorEastAsia" w:eastAsiaTheme="minorEastAsia"/>
          <w:sz w:val="21"/>
          <w:szCs w:val="21"/>
          <w:highlight w:val="none"/>
        </w:rPr>
        <w:t>比选申请文件递交</w:t>
      </w:r>
      <w:bookmarkEnd w:id="606"/>
    </w:p>
    <w:p>
      <w:pPr>
        <w:tabs>
          <w:tab w:val="left" w:pos="945"/>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21.1 比选人将按本须知</w:t>
      </w:r>
      <w:r>
        <w:rPr>
          <w:rFonts w:asciiTheme="minorEastAsia" w:hAnsiTheme="minorEastAsia" w:eastAsiaTheme="minorEastAsia"/>
          <w:highlight w:val="none"/>
        </w:rPr>
        <w:t>18.1</w:t>
      </w:r>
      <w:r>
        <w:rPr>
          <w:rFonts w:hint="eastAsia" w:asciiTheme="minorEastAsia" w:hAnsiTheme="minorEastAsia" w:eastAsiaTheme="minorEastAsia"/>
          <w:highlight w:val="none"/>
        </w:rPr>
        <w:t>条项规定的时间和地址，对所有按时递交并已签收达三个或以上比选申请人的比选申请文件进行核查。</w:t>
      </w:r>
    </w:p>
    <w:p>
      <w:pPr>
        <w:tabs>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比选申请文件有下列情形之一的，比选人应当拒收：</w:t>
      </w:r>
    </w:p>
    <w:p>
      <w:pPr>
        <w:snapToGrid w:val="0"/>
        <w:spacing w:line="360" w:lineRule="auto"/>
        <w:ind w:firstLine="422" w:firstLineChars="200"/>
        <w:jc w:val="left"/>
        <w:rPr>
          <w:rFonts w:asciiTheme="minorEastAsia" w:hAnsiTheme="minorEastAsia" w:eastAsiaTheme="minorEastAsia"/>
          <w:b/>
          <w:highlight w:val="none"/>
        </w:rPr>
      </w:pPr>
      <w:r>
        <w:rPr>
          <w:rFonts w:asciiTheme="minorEastAsia" w:hAnsiTheme="minorEastAsia" w:eastAsiaTheme="minorEastAsia"/>
          <w:b/>
          <w:highlight w:val="none"/>
        </w:rPr>
        <w:t>2</w:t>
      </w:r>
      <w:r>
        <w:rPr>
          <w:rFonts w:hint="eastAsia" w:asciiTheme="minorEastAsia" w:hAnsiTheme="minorEastAsia" w:eastAsiaTheme="minorEastAsia"/>
          <w:b/>
          <w:highlight w:val="none"/>
        </w:rPr>
        <w:t>1</w:t>
      </w:r>
      <w:r>
        <w:rPr>
          <w:rFonts w:asciiTheme="minorEastAsia" w:hAnsiTheme="minorEastAsia" w:eastAsiaTheme="minorEastAsia"/>
          <w:b/>
          <w:highlight w:val="none"/>
        </w:rPr>
        <w:t>.1.1</w:t>
      </w:r>
      <w:r>
        <w:rPr>
          <w:rFonts w:hint="eastAsia" w:asciiTheme="minorEastAsia" w:hAnsiTheme="minorEastAsia" w:eastAsiaTheme="minorEastAsia"/>
          <w:b/>
          <w:highlight w:val="none"/>
        </w:rPr>
        <w:t xml:space="preserve"> </w:t>
      </w:r>
      <w:r>
        <w:rPr>
          <w:rFonts w:asciiTheme="minorEastAsia" w:hAnsiTheme="minorEastAsia" w:eastAsiaTheme="minorEastAsia"/>
          <w:b/>
          <w:highlight w:val="none"/>
        </w:rPr>
        <w:t>逾期送达的或者未送达指定地点的比选申请文件</w:t>
      </w:r>
      <w:r>
        <w:rPr>
          <w:rFonts w:hint="eastAsia" w:asciiTheme="minorEastAsia" w:hAnsiTheme="minorEastAsia" w:eastAsiaTheme="minorEastAsia"/>
          <w:b/>
          <w:highlight w:val="none"/>
        </w:rPr>
        <w:t>；</w:t>
      </w:r>
    </w:p>
    <w:p>
      <w:pPr>
        <w:snapToGrid w:val="0"/>
        <w:spacing w:line="360" w:lineRule="auto"/>
        <w:ind w:firstLine="422" w:firstLineChars="200"/>
        <w:jc w:val="left"/>
        <w:rPr>
          <w:rFonts w:asciiTheme="minorEastAsia" w:hAnsiTheme="minorEastAsia" w:eastAsiaTheme="minorEastAsia"/>
          <w:b/>
          <w:highlight w:val="none"/>
        </w:rPr>
      </w:pPr>
      <w:r>
        <w:rPr>
          <w:rFonts w:asciiTheme="minorEastAsia" w:hAnsiTheme="minorEastAsia" w:eastAsiaTheme="minorEastAsia"/>
          <w:b/>
          <w:highlight w:val="none"/>
        </w:rPr>
        <w:t>2</w:t>
      </w:r>
      <w:r>
        <w:rPr>
          <w:rFonts w:hint="eastAsia" w:asciiTheme="minorEastAsia" w:hAnsiTheme="minorEastAsia" w:eastAsiaTheme="minorEastAsia"/>
          <w:b/>
          <w:highlight w:val="none"/>
        </w:rPr>
        <w:t>1</w:t>
      </w:r>
      <w:r>
        <w:rPr>
          <w:rFonts w:asciiTheme="minorEastAsia" w:hAnsiTheme="minorEastAsia" w:eastAsiaTheme="minorEastAsia"/>
          <w:b/>
          <w:highlight w:val="none"/>
        </w:rPr>
        <w:t>.1.2</w:t>
      </w:r>
      <w:r>
        <w:rPr>
          <w:rFonts w:hint="eastAsia" w:asciiTheme="minorEastAsia" w:hAnsiTheme="minorEastAsia" w:eastAsiaTheme="minorEastAsia"/>
          <w:b/>
          <w:highlight w:val="none"/>
        </w:rPr>
        <w:t xml:space="preserve"> 比选申请文件外包封</w:t>
      </w:r>
      <w:r>
        <w:rPr>
          <w:rFonts w:asciiTheme="minorEastAsia" w:hAnsiTheme="minorEastAsia" w:eastAsiaTheme="minorEastAsia"/>
          <w:b/>
          <w:highlight w:val="none"/>
        </w:rPr>
        <w:t>未按比选文件要求密封的</w:t>
      </w:r>
      <w:r>
        <w:rPr>
          <w:rFonts w:hint="eastAsia" w:asciiTheme="minorEastAsia" w:hAnsiTheme="minorEastAsia" w:eastAsiaTheme="minorEastAsia"/>
          <w:b/>
          <w:highlight w:val="none"/>
        </w:rPr>
        <w:t>。</w:t>
      </w:r>
    </w:p>
    <w:p>
      <w:pPr>
        <w:tabs>
          <w:tab w:val="left" w:pos="945"/>
          <w:tab w:val="left" w:pos="1134"/>
          <w:tab w:val="left" w:pos="8364"/>
        </w:tabs>
        <w:spacing w:line="360" w:lineRule="auto"/>
        <w:ind w:firstLine="422" w:firstLineChars="200"/>
        <w:rPr>
          <w:rFonts w:asciiTheme="minorEastAsia" w:hAnsiTheme="minorEastAsia" w:eastAsiaTheme="minorEastAsia"/>
          <w:highlight w:val="none"/>
        </w:rPr>
      </w:pPr>
      <w:r>
        <w:rPr>
          <w:rFonts w:hint="eastAsia" w:asciiTheme="minorEastAsia" w:hAnsiTheme="minorEastAsia" w:eastAsiaTheme="minorEastAsia"/>
          <w:b/>
          <w:highlight w:val="none"/>
        </w:rPr>
        <w:t xml:space="preserve">21.2 </w:t>
      </w:r>
      <w:r>
        <w:rPr>
          <w:rFonts w:asciiTheme="minorEastAsia" w:hAnsiTheme="minorEastAsia" w:eastAsiaTheme="minorEastAsia"/>
          <w:b/>
          <w:highlight w:val="none"/>
        </w:rPr>
        <w:t>比选申请人的法定代表人或其授权代表（以下统称</w:t>
      </w:r>
      <w:r>
        <w:rPr>
          <w:rFonts w:hint="eastAsia" w:asciiTheme="minorEastAsia" w:hAnsiTheme="minorEastAsia" w:eastAsiaTheme="minorEastAsia"/>
          <w:b/>
          <w:highlight w:val="none"/>
        </w:rPr>
        <w:t>“</w:t>
      </w:r>
      <w:r>
        <w:rPr>
          <w:rFonts w:asciiTheme="minorEastAsia" w:hAnsiTheme="minorEastAsia" w:eastAsiaTheme="minorEastAsia"/>
          <w:b/>
          <w:highlight w:val="none"/>
        </w:rPr>
        <w:t>比选申请人代表</w:t>
      </w:r>
      <w:r>
        <w:rPr>
          <w:rFonts w:hint="eastAsia" w:asciiTheme="minorEastAsia" w:hAnsiTheme="minorEastAsia" w:eastAsiaTheme="minorEastAsia"/>
          <w:b/>
          <w:highlight w:val="none"/>
        </w:rPr>
        <w:t>”</w:t>
      </w:r>
      <w:r>
        <w:rPr>
          <w:rFonts w:asciiTheme="minorEastAsia" w:hAnsiTheme="minorEastAsia" w:eastAsiaTheme="minorEastAsia"/>
          <w:b/>
          <w:highlight w:val="none"/>
        </w:rPr>
        <w:t>）在</w:t>
      </w:r>
      <w:r>
        <w:rPr>
          <w:rFonts w:hint="eastAsia" w:asciiTheme="minorEastAsia" w:hAnsiTheme="minorEastAsia" w:eastAsiaTheme="minorEastAsia"/>
          <w:b/>
          <w:highlight w:val="none"/>
        </w:rPr>
        <w:t>递交比选申请文件时，必须</w:t>
      </w:r>
      <w:r>
        <w:rPr>
          <w:rFonts w:asciiTheme="minorEastAsia" w:hAnsiTheme="minorEastAsia" w:eastAsiaTheme="minorEastAsia"/>
          <w:b/>
          <w:highlight w:val="none"/>
        </w:rPr>
        <w:t>出示本人有效身份证（</w:t>
      </w:r>
      <w:r>
        <w:rPr>
          <w:rFonts w:hint="eastAsia" w:asciiTheme="minorEastAsia" w:hAnsiTheme="minorEastAsia" w:eastAsiaTheme="minorEastAsia"/>
          <w:b/>
          <w:highlight w:val="none"/>
        </w:rPr>
        <w:t>限中国公民居民身份证、外籍有效护照</w:t>
      </w:r>
      <w:r>
        <w:rPr>
          <w:rFonts w:asciiTheme="minorEastAsia" w:hAnsiTheme="minorEastAsia" w:eastAsiaTheme="minorEastAsia"/>
          <w:b/>
          <w:highlight w:val="none"/>
        </w:rPr>
        <w:t>，下同）的原件，比选申请人授权代表还必须同时出示比选申请授权书原件，以证明授权代表的身份和被授权范围，并由比选人验证确认。</w:t>
      </w:r>
      <w:bookmarkStart w:id="607" w:name="_Toc251051540"/>
      <w:r>
        <w:rPr>
          <w:rFonts w:asciiTheme="minorEastAsia" w:hAnsiTheme="minorEastAsia" w:eastAsiaTheme="minorEastAsia"/>
          <w:b/>
          <w:highlight w:val="none"/>
        </w:rPr>
        <w:t>否则</w:t>
      </w:r>
      <w:r>
        <w:rPr>
          <w:rFonts w:hint="eastAsia" w:asciiTheme="minorEastAsia" w:hAnsiTheme="minorEastAsia" w:eastAsiaTheme="minorEastAsia"/>
          <w:b/>
          <w:highlight w:val="none"/>
        </w:rPr>
        <w:t>拒收其比选申请文件</w:t>
      </w:r>
      <w:bookmarkEnd w:id="607"/>
      <w:r>
        <w:rPr>
          <w:rFonts w:hint="eastAsia" w:asciiTheme="minorEastAsia" w:hAnsiTheme="minorEastAsia" w:eastAsiaTheme="minorEastAsia"/>
          <w:b/>
          <w:highlight w:val="none"/>
        </w:rPr>
        <w:t>。</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608" w:name="_Toc390098446"/>
      <w:bookmarkStart w:id="609" w:name="_Toc375039091"/>
      <w:bookmarkStart w:id="610" w:name="_Toc383891195"/>
      <w:bookmarkStart w:id="611" w:name="_Toc385427820"/>
      <w:bookmarkStart w:id="612" w:name="_Toc27636"/>
      <w:bookmarkStart w:id="613" w:name="_Toc13202"/>
      <w:bookmarkStart w:id="614" w:name="_Toc5267"/>
      <w:bookmarkStart w:id="615" w:name="_Toc9391"/>
      <w:bookmarkStart w:id="616" w:name="_Toc15466"/>
      <w:bookmarkStart w:id="617" w:name="_Toc30671"/>
      <w:bookmarkStart w:id="618" w:name="_Toc24687"/>
      <w:bookmarkStart w:id="619" w:name="_Toc21819"/>
      <w:bookmarkStart w:id="620" w:name="_Toc25270"/>
      <w:bookmarkStart w:id="621" w:name="_Toc12983530"/>
      <w:bookmarkStart w:id="622" w:name="_Toc24630"/>
      <w:bookmarkStart w:id="623" w:name="_Toc11013"/>
      <w:bookmarkStart w:id="624" w:name="_Toc23699"/>
      <w:bookmarkStart w:id="625" w:name="_Toc16601"/>
      <w:bookmarkStart w:id="626" w:name="_Toc1920"/>
      <w:bookmarkStart w:id="627" w:name="_Toc492478745"/>
      <w:bookmarkStart w:id="628" w:name="_Toc11263"/>
      <w:bookmarkStart w:id="629" w:name="_Toc25750615"/>
      <w:bookmarkStart w:id="630" w:name="_Toc16068"/>
      <w:bookmarkStart w:id="631" w:name="_Toc17785"/>
      <w:r>
        <w:rPr>
          <w:rFonts w:hint="eastAsia" w:asciiTheme="minorEastAsia" w:hAnsiTheme="minorEastAsia" w:eastAsiaTheme="minorEastAsia"/>
          <w:sz w:val="21"/>
          <w:szCs w:val="21"/>
          <w:highlight w:val="none"/>
        </w:rPr>
        <w:t>22.</w:t>
      </w:r>
      <w:r>
        <w:rPr>
          <w:rFonts w:asciiTheme="minorEastAsia" w:hAnsiTheme="minorEastAsia" w:eastAsiaTheme="minorEastAsia"/>
          <w:sz w:val="21"/>
          <w:szCs w:val="21"/>
          <w:highlight w:val="none"/>
        </w:rPr>
        <w:t>评审</w:t>
      </w:r>
      <w:bookmarkEnd w:id="608"/>
      <w:bookmarkEnd w:id="609"/>
      <w:bookmarkEnd w:id="610"/>
      <w:bookmarkEnd w:id="611"/>
      <w:r>
        <w:rPr>
          <w:rFonts w:asciiTheme="minorEastAsia" w:hAnsiTheme="minorEastAsia" w:eastAsiaTheme="minorEastAsia"/>
          <w:sz w:val="21"/>
          <w:szCs w:val="21"/>
          <w:highlight w:val="none"/>
        </w:rPr>
        <w:t>程序</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tabs>
          <w:tab w:val="left" w:pos="8364"/>
        </w:tabs>
        <w:spacing w:line="360" w:lineRule="auto"/>
        <w:ind w:firstLine="420" w:firstLineChars="200"/>
        <w:rPr>
          <w:rFonts w:asciiTheme="minorEastAsia" w:hAnsiTheme="minorEastAsia" w:eastAsiaTheme="minorEastAsia"/>
          <w:b/>
          <w:highlight w:val="none"/>
        </w:rPr>
      </w:pPr>
      <w:bookmarkStart w:id="632" w:name="_Toc375039092"/>
      <w:r>
        <w:rPr>
          <w:rFonts w:hint="eastAsia" w:asciiTheme="minorEastAsia" w:hAnsiTheme="minorEastAsia" w:eastAsiaTheme="minorEastAsia"/>
          <w:highlight w:val="none"/>
        </w:rPr>
        <w:t>详见第六章《评分办法》。</w:t>
      </w:r>
      <w:bookmarkEnd w:id="632"/>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633" w:name="_Toc26137"/>
      <w:bookmarkStart w:id="634" w:name="_Toc13421"/>
      <w:bookmarkStart w:id="635" w:name="_Toc385427821"/>
      <w:bookmarkStart w:id="636" w:name="_Toc383891196"/>
      <w:bookmarkStart w:id="637" w:name="_Toc15"/>
      <w:bookmarkStart w:id="638" w:name="_Toc14719"/>
      <w:bookmarkStart w:id="639" w:name="_Toc492478746"/>
      <w:bookmarkStart w:id="640" w:name="_Toc25047"/>
      <w:bookmarkStart w:id="641" w:name="_Toc1456"/>
      <w:bookmarkStart w:id="642" w:name="_Toc18063"/>
      <w:bookmarkStart w:id="643" w:name="_Toc375039093"/>
      <w:bookmarkStart w:id="644" w:name="_Toc11716"/>
      <w:bookmarkStart w:id="645" w:name="_Toc25750616"/>
      <w:bookmarkStart w:id="646" w:name="_Toc18803"/>
      <w:bookmarkStart w:id="647" w:name="_Toc833"/>
      <w:bookmarkStart w:id="648" w:name="_Toc8295"/>
      <w:bookmarkStart w:id="649" w:name="_Toc27570"/>
      <w:bookmarkStart w:id="650" w:name="_Toc390098447"/>
      <w:bookmarkStart w:id="651" w:name="_Toc17980"/>
      <w:bookmarkStart w:id="652" w:name="_Toc24755"/>
      <w:bookmarkStart w:id="653" w:name="_Toc5386"/>
      <w:bookmarkStart w:id="654" w:name="_Toc12983531"/>
      <w:bookmarkStart w:id="655" w:name="_Toc16072"/>
      <w:bookmarkStart w:id="656" w:name="_Toc29929"/>
      <w:r>
        <w:rPr>
          <w:rFonts w:asciiTheme="minorEastAsia" w:hAnsiTheme="minorEastAsia" w:eastAsiaTheme="minorEastAsia"/>
          <w:sz w:val="21"/>
          <w:szCs w:val="21"/>
          <w:highlight w:val="none"/>
        </w:rPr>
        <w:t>与比选人和评审委员会的接触</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 xml:space="preserve">23.1 </w:t>
      </w:r>
      <w:r>
        <w:rPr>
          <w:rFonts w:cs="Arial" w:asciiTheme="minorEastAsia" w:hAnsiTheme="minorEastAsia" w:eastAsiaTheme="minorEastAsia"/>
          <w:highlight w:val="none"/>
        </w:rPr>
        <w:t>从比选申请截止日起至授予合同期间，未经书面要求，比选申请人不得就与其比选申请文件有关的事项与评审委员会、比选人接触（包括直接接触</w:t>
      </w:r>
      <w:r>
        <w:rPr>
          <w:rFonts w:hint="eastAsia" w:cs="Arial" w:asciiTheme="minorEastAsia" w:hAnsiTheme="minorEastAsia" w:eastAsiaTheme="minorEastAsia"/>
          <w:highlight w:val="none"/>
        </w:rPr>
        <w:t>或</w:t>
      </w:r>
      <w:r>
        <w:rPr>
          <w:rFonts w:cs="Arial" w:asciiTheme="minorEastAsia" w:hAnsiTheme="minorEastAsia" w:eastAsiaTheme="minorEastAsia"/>
          <w:highlight w:val="none"/>
        </w:rPr>
        <w:t>间接接触）。</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 xml:space="preserve">23.2 </w:t>
      </w:r>
      <w:r>
        <w:rPr>
          <w:rFonts w:cs="Arial" w:asciiTheme="minorEastAsia" w:hAnsiTheme="minorEastAsia" w:eastAsiaTheme="minorEastAsia"/>
          <w:highlight w:val="none"/>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 xml:space="preserve">23.3 </w:t>
      </w:r>
      <w:r>
        <w:rPr>
          <w:rFonts w:cs="Arial" w:asciiTheme="minorEastAsia" w:hAnsiTheme="minorEastAsia" w:eastAsiaTheme="minorEastAsia"/>
          <w:highlight w:val="none"/>
        </w:rPr>
        <w:t>比选申请人不得以任何方式干扰比选人的</w:t>
      </w:r>
      <w:r>
        <w:rPr>
          <w:rFonts w:hint="eastAsia" w:cs="Arial" w:asciiTheme="minorEastAsia" w:hAnsiTheme="minorEastAsia" w:eastAsiaTheme="minorEastAsia"/>
          <w:highlight w:val="none"/>
        </w:rPr>
        <w:t>比选</w:t>
      </w:r>
      <w:r>
        <w:rPr>
          <w:rFonts w:cs="Arial" w:asciiTheme="minorEastAsia" w:hAnsiTheme="minorEastAsia" w:eastAsiaTheme="minorEastAsia"/>
          <w:highlight w:val="none"/>
        </w:rPr>
        <w:t>和评审活动，否则其比选申请无效并追究其法律责任。</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 xml:space="preserve">23.4 </w:t>
      </w:r>
      <w:r>
        <w:rPr>
          <w:rFonts w:cs="Arial" w:asciiTheme="minorEastAsia" w:hAnsiTheme="minorEastAsia" w:eastAsiaTheme="minorEastAsia"/>
          <w:highlight w:val="none"/>
        </w:rPr>
        <w:t>有关比选申请文件的审查、澄清、评估和比较以及有关授予合同的意向的一切情况都不得透露给任一比选申请人。</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657" w:name="_Toc12960"/>
      <w:bookmarkStart w:id="658" w:name="_Toc21167"/>
      <w:bookmarkStart w:id="659" w:name="_Toc25734"/>
      <w:bookmarkStart w:id="660" w:name="_Toc492478747"/>
      <w:bookmarkStart w:id="661" w:name="_Toc15988"/>
      <w:bookmarkStart w:id="662" w:name="_Toc18515"/>
      <w:bookmarkStart w:id="663" w:name="_Toc25750617"/>
      <w:bookmarkStart w:id="664" w:name="_Toc383891197"/>
      <w:bookmarkStart w:id="665" w:name="_Toc29504"/>
      <w:bookmarkStart w:id="666" w:name="_Toc9602"/>
      <w:bookmarkStart w:id="667" w:name="_Toc12983532"/>
      <w:bookmarkStart w:id="668" w:name="_Toc390098448"/>
      <w:bookmarkStart w:id="669" w:name="_Toc12555"/>
      <w:bookmarkStart w:id="670" w:name="_Toc16963"/>
      <w:bookmarkStart w:id="671" w:name="_Toc12909"/>
      <w:bookmarkStart w:id="672" w:name="_Toc20523"/>
      <w:bookmarkStart w:id="673" w:name="_Toc9941"/>
      <w:bookmarkStart w:id="674" w:name="_Toc385427822"/>
      <w:bookmarkStart w:id="675" w:name="_Toc19810"/>
      <w:bookmarkStart w:id="676" w:name="_Toc12671"/>
      <w:bookmarkStart w:id="677" w:name="_Toc7858"/>
      <w:bookmarkStart w:id="678" w:name="_Toc654"/>
      <w:bookmarkStart w:id="679" w:name="_Toc30207"/>
      <w:bookmarkStart w:id="680" w:name="_Toc378514937"/>
      <w:bookmarkStart w:id="681" w:name="_Toc294723156"/>
      <w:bookmarkStart w:id="682" w:name="_Toc375039094"/>
      <w:r>
        <w:rPr>
          <w:rFonts w:hint="eastAsia" w:asciiTheme="minorEastAsia" w:hAnsiTheme="minorEastAsia" w:eastAsiaTheme="minorEastAsia"/>
          <w:sz w:val="21"/>
          <w:szCs w:val="21"/>
          <w:highlight w:val="none"/>
        </w:rPr>
        <w:t>评审过程保密</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24.2 比选申请人在比选申请文件的审查、澄清、评价和比较以及授予合同的过程中，对比选人和评审专家施加影响的任何行为，都将导致取消比选申请资格。</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683" w:name="_Toc14799"/>
      <w:bookmarkStart w:id="684" w:name="_Toc5983"/>
      <w:bookmarkStart w:id="685" w:name="_Toc28701"/>
      <w:bookmarkStart w:id="686" w:name="_Toc28843"/>
      <w:bookmarkStart w:id="687" w:name="_Toc13768"/>
      <w:bookmarkStart w:id="688" w:name="_Toc385427823"/>
      <w:bookmarkStart w:id="689" w:name="_Toc1983"/>
      <w:bookmarkStart w:id="690" w:name="_Toc13743"/>
      <w:bookmarkStart w:id="691" w:name="_Toc28898"/>
      <w:bookmarkStart w:id="692" w:name="_Toc492478748"/>
      <w:bookmarkStart w:id="693" w:name="_Toc23267"/>
      <w:bookmarkStart w:id="694" w:name="_Toc25750618"/>
      <w:bookmarkStart w:id="695" w:name="_Toc12983533"/>
      <w:bookmarkStart w:id="696" w:name="_Toc390098449"/>
      <w:bookmarkStart w:id="697" w:name="_Toc6624"/>
      <w:bookmarkStart w:id="698" w:name="_Toc8827"/>
      <w:bookmarkStart w:id="699" w:name="_Toc27670"/>
      <w:bookmarkStart w:id="700" w:name="_Toc24327"/>
      <w:bookmarkStart w:id="701" w:name="_Toc14860"/>
      <w:bookmarkStart w:id="702" w:name="_Toc383891198"/>
      <w:bookmarkStart w:id="703" w:name="_Toc30429"/>
      <w:bookmarkStart w:id="704" w:name="_Toc22510"/>
      <w:bookmarkStart w:id="705" w:name="_Toc11077"/>
      <w:r>
        <w:rPr>
          <w:rFonts w:hint="eastAsia" w:asciiTheme="minorEastAsia" w:hAnsiTheme="minorEastAsia" w:eastAsiaTheme="minorEastAsia"/>
          <w:sz w:val="21"/>
          <w:szCs w:val="21"/>
          <w:highlight w:val="none"/>
        </w:rPr>
        <w:t>比选申请文件的澄清</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706" w:name="_Toc1915"/>
      <w:bookmarkStart w:id="707" w:name="_Toc385427824"/>
      <w:bookmarkStart w:id="708" w:name="_Toc383891199"/>
      <w:bookmarkStart w:id="709" w:name="_Toc22681"/>
      <w:bookmarkStart w:id="710" w:name="_Toc26318"/>
      <w:bookmarkStart w:id="711" w:name="_Toc28992"/>
      <w:bookmarkStart w:id="712" w:name="_Toc30017"/>
      <w:bookmarkStart w:id="713" w:name="_Toc6908"/>
      <w:bookmarkStart w:id="714" w:name="_Toc29146"/>
      <w:bookmarkStart w:id="715" w:name="_Toc12983534"/>
      <w:bookmarkStart w:id="716" w:name="_Toc18093"/>
      <w:bookmarkStart w:id="717" w:name="_Toc20519"/>
      <w:bookmarkStart w:id="718" w:name="_Toc5607"/>
      <w:bookmarkStart w:id="719" w:name="_Toc12795"/>
      <w:bookmarkStart w:id="720" w:name="_Toc4397"/>
      <w:bookmarkStart w:id="721" w:name="_Toc16884"/>
      <w:bookmarkStart w:id="722" w:name="_Toc5926"/>
      <w:bookmarkStart w:id="723" w:name="_Toc26070"/>
      <w:bookmarkStart w:id="724" w:name="_Toc9040"/>
      <w:bookmarkStart w:id="725" w:name="_Toc492478749"/>
      <w:bookmarkStart w:id="726" w:name="_Toc25750619"/>
      <w:bookmarkStart w:id="727" w:name="_Toc5437"/>
      <w:bookmarkStart w:id="728" w:name="_Toc390098450"/>
      <w:r>
        <w:rPr>
          <w:rFonts w:hint="eastAsia" w:asciiTheme="minorEastAsia" w:hAnsiTheme="minorEastAsia" w:eastAsiaTheme="minorEastAsia"/>
          <w:sz w:val="21"/>
          <w:szCs w:val="21"/>
          <w:highlight w:val="none"/>
        </w:rPr>
        <w:t>比选申请文件响应性的确定</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26.1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26.3 如果比选申请文件实质上不响应比选文件的要求，比选人将予以拒绝，并且不允许比选申请人通过修正或撤销其不符要求的差异或保留使之成为具有响应性的比选申请。</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729" w:name="_Toc29398"/>
      <w:bookmarkStart w:id="730" w:name="_Toc12983535"/>
      <w:bookmarkStart w:id="731" w:name="_Toc31646"/>
      <w:bookmarkStart w:id="732" w:name="_Toc492478750"/>
      <w:bookmarkStart w:id="733" w:name="_Toc15051"/>
      <w:bookmarkStart w:id="734" w:name="_Toc23808"/>
      <w:bookmarkStart w:id="735" w:name="_Toc20874"/>
      <w:bookmarkStart w:id="736" w:name="_Toc22063"/>
      <w:bookmarkStart w:id="737" w:name="_Toc20810"/>
      <w:bookmarkStart w:id="738" w:name="_Toc22146"/>
      <w:bookmarkStart w:id="739" w:name="_Toc12167"/>
      <w:bookmarkStart w:id="740" w:name="_Toc26239"/>
      <w:bookmarkStart w:id="741" w:name="_Toc25750620"/>
      <w:bookmarkStart w:id="742" w:name="_Toc21468"/>
      <w:bookmarkStart w:id="743" w:name="_Toc383891200"/>
      <w:bookmarkStart w:id="744" w:name="_Toc385427825"/>
      <w:bookmarkStart w:id="745" w:name="_Toc20912"/>
      <w:bookmarkStart w:id="746" w:name="_Toc1027"/>
      <w:bookmarkStart w:id="747" w:name="_Toc23956"/>
      <w:bookmarkStart w:id="748" w:name="_Toc23999"/>
      <w:bookmarkStart w:id="749" w:name="_Toc19477"/>
      <w:bookmarkStart w:id="750" w:name="_Toc390098451"/>
      <w:bookmarkStart w:id="751" w:name="_Toc17236"/>
      <w:r>
        <w:rPr>
          <w:rFonts w:hint="eastAsia" w:asciiTheme="minorEastAsia" w:hAnsiTheme="minorEastAsia" w:eastAsiaTheme="minorEastAsia"/>
          <w:sz w:val="21"/>
          <w:szCs w:val="21"/>
          <w:highlight w:val="none"/>
        </w:rPr>
        <w:t>比选申请文件计算错误的修正</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27.1 比选申请报价大写金额与小写金额不一致的，以大写金额为准；</w:t>
      </w:r>
      <w:r>
        <w:rPr>
          <w:rFonts w:asciiTheme="minorEastAsia" w:hAnsiTheme="minorEastAsia" w:eastAsiaTheme="minorEastAsia"/>
          <w:highlight w:val="none"/>
        </w:rPr>
        <w:t>总价金额与单价</w:t>
      </w:r>
      <w:r>
        <w:rPr>
          <w:rFonts w:hint="eastAsia" w:asciiTheme="minorEastAsia" w:hAnsiTheme="minorEastAsia" w:eastAsiaTheme="minorEastAsia"/>
          <w:highlight w:val="none"/>
        </w:rPr>
        <w:t>乘以数量的合计</w:t>
      </w:r>
      <w:r>
        <w:rPr>
          <w:rFonts w:asciiTheme="minorEastAsia" w:hAnsiTheme="minorEastAsia" w:eastAsiaTheme="minorEastAsia"/>
          <w:highlight w:val="none"/>
        </w:rPr>
        <w:t>计算出的结果不一致的，以单价为准修正总价，但单价金额小数点有明显错误的除外。</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 xml:space="preserve">27.2 </w:t>
      </w:r>
      <w:r>
        <w:rPr>
          <w:rFonts w:hint="eastAsia" w:ascii="宋体" w:hAnsi="宋体" w:cs="Arial"/>
          <w:color w:val="auto"/>
          <w:highlight w:val="none"/>
        </w:rPr>
        <w:t>按上述修正错误的规则对比选申请报价进行修正。评</w:t>
      </w:r>
      <w:r>
        <w:rPr>
          <w:rFonts w:hint="eastAsia" w:ascii="宋体" w:hAnsi="宋体" w:cs="Arial"/>
          <w:color w:val="auto"/>
          <w:highlight w:val="none"/>
          <w:lang w:eastAsia="zh-CN"/>
        </w:rPr>
        <w:t>审</w:t>
      </w:r>
      <w:r>
        <w:rPr>
          <w:rFonts w:hint="eastAsia" w:ascii="宋体" w:hAnsi="宋体" w:cs="Arial"/>
          <w:color w:val="auto"/>
          <w:highlight w:val="none"/>
        </w:rPr>
        <w:t>价格及</w:t>
      </w:r>
      <w:r>
        <w:rPr>
          <w:rFonts w:hint="eastAsia" w:ascii="宋体" w:hAnsi="宋体" w:cs="Arial"/>
          <w:color w:val="auto"/>
          <w:highlight w:val="none"/>
          <w:lang w:eastAsia="zh-CN"/>
        </w:rPr>
        <w:t>中选</w:t>
      </w:r>
      <w:r>
        <w:rPr>
          <w:rFonts w:hint="eastAsia" w:ascii="宋体" w:hAnsi="宋体" w:cs="Arial"/>
          <w:color w:val="auto"/>
          <w:highlight w:val="none"/>
        </w:rPr>
        <w:t>价均以修正后的报价为准。如比选申请人不接受按以上规则确定的评</w:t>
      </w:r>
      <w:r>
        <w:rPr>
          <w:rFonts w:hint="eastAsia" w:ascii="宋体" w:hAnsi="宋体" w:cs="Arial"/>
          <w:color w:val="auto"/>
          <w:highlight w:val="none"/>
          <w:lang w:eastAsia="zh-CN"/>
        </w:rPr>
        <w:t>审</w:t>
      </w:r>
      <w:r>
        <w:rPr>
          <w:rFonts w:hint="eastAsia" w:ascii="宋体" w:hAnsi="宋体" w:cs="Arial"/>
          <w:color w:val="auto"/>
          <w:highlight w:val="none"/>
        </w:rPr>
        <w:t>价格和</w:t>
      </w:r>
      <w:r>
        <w:rPr>
          <w:rFonts w:hint="eastAsia" w:ascii="宋体" w:hAnsi="宋体" w:cs="Arial"/>
          <w:color w:val="auto"/>
          <w:highlight w:val="none"/>
          <w:lang w:eastAsia="zh-CN"/>
        </w:rPr>
        <w:t>中选</w:t>
      </w:r>
      <w:r>
        <w:rPr>
          <w:rFonts w:hint="eastAsia" w:ascii="宋体" w:hAnsi="宋体" w:cs="Arial"/>
          <w:color w:val="auto"/>
          <w:highlight w:val="none"/>
        </w:rPr>
        <w:t>价，则其比选申请将被拒绝。</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752" w:name="_Toc9812"/>
      <w:bookmarkStart w:id="753" w:name="_Toc29276"/>
      <w:bookmarkStart w:id="754" w:name="_Toc12983536"/>
      <w:bookmarkStart w:id="755" w:name="_Toc4958"/>
      <w:bookmarkStart w:id="756" w:name="_Toc3258"/>
      <w:bookmarkStart w:id="757" w:name="_Toc24176"/>
      <w:bookmarkStart w:id="758" w:name="_Toc23907"/>
      <w:bookmarkStart w:id="759" w:name="_Toc492478751"/>
      <w:bookmarkStart w:id="760" w:name="_Toc20444"/>
      <w:bookmarkStart w:id="761" w:name="_Toc8959"/>
      <w:bookmarkStart w:id="762" w:name="_Toc383891201"/>
      <w:bookmarkStart w:id="763" w:name="_Toc25750621"/>
      <w:bookmarkStart w:id="764" w:name="_Toc20881"/>
      <w:bookmarkStart w:id="765" w:name="_Toc27112"/>
      <w:bookmarkStart w:id="766" w:name="_Toc385427826"/>
      <w:bookmarkStart w:id="767" w:name="_Toc22994"/>
      <w:bookmarkStart w:id="768" w:name="_Toc5319"/>
      <w:bookmarkStart w:id="769" w:name="_Toc16418"/>
      <w:bookmarkStart w:id="770" w:name="_Toc390098452"/>
      <w:bookmarkStart w:id="771" w:name="_Toc9737"/>
      <w:bookmarkStart w:id="772" w:name="_Toc20854"/>
      <w:bookmarkStart w:id="773" w:name="_Toc1004"/>
      <w:bookmarkStart w:id="774" w:name="_Toc19936"/>
      <w:r>
        <w:rPr>
          <w:rFonts w:hint="eastAsia" w:asciiTheme="minorEastAsia" w:hAnsiTheme="minorEastAsia" w:eastAsiaTheme="minorEastAsia"/>
          <w:sz w:val="21"/>
          <w:szCs w:val="21"/>
          <w:highlight w:val="none"/>
        </w:rPr>
        <w:t>比选申请文件的评价与比较</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28.2 评审将按《评审办法》规定执行。</w:t>
      </w:r>
      <w:bookmarkEnd w:id="680"/>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775" w:name="_Toc25750622"/>
      <w:bookmarkStart w:id="776" w:name="_Toc12983537"/>
      <w:bookmarkStart w:id="777" w:name="_Toc27289"/>
      <w:bookmarkStart w:id="778" w:name="_Toc19322"/>
      <w:bookmarkStart w:id="779" w:name="_Toc32344"/>
      <w:bookmarkStart w:id="780" w:name="_Toc8845"/>
      <w:bookmarkStart w:id="781" w:name="_Toc22500"/>
      <w:bookmarkStart w:id="782" w:name="_Toc383891202"/>
      <w:bookmarkStart w:id="783" w:name="_Toc8074"/>
      <w:bookmarkStart w:id="784" w:name="_Toc3358"/>
      <w:bookmarkStart w:id="785" w:name="_Toc11010"/>
      <w:bookmarkStart w:id="786" w:name="_Toc492478752"/>
      <w:bookmarkStart w:id="787" w:name="_Toc15146"/>
      <w:bookmarkStart w:id="788" w:name="_Toc507"/>
      <w:bookmarkStart w:id="789" w:name="_Toc14300"/>
      <w:bookmarkStart w:id="790" w:name="_Toc31774"/>
      <w:bookmarkStart w:id="791" w:name="_Toc27803"/>
      <w:bookmarkStart w:id="792" w:name="_Toc28489"/>
      <w:bookmarkStart w:id="793" w:name="_Toc17460"/>
      <w:bookmarkStart w:id="794" w:name="_Toc390098453"/>
      <w:bookmarkStart w:id="795" w:name="_Toc1450"/>
      <w:bookmarkStart w:id="796" w:name="_Toc11657"/>
      <w:bookmarkStart w:id="797" w:name="_Toc385427827"/>
      <w:r>
        <w:rPr>
          <w:rFonts w:hint="eastAsia" w:asciiTheme="minorEastAsia" w:hAnsiTheme="minorEastAsia" w:eastAsiaTheme="minorEastAsia"/>
          <w:sz w:val="21"/>
          <w:szCs w:val="21"/>
          <w:highlight w:val="none"/>
        </w:rPr>
        <w:t>定标</w:t>
      </w:r>
      <w:bookmarkEnd w:id="681"/>
      <w:bookmarkEnd w:id="682"/>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tabs>
          <w:tab w:val="left" w:pos="1134"/>
          <w:tab w:val="left" w:pos="8364"/>
        </w:tabs>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29.1</w:t>
      </w:r>
      <w:r>
        <w:rPr>
          <w:rFonts w:hint="eastAsia" w:cs="Arial" w:asciiTheme="minorEastAsia" w:hAnsiTheme="minorEastAsia" w:eastAsiaTheme="minorEastAsia"/>
          <w:highlight w:val="none"/>
        </w:rPr>
        <w:t xml:space="preserve"> 经评审后，评审委员会将报价最低</w:t>
      </w:r>
      <w:r>
        <w:rPr>
          <w:rFonts w:cs="Arial" w:asciiTheme="minorEastAsia" w:hAnsiTheme="minorEastAsia" w:eastAsiaTheme="minorEastAsia"/>
          <w:highlight w:val="none"/>
        </w:rPr>
        <w:t>的比选申请人推荐为中</w:t>
      </w:r>
      <w:r>
        <w:rPr>
          <w:rFonts w:hint="eastAsia" w:cs="Arial" w:asciiTheme="minorEastAsia" w:hAnsiTheme="minorEastAsia" w:eastAsiaTheme="minorEastAsia"/>
          <w:highlight w:val="none"/>
        </w:rPr>
        <w:t>选</w:t>
      </w:r>
      <w:r>
        <w:rPr>
          <w:rFonts w:cs="Arial" w:asciiTheme="minorEastAsia" w:hAnsiTheme="minorEastAsia" w:eastAsiaTheme="minorEastAsia"/>
          <w:highlight w:val="none"/>
        </w:rPr>
        <w:t>候选人</w:t>
      </w:r>
      <w:r>
        <w:rPr>
          <w:rFonts w:hint="eastAsia" w:cs="Arial" w:asciiTheme="minorEastAsia" w:hAnsiTheme="minorEastAsia" w:eastAsiaTheme="minorEastAsia"/>
          <w:highlight w:val="none"/>
        </w:rPr>
        <w:t>。报价</w:t>
      </w:r>
      <w:r>
        <w:rPr>
          <w:rFonts w:cs="Arial" w:asciiTheme="minorEastAsia" w:hAnsiTheme="minorEastAsia" w:eastAsiaTheme="minorEastAsia"/>
          <w:highlight w:val="none"/>
        </w:rPr>
        <w:t>相同的，</w:t>
      </w:r>
      <w:r>
        <w:rPr>
          <w:rFonts w:hint="eastAsia" w:cs="Arial" w:asciiTheme="minorEastAsia" w:hAnsiTheme="minorEastAsia" w:eastAsiaTheme="minorEastAsia"/>
          <w:highlight w:val="none"/>
        </w:rPr>
        <w:t>评审委员会</w:t>
      </w:r>
      <w:r>
        <w:rPr>
          <w:rFonts w:cs="Arial" w:asciiTheme="minorEastAsia" w:hAnsiTheme="minorEastAsia" w:eastAsiaTheme="minorEastAsia"/>
          <w:highlight w:val="none"/>
        </w:rPr>
        <w:t>以记名投票的方式按少数服从多数的原则决定其排名顺序</w:t>
      </w:r>
      <w:r>
        <w:rPr>
          <w:rFonts w:hint="eastAsia" w:cs="Arial" w:asciiTheme="minorEastAsia" w:hAnsiTheme="minorEastAsia" w:eastAsiaTheme="minorEastAsia"/>
          <w:highlight w:val="none"/>
        </w:rPr>
        <w:t>。</w:t>
      </w:r>
    </w:p>
    <w:p>
      <w:pPr>
        <w:tabs>
          <w:tab w:val="left" w:pos="1134"/>
          <w:tab w:val="left" w:pos="8364"/>
        </w:tabs>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29.2</w:t>
      </w:r>
      <w:r>
        <w:rPr>
          <w:rFonts w:hint="eastAsia" w:cs="Arial" w:asciiTheme="minorEastAsia" w:hAnsiTheme="minorEastAsia" w:eastAsiaTheme="minorEastAsia"/>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29.3</w:t>
      </w:r>
      <w:r>
        <w:rPr>
          <w:rFonts w:hint="eastAsia" w:cs="Arial" w:asciiTheme="minorEastAsia" w:hAnsiTheme="minorEastAsia" w:eastAsiaTheme="minorEastAsia"/>
          <w:highlight w:val="none"/>
        </w:rPr>
        <w:t xml:space="preserve"> 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29.4</w:t>
      </w:r>
      <w:r>
        <w:rPr>
          <w:rFonts w:hint="eastAsia" w:cs="Arial" w:asciiTheme="minorEastAsia" w:hAnsiTheme="minorEastAsia" w:eastAsiaTheme="minorEastAsia"/>
          <w:highlight w:val="none"/>
        </w:rPr>
        <w:t xml:space="preserve"> 比选人确定的中选人必须按有关规定进行公示。</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cs="Arial" w:asciiTheme="minorEastAsia" w:hAnsiTheme="minorEastAsia" w:eastAsiaTheme="minorEastAsia"/>
          <w:highlight w:val="none"/>
        </w:rPr>
        <w:t>29.5</w:t>
      </w:r>
      <w:r>
        <w:rPr>
          <w:rFonts w:hint="eastAsia" w:cs="Arial" w:asciiTheme="minorEastAsia" w:hAnsiTheme="minorEastAsia" w:eastAsiaTheme="minorEastAsia"/>
          <w:highlight w:val="none"/>
        </w:rPr>
        <w:t xml:space="preserve"> 评审委员会评审结束后，比选人经审查发现评审过程中有明显错误，可以组织原评审委员会进行复评。</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798" w:name="_Toc492478753"/>
      <w:bookmarkStart w:id="799" w:name="_Toc15932"/>
      <w:bookmarkStart w:id="800" w:name="_Toc26470"/>
      <w:bookmarkStart w:id="801" w:name="_Toc16732"/>
      <w:bookmarkStart w:id="802" w:name="_Toc17823"/>
      <w:bookmarkStart w:id="803" w:name="_Toc13986"/>
      <w:bookmarkStart w:id="804" w:name="_Toc383891203"/>
      <w:bookmarkStart w:id="805" w:name="_Toc37"/>
      <w:bookmarkStart w:id="806" w:name="_Toc22182"/>
      <w:bookmarkStart w:id="807" w:name="_Toc3761"/>
      <w:bookmarkStart w:id="808" w:name="_Toc21142"/>
      <w:bookmarkStart w:id="809" w:name="_Toc385427828"/>
      <w:bookmarkStart w:id="810" w:name="_Toc21947"/>
      <w:bookmarkStart w:id="811" w:name="_Toc27664"/>
      <w:bookmarkStart w:id="812" w:name="_Toc14042"/>
      <w:bookmarkStart w:id="813" w:name="_Toc390098454"/>
      <w:bookmarkStart w:id="814" w:name="_Toc18192"/>
      <w:bookmarkStart w:id="815" w:name="_Toc5257"/>
      <w:bookmarkStart w:id="816" w:name="_Toc5172"/>
      <w:bookmarkStart w:id="817" w:name="_Toc19634"/>
      <w:bookmarkStart w:id="818" w:name="_Toc375039095"/>
      <w:bookmarkStart w:id="819" w:name="_Toc12983538"/>
      <w:bookmarkStart w:id="820" w:name="_Toc1215"/>
      <w:bookmarkStart w:id="821" w:name="_Toc25750623"/>
      <w:r>
        <w:rPr>
          <w:rFonts w:hint="eastAsia" w:asciiTheme="minorEastAsia" w:hAnsiTheme="minorEastAsia" w:eastAsiaTheme="minorEastAsia"/>
          <w:sz w:val="21"/>
          <w:szCs w:val="21"/>
          <w:highlight w:val="none"/>
        </w:rPr>
        <w:t>重新</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Fonts w:hint="eastAsia" w:asciiTheme="minorEastAsia" w:hAnsiTheme="minorEastAsia" w:eastAsiaTheme="minorEastAsia"/>
          <w:sz w:val="21"/>
          <w:szCs w:val="21"/>
          <w:highlight w:val="none"/>
        </w:rPr>
        <w:t>比选</w:t>
      </w:r>
      <w:bookmarkEnd w:id="821"/>
    </w:p>
    <w:p>
      <w:pPr>
        <w:tabs>
          <w:tab w:val="left" w:pos="1134"/>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出现下列特殊情况之一时，可重新</w:t>
      </w:r>
      <w:r>
        <w:rPr>
          <w:rFonts w:hint="eastAsia" w:asciiTheme="minorEastAsia" w:hAnsiTheme="minorEastAsia" w:eastAsiaTheme="minorEastAsia"/>
          <w:highlight w:val="none"/>
        </w:rPr>
        <w:t>比选</w:t>
      </w:r>
      <w:r>
        <w:rPr>
          <w:rFonts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30.1 </w:t>
      </w:r>
      <w:r>
        <w:rPr>
          <w:rFonts w:asciiTheme="minorEastAsia" w:hAnsiTheme="minorEastAsia" w:eastAsiaTheme="minorEastAsia"/>
          <w:highlight w:val="none"/>
        </w:rPr>
        <w:t>在比选申请截止时间到达时提交比选申请文件的比选申请人</w:t>
      </w:r>
      <w:r>
        <w:rPr>
          <w:rFonts w:hint="eastAsia" w:asciiTheme="minorEastAsia" w:hAnsiTheme="minorEastAsia" w:eastAsiaTheme="minorEastAsia"/>
          <w:highlight w:val="none"/>
        </w:rPr>
        <w:t>不足3家</w:t>
      </w:r>
      <w:r>
        <w:rPr>
          <w:rFonts w:asciiTheme="minorEastAsia" w:hAnsiTheme="minorEastAsia" w:eastAsiaTheme="minorEastAsia"/>
          <w:highlight w:val="none"/>
        </w:rPr>
        <w:t>的；</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30.2 </w:t>
      </w:r>
      <w:r>
        <w:rPr>
          <w:rFonts w:asciiTheme="minorEastAsia" w:hAnsiTheme="minorEastAsia" w:eastAsiaTheme="minorEastAsia"/>
          <w:highlight w:val="none"/>
        </w:rPr>
        <w:t>评审委员会否决不合格比选申请或者界定为否决比选申请后，因有效比选申请不足三</w:t>
      </w:r>
      <w:r>
        <w:rPr>
          <w:rFonts w:hint="eastAsia" w:asciiTheme="minorEastAsia" w:hAnsiTheme="minorEastAsia" w:eastAsiaTheme="minorEastAsia"/>
          <w:highlight w:val="none"/>
        </w:rPr>
        <w:t>家</w:t>
      </w:r>
      <w:r>
        <w:rPr>
          <w:rFonts w:asciiTheme="minorEastAsia" w:hAnsiTheme="minorEastAsia" w:eastAsiaTheme="minorEastAsia"/>
          <w:highlight w:val="none"/>
        </w:rPr>
        <w:t>使得比选申请明显缺乏竞争性的（当有效比选申请不足三</w:t>
      </w:r>
      <w:r>
        <w:rPr>
          <w:rFonts w:hint="eastAsia" w:asciiTheme="minorEastAsia" w:hAnsiTheme="minorEastAsia" w:eastAsiaTheme="minorEastAsia"/>
          <w:highlight w:val="none"/>
        </w:rPr>
        <w:t>家</w:t>
      </w:r>
      <w:r>
        <w:rPr>
          <w:rFonts w:asciiTheme="minorEastAsia" w:hAnsiTheme="minorEastAsia" w:eastAsiaTheme="minorEastAsia"/>
          <w:highlight w:val="none"/>
        </w:rPr>
        <w:t>时，评审委员会认为剩余的比选申请文件仍具有竞争性的，应继续评审</w:t>
      </w:r>
      <w:r>
        <w:rPr>
          <w:rFonts w:hint="eastAsia" w:asciiTheme="minorEastAsia" w:hAnsiTheme="minorEastAsia" w:eastAsiaTheme="minorEastAsia"/>
          <w:highlight w:val="none"/>
        </w:rPr>
        <w:t>，并在《</w:t>
      </w:r>
      <w:r>
        <w:rPr>
          <w:rFonts w:hint="eastAsia" w:asciiTheme="minorEastAsia" w:hAnsiTheme="minorEastAsia" w:eastAsiaTheme="minorEastAsia"/>
          <w:highlight w:val="none"/>
          <w:lang w:eastAsia="zh-CN"/>
        </w:rPr>
        <w:t>评审</w:t>
      </w:r>
      <w:r>
        <w:rPr>
          <w:rFonts w:hint="eastAsia" w:asciiTheme="minorEastAsia" w:hAnsiTheme="minorEastAsia" w:eastAsiaTheme="minorEastAsia"/>
          <w:highlight w:val="none"/>
        </w:rPr>
        <w:t>报告》中记录仍具有竞争性而继续评审的理由</w:t>
      </w:r>
      <w:r>
        <w:rPr>
          <w:rFonts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30.</w:t>
      </w:r>
      <w:r>
        <w:rPr>
          <w:rFonts w:hint="eastAsia" w:asciiTheme="minorEastAsia" w:hAnsiTheme="minorEastAsia" w:eastAsiaTheme="minorEastAsia"/>
          <w:highlight w:val="none"/>
        </w:rPr>
        <w:t>3</w:t>
      </w:r>
      <w:r>
        <w:rPr>
          <w:rFonts w:asciiTheme="minorEastAsia" w:hAnsiTheme="minorEastAsia" w:eastAsiaTheme="minorEastAsia"/>
          <w:highlight w:val="none"/>
        </w:rPr>
        <w:t xml:space="preserve"> 评审委员会决定否决全部比选申请的；</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30.4 </w:t>
      </w:r>
      <w:r>
        <w:rPr>
          <w:rFonts w:asciiTheme="minorEastAsia" w:hAnsiTheme="minorEastAsia" w:eastAsiaTheme="minorEastAsia"/>
          <w:highlight w:val="none"/>
        </w:rPr>
        <w:t>中选候选人均放弃中选资格</w:t>
      </w:r>
      <w:r>
        <w:rPr>
          <w:rFonts w:hint="eastAsia" w:asciiTheme="minorEastAsia" w:hAnsiTheme="minorEastAsia" w:eastAsiaTheme="minorEastAsia"/>
          <w:highlight w:val="none"/>
        </w:rPr>
        <w:t>的</w:t>
      </w:r>
      <w:r>
        <w:rPr>
          <w:rFonts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30.5 </w:t>
      </w:r>
      <w:r>
        <w:rPr>
          <w:rFonts w:asciiTheme="minorEastAsia" w:hAnsiTheme="minorEastAsia" w:eastAsiaTheme="minorEastAsia"/>
          <w:highlight w:val="none"/>
        </w:rPr>
        <w:t>根据本须知15</w:t>
      </w:r>
      <w:r>
        <w:rPr>
          <w:rFonts w:hint="eastAsia" w:asciiTheme="minorEastAsia" w:hAnsiTheme="minorEastAsia" w:eastAsiaTheme="minorEastAsia"/>
          <w:highlight w:val="none"/>
        </w:rPr>
        <w:t>.2</w:t>
      </w:r>
      <w:r>
        <w:rPr>
          <w:rFonts w:asciiTheme="minorEastAsia" w:hAnsiTheme="minorEastAsia" w:eastAsiaTheme="minorEastAsia"/>
          <w:highlight w:val="none"/>
        </w:rPr>
        <w:t>条规定，</w:t>
      </w:r>
      <w:r>
        <w:rPr>
          <w:rFonts w:hint="eastAsia" w:asciiTheme="minorEastAsia" w:hAnsiTheme="minorEastAsia" w:eastAsiaTheme="minorEastAsia"/>
          <w:highlight w:val="none"/>
        </w:rPr>
        <w:t>所有中选候选人均不同意在比选申请有效期内延长比选申请有效期的。</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30.6 比选文件中规定的其他情况。</w:t>
      </w:r>
    </w:p>
    <w:p>
      <w:pPr>
        <w:pStyle w:val="7"/>
        <w:numPr>
          <w:ilvl w:val="0"/>
          <w:numId w:val="6"/>
        </w:numPr>
        <w:spacing w:before="0" w:after="0" w:line="360" w:lineRule="auto"/>
        <w:ind w:firstLine="422" w:firstLineChars="200"/>
        <w:rPr>
          <w:rFonts w:asciiTheme="minorEastAsia" w:hAnsiTheme="minorEastAsia" w:eastAsiaTheme="minorEastAsia"/>
          <w:sz w:val="21"/>
          <w:szCs w:val="21"/>
          <w:highlight w:val="none"/>
        </w:rPr>
      </w:pPr>
      <w:bookmarkStart w:id="822" w:name="_Toc14235"/>
      <w:bookmarkStart w:id="823" w:name="_Toc3769"/>
      <w:bookmarkStart w:id="824" w:name="_Toc12031"/>
      <w:bookmarkStart w:id="825" w:name="_Toc26919"/>
      <w:bookmarkStart w:id="826" w:name="_Toc26954"/>
      <w:bookmarkStart w:id="827" w:name="_Toc25257"/>
      <w:bookmarkStart w:id="828" w:name="_Toc5959"/>
      <w:bookmarkStart w:id="829" w:name="_Toc11126"/>
      <w:bookmarkStart w:id="830" w:name="_Toc492478754"/>
      <w:bookmarkStart w:id="831" w:name="_Toc31757"/>
      <w:bookmarkStart w:id="832" w:name="_Toc14454"/>
      <w:bookmarkStart w:id="833" w:name="_Toc6886"/>
      <w:bookmarkStart w:id="834" w:name="_Toc1116"/>
      <w:bookmarkStart w:id="835" w:name="_Toc2422"/>
      <w:bookmarkStart w:id="836" w:name="_Toc12983539"/>
      <w:bookmarkStart w:id="837" w:name="_Toc1945"/>
      <w:bookmarkStart w:id="838" w:name="_Toc383891204"/>
      <w:bookmarkStart w:id="839" w:name="_Toc20979"/>
      <w:bookmarkStart w:id="840" w:name="_Toc385427829"/>
      <w:bookmarkStart w:id="841" w:name="_Toc390098455"/>
      <w:bookmarkStart w:id="842" w:name="_Toc375039096"/>
      <w:bookmarkStart w:id="843" w:name="_Toc17042"/>
      <w:bookmarkStart w:id="844" w:name="_Toc10962"/>
      <w:bookmarkStart w:id="845" w:name="_Toc25750624"/>
      <w:r>
        <w:rPr>
          <w:rFonts w:hint="eastAsia" w:asciiTheme="minorEastAsia" w:hAnsiTheme="minorEastAsia" w:eastAsiaTheme="minorEastAsia"/>
          <w:sz w:val="21"/>
          <w:szCs w:val="21"/>
          <w:highlight w:val="none"/>
        </w:rPr>
        <w:t>不再</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Fonts w:hint="eastAsia" w:asciiTheme="minorEastAsia" w:hAnsiTheme="minorEastAsia" w:eastAsiaTheme="minorEastAsia"/>
          <w:sz w:val="21"/>
          <w:szCs w:val="21"/>
          <w:highlight w:val="none"/>
        </w:rPr>
        <w:t>比选</w:t>
      </w:r>
      <w:bookmarkEnd w:id="845"/>
    </w:p>
    <w:p>
      <w:pPr>
        <w:tabs>
          <w:tab w:val="left" w:pos="1155"/>
          <w:tab w:val="left" w:pos="8364"/>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项目</w:t>
      </w:r>
      <w:r>
        <w:rPr>
          <w:rFonts w:hint="eastAsia" w:asciiTheme="minorEastAsia" w:hAnsiTheme="minorEastAsia" w:eastAsiaTheme="minorEastAsia"/>
          <w:highlight w:val="none"/>
        </w:rPr>
        <w:t>比选</w:t>
      </w:r>
      <w:r>
        <w:rPr>
          <w:rFonts w:asciiTheme="minorEastAsia" w:hAnsiTheme="minorEastAsia" w:eastAsiaTheme="minorEastAsia"/>
          <w:highlight w:val="none"/>
        </w:rPr>
        <w:t>经两次发布信息后比选申请人仍少于三个或重新</w:t>
      </w:r>
      <w:r>
        <w:rPr>
          <w:rFonts w:hint="eastAsia" w:asciiTheme="minorEastAsia" w:hAnsiTheme="minorEastAsia" w:eastAsiaTheme="minorEastAsia"/>
          <w:highlight w:val="none"/>
        </w:rPr>
        <w:t>比选</w:t>
      </w:r>
      <w:r>
        <w:rPr>
          <w:rFonts w:asciiTheme="minorEastAsia" w:hAnsiTheme="minorEastAsia" w:eastAsiaTheme="minorEastAsia"/>
          <w:highlight w:val="none"/>
        </w:rPr>
        <w:t>后有效比选申请人仍少于三个或者所有比选申请被否决的，比选人可不再进行</w:t>
      </w:r>
      <w:r>
        <w:rPr>
          <w:rFonts w:hint="eastAsia" w:asciiTheme="minorEastAsia" w:hAnsiTheme="minorEastAsia" w:eastAsiaTheme="minorEastAsia"/>
          <w:highlight w:val="none"/>
        </w:rPr>
        <w:t>比选</w:t>
      </w:r>
      <w:r>
        <w:rPr>
          <w:rFonts w:asciiTheme="minorEastAsia" w:hAnsiTheme="minorEastAsia" w:eastAsiaTheme="minorEastAsia"/>
          <w:highlight w:val="none"/>
        </w:rPr>
        <w:t>。</w:t>
      </w:r>
    </w:p>
    <w:p>
      <w:pPr>
        <w:pStyle w:val="5"/>
        <w:spacing w:after="0" w:line="360" w:lineRule="auto"/>
        <w:ind w:firstLine="482" w:firstLineChars="200"/>
        <w:rPr>
          <w:rFonts w:asciiTheme="minorEastAsia" w:hAnsiTheme="minorEastAsia" w:eastAsiaTheme="minorEastAsia"/>
          <w:sz w:val="24"/>
          <w:szCs w:val="24"/>
          <w:highlight w:val="none"/>
        </w:rPr>
      </w:pPr>
      <w:bookmarkStart w:id="846" w:name="_Toc25750625"/>
      <w:bookmarkStart w:id="847" w:name="_Toc22975"/>
      <w:bookmarkStart w:id="848" w:name="_Toc26653"/>
      <w:bookmarkStart w:id="849" w:name="_Toc19952"/>
      <w:bookmarkStart w:id="850" w:name="_Toc24681"/>
      <w:bookmarkStart w:id="851" w:name="_Toc390098456"/>
      <w:bookmarkStart w:id="852" w:name="_Toc4743"/>
      <w:bookmarkStart w:id="853" w:name="_Toc27839"/>
      <w:bookmarkStart w:id="854" w:name="_Toc492478755"/>
      <w:bookmarkStart w:id="855" w:name="_Toc30278"/>
      <w:bookmarkStart w:id="856" w:name="_Toc8834"/>
      <w:bookmarkStart w:id="857" w:name="_Toc375039097"/>
      <w:bookmarkStart w:id="858" w:name="_Toc9113"/>
      <w:bookmarkStart w:id="859" w:name="_Toc25431"/>
      <w:bookmarkStart w:id="860" w:name="_Toc12983540"/>
      <w:bookmarkStart w:id="861" w:name="_Toc383891205"/>
      <w:bookmarkStart w:id="862" w:name="_Toc21516"/>
      <w:bookmarkStart w:id="863" w:name="_Toc18800"/>
      <w:bookmarkStart w:id="864" w:name="_Toc12421"/>
      <w:bookmarkStart w:id="865" w:name="_Toc31958"/>
      <w:bookmarkStart w:id="866" w:name="_Toc6000"/>
      <w:bookmarkStart w:id="867" w:name="_Toc2326"/>
      <w:bookmarkStart w:id="868" w:name="_Toc24580"/>
      <w:bookmarkStart w:id="869" w:name="_Toc385427830"/>
      <w:r>
        <w:rPr>
          <w:rFonts w:hint="eastAsia" w:asciiTheme="minorEastAsia" w:hAnsiTheme="minorEastAsia" w:eastAsiaTheme="minorEastAsia"/>
          <w:sz w:val="24"/>
          <w:szCs w:val="24"/>
          <w:highlight w:val="none"/>
        </w:rPr>
        <w:t>六、</w:t>
      </w:r>
      <w:r>
        <w:rPr>
          <w:rFonts w:asciiTheme="minorEastAsia" w:hAnsiTheme="minorEastAsia" w:eastAsiaTheme="minorEastAsia"/>
          <w:sz w:val="24"/>
          <w:szCs w:val="24"/>
          <w:highlight w:val="none"/>
        </w:rPr>
        <w:t>授予合同</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7"/>
        <w:spacing w:before="0" w:after="0" w:line="360" w:lineRule="auto"/>
        <w:ind w:firstLine="422" w:firstLineChars="200"/>
        <w:rPr>
          <w:rFonts w:asciiTheme="minorEastAsia" w:hAnsiTheme="minorEastAsia" w:eastAsiaTheme="minorEastAsia"/>
          <w:sz w:val="21"/>
          <w:szCs w:val="21"/>
          <w:highlight w:val="none"/>
        </w:rPr>
      </w:pPr>
      <w:bookmarkStart w:id="870" w:name="_Toc21975"/>
      <w:bookmarkStart w:id="871" w:name="_Toc25750626"/>
      <w:bookmarkStart w:id="872" w:name="_Toc20642"/>
      <w:bookmarkStart w:id="873" w:name="_Toc11795"/>
      <w:bookmarkStart w:id="874" w:name="_Toc13914"/>
      <w:bookmarkStart w:id="875" w:name="_Toc492478756"/>
      <w:bookmarkStart w:id="876" w:name="_Toc26143"/>
      <w:bookmarkStart w:id="877" w:name="_Toc30743"/>
      <w:bookmarkStart w:id="878" w:name="_Toc22688"/>
      <w:bookmarkStart w:id="879" w:name="_Toc10522"/>
      <w:bookmarkStart w:id="880" w:name="_Toc28661"/>
      <w:bookmarkStart w:id="881" w:name="_Toc390098457"/>
      <w:bookmarkStart w:id="882" w:name="_Toc21728"/>
      <w:bookmarkStart w:id="883" w:name="_Toc385427831"/>
      <w:bookmarkStart w:id="884" w:name="_Toc12983541"/>
      <w:bookmarkStart w:id="885" w:name="_Toc31011"/>
      <w:bookmarkStart w:id="886" w:name="_Toc30026"/>
      <w:bookmarkStart w:id="887" w:name="_Toc375039098"/>
      <w:bookmarkStart w:id="888" w:name="_Toc1269"/>
      <w:bookmarkStart w:id="889" w:name="_Toc26525"/>
      <w:bookmarkStart w:id="890" w:name="_Toc8938"/>
      <w:bookmarkStart w:id="891" w:name="_Toc18878"/>
      <w:bookmarkStart w:id="892" w:name="_Toc22323"/>
      <w:bookmarkStart w:id="893" w:name="_Toc383891206"/>
      <w:r>
        <w:rPr>
          <w:rFonts w:hint="eastAsia" w:asciiTheme="minorEastAsia" w:hAnsiTheme="minorEastAsia" w:eastAsiaTheme="minorEastAsia"/>
          <w:sz w:val="21"/>
          <w:szCs w:val="21"/>
          <w:highlight w:val="none"/>
        </w:rPr>
        <w:t>32. 合同授予标准</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32.1 </w:t>
      </w:r>
      <w:r>
        <w:rPr>
          <w:rFonts w:asciiTheme="minorEastAsia" w:hAnsiTheme="minorEastAsia" w:eastAsiaTheme="minorEastAsia"/>
          <w:highlight w:val="none"/>
        </w:rPr>
        <w:t>根据本须知规定，比选人将把合同授予收到中选通知书，并提供了</w:t>
      </w:r>
      <w:r>
        <w:rPr>
          <w:rFonts w:hint="eastAsia" w:asciiTheme="minorEastAsia" w:hAnsiTheme="minorEastAsia" w:eastAsiaTheme="minorEastAsia"/>
          <w:highlight w:val="none"/>
          <w:lang w:val="en-US" w:eastAsia="zh-CN"/>
        </w:rPr>
        <w:t xml:space="preserve"> </w:t>
      </w:r>
      <w:r>
        <w:rPr>
          <w:rFonts w:asciiTheme="minorEastAsia" w:hAnsiTheme="minorEastAsia" w:eastAsiaTheme="minorEastAsia"/>
          <w:highlight w:val="none"/>
        </w:rPr>
        <w:t>履约担保的比选申请人，该比选申请人必须具有有效实施本合同的能力和资源。</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32.2 </w:t>
      </w:r>
      <w:r>
        <w:rPr>
          <w:rFonts w:asciiTheme="minorEastAsia" w:hAnsiTheme="minorEastAsia" w:eastAsiaTheme="minorEastAsia"/>
          <w:highlight w:val="none"/>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7"/>
        <w:spacing w:before="0" w:after="0" w:line="360" w:lineRule="auto"/>
        <w:ind w:firstLine="422" w:firstLineChars="200"/>
        <w:rPr>
          <w:rFonts w:asciiTheme="minorEastAsia" w:hAnsiTheme="minorEastAsia" w:eastAsiaTheme="minorEastAsia"/>
          <w:sz w:val="21"/>
          <w:szCs w:val="21"/>
          <w:highlight w:val="none"/>
        </w:rPr>
      </w:pPr>
      <w:bookmarkStart w:id="894" w:name="_Toc17818"/>
      <w:bookmarkStart w:id="895" w:name="_Toc377"/>
      <w:bookmarkStart w:id="896" w:name="_Toc14301"/>
      <w:bookmarkStart w:id="897" w:name="_Toc14832"/>
      <w:bookmarkStart w:id="898" w:name="_Toc18977"/>
      <w:bookmarkStart w:id="899" w:name="_Toc383891207"/>
      <w:bookmarkStart w:id="900" w:name="_Toc375039099"/>
      <w:bookmarkStart w:id="901" w:name="_Toc13417"/>
      <w:bookmarkStart w:id="902" w:name="_Toc24183"/>
      <w:bookmarkStart w:id="903" w:name="_Toc17153"/>
      <w:bookmarkStart w:id="904" w:name="_Toc390098458"/>
      <w:bookmarkStart w:id="905" w:name="_Toc25750627"/>
      <w:bookmarkStart w:id="906" w:name="_Toc1873"/>
      <w:bookmarkStart w:id="907" w:name="_Toc25797"/>
      <w:bookmarkStart w:id="908" w:name="_Toc492478757"/>
      <w:bookmarkStart w:id="909" w:name="_Toc14325"/>
      <w:bookmarkStart w:id="910" w:name="_Toc11913"/>
      <w:bookmarkStart w:id="911" w:name="_Toc19774"/>
      <w:bookmarkStart w:id="912" w:name="_Toc19128"/>
      <w:bookmarkStart w:id="913" w:name="_Toc12983542"/>
      <w:bookmarkStart w:id="914" w:name="_Toc31336"/>
      <w:bookmarkStart w:id="915" w:name="_Toc385427832"/>
      <w:bookmarkStart w:id="916" w:name="_Toc23649"/>
      <w:bookmarkStart w:id="917" w:name="_Toc16111"/>
      <w:r>
        <w:rPr>
          <w:rFonts w:hint="eastAsia" w:asciiTheme="minorEastAsia" w:hAnsiTheme="minorEastAsia" w:eastAsiaTheme="minorEastAsia"/>
          <w:sz w:val="21"/>
          <w:szCs w:val="21"/>
          <w:highlight w:val="none"/>
        </w:rPr>
        <w:t>33. 接受和否决任何或所有比选申请的权力</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7"/>
        <w:numPr>
          <w:ilvl w:val="0"/>
          <w:numId w:val="7"/>
        </w:numPr>
        <w:spacing w:before="0" w:after="0" w:line="360" w:lineRule="auto"/>
        <w:ind w:firstLine="422" w:firstLineChars="200"/>
        <w:rPr>
          <w:rFonts w:asciiTheme="minorEastAsia" w:hAnsiTheme="minorEastAsia" w:eastAsiaTheme="minorEastAsia"/>
          <w:sz w:val="21"/>
          <w:szCs w:val="21"/>
          <w:highlight w:val="none"/>
        </w:rPr>
      </w:pPr>
      <w:bookmarkStart w:id="918" w:name="_Toc5061"/>
      <w:bookmarkStart w:id="919" w:name="_Toc20680"/>
      <w:bookmarkStart w:id="920" w:name="_Toc19556"/>
      <w:bookmarkStart w:id="921" w:name="_Toc10348"/>
      <w:bookmarkStart w:id="922" w:name="_Toc13596"/>
      <w:bookmarkStart w:id="923" w:name="_Toc12983543"/>
      <w:bookmarkStart w:id="924" w:name="_Toc25750628"/>
      <w:bookmarkStart w:id="925" w:name="_Toc673"/>
      <w:bookmarkStart w:id="926" w:name="_Toc375039100"/>
      <w:bookmarkStart w:id="927" w:name="_Toc12065"/>
      <w:bookmarkStart w:id="928" w:name="_Toc9636"/>
      <w:bookmarkStart w:id="929" w:name="_Toc13605"/>
      <w:bookmarkStart w:id="930" w:name="_Toc21798"/>
      <w:bookmarkStart w:id="931" w:name="_Toc22657"/>
      <w:bookmarkStart w:id="932" w:name="_Toc27683"/>
      <w:bookmarkStart w:id="933" w:name="_Toc32424"/>
      <w:bookmarkStart w:id="934" w:name="_Toc385427833"/>
      <w:bookmarkStart w:id="935" w:name="_Toc921"/>
      <w:bookmarkStart w:id="936" w:name="_Toc2061"/>
      <w:bookmarkStart w:id="937" w:name="_Toc19943"/>
      <w:bookmarkStart w:id="938" w:name="_Toc383891208"/>
      <w:bookmarkStart w:id="939" w:name="_Toc17953"/>
      <w:bookmarkStart w:id="940" w:name="_Toc390098459"/>
      <w:bookmarkStart w:id="941" w:name="_Toc492478758"/>
      <w:r>
        <w:rPr>
          <w:rFonts w:hint="eastAsia" w:asciiTheme="minorEastAsia" w:hAnsiTheme="minorEastAsia" w:eastAsiaTheme="minorEastAsia"/>
          <w:sz w:val="21"/>
          <w:szCs w:val="21"/>
          <w:highlight w:val="none"/>
        </w:rPr>
        <w:t>中选通知书</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tabs>
          <w:tab w:val="left" w:pos="450"/>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34.1 </w:t>
      </w:r>
      <w:r>
        <w:rPr>
          <w:rFonts w:asciiTheme="minorEastAsia" w:hAnsiTheme="minorEastAsia" w:eastAsiaTheme="minorEastAsia"/>
          <w:highlight w:val="none"/>
        </w:rPr>
        <w:t>在比选申请有效期截止前，</w:t>
      </w:r>
      <w:r>
        <w:rPr>
          <w:rFonts w:hint="eastAsia" w:asciiTheme="minorEastAsia" w:hAnsiTheme="minorEastAsia" w:eastAsiaTheme="minorEastAsia"/>
          <w:highlight w:val="none"/>
        </w:rPr>
        <w:t>在本须知第</w:t>
      </w:r>
      <w:r>
        <w:rPr>
          <w:rFonts w:asciiTheme="minorEastAsia" w:hAnsiTheme="minorEastAsia" w:eastAsiaTheme="minorEastAsia"/>
          <w:highlight w:val="none"/>
        </w:rPr>
        <w:t>15条</w:t>
      </w:r>
      <w:r>
        <w:rPr>
          <w:rFonts w:hint="eastAsia" w:asciiTheme="minorEastAsia" w:hAnsiTheme="minorEastAsia" w:eastAsiaTheme="minorEastAsia"/>
          <w:highlight w:val="none"/>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34.2 </w:t>
      </w:r>
      <w:r>
        <w:rPr>
          <w:rFonts w:asciiTheme="minorEastAsia" w:hAnsiTheme="minorEastAsia" w:eastAsiaTheme="minorEastAsia"/>
          <w:highlight w:val="none"/>
        </w:rPr>
        <w:t>中选通知书将作为签订合同的依据，并是合同的一个组成部分。</w:t>
      </w:r>
    </w:p>
    <w:p>
      <w:pPr>
        <w:tabs>
          <w:tab w:val="left" w:pos="450"/>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34.3 </w:t>
      </w:r>
      <w:r>
        <w:rPr>
          <w:rFonts w:asciiTheme="minorEastAsia" w:hAnsiTheme="minorEastAsia" w:eastAsiaTheme="minorEastAsia"/>
          <w:highlight w:val="none"/>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34.4放弃中选人资格的处罚详见前附表。</w:t>
      </w:r>
    </w:p>
    <w:p>
      <w:pPr>
        <w:pStyle w:val="7"/>
        <w:numPr>
          <w:ilvl w:val="0"/>
          <w:numId w:val="7"/>
        </w:numPr>
        <w:spacing w:before="0" w:after="0" w:line="360" w:lineRule="auto"/>
        <w:ind w:firstLine="422" w:firstLineChars="200"/>
        <w:rPr>
          <w:rFonts w:asciiTheme="minorEastAsia" w:hAnsiTheme="minorEastAsia" w:eastAsiaTheme="minorEastAsia"/>
          <w:sz w:val="21"/>
          <w:szCs w:val="21"/>
          <w:highlight w:val="none"/>
        </w:rPr>
      </w:pPr>
      <w:bookmarkStart w:id="942" w:name="_Toc25208"/>
      <w:bookmarkStart w:id="943" w:name="_Toc25750629"/>
      <w:bookmarkStart w:id="944" w:name="_Toc24240"/>
      <w:bookmarkStart w:id="945" w:name="_Toc8628"/>
      <w:bookmarkStart w:id="946" w:name="_Toc22442"/>
      <w:bookmarkStart w:id="947" w:name="_Toc29993"/>
      <w:bookmarkStart w:id="948" w:name="_Toc15048"/>
      <w:bookmarkStart w:id="949" w:name="_Toc12983544"/>
      <w:bookmarkStart w:id="950" w:name="_Toc390098460"/>
      <w:bookmarkStart w:id="951" w:name="_Toc18694"/>
      <w:bookmarkStart w:id="952" w:name="_Toc28815"/>
      <w:bookmarkStart w:id="953" w:name="_Toc21570"/>
      <w:bookmarkStart w:id="954" w:name="_Toc21217"/>
      <w:bookmarkStart w:id="955" w:name="_Toc385427834"/>
      <w:bookmarkStart w:id="956" w:name="_Toc375039101"/>
      <w:bookmarkStart w:id="957" w:name="_Toc1862"/>
      <w:bookmarkStart w:id="958" w:name="_Toc24885"/>
      <w:bookmarkStart w:id="959" w:name="_Toc4190"/>
      <w:bookmarkStart w:id="960" w:name="_Toc30862"/>
      <w:bookmarkStart w:id="961" w:name="_Toc5767"/>
      <w:bookmarkStart w:id="962" w:name="_Toc5617"/>
      <w:bookmarkStart w:id="963" w:name="_Toc492478759"/>
      <w:bookmarkStart w:id="964" w:name="_Toc383891209"/>
      <w:bookmarkStart w:id="965" w:name="_Toc1780"/>
      <w:r>
        <w:rPr>
          <w:rFonts w:hint="eastAsia" w:asciiTheme="minorEastAsia" w:hAnsiTheme="minorEastAsia" w:eastAsiaTheme="minorEastAsia"/>
          <w:sz w:val="21"/>
          <w:szCs w:val="21"/>
          <w:highlight w:val="none"/>
        </w:rPr>
        <w:t>签订合同</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35.1 中选人在收到中选通知书后的30天内，按比选文件的要求与比选人签订合同</w:t>
      </w:r>
      <w:r>
        <w:rPr>
          <w:rFonts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35.2 </w:t>
      </w:r>
      <w:r>
        <w:rPr>
          <w:rFonts w:asciiTheme="minorEastAsia" w:hAnsiTheme="minorEastAsia" w:eastAsiaTheme="minorEastAsia"/>
          <w:highlight w:val="none"/>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35.3 </w:t>
      </w:r>
      <w:r>
        <w:rPr>
          <w:rFonts w:asciiTheme="minorEastAsia" w:hAnsiTheme="minorEastAsia" w:eastAsiaTheme="minorEastAsia"/>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Theme="minorEastAsia" w:hAnsiTheme="minorEastAsia" w:eastAsiaTheme="minorEastAsia"/>
          <w:highlight w:val="none"/>
        </w:rPr>
        <w:t>比选</w:t>
      </w:r>
      <w:r>
        <w:rPr>
          <w:rFonts w:asciiTheme="minorEastAsia" w:hAnsiTheme="minorEastAsia" w:eastAsiaTheme="minorEastAsia"/>
          <w:highlight w:val="none"/>
        </w:rPr>
        <w:t>。</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35.4 </w:t>
      </w:r>
      <w:r>
        <w:rPr>
          <w:rFonts w:asciiTheme="minorEastAsia" w:hAnsiTheme="minorEastAsia" w:eastAsiaTheme="minorEastAsia"/>
          <w:highlight w:val="none"/>
        </w:rPr>
        <w:t>中选人若未在比选申请文件“</w:t>
      </w:r>
      <w:r>
        <w:rPr>
          <w:rFonts w:hint="eastAsia" w:asciiTheme="minorEastAsia" w:hAnsiTheme="minorEastAsia" w:eastAsiaTheme="minorEastAsia"/>
          <w:highlight w:val="none"/>
        </w:rPr>
        <w:t>比选</w:t>
      </w:r>
      <w:r>
        <w:rPr>
          <w:rFonts w:asciiTheme="minorEastAsia" w:hAnsiTheme="minorEastAsia" w:eastAsiaTheme="minorEastAsia"/>
          <w:highlight w:val="none"/>
        </w:rPr>
        <w:t>响应表”中</w:t>
      </w:r>
      <w:r>
        <w:rPr>
          <w:rFonts w:hint="eastAsia" w:asciiTheme="minorEastAsia" w:hAnsiTheme="minorEastAsia" w:eastAsiaTheme="minorEastAsia"/>
          <w:highlight w:val="none"/>
        </w:rPr>
        <w:t>完全响应的</w:t>
      </w:r>
      <w:r>
        <w:rPr>
          <w:rFonts w:asciiTheme="minorEastAsia" w:hAnsiTheme="minorEastAsia" w:eastAsiaTheme="minorEastAsia"/>
          <w:highlight w:val="none"/>
        </w:rPr>
        <w:t>，即使其在比选申请文件的其他部分说明与比选文件要求有所不同或回避不答，则视作放弃中选资格。</w:t>
      </w:r>
    </w:p>
    <w:p>
      <w:pPr>
        <w:pStyle w:val="7"/>
        <w:numPr>
          <w:ilvl w:val="0"/>
          <w:numId w:val="7"/>
        </w:numPr>
        <w:spacing w:before="0" w:after="0" w:line="360" w:lineRule="auto"/>
        <w:ind w:firstLine="422" w:firstLineChars="200"/>
        <w:rPr>
          <w:rFonts w:asciiTheme="minorEastAsia" w:hAnsiTheme="minorEastAsia" w:eastAsiaTheme="minorEastAsia"/>
          <w:sz w:val="21"/>
          <w:szCs w:val="21"/>
          <w:highlight w:val="none"/>
        </w:rPr>
      </w:pPr>
      <w:bookmarkStart w:id="966" w:name="_Toc16371"/>
      <w:bookmarkStart w:id="967" w:name="_Toc12983545"/>
      <w:bookmarkStart w:id="968" w:name="_Toc31814"/>
      <w:bookmarkStart w:id="969" w:name="_Toc9981"/>
      <w:bookmarkStart w:id="970" w:name="_Toc25750630"/>
      <w:bookmarkStart w:id="971" w:name="_Toc385427835"/>
      <w:bookmarkStart w:id="972" w:name="_Toc16589"/>
      <w:bookmarkStart w:id="973" w:name="_Toc6599"/>
      <w:bookmarkStart w:id="974" w:name="_Toc5576"/>
      <w:bookmarkStart w:id="975" w:name="_Toc23817"/>
      <w:bookmarkStart w:id="976" w:name="_Toc29857"/>
      <w:bookmarkStart w:id="977" w:name="_Toc25632"/>
      <w:bookmarkStart w:id="978" w:name="_Toc11412"/>
      <w:bookmarkStart w:id="979" w:name="_Toc375039102"/>
      <w:bookmarkStart w:id="980" w:name="_Toc24750"/>
      <w:bookmarkStart w:id="981" w:name="_Toc383891210"/>
      <w:bookmarkStart w:id="982" w:name="_Toc9433"/>
      <w:bookmarkStart w:id="983" w:name="_Toc25483"/>
      <w:bookmarkStart w:id="984" w:name="_Toc11079"/>
      <w:bookmarkStart w:id="985" w:name="_Toc20178"/>
      <w:bookmarkStart w:id="986" w:name="_Toc390098461"/>
      <w:bookmarkStart w:id="987" w:name="_Toc17281"/>
      <w:bookmarkStart w:id="988" w:name="_Toc8104"/>
      <w:bookmarkStart w:id="989" w:name="_Toc492478760"/>
      <w:r>
        <w:rPr>
          <w:rFonts w:hint="eastAsia" w:asciiTheme="minorEastAsia" w:hAnsiTheme="minorEastAsia" w:eastAsiaTheme="minorEastAsia"/>
          <w:sz w:val="21"/>
          <w:szCs w:val="21"/>
          <w:highlight w:val="none"/>
        </w:rPr>
        <w:t>履约</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Fonts w:hint="eastAsia" w:asciiTheme="minorEastAsia" w:hAnsiTheme="minorEastAsia" w:eastAsiaTheme="minorEastAsia"/>
          <w:sz w:val="21"/>
          <w:szCs w:val="21"/>
          <w:highlight w:val="none"/>
          <w:lang w:val="en-US" w:eastAsia="zh-CN"/>
        </w:rPr>
        <w:t>保证金</w:t>
      </w:r>
    </w:p>
    <w:p>
      <w:pPr>
        <w:widowControl/>
        <w:tabs>
          <w:tab w:val="left" w:pos="1134"/>
          <w:tab w:val="left" w:pos="8364"/>
        </w:tabs>
        <w:spacing w:line="360" w:lineRule="auto"/>
        <w:ind w:firstLine="420" w:firstLineChars="200"/>
        <w:rPr>
          <w:rFonts w:ascii="宋体" w:hAnsi="宋体"/>
          <w:kern w:val="0"/>
          <w:szCs w:val="21"/>
          <w:highlight w:val="none"/>
        </w:rPr>
      </w:pPr>
      <w:r>
        <w:rPr>
          <w:rFonts w:hint="eastAsia" w:ascii="宋体" w:hAnsi="宋体"/>
          <w:kern w:val="0"/>
          <w:szCs w:val="21"/>
          <w:highlight w:val="none"/>
        </w:rPr>
        <w:t>36.1履约</w:t>
      </w:r>
      <w:r>
        <w:rPr>
          <w:rFonts w:hint="eastAsia" w:ascii="宋体" w:hAnsi="宋体"/>
          <w:kern w:val="0"/>
          <w:szCs w:val="21"/>
          <w:highlight w:val="none"/>
          <w:lang w:val="en-US" w:eastAsia="zh-CN"/>
        </w:rPr>
        <w:t>保证</w:t>
      </w:r>
      <w:r>
        <w:rPr>
          <w:rFonts w:hint="eastAsia" w:ascii="宋体" w:hAnsi="宋体"/>
          <w:kern w:val="0"/>
          <w:szCs w:val="21"/>
          <w:highlight w:val="none"/>
        </w:rPr>
        <w:t>金额：中选金额的5</w:t>
      </w:r>
      <w:r>
        <w:rPr>
          <w:rFonts w:ascii="宋体" w:hAnsi="宋体"/>
          <w:kern w:val="0"/>
          <w:szCs w:val="21"/>
          <w:highlight w:val="none"/>
        </w:rPr>
        <w:t>%</w:t>
      </w:r>
      <w:r>
        <w:rPr>
          <w:rFonts w:hint="eastAsia" w:ascii="宋体" w:hAnsi="宋体"/>
          <w:kern w:val="0"/>
          <w:szCs w:val="21"/>
          <w:highlight w:val="none"/>
        </w:rPr>
        <w:t>。</w:t>
      </w:r>
    </w:p>
    <w:p>
      <w:pPr>
        <w:widowControl/>
        <w:tabs>
          <w:tab w:val="left" w:pos="1134"/>
          <w:tab w:val="left" w:pos="8364"/>
        </w:tabs>
        <w:spacing w:line="360" w:lineRule="auto"/>
        <w:ind w:firstLine="420" w:firstLineChars="200"/>
        <w:rPr>
          <w:rFonts w:ascii="宋体" w:hAnsi="宋体"/>
          <w:kern w:val="0"/>
          <w:szCs w:val="21"/>
          <w:highlight w:val="none"/>
        </w:rPr>
      </w:pPr>
      <w:r>
        <w:rPr>
          <w:rFonts w:hint="eastAsia" w:ascii="宋体" w:hAnsi="宋体"/>
          <w:kern w:val="0"/>
          <w:szCs w:val="21"/>
          <w:highlight w:val="none"/>
        </w:rPr>
        <w:t>36.2履约</w:t>
      </w:r>
      <w:r>
        <w:rPr>
          <w:rFonts w:hint="eastAsia" w:asciiTheme="minorEastAsia" w:hAnsiTheme="minorEastAsia" w:eastAsiaTheme="minorEastAsia"/>
          <w:sz w:val="21"/>
          <w:szCs w:val="21"/>
          <w:highlight w:val="none"/>
          <w:lang w:val="en-US" w:eastAsia="zh-CN"/>
        </w:rPr>
        <w:t>保证金缴纳</w:t>
      </w:r>
      <w:r>
        <w:rPr>
          <w:rFonts w:hint="eastAsia" w:ascii="宋体" w:hAnsi="宋体"/>
          <w:kern w:val="0"/>
          <w:szCs w:val="21"/>
          <w:highlight w:val="none"/>
        </w:rPr>
        <w:t>形式：银行转账。</w:t>
      </w:r>
    </w:p>
    <w:p>
      <w:pPr>
        <w:widowControl/>
        <w:tabs>
          <w:tab w:val="left" w:pos="1134"/>
          <w:tab w:val="left" w:pos="8364"/>
        </w:tabs>
        <w:spacing w:line="360" w:lineRule="auto"/>
        <w:ind w:firstLine="420" w:firstLineChars="200"/>
        <w:rPr>
          <w:rFonts w:ascii="宋体" w:hAnsi="宋体"/>
          <w:kern w:val="0"/>
          <w:szCs w:val="21"/>
          <w:highlight w:val="none"/>
        </w:rPr>
      </w:pPr>
      <w:r>
        <w:rPr>
          <w:rFonts w:hint="eastAsia" w:ascii="宋体" w:hAnsi="宋体"/>
          <w:kern w:val="0"/>
          <w:szCs w:val="21"/>
          <w:highlight w:val="none"/>
        </w:rPr>
        <w:t>36.3提交履约</w:t>
      </w:r>
      <w:r>
        <w:rPr>
          <w:rFonts w:hint="eastAsia" w:asciiTheme="minorEastAsia" w:hAnsiTheme="minorEastAsia" w:eastAsiaTheme="minorEastAsia"/>
          <w:sz w:val="21"/>
          <w:szCs w:val="21"/>
          <w:highlight w:val="none"/>
          <w:lang w:val="en-US" w:eastAsia="zh-CN"/>
        </w:rPr>
        <w:t>保证金</w:t>
      </w:r>
      <w:r>
        <w:rPr>
          <w:rFonts w:hint="eastAsia" w:ascii="宋体" w:hAnsi="宋体"/>
          <w:kern w:val="0"/>
          <w:szCs w:val="21"/>
          <w:highlight w:val="none"/>
        </w:rPr>
        <w:t>的时间：应在合同签订前、且最迟应在中选通知书发出之日起</w:t>
      </w:r>
      <w:r>
        <w:rPr>
          <w:rFonts w:ascii="宋体" w:hAnsi="宋体"/>
          <w:kern w:val="0"/>
          <w:szCs w:val="21"/>
          <w:highlight w:val="none"/>
        </w:rPr>
        <w:t>20</w:t>
      </w:r>
      <w:r>
        <w:rPr>
          <w:rFonts w:hint="eastAsia" w:ascii="宋体" w:hAnsi="宋体"/>
          <w:kern w:val="0"/>
          <w:szCs w:val="21"/>
          <w:highlight w:val="none"/>
        </w:rPr>
        <w:t>日内。</w:t>
      </w:r>
    </w:p>
    <w:p>
      <w:pPr>
        <w:widowControl/>
        <w:tabs>
          <w:tab w:val="left" w:pos="1134"/>
          <w:tab w:val="left" w:pos="8364"/>
        </w:tabs>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36.4若中选人未在规定时间内足额缴纳履约</w:t>
      </w:r>
      <w:r>
        <w:rPr>
          <w:rFonts w:hint="eastAsia" w:asciiTheme="minorEastAsia" w:hAnsiTheme="minorEastAsia" w:eastAsiaTheme="minorEastAsia"/>
          <w:sz w:val="21"/>
          <w:szCs w:val="21"/>
          <w:highlight w:val="none"/>
          <w:lang w:val="en-US" w:eastAsia="zh-CN"/>
        </w:rPr>
        <w:t>保证金</w:t>
      </w:r>
      <w:r>
        <w:rPr>
          <w:rFonts w:hint="eastAsia" w:ascii="宋体" w:hAnsi="宋体"/>
          <w:kern w:val="0"/>
          <w:szCs w:val="21"/>
          <w:highlight w:val="none"/>
        </w:rPr>
        <w:t>，比选人有权取消其中选资格。</w:t>
      </w:r>
    </w:p>
    <w:p>
      <w:pPr>
        <w:pStyle w:val="2"/>
        <w:ind w:firstLine="420" w:firstLineChars="200"/>
        <w:rPr>
          <w:highlight w:val="none"/>
        </w:rPr>
      </w:pPr>
      <w:r>
        <w:rPr>
          <w:rFonts w:hint="eastAsia"/>
          <w:highlight w:val="none"/>
        </w:rPr>
        <w:t>36.</w:t>
      </w:r>
      <w:r>
        <w:rPr>
          <w:rFonts w:hint="eastAsia"/>
          <w:highlight w:val="none"/>
          <w:lang w:val="en-US" w:eastAsia="zh-CN"/>
        </w:rPr>
        <w:t>5</w:t>
      </w:r>
      <w:r>
        <w:rPr>
          <w:rFonts w:hint="eastAsia"/>
          <w:highlight w:val="none"/>
        </w:rPr>
        <w:t xml:space="preserve"> </w:t>
      </w:r>
      <w:r>
        <w:rPr>
          <w:highlight w:val="none"/>
        </w:rPr>
        <w:t>履约担保在</w:t>
      </w:r>
      <w:r>
        <w:rPr>
          <w:rFonts w:hint="eastAsia" w:ascii="宋体" w:hAnsi="宋体" w:cs="Arial"/>
          <w:highlight w:val="none"/>
        </w:rPr>
        <w:t>本合同全部货物验收合格之日起四十五（45）天后，</w:t>
      </w:r>
      <w:r>
        <w:rPr>
          <w:highlight w:val="none"/>
        </w:rPr>
        <w:t>，根据履约期间比选人的索赔情况，将剩余履约担保款项无息退还中选人。</w:t>
      </w:r>
    </w:p>
    <w:p>
      <w:pPr>
        <w:pStyle w:val="2"/>
        <w:ind w:firstLine="420" w:firstLineChars="200"/>
        <w:rPr>
          <w:highlight w:val="none"/>
        </w:rPr>
      </w:pPr>
      <w:r>
        <w:rPr>
          <w:rFonts w:hint="eastAsia"/>
          <w:highlight w:val="none"/>
        </w:rPr>
        <w:t>36.</w:t>
      </w:r>
      <w:r>
        <w:rPr>
          <w:rFonts w:hint="eastAsia"/>
          <w:highlight w:val="none"/>
          <w:lang w:val="en-US" w:eastAsia="zh-CN"/>
        </w:rPr>
        <w:t>6</w:t>
      </w:r>
      <w:r>
        <w:rPr>
          <w:rFonts w:hint="eastAsia"/>
          <w:highlight w:val="none"/>
        </w:rPr>
        <w:t xml:space="preserve"> </w:t>
      </w:r>
      <w:r>
        <w:rPr>
          <w:highlight w:val="none"/>
        </w:rPr>
        <w:t>在合同执行过程中，履约担保金额应保持足额有效，不足时应当按照比选人的要求及时补足担保金额。</w:t>
      </w:r>
    </w:p>
    <w:p>
      <w:pPr>
        <w:pStyle w:val="2"/>
        <w:ind w:firstLine="420" w:firstLineChars="200"/>
        <w:rPr>
          <w:highlight w:val="none"/>
        </w:rPr>
      </w:pPr>
      <w:r>
        <w:rPr>
          <w:rFonts w:hint="eastAsia"/>
          <w:highlight w:val="none"/>
        </w:rPr>
        <w:t>36.</w:t>
      </w:r>
      <w:r>
        <w:rPr>
          <w:rFonts w:hint="eastAsia"/>
          <w:highlight w:val="none"/>
          <w:lang w:val="en-US" w:eastAsia="zh-CN"/>
        </w:rPr>
        <w:t>7</w:t>
      </w:r>
      <w:r>
        <w:rPr>
          <w:rFonts w:hint="eastAsia"/>
          <w:highlight w:val="none"/>
        </w:rPr>
        <w:t xml:space="preserve"> </w:t>
      </w:r>
      <w:r>
        <w:rPr>
          <w:highlight w:val="none"/>
        </w:rPr>
        <w:t>以履约保证金形式提交履约担保的，中选人应通过银行电汇或转账的形式，从基本账户中递交至比选人</w:t>
      </w:r>
      <w:r>
        <w:rPr>
          <w:rFonts w:hint="eastAsia"/>
          <w:highlight w:val="none"/>
        </w:rPr>
        <w:t>指定账户</w:t>
      </w:r>
      <w:r>
        <w:rPr>
          <w:highlight w:val="none"/>
        </w:rPr>
        <w:t>。</w:t>
      </w:r>
    </w:p>
    <w:p>
      <w:pPr>
        <w:pStyle w:val="2"/>
        <w:rPr>
          <w:highlight w:val="none"/>
        </w:rPr>
      </w:pPr>
    </w:p>
    <w:p>
      <w:pPr>
        <w:pStyle w:val="7"/>
        <w:numPr>
          <w:ilvl w:val="0"/>
          <w:numId w:val="7"/>
        </w:numPr>
        <w:spacing w:before="0" w:after="0" w:line="360" w:lineRule="auto"/>
        <w:ind w:firstLine="422" w:firstLineChars="200"/>
        <w:rPr>
          <w:rFonts w:asciiTheme="minorEastAsia" w:hAnsiTheme="minorEastAsia" w:eastAsiaTheme="minorEastAsia"/>
          <w:sz w:val="21"/>
          <w:szCs w:val="21"/>
          <w:highlight w:val="none"/>
        </w:rPr>
      </w:pPr>
      <w:bookmarkStart w:id="990" w:name="_Toc390098462"/>
      <w:bookmarkStart w:id="991" w:name="_Toc12983546"/>
      <w:bookmarkStart w:id="992" w:name="_Toc375039103"/>
      <w:bookmarkStart w:id="993" w:name="_Toc10480"/>
      <w:bookmarkStart w:id="994" w:name="_Toc383891211"/>
      <w:bookmarkStart w:id="995" w:name="_Toc20351"/>
      <w:bookmarkStart w:id="996" w:name="_Toc16212"/>
      <w:bookmarkStart w:id="997" w:name="_Toc8178"/>
      <w:bookmarkStart w:id="998" w:name="_Toc24400"/>
      <w:bookmarkStart w:id="999" w:name="_Toc21294"/>
      <w:bookmarkStart w:id="1000" w:name="_Toc23115"/>
      <w:bookmarkStart w:id="1001" w:name="_Toc10399"/>
      <w:bookmarkStart w:id="1002" w:name="_Toc385427836"/>
      <w:bookmarkStart w:id="1003" w:name="_Toc492478761"/>
      <w:bookmarkStart w:id="1004" w:name="_Toc19122"/>
      <w:bookmarkStart w:id="1005" w:name="_Toc25750631"/>
      <w:bookmarkStart w:id="1006" w:name="_Toc2637"/>
      <w:bookmarkStart w:id="1007" w:name="_Toc11354"/>
      <w:bookmarkStart w:id="1008" w:name="_Toc13615"/>
      <w:bookmarkStart w:id="1009" w:name="_Toc30169"/>
      <w:bookmarkStart w:id="1010" w:name="_Toc16584"/>
      <w:bookmarkStart w:id="1011" w:name="_Toc25990"/>
      <w:bookmarkStart w:id="1012" w:name="_Toc25988"/>
      <w:bookmarkStart w:id="1013" w:name="_Toc26808"/>
      <w:r>
        <w:rPr>
          <w:rFonts w:hint="eastAsia" w:asciiTheme="minorEastAsia" w:hAnsiTheme="minorEastAsia" w:eastAsiaTheme="minorEastAsia"/>
          <w:sz w:val="21"/>
          <w:szCs w:val="21"/>
          <w:highlight w:val="none"/>
        </w:rPr>
        <w:t>其他</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37.1 </w:t>
      </w:r>
      <w:r>
        <w:rPr>
          <w:rFonts w:asciiTheme="minorEastAsia" w:hAnsiTheme="minorEastAsia" w:eastAsiaTheme="minorEastAsia"/>
          <w:highlight w:val="none"/>
        </w:rPr>
        <w:t>知识产权和专利权</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37.1.1 </w:t>
      </w:r>
      <w:r>
        <w:rPr>
          <w:rFonts w:asciiTheme="minorEastAsia" w:hAnsiTheme="minorEastAsia" w:eastAsiaTheme="minorEastAsia"/>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37.1.2 </w:t>
      </w:r>
      <w:r>
        <w:rPr>
          <w:rFonts w:asciiTheme="minorEastAsia" w:hAnsiTheme="minorEastAsia" w:eastAsiaTheme="minorEastAsia"/>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37.2 </w:t>
      </w:r>
      <w:r>
        <w:rPr>
          <w:rFonts w:asciiTheme="minorEastAsia" w:hAnsiTheme="minorEastAsia" w:eastAsiaTheme="minorEastAsia"/>
          <w:highlight w:val="none"/>
        </w:rPr>
        <w:t>保密</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37.2.1 </w:t>
      </w:r>
      <w:r>
        <w:rPr>
          <w:rFonts w:asciiTheme="minorEastAsia" w:hAnsiTheme="minorEastAsia" w:eastAsiaTheme="minorEastAsia"/>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37.2.2 </w:t>
      </w:r>
      <w:r>
        <w:rPr>
          <w:rFonts w:asciiTheme="minorEastAsia" w:hAnsiTheme="minorEastAsia" w:eastAsiaTheme="minorEastAsia"/>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37.3 </w:t>
      </w:r>
      <w:r>
        <w:rPr>
          <w:rFonts w:asciiTheme="minorEastAsia" w:hAnsiTheme="minorEastAsia" w:eastAsiaTheme="minorEastAsia"/>
          <w:highlight w:val="none"/>
        </w:rPr>
        <w:t>比选申请人知悉</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37.3.1 </w:t>
      </w:r>
      <w:r>
        <w:rPr>
          <w:rFonts w:asciiTheme="minorEastAsia" w:hAnsiTheme="minorEastAsia" w:eastAsiaTheme="minorEastAsia"/>
          <w:highlight w:val="none"/>
        </w:rPr>
        <w:t>比选申请人将被视为已合理地充分了解了对所有影响本项目的事项，包括任何与</w:t>
      </w:r>
      <w:r>
        <w:rPr>
          <w:rFonts w:hint="eastAsia" w:asciiTheme="minorEastAsia" w:hAnsiTheme="minorEastAsia" w:eastAsiaTheme="minorEastAsia"/>
          <w:highlight w:val="none"/>
        </w:rPr>
        <w:t>项目</w:t>
      </w:r>
      <w:r>
        <w:rPr>
          <w:rFonts w:asciiTheme="minorEastAsia" w:hAnsiTheme="minorEastAsia" w:eastAsiaTheme="minorEastAsia"/>
          <w:highlight w:val="none"/>
        </w:rPr>
        <w:t>和项目时间表有关的特殊困难。</w:t>
      </w:r>
    </w:p>
    <w:p>
      <w:pPr>
        <w:tabs>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37.3.2 </w:t>
      </w:r>
      <w:r>
        <w:rPr>
          <w:rFonts w:asciiTheme="minorEastAsia" w:hAnsiTheme="minorEastAsia" w:eastAsiaTheme="minorEastAsia"/>
          <w:highlight w:val="none"/>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37.4 分包：本项目不允许分包、禁止转包。</w:t>
      </w:r>
    </w:p>
    <w:p>
      <w:pPr>
        <w:pStyle w:val="27"/>
        <w:spacing w:line="360" w:lineRule="auto"/>
        <w:ind w:firstLine="0" w:firstLineChars="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37.5 需要补充的其他内容：详见比选申请须知前附表</w:t>
      </w:r>
    </w:p>
    <w:p>
      <w:pPr>
        <w:pStyle w:val="27"/>
        <w:ind w:firstLine="470"/>
        <w:rPr>
          <w:rFonts w:asciiTheme="minorEastAsia" w:hAnsiTheme="minorEastAsia" w:eastAsiaTheme="minorEastAsia"/>
          <w:highlight w:val="none"/>
        </w:rPr>
      </w:pPr>
    </w:p>
    <w:p>
      <w:pPr>
        <w:spacing w:line="276" w:lineRule="auto"/>
        <w:ind w:firstLine="480" w:firstLineChars="200"/>
        <w:jc w:val="left"/>
        <w:rPr>
          <w:rStyle w:val="38"/>
          <w:rFonts w:asciiTheme="minorEastAsia" w:hAnsiTheme="minorEastAsia" w:eastAsiaTheme="minorEastAsia"/>
          <w:sz w:val="44"/>
          <w:szCs w:val="44"/>
          <w:highlight w:val="none"/>
        </w:rPr>
      </w:pPr>
      <w:r>
        <w:rPr>
          <w:rFonts w:asciiTheme="minorEastAsia" w:hAnsiTheme="minorEastAsia" w:eastAsiaTheme="minorEastAsia"/>
          <w:bCs/>
          <w:sz w:val="24"/>
          <w:szCs w:val="24"/>
          <w:highlight w:val="none"/>
        </w:rPr>
        <w:br w:type="page"/>
      </w:r>
      <w:bookmarkStart w:id="1014" w:name="_Toc100643455"/>
      <w:bookmarkStart w:id="1015" w:name="_Toc4402"/>
      <w:bookmarkStart w:id="1016" w:name="_Toc436771465"/>
    </w:p>
    <w:p>
      <w:pPr>
        <w:spacing w:line="276" w:lineRule="auto"/>
        <w:jc w:val="center"/>
        <w:rPr>
          <w:rFonts w:asciiTheme="minorEastAsia" w:hAnsiTheme="minorEastAsia" w:eastAsiaTheme="minorEastAsia"/>
          <w:bCs/>
          <w:sz w:val="24"/>
          <w:szCs w:val="24"/>
          <w:highlight w:val="none"/>
        </w:rPr>
      </w:pPr>
      <w:r>
        <w:rPr>
          <w:rStyle w:val="38"/>
          <w:rFonts w:hint="eastAsia" w:asciiTheme="minorEastAsia" w:hAnsiTheme="minorEastAsia" w:eastAsiaTheme="minorEastAsia"/>
          <w:szCs w:val="32"/>
          <w:highlight w:val="none"/>
        </w:rPr>
        <w:t>第三章 合同条款及格式</w:t>
      </w:r>
      <w:bookmarkEnd w:id="1014"/>
      <w:bookmarkEnd w:id="1015"/>
    </w:p>
    <w:p>
      <w:pPr>
        <w:spacing w:line="276" w:lineRule="auto"/>
        <w:ind w:firstLine="480" w:firstLineChars="200"/>
        <w:jc w:val="left"/>
        <w:rPr>
          <w:rFonts w:asciiTheme="minorEastAsia" w:hAnsiTheme="minorEastAsia" w:eastAsiaTheme="minorEastAsia"/>
          <w:bCs/>
          <w:sz w:val="24"/>
          <w:szCs w:val="24"/>
          <w:highlight w:val="none"/>
        </w:rPr>
      </w:pPr>
    </w:p>
    <w:p>
      <w:pPr>
        <w:spacing w:after="120" w:afterLines="50"/>
        <w:ind w:right="448"/>
        <w:jc w:val="right"/>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【×本】</w:t>
      </w:r>
    </w:p>
    <w:p>
      <w:pPr>
        <w:snapToGrid w:val="0"/>
        <w:spacing w:line="800" w:lineRule="exact"/>
        <w:ind w:left="1493" w:right="-28" w:hanging="1493" w:hangingChars="338"/>
        <w:jc w:val="center"/>
        <w:rPr>
          <w:rFonts w:cs="宋体" w:asciiTheme="minorEastAsia" w:hAnsiTheme="minorEastAsia" w:eastAsiaTheme="minorEastAsia"/>
          <w:b/>
          <w:bCs/>
          <w:sz w:val="44"/>
          <w:szCs w:val="44"/>
          <w:highlight w:val="none"/>
        </w:rPr>
      </w:pPr>
      <w:r>
        <w:rPr>
          <w:rFonts w:hint="eastAsia" w:cs="宋体" w:asciiTheme="minorEastAsia" w:hAnsiTheme="minorEastAsia" w:eastAsiaTheme="minorEastAsia"/>
          <w:b/>
          <w:bCs/>
          <w:sz w:val="44"/>
          <w:szCs w:val="44"/>
          <w:highlight w:val="none"/>
        </w:rPr>
        <w:t xml:space="preserve"> 2024年度南宁市金盾道路清障有限责任公司</w:t>
      </w:r>
    </w:p>
    <w:p>
      <w:pPr>
        <w:snapToGrid w:val="0"/>
        <w:spacing w:line="800" w:lineRule="exact"/>
        <w:ind w:left="1493" w:right="-28" w:hanging="1493" w:hangingChars="338"/>
        <w:jc w:val="center"/>
        <w:rPr>
          <w:rFonts w:hint="eastAsia"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那洪分公司电梯安装采购项目</w:t>
      </w:r>
    </w:p>
    <w:p>
      <w:pPr>
        <w:pStyle w:val="20"/>
        <w:rPr>
          <w:rFonts w:hint="eastAsia" w:asciiTheme="minorEastAsia" w:hAnsiTheme="minorEastAsia" w:eastAsiaTheme="minorEastAsia"/>
          <w:b/>
          <w:sz w:val="44"/>
          <w:szCs w:val="44"/>
          <w:highlight w:val="none"/>
        </w:rPr>
      </w:pPr>
    </w:p>
    <w:p>
      <w:pPr>
        <w:pStyle w:val="20"/>
        <w:rPr>
          <w:rFonts w:hint="eastAsia" w:asciiTheme="minorEastAsia" w:hAnsiTheme="minorEastAsia" w:eastAsiaTheme="minorEastAsia"/>
          <w:b/>
          <w:sz w:val="44"/>
          <w:szCs w:val="44"/>
          <w:highlight w:val="none"/>
        </w:rPr>
      </w:pPr>
    </w:p>
    <w:tbl>
      <w:tblPr>
        <w:tblStyle w:val="29"/>
        <w:tblpPr w:leftFromText="180" w:rightFromText="180" w:vertAnchor="text" w:horzAnchor="page" w:tblpX="2625" w:tblpY="2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trPr>
        <w:tc>
          <w:tcPr>
            <w:tcW w:w="1869" w:type="dxa"/>
          </w:tcPr>
          <w:p>
            <w:pPr>
              <w:spacing w:line="300" w:lineRule="exact"/>
              <w:jc w:val="center"/>
              <w:rPr>
                <w:rFonts w:asciiTheme="minorEastAsia" w:hAnsiTheme="minorEastAsia" w:eastAsiaTheme="minorEastAsia"/>
                <w:sz w:val="28"/>
                <w:szCs w:val="30"/>
                <w:highlight w:val="none"/>
              </w:rPr>
            </w:pPr>
            <w:r>
              <w:rPr>
                <w:rFonts w:hint="eastAsia" w:asciiTheme="minorEastAsia" w:hAnsiTheme="minorEastAsia" w:eastAsiaTheme="minorEastAsia"/>
                <w:sz w:val="28"/>
                <w:szCs w:val="30"/>
                <w:highlight w:val="none"/>
              </w:rPr>
              <w:t>项目编号：</w:t>
            </w:r>
          </w:p>
        </w:tc>
        <w:tc>
          <w:tcPr>
            <w:tcW w:w="4761" w:type="dxa"/>
          </w:tcPr>
          <w:p>
            <w:pPr>
              <w:spacing w:line="300" w:lineRule="exact"/>
              <w:jc w:val="left"/>
              <w:rPr>
                <w:rFonts w:asciiTheme="minorEastAsia" w:hAnsiTheme="minorEastAsia" w:eastAsiaTheme="minorEastAsia"/>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spacing w:line="300" w:lineRule="exact"/>
              <w:jc w:val="center"/>
              <w:rPr>
                <w:rFonts w:asciiTheme="minorEastAsia" w:hAnsiTheme="minorEastAsia" w:eastAsiaTheme="minorEastAsia"/>
                <w:sz w:val="28"/>
                <w:szCs w:val="30"/>
                <w:highlight w:val="none"/>
              </w:rPr>
            </w:pPr>
            <w:r>
              <w:rPr>
                <w:rFonts w:hint="eastAsia" w:asciiTheme="minorEastAsia" w:hAnsiTheme="minorEastAsia" w:eastAsiaTheme="minorEastAsia"/>
                <w:sz w:val="28"/>
                <w:szCs w:val="30"/>
                <w:highlight w:val="none"/>
              </w:rPr>
              <w:t>合同编号：</w:t>
            </w:r>
          </w:p>
        </w:tc>
        <w:tc>
          <w:tcPr>
            <w:tcW w:w="4761" w:type="dxa"/>
          </w:tcPr>
          <w:p>
            <w:pPr>
              <w:spacing w:line="300" w:lineRule="exact"/>
              <w:jc w:val="left"/>
              <w:rPr>
                <w:rFonts w:asciiTheme="minorEastAsia" w:hAnsiTheme="minorEastAsia" w:eastAsiaTheme="minorEastAsia"/>
                <w:sz w:val="28"/>
                <w:szCs w:val="30"/>
                <w:highlight w:val="none"/>
              </w:rPr>
            </w:pPr>
          </w:p>
        </w:tc>
      </w:tr>
    </w:tbl>
    <w:p>
      <w:pPr>
        <w:spacing w:line="800" w:lineRule="exact"/>
        <w:ind w:left="2443" w:right="-28" w:hanging="2443" w:hangingChars="338"/>
        <w:jc w:val="center"/>
        <w:rPr>
          <w:rFonts w:hint="eastAsia" w:asciiTheme="minorEastAsia" w:hAnsiTheme="minorEastAsia" w:eastAsiaTheme="minorEastAsia"/>
          <w:b/>
          <w:sz w:val="72"/>
          <w:szCs w:val="52"/>
          <w:highlight w:val="none"/>
        </w:rPr>
      </w:pPr>
    </w:p>
    <w:p>
      <w:pPr>
        <w:pStyle w:val="20"/>
        <w:rPr>
          <w:rFonts w:hint="eastAsia" w:asciiTheme="minorEastAsia" w:hAnsiTheme="minorEastAsia" w:eastAsiaTheme="minorEastAsia"/>
          <w:b/>
          <w:sz w:val="72"/>
          <w:szCs w:val="52"/>
          <w:highlight w:val="none"/>
        </w:rPr>
      </w:pPr>
    </w:p>
    <w:p>
      <w:pPr>
        <w:spacing w:line="800" w:lineRule="exact"/>
        <w:ind w:left="2443" w:right="-28" w:hanging="2443" w:hangingChars="338"/>
        <w:jc w:val="center"/>
        <w:rPr>
          <w:rFonts w:asciiTheme="minorEastAsia" w:hAnsiTheme="minorEastAsia" w:eastAsiaTheme="minorEastAsia"/>
          <w:b/>
          <w:sz w:val="72"/>
          <w:szCs w:val="52"/>
          <w:highlight w:val="none"/>
        </w:rPr>
      </w:pPr>
      <w:r>
        <w:rPr>
          <w:rFonts w:hint="eastAsia" w:asciiTheme="minorEastAsia" w:hAnsiTheme="minorEastAsia" w:eastAsiaTheme="minorEastAsia"/>
          <w:b/>
          <w:sz w:val="72"/>
          <w:szCs w:val="52"/>
          <w:highlight w:val="none"/>
        </w:rPr>
        <w:t>合</w:t>
      </w:r>
    </w:p>
    <w:p>
      <w:pPr>
        <w:spacing w:line="800" w:lineRule="exact"/>
        <w:ind w:left="2443" w:right="-28" w:hanging="2443" w:hangingChars="338"/>
        <w:jc w:val="center"/>
        <w:rPr>
          <w:rFonts w:asciiTheme="minorEastAsia" w:hAnsiTheme="minorEastAsia" w:eastAsiaTheme="minorEastAsia"/>
          <w:b/>
          <w:sz w:val="72"/>
          <w:szCs w:val="52"/>
          <w:highlight w:val="none"/>
        </w:rPr>
      </w:pPr>
      <w:r>
        <w:rPr>
          <w:rFonts w:hint="eastAsia" w:asciiTheme="minorEastAsia" w:hAnsiTheme="minorEastAsia" w:eastAsiaTheme="minorEastAsia"/>
          <w:b/>
          <w:sz w:val="72"/>
          <w:szCs w:val="52"/>
          <w:highlight w:val="none"/>
        </w:rPr>
        <w:t>同</w:t>
      </w:r>
    </w:p>
    <w:p>
      <w:pPr>
        <w:spacing w:line="800" w:lineRule="exact"/>
        <w:ind w:left="2443" w:right="-28" w:hanging="2443" w:hangingChars="338"/>
        <w:jc w:val="center"/>
        <w:rPr>
          <w:rFonts w:asciiTheme="minorEastAsia" w:hAnsiTheme="minorEastAsia" w:eastAsiaTheme="minorEastAsia"/>
          <w:b/>
          <w:sz w:val="72"/>
          <w:szCs w:val="52"/>
          <w:highlight w:val="none"/>
        </w:rPr>
      </w:pPr>
      <w:r>
        <w:rPr>
          <w:rFonts w:hint="eastAsia" w:asciiTheme="minorEastAsia" w:hAnsiTheme="minorEastAsia" w:eastAsiaTheme="minorEastAsia"/>
          <w:b/>
          <w:sz w:val="72"/>
          <w:szCs w:val="52"/>
          <w:highlight w:val="none"/>
        </w:rPr>
        <w:t>书</w:t>
      </w:r>
    </w:p>
    <w:p>
      <w:pPr>
        <w:jc w:val="center"/>
        <w:rPr>
          <w:rFonts w:asciiTheme="minorEastAsia" w:hAnsiTheme="minorEastAsia" w:eastAsiaTheme="minorEastAsia"/>
          <w:b/>
          <w:sz w:val="5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405" w:firstLineChars="500"/>
        <w:textAlignment w:val="auto"/>
        <w:rPr>
          <w:rFonts w:hint="eastAsia" w:asciiTheme="minorEastAsia" w:hAnsiTheme="minorEastAsia" w:eastAsiaTheme="minorEastAsia"/>
          <w:b/>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405" w:firstLineChars="500"/>
        <w:textAlignment w:val="auto"/>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甲    方：</w:t>
      </w:r>
      <w:r>
        <w:rPr>
          <w:rFonts w:hint="eastAsia" w:asciiTheme="minorEastAsia" w:hAnsiTheme="minorEastAsia" w:eastAsiaTheme="minorEastAsia"/>
          <w:sz w:val="28"/>
          <w:szCs w:val="28"/>
          <w:highlight w:val="none"/>
        </w:rPr>
        <w:t>南宁市金盾道路清障有限责任公司</w:t>
      </w:r>
    </w:p>
    <w:p>
      <w:pPr>
        <w:keepNext w:val="0"/>
        <w:keepLines w:val="0"/>
        <w:pageBreakBefore w:val="0"/>
        <w:widowControl w:val="0"/>
        <w:kinsoku/>
        <w:wordWrap/>
        <w:overflowPunct/>
        <w:topLinePunct w:val="0"/>
        <w:autoSpaceDE/>
        <w:autoSpaceDN/>
        <w:bidi w:val="0"/>
        <w:adjustRightInd/>
        <w:snapToGrid w:val="0"/>
        <w:spacing w:line="360" w:lineRule="auto"/>
        <w:ind w:firstLine="1405" w:firstLineChars="500"/>
        <w:textAlignment w:val="auto"/>
        <w:rPr>
          <w:rFonts w:asciiTheme="minorEastAsia" w:hAnsiTheme="minorEastAsia" w:eastAsiaTheme="minorEastAsia"/>
          <w:sz w:val="28"/>
          <w:szCs w:val="28"/>
          <w:highlight w:val="none"/>
        </w:rPr>
      </w:pPr>
      <w:r>
        <w:rPr>
          <w:rFonts w:hint="eastAsia" w:asciiTheme="minorEastAsia" w:hAnsiTheme="minorEastAsia" w:eastAsiaTheme="minorEastAsia"/>
          <w:b/>
          <w:sz w:val="28"/>
          <w:szCs w:val="28"/>
          <w:highlight w:val="none"/>
        </w:rPr>
        <w:t>乙    方：</w:t>
      </w:r>
      <w:r>
        <w:rPr>
          <w:rFonts w:asciiTheme="minorEastAsia" w:hAnsiTheme="minorEastAsia" w:eastAsiaTheme="minorEastAsia"/>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1405" w:firstLineChars="500"/>
        <w:textAlignment w:val="auto"/>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签约日期：</w:t>
      </w:r>
      <w:r>
        <w:rPr>
          <w:rFonts w:hint="eastAsia" w:asciiTheme="minorEastAsia" w:hAnsiTheme="minorEastAsia" w:eastAsiaTheme="minorEastAsia"/>
          <w:b/>
          <w:sz w:val="28"/>
          <w:szCs w:val="28"/>
          <w:highlight w:val="none"/>
          <w:u w:val="single"/>
        </w:rPr>
        <w:t xml:space="preserve"> </w:t>
      </w:r>
      <w:r>
        <w:rPr>
          <w:rFonts w:hint="eastAsia" w:asciiTheme="minorEastAsia" w:hAnsiTheme="minorEastAsia" w:eastAsiaTheme="minorEastAsia"/>
          <w:bCs/>
          <w:sz w:val="28"/>
          <w:szCs w:val="28"/>
          <w:highlight w:val="none"/>
          <w:u w:val="single"/>
        </w:rPr>
        <w:t>2024</w:t>
      </w:r>
      <w:r>
        <w:rPr>
          <w:rFonts w:hint="eastAsia" w:asciiTheme="minorEastAsia" w:hAnsiTheme="minorEastAsia" w:eastAsiaTheme="minorEastAsia"/>
          <w:b/>
          <w:sz w:val="28"/>
          <w:szCs w:val="28"/>
          <w:highlight w:val="none"/>
          <w:u w:val="single"/>
        </w:rPr>
        <w:t xml:space="preserve"> </w:t>
      </w:r>
      <w:r>
        <w:rPr>
          <w:rFonts w:hint="eastAsia" w:asciiTheme="minorEastAsia" w:hAnsiTheme="minorEastAsia" w:eastAsiaTheme="minorEastAsia"/>
          <w:sz w:val="28"/>
          <w:szCs w:val="28"/>
          <w:highlight w:val="none"/>
        </w:rPr>
        <w:t>年</w:t>
      </w:r>
      <w:r>
        <w:rPr>
          <w:rFonts w:hint="eastAsia" w:asciiTheme="minorEastAsia" w:hAnsiTheme="minorEastAsia" w:eastAsiaTheme="minorEastAsia"/>
          <w:b/>
          <w:bCs/>
          <w:sz w:val="28"/>
          <w:szCs w:val="28"/>
          <w:highlight w:val="none"/>
          <w:u w:val="single"/>
        </w:rPr>
        <w:t xml:space="preserve">　 </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ind w:firstLine="1405" w:firstLineChars="500"/>
        <w:jc w:val="left"/>
        <w:textAlignment w:val="auto"/>
        <w:rPr>
          <w:rFonts w:asciiTheme="minorEastAsia" w:hAnsiTheme="minorEastAsia" w:eastAsiaTheme="minorEastAsia"/>
          <w:bCs/>
          <w:sz w:val="24"/>
          <w:szCs w:val="24"/>
          <w:highlight w:val="none"/>
        </w:rPr>
      </w:pPr>
      <w:r>
        <w:rPr>
          <w:rFonts w:hint="eastAsia" w:asciiTheme="minorEastAsia" w:hAnsiTheme="minorEastAsia" w:eastAsiaTheme="minorEastAsia"/>
          <w:b/>
          <w:sz w:val="28"/>
          <w:szCs w:val="28"/>
          <w:highlight w:val="none"/>
        </w:rPr>
        <w:t>签约</w:t>
      </w:r>
      <w:r>
        <w:rPr>
          <w:rFonts w:hint="eastAsia" w:asciiTheme="minorEastAsia" w:hAnsiTheme="minorEastAsia" w:eastAsiaTheme="minorEastAsia"/>
          <w:b/>
          <w:bCs/>
          <w:sz w:val="28"/>
          <w:szCs w:val="28"/>
          <w:highlight w:val="none"/>
        </w:rPr>
        <w:t>地点：</w:t>
      </w:r>
      <w:r>
        <w:rPr>
          <w:rFonts w:asciiTheme="minorEastAsia" w:hAnsiTheme="minorEastAsia" w:eastAsiaTheme="minorEastAsia"/>
          <w:b/>
          <w:sz w:val="28"/>
          <w:szCs w:val="28"/>
          <w:highlight w:val="none"/>
        </w:rPr>
        <w:t xml:space="preserve"> </w:t>
      </w:r>
      <w:r>
        <w:rPr>
          <w:rFonts w:hint="eastAsia" w:asciiTheme="minorEastAsia" w:hAnsiTheme="minorEastAsia" w:eastAsiaTheme="minorEastAsia"/>
          <w:sz w:val="28"/>
          <w:szCs w:val="28"/>
          <w:highlight w:val="none"/>
        </w:rPr>
        <w:t>广西壮族自治区南宁市江南区</w:t>
      </w: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ind w:firstLine="480" w:firstLineChars="200"/>
        <w:jc w:val="left"/>
        <w:rPr>
          <w:rFonts w:asciiTheme="minorEastAsia" w:hAnsiTheme="minorEastAsia" w:eastAsiaTheme="minorEastAsia"/>
          <w:bCs/>
          <w:sz w:val="24"/>
          <w:szCs w:val="24"/>
          <w:highlight w:val="none"/>
        </w:rPr>
      </w:pPr>
    </w:p>
    <w:p>
      <w:pPr>
        <w:spacing w:line="276" w:lineRule="auto"/>
        <w:jc w:val="left"/>
        <w:rPr>
          <w:rFonts w:asciiTheme="minorEastAsia" w:hAnsiTheme="minorEastAsia" w:eastAsiaTheme="minorEastAsia"/>
          <w:bCs/>
          <w:sz w:val="24"/>
          <w:szCs w:val="24"/>
          <w:highlight w:val="none"/>
        </w:rPr>
      </w:pPr>
    </w:p>
    <w:p>
      <w:pPr>
        <w:pStyle w:val="27"/>
        <w:ind w:left="0" w:leftChars="0" w:firstLine="0" w:firstLineChars="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第一部分 合同协议书</w:t>
      </w:r>
    </w:p>
    <w:p>
      <w:pPr>
        <w:pStyle w:val="27"/>
        <w:ind w:firstLine="47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第二部分 中选通知书</w:t>
      </w:r>
    </w:p>
    <w:p>
      <w:pPr>
        <w:pStyle w:val="27"/>
        <w:ind w:left="0" w:leftChars="0" w:firstLine="0" w:firstLineChars="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第三部分 价格组成文件</w:t>
      </w:r>
    </w:p>
    <w:p>
      <w:pPr>
        <w:pStyle w:val="27"/>
        <w:ind w:firstLine="47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第四部分 用户需求书</w:t>
      </w:r>
    </w:p>
    <w:p>
      <w:pPr>
        <w:pStyle w:val="27"/>
        <w:ind w:firstLine="47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第五部分 合同附件</w:t>
      </w:r>
    </w:p>
    <w:p>
      <w:pPr>
        <w:pStyle w:val="27"/>
        <w:ind w:firstLine="470"/>
        <w:rPr>
          <w:rFonts w:asciiTheme="minorEastAsia" w:hAnsiTheme="minorEastAsia" w:eastAsiaTheme="minorEastAsia"/>
          <w:bCs/>
          <w:highlight w:val="none"/>
        </w:rPr>
      </w:pPr>
    </w:p>
    <w:p>
      <w:pPr>
        <w:pStyle w:val="27"/>
        <w:ind w:left="0" w:leftChars="0" w:firstLine="0" w:firstLineChars="0"/>
        <w:rPr>
          <w:rFonts w:asciiTheme="minorEastAsia" w:hAnsiTheme="minorEastAsia" w:eastAsiaTheme="minorEastAsia"/>
          <w:bCs/>
          <w:highlight w:val="none"/>
        </w:rPr>
      </w:pPr>
      <w:r>
        <w:rPr>
          <w:rFonts w:hint="eastAsia" w:asciiTheme="minorEastAsia" w:hAnsiTheme="minorEastAsia" w:eastAsiaTheme="minorEastAsia"/>
          <w:bCs/>
          <w:highlight w:val="none"/>
        </w:rPr>
        <w:t>第六部分 比选文件（另册）</w:t>
      </w:r>
    </w:p>
    <w:p>
      <w:pPr>
        <w:pStyle w:val="27"/>
        <w:ind w:firstLine="470"/>
        <w:rPr>
          <w:rFonts w:asciiTheme="minorEastAsia" w:hAnsiTheme="minorEastAsia" w:eastAsiaTheme="minorEastAsia"/>
          <w:bCs/>
          <w:highlight w:val="none"/>
        </w:rPr>
      </w:pPr>
    </w:p>
    <w:p>
      <w:pPr>
        <w:spacing w:line="276" w:lineRule="auto"/>
        <w:rPr>
          <w:rFonts w:asciiTheme="minorEastAsia" w:hAnsiTheme="minorEastAsia" w:eastAsiaTheme="minorEastAsia"/>
          <w:b/>
          <w:sz w:val="24"/>
          <w:szCs w:val="24"/>
          <w:highlight w:val="none"/>
        </w:rPr>
      </w:pPr>
      <w:r>
        <w:rPr>
          <w:rFonts w:hint="eastAsia" w:asciiTheme="minorEastAsia" w:hAnsiTheme="minorEastAsia" w:eastAsiaTheme="minorEastAsia"/>
          <w:bCs/>
          <w:sz w:val="24"/>
          <w:szCs w:val="24"/>
          <w:highlight w:val="none"/>
        </w:rPr>
        <w:t>第七部分 比选申请文件（另册）</w:t>
      </w: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pStyle w:val="20"/>
        <w:rPr>
          <w:rFonts w:asciiTheme="minorEastAsia" w:hAnsiTheme="minorEastAsia" w:eastAsiaTheme="minorEastAsia"/>
          <w:b/>
          <w:sz w:val="24"/>
          <w:szCs w:val="24"/>
          <w:highlight w:val="none"/>
        </w:rPr>
      </w:pPr>
    </w:p>
    <w:p>
      <w:pPr>
        <w:spacing w:line="276" w:lineRule="auto"/>
        <w:ind w:firstLine="482" w:firstLineChars="200"/>
        <w:jc w:val="center"/>
        <w:rPr>
          <w:rFonts w:asciiTheme="minorEastAsia" w:hAnsiTheme="minorEastAsia" w:eastAsiaTheme="minorEastAsia"/>
          <w:bCs/>
          <w:sz w:val="24"/>
          <w:szCs w:val="24"/>
          <w:highlight w:val="none"/>
        </w:rPr>
      </w:pPr>
      <w:r>
        <w:rPr>
          <w:rFonts w:hint="eastAsia" w:asciiTheme="minorEastAsia" w:hAnsiTheme="minorEastAsia" w:eastAsiaTheme="minorEastAsia"/>
          <w:b/>
          <w:sz w:val="24"/>
          <w:szCs w:val="24"/>
          <w:highlight w:val="none"/>
        </w:rPr>
        <w:t>第一部分 合同协议书</w:t>
      </w:r>
    </w:p>
    <w:p>
      <w:pPr>
        <w:snapToGrid w:val="0"/>
        <w:spacing w:line="360" w:lineRule="auto"/>
        <w:rPr>
          <w:rFonts w:asciiTheme="minorEastAsia" w:hAnsiTheme="minorEastAsia" w:eastAsiaTheme="minorEastAsia"/>
          <w:szCs w:val="21"/>
          <w:highlight w:val="none"/>
        </w:rPr>
      </w:pPr>
    </w:p>
    <w:p>
      <w:pPr>
        <w:spacing w:line="360" w:lineRule="exact"/>
        <w:rPr>
          <w:rFonts w:ascii="宋体" w:hAnsi="宋体"/>
          <w:szCs w:val="21"/>
          <w:highlight w:val="none"/>
        </w:rPr>
      </w:pPr>
      <w:r>
        <w:rPr>
          <w:rFonts w:hint="eastAsia" w:ascii="宋体" w:hAnsi="宋体"/>
          <w:szCs w:val="21"/>
          <w:highlight w:val="none"/>
        </w:rPr>
        <w:t>采购单位（甲方）</w:t>
      </w:r>
      <w:r>
        <w:rPr>
          <w:rFonts w:hint="eastAsia" w:ascii="宋体" w:hAnsi="宋体"/>
          <w:szCs w:val="21"/>
          <w:highlight w:val="none"/>
          <w:u w:val="single"/>
        </w:rPr>
        <w:t xml:space="preserve">                     </w:t>
      </w:r>
      <w:r>
        <w:rPr>
          <w:rFonts w:hint="eastAsia" w:ascii="宋体" w:hAnsi="宋体"/>
          <w:szCs w:val="21"/>
          <w:highlight w:val="none"/>
        </w:rPr>
        <w:t xml:space="preserve">  采购计划号</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360" w:lineRule="exact"/>
        <w:rPr>
          <w:rFonts w:ascii="宋体" w:hAnsi="宋体"/>
          <w:szCs w:val="21"/>
          <w:highlight w:val="none"/>
        </w:rPr>
      </w:pPr>
      <w:r>
        <w:rPr>
          <w:rFonts w:hint="eastAsia" w:ascii="宋体" w:hAnsi="宋体"/>
          <w:szCs w:val="21"/>
          <w:highlight w:val="none"/>
        </w:rPr>
        <w:t>供应商（乙方）</w:t>
      </w:r>
      <w:r>
        <w:rPr>
          <w:rFonts w:hint="eastAsia" w:ascii="宋体" w:hAnsi="宋体"/>
          <w:szCs w:val="21"/>
          <w:highlight w:val="none"/>
          <w:u w:val="single"/>
        </w:rPr>
        <w:t xml:space="preserve">                       </w:t>
      </w:r>
      <w:r>
        <w:rPr>
          <w:rFonts w:hint="eastAsia" w:ascii="宋体" w:hAnsi="宋体"/>
          <w:szCs w:val="21"/>
          <w:highlight w:val="none"/>
        </w:rPr>
        <w:t xml:space="preserve">  项目名称和编号</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360" w:lineRule="exact"/>
        <w:rPr>
          <w:rFonts w:ascii="宋体" w:hAnsi="宋体"/>
          <w:szCs w:val="21"/>
          <w:highlight w:val="none"/>
        </w:rPr>
      </w:pPr>
      <w:r>
        <w:rPr>
          <w:rFonts w:hint="eastAsia" w:ascii="宋体" w:hAnsi="宋体"/>
          <w:szCs w:val="21"/>
          <w:highlight w:val="none"/>
        </w:rPr>
        <w:t xml:space="preserve">签订地点 </w:t>
      </w:r>
      <w:r>
        <w:rPr>
          <w:rFonts w:hint="eastAsia" w:ascii="宋体" w:hAnsi="宋体"/>
          <w:szCs w:val="21"/>
          <w:highlight w:val="none"/>
          <w:u w:val="single"/>
        </w:rPr>
        <w:t xml:space="preserve">                            </w:t>
      </w:r>
      <w:r>
        <w:rPr>
          <w:rFonts w:hint="eastAsia" w:ascii="宋体" w:hAnsi="宋体"/>
          <w:szCs w:val="21"/>
          <w:highlight w:val="none"/>
        </w:rPr>
        <w:t xml:space="preserve">  签订时间 </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360" w:lineRule="exact"/>
        <w:ind w:firstLine="420" w:firstLineChars="200"/>
        <w:rPr>
          <w:rFonts w:ascii="宋体" w:hAnsi="宋体"/>
          <w:szCs w:val="21"/>
          <w:highlight w:val="none"/>
        </w:rPr>
      </w:pPr>
      <w:r>
        <w:rPr>
          <w:rFonts w:hint="eastAsia" w:ascii="宋体" w:hAnsi="宋体"/>
          <w:szCs w:val="21"/>
          <w:highlight w:val="none"/>
        </w:rPr>
        <w:t>根据《中华人民共和国民法典》等法律、法规规定，按照比选文件规定条款和成交供应商承诺，甲乙双方签订和合同。</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第一条　合同标的</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1、供货一览表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1200"/>
        <w:gridCol w:w="1200"/>
        <w:gridCol w:w="1199"/>
        <w:gridCol w:w="12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序号</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产品名称</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商标品牌</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规格型号</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生产厂家</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数  量</w:t>
            </w:r>
          </w:p>
          <w:p>
            <w:pPr>
              <w:snapToGrid w:val="0"/>
              <w:spacing w:line="360" w:lineRule="exact"/>
              <w:jc w:val="center"/>
              <w:rPr>
                <w:rFonts w:ascii="宋体" w:hAnsi="宋体"/>
                <w:szCs w:val="21"/>
                <w:highlight w:val="none"/>
              </w:rPr>
            </w:pPr>
            <w:r>
              <w:rPr>
                <w:rFonts w:hint="eastAsia" w:ascii="宋体" w:hAnsi="宋体"/>
                <w:szCs w:val="21"/>
                <w:highlight w:val="none"/>
              </w:rPr>
              <w:t>及单位</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单  价</w:t>
            </w:r>
          </w:p>
          <w:p>
            <w:pPr>
              <w:snapToGrid w:val="0"/>
              <w:spacing w:line="360" w:lineRule="exact"/>
              <w:jc w:val="center"/>
              <w:rPr>
                <w:rFonts w:ascii="宋体" w:hAnsi="宋体"/>
                <w:szCs w:val="21"/>
                <w:highlight w:val="none"/>
              </w:rPr>
            </w:pPr>
            <w:r>
              <w:rPr>
                <w:rFonts w:hint="eastAsia" w:ascii="宋体" w:hAnsi="宋体"/>
                <w:szCs w:val="21"/>
                <w:highlight w:val="none"/>
              </w:rPr>
              <w:t>（元）</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金  额</w:t>
            </w:r>
          </w:p>
          <w:p>
            <w:pPr>
              <w:snapToGrid w:val="0"/>
              <w:spacing w:line="360" w:lineRule="exact"/>
              <w:jc w:val="center"/>
              <w:rPr>
                <w:rFonts w:ascii="宋体" w:hAnsi="宋体"/>
                <w:szCs w:val="21"/>
                <w:highlight w:val="none"/>
              </w:rPr>
            </w:pPr>
            <w:r>
              <w:rPr>
                <w:rFonts w:hint="eastAsia" w:ascii="宋体" w:hAnsi="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1</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2</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r>
              <w:rPr>
                <w:rFonts w:hint="eastAsia" w:ascii="宋体" w:hAnsi="宋体"/>
                <w:szCs w:val="21"/>
                <w:highlight w:val="none"/>
              </w:rPr>
              <w:t>3</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lang w:eastAsia="zh-CN"/>
              </w:rPr>
              <w:t>合同不含税</w:t>
            </w:r>
            <w:r>
              <w:rPr>
                <w:rFonts w:hint="eastAsia" w:ascii="宋体" w:hAnsi="宋体"/>
                <w:szCs w:val="21"/>
                <w:highlight w:val="none"/>
              </w:rPr>
              <w:t>金额</w:t>
            </w:r>
            <w:r>
              <w:rPr>
                <w:rFonts w:hint="eastAsia" w:ascii="宋体" w:hAnsi="宋体"/>
                <w:szCs w:val="21"/>
                <w:highlight w:val="none"/>
                <w:lang w:eastAsia="zh-CN"/>
              </w:rPr>
              <w:t>人民币</w:t>
            </w:r>
            <w:r>
              <w:rPr>
                <w:rFonts w:hint="eastAsia" w:ascii="宋体" w:hAnsi="宋体"/>
                <w:szCs w:val="21"/>
                <w:highlight w:val="none"/>
              </w:rPr>
              <w:t xml:space="preserve">（大写）                          （小写）                 </w:t>
            </w:r>
          </w:p>
        </w:tc>
      </w:tr>
    </w:tbl>
    <w:p>
      <w:pPr>
        <w:numPr>
          <w:ilvl w:val="0"/>
          <w:numId w:val="8"/>
        </w:numPr>
        <w:snapToGrid w:val="0"/>
        <w:spacing w:line="360" w:lineRule="exact"/>
        <w:ind w:right="420" w:firstLine="420" w:firstLineChars="200"/>
        <w:rPr>
          <w:rFonts w:hint="eastAsia" w:ascii="宋体" w:hAnsi="宋体"/>
          <w:szCs w:val="21"/>
          <w:highlight w:val="none"/>
        </w:rPr>
      </w:pPr>
      <w:r>
        <w:rPr>
          <w:rFonts w:hint="eastAsia" w:ascii="宋体" w:hAnsi="宋体"/>
          <w:szCs w:val="21"/>
          <w:highlight w:val="none"/>
        </w:rPr>
        <w:t>合同</w:t>
      </w:r>
      <w:r>
        <w:rPr>
          <w:rFonts w:hint="eastAsia" w:ascii="宋体" w:hAnsi="宋体"/>
          <w:szCs w:val="21"/>
          <w:highlight w:val="none"/>
          <w:lang w:val="en-US" w:eastAsia="zh-CN"/>
        </w:rPr>
        <w:t>不</w:t>
      </w:r>
      <w:r>
        <w:rPr>
          <w:rFonts w:hint="eastAsia" w:ascii="宋体" w:hAnsi="宋体"/>
          <w:szCs w:val="21"/>
          <w:highlight w:val="none"/>
          <w:lang w:eastAsia="zh-CN"/>
        </w:rPr>
        <w:t>含税</w:t>
      </w:r>
      <w:r>
        <w:rPr>
          <w:rFonts w:hint="eastAsia" w:ascii="宋体" w:hAnsi="宋体"/>
          <w:szCs w:val="21"/>
          <w:highlight w:val="none"/>
        </w:rPr>
        <w:t>金额包括货物的所有费用，包括货物采购、包装费、运杂费、装卸车费、劳务、管理、利润、保险、协调、售后服务、不定因素的风险费用及供货直至指定地点安装合格等一切费用。</w:t>
      </w:r>
      <w:r>
        <w:rPr>
          <w:rFonts w:hint="eastAsia" w:ascii="宋体" w:hAnsi="宋体"/>
          <w:szCs w:val="21"/>
          <w:highlight w:val="none"/>
          <w:lang w:eastAsia="zh-CN"/>
        </w:rPr>
        <w:t>在合同履约过程中，本合同增值税税率将遵照国家现行税法执行，</w:t>
      </w:r>
      <w:r>
        <w:rPr>
          <w:rFonts w:hint="eastAsia" w:asciiTheme="minorEastAsia" w:hAnsiTheme="minorEastAsia" w:eastAsiaTheme="minorEastAsia"/>
          <w:highlight w:val="none"/>
          <w:lang w:eastAsia="zh-CN"/>
        </w:rPr>
        <w:t>最终税金在结算阶段，按实际产生的税金进行核算。</w:t>
      </w:r>
    </w:p>
    <w:p>
      <w:pPr>
        <w:spacing w:line="360" w:lineRule="auto"/>
        <w:ind w:firstLine="420" w:firstLineChars="200"/>
        <w:rPr>
          <w:rFonts w:hint="eastAsia" w:eastAsia="宋体"/>
          <w:highlight w:val="none"/>
          <w:lang w:val="en-US" w:eastAsia="zh-CN"/>
        </w:rPr>
      </w:pPr>
      <w:r>
        <w:rPr>
          <w:rFonts w:hint="eastAsia" w:hAnsi="宋体"/>
          <w:highlight w:val="none"/>
          <w:lang w:val="en-US" w:eastAsia="zh-CN"/>
        </w:rPr>
        <w:t>3</w:t>
      </w:r>
      <w:r>
        <w:rPr>
          <w:rFonts w:hint="eastAsia" w:hAnsi="宋体"/>
          <w:highlight w:val="none"/>
        </w:rPr>
        <w:t>、</w:t>
      </w:r>
      <w:r>
        <w:rPr>
          <w:rFonts w:hint="eastAsia" w:ascii="宋体" w:hAnsi="宋体" w:cs="宋体"/>
          <w:szCs w:val="21"/>
          <w:highlight w:val="none"/>
        </w:rPr>
        <w:t>合同签订之日起90 个日历日内到货并安装完毕，</w:t>
      </w:r>
      <w:r>
        <w:rPr>
          <w:rFonts w:hint="eastAsia" w:ascii="宋体" w:hAnsi="宋体" w:cs="宋体"/>
          <w:szCs w:val="21"/>
          <w:highlight w:val="none"/>
          <w:lang w:val="en-US" w:eastAsia="zh-CN"/>
        </w:rPr>
        <w:t>安装完毕后</w:t>
      </w:r>
      <w:r>
        <w:rPr>
          <w:rFonts w:hint="eastAsia" w:ascii="宋体" w:hAnsi="宋体" w:cs="宋体"/>
          <w:szCs w:val="21"/>
          <w:highlight w:val="none"/>
        </w:rPr>
        <w:t>30个日历日内完成特种设备使用登记并取得特种设备检验机构出具的《电梯准用证》，无条件交付采购人使用</w:t>
      </w:r>
      <w:r>
        <w:rPr>
          <w:rFonts w:hint="eastAsia" w:ascii="宋体" w:hAnsi="宋体" w:cs="宋体"/>
          <w:szCs w:val="21"/>
          <w:highlight w:val="none"/>
          <w:lang w:eastAsia="zh-CN"/>
        </w:rPr>
        <w:t>。</w:t>
      </w:r>
    </w:p>
    <w:p>
      <w:pPr>
        <w:snapToGrid w:val="0"/>
        <w:spacing w:line="360" w:lineRule="exact"/>
        <w:ind w:firstLine="422" w:firstLineChars="200"/>
        <w:rPr>
          <w:rFonts w:ascii="宋体" w:hAnsi="宋体"/>
          <w:szCs w:val="21"/>
          <w:highlight w:val="none"/>
        </w:rPr>
      </w:pPr>
      <w:r>
        <w:rPr>
          <w:rFonts w:hint="eastAsia" w:ascii="宋体" w:hAnsi="宋体"/>
          <w:b/>
          <w:szCs w:val="21"/>
          <w:highlight w:val="none"/>
        </w:rPr>
        <w:t>第二条　质量保证</w:t>
      </w:r>
    </w:p>
    <w:p>
      <w:pPr>
        <w:snapToGrid w:val="0"/>
        <w:spacing w:line="360" w:lineRule="exact"/>
        <w:ind w:firstLine="420" w:firstLineChars="200"/>
        <w:rPr>
          <w:rFonts w:hint="eastAsia" w:ascii="宋体" w:hAnsi="宋体" w:eastAsia="宋体"/>
          <w:szCs w:val="21"/>
          <w:highlight w:val="none"/>
          <w:lang w:eastAsia="zh-CN"/>
        </w:rPr>
      </w:pPr>
      <w:r>
        <w:rPr>
          <w:rFonts w:hint="eastAsia" w:ascii="宋体" w:hAnsi="宋体"/>
          <w:szCs w:val="21"/>
          <w:highlight w:val="none"/>
        </w:rPr>
        <w:t>1、乙方所提供的货物型号、技术规格、技术参数等质量必须与</w:t>
      </w:r>
      <w:r>
        <w:rPr>
          <w:rFonts w:hint="eastAsia" w:ascii="宋体" w:hAnsi="宋体"/>
          <w:szCs w:val="21"/>
          <w:highlight w:val="none"/>
          <w:lang w:val="en-US" w:eastAsia="zh-CN"/>
        </w:rPr>
        <w:t>比选</w:t>
      </w:r>
      <w:r>
        <w:rPr>
          <w:rFonts w:hint="eastAsia" w:ascii="宋体" w:hAnsi="宋体"/>
          <w:szCs w:val="21"/>
          <w:highlight w:val="none"/>
        </w:rPr>
        <w:t>文件和承诺相一致。</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2、乙方所提供的货物必须是全新、未使用的原装产品，且在正常安装、使用和保养条件下，其使用寿命期内各项指标均达到质量要求。</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3、乙方应严格按照经批准的图纸生产，如果需要对图纸进行重大变更，也必须经</w:t>
      </w:r>
      <w:r>
        <w:rPr>
          <w:rFonts w:hint="eastAsia" w:ascii="宋体" w:hAnsi="宋体"/>
          <w:szCs w:val="21"/>
          <w:highlight w:val="none"/>
          <w:lang w:val="en-US" w:eastAsia="zh-CN"/>
        </w:rPr>
        <w:t>甲方</w:t>
      </w:r>
      <w:r>
        <w:rPr>
          <w:rFonts w:hint="eastAsia" w:ascii="宋体" w:hAnsi="宋体"/>
          <w:szCs w:val="21"/>
          <w:highlight w:val="none"/>
        </w:rPr>
        <w:t>同意。</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4、在设备生产过程中，如</w:t>
      </w:r>
      <w:r>
        <w:rPr>
          <w:rFonts w:hint="eastAsia" w:ascii="宋体" w:hAnsi="宋体"/>
          <w:szCs w:val="21"/>
          <w:highlight w:val="none"/>
          <w:lang w:val="en-US" w:eastAsia="zh-CN"/>
        </w:rPr>
        <w:t>甲方</w:t>
      </w:r>
      <w:r>
        <w:rPr>
          <w:rFonts w:hint="eastAsia" w:ascii="宋体" w:hAnsi="宋体"/>
          <w:szCs w:val="21"/>
          <w:highlight w:val="none"/>
        </w:rPr>
        <w:t>有需要，可随时派驻相关人员到厂家进行生产过程控制。</w:t>
      </w:r>
    </w:p>
    <w:p>
      <w:pPr>
        <w:snapToGrid w:val="0"/>
        <w:spacing w:line="360" w:lineRule="exact"/>
        <w:ind w:firstLine="420" w:firstLineChars="200"/>
        <w:rPr>
          <w:rFonts w:hint="eastAsia" w:ascii="宋体" w:hAnsi="宋体" w:eastAsia="宋体"/>
          <w:szCs w:val="21"/>
          <w:highlight w:val="none"/>
          <w:lang w:eastAsia="zh-CN"/>
        </w:rPr>
      </w:pPr>
      <w:r>
        <w:rPr>
          <w:rFonts w:hint="eastAsia" w:ascii="宋体" w:hAnsi="宋体"/>
          <w:szCs w:val="21"/>
          <w:highlight w:val="none"/>
        </w:rPr>
        <w:t>5、</w:t>
      </w:r>
      <w:r>
        <w:rPr>
          <w:rFonts w:hint="eastAsia" w:ascii="宋体" w:hAnsi="宋体"/>
          <w:szCs w:val="21"/>
          <w:highlight w:val="none"/>
          <w:lang w:val="en-US" w:eastAsia="zh-CN"/>
        </w:rPr>
        <w:t>乙方</w:t>
      </w:r>
      <w:r>
        <w:rPr>
          <w:rFonts w:hint="eastAsia" w:ascii="宋体" w:hAnsi="宋体"/>
          <w:szCs w:val="21"/>
          <w:highlight w:val="none"/>
        </w:rPr>
        <w:t>在</w:t>
      </w:r>
      <w:r>
        <w:rPr>
          <w:rFonts w:hint="eastAsia" w:ascii="宋体" w:hAnsi="宋体"/>
          <w:szCs w:val="21"/>
          <w:highlight w:val="none"/>
          <w:lang w:val="en-US" w:eastAsia="zh-CN"/>
        </w:rPr>
        <w:t>施工开始前</w:t>
      </w:r>
      <w:r>
        <w:rPr>
          <w:rFonts w:hint="eastAsia" w:ascii="宋体" w:hAnsi="宋体"/>
          <w:szCs w:val="21"/>
          <w:highlight w:val="none"/>
        </w:rPr>
        <w:t>必须组织</w:t>
      </w:r>
      <w:r>
        <w:rPr>
          <w:rFonts w:hint="eastAsia" w:ascii="宋体" w:hAnsi="宋体"/>
          <w:szCs w:val="21"/>
          <w:highlight w:val="none"/>
          <w:lang w:val="en-US" w:eastAsia="zh-CN"/>
        </w:rPr>
        <w:t>甲方</w:t>
      </w:r>
      <w:r>
        <w:rPr>
          <w:rFonts w:hint="eastAsia" w:ascii="宋体" w:hAnsi="宋体"/>
          <w:szCs w:val="21"/>
          <w:highlight w:val="none"/>
        </w:rPr>
        <w:t>、设计、监理等相关部门进行图纸及施工组织方案会审，并进行技术交底</w:t>
      </w:r>
      <w:r>
        <w:rPr>
          <w:rFonts w:hint="eastAsia" w:ascii="宋体" w:hAnsi="宋体"/>
          <w:szCs w:val="21"/>
          <w:highlight w:val="none"/>
          <w:lang w:eastAsia="zh-CN"/>
        </w:rPr>
        <w:t>。</w:t>
      </w:r>
    </w:p>
    <w:p>
      <w:pPr>
        <w:snapToGrid w:val="0"/>
        <w:spacing w:line="360" w:lineRule="exact"/>
        <w:ind w:firstLine="420" w:firstLineChars="200"/>
        <w:rPr>
          <w:rFonts w:hint="eastAsia" w:ascii="宋体" w:hAnsi="宋体"/>
          <w:szCs w:val="21"/>
          <w:highlight w:val="none"/>
        </w:rPr>
      </w:pPr>
      <w:r>
        <w:rPr>
          <w:rFonts w:hint="eastAsia" w:ascii="宋体" w:hAnsi="宋体"/>
          <w:szCs w:val="21"/>
          <w:highlight w:val="none"/>
        </w:rPr>
        <w:t>6、整套图纸在产品开始制造前二十天提供给</w:t>
      </w:r>
      <w:r>
        <w:rPr>
          <w:rFonts w:hint="eastAsia" w:ascii="宋体" w:hAnsi="宋体"/>
          <w:szCs w:val="21"/>
          <w:highlight w:val="none"/>
          <w:lang w:val="en-US" w:eastAsia="zh-CN"/>
        </w:rPr>
        <w:t>甲方</w:t>
      </w:r>
      <w:r>
        <w:rPr>
          <w:rFonts w:hint="eastAsia" w:ascii="宋体" w:hAnsi="宋体"/>
          <w:szCs w:val="21"/>
          <w:highlight w:val="none"/>
        </w:rPr>
        <w:t>，经</w:t>
      </w:r>
      <w:r>
        <w:rPr>
          <w:rFonts w:hint="eastAsia" w:ascii="宋体" w:hAnsi="宋体"/>
          <w:szCs w:val="21"/>
          <w:highlight w:val="none"/>
          <w:lang w:val="en-US" w:eastAsia="zh-CN"/>
        </w:rPr>
        <w:t>甲方</w:t>
      </w:r>
      <w:r>
        <w:rPr>
          <w:rFonts w:hint="eastAsia" w:ascii="宋体" w:hAnsi="宋体"/>
          <w:szCs w:val="21"/>
          <w:highlight w:val="none"/>
        </w:rPr>
        <w:t>认可后方可开始制造。</w:t>
      </w:r>
    </w:p>
    <w:p>
      <w:pPr>
        <w:pStyle w:val="20"/>
        <w:spacing w:line="360" w:lineRule="auto"/>
        <w:ind w:firstLine="420" w:firstLineChars="200"/>
        <w:rPr>
          <w:rFonts w:hint="eastAsia"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lang w:val="en-US" w:eastAsia="zh-CN"/>
        </w:rPr>
        <w:t>7、</w:t>
      </w:r>
      <w:r>
        <w:rPr>
          <w:rFonts w:hint="eastAsia" w:cs="宋体" w:asciiTheme="minorEastAsia" w:hAnsiTheme="minorEastAsia" w:eastAsiaTheme="minorEastAsia"/>
          <w:kern w:val="0"/>
          <w:sz w:val="21"/>
          <w:szCs w:val="21"/>
          <w:highlight w:val="none"/>
        </w:rPr>
        <w:t>在供货前，须提供能满足本项目的售后服务能力的证明（提供有效的售后服务证明材料及安装维修资质复印件或其他文件），否则，不予验收。</w:t>
      </w:r>
    </w:p>
    <w:p>
      <w:pPr>
        <w:pStyle w:val="20"/>
        <w:rPr>
          <w:highlight w:val="none"/>
        </w:rPr>
      </w:pPr>
    </w:p>
    <w:p>
      <w:pPr>
        <w:snapToGrid w:val="0"/>
        <w:spacing w:line="360" w:lineRule="exact"/>
        <w:ind w:firstLine="422" w:firstLineChars="200"/>
        <w:rPr>
          <w:rFonts w:hint="eastAsia" w:ascii="宋体" w:hAnsi="宋体" w:eastAsia="宋体"/>
          <w:szCs w:val="21"/>
          <w:highlight w:val="none"/>
          <w:lang w:eastAsia="zh-CN"/>
        </w:rPr>
      </w:pPr>
      <w:r>
        <w:rPr>
          <w:rFonts w:hint="eastAsia" w:ascii="宋体" w:hAnsi="宋体"/>
          <w:b/>
          <w:szCs w:val="21"/>
          <w:highlight w:val="none"/>
        </w:rPr>
        <w:t>第三条　</w:t>
      </w:r>
      <w:r>
        <w:rPr>
          <w:rFonts w:hint="eastAsia" w:ascii="宋体" w:hAnsi="宋体"/>
          <w:b/>
          <w:szCs w:val="21"/>
          <w:highlight w:val="none"/>
          <w:lang w:eastAsia="zh-CN"/>
        </w:rPr>
        <w:t>甲乙方权利与义务</w:t>
      </w:r>
    </w:p>
    <w:p>
      <w:pPr>
        <w:snapToGrid w:val="0"/>
        <w:spacing w:line="360" w:lineRule="exact"/>
        <w:ind w:firstLine="420" w:firstLineChars="200"/>
        <w:rPr>
          <w:rFonts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乙方应保证所提供货物在使用时不会侵犯任何第三方的专利权、商标权、工业设计权或其他权利。</w:t>
      </w:r>
    </w:p>
    <w:p>
      <w:pPr>
        <w:snapToGrid w:val="0"/>
        <w:spacing w:line="360" w:lineRule="exact"/>
        <w:ind w:firstLine="420" w:firstLineChars="200"/>
        <w:rPr>
          <w:rFonts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乙方应按</w:t>
      </w:r>
      <w:r>
        <w:rPr>
          <w:rFonts w:hint="eastAsia" w:ascii="宋体" w:hAnsi="宋体"/>
          <w:szCs w:val="21"/>
          <w:highlight w:val="none"/>
          <w:lang w:val="en-US" w:eastAsia="zh-CN"/>
        </w:rPr>
        <w:t>比选</w:t>
      </w:r>
      <w:r>
        <w:rPr>
          <w:rFonts w:hint="eastAsia" w:ascii="宋体" w:hAnsi="宋体"/>
          <w:szCs w:val="21"/>
          <w:highlight w:val="none"/>
        </w:rPr>
        <w:t>文件规定的时间向甲方提供使用货物的有关技术资料。</w:t>
      </w:r>
    </w:p>
    <w:p>
      <w:pPr>
        <w:snapToGrid w:val="0"/>
        <w:spacing w:line="360" w:lineRule="exact"/>
        <w:ind w:firstLine="420" w:firstLineChars="200"/>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乙方保证所交付的货物的所有权完全属于乙方且无任何抵押、查封等产权瑕疵。</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第四条　包装和运输</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1、乙方提供的货物均应按</w:t>
      </w:r>
      <w:r>
        <w:rPr>
          <w:rFonts w:hint="eastAsia" w:ascii="宋体" w:hAnsi="宋体"/>
          <w:szCs w:val="21"/>
          <w:highlight w:val="none"/>
          <w:lang w:val="en-US" w:eastAsia="zh-CN"/>
        </w:rPr>
        <w:t>比选</w:t>
      </w:r>
      <w:r>
        <w:rPr>
          <w:rFonts w:hint="eastAsia" w:ascii="宋体" w:hAnsi="宋体"/>
          <w:szCs w:val="21"/>
          <w:highlight w:val="none"/>
        </w:rPr>
        <w:t>文件要求的包装材料、包装标准、包装方式进行包装，每一包装单元内应附详细的装箱单和质量合格证。</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2、货物的运输方式：</w:t>
      </w:r>
      <w:r>
        <w:rPr>
          <w:rFonts w:hint="eastAsia" w:ascii="宋体" w:hAnsi="宋体"/>
          <w:szCs w:val="21"/>
          <w:highlight w:val="none"/>
          <w:u w:val="single"/>
          <w:lang w:val="en-US" w:eastAsia="zh-CN"/>
        </w:rPr>
        <w:t>陆运</w:t>
      </w:r>
      <w:r>
        <w:rPr>
          <w:rFonts w:hint="eastAsia" w:ascii="宋体" w:hAnsi="宋体"/>
          <w:szCs w:val="21"/>
          <w:highlight w:val="none"/>
        </w:rPr>
        <w:t>。</w:t>
      </w:r>
    </w:p>
    <w:p>
      <w:pPr>
        <w:snapToGrid w:val="0"/>
        <w:spacing w:line="360" w:lineRule="exact"/>
        <w:ind w:firstLine="422" w:firstLineChars="200"/>
        <w:rPr>
          <w:rFonts w:ascii="宋体" w:hAnsi="宋体"/>
          <w:szCs w:val="21"/>
          <w:highlight w:val="none"/>
        </w:rPr>
      </w:pPr>
      <w:r>
        <w:rPr>
          <w:rFonts w:hint="eastAsia" w:ascii="宋体" w:hAnsi="宋体"/>
          <w:b/>
          <w:szCs w:val="21"/>
          <w:highlight w:val="none"/>
        </w:rPr>
        <w:t>第五条　交付</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1、交货时间：</w:t>
      </w:r>
      <w:r>
        <w:rPr>
          <w:rFonts w:hint="eastAsia"/>
          <w:highlight w:val="none"/>
        </w:rPr>
        <w:t>合同签订之日起90 个日历日内到货并安装完毕</w:t>
      </w:r>
      <w:r>
        <w:rPr>
          <w:rFonts w:hint="eastAsia" w:ascii="宋体" w:hAnsi="宋体"/>
          <w:szCs w:val="21"/>
          <w:highlight w:val="none"/>
        </w:rPr>
        <w:t>、地点：</w:t>
      </w:r>
      <w:r>
        <w:rPr>
          <w:rFonts w:hint="eastAsia" w:ascii="宋体" w:hAnsi="宋体"/>
          <w:szCs w:val="21"/>
          <w:highlight w:val="none"/>
          <w:u w:val="single"/>
          <w:lang w:eastAsia="zh-CN"/>
        </w:rPr>
        <w:t>南宁市</w:t>
      </w:r>
      <w:r>
        <w:rPr>
          <w:rFonts w:hint="eastAsia" w:ascii="宋体" w:hAnsi="宋体"/>
          <w:szCs w:val="21"/>
          <w:highlight w:val="none"/>
          <w:u w:val="single"/>
          <w:lang w:val="en-US" w:eastAsia="zh-CN"/>
        </w:rPr>
        <w:t>江南区洞岭路9号</w:t>
      </w:r>
      <w:r>
        <w:rPr>
          <w:rFonts w:hint="eastAsia" w:ascii="宋体" w:hAnsi="宋体"/>
          <w:szCs w:val="21"/>
          <w:highlight w:val="none"/>
        </w:rPr>
        <w:t>。</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2、乙方提供不符合</w:t>
      </w:r>
      <w:r>
        <w:rPr>
          <w:rFonts w:hint="eastAsia" w:ascii="宋体" w:hAnsi="宋体"/>
          <w:szCs w:val="21"/>
          <w:highlight w:val="none"/>
          <w:lang w:val="en-US" w:eastAsia="zh-CN"/>
        </w:rPr>
        <w:t>比选</w:t>
      </w:r>
      <w:r>
        <w:rPr>
          <w:rFonts w:hint="eastAsia" w:ascii="宋体" w:hAnsi="宋体"/>
          <w:szCs w:val="21"/>
          <w:highlight w:val="none"/>
        </w:rPr>
        <w:t>文件和本合同规定的货物，甲方有权拒绝接受。</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第六条　安装和培训</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1、甲方应提供必要安装条件（如场地、电源等）。</w:t>
      </w:r>
    </w:p>
    <w:p>
      <w:pPr>
        <w:snapToGrid w:val="0"/>
        <w:spacing w:line="360" w:lineRule="exact"/>
        <w:ind w:firstLine="420" w:firstLineChars="200"/>
        <w:rPr>
          <w:rFonts w:ascii="宋体" w:hAnsi="宋体"/>
          <w:szCs w:val="21"/>
          <w:highlight w:val="none"/>
          <w:u w:val="single"/>
        </w:rPr>
      </w:pPr>
      <w:r>
        <w:rPr>
          <w:rFonts w:hint="eastAsia" w:ascii="宋体" w:hAnsi="宋体"/>
          <w:szCs w:val="21"/>
          <w:highlight w:val="none"/>
        </w:rPr>
        <w:t>2、乙方负责甲方有关人员的培训。培训时间、地点：</w:t>
      </w:r>
      <w:r>
        <w:rPr>
          <w:rFonts w:hint="eastAsia" w:ascii="宋体" w:hAnsi="宋体"/>
          <w:szCs w:val="21"/>
          <w:highlight w:val="none"/>
          <w:u w:val="single"/>
          <w:lang w:eastAsia="zh-CN"/>
        </w:rPr>
        <w:t>南宁市</w:t>
      </w:r>
      <w:r>
        <w:rPr>
          <w:rFonts w:hint="eastAsia" w:ascii="宋体" w:hAnsi="宋体"/>
          <w:szCs w:val="21"/>
          <w:highlight w:val="none"/>
          <w:u w:val="single"/>
          <w:lang w:val="en-US" w:eastAsia="zh-CN"/>
        </w:rPr>
        <w:t>江南区洞岭路9号</w:t>
      </w:r>
      <w:r>
        <w:rPr>
          <w:rFonts w:hint="eastAsia" w:ascii="宋体" w:hAnsi="宋体"/>
          <w:szCs w:val="21"/>
          <w:highlight w:val="none"/>
        </w:rPr>
        <w:t xml:space="preserve"> 。</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第七条  售后服务、保修期</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1、乙方应按照国家有关法律法规和“三包”规定以及</w:t>
      </w:r>
      <w:r>
        <w:rPr>
          <w:rFonts w:hint="eastAsia" w:ascii="宋体" w:hAnsi="宋体"/>
          <w:szCs w:val="21"/>
          <w:highlight w:val="none"/>
          <w:lang w:val="en-US" w:eastAsia="zh-CN"/>
        </w:rPr>
        <w:t>比选</w:t>
      </w:r>
      <w:r>
        <w:rPr>
          <w:rFonts w:hint="eastAsia" w:ascii="宋体" w:hAnsi="宋体"/>
          <w:szCs w:val="21"/>
          <w:highlight w:val="none"/>
        </w:rPr>
        <w:t>文件和本合同所附的《服务承诺》，为甲方提供售后服务。</w:t>
      </w:r>
    </w:p>
    <w:p>
      <w:pPr>
        <w:snapToGrid w:val="0"/>
        <w:spacing w:line="360" w:lineRule="exact"/>
        <w:ind w:firstLine="420" w:firstLineChars="200"/>
        <w:rPr>
          <w:rFonts w:ascii="宋体" w:hAnsi="宋体"/>
          <w:szCs w:val="21"/>
          <w:highlight w:val="none"/>
          <w:u w:val="single"/>
        </w:rPr>
      </w:pPr>
      <w:r>
        <w:rPr>
          <w:rFonts w:hint="eastAsia" w:ascii="宋体" w:hAnsi="宋体"/>
          <w:szCs w:val="21"/>
          <w:highlight w:val="none"/>
        </w:rPr>
        <w:t>2、货物保修期：</w:t>
      </w:r>
      <w:r>
        <w:rPr>
          <w:rFonts w:hint="eastAsia" w:ascii="宋体" w:hAnsi="宋体"/>
          <w:szCs w:val="21"/>
          <w:highlight w:val="none"/>
          <w:lang w:val="en-US" w:eastAsia="zh-CN"/>
        </w:rPr>
        <w:t>验收合格起</w:t>
      </w:r>
      <w:r>
        <w:rPr>
          <w:rFonts w:hint="eastAsia" w:ascii="宋体" w:hAnsi="宋体"/>
          <w:szCs w:val="21"/>
          <w:highlight w:val="none"/>
          <w:u w:val="single"/>
          <w:lang w:val="en-US" w:eastAsia="zh-CN"/>
        </w:rPr>
        <w:t>1年</w:t>
      </w:r>
      <w:r>
        <w:rPr>
          <w:rFonts w:hint="eastAsia" w:ascii="宋体" w:hAnsi="宋体"/>
          <w:szCs w:val="21"/>
          <w:highlight w:val="none"/>
        </w:rPr>
        <w:t>。</w:t>
      </w:r>
    </w:p>
    <w:p>
      <w:pPr>
        <w:snapToGrid w:val="0"/>
        <w:spacing w:line="360" w:lineRule="exact"/>
        <w:ind w:firstLine="420" w:firstLineChars="200"/>
        <w:rPr>
          <w:rFonts w:hint="eastAsia" w:ascii="宋体" w:hAnsi="宋体" w:eastAsia="宋体"/>
          <w:szCs w:val="21"/>
          <w:highlight w:val="none"/>
          <w:u w:val="single"/>
          <w:lang w:eastAsia="zh-CN"/>
        </w:rPr>
      </w:pPr>
      <w:r>
        <w:rPr>
          <w:rFonts w:hint="eastAsia" w:ascii="宋体" w:hAnsi="宋体"/>
          <w:szCs w:val="21"/>
          <w:highlight w:val="none"/>
        </w:rPr>
        <w:t>3、乙方提供的服务承诺和售后服务及保修期责任等其它具体约定事项。（见合同附件）</w:t>
      </w:r>
      <w:r>
        <w:rPr>
          <w:rFonts w:hint="eastAsia" w:ascii="宋体" w:hAnsi="宋体"/>
          <w:szCs w:val="21"/>
          <w:highlight w:val="none"/>
          <w:lang w:eastAsia="zh-CN"/>
        </w:rPr>
        <w:t>。</w:t>
      </w:r>
    </w:p>
    <w:p>
      <w:pPr>
        <w:snapToGrid w:val="0"/>
        <w:spacing w:line="360" w:lineRule="exact"/>
        <w:ind w:firstLine="422" w:firstLineChars="200"/>
        <w:rPr>
          <w:rFonts w:ascii="宋体" w:hAnsi="宋体"/>
          <w:szCs w:val="21"/>
          <w:highlight w:val="none"/>
        </w:rPr>
      </w:pPr>
      <w:r>
        <w:rPr>
          <w:rFonts w:hint="eastAsia" w:ascii="宋体" w:hAnsi="宋体"/>
          <w:b/>
          <w:szCs w:val="21"/>
          <w:highlight w:val="none"/>
        </w:rPr>
        <w:t>第八条　付款方式和保证金</w:t>
      </w:r>
    </w:p>
    <w:p>
      <w:pPr>
        <w:snapToGrid w:val="0"/>
        <w:spacing w:line="360" w:lineRule="exact"/>
        <w:ind w:firstLine="420" w:firstLineChars="200"/>
        <w:rPr>
          <w:rFonts w:ascii="宋体" w:hAnsi="宋体"/>
          <w:szCs w:val="21"/>
          <w:highlight w:val="none"/>
          <w:u w:val="single"/>
        </w:rPr>
      </w:pPr>
      <w:r>
        <w:rPr>
          <w:rFonts w:hint="eastAsia" w:ascii="宋体" w:hAnsi="宋体"/>
          <w:szCs w:val="21"/>
          <w:highlight w:val="none"/>
          <w:lang w:val="en-US" w:eastAsia="zh-CN"/>
        </w:rPr>
        <w:t>1</w:t>
      </w:r>
      <w:r>
        <w:rPr>
          <w:rFonts w:hint="eastAsia" w:ascii="宋体" w:hAnsi="宋体"/>
          <w:szCs w:val="21"/>
          <w:highlight w:val="none"/>
        </w:rPr>
        <w:t>、资金性质；</w:t>
      </w:r>
      <w:r>
        <w:rPr>
          <w:rFonts w:hint="eastAsia" w:asciiTheme="minorEastAsia" w:hAnsiTheme="minorEastAsia" w:eastAsiaTheme="minorEastAsia"/>
          <w:highlight w:val="none"/>
        </w:rPr>
        <w:t>企业自有资金</w:t>
      </w:r>
      <w:r>
        <w:rPr>
          <w:rFonts w:hint="eastAsia" w:ascii="宋体" w:hAnsi="宋体"/>
          <w:szCs w:val="21"/>
          <w:highlight w:val="none"/>
          <w:u w:val="none"/>
        </w:rPr>
        <w:t>。</w:t>
      </w:r>
    </w:p>
    <w:p>
      <w:pPr>
        <w:pStyle w:val="2"/>
        <w:snapToGrid w:val="0"/>
        <w:spacing w:before="120" w:after="120" w:line="360" w:lineRule="exact"/>
        <w:ind w:left="420" w:leftChars="200"/>
        <w:rPr>
          <w:rFonts w:hint="eastAsia" w:ascii="宋体" w:hAnsi="宋体" w:eastAsia="宋体"/>
          <w:szCs w:val="21"/>
          <w:highlight w:val="none"/>
          <w:lang w:eastAsia="zh-CN"/>
        </w:rPr>
      </w:pPr>
      <w:r>
        <w:rPr>
          <w:rFonts w:hint="eastAsia" w:hAnsi="宋体"/>
          <w:highlight w:val="none"/>
          <w:lang w:val="en-US" w:eastAsia="zh-CN"/>
        </w:rPr>
        <w:t>2</w:t>
      </w:r>
      <w:r>
        <w:rPr>
          <w:rFonts w:hint="eastAsia" w:hAnsi="宋体"/>
          <w:highlight w:val="none"/>
        </w:rPr>
        <w:t>、付款方式：</w:t>
      </w:r>
      <w:r>
        <w:rPr>
          <w:rFonts w:hint="eastAsia" w:ascii="宋体" w:hAnsi="宋体"/>
          <w:szCs w:val="21"/>
          <w:highlight w:val="none"/>
        </w:rPr>
        <w:t>合同签订后7个工作日内</w:t>
      </w:r>
      <w:r>
        <w:rPr>
          <w:rFonts w:hint="eastAsia" w:ascii="宋体" w:hAnsi="宋体"/>
          <w:szCs w:val="21"/>
          <w:highlight w:val="none"/>
          <w:lang w:eastAsia="zh-CN"/>
        </w:rPr>
        <w:t>甲方向乙方支</w:t>
      </w:r>
      <w:r>
        <w:rPr>
          <w:rFonts w:hint="eastAsia" w:ascii="宋体" w:hAnsi="宋体"/>
          <w:szCs w:val="21"/>
          <w:highlight w:val="none"/>
        </w:rPr>
        <w:t>付合同总价的20%，安装验收合格后20个工作日内</w:t>
      </w:r>
      <w:r>
        <w:rPr>
          <w:rFonts w:hint="eastAsia" w:ascii="宋体" w:hAnsi="宋体"/>
          <w:szCs w:val="21"/>
          <w:highlight w:val="none"/>
          <w:lang w:eastAsia="zh-CN"/>
        </w:rPr>
        <w:t>甲方向乙方支</w:t>
      </w:r>
      <w:r>
        <w:rPr>
          <w:rFonts w:hint="eastAsia" w:ascii="宋体" w:hAnsi="宋体"/>
          <w:szCs w:val="21"/>
          <w:highlight w:val="none"/>
        </w:rPr>
        <w:t>付合同总价70%</w:t>
      </w:r>
      <w:r>
        <w:rPr>
          <w:rFonts w:hint="eastAsia" w:ascii="宋体" w:hAnsi="宋体"/>
          <w:szCs w:val="21"/>
          <w:highlight w:val="none"/>
          <w:lang w:eastAsia="zh-CN"/>
        </w:rPr>
        <w:t>，质保期满且乙方配合甲方完成结算后甲方向乙方支付剩余合同价款。</w:t>
      </w:r>
    </w:p>
    <w:p>
      <w:pPr>
        <w:snapToGrid w:val="0"/>
        <w:spacing w:line="360" w:lineRule="exact"/>
        <w:ind w:left="-61" w:leftChars="-29" w:firstLine="517" w:firstLineChars="245"/>
        <w:rPr>
          <w:rFonts w:ascii="宋体" w:hAnsi="宋体"/>
          <w:b/>
          <w:szCs w:val="21"/>
          <w:highlight w:val="none"/>
        </w:rPr>
      </w:pPr>
      <w:r>
        <w:rPr>
          <w:rFonts w:hint="eastAsia" w:ascii="宋体" w:hAnsi="宋体"/>
          <w:b/>
          <w:szCs w:val="21"/>
          <w:highlight w:val="none"/>
        </w:rPr>
        <w:t>第九条　</w:t>
      </w:r>
      <w:r>
        <w:rPr>
          <w:rFonts w:hint="eastAsia" w:ascii="宋体" w:hAnsi="宋体"/>
          <w:b/>
          <w:szCs w:val="21"/>
          <w:highlight w:val="none"/>
          <w:lang w:val="en-US" w:eastAsia="zh-CN"/>
        </w:rPr>
        <w:t>履约</w:t>
      </w:r>
      <w:r>
        <w:rPr>
          <w:rFonts w:hint="eastAsia" w:ascii="宋体" w:hAnsi="宋体"/>
          <w:b/>
          <w:szCs w:val="21"/>
          <w:highlight w:val="none"/>
        </w:rPr>
        <w:t>保证金</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1</w:t>
      </w:r>
      <w:r>
        <w:rPr>
          <w:rFonts w:hint="eastAsia" w:ascii="宋体" w:hAnsi="宋体"/>
          <w:color w:val="auto"/>
          <w:kern w:val="2"/>
          <w:sz w:val="21"/>
          <w:szCs w:val="21"/>
          <w:highlight w:val="none"/>
          <w:lang w:eastAsia="zh-CN"/>
        </w:rPr>
        <w:t>.</w:t>
      </w:r>
      <w:r>
        <w:rPr>
          <w:rFonts w:hint="eastAsia" w:ascii="宋体" w:hAnsi="宋体"/>
          <w:color w:val="auto"/>
          <w:kern w:val="2"/>
          <w:sz w:val="21"/>
          <w:szCs w:val="21"/>
          <w:highlight w:val="none"/>
        </w:rPr>
        <w:t>在合同签订前，乙方应向甲方提供履约保证金，履约保证金的金额为</w:t>
      </w:r>
      <w:r>
        <w:rPr>
          <w:rFonts w:hint="eastAsia" w:ascii="宋体" w:hAnsi="宋体"/>
          <w:color w:val="auto"/>
          <w:kern w:val="2"/>
          <w:sz w:val="21"/>
          <w:szCs w:val="21"/>
          <w:highlight w:val="none"/>
          <w:lang w:eastAsia="zh-CN"/>
        </w:rPr>
        <w:t>中选</w:t>
      </w:r>
      <w:r>
        <w:rPr>
          <w:rFonts w:hint="eastAsia" w:ascii="宋体" w:hAnsi="宋体"/>
          <w:color w:val="auto"/>
          <w:kern w:val="2"/>
          <w:sz w:val="21"/>
          <w:szCs w:val="21"/>
          <w:highlight w:val="none"/>
        </w:rPr>
        <w:t>价格的5%，币种应为人民币。</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2</w:t>
      </w:r>
      <w:r>
        <w:rPr>
          <w:rFonts w:hint="eastAsia" w:ascii="宋体" w:hAnsi="宋体"/>
          <w:color w:val="auto"/>
          <w:kern w:val="2"/>
          <w:sz w:val="21"/>
          <w:szCs w:val="21"/>
          <w:highlight w:val="none"/>
          <w:lang w:eastAsia="zh-CN"/>
        </w:rPr>
        <w:t>.</w:t>
      </w:r>
      <w:r>
        <w:rPr>
          <w:rFonts w:hint="eastAsia" w:ascii="宋体" w:hAnsi="宋体"/>
          <w:color w:val="auto"/>
          <w:kern w:val="2"/>
          <w:sz w:val="21"/>
          <w:szCs w:val="21"/>
          <w:highlight w:val="none"/>
        </w:rPr>
        <w:t xml:space="preserve">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3</w:t>
      </w:r>
      <w:r>
        <w:rPr>
          <w:rFonts w:hint="eastAsia" w:ascii="宋体" w:hAnsi="宋体"/>
          <w:color w:val="auto"/>
          <w:kern w:val="2"/>
          <w:sz w:val="21"/>
          <w:szCs w:val="21"/>
          <w:highlight w:val="none"/>
          <w:lang w:val="en-US" w:eastAsia="zh-CN"/>
        </w:rPr>
        <w:t>.</w:t>
      </w:r>
      <w:r>
        <w:rPr>
          <w:rFonts w:hint="eastAsia" w:ascii="宋体" w:hAnsi="宋体"/>
          <w:color w:val="auto"/>
          <w:kern w:val="2"/>
          <w:sz w:val="21"/>
          <w:szCs w:val="21"/>
          <w:highlight w:val="none"/>
        </w:rPr>
        <w:t>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olor w:val="auto"/>
          <w:kern w:val="2"/>
          <w:sz w:val="21"/>
          <w:szCs w:val="21"/>
          <w:highlight w:val="none"/>
          <w:lang w:eastAsia="zh-CN"/>
        </w:rPr>
        <w:t>交货或合同延期履行</w:t>
      </w:r>
      <w:r>
        <w:rPr>
          <w:rFonts w:hint="eastAsia" w:ascii="宋体" w:hAnsi="宋体"/>
          <w:color w:val="auto"/>
          <w:kern w:val="2"/>
          <w:sz w:val="21"/>
          <w:szCs w:val="21"/>
          <w:highlight w:val="none"/>
        </w:rPr>
        <w:t>而未及时办理保函续期手续时，延期超过30天的，以30天后开始计算，每天收取合同总价0.5‰的违约金，违约金额达到合同金额的5％，甲方有权暂停剩余费用的支付和解除合同。</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4</w:t>
      </w:r>
      <w:r>
        <w:rPr>
          <w:rFonts w:hint="eastAsia" w:ascii="宋体" w:hAnsi="宋体"/>
          <w:color w:val="auto"/>
          <w:kern w:val="2"/>
          <w:sz w:val="21"/>
          <w:szCs w:val="21"/>
          <w:highlight w:val="none"/>
          <w:lang w:val="en-US" w:eastAsia="zh-CN"/>
        </w:rPr>
        <w:t>.</w:t>
      </w:r>
      <w:r>
        <w:rPr>
          <w:rFonts w:hint="eastAsia" w:ascii="宋体" w:hAnsi="宋体"/>
          <w:color w:val="auto"/>
          <w:kern w:val="2"/>
          <w:sz w:val="21"/>
          <w:szCs w:val="21"/>
          <w:highlight w:val="none"/>
        </w:rPr>
        <w:t>乙方提交履约保证金所产生的费用由乙方承担。</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5</w:t>
      </w:r>
      <w:r>
        <w:rPr>
          <w:rFonts w:hint="eastAsia" w:ascii="宋体" w:hAnsi="宋体"/>
          <w:color w:val="auto"/>
          <w:kern w:val="2"/>
          <w:sz w:val="21"/>
          <w:szCs w:val="21"/>
          <w:highlight w:val="none"/>
          <w:lang w:val="en-US" w:eastAsia="zh-CN"/>
        </w:rPr>
        <w:t>.</w:t>
      </w:r>
      <w:r>
        <w:rPr>
          <w:rFonts w:hint="eastAsia" w:ascii="宋体" w:hAnsi="宋体"/>
          <w:color w:val="auto"/>
          <w:kern w:val="2"/>
          <w:sz w:val="21"/>
          <w:szCs w:val="21"/>
          <w:highlight w:val="none"/>
        </w:rPr>
        <w:t>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olor w:val="auto"/>
          <w:kern w:val="2"/>
          <w:sz w:val="21"/>
          <w:szCs w:val="21"/>
          <w:highlight w:val="none"/>
          <w:lang w:eastAsia="zh-CN"/>
        </w:rPr>
        <w:t>中选</w:t>
      </w:r>
      <w:r>
        <w:rPr>
          <w:rFonts w:hint="eastAsia" w:ascii="宋体" w:hAnsi="宋体"/>
          <w:color w:val="auto"/>
          <w:kern w:val="2"/>
          <w:sz w:val="21"/>
          <w:szCs w:val="21"/>
          <w:highlight w:val="none"/>
        </w:rPr>
        <w:t>价格5%，乙方应在期限内及时补足担保金额，每逾期一天，按照应补未补部分的万分之五向甲方支付违约金，甲方有权在货款中扣减。</w:t>
      </w:r>
    </w:p>
    <w:p>
      <w:pPr>
        <w:pStyle w:val="20"/>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kern w:val="2"/>
          <w:sz w:val="21"/>
          <w:szCs w:val="21"/>
          <w:highlight w:val="none"/>
        </w:rPr>
      </w:pPr>
      <w:r>
        <w:rPr>
          <w:rFonts w:hint="eastAsia" w:ascii="宋体" w:hAnsi="宋体"/>
          <w:color w:val="auto"/>
          <w:kern w:val="2"/>
          <w:sz w:val="21"/>
          <w:szCs w:val="21"/>
          <w:highlight w:val="none"/>
        </w:rPr>
        <w:t>6</w:t>
      </w:r>
      <w:r>
        <w:rPr>
          <w:rFonts w:hint="eastAsia" w:ascii="宋体" w:hAnsi="宋体"/>
          <w:color w:val="auto"/>
          <w:kern w:val="2"/>
          <w:sz w:val="21"/>
          <w:szCs w:val="21"/>
          <w:highlight w:val="none"/>
          <w:lang w:val="en-US" w:eastAsia="zh-CN"/>
        </w:rPr>
        <w:t>.</w:t>
      </w:r>
      <w:r>
        <w:rPr>
          <w:rFonts w:hint="eastAsia" w:ascii="宋体" w:hAnsi="宋体"/>
          <w:color w:val="auto"/>
          <w:kern w:val="2"/>
          <w:sz w:val="21"/>
          <w:szCs w:val="21"/>
          <w:highlight w:val="none"/>
        </w:rPr>
        <w:t>履约保证金在本合同全部货物验收合格之日起四十五（45）天后，根据履约期间甲方的索赔情况，将剩余履约保证金款项无息退还乙方。</w:t>
      </w:r>
    </w:p>
    <w:p>
      <w:pPr>
        <w:pStyle w:val="20"/>
        <w:keepNext w:val="0"/>
        <w:keepLines w:val="0"/>
        <w:pageBreakBefore w:val="0"/>
        <w:widowControl w:val="0"/>
        <w:kinsoku/>
        <w:wordWrap/>
        <w:overflowPunct/>
        <w:topLinePunct w:val="0"/>
        <w:autoSpaceDE/>
        <w:autoSpaceDN/>
        <w:bidi w:val="0"/>
        <w:adjustRightInd/>
        <w:snapToGrid w:val="0"/>
        <w:spacing w:line="360" w:lineRule="auto"/>
        <w:ind w:left="420" w:leftChars="200" w:firstLine="0" w:firstLineChars="0"/>
        <w:textAlignment w:val="auto"/>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rPr>
        <w:t>7</w:t>
      </w:r>
      <w:r>
        <w:rPr>
          <w:rFonts w:hint="eastAsia" w:ascii="宋体" w:hAnsi="宋体"/>
          <w:color w:val="auto"/>
          <w:kern w:val="2"/>
          <w:sz w:val="21"/>
          <w:szCs w:val="21"/>
          <w:highlight w:val="none"/>
          <w:lang w:val="en-US" w:eastAsia="zh-CN"/>
        </w:rPr>
        <w:t>.</w:t>
      </w:r>
      <w:r>
        <w:rPr>
          <w:rFonts w:hint="eastAsia" w:ascii="宋体" w:hAnsi="宋体"/>
          <w:color w:val="auto"/>
          <w:kern w:val="2"/>
          <w:sz w:val="21"/>
          <w:szCs w:val="21"/>
          <w:highlight w:val="none"/>
        </w:rPr>
        <w:t>若发生以下行为，甲方将不退还履约保证金：</w:t>
      </w:r>
      <w:r>
        <w:rPr>
          <w:rFonts w:hint="eastAsia" w:ascii="宋体" w:hAnsi="宋体"/>
          <w:color w:val="auto"/>
          <w:kern w:val="2"/>
          <w:sz w:val="21"/>
          <w:szCs w:val="21"/>
          <w:highlight w:val="none"/>
        </w:rPr>
        <w:br w:type="textWrapping"/>
      </w:r>
      <w:r>
        <w:rPr>
          <w:rFonts w:hint="eastAsia" w:ascii="宋体" w:hAnsi="宋体"/>
          <w:color w:val="auto"/>
          <w:kern w:val="2"/>
          <w:sz w:val="21"/>
          <w:szCs w:val="21"/>
          <w:highlight w:val="none"/>
        </w:rPr>
        <w:t>7.1在合同履行期间，乙方明确表示或者以自己的行为表明不履行主要义务的；</w:t>
      </w:r>
      <w:r>
        <w:rPr>
          <w:rFonts w:hint="eastAsia" w:ascii="宋体" w:hAnsi="宋体"/>
          <w:color w:val="auto"/>
          <w:kern w:val="2"/>
          <w:sz w:val="21"/>
          <w:szCs w:val="21"/>
          <w:highlight w:val="none"/>
        </w:rPr>
        <w:br w:type="textWrapping"/>
      </w:r>
      <w:r>
        <w:rPr>
          <w:rFonts w:hint="eastAsia" w:ascii="宋体" w:hAnsi="宋体"/>
          <w:color w:val="auto"/>
          <w:kern w:val="2"/>
          <w:sz w:val="21"/>
          <w:szCs w:val="21"/>
          <w:highlight w:val="none"/>
        </w:rPr>
        <w:t>7.2乙方迟延履行主要义务，经催告后在合理期限内仍未履行的；</w:t>
      </w:r>
      <w:r>
        <w:rPr>
          <w:rFonts w:hint="eastAsia" w:ascii="宋体" w:hAnsi="宋体"/>
          <w:color w:val="auto"/>
          <w:kern w:val="2"/>
          <w:sz w:val="21"/>
          <w:szCs w:val="21"/>
          <w:highlight w:val="none"/>
        </w:rPr>
        <w:br w:type="textWrapping"/>
      </w:r>
      <w:r>
        <w:rPr>
          <w:rFonts w:hint="eastAsia" w:ascii="宋体" w:hAnsi="宋体"/>
          <w:color w:val="auto"/>
          <w:kern w:val="2"/>
          <w:sz w:val="21"/>
          <w:szCs w:val="21"/>
          <w:highlight w:val="none"/>
        </w:rPr>
        <w:t>7.3乙方履行的义务不符合合同约定，经甲方催告后未在合理期限内整改完毕的；</w:t>
      </w:r>
      <w:r>
        <w:rPr>
          <w:rFonts w:hint="eastAsia" w:ascii="宋体" w:hAnsi="宋体"/>
          <w:color w:val="auto"/>
          <w:kern w:val="2"/>
          <w:sz w:val="21"/>
          <w:szCs w:val="21"/>
          <w:highlight w:val="none"/>
        </w:rPr>
        <w:br w:type="textWrapping"/>
      </w:r>
      <w:r>
        <w:rPr>
          <w:rFonts w:hint="eastAsia" w:ascii="宋体" w:hAnsi="宋体"/>
          <w:color w:val="auto"/>
          <w:kern w:val="2"/>
          <w:sz w:val="21"/>
          <w:szCs w:val="21"/>
          <w:highlight w:val="none"/>
        </w:rPr>
        <w:t>7.4乙方其他违约行为导致合同解除或终止的。</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第十条  税费</w:t>
      </w:r>
    </w:p>
    <w:p>
      <w:pPr>
        <w:snapToGrid w:val="0"/>
        <w:spacing w:line="360" w:lineRule="exact"/>
        <w:ind w:firstLine="411" w:firstLineChars="196"/>
        <w:rPr>
          <w:rFonts w:hint="eastAsia" w:ascii="宋体" w:hAnsi="宋体"/>
          <w:szCs w:val="21"/>
          <w:highlight w:val="none"/>
        </w:rPr>
      </w:pPr>
      <w:r>
        <w:rPr>
          <w:rFonts w:hint="eastAsia" w:ascii="宋体" w:hAnsi="宋体"/>
          <w:szCs w:val="21"/>
          <w:highlight w:val="none"/>
        </w:rPr>
        <w:t>本合同执行中相关的一切税费均由乙方负担。</w:t>
      </w:r>
    </w:p>
    <w:p>
      <w:pPr>
        <w:pStyle w:val="20"/>
        <w:rPr>
          <w:highlight w:val="none"/>
        </w:rPr>
      </w:pP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第十一条  质量保证及售后服务</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1、乙方应按</w:t>
      </w:r>
      <w:r>
        <w:rPr>
          <w:rFonts w:hint="eastAsia" w:ascii="宋体" w:hAnsi="宋体"/>
          <w:szCs w:val="21"/>
          <w:highlight w:val="none"/>
          <w:lang w:val="en-US" w:eastAsia="zh-CN"/>
        </w:rPr>
        <w:t>比选</w:t>
      </w:r>
      <w:r>
        <w:rPr>
          <w:rFonts w:hint="eastAsia" w:ascii="宋体" w:hAnsi="宋体"/>
          <w:szCs w:val="21"/>
          <w:highlight w:val="none"/>
        </w:rPr>
        <w:t>文件规定的货物性能、技术要求、质量标准向甲方提供未经使用的全新产品。</w:t>
      </w:r>
    </w:p>
    <w:p>
      <w:pPr>
        <w:pStyle w:val="2"/>
        <w:snapToGrid w:val="0"/>
        <w:spacing w:before="120" w:after="120" w:line="360" w:lineRule="exact"/>
        <w:rPr>
          <w:rFonts w:hAnsi="宋体"/>
          <w:highlight w:val="none"/>
        </w:rPr>
      </w:pPr>
      <w:r>
        <w:rPr>
          <w:rFonts w:hint="eastAsia" w:hAnsi="宋体"/>
          <w:highlight w:val="none"/>
        </w:rPr>
        <w:t>无具体要求者，根据实际情况，经双方协商，可按以下办法处理：</w:t>
      </w:r>
    </w:p>
    <w:p>
      <w:pPr>
        <w:pStyle w:val="2"/>
        <w:snapToGrid w:val="0"/>
        <w:spacing w:before="120" w:after="120" w:line="360" w:lineRule="exact"/>
        <w:ind w:firstLine="420" w:firstLineChars="200"/>
        <w:rPr>
          <w:rFonts w:hAnsi="宋体"/>
          <w:highlight w:val="none"/>
        </w:rPr>
      </w:pPr>
      <w:r>
        <w:rPr>
          <w:rFonts w:hint="eastAsia" w:hAnsi="宋体"/>
          <w:highlight w:val="none"/>
        </w:rPr>
        <w:t>⑴更换：由乙方承担所发生的全部费用。</w:t>
      </w:r>
    </w:p>
    <w:p>
      <w:pPr>
        <w:pStyle w:val="2"/>
        <w:snapToGrid w:val="0"/>
        <w:spacing w:before="120" w:after="120" w:line="360" w:lineRule="exact"/>
        <w:ind w:firstLine="420"/>
        <w:rPr>
          <w:rFonts w:hAnsi="宋体"/>
          <w:highlight w:val="none"/>
        </w:rPr>
      </w:pPr>
      <w:r>
        <w:rPr>
          <w:rFonts w:hint="eastAsia" w:hAnsi="宋体"/>
          <w:highlight w:val="none"/>
        </w:rPr>
        <w:t>⑵贬值处理：由甲乙双方合议定价。</w:t>
      </w:r>
    </w:p>
    <w:p>
      <w:pPr>
        <w:pStyle w:val="2"/>
        <w:snapToGrid w:val="0"/>
        <w:spacing w:before="120" w:after="120" w:line="360" w:lineRule="exact"/>
        <w:ind w:left="420" w:leftChars="200"/>
        <w:rPr>
          <w:rFonts w:hAnsi="宋体"/>
          <w:highlight w:val="none"/>
        </w:rPr>
      </w:pPr>
      <w:r>
        <w:rPr>
          <w:rFonts w:hint="eastAsia" w:hAnsi="宋体"/>
          <w:highlight w:val="none"/>
        </w:rPr>
        <w:t>⑶退货处理：乙方应退还甲方支付的合同款，同时应承担该货物的直接费用（运输、保险、检验、货款利息及银行手续费等）。</w:t>
      </w:r>
    </w:p>
    <w:p>
      <w:pPr>
        <w:pStyle w:val="2"/>
        <w:snapToGrid w:val="0"/>
        <w:spacing w:before="120" w:after="120" w:line="360" w:lineRule="exact"/>
        <w:ind w:firstLine="420" w:firstLineChars="200"/>
        <w:rPr>
          <w:rFonts w:hAnsi="宋体"/>
          <w:highlight w:val="none"/>
        </w:rPr>
      </w:pPr>
      <w:r>
        <w:rPr>
          <w:rFonts w:hint="eastAsia" w:hAnsi="宋体"/>
          <w:highlight w:val="none"/>
        </w:rPr>
        <w:t>2、如在使用过程中发生质量问题，乙方在接到甲方通知后在</w:t>
      </w:r>
      <w:r>
        <w:rPr>
          <w:rFonts w:hint="eastAsia" w:hAnsi="宋体"/>
          <w:highlight w:val="none"/>
          <w:lang w:val="en-US" w:eastAsia="zh-CN"/>
        </w:rPr>
        <w:t>30分钟</w:t>
      </w:r>
      <w:r>
        <w:rPr>
          <w:rFonts w:hint="eastAsia" w:hAnsi="宋体"/>
          <w:highlight w:val="none"/>
        </w:rPr>
        <w:t>内到达甲方现场处理。</w:t>
      </w:r>
    </w:p>
    <w:p>
      <w:pPr>
        <w:pStyle w:val="2"/>
        <w:snapToGrid w:val="0"/>
        <w:spacing w:before="120" w:after="120" w:line="360" w:lineRule="exact"/>
        <w:ind w:firstLine="420" w:firstLineChars="200"/>
        <w:rPr>
          <w:rFonts w:hAnsi="宋体"/>
          <w:highlight w:val="none"/>
        </w:rPr>
      </w:pPr>
      <w:r>
        <w:rPr>
          <w:rFonts w:hint="eastAsia" w:hAnsi="宋体"/>
          <w:highlight w:val="none"/>
        </w:rPr>
        <w:t>3、在质保期内，乙方应对货物出现的质量及安全问题负责处理解决并承担一切费用。</w:t>
      </w:r>
    </w:p>
    <w:p>
      <w:pPr>
        <w:snapToGrid w:val="0"/>
        <w:spacing w:line="360" w:lineRule="exact"/>
        <w:ind w:firstLine="411" w:firstLineChars="196"/>
        <w:rPr>
          <w:rFonts w:hint="eastAsia" w:ascii="宋体" w:hAnsi="宋体"/>
          <w:szCs w:val="21"/>
          <w:highlight w:val="none"/>
        </w:rPr>
      </w:pPr>
      <w:r>
        <w:rPr>
          <w:rFonts w:hint="eastAsia" w:ascii="宋体" w:hAnsi="宋体"/>
          <w:szCs w:val="21"/>
          <w:highlight w:val="none"/>
        </w:rPr>
        <w:t>4、因人为因素出现的故障不在免费保修范围内。超过保修期的机器设备，终生维修，维修时只收部件成本费。</w:t>
      </w:r>
    </w:p>
    <w:p>
      <w:pPr>
        <w:snapToGrid w:val="0"/>
        <w:spacing w:line="360" w:lineRule="exact"/>
        <w:ind w:firstLine="411" w:firstLineChars="196"/>
        <w:rPr>
          <w:rFonts w:hint="eastAsia" w:ascii="宋体" w:hAnsi="宋体"/>
          <w:szCs w:val="21"/>
          <w:highlight w:val="none"/>
          <w:lang w:val="en-US" w:eastAsia="zh-CN"/>
        </w:rPr>
      </w:pPr>
      <w:r>
        <w:rPr>
          <w:rFonts w:hint="eastAsia" w:ascii="宋体" w:hAnsi="宋体"/>
          <w:szCs w:val="21"/>
          <w:highlight w:val="none"/>
          <w:lang w:val="en-US" w:eastAsia="zh-CN"/>
        </w:rPr>
        <w:t>5、乙方在质保期内每季度进行一次全面的检修，每月</w:t>
      </w:r>
      <w:r>
        <w:rPr>
          <w:rFonts w:hint="eastAsia" w:ascii="宋体" w:hAnsi="宋体"/>
          <w:szCs w:val="21"/>
          <w:highlight w:val="none"/>
          <w:u w:val="single"/>
          <w:lang w:val="en-US" w:eastAsia="zh-CN"/>
        </w:rPr>
        <w:t>2</w:t>
      </w:r>
      <w:r>
        <w:rPr>
          <w:rFonts w:hint="eastAsia" w:ascii="宋体" w:hAnsi="宋体"/>
          <w:szCs w:val="21"/>
          <w:highlight w:val="none"/>
          <w:lang w:val="en-US" w:eastAsia="zh-CN"/>
        </w:rPr>
        <w:t>次免费保养服务（检测、清洁、加油、调整、校正），提供</w:t>
      </w:r>
      <w:r>
        <w:rPr>
          <w:rFonts w:hint="eastAsia" w:ascii="宋体" w:hAnsi="宋体"/>
          <w:szCs w:val="21"/>
          <w:highlight w:val="none"/>
          <w:u w:val="single"/>
          <w:lang w:val="en-US" w:eastAsia="zh-CN"/>
        </w:rPr>
        <w:t>24</w:t>
      </w:r>
      <w:r>
        <w:rPr>
          <w:rFonts w:hint="eastAsia" w:ascii="宋体" w:hAnsi="宋体"/>
          <w:szCs w:val="21"/>
          <w:highlight w:val="none"/>
          <w:lang w:val="en-US" w:eastAsia="zh-CN"/>
        </w:rPr>
        <w:t>小时的急修服务，一旦电梯出现故障，接到报修电话后</w:t>
      </w:r>
      <w:r>
        <w:rPr>
          <w:rFonts w:hint="eastAsia" w:hAnsi="宋体"/>
          <w:highlight w:val="none"/>
          <w:lang w:val="en-US" w:eastAsia="zh-CN"/>
        </w:rPr>
        <w:t>30分钟</w:t>
      </w:r>
      <w:r>
        <w:rPr>
          <w:rFonts w:hint="eastAsia" w:ascii="宋体" w:hAnsi="宋体"/>
          <w:szCs w:val="21"/>
          <w:highlight w:val="none"/>
          <w:lang w:val="en-US" w:eastAsia="zh-CN"/>
        </w:rPr>
        <w:t>内有维修人员到达现场排除故障；一般故障修复时间不超过</w:t>
      </w:r>
      <w:r>
        <w:rPr>
          <w:rFonts w:hint="eastAsia" w:ascii="宋体" w:hAnsi="宋体"/>
          <w:szCs w:val="21"/>
          <w:highlight w:val="none"/>
          <w:u w:val="single"/>
          <w:lang w:val="en-US" w:eastAsia="zh-CN"/>
        </w:rPr>
        <w:t>2</w:t>
      </w:r>
      <w:r>
        <w:rPr>
          <w:rFonts w:hint="eastAsia" w:ascii="宋体" w:hAnsi="宋体"/>
          <w:szCs w:val="21"/>
          <w:highlight w:val="none"/>
          <w:lang w:val="en-US" w:eastAsia="zh-CN"/>
        </w:rPr>
        <w:t>小时，重大故障修复时间不超过</w:t>
      </w:r>
      <w:r>
        <w:rPr>
          <w:rFonts w:hint="eastAsia" w:ascii="宋体" w:hAnsi="宋体"/>
          <w:szCs w:val="21"/>
          <w:highlight w:val="none"/>
          <w:u w:val="single"/>
          <w:lang w:val="en-US" w:eastAsia="zh-CN"/>
        </w:rPr>
        <w:t>24</w:t>
      </w:r>
      <w:r>
        <w:rPr>
          <w:rFonts w:hint="eastAsia" w:ascii="宋体" w:hAnsi="宋体"/>
          <w:szCs w:val="21"/>
          <w:highlight w:val="none"/>
          <w:lang w:val="en-US" w:eastAsia="zh-CN"/>
        </w:rPr>
        <w:t>小时。</w:t>
      </w:r>
    </w:p>
    <w:p>
      <w:pPr>
        <w:snapToGrid w:val="0"/>
        <w:spacing w:line="360" w:lineRule="exact"/>
        <w:ind w:firstLine="411" w:firstLineChars="196"/>
        <w:rPr>
          <w:rFonts w:hint="eastAsia" w:ascii="宋体" w:hAnsi="宋体"/>
          <w:szCs w:val="21"/>
          <w:highlight w:val="none"/>
          <w:lang w:val="en-US" w:eastAsia="zh-CN"/>
        </w:rPr>
      </w:pPr>
      <w:r>
        <w:rPr>
          <w:rFonts w:hint="eastAsia" w:ascii="宋体" w:hAnsi="宋体"/>
          <w:szCs w:val="21"/>
          <w:highlight w:val="none"/>
          <w:lang w:val="en-US" w:eastAsia="zh-CN"/>
        </w:rPr>
        <w:t>6、质保期内发生故障需更换零配件的，必须保证零配件为原厂配件。</w:t>
      </w:r>
    </w:p>
    <w:p>
      <w:pPr>
        <w:pStyle w:val="2"/>
        <w:snapToGrid w:val="0"/>
        <w:spacing w:before="120" w:after="120" w:line="360" w:lineRule="exact"/>
        <w:ind w:firstLine="413" w:firstLineChars="196"/>
        <w:rPr>
          <w:rFonts w:hAnsi="宋体"/>
          <w:b/>
          <w:highlight w:val="none"/>
        </w:rPr>
      </w:pPr>
      <w:r>
        <w:rPr>
          <w:rFonts w:hint="eastAsia" w:hAnsi="宋体"/>
          <w:b/>
          <w:highlight w:val="none"/>
        </w:rPr>
        <w:t>第十二条  调试和验收</w:t>
      </w:r>
    </w:p>
    <w:p>
      <w:pPr>
        <w:pStyle w:val="2"/>
        <w:snapToGrid w:val="0"/>
        <w:spacing w:before="120" w:after="120" w:line="360" w:lineRule="exact"/>
        <w:ind w:firstLine="420" w:firstLineChars="200"/>
        <w:rPr>
          <w:rFonts w:hAnsi="宋体"/>
          <w:highlight w:val="none"/>
        </w:rPr>
      </w:pPr>
      <w:r>
        <w:rPr>
          <w:rFonts w:hint="eastAsia" w:hAnsi="宋体"/>
          <w:highlight w:val="none"/>
          <w:lang w:val="en-US" w:eastAsia="zh-CN"/>
        </w:rPr>
        <w:t>1</w:t>
      </w:r>
      <w:r>
        <w:rPr>
          <w:rFonts w:hint="eastAsia" w:hAnsi="宋体"/>
          <w:highlight w:val="none"/>
        </w:rPr>
        <w:t>、乙方交货前应对产品作出全面检查和对验收文件进行整理，并列出清单，作为甲方收货验收和使用的技术条件依据，检验的结果应随货物交甲方。</w:t>
      </w:r>
    </w:p>
    <w:p>
      <w:pPr>
        <w:pStyle w:val="2"/>
        <w:snapToGrid w:val="0"/>
        <w:spacing w:before="120" w:after="120" w:line="360" w:lineRule="exact"/>
        <w:ind w:firstLine="420" w:firstLineChars="200"/>
        <w:rPr>
          <w:rFonts w:hAnsi="宋体"/>
          <w:highlight w:val="none"/>
        </w:rPr>
      </w:pPr>
      <w:r>
        <w:rPr>
          <w:rFonts w:hint="eastAsia" w:hAnsi="宋体"/>
          <w:highlight w:val="none"/>
          <w:lang w:val="en-US" w:eastAsia="zh-CN"/>
        </w:rPr>
        <w:t>2</w:t>
      </w:r>
      <w:r>
        <w:rPr>
          <w:rFonts w:hint="eastAsia" w:hAnsi="宋体"/>
          <w:highlight w:val="none"/>
        </w:rPr>
        <w:t>、甲方对乙方提供的货物在使用前进行调试时，乙方需负责安装并培训甲方的使用操作人员，并协助甲方一起调试，直到符合技术要求，甲方才做最终验收。</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lang w:val="en-US" w:eastAsia="zh-CN"/>
        </w:rPr>
        <w:t>3、</w:t>
      </w:r>
      <w:r>
        <w:rPr>
          <w:rFonts w:hint="eastAsia"/>
          <w:highlight w:val="none"/>
        </w:rPr>
        <w:t>本项目采购需求的电梯产品应符合国家相关的质量标准和制造要求，交货时，</w:t>
      </w:r>
      <w:r>
        <w:rPr>
          <w:rFonts w:hint="eastAsia"/>
          <w:highlight w:val="none"/>
          <w:lang w:val="en-US" w:eastAsia="zh-CN"/>
        </w:rPr>
        <w:t>乙方</w:t>
      </w:r>
      <w:r>
        <w:rPr>
          <w:rFonts w:hint="eastAsia"/>
          <w:highlight w:val="none"/>
        </w:rPr>
        <w:t>应随同货物提供出厂检验报告；</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lang w:val="en-US" w:eastAsia="zh-CN"/>
        </w:rPr>
        <w:t>4、</w:t>
      </w:r>
      <w:r>
        <w:rPr>
          <w:rFonts w:hint="eastAsia"/>
          <w:highlight w:val="none"/>
        </w:rPr>
        <w:t>货物到达后，由</w:t>
      </w:r>
      <w:r>
        <w:rPr>
          <w:rFonts w:hint="eastAsia" w:hAnsi="宋体" w:cs="宋体"/>
          <w:szCs w:val="21"/>
          <w:highlight w:val="none"/>
          <w:lang w:val="en-US" w:eastAsia="zh-CN"/>
        </w:rPr>
        <w:t>甲方</w:t>
      </w:r>
      <w:r>
        <w:rPr>
          <w:rFonts w:hint="eastAsia"/>
          <w:highlight w:val="none"/>
        </w:rPr>
        <w:t>会同有关部门进行基本质量和数量的验收（但不作为最终合格的保证），电梯安装调试（包括整机性能测试）过程，</w:t>
      </w:r>
      <w:r>
        <w:rPr>
          <w:rFonts w:hint="eastAsia"/>
          <w:highlight w:val="none"/>
          <w:lang w:val="en-US" w:eastAsia="zh-CN"/>
        </w:rPr>
        <w:t>乙方</w:t>
      </w:r>
      <w:r>
        <w:rPr>
          <w:rFonts w:hint="eastAsia"/>
          <w:highlight w:val="none"/>
        </w:rPr>
        <w:t>应作详细检验记录。安装调试检验结果应符合制造厂产品标准和采购文件规定的技术要求。检验记录应提交给</w:t>
      </w:r>
      <w:r>
        <w:rPr>
          <w:rFonts w:hint="eastAsia"/>
          <w:highlight w:val="none"/>
          <w:lang w:val="en-US" w:eastAsia="zh-CN"/>
        </w:rPr>
        <w:t>甲方</w:t>
      </w:r>
      <w:r>
        <w:rPr>
          <w:rFonts w:hint="eastAsia"/>
          <w:highlight w:val="none"/>
        </w:rPr>
        <w:t>；</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lang w:val="en-US" w:eastAsia="zh-CN"/>
        </w:rPr>
        <w:t>5、</w:t>
      </w:r>
      <w:r>
        <w:rPr>
          <w:rFonts w:hint="eastAsia"/>
          <w:highlight w:val="none"/>
        </w:rPr>
        <w:t>电梯安装调试结束后，</w:t>
      </w:r>
      <w:r>
        <w:rPr>
          <w:rFonts w:hint="eastAsia" w:ascii="Times New Roman" w:hAnsi="Times New Roman"/>
          <w:szCs w:val="24"/>
          <w:highlight w:val="none"/>
        </w:rPr>
        <w:t>由</w:t>
      </w:r>
      <w:r>
        <w:rPr>
          <w:rFonts w:hint="eastAsia"/>
          <w:highlight w:val="none"/>
          <w:lang w:val="en-US" w:eastAsia="zh-CN"/>
        </w:rPr>
        <w:t>乙方</w:t>
      </w:r>
      <w:r>
        <w:rPr>
          <w:rFonts w:hint="eastAsia" w:ascii="Times New Roman" w:hAnsi="Times New Roman"/>
          <w:szCs w:val="24"/>
          <w:highlight w:val="none"/>
        </w:rPr>
        <w:t>负责联系广西壮族自治区特种设备检验研究院等部门，进行联合验收并出具相应监督检验合格报告和办理准用许可证，验收费用由</w:t>
      </w:r>
      <w:r>
        <w:rPr>
          <w:rFonts w:hint="eastAsia" w:ascii="Times New Roman" w:hAnsi="Times New Roman"/>
          <w:szCs w:val="24"/>
          <w:highlight w:val="none"/>
          <w:lang w:val="en-US" w:eastAsia="zh-CN"/>
        </w:rPr>
        <w:t>乙方</w:t>
      </w:r>
      <w:r>
        <w:rPr>
          <w:rFonts w:hint="eastAsia" w:ascii="Times New Roman" w:hAnsi="Times New Roman"/>
          <w:szCs w:val="24"/>
          <w:highlight w:val="none"/>
        </w:rPr>
        <w:t>承担；</w:t>
      </w:r>
    </w:p>
    <w:p>
      <w:pPr>
        <w:pStyle w:val="2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lang w:val="en-US" w:eastAsia="zh-CN"/>
        </w:rPr>
        <w:t>6、</w:t>
      </w:r>
      <w:r>
        <w:rPr>
          <w:rFonts w:hint="eastAsia" w:ascii="Times New Roman" w:hAnsi="Times New Roman"/>
          <w:sz w:val="21"/>
          <w:szCs w:val="24"/>
          <w:highlight w:val="none"/>
        </w:rPr>
        <w:t>安装验收标准必须符合如下标准要求：《电梯安装验收规范》（GB/T 10060-2011）、《电梯工程施工质量验收规范》（GB 50310-2002），电力、消防、安监部门的有关规定等；</w:t>
      </w:r>
    </w:p>
    <w:p>
      <w:pPr>
        <w:pStyle w:val="20"/>
        <w:spacing w:line="360" w:lineRule="auto"/>
        <w:ind w:firstLine="420" w:firstLineChars="20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lang w:val="en-US" w:eastAsia="zh-CN"/>
        </w:rPr>
        <w:t>7、</w:t>
      </w:r>
      <w:r>
        <w:rPr>
          <w:rFonts w:hint="eastAsia" w:ascii="Times New Roman" w:hAnsi="Times New Roman"/>
          <w:szCs w:val="24"/>
          <w:highlight w:val="none"/>
          <w:lang w:val="en-US" w:eastAsia="zh-CN"/>
        </w:rPr>
        <w:t>乙方</w:t>
      </w:r>
      <w:r>
        <w:rPr>
          <w:rFonts w:hint="eastAsia" w:cs="宋体" w:asciiTheme="minorEastAsia" w:hAnsiTheme="minorEastAsia" w:eastAsiaTheme="minorEastAsia"/>
          <w:kern w:val="0"/>
          <w:sz w:val="21"/>
          <w:szCs w:val="21"/>
          <w:highlight w:val="none"/>
        </w:rPr>
        <w:t>必须提供生产厂家或代理商针对本项目供货证明，否则，不予验收；</w:t>
      </w:r>
    </w:p>
    <w:p>
      <w:pPr>
        <w:snapToGrid w:val="0"/>
        <w:spacing w:line="360" w:lineRule="exact"/>
        <w:ind w:firstLine="420" w:firstLineChars="200"/>
        <w:rPr>
          <w:rFonts w:hint="eastAsia" w:cs="宋体" w:asciiTheme="minorEastAsia" w:hAnsiTheme="minorEastAsia" w:eastAsiaTheme="minorEastAsia"/>
          <w:kern w:val="0"/>
          <w:sz w:val="21"/>
          <w:szCs w:val="21"/>
          <w:highlight w:val="none"/>
        </w:rPr>
      </w:pPr>
      <w:r>
        <w:rPr>
          <w:rFonts w:hint="eastAsia" w:ascii="宋体" w:hAnsi="宋体"/>
          <w:szCs w:val="21"/>
          <w:highlight w:val="none"/>
          <w:lang w:val="en-US" w:eastAsia="zh-CN"/>
        </w:rPr>
        <w:t>8</w:t>
      </w:r>
      <w:r>
        <w:rPr>
          <w:rFonts w:hint="eastAsia" w:ascii="宋体" w:hAnsi="宋体"/>
          <w:szCs w:val="21"/>
          <w:highlight w:val="none"/>
        </w:rPr>
        <w:t>、甲方对验收有异议的，在验收后5个工作日内以书面形式向乙方提出，乙方应自收到甲方书面异议后</w:t>
      </w:r>
      <w:r>
        <w:rPr>
          <w:rFonts w:hint="eastAsia" w:ascii="宋体" w:hAnsi="宋体"/>
          <w:szCs w:val="21"/>
          <w:highlight w:val="none"/>
          <w:u w:val="single"/>
          <w:lang w:val="en-US" w:eastAsia="zh-CN"/>
        </w:rPr>
        <w:t>3</w:t>
      </w:r>
      <w:r>
        <w:rPr>
          <w:rFonts w:hint="eastAsia" w:ascii="宋体" w:hAnsi="宋体"/>
          <w:szCs w:val="21"/>
          <w:highlight w:val="none"/>
        </w:rPr>
        <w:t>日内及时予以解决。</w:t>
      </w:r>
    </w:p>
    <w:p>
      <w:pPr>
        <w:pStyle w:val="2"/>
        <w:snapToGrid w:val="0"/>
        <w:spacing w:before="120" w:after="120" w:line="360" w:lineRule="exact"/>
        <w:ind w:firstLine="413" w:firstLineChars="196"/>
        <w:rPr>
          <w:rFonts w:hAnsi="宋体"/>
          <w:b/>
          <w:highlight w:val="none"/>
        </w:rPr>
      </w:pPr>
      <w:r>
        <w:rPr>
          <w:rFonts w:hint="eastAsia" w:hAnsi="宋体"/>
          <w:b/>
          <w:highlight w:val="none"/>
        </w:rPr>
        <w:t>第十三条  货物包装、发运及运输</w:t>
      </w:r>
    </w:p>
    <w:p>
      <w:pPr>
        <w:pStyle w:val="2"/>
        <w:snapToGrid w:val="0"/>
        <w:spacing w:before="120" w:after="120" w:line="360" w:lineRule="exact"/>
        <w:ind w:left="420" w:leftChars="200"/>
        <w:rPr>
          <w:rFonts w:hAnsi="宋体"/>
          <w:highlight w:val="none"/>
        </w:rPr>
      </w:pPr>
      <w:r>
        <w:rPr>
          <w:rFonts w:hint="eastAsia" w:hAnsi="宋体"/>
          <w:highlight w:val="none"/>
        </w:rPr>
        <w:t>1、乙方应在货物发运前对其进行满足运输距离、防潮、防震、防锈和防破损装卸等要求包装，以保证货物安全运达甲方指定地点。</w:t>
      </w:r>
    </w:p>
    <w:p>
      <w:pPr>
        <w:pStyle w:val="2"/>
        <w:snapToGrid w:val="0"/>
        <w:spacing w:before="120" w:after="120" w:line="360" w:lineRule="exact"/>
        <w:ind w:left="420" w:leftChars="200"/>
        <w:rPr>
          <w:rFonts w:hAnsi="宋体"/>
          <w:highlight w:val="none"/>
        </w:rPr>
      </w:pPr>
      <w:r>
        <w:rPr>
          <w:rFonts w:hint="eastAsia" w:hAnsi="宋体"/>
          <w:highlight w:val="none"/>
        </w:rPr>
        <w:t>2、使用说明书、质量检验证明书、随配附件和工具以及清单一并附于货物内。</w:t>
      </w:r>
    </w:p>
    <w:p>
      <w:pPr>
        <w:pStyle w:val="2"/>
        <w:snapToGrid w:val="0"/>
        <w:spacing w:before="120" w:after="120" w:line="360" w:lineRule="exact"/>
        <w:ind w:left="420" w:leftChars="200"/>
        <w:rPr>
          <w:rFonts w:hAnsi="宋体"/>
          <w:highlight w:val="none"/>
        </w:rPr>
      </w:pPr>
      <w:r>
        <w:rPr>
          <w:rFonts w:hint="eastAsia" w:hAnsi="宋体"/>
          <w:highlight w:val="none"/>
        </w:rPr>
        <w:t>3、</w:t>
      </w:r>
      <w:r>
        <w:rPr>
          <w:rFonts w:hint="eastAsia" w:hAnsi="宋体"/>
          <w:spacing w:val="-8"/>
          <w:highlight w:val="none"/>
        </w:rPr>
        <w:t>乙方在货物发运手续办理完毕后二十四小时内或货到甲方四十八小时前通知甲方，以准备接货。</w:t>
      </w:r>
    </w:p>
    <w:p>
      <w:pPr>
        <w:pStyle w:val="2"/>
        <w:snapToGrid w:val="0"/>
        <w:spacing w:before="120" w:after="120" w:line="360" w:lineRule="exact"/>
        <w:ind w:left="420" w:leftChars="200"/>
        <w:rPr>
          <w:rFonts w:hAnsi="宋体"/>
          <w:highlight w:val="none"/>
        </w:rPr>
      </w:pPr>
      <w:r>
        <w:rPr>
          <w:rFonts w:hint="eastAsia" w:hAnsi="宋体"/>
          <w:highlight w:val="none"/>
        </w:rPr>
        <w:t>4、货物在交付甲方前发生的风险均由乙方负责。</w:t>
      </w:r>
    </w:p>
    <w:p>
      <w:pPr>
        <w:snapToGrid w:val="0"/>
        <w:spacing w:line="360" w:lineRule="exact"/>
        <w:ind w:firstLine="422" w:firstLineChars="200"/>
        <w:rPr>
          <w:rFonts w:ascii="宋体" w:hAnsi="宋体"/>
          <w:b/>
          <w:szCs w:val="21"/>
          <w:highlight w:val="none"/>
        </w:rPr>
      </w:pPr>
      <w:r>
        <w:rPr>
          <w:rFonts w:hint="eastAsia" w:ascii="宋体" w:hAnsi="宋体"/>
          <w:b/>
          <w:szCs w:val="21"/>
          <w:highlight w:val="none"/>
        </w:rPr>
        <w:t>第十四条　违约责任</w:t>
      </w:r>
    </w:p>
    <w:p>
      <w:pPr>
        <w:snapToGrid w:val="0"/>
        <w:spacing w:line="360" w:lineRule="exact"/>
        <w:ind w:firstLine="525" w:firstLineChars="250"/>
        <w:rPr>
          <w:rFonts w:ascii="宋体" w:hAnsi="宋体"/>
          <w:szCs w:val="21"/>
          <w:highlight w:val="none"/>
        </w:rPr>
      </w:pPr>
      <w:r>
        <w:rPr>
          <w:rFonts w:hint="eastAsia" w:ascii="宋体" w:hAnsi="宋体"/>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hAnsi="宋体"/>
          <w:szCs w:val="21"/>
          <w:highlight w:val="none"/>
        </w:rPr>
      </w:pPr>
      <w:r>
        <w:rPr>
          <w:rFonts w:hint="eastAsia" w:ascii="宋体" w:hAnsi="宋体"/>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3、因包装、运输引起的货物损坏，按质量不合格处理。</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4、甲方无故延期接收货物、乙方逾期交货的，每天向对方偿付违约货款额3‰违约金，但违约金累计不得超过违约货款额5%，超过</w:t>
      </w:r>
      <w:r>
        <w:rPr>
          <w:rFonts w:hint="eastAsia" w:ascii="宋体" w:hAnsi="宋体"/>
          <w:szCs w:val="21"/>
          <w:highlight w:val="none"/>
          <w:u w:val="single"/>
          <w:lang w:val="en-US" w:eastAsia="zh-CN"/>
        </w:rPr>
        <w:t>30</w:t>
      </w:r>
      <w:r>
        <w:rPr>
          <w:rFonts w:hint="eastAsia" w:ascii="宋体" w:hAnsi="宋体"/>
          <w:szCs w:val="21"/>
          <w:highlight w:val="none"/>
        </w:rPr>
        <w:t>天对方有权解除合同，违约方承担因此给对方造成经济损失；甲方延期付货款的，每天向乙方偿付延期货款额</w:t>
      </w:r>
      <w:r>
        <w:rPr>
          <w:rFonts w:hint="eastAsia" w:ascii="宋体" w:hAnsi="宋体"/>
          <w:szCs w:val="21"/>
          <w:highlight w:val="none"/>
          <w:u w:val="single"/>
        </w:rPr>
        <w:t>3‰</w:t>
      </w:r>
      <w:r>
        <w:rPr>
          <w:rFonts w:hint="eastAsia" w:ascii="宋体" w:hAnsi="宋体"/>
          <w:szCs w:val="21"/>
          <w:highlight w:val="none"/>
          <w:lang w:eastAsia="zh-CN"/>
        </w:rPr>
        <w:t>违约金</w:t>
      </w:r>
      <w:r>
        <w:rPr>
          <w:rFonts w:hint="eastAsia" w:ascii="宋体" w:hAnsi="宋体"/>
          <w:szCs w:val="21"/>
          <w:highlight w:val="none"/>
        </w:rPr>
        <w:t>，但滞纳金累计不得超过延期货款额5%。</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5、乙方未按本合同和</w:t>
      </w:r>
      <w:r>
        <w:rPr>
          <w:rFonts w:hint="eastAsia" w:ascii="宋体" w:hAnsi="宋体"/>
          <w:szCs w:val="21"/>
          <w:highlight w:val="none"/>
          <w:lang w:val="en-US" w:eastAsia="zh-CN"/>
        </w:rPr>
        <w:t>比选</w:t>
      </w:r>
      <w:r>
        <w:rPr>
          <w:rFonts w:hint="eastAsia" w:ascii="宋体" w:hAnsi="宋体"/>
          <w:szCs w:val="21"/>
          <w:highlight w:val="none"/>
        </w:rPr>
        <w:t>文件中规定的服务承诺提供售后服务的，乙方应按本合同合计金额</w:t>
      </w:r>
      <w:r>
        <w:rPr>
          <w:rFonts w:hint="eastAsia" w:ascii="宋体" w:hAnsi="宋体"/>
          <w:szCs w:val="21"/>
          <w:highlight w:val="none"/>
          <w:u w:val="single"/>
        </w:rPr>
        <w:t xml:space="preserve"> 5%</w:t>
      </w:r>
      <w:r>
        <w:rPr>
          <w:rFonts w:hint="eastAsia" w:ascii="宋体" w:hAnsi="宋体"/>
          <w:szCs w:val="21"/>
          <w:highlight w:val="none"/>
        </w:rPr>
        <w:t>向甲方支付违约金。</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6、乙方提供的货物在质量保证期内，因设计、工艺或材料的缺陷和其它质量原因造成的问题，由乙方负责。</w:t>
      </w:r>
    </w:p>
    <w:p>
      <w:pPr>
        <w:snapToGrid w:val="0"/>
        <w:spacing w:line="360" w:lineRule="exact"/>
        <w:ind w:firstLine="411" w:firstLineChars="196"/>
        <w:rPr>
          <w:rFonts w:ascii="宋体" w:hAnsi="宋体"/>
          <w:szCs w:val="21"/>
          <w:highlight w:val="none"/>
        </w:rPr>
      </w:pPr>
      <w:r>
        <w:rPr>
          <w:rFonts w:hint="eastAsia" w:ascii="宋体" w:hAnsi="宋体"/>
          <w:szCs w:val="21"/>
          <w:highlight w:val="none"/>
        </w:rPr>
        <w:t>7、其它违约行为按违约货款额5%收取违约金并赔偿经济损失。</w:t>
      </w:r>
    </w:p>
    <w:p>
      <w:pPr>
        <w:pStyle w:val="2"/>
        <w:snapToGrid w:val="0"/>
        <w:spacing w:before="120" w:after="120" w:line="360" w:lineRule="exact"/>
        <w:ind w:firstLine="413" w:firstLineChars="196"/>
        <w:rPr>
          <w:rFonts w:hAnsi="宋体"/>
          <w:b/>
          <w:highlight w:val="none"/>
        </w:rPr>
      </w:pPr>
      <w:r>
        <w:rPr>
          <w:rFonts w:hint="eastAsia" w:hAnsi="宋体"/>
          <w:b/>
          <w:highlight w:val="none"/>
        </w:rPr>
        <w:t>第十五条  不可抗力事件处理</w:t>
      </w:r>
    </w:p>
    <w:p>
      <w:pPr>
        <w:pStyle w:val="2"/>
        <w:snapToGrid w:val="0"/>
        <w:spacing w:before="120" w:after="120" w:line="360" w:lineRule="exact"/>
        <w:ind w:firstLine="420" w:firstLineChars="200"/>
        <w:rPr>
          <w:rFonts w:hAnsi="宋体"/>
          <w:highlight w:val="none"/>
        </w:rPr>
      </w:pPr>
      <w:r>
        <w:rPr>
          <w:rFonts w:hint="eastAsia" w:hAnsi="宋体"/>
          <w:highlight w:val="none"/>
        </w:rPr>
        <w:t>1、在合同有效期内，任何一方因不可抗力事件导致不能履行合同，则合同履行期可延长，其延长期与不可抗力影响期相同。</w:t>
      </w:r>
    </w:p>
    <w:p>
      <w:pPr>
        <w:pStyle w:val="2"/>
        <w:snapToGrid w:val="0"/>
        <w:spacing w:before="120" w:after="120" w:line="360" w:lineRule="exact"/>
        <w:ind w:firstLine="420" w:firstLineChars="200"/>
        <w:rPr>
          <w:rFonts w:hAnsi="宋体"/>
          <w:highlight w:val="none"/>
        </w:rPr>
      </w:pPr>
      <w:r>
        <w:rPr>
          <w:rFonts w:hint="eastAsia" w:hAnsi="宋体"/>
          <w:highlight w:val="none"/>
        </w:rPr>
        <w:t>2、不可抗力事件发生后，应立即通知对方，并寄送有关权威机构出具的证明。</w:t>
      </w:r>
    </w:p>
    <w:p>
      <w:pPr>
        <w:snapToGrid w:val="0"/>
        <w:spacing w:line="360" w:lineRule="exact"/>
        <w:ind w:firstLine="411" w:firstLineChars="196"/>
        <w:rPr>
          <w:rFonts w:ascii="宋体" w:hAnsi="宋体"/>
          <w:szCs w:val="21"/>
          <w:highlight w:val="none"/>
        </w:rPr>
      </w:pPr>
      <w:r>
        <w:rPr>
          <w:rFonts w:hint="eastAsia" w:ascii="宋体" w:hAnsi="宋体"/>
          <w:szCs w:val="21"/>
          <w:highlight w:val="none"/>
        </w:rPr>
        <w:t>3、不可抗力事件延续120天以上，双方应通过友好协商，确定是否继续履行合同。</w:t>
      </w:r>
    </w:p>
    <w:p>
      <w:pPr>
        <w:snapToGrid w:val="0"/>
        <w:spacing w:line="360" w:lineRule="exact"/>
        <w:ind w:firstLine="422" w:firstLineChars="200"/>
        <w:rPr>
          <w:rFonts w:ascii="宋体" w:hAnsi="宋体"/>
          <w:szCs w:val="21"/>
          <w:highlight w:val="none"/>
        </w:rPr>
      </w:pPr>
      <w:r>
        <w:rPr>
          <w:rFonts w:hint="eastAsia" w:ascii="宋体" w:hAnsi="宋体"/>
          <w:b/>
          <w:szCs w:val="21"/>
          <w:highlight w:val="none"/>
        </w:rPr>
        <w:t>第十六条  合同争议解决</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2、因履行本合同引起的或与本合同有关的争议，甲乙双方应首先通过友好协商解决，如果协商不能解决，可向仲裁委员会申请仲裁或向人民法院提起诉讼。</w:t>
      </w:r>
    </w:p>
    <w:p>
      <w:pPr>
        <w:snapToGrid w:val="0"/>
        <w:spacing w:line="360" w:lineRule="exact"/>
        <w:ind w:firstLine="411" w:firstLineChars="196"/>
        <w:rPr>
          <w:rFonts w:ascii="宋体" w:hAnsi="宋体"/>
          <w:szCs w:val="21"/>
          <w:highlight w:val="none"/>
        </w:rPr>
      </w:pPr>
      <w:r>
        <w:rPr>
          <w:rFonts w:hint="eastAsia" w:ascii="宋体" w:hAnsi="宋体"/>
          <w:szCs w:val="21"/>
          <w:highlight w:val="none"/>
        </w:rPr>
        <w:t>3、诉讼期间，本合同继续履行。</w:t>
      </w:r>
    </w:p>
    <w:p>
      <w:pPr>
        <w:pStyle w:val="2"/>
        <w:snapToGrid w:val="0"/>
        <w:spacing w:before="120" w:after="120" w:line="360" w:lineRule="exact"/>
        <w:ind w:firstLine="413" w:firstLineChars="196"/>
        <w:rPr>
          <w:rFonts w:hAnsi="宋体"/>
          <w:b/>
          <w:highlight w:val="none"/>
        </w:rPr>
      </w:pPr>
      <w:r>
        <w:rPr>
          <w:rFonts w:hint="eastAsia" w:hAnsi="宋体"/>
          <w:b/>
          <w:highlight w:val="none"/>
        </w:rPr>
        <w:t>第十七条  诉讼</w:t>
      </w:r>
    </w:p>
    <w:p>
      <w:pPr>
        <w:pStyle w:val="2"/>
        <w:snapToGrid w:val="0"/>
        <w:spacing w:before="120" w:after="120" w:line="360" w:lineRule="exact"/>
        <w:ind w:left="420" w:hanging="420" w:hangingChars="200"/>
        <w:rPr>
          <w:rFonts w:hAnsi="宋体"/>
          <w:highlight w:val="none"/>
        </w:rPr>
      </w:pPr>
      <w:r>
        <w:rPr>
          <w:rFonts w:hint="eastAsia" w:hAnsi="宋体"/>
          <w:highlight w:val="none"/>
        </w:rPr>
        <w:t xml:space="preserve">    双方在执行合同中所发生的一切争议，应通过协商解决。如协商不能解决，可向仲裁委员会申请仲裁或向人民法院提出诉讼。</w:t>
      </w:r>
    </w:p>
    <w:p>
      <w:pPr>
        <w:pStyle w:val="2"/>
        <w:snapToGrid w:val="0"/>
        <w:spacing w:before="120" w:after="120" w:line="360" w:lineRule="exact"/>
        <w:ind w:firstLine="413" w:firstLineChars="196"/>
        <w:rPr>
          <w:rFonts w:hAnsi="宋体"/>
          <w:b/>
          <w:highlight w:val="none"/>
        </w:rPr>
      </w:pPr>
      <w:r>
        <w:rPr>
          <w:rFonts w:hint="eastAsia" w:hAnsi="宋体"/>
          <w:b/>
          <w:highlight w:val="none"/>
        </w:rPr>
        <w:t>第十八条  合同生效及其它</w:t>
      </w:r>
    </w:p>
    <w:p>
      <w:pPr>
        <w:pStyle w:val="2"/>
        <w:snapToGrid w:val="0"/>
        <w:spacing w:before="120" w:after="120" w:line="360" w:lineRule="exact"/>
        <w:ind w:firstLine="420" w:firstLineChars="200"/>
        <w:rPr>
          <w:rFonts w:hAnsi="宋体"/>
          <w:highlight w:val="none"/>
        </w:rPr>
      </w:pPr>
      <w:r>
        <w:rPr>
          <w:rFonts w:hint="eastAsia" w:hAnsi="宋体"/>
          <w:highlight w:val="none"/>
        </w:rPr>
        <w:t>1、合同经双方法定代表人或授权代表签字并加盖单位公章后生效。</w:t>
      </w:r>
    </w:p>
    <w:p>
      <w:pPr>
        <w:pStyle w:val="2"/>
        <w:snapToGrid w:val="0"/>
        <w:spacing w:before="120" w:after="120" w:line="360" w:lineRule="exact"/>
        <w:ind w:firstLine="420" w:firstLineChars="200"/>
        <w:rPr>
          <w:rFonts w:hAnsi="宋体"/>
          <w:highlight w:val="none"/>
        </w:rPr>
      </w:pPr>
      <w:r>
        <w:rPr>
          <w:rFonts w:hint="eastAsia" w:hAnsi="宋体"/>
          <w:highlight w:val="none"/>
        </w:rPr>
        <w:t>2、合同执行中涉及采购资金和采购内容修改或补充的，须经公司相关部门审批，并签书面补充协议报公司相关部门备案，方可作为主合同不可分割的一部分。</w:t>
      </w:r>
    </w:p>
    <w:p>
      <w:pPr>
        <w:snapToGrid w:val="0"/>
        <w:spacing w:line="360" w:lineRule="exact"/>
        <w:ind w:firstLine="411" w:firstLineChars="196"/>
        <w:rPr>
          <w:rFonts w:ascii="宋体" w:hAnsi="宋体"/>
          <w:szCs w:val="21"/>
          <w:highlight w:val="none"/>
        </w:rPr>
      </w:pPr>
      <w:r>
        <w:rPr>
          <w:rFonts w:hint="eastAsia" w:ascii="宋体" w:hAnsi="宋体"/>
          <w:szCs w:val="21"/>
          <w:highlight w:val="none"/>
        </w:rPr>
        <w:t>3、本合同未尽事宜，遵照《民法典》有关条文执行。</w:t>
      </w:r>
    </w:p>
    <w:p>
      <w:pPr>
        <w:pStyle w:val="2"/>
        <w:snapToGrid w:val="0"/>
        <w:spacing w:before="120" w:after="120" w:line="360" w:lineRule="exact"/>
        <w:ind w:firstLine="413" w:firstLineChars="196"/>
        <w:rPr>
          <w:rFonts w:hAnsi="宋体"/>
          <w:b/>
          <w:highlight w:val="none"/>
        </w:rPr>
      </w:pPr>
      <w:r>
        <w:rPr>
          <w:rFonts w:hint="eastAsia" w:hAnsi="宋体"/>
          <w:b/>
          <w:highlight w:val="none"/>
        </w:rPr>
        <w:t>第十九条　合同的变更、终止与转让</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1、本合同一经签订，甲乙双方不得擅自变更、中止或终止。</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2、乙方不得擅自转让（无进口资格的供应商委托进口货物除外）其应履行的合同义务。</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3、合同经双方法定代表人或授权代表签字并加盖单位公章后生效。</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4、合同执行中涉及采购资金和采购内容修改或补充的，须经公司相关部门审批，并签书面补充协议报公司相关部门备案，方可作为主合同不可分割的一部分。</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5、本合同未尽事宜，遵照《民法典》有关条文执行。</w:t>
      </w:r>
    </w:p>
    <w:p>
      <w:pPr>
        <w:pStyle w:val="2"/>
        <w:snapToGrid w:val="0"/>
        <w:spacing w:before="120" w:after="120" w:line="360" w:lineRule="exact"/>
        <w:ind w:firstLine="413" w:firstLineChars="196"/>
        <w:rPr>
          <w:rFonts w:hAnsi="宋体"/>
          <w:b/>
          <w:highlight w:val="none"/>
        </w:rPr>
      </w:pPr>
      <w:r>
        <w:rPr>
          <w:rFonts w:hint="eastAsia" w:hAnsi="宋体"/>
          <w:b/>
          <w:highlight w:val="none"/>
        </w:rPr>
        <w:t>第二十条　签订本合同依据</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比选</w:t>
      </w:r>
      <w:r>
        <w:rPr>
          <w:rFonts w:hint="eastAsia" w:ascii="宋体" w:hAnsi="宋体"/>
          <w:szCs w:val="21"/>
          <w:highlight w:val="none"/>
        </w:rPr>
        <w:t>文件；</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2、乙方提供的</w:t>
      </w:r>
      <w:r>
        <w:rPr>
          <w:rFonts w:hint="eastAsia" w:ascii="宋体" w:hAnsi="宋体"/>
          <w:szCs w:val="21"/>
          <w:highlight w:val="none"/>
          <w:lang w:val="en-US" w:eastAsia="zh-CN"/>
        </w:rPr>
        <w:t>比选申请</w:t>
      </w:r>
      <w:r>
        <w:rPr>
          <w:rFonts w:hint="eastAsia" w:ascii="宋体" w:hAnsi="宋体"/>
          <w:szCs w:val="21"/>
          <w:highlight w:val="none"/>
        </w:rPr>
        <w:t>文件；</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3、承诺书；</w:t>
      </w:r>
    </w:p>
    <w:p>
      <w:pPr>
        <w:snapToGrid w:val="0"/>
        <w:spacing w:line="360" w:lineRule="exact"/>
        <w:ind w:firstLine="420" w:firstLineChars="200"/>
        <w:rPr>
          <w:rFonts w:ascii="宋体" w:hAnsi="宋体"/>
          <w:szCs w:val="21"/>
          <w:highlight w:val="none"/>
          <w:u w:val="single"/>
        </w:rPr>
      </w:pPr>
      <w:r>
        <w:rPr>
          <w:rFonts w:hint="eastAsia" w:ascii="宋体" w:hAnsi="宋体"/>
          <w:szCs w:val="21"/>
          <w:highlight w:val="none"/>
        </w:rPr>
        <w:t>4、中</w:t>
      </w:r>
      <w:r>
        <w:rPr>
          <w:rFonts w:hint="eastAsia" w:ascii="宋体" w:hAnsi="宋体"/>
          <w:szCs w:val="21"/>
          <w:highlight w:val="none"/>
          <w:lang w:eastAsia="zh-CN"/>
        </w:rPr>
        <w:t>选</w:t>
      </w:r>
      <w:r>
        <w:rPr>
          <w:rFonts w:hint="eastAsia" w:ascii="宋体" w:hAnsi="宋体"/>
          <w:szCs w:val="21"/>
          <w:highlight w:val="none"/>
        </w:rPr>
        <w:t>通知书。</w:t>
      </w:r>
    </w:p>
    <w:p>
      <w:pPr>
        <w:snapToGrid w:val="0"/>
        <w:spacing w:line="360" w:lineRule="exact"/>
        <w:ind w:firstLine="422" w:firstLineChars="200"/>
        <w:rPr>
          <w:rFonts w:ascii="宋体" w:hAnsi="宋体"/>
          <w:szCs w:val="21"/>
          <w:highlight w:val="none"/>
        </w:rPr>
      </w:pPr>
      <w:r>
        <w:rPr>
          <w:rFonts w:hint="eastAsia" w:ascii="宋体" w:hAnsi="宋体"/>
          <w:b/>
          <w:szCs w:val="21"/>
          <w:highlight w:val="none"/>
        </w:rPr>
        <w:t>第二十一条　</w:t>
      </w:r>
      <w:r>
        <w:rPr>
          <w:rFonts w:hint="eastAsia" w:ascii="宋体" w:hAnsi="宋体"/>
          <w:szCs w:val="21"/>
          <w:highlight w:val="none"/>
        </w:rPr>
        <w:t>本合同一式</w:t>
      </w:r>
      <w:r>
        <w:rPr>
          <w:rFonts w:hint="eastAsia" w:ascii="宋体" w:hAnsi="宋体"/>
          <w:szCs w:val="21"/>
          <w:highlight w:val="none"/>
          <w:u w:val="single"/>
          <w:lang w:val="en-US" w:eastAsia="zh-CN"/>
        </w:rPr>
        <w:t>4</w:t>
      </w:r>
      <w:r>
        <w:rPr>
          <w:rFonts w:hint="eastAsia" w:ascii="宋体" w:hAnsi="宋体"/>
          <w:szCs w:val="21"/>
          <w:highlight w:val="none"/>
        </w:rPr>
        <w:t>份，具有同等法律效力，甲乙双方各</w:t>
      </w:r>
      <w:r>
        <w:rPr>
          <w:rFonts w:hint="eastAsia" w:ascii="宋体" w:hAnsi="宋体"/>
          <w:szCs w:val="21"/>
          <w:highlight w:val="none"/>
          <w:u w:val="single"/>
          <w:lang w:val="en-US" w:eastAsia="zh-CN"/>
        </w:rPr>
        <w:t>2</w:t>
      </w:r>
      <w:r>
        <w:rPr>
          <w:rFonts w:hint="eastAsia" w:ascii="宋体" w:hAnsi="宋体"/>
          <w:szCs w:val="21"/>
          <w:highlight w:val="none"/>
        </w:rPr>
        <w:t>份。</w:t>
      </w:r>
    </w:p>
    <w:p>
      <w:pPr>
        <w:snapToGrid w:val="0"/>
        <w:spacing w:line="360" w:lineRule="exact"/>
        <w:ind w:firstLine="420" w:firstLineChars="200"/>
        <w:rPr>
          <w:rFonts w:ascii="宋体" w:hAnsi="宋体"/>
          <w:szCs w:val="21"/>
          <w:highlight w:val="none"/>
        </w:rPr>
      </w:pPr>
      <w:r>
        <w:rPr>
          <w:rFonts w:hint="eastAsia" w:ascii="宋体" w:hAnsi="宋体"/>
          <w:szCs w:val="21"/>
          <w:highlight w:val="none"/>
        </w:rPr>
        <w:t>本合同甲乙双方签字盖章后生效。</w:t>
      </w:r>
    </w:p>
    <w:p>
      <w:pPr>
        <w:snapToGrid w:val="0"/>
        <w:spacing w:line="360" w:lineRule="exact"/>
        <w:ind w:firstLine="420" w:firstLineChars="200"/>
        <w:rPr>
          <w:rFonts w:ascii="宋体" w:hAnsi="宋体"/>
          <w:szCs w:val="21"/>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 xml:space="preserve">甲方（章）           </w:t>
            </w:r>
          </w:p>
          <w:p>
            <w:pPr>
              <w:snapToGrid w:val="0"/>
              <w:spacing w:line="360" w:lineRule="exact"/>
              <w:ind w:firstLine="945" w:firstLineChars="450"/>
              <w:jc w:val="right"/>
              <w:rPr>
                <w:rFonts w:ascii="宋体" w:hAnsi="宋体"/>
                <w:szCs w:val="21"/>
                <w:highlight w:val="none"/>
              </w:rPr>
            </w:pPr>
            <w:r>
              <w:rPr>
                <w:rFonts w:hint="eastAsia" w:ascii="宋体" w:hAnsi="宋体"/>
                <w:szCs w:val="21"/>
                <w:highlight w:val="none"/>
              </w:rPr>
              <w:t>年   月   日</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 xml:space="preserve">乙方（章）              </w:t>
            </w:r>
          </w:p>
          <w:p>
            <w:pPr>
              <w:snapToGrid w:val="0"/>
              <w:spacing w:line="360" w:lineRule="exact"/>
              <w:jc w:val="right"/>
              <w:rPr>
                <w:rFonts w:ascii="宋体" w:hAnsi="宋体"/>
                <w:szCs w:val="21"/>
                <w:highlight w:val="none"/>
              </w:rPr>
            </w:pPr>
            <w:r>
              <w:rPr>
                <w:rFonts w:hint="eastAsia" w:ascii="宋体" w:hAnsi="宋体"/>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单位地址：</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法定代表人：</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委托代理人：</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电话：</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电子邮箱：</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开户银行：</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账号：</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邮政编码：</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highlight w:val="none"/>
              </w:rPr>
            </w:pPr>
            <w:r>
              <w:rPr>
                <w:rFonts w:hint="eastAsia" w:ascii="宋体" w:hAnsi="宋体"/>
                <w:szCs w:val="21"/>
                <w:highlight w:val="none"/>
              </w:rPr>
              <w:t>邮政编码：</w:t>
            </w:r>
          </w:p>
        </w:tc>
      </w:tr>
    </w:tbl>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r>
        <w:rPr>
          <w:rFonts w:hint="eastAsia" w:asciiTheme="minorEastAsia" w:hAnsiTheme="minorEastAsia" w:eastAsiaTheme="minorEastAsia"/>
          <w:b/>
          <w:szCs w:val="24"/>
          <w:highlight w:val="none"/>
          <w:lang w:val="en-US" w:eastAsia="zh-CN"/>
        </w:rPr>
        <w:t xml:space="preserve">                 </w:t>
      </w: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hint="eastAsia" w:asciiTheme="minorEastAsia" w:hAnsiTheme="minorEastAsia" w:eastAsiaTheme="minorEastAsia"/>
          <w:b/>
          <w:szCs w:val="24"/>
          <w:highlight w:val="none"/>
          <w:lang w:val="en-US" w:eastAsia="zh-CN"/>
        </w:rPr>
      </w:pPr>
    </w:p>
    <w:p>
      <w:pPr>
        <w:pStyle w:val="77"/>
        <w:widowControl/>
        <w:snapToGrid w:val="0"/>
        <w:spacing w:before="0" w:line="360" w:lineRule="auto"/>
        <w:ind w:left="0" w:right="720"/>
        <w:jc w:val="center"/>
        <w:outlineLvl w:val="1"/>
        <w:rPr>
          <w:rFonts w:cs="宋体" w:asciiTheme="minorEastAsia" w:hAnsiTheme="minorEastAsia" w:eastAsiaTheme="minorEastAsia"/>
          <w:szCs w:val="24"/>
          <w:highlight w:val="none"/>
        </w:rPr>
      </w:pPr>
      <w:r>
        <w:rPr>
          <w:rFonts w:hint="eastAsia" w:asciiTheme="minorEastAsia" w:hAnsiTheme="minorEastAsia" w:eastAsiaTheme="minorEastAsia"/>
          <w:b/>
          <w:szCs w:val="24"/>
          <w:highlight w:val="none"/>
          <w:lang w:val="en-US" w:eastAsia="zh-CN"/>
        </w:rPr>
        <w:t xml:space="preserve"> </w:t>
      </w:r>
      <w:r>
        <w:rPr>
          <w:rFonts w:hint="eastAsia" w:asciiTheme="minorEastAsia" w:hAnsiTheme="minorEastAsia" w:eastAsiaTheme="minorEastAsia"/>
          <w:b/>
          <w:szCs w:val="24"/>
          <w:highlight w:val="none"/>
        </w:rPr>
        <w:t>第二部分 中选通知书</w:t>
      </w: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ind w:firstLine="200"/>
        <w:jc w:val="center"/>
        <w:outlineLvl w:val="1"/>
        <w:rPr>
          <w:rFonts w:asciiTheme="minorEastAsia" w:hAnsiTheme="minorEastAsia" w:eastAsiaTheme="minorEastAsia"/>
          <w:b/>
          <w:sz w:val="24"/>
          <w:szCs w:val="24"/>
          <w:highlight w:val="none"/>
        </w:rPr>
      </w:pPr>
      <w:bookmarkStart w:id="1017" w:name="_Toc7529"/>
      <w:bookmarkStart w:id="1018" w:name="_Toc18460"/>
      <w:bookmarkStart w:id="1019" w:name="_Toc24098"/>
      <w:bookmarkStart w:id="1020" w:name="_Toc7689"/>
      <w:bookmarkStart w:id="1021" w:name="_Toc12155"/>
      <w:bookmarkStart w:id="1022" w:name="_Toc10196"/>
      <w:bookmarkStart w:id="1023" w:name="_Toc9438"/>
      <w:bookmarkStart w:id="1024" w:name="_Toc24973"/>
      <w:bookmarkStart w:id="1025" w:name="_Toc25942"/>
      <w:bookmarkStart w:id="1026" w:name="_Toc25750634"/>
      <w:bookmarkStart w:id="1027" w:name="_Toc16743"/>
      <w:bookmarkStart w:id="1028" w:name="_Toc29876"/>
      <w:bookmarkStart w:id="1029" w:name="_Toc997"/>
      <w:bookmarkStart w:id="1030" w:name="_Toc258"/>
      <w:bookmarkStart w:id="1031" w:name="_Toc14469"/>
      <w:bookmarkStart w:id="1032" w:name="_Toc9188"/>
      <w:bookmarkStart w:id="1033" w:name="_Toc11253"/>
      <w:bookmarkStart w:id="1034" w:name="_Toc4133"/>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p>
      <w:pPr>
        <w:ind w:firstLine="200"/>
        <w:jc w:val="center"/>
        <w:outlineLvl w:val="1"/>
        <w:rPr>
          <w:rFonts w:asciiTheme="minorEastAsia" w:hAnsiTheme="minorEastAsia" w:eastAsiaTheme="minorEastAsia"/>
          <w:b/>
          <w:sz w:val="24"/>
          <w:szCs w:val="24"/>
          <w:highlight w:val="none"/>
        </w:rPr>
      </w:pPr>
    </w:p>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Pr>
        <w:pStyle w:val="2"/>
        <w:pageBreakBefore/>
        <w:ind w:right="-57"/>
        <w:jc w:val="center"/>
        <w:outlineLvl w:val="0"/>
        <w:rPr>
          <w:rStyle w:val="78"/>
          <w:rFonts w:asciiTheme="minorEastAsia" w:hAnsiTheme="minorEastAsia" w:eastAsiaTheme="minorEastAsia"/>
          <w:sz w:val="24"/>
          <w:szCs w:val="24"/>
          <w:highlight w:val="none"/>
        </w:rPr>
      </w:pPr>
      <w:bookmarkStart w:id="1035" w:name="_Toc17261"/>
      <w:bookmarkStart w:id="1036" w:name="_Toc25306"/>
      <w:bookmarkStart w:id="1037" w:name="_Toc28285"/>
      <w:bookmarkStart w:id="1038" w:name="_Toc14790"/>
      <w:bookmarkStart w:id="1039" w:name="_Toc11320"/>
      <w:bookmarkStart w:id="1040" w:name="_Toc13167"/>
      <w:bookmarkStart w:id="1041" w:name="_Toc32011"/>
      <w:bookmarkStart w:id="1042" w:name="_Toc21689"/>
      <w:bookmarkStart w:id="1043" w:name="_Toc28677"/>
      <w:bookmarkStart w:id="1044" w:name="_Toc27263"/>
      <w:bookmarkStart w:id="1045" w:name="_Toc29546"/>
      <w:bookmarkStart w:id="1046" w:name="_Toc17396"/>
      <w:bookmarkStart w:id="1047" w:name="_Toc31574"/>
      <w:bookmarkStart w:id="1048" w:name="_Toc31873"/>
      <w:bookmarkStart w:id="1049" w:name="_Toc30920"/>
      <w:bookmarkStart w:id="1050" w:name="_Toc25750673"/>
      <w:bookmarkStart w:id="1051" w:name="_Toc4374"/>
      <w:bookmarkStart w:id="1052" w:name="_Toc6151"/>
      <w:r>
        <w:rPr>
          <w:rStyle w:val="78"/>
          <w:rFonts w:hint="eastAsia" w:asciiTheme="minorEastAsia" w:hAnsiTheme="minorEastAsia" w:eastAsiaTheme="minorEastAsia"/>
          <w:sz w:val="24"/>
          <w:szCs w:val="24"/>
          <w:highlight w:val="none"/>
        </w:rPr>
        <w:t>第三部分 价格组成文件</w:t>
      </w:r>
    </w:p>
    <w:p>
      <w:pPr>
        <w:pStyle w:val="3"/>
        <w:numPr>
          <w:ilvl w:val="3"/>
          <w:numId w:val="0"/>
        </w:numPr>
        <w:rPr>
          <w:highlight w:val="none"/>
        </w:rPr>
      </w:pPr>
    </w:p>
    <w:p>
      <w:pPr>
        <w:spacing w:line="360" w:lineRule="auto"/>
        <w:rPr>
          <w:rFonts w:ascii="宋体" w:hAnsi="宋体" w:cs="宋体"/>
          <w:highlight w:val="none"/>
        </w:rPr>
      </w:pPr>
      <w:r>
        <w:rPr>
          <w:rFonts w:hint="eastAsia" w:ascii="宋体" w:hAnsi="宋体" w:cs="宋体"/>
          <w:highlight w:val="none"/>
        </w:rPr>
        <w:t>1.比选申请报价一览表</w:t>
      </w:r>
    </w:p>
    <w:p>
      <w:pPr>
        <w:spacing w:line="360" w:lineRule="auto"/>
        <w:rPr>
          <w:rFonts w:ascii="宋体" w:hAnsi="宋体" w:cs="宋体"/>
          <w:highlight w:val="none"/>
        </w:rPr>
      </w:pPr>
      <w:r>
        <w:rPr>
          <w:rFonts w:hint="eastAsia" w:ascii="宋体" w:hAnsi="宋体" w:cs="宋体"/>
          <w:highlight w:val="none"/>
        </w:rPr>
        <w:t>2.比选申请函</w:t>
      </w:r>
    </w:p>
    <w:p>
      <w:pPr>
        <w:spacing w:line="360" w:lineRule="auto"/>
        <w:rPr>
          <w:rFonts w:ascii="宋体" w:hAnsi="宋体" w:cs="宋体"/>
          <w:highlight w:val="none"/>
        </w:rPr>
      </w:pPr>
      <w:r>
        <w:rPr>
          <w:rFonts w:hint="eastAsia" w:ascii="宋体" w:hAnsi="宋体" w:cs="宋体"/>
          <w:highlight w:val="none"/>
        </w:rPr>
        <w:t>3.比选申请报价表</w:t>
      </w:r>
    </w:p>
    <w:p>
      <w:pPr>
        <w:spacing w:line="360" w:lineRule="auto"/>
        <w:rPr>
          <w:rFonts w:ascii="宋体" w:hAnsi="宋体" w:cs="宋体"/>
          <w:highlight w:val="none"/>
        </w:rPr>
      </w:pPr>
      <w:r>
        <w:rPr>
          <w:rFonts w:hint="eastAsia" w:ascii="宋体" w:hAnsi="宋体" w:cs="宋体"/>
          <w:highlight w:val="none"/>
        </w:rPr>
        <w:t>4.</w:t>
      </w:r>
      <w:r>
        <w:rPr>
          <w:rFonts w:hint="eastAsia"/>
          <w:szCs w:val="21"/>
          <w:highlight w:val="none"/>
        </w:rPr>
        <w:t>比选申请人认为应提交的其他比选申请资料（如有）</w:t>
      </w:r>
    </w:p>
    <w:p>
      <w:pPr>
        <w:rPr>
          <w:rFonts w:ascii="宋体" w:hAnsi="宋体" w:cs="宋体"/>
          <w:highlight w:val="none"/>
        </w:rPr>
      </w:pPr>
    </w:p>
    <w:p>
      <w:pPr>
        <w:pStyle w:val="2"/>
        <w:pageBreakBefore/>
        <w:ind w:right="-57"/>
        <w:jc w:val="center"/>
        <w:outlineLvl w:val="0"/>
        <w:rPr>
          <w:rStyle w:val="78"/>
          <w:rFonts w:hAnsi="宋体"/>
          <w:highlight w:val="none"/>
        </w:rPr>
      </w:pPr>
      <w:r>
        <w:rPr>
          <w:rFonts w:hint="eastAsia" w:hAnsi="宋体"/>
          <w:b/>
          <w:bCs/>
          <w:kern w:val="0"/>
          <w:sz w:val="24"/>
          <w:szCs w:val="24"/>
          <w:highlight w:val="none"/>
        </w:rPr>
        <w:t>第四部分 用户需求书</w:t>
      </w: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p>
    <w:p>
      <w:pPr>
        <w:pStyle w:val="77"/>
        <w:widowControl/>
        <w:snapToGrid w:val="0"/>
        <w:spacing w:before="0" w:line="460" w:lineRule="exact"/>
        <w:ind w:left="0" w:right="0"/>
        <w:jc w:val="center"/>
        <w:outlineLvl w:val="1"/>
        <w:rPr>
          <w:rFonts w:ascii="宋体" w:hAnsi="宋体"/>
          <w:b/>
          <w:bCs/>
          <w:kern w:val="0"/>
          <w:szCs w:val="24"/>
          <w:highlight w:val="none"/>
        </w:rPr>
      </w:pPr>
      <w:r>
        <w:rPr>
          <w:rFonts w:hint="eastAsia" w:ascii="宋体" w:hAnsi="宋体"/>
          <w:b/>
          <w:bCs/>
          <w:kern w:val="0"/>
          <w:szCs w:val="24"/>
          <w:highlight w:val="none"/>
        </w:rPr>
        <w:t>第五部分 合同附件</w:t>
      </w:r>
    </w:p>
    <w:p>
      <w:pPr>
        <w:ind w:firstLine="420" w:firstLineChars="200"/>
        <w:jc w:val="left"/>
        <w:rPr>
          <w:rFonts w:ascii="宋体" w:hAnsi="宋体"/>
          <w:highlight w:val="none"/>
        </w:rPr>
      </w:pPr>
    </w:p>
    <w:p>
      <w:pPr>
        <w:spacing w:line="360" w:lineRule="auto"/>
        <w:jc w:val="left"/>
        <w:rPr>
          <w:rFonts w:ascii="宋体" w:hAnsi="宋体"/>
          <w:highlight w:val="none"/>
        </w:rPr>
      </w:pPr>
    </w:p>
    <w:p>
      <w:pPr>
        <w:spacing w:line="360" w:lineRule="auto"/>
        <w:jc w:val="left"/>
        <w:rPr>
          <w:rFonts w:ascii="宋体" w:hAnsi="宋体"/>
          <w:highlight w:val="none"/>
        </w:rPr>
      </w:pPr>
      <w:r>
        <w:rPr>
          <w:rFonts w:hint="eastAsia" w:ascii="宋体" w:hAnsi="宋体"/>
          <w:highlight w:val="none"/>
        </w:rPr>
        <w:t>1.履约保证金缴纳凭证</w:t>
      </w:r>
    </w:p>
    <w:p>
      <w:pPr>
        <w:spacing w:line="360" w:lineRule="auto"/>
        <w:jc w:val="left"/>
        <w:rPr>
          <w:rFonts w:ascii="宋体" w:hAnsi="宋体"/>
          <w:highlight w:val="none"/>
        </w:rPr>
      </w:pPr>
      <w:r>
        <w:rPr>
          <w:rFonts w:hint="eastAsia" w:ascii="宋体" w:hAnsi="宋体"/>
          <w:highlight w:val="none"/>
        </w:rPr>
        <w:t>2.乙方营业执照或资质证书</w:t>
      </w:r>
    </w:p>
    <w:p>
      <w:pPr>
        <w:spacing w:line="360" w:lineRule="auto"/>
        <w:jc w:val="left"/>
        <w:rPr>
          <w:rFonts w:ascii="宋体" w:hAnsi="宋体"/>
          <w:highlight w:val="none"/>
        </w:rPr>
      </w:pPr>
      <w:r>
        <w:rPr>
          <w:rFonts w:hint="eastAsia" w:ascii="宋体" w:hAnsi="宋体"/>
          <w:highlight w:val="none"/>
        </w:rPr>
        <w:t>3.乙方法人资格证明书或法人授权书</w:t>
      </w:r>
    </w:p>
    <w:p>
      <w:pPr>
        <w:spacing w:line="360" w:lineRule="auto"/>
        <w:jc w:val="left"/>
        <w:rPr>
          <w:rFonts w:ascii="宋体" w:hAnsi="宋体"/>
          <w:b/>
          <w:kern w:val="0"/>
          <w:szCs w:val="21"/>
          <w:highlight w:val="none"/>
        </w:rPr>
      </w:pPr>
      <w:r>
        <w:rPr>
          <w:rFonts w:hint="eastAsia" w:ascii="宋体" w:hAnsi="宋体"/>
          <w:highlight w:val="none"/>
        </w:rPr>
        <w:t>4.承诺书</w:t>
      </w:r>
      <w:r>
        <w:rPr>
          <w:rFonts w:asciiTheme="minorEastAsia" w:hAnsiTheme="minorEastAsia" w:eastAsiaTheme="minorEastAsia"/>
          <w:highlight w:val="none"/>
        </w:rPr>
        <w:t>（格式见A</w:t>
      </w:r>
      <w:r>
        <w:rPr>
          <w:rFonts w:hint="eastAsia" w:asciiTheme="minorEastAsia" w:hAnsiTheme="minorEastAsia" w:eastAsiaTheme="minorEastAsia"/>
          <w:highlight w:val="none"/>
        </w:rPr>
        <w:t>3</w:t>
      </w:r>
      <w:r>
        <w:rPr>
          <w:rFonts w:asciiTheme="minorEastAsia" w:hAnsiTheme="minorEastAsia" w:eastAsiaTheme="minorEastAsia"/>
          <w:highlight w:val="none"/>
        </w:rPr>
        <w:t>）</w:t>
      </w:r>
      <w:r>
        <w:rPr>
          <w:rFonts w:hint="eastAsia" w:ascii="宋体" w:hAnsi="宋体"/>
          <w:szCs w:val="21"/>
          <w:highlight w:val="none"/>
        </w:rPr>
        <w:br w:type="page"/>
      </w:r>
    </w:p>
    <w:p>
      <w:pPr>
        <w:pStyle w:val="2"/>
        <w:pageBreakBefore/>
        <w:ind w:right="-57"/>
        <w:jc w:val="center"/>
        <w:outlineLvl w:val="0"/>
        <w:rPr>
          <w:rFonts w:hAnsi="宋体"/>
          <w:b/>
          <w:bCs/>
          <w:kern w:val="0"/>
          <w:sz w:val="24"/>
          <w:szCs w:val="24"/>
          <w:highlight w:val="none"/>
        </w:rPr>
      </w:pPr>
      <w:r>
        <w:rPr>
          <w:rFonts w:hint="eastAsia" w:hAnsi="宋体"/>
          <w:b/>
          <w:bCs/>
          <w:kern w:val="0"/>
          <w:sz w:val="24"/>
          <w:szCs w:val="24"/>
          <w:highlight w:val="none"/>
        </w:rPr>
        <w:t>第六部分 比选文件</w:t>
      </w:r>
    </w:p>
    <w:p>
      <w:pPr>
        <w:pStyle w:val="3"/>
        <w:numPr>
          <w:ilvl w:val="3"/>
          <w:numId w:val="0"/>
        </w:numPr>
        <w:rPr>
          <w:highlight w:val="none"/>
        </w:rPr>
      </w:pPr>
    </w:p>
    <w:p>
      <w:pPr>
        <w:jc w:val="center"/>
        <w:rPr>
          <w:b/>
          <w:bCs/>
          <w:sz w:val="24"/>
          <w:szCs w:val="24"/>
          <w:highlight w:val="none"/>
        </w:rPr>
      </w:pPr>
      <w:r>
        <w:rPr>
          <w:rFonts w:hint="eastAsia"/>
          <w:b/>
          <w:bCs/>
          <w:sz w:val="24"/>
          <w:szCs w:val="24"/>
          <w:highlight w:val="none"/>
        </w:rPr>
        <w:t>（另册）</w:t>
      </w:r>
    </w:p>
    <w:p>
      <w:pPr>
        <w:pStyle w:val="2"/>
        <w:rPr>
          <w:b/>
          <w:bCs/>
          <w:sz w:val="24"/>
          <w:szCs w:val="24"/>
          <w:highlight w:val="none"/>
        </w:rPr>
      </w:pPr>
    </w:p>
    <w:p>
      <w:pPr>
        <w:pStyle w:val="3"/>
        <w:numPr>
          <w:ilvl w:val="3"/>
          <w:numId w:val="0"/>
        </w:numPr>
        <w:rPr>
          <w:sz w:val="24"/>
          <w:szCs w:val="24"/>
          <w:highlight w:val="none"/>
        </w:rPr>
      </w:pPr>
    </w:p>
    <w:p>
      <w:pPr>
        <w:rPr>
          <w:b/>
          <w:bCs/>
          <w:sz w:val="24"/>
          <w:szCs w:val="24"/>
          <w:highlight w:val="none"/>
        </w:rPr>
      </w:pPr>
    </w:p>
    <w:p>
      <w:pPr>
        <w:pStyle w:val="2"/>
        <w:rPr>
          <w:b/>
          <w:bCs/>
          <w:sz w:val="24"/>
          <w:szCs w:val="24"/>
          <w:highlight w:val="none"/>
        </w:rPr>
      </w:pPr>
    </w:p>
    <w:p>
      <w:pPr>
        <w:pStyle w:val="3"/>
        <w:numPr>
          <w:ilvl w:val="3"/>
          <w:numId w:val="0"/>
        </w:numPr>
        <w:rPr>
          <w:sz w:val="24"/>
          <w:szCs w:val="24"/>
          <w:highlight w:val="none"/>
        </w:rPr>
      </w:pPr>
    </w:p>
    <w:p>
      <w:pPr>
        <w:rPr>
          <w:b/>
          <w:bCs/>
          <w:sz w:val="24"/>
          <w:szCs w:val="24"/>
          <w:highlight w:val="none"/>
        </w:rPr>
      </w:pPr>
    </w:p>
    <w:p>
      <w:pPr>
        <w:pStyle w:val="2"/>
        <w:rPr>
          <w:b/>
          <w:bCs/>
          <w:sz w:val="24"/>
          <w:szCs w:val="24"/>
          <w:highlight w:val="none"/>
        </w:rPr>
      </w:pPr>
    </w:p>
    <w:p>
      <w:pPr>
        <w:pStyle w:val="3"/>
        <w:numPr>
          <w:ilvl w:val="3"/>
          <w:numId w:val="0"/>
        </w:numPr>
        <w:rPr>
          <w:sz w:val="24"/>
          <w:szCs w:val="24"/>
          <w:highlight w:val="none"/>
        </w:rPr>
      </w:pPr>
    </w:p>
    <w:p>
      <w:pPr>
        <w:rPr>
          <w:b/>
          <w:bCs/>
          <w:sz w:val="24"/>
          <w:szCs w:val="24"/>
          <w:highlight w:val="none"/>
        </w:rPr>
      </w:pPr>
    </w:p>
    <w:p>
      <w:pPr>
        <w:pStyle w:val="2"/>
        <w:rPr>
          <w:b/>
          <w:bCs/>
          <w:sz w:val="24"/>
          <w:szCs w:val="24"/>
          <w:highlight w:val="none"/>
        </w:rPr>
      </w:pPr>
    </w:p>
    <w:p>
      <w:pPr>
        <w:rPr>
          <w:b/>
          <w:bCs/>
          <w:sz w:val="24"/>
          <w:szCs w:val="24"/>
          <w:highlight w:val="none"/>
        </w:rPr>
      </w:pPr>
    </w:p>
    <w:p>
      <w:pPr>
        <w:pStyle w:val="2"/>
        <w:rPr>
          <w:b/>
          <w:bCs/>
          <w:sz w:val="24"/>
          <w:szCs w:val="24"/>
          <w:highlight w:val="none"/>
        </w:rPr>
      </w:pPr>
    </w:p>
    <w:p>
      <w:pPr>
        <w:rPr>
          <w:b/>
          <w:bCs/>
          <w:sz w:val="24"/>
          <w:szCs w:val="24"/>
          <w:highlight w:val="none"/>
        </w:rPr>
      </w:pPr>
    </w:p>
    <w:p>
      <w:pPr>
        <w:pStyle w:val="2"/>
        <w:rPr>
          <w:b/>
          <w:bCs/>
          <w:sz w:val="24"/>
          <w:szCs w:val="24"/>
          <w:highlight w:val="none"/>
        </w:rPr>
      </w:pPr>
    </w:p>
    <w:p>
      <w:pPr>
        <w:pStyle w:val="2"/>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
        <w:jc w:val="center"/>
        <w:rPr>
          <w:highlight w:val="none"/>
        </w:rPr>
      </w:pPr>
      <w:r>
        <w:rPr>
          <w:rFonts w:hint="eastAsia" w:hAnsi="宋体"/>
          <w:b/>
          <w:bCs/>
          <w:kern w:val="0"/>
          <w:sz w:val="24"/>
          <w:szCs w:val="24"/>
          <w:highlight w:val="none"/>
        </w:rPr>
        <w:t>第七部分 比选申请文件</w:t>
      </w:r>
    </w:p>
    <w:p>
      <w:pPr>
        <w:rPr>
          <w:highlight w:val="none"/>
        </w:rPr>
      </w:pPr>
    </w:p>
    <w:p>
      <w:pPr>
        <w:pStyle w:val="2"/>
        <w:jc w:val="center"/>
        <w:rPr>
          <w:b/>
          <w:bCs/>
          <w:sz w:val="24"/>
          <w:szCs w:val="24"/>
          <w:highlight w:val="none"/>
        </w:rPr>
      </w:pPr>
    </w:p>
    <w:p>
      <w:pPr>
        <w:pStyle w:val="2"/>
        <w:jc w:val="center"/>
        <w:rPr>
          <w:highlight w:val="none"/>
        </w:rPr>
      </w:pPr>
      <w:r>
        <w:rPr>
          <w:rFonts w:hint="eastAsia"/>
          <w:b/>
          <w:bCs/>
          <w:sz w:val="24"/>
          <w:szCs w:val="24"/>
          <w:highlight w:val="none"/>
        </w:rPr>
        <w:t>（另册）</w:t>
      </w:r>
    </w:p>
    <w:p>
      <w:pPr>
        <w:pStyle w:val="2"/>
        <w:pageBreakBefore/>
        <w:ind w:right="-57"/>
        <w:jc w:val="center"/>
        <w:outlineLvl w:val="0"/>
        <w:rPr>
          <w:rStyle w:val="78"/>
          <w:rFonts w:hAnsi="宋体"/>
          <w:highlight w:val="none"/>
        </w:rPr>
      </w:pPr>
      <w:r>
        <w:rPr>
          <w:rStyle w:val="78"/>
          <w:rFonts w:hint="eastAsia" w:hAnsi="宋体"/>
          <w:highlight w:val="none"/>
        </w:rPr>
        <w:t>第四章 比选申请文件格式</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4"/>
        <w:spacing w:after="100"/>
        <w:ind w:right="-57"/>
        <w:jc w:val="center"/>
        <w:rPr>
          <w:rFonts w:asciiTheme="minorEastAsia" w:hAnsiTheme="minorEastAsia" w:eastAsiaTheme="minorEastAsia"/>
          <w:sz w:val="24"/>
          <w:szCs w:val="24"/>
          <w:highlight w:val="none"/>
        </w:rPr>
      </w:pPr>
      <w:bookmarkStart w:id="1053" w:name="_Toc25750674"/>
      <w:r>
        <w:rPr>
          <w:rFonts w:asciiTheme="minorEastAsia" w:hAnsiTheme="minorEastAsia" w:eastAsiaTheme="minorEastAsia"/>
          <w:sz w:val="24"/>
          <w:szCs w:val="24"/>
          <w:highlight w:val="none"/>
        </w:rPr>
        <w:t>A  资格审查</w:t>
      </w:r>
      <w:r>
        <w:rPr>
          <w:rFonts w:hint="eastAsia" w:asciiTheme="minorEastAsia" w:hAnsiTheme="minorEastAsia" w:eastAsiaTheme="minorEastAsia"/>
          <w:sz w:val="24"/>
          <w:szCs w:val="24"/>
          <w:highlight w:val="none"/>
        </w:rPr>
        <w:t>文件</w:t>
      </w:r>
      <w:bookmarkEnd w:id="1053"/>
    </w:p>
    <w:p>
      <w:pPr>
        <w:spacing w:line="360" w:lineRule="auto"/>
        <w:ind w:firstLine="422" w:firstLineChars="200"/>
        <w:jc w:val="left"/>
        <w:rPr>
          <w:rFonts w:asciiTheme="minorEastAsia" w:hAnsiTheme="minorEastAsia" w:eastAsiaTheme="minorEastAsia"/>
          <w:b/>
          <w:highlight w:val="none"/>
        </w:rPr>
      </w:pPr>
      <w:r>
        <w:rPr>
          <w:rFonts w:asciiTheme="minorEastAsia" w:hAnsiTheme="minorEastAsia" w:eastAsiaTheme="minorEastAsia"/>
          <w:b/>
          <w:highlight w:val="none"/>
        </w:rPr>
        <w:t>资格审查文件格式</w:t>
      </w:r>
    </w:p>
    <w:p>
      <w:pPr>
        <w:tabs>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（2）比选申请人有效的营业执照副本复印件；；</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asciiTheme="minorEastAsia" w:hAnsiTheme="minorEastAsia" w:eastAsiaTheme="minorEastAsia"/>
          <w:highlight w:val="none"/>
        </w:rPr>
        <w:t>承诺书（格式见A</w:t>
      </w:r>
      <w:r>
        <w:rPr>
          <w:rFonts w:hint="eastAsia" w:asciiTheme="minorEastAsia" w:hAnsiTheme="minorEastAsia" w:eastAsiaTheme="minorEastAsia"/>
          <w:highlight w:val="none"/>
        </w:rPr>
        <w:t>3</w:t>
      </w:r>
      <w:r>
        <w:rPr>
          <w:rFonts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）比选申请人资质证书复印件；</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）比选申请人认为应提交的其他比选申请资料（如有）。</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注：</w:t>
      </w:r>
      <w:r>
        <w:rPr>
          <w:rFonts w:asciiTheme="minorEastAsia" w:hAnsiTheme="minorEastAsia" w:eastAsiaTheme="minorEastAsia"/>
          <w:highlight w:val="none"/>
        </w:rPr>
        <w:t>以上提供的复印件必须加盖比选申请人公章。</w:t>
      </w:r>
    </w:p>
    <w:p>
      <w:pPr>
        <w:ind w:firstLine="420" w:firstLineChars="200"/>
        <w:rPr>
          <w:rFonts w:hAnsi="宋体"/>
          <w:highlight w:val="none"/>
        </w:rPr>
        <w:sectPr>
          <w:footerReference r:id="rId3" w:type="default"/>
          <w:pgSz w:w="11905" w:h="16838"/>
          <w:pgMar w:top="1417" w:right="1417" w:bottom="1417" w:left="1417" w:header="454" w:footer="567" w:gutter="0"/>
          <w:cols w:space="720" w:num="1"/>
          <w:docGrid w:linePitch="312" w:charSpace="0"/>
        </w:sectPr>
      </w:pPr>
    </w:p>
    <w:p>
      <w:pPr>
        <w:widowControl/>
        <w:numPr>
          <w:ilvl w:val="1"/>
          <w:numId w:val="9"/>
        </w:numPr>
        <w:snapToGrid w:val="0"/>
        <w:spacing w:after="100" w:afterAutospacing="1"/>
        <w:ind w:firstLine="0"/>
        <w:jc w:val="left"/>
        <w:outlineLvl w:val="0"/>
        <w:rPr>
          <w:rFonts w:ascii="宋体" w:hAnsi="宋体"/>
          <w:b/>
          <w:highlight w:val="none"/>
        </w:rPr>
      </w:pPr>
      <w:bookmarkStart w:id="1054" w:name="_Toc12984807"/>
      <w:bookmarkStart w:id="1055" w:name="_Toc375564351"/>
      <w:bookmarkStart w:id="1056" w:name="_Toc3499"/>
      <w:bookmarkStart w:id="1057" w:name="_Toc20671"/>
      <w:bookmarkStart w:id="1058" w:name="_Toc25750675"/>
      <w:bookmarkStart w:id="1059" w:name="_Toc8868"/>
      <w:bookmarkStart w:id="1060" w:name="_Toc20029"/>
      <w:bookmarkStart w:id="1061" w:name="_Toc9658"/>
      <w:bookmarkStart w:id="1062" w:name="_Toc20283"/>
      <w:bookmarkStart w:id="1063" w:name="_Toc16089"/>
      <w:bookmarkStart w:id="1064" w:name="_Toc4125"/>
      <w:bookmarkStart w:id="1065" w:name="_Toc414290522"/>
      <w:bookmarkStart w:id="1066" w:name="_Toc492478804"/>
      <w:bookmarkStart w:id="1067" w:name="_Toc32455"/>
      <w:bookmarkStart w:id="1068" w:name="_Toc22533"/>
      <w:bookmarkStart w:id="1069" w:name="_Toc13389"/>
      <w:bookmarkStart w:id="1070" w:name="_Toc15696"/>
      <w:bookmarkStart w:id="1071" w:name="_Toc7057"/>
      <w:bookmarkStart w:id="1072" w:name="_Toc10433"/>
      <w:bookmarkStart w:id="1073" w:name="_Toc956"/>
      <w:bookmarkStart w:id="1074" w:name="_Toc10789"/>
      <w:bookmarkStart w:id="1075" w:name="_Toc10238"/>
      <w:bookmarkStart w:id="1076" w:name="_Toc24436"/>
      <w:r>
        <w:rPr>
          <w:rFonts w:ascii="宋体" w:hAnsi="宋体"/>
          <w:b/>
          <w:highlight w:val="none"/>
        </w:rPr>
        <w:t>法定代表人授权书格式</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spacing w:before="240" w:after="240"/>
        <w:jc w:val="center"/>
        <w:rPr>
          <w:rFonts w:ascii="宋体" w:hAnsi="宋体"/>
          <w:b/>
          <w:sz w:val="32"/>
          <w:szCs w:val="32"/>
          <w:highlight w:val="none"/>
        </w:rPr>
      </w:pPr>
    </w:p>
    <w:p>
      <w:pPr>
        <w:spacing w:before="240" w:after="24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spacing w:line="360" w:lineRule="auto"/>
        <w:ind w:left="500" w:hanging="499"/>
        <w:rPr>
          <w:rFonts w:ascii="宋体" w:hAnsi="宋体"/>
          <w:highlight w:val="none"/>
        </w:rPr>
      </w:pPr>
      <w:r>
        <w:rPr>
          <w:rFonts w:ascii="宋体" w:hAnsi="宋体"/>
          <w:highlight w:val="none"/>
        </w:rPr>
        <w:t>致：</w:t>
      </w:r>
      <w:r>
        <w:rPr>
          <w:rFonts w:hint="eastAsia" w:ascii="宋体" w:hAnsi="宋体"/>
          <w:highlight w:val="none"/>
        </w:rPr>
        <w:t>南宁市金盾道路清障有限责任公司</w:t>
      </w:r>
    </w:p>
    <w:p>
      <w:pPr>
        <w:tabs>
          <w:tab w:val="left" w:pos="8364"/>
        </w:tabs>
        <w:snapToGrid w:val="0"/>
        <w:spacing w:line="360" w:lineRule="auto"/>
        <w:ind w:firstLine="420" w:firstLineChars="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 xml:space="preserve">   </w:t>
      </w:r>
      <w:r>
        <w:rPr>
          <w:rFonts w:ascii="宋体" w:hAnsi="宋体"/>
          <w:highlight w:val="none"/>
        </w:rPr>
        <w:t>的项目的服务的比选申请和合同执行，作为比选申请人代表以本公司的名义处理一切与之有关的事宜。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highlight w:val="none"/>
        </w:rPr>
      </w:pPr>
    </w:p>
    <w:p>
      <w:pPr>
        <w:tabs>
          <w:tab w:val="left" w:pos="8364"/>
        </w:tabs>
        <w:snapToGrid w:val="0"/>
        <w:spacing w:line="360" w:lineRule="auto"/>
        <w:ind w:firstLine="420" w:firstLineChars="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spacing w:line="360" w:lineRule="auto"/>
        <w:ind w:firstLine="200"/>
        <w:rPr>
          <w:rFonts w:ascii="宋体" w:hAnsi="宋体"/>
          <w:highlight w:val="none"/>
        </w:rPr>
      </w:pPr>
    </w:p>
    <w:p>
      <w:pPr>
        <w:tabs>
          <w:tab w:val="left" w:pos="8364"/>
        </w:tabs>
        <w:snapToGrid w:val="0"/>
        <w:spacing w:line="600" w:lineRule="auto"/>
        <w:ind w:firstLine="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spacing w:line="600" w:lineRule="auto"/>
        <w:ind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spacing w:line="600" w:lineRule="auto"/>
        <w:ind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spacing w:line="600" w:lineRule="auto"/>
        <w:ind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spacing w:line="480" w:lineRule="auto"/>
        <w:ind w:firstLine="200"/>
        <w:rPr>
          <w:rFonts w:ascii="宋体" w:hAnsi="宋体"/>
          <w:highlight w:val="none"/>
        </w:rPr>
      </w:pPr>
    </w:p>
    <w:p>
      <w:pPr>
        <w:tabs>
          <w:tab w:val="left" w:pos="8364"/>
        </w:tabs>
        <w:snapToGrid w:val="0"/>
        <w:spacing w:line="600" w:lineRule="auto"/>
        <w:ind w:firstLine="200"/>
        <w:rPr>
          <w:rFonts w:ascii="宋体" w:hAnsi="宋体"/>
          <w:highlight w:val="none"/>
          <w:u w:val="single"/>
        </w:rPr>
      </w:pPr>
      <w:r>
        <w:rPr>
          <w:rFonts w:ascii="宋体" w:hAnsi="宋体"/>
          <w:highlight w:val="none"/>
        </w:rPr>
        <w:t>比选申请人代表（被授权人）签字或盖章：</w:t>
      </w:r>
      <w:r>
        <w:rPr>
          <w:rFonts w:hint="eastAsia" w:ascii="宋体" w:hAnsi="宋体"/>
          <w:highlight w:val="none"/>
          <w:u w:val="single"/>
        </w:rPr>
        <w:t xml:space="preserve">                    </w:t>
      </w:r>
    </w:p>
    <w:p>
      <w:pPr>
        <w:tabs>
          <w:tab w:val="left" w:pos="8364"/>
        </w:tabs>
        <w:snapToGrid w:val="0"/>
        <w:spacing w:line="600" w:lineRule="auto"/>
        <w:ind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spacing w:line="600" w:lineRule="auto"/>
        <w:ind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spacing w:line="600" w:lineRule="auto"/>
        <w:ind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line="600" w:lineRule="auto"/>
        <w:ind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firstLine="200"/>
        <w:rPr>
          <w:rFonts w:ascii="宋体" w:hAnsi="宋体"/>
          <w:highlight w:val="none"/>
          <w:u w:val="singl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widowControl/>
        <w:numPr>
          <w:ilvl w:val="1"/>
          <w:numId w:val="9"/>
        </w:numPr>
        <w:snapToGrid w:val="0"/>
        <w:spacing w:after="100" w:afterAutospacing="1"/>
        <w:ind w:firstLine="0"/>
        <w:jc w:val="left"/>
        <w:outlineLvl w:val="0"/>
        <w:rPr>
          <w:rFonts w:ascii="宋体" w:hAnsi="宋体"/>
          <w:b/>
          <w:highlight w:val="none"/>
        </w:rPr>
      </w:pPr>
      <w:bookmarkStart w:id="1077" w:name="_Toc13634"/>
      <w:bookmarkStart w:id="1078" w:name="_Toc9583"/>
      <w:bookmarkStart w:id="1079" w:name="_Toc24322"/>
      <w:bookmarkStart w:id="1080" w:name="_Toc15572"/>
      <w:bookmarkStart w:id="1081" w:name="_Toc12984808"/>
      <w:bookmarkStart w:id="1082" w:name="_Toc20436"/>
      <w:bookmarkStart w:id="1083" w:name="_Toc7753"/>
      <w:bookmarkStart w:id="1084" w:name="_Toc375564352"/>
      <w:bookmarkStart w:id="1085" w:name="_Toc27657"/>
      <w:bookmarkStart w:id="1086" w:name="_Toc19744"/>
      <w:bookmarkStart w:id="1087" w:name="_Toc31808"/>
      <w:bookmarkStart w:id="1088" w:name="_Toc13606"/>
      <w:bookmarkStart w:id="1089" w:name="_Toc7273"/>
      <w:bookmarkStart w:id="1090" w:name="_Toc9757"/>
      <w:bookmarkStart w:id="1091" w:name="_Toc15980"/>
      <w:bookmarkStart w:id="1092" w:name="_Toc8654"/>
      <w:bookmarkStart w:id="1093" w:name="_Toc414290523"/>
      <w:bookmarkStart w:id="1094" w:name="_Toc13798"/>
      <w:bookmarkStart w:id="1095" w:name="_Toc492478805"/>
      <w:bookmarkStart w:id="1096" w:name="_Toc25750676"/>
      <w:bookmarkStart w:id="1097" w:name="_Toc17964"/>
      <w:bookmarkStart w:id="1098" w:name="_Toc27722"/>
      <w:bookmarkStart w:id="1099" w:name="_Toc26713"/>
      <w:r>
        <w:rPr>
          <w:rFonts w:ascii="宋体" w:hAnsi="宋体"/>
          <w:b/>
          <w:highlight w:val="none"/>
        </w:rPr>
        <w:t>法定代表人资格证明书格式</w:t>
      </w:r>
    </w:p>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Pr>
        <w:ind w:firstLine="200"/>
        <w:rPr>
          <w:rFonts w:ascii="宋体" w:hAnsi="宋体"/>
          <w:highlight w:val="none"/>
        </w:rPr>
      </w:pPr>
    </w:p>
    <w:p>
      <w:pPr>
        <w:spacing w:before="240" w:after="240"/>
        <w:jc w:val="center"/>
        <w:rPr>
          <w:rFonts w:ascii="宋体" w:hAnsi="宋体"/>
          <w:b/>
          <w:sz w:val="32"/>
          <w:szCs w:val="32"/>
          <w:highlight w:val="none"/>
        </w:rPr>
      </w:pPr>
      <w:r>
        <w:rPr>
          <w:rFonts w:ascii="宋体" w:hAnsi="宋体"/>
          <w:b/>
          <w:sz w:val="32"/>
          <w:szCs w:val="32"/>
          <w:highlight w:val="none"/>
        </w:rPr>
        <w:t>法定代表人资格证明书</w:t>
      </w:r>
    </w:p>
    <w:p>
      <w:pPr>
        <w:spacing w:line="600" w:lineRule="auto"/>
        <w:ind w:firstLine="200"/>
        <w:rPr>
          <w:rFonts w:ascii="宋体" w:hAnsi="宋体"/>
          <w:highlight w:val="none"/>
          <w:u w:val="single"/>
        </w:rPr>
      </w:pPr>
      <w:r>
        <w:rPr>
          <w:rFonts w:ascii="宋体" w:hAnsi="宋体"/>
          <w:highlight w:val="none"/>
        </w:rPr>
        <w:t>单位名称：</w:t>
      </w:r>
      <w:r>
        <w:rPr>
          <w:rFonts w:hint="eastAsia" w:ascii="宋体" w:hAnsi="宋体"/>
          <w:highlight w:val="none"/>
          <w:u w:val="single"/>
        </w:rPr>
        <w:t xml:space="preserve">                      </w:t>
      </w:r>
    </w:p>
    <w:p>
      <w:pPr>
        <w:spacing w:line="600" w:lineRule="auto"/>
        <w:ind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line="600" w:lineRule="auto"/>
        <w:ind w:firstLine="200"/>
        <w:rPr>
          <w:rFonts w:ascii="宋体" w:hAnsi="宋体"/>
          <w:highlight w:val="none"/>
          <w:u w:val="single"/>
        </w:rPr>
      </w:pPr>
      <w:r>
        <w:rPr>
          <w:rFonts w:ascii="宋体" w:hAnsi="宋体"/>
          <w:highlight w:val="none"/>
        </w:rPr>
        <w:t>姓名：</w:t>
      </w:r>
      <w:r>
        <w:rPr>
          <w:rFonts w:hint="eastAsia" w:ascii="宋体" w:hAnsi="宋体"/>
          <w:highlight w:val="none"/>
          <w:u w:val="single"/>
        </w:rPr>
        <w:t xml:space="preserve">            </w:t>
      </w:r>
      <w:r>
        <w:rPr>
          <w:rFonts w:ascii="宋体" w:hAnsi="宋体"/>
          <w:highlight w:val="none"/>
        </w:rPr>
        <w:t>性别：</w:t>
      </w:r>
      <w:r>
        <w:rPr>
          <w:rFonts w:hint="eastAsia" w:ascii="宋体" w:hAnsi="宋体"/>
          <w:highlight w:val="none"/>
          <w:u w:val="single"/>
        </w:rPr>
        <w:t xml:space="preserve">             </w:t>
      </w:r>
      <w:r>
        <w:rPr>
          <w:rFonts w:ascii="宋体" w:hAnsi="宋体"/>
          <w:highlight w:val="none"/>
        </w:rPr>
        <w:t>年龄：</w:t>
      </w:r>
      <w:r>
        <w:rPr>
          <w:rFonts w:hint="eastAsia" w:ascii="宋体" w:hAnsi="宋体"/>
          <w:highlight w:val="none"/>
          <w:u w:val="single"/>
        </w:rPr>
        <w:t xml:space="preserve">           </w:t>
      </w:r>
      <w:r>
        <w:rPr>
          <w:rFonts w:ascii="宋体" w:hAnsi="宋体"/>
          <w:highlight w:val="none"/>
        </w:rPr>
        <w:t>职务：</w:t>
      </w:r>
      <w:r>
        <w:rPr>
          <w:rFonts w:hint="eastAsia" w:ascii="宋体" w:hAnsi="宋体"/>
          <w:highlight w:val="none"/>
          <w:u w:val="single"/>
        </w:rPr>
        <w:t xml:space="preserve">          </w:t>
      </w:r>
    </w:p>
    <w:p>
      <w:pPr>
        <w:spacing w:line="600" w:lineRule="auto"/>
        <w:ind w:firstLine="200"/>
        <w:rPr>
          <w:rFonts w:ascii="宋体" w:hAnsi="宋体"/>
          <w:highlight w:val="none"/>
        </w:rPr>
      </w:pPr>
      <w:r>
        <w:rPr>
          <w:rFonts w:ascii="宋体" w:hAnsi="宋体"/>
          <w:highlight w:val="none"/>
        </w:rPr>
        <w:t>系</w:t>
      </w:r>
      <w:r>
        <w:rPr>
          <w:rFonts w:hint="eastAsia" w:ascii="宋体" w:hAnsi="宋体"/>
          <w:highlight w:val="none"/>
          <w:u w:val="single"/>
        </w:rPr>
        <w:t xml:space="preserve">                               </w:t>
      </w:r>
      <w:r>
        <w:rPr>
          <w:rFonts w:ascii="宋体" w:hAnsi="宋体"/>
          <w:highlight w:val="none"/>
        </w:rPr>
        <w:t>的法定代表人。</w:t>
      </w:r>
    </w:p>
    <w:p>
      <w:pPr>
        <w:spacing w:line="600" w:lineRule="auto"/>
        <w:ind w:firstLine="200"/>
        <w:rPr>
          <w:rFonts w:ascii="宋体" w:hAnsi="宋体"/>
          <w:highlight w:val="none"/>
        </w:rPr>
      </w:pPr>
      <w:r>
        <w:rPr>
          <w:rFonts w:ascii="宋体" w:hAnsi="宋体"/>
          <w:highlight w:val="none"/>
        </w:rPr>
        <w:t>特此证明。</w:t>
      </w:r>
    </w:p>
    <w:p>
      <w:pPr>
        <w:ind w:firstLine="200"/>
        <w:rPr>
          <w:rFonts w:ascii="宋体" w:hAnsi="宋体"/>
          <w:highlight w:val="none"/>
        </w:rPr>
      </w:pPr>
    </w:p>
    <w:p>
      <w:pPr>
        <w:spacing w:line="600" w:lineRule="auto"/>
        <w:ind w:firstLine="200"/>
        <w:rPr>
          <w:rFonts w:ascii="宋体" w:hAnsi="宋体"/>
          <w:highlight w:val="none"/>
          <w:u w:val="single"/>
        </w:rPr>
      </w:pPr>
      <w:r>
        <w:rPr>
          <w:rFonts w:ascii="宋体" w:hAnsi="宋体"/>
          <w:highlight w:val="none"/>
        </w:rPr>
        <w:t>比选申请人：（盖章）</w:t>
      </w:r>
      <w:r>
        <w:rPr>
          <w:rFonts w:hint="eastAsia" w:ascii="宋体" w:hAnsi="宋体"/>
          <w:highlight w:val="none"/>
          <w:u w:val="single"/>
        </w:rPr>
        <w:t xml:space="preserve">                   </w:t>
      </w:r>
    </w:p>
    <w:p>
      <w:pPr>
        <w:spacing w:line="600" w:lineRule="auto"/>
        <w:ind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spacing w:line="600" w:lineRule="auto"/>
        <w:ind w:firstLine="211" w:firstLineChars="100"/>
        <w:rPr>
          <w:rFonts w:ascii="宋体" w:hAnsi="宋体"/>
          <w:b/>
          <w:highlight w:val="none"/>
        </w:rPr>
      </w:pPr>
      <w:bookmarkStart w:id="1100"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ageBreakBefore/>
        <w:snapToGrid w:val="0"/>
        <w:ind w:firstLine="422" w:firstLineChars="200"/>
        <w:jc w:val="left"/>
        <w:outlineLvl w:val="0"/>
        <w:rPr>
          <w:rFonts w:ascii="宋体" w:hAnsi="宋体"/>
          <w:b/>
          <w:highlight w:val="none"/>
        </w:rPr>
      </w:pPr>
      <w:bookmarkStart w:id="1101" w:name="_Toc21307"/>
      <w:bookmarkStart w:id="1102" w:name="_Toc6033"/>
      <w:bookmarkStart w:id="1103" w:name="_Toc375564353"/>
      <w:bookmarkStart w:id="1104" w:name="_Toc492478806"/>
      <w:bookmarkStart w:id="1105" w:name="_Toc7712"/>
      <w:bookmarkStart w:id="1106" w:name="_Toc15394"/>
      <w:bookmarkStart w:id="1107" w:name="_Toc4894"/>
      <w:bookmarkStart w:id="1108" w:name="_Toc26097"/>
      <w:bookmarkStart w:id="1109" w:name="_Toc32062"/>
      <w:bookmarkStart w:id="1110" w:name="_Toc24848"/>
      <w:bookmarkStart w:id="1111" w:name="_Toc29246"/>
      <w:bookmarkStart w:id="1112" w:name="_Toc16467"/>
      <w:bookmarkStart w:id="1113" w:name="_Toc19721"/>
      <w:bookmarkStart w:id="1114" w:name="_Toc3426"/>
      <w:bookmarkStart w:id="1115" w:name="_Toc11425"/>
      <w:bookmarkStart w:id="1116" w:name="_Toc414290524"/>
      <w:bookmarkStart w:id="1117" w:name="_Toc26907"/>
      <w:bookmarkStart w:id="1118" w:name="_Toc25750677"/>
      <w:bookmarkStart w:id="1119" w:name="_Toc15609"/>
      <w:bookmarkStart w:id="1120" w:name="_Toc31448"/>
      <w:bookmarkStart w:id="1121" w:name="_Toc1932"/>
      <w:bookmarkStart w:id="1122" w:name="_Toc17745"/>
      <w:r>
        <w:rPr>
          <w:rFonts w:hint="eastAsia" w:ascii="宋体" w:hAnsi="宋体"/>
          <w:b/>
          <w:highlight w:val="none"/>
        </w:rPr>
        <w:t xml:space="preserve">A3 </w:t>
      </w:r>
      <w:r>
        <w:rPr>
          <w:rFonts w:ascii="宋体" w:hAnsi="宋体"/>
          <w:b/>
          <w:highlight w:val="none"/>
        </w:rPr>
        <w:t>承诺书格式</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spacing w:before="240" w:after="240" w:line="360" w:lineRule="exact"/>
        <w:jc w:val="center"/>
        <w:rPr>
          <w:rFonts w:ascii="宋体" w:hAnsi="宋体"/>
          <w:b/>
          <w:sz w:val="32"/>
          <w:szCs w:val="32"/>
          <w:highlight w:val="none"/>
        </w:rPr>
      </w:pPr>
      <w:r>
        <w:rPr>
          <w:rFonts w:ascii="宋体" w:hAnsi="宋体"/>
          <w:b/>
          <w:sz w:val="32"/>
          <w:szCs w:val="32"/>
          <w:highlight w:val="none"/>
        </w:rPr>
        <w:t>承诺书</w:t>
      </w:r>
    </w:p>
    <w:p>
      <w:pPr>
        <w:widowControl/>
        <w:spacing w:line="360" w:lineRule="auto"/>
        <w:ind w:firstLine="420" w:firstLineChars="200"/>
        <w:jc w:val="left"/>
        <w:rPr>
          <w:rFonts w:ascii="宋体" w:hAnsi="宋体"/>
          <w:kern w:val="0"/>
          <w:szCs w:val="21"/>
          <w:highlight w:val="none"/>
        </w:rPr>
      </w:pPr>
      <w:bookmarkStart w:id="1123" w:name="_Toc11582"/>
      <w:bookmarkStart w:id="1124" w:name="_Toc28662"/>
      <w:bookmarkStart w:id="1125" w:name="_Toc12983551"/>
      <w:bookmarkStart w:id="1126" w:name="_Toc14586"/>
      <w:bookmarkStart w:id="1127" w:name="_Toc29358"/>
      <w:bookmarkStart w:id="1128" w:name="_Toc12677"/>
      <w:bookmarkStart w:id="1129" w:name="_Toc18876"/>
      <w:bookmarkStart w:id="1130" w:name="_Toc8874"/>
      <w:bookmarkStart w:id="1131" w:name="_Toc17687"/>
      <w:bookmarkStart w:id="1132" w:name="_Toc27820"/>
      <w:bookmarkStart w:id="1133" w:name="_Toc24971"/>
      <w:bookmarkStart w:id="1134" w:name="_Toc23770"/>
      <w:bookmarkStart w:id="1135" w:name="_Toc16676"/>
      <w:bookmarkStart w:id="1136" w:name="_Toc13328"/>
      <w:bookmarkStart w:id="1137" w:name="_Toc10812"/>
      <w:bookmarkStart w:id="1138" w:name="_Toc492478807"/>
      <w:bookmarkStart w:id="1139" w:name="_Toc14988"/>
      <w:bookmarkStart w:id="1140" w:name="_Toc8914"/>
      <w:bookmarkStart w:id="1141" w:name="_Toc414290525"/>
      <w:bookmarkStart w:id="1142" w:name="_Toc12984811"/>
      <w:bookmarkStart w:id="1143" w:name="_Toc8451"/>
      <w:bookmarkStart w:id="1144" w:name="_Toc25750679"/>
      <w:r>
        <w:rPr>
          <w:rFonts w:ascii="宋体" w:hAnsi="宋体"/>
          <w:kern w:val="0"/>
          <w:szCs w:val="21"/>
          <w:highlight w:val="none"/>
        </w:rPr>
        <w:t>致：</w:t>
      </w:r>
      <w:r>
        <w:rPr>
          <w:rFonts w:hint="eastAsia" w:ascii="宋体" w:hAnsi="宋体"/>
          <w:kern w:val="0"/>
          <w:szCs w:val="21"/>
          <w:highlight w:val="none"/>
        </w:rPr>
        <w:t>南宁市金盾道路清障有限责任公司</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1、在认真研读</w:t>
      </w:r>
      <w:r>
        <w:rPr>
          <w:rFonts w:hint="eastAsia" w:ascii="宋体" w:hAnsi="宋体"/>
          <w:kern w:val="0"/>
          <w:szCs w:val="21"/>
          <w:highlight w:val="none"/>
        </w:rPr>
        <w:t>南宁市金盾道路清障有限责任公司的比选文件</w:t>
      </w:r>
      <w:r>
        <w:rPr>
          <w:rFonts w:ascii="宋体" w:hAnsi="宋体"/>
          <w:kern w:val="0"/>
          <w:szCs w:val="21"/>
          <w:highlight w:val="none"/>
        </w:rPr>
        <w:t>后，我方经慎重考虑，郑重承诺参加</w:t>
      </w:r>
      <w:r>
        <w:rPr>
          <w:rFonts w:hint="eastAsia" w:ascii="宋体" w:hAnsi="宋体"/>
          <w:kern w:val="0"/>
          <w:szCs w:val="21"/>
          <w:highlight w:val="none"/>
        </w:rPr>
        <w:t>项目的比选申请</w:t>
      </w:r>
      <w:r>
        <w:rPr>
          <w:rFonts w:ascii="宋体" w:hAnsi="宋体"/>
          <w:kern w:val="0"/>
          <w:szCs w:val="21"/>
          <w:highlight w:val="none"/>
        </w:rPr>
        <w:t>活动。</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2、我方按照贵方</w:t>
      </w:r>
      <w:r>
        <w:rPr>
          <w:rFonts w:hint="eastAsia" w:ascii="宋体" w:hAnsi="宋体"/>
          <w:kern w:val="0"/>
          <w:szCs w:val="21"/>
          <w:highlight w:val="none"/>
        </w:rPr>
        <w:t>比选文件</w:t>
      </w:r>
      <w:r>
        <w:rPr>
          <w:rFonts w:ascii="宋体" w:hAnsi="宋体"/>
          <w:kern w:val="0"/>
          <w:szCs w:val="21"/>
          <w:highlight w:val="none"/>
        </w:rPr>
        <w:t>要求的内容与格式，已编制完成</w:t>
      </w:r>
      <w:r>
        <w:rPr>
          <w:rFonts w:hint="eastAsia" w:ascii="宋体" w:hAnsi="宋体"/>
          <w:kern w:val="0"/>
          <w:szCs w:val="21"/>
          <w:highlight w:val="none"/>
        </w:rPr>
        <w:t>比选申请文件</w:t>
      </w:r>
      <w:r>
        <w:rPr>
          <w:rFonts w:ascii="宋体" w:hAnsi="宋体"/>
          <w:kern w:val="0"/>
          <w:szCs w:val="21"/>
          <w:highlight w:val="none"/>
        </w:rPr>
        <w:t>，现报上。</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3</w:t>
      </w:r>
      <w:r>
        <w:rPr>
          <w:rFonts w:ascii="宋体" w:hAnsi="宋体"/>
          <w:kern w:val="0"/>
          <w:szCs w:val="21"/>
          <w:highlight w:val="none"/>
        </w:rPr>
        <w:t>、</w:t>
      </w:r>
      <w:r>
        <w:rPr>
          <w:rFonts w:hint="eastAsia" w:ascii="宋体" w:hAnsi="宋体"/>
          <w:kern w:val="0"/>
          <w:szCs w:val="21"/>
          <w:highlight w:val="none"/>
        </w:rPr>
        <w:t>我方</w:t>
      </w:r>
      <w:r>
        <w:rPr>
          <w:rFonts w:ascii="宋体" w:hAnsi="宋体"/>
          <w:kern w:val="0"/>
          <w:szCs w:val="21"/>
          <w:highlight w:val="none"/>
        </w:rPr>
        <w:t>承诺：在</w:t>
      </w:r>
      <w:r>
        <w:rPr>
          <w:rFonts w:hint="eastAsia" w:ascii="宋体" w:hAnsi="宋体"/>
          <w:kern w:val="0"/>
          <w:szCs w:val="21"/>
          <w:highlight w:val="none"/>
        </w:rPr>
        <w:t>评审</w:t>
      </w:r>
      <w:r>
        <w:rPr>
          <w:rFonts w:ascii="宋体" w:hAnsi="宋体"/>
          <w:kern w:val="0"/>
          <w:szCs w:val="21"/>
          <w:highlight w:val="none"/>
        </w:rPr>
        <w:t>过程中，贵方可调查、审核我方提交的与本</w:t>
      </w:r>
      <w:r>
        <w:rPr>
          <w:rFonts w:hint="eastAsia" w:ascii="宋体" w:hAnsi="宋体"/>
          <w:kern w:val="0"/>
          <w:szCs w:val="21"/>
          <w:highlight w:val="none"/>
        </w:rPr>
        <w:t>比选申请文件</w:t>
      </w:r>
      <w:r>
        <w:rPr>
          <w:rFonts w:ascii="宋体" w:hAnsi="宋体"/>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pacing w:line="360" w:lineRule="auto"/>
        <w:ind w:firstLine="420" w:firstLineChars="200"/>
        <w:jc w:val="left"/>
        <w:rPr>
          <w:rFonts w:ascii="宋体" w:hAnsi="宋体"/>
          <w:b/>
          <w:bCs/>
          <w:kern w:val="0"/>
          <w:szCs w:val="21"/>
          <w:highlight w:val="none"/>
        </w:rPr>
      </w:pPr>
      <w:r>
        <w:rPr>
          <w:rFonts w:hint="eastAsia" w:ascii="宋体" w:hAnsi="宋体"/>
          <w:kern w:val="0"/>
          <w:szCs w:val="21"/>
          <w:highlight w:val="none"/>
        </w:rPr>
        <w:t>4</w:t>
      </w:r>
      <w:r>
        <w:rPr>
          <w:rFonts w:ascii="宋体" w:hAnsi="宋体"/>
          <w:kern w:val="0"/>
          <w:szCs w:val="21"/>
          <w:highlight w:val="none"/>
        </w:rPr>
        <w:t>、</w:t>
      </w:r>
      <w:r>
        <w:rPr>
          <w:rFonts w:hint="eastAsia" w:ascii="宋体" w:hAnsi="宋体"/>
          <w:kern w:val="0"/>
          <w:szCs w:val="21"/>
          <w:highlight w:val="none"/>
        </w:rPr>
        <w:t>我方</w:t>
      </w:r>
      <w:r>
        <w:rPr>
          <w:rFonts w:ascii="宋体" w:hAnsi="宋体"/>
          <w:kern w:val="0"/>
          <w:szCs w:val="21"/>
          <w:highlight w:val="none"/>
        </w:rPr>
        <w:t>郑重承诺：</w:t>
      </w:r>
      <w:r>
        <w:rPr>
          <w:rFonts w:ascii="宋体" w:hAnsi="宋体"/>
          <w:b/>
          <w:bCs/>
          <w:kern w:val="0"/>
          <w:szCs w:val="21"/>
          <w:highlight w:val="none"/>
        </w:rPr>
        <w:t>我方保证</w:t>
      </w:r>
      <w:r>
        <w:rPr>
          <w:rFonts w:hint="eastAsia" w:ascii="宋体" w:hAnsi="宋体"/>
          <w:b/>
          <w:bCs/>
          <w:kern w:val="0"/>
          <w:szCs w:val="21"/>
          <w:highlight w:val="none"/>
        </w:rPr>
        <w:t>没有处于被广西行政主管部门或业主取消比选资格的处罚期内，且没有处于被责令停业，财产被接管、破产状态，比选截止时间前3年内没有骗取中选、严重违约或重大质量安全责任事故的情况。</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5、</w:t>
      </w:r>
      <w:r>
        <w:rPr>
          <w:rFonts w:ascii="宋体" w:hAnsi="宋体"/>
          <w:kern w:val="0"/>
          <w:szCs w:val="21"/>
          <w:highlight w:val="none"/>
        </w:rPr>
        <w:t>如果</w:t>
      </w:r>
      <w:r>
        <w:rPr>
          <w:rFonts w:hint="eastAsia" w:ascii="宋体" w:hAnsi="宋体"/>
          <w:kern w:val="0"/>
          <w:szCs w:val="21"/>
          <w:highlight w:val="none"/>
        </w:rPr>
        <w:t>我公司</w:t>
      </w:r>
      <w:r>
        <w:rPr>
          <w:rFonts w:ascii="宋体" w:hAnsi="宋体"/>
          <w:kern w:val="0"/>
          <w:szCs w:val="21"/>
          <w:highlight w:val="none"/>
        </w:rPr>
        <w:t>在该项目</w:t>
      </w:r>
      <w:r>
        <w:rPr>
          <w:rFonts w:hint="eastAsia" w:ascii="宋体" w:hAnsi="宋体"/>
          <w:kern w:val="0"/>
          <w:szCs w:val="21"/>
          <w:highlight w:val="none"/>
        </w:rPr>
        <w:t>报名、</w:t>
      </w:r>
      <w:r>
        <w:rPr>
          <w:rFonts w:ascii="宋体" w:hAnsi="宋体"/>
          <w:kern w:val="0"/>
          <w:szCs w:val="21"/>
          <w:highlight w:val="none"/>
        </w:rPr>
        <w:t>比选申请过程中或者在中选后，比选人或者有管辖权的行政监管机构发现并查实我公司在所填报的该项目</w:t>
      </w:r>
      <w:r>
        <w:rPr>
          <w:rFonts w:hint="eastAsia" w:ascii="宋体" w:hAnsi="宋体"/>
          <w:kern w:val="0"/>
          <w:szCs w:val="21"/>
          <w:highlight w:val="none"/>
        </w:rPr>
        <w:t>比选申请文件</w:t>
      </w:r>
      <w:r>
        <w:rPr>
          <w:rFonts w:ascii="宋体" w:hAnsi="宋体"/>
          <w:kern w:val="0"/>
          <w:szCs w:val="21"/>
          <w:highlight w:val="none"/>
        </w:rPr>
        <w:t>中存在提供虚假或不真实的信息或者伪造数据、资料或证书等情况，</w:t>
      </w:r>
      <w:r>
        <w:rPr>
          <w:rFonts w:hint="eastAsia" w:ascii="宋体" w:hAnsi="宋体"/>
          <w:kern w:val="0"/>
          <w:szCs w:val="21"/>
          <w:highlight w:val="none"/>
        </w:rPr>
        <w:t>视为我公司违约，我公司愿意接受</w:t>
      </w:r>
      <w:r>
        <w:rPr>
          <w:rFonts w:ascii="宋体" w:hAnsi="宋体"/>
          <w:kern w:val="0"/>
          <w:szCs w:val="21"/>
          <w:highlight w:val="none"/>
        </w:rPr>
        <w:t>比选人或有管辖权的监管机构的处罚；如果我公司已</w:t>
      </w:r>
      <w:r>
        <w:rPr>
          <w:rFonts w:hint="eastAsia" w:ascii="宋体" w:hAnsi="宋体"/>
          <w:kern w:val="0"/>
          <w:szCs w:val="21"/>
          <w:highlight w:val="none"/>
        </w:rPr>
        <w:t>与比选人签订合同，则视为我公司违约，履约保证金由比选人没收</w:t>
      </w:r>
      <w:r>
        <w:rPr>
          <w:rFonts w:ascii="宋体" w:hAnsi="宋体"/>
          <w:kern w:val="0"/>
          <w:szCs w:val="21"/>
          <w:highlight w:val="none"/>
        </w:rPr>
        <w:t>；由此造成的任何后果和损失均由我公司承担。本段承诺既是我公司</w:t>
      </w:r>
      <w:r>
        <w:rPr>
          <w:rFonts w:hint="eastAsia" w:ascii="宋体" w:hAnsi="宋体"/>
          <w:kern w:val="0"/>
          <w:szCs w:val="21"/>
          <w:highlight w:val="none"/>
        </w:rPr>
        <w:t>比选申请文件</w:t>
      </w:r>
      <w:r>
        <w:rPr>
          <w:rFonts w:ascii="宋体" w:hAnsi="宋体"/>
          <w:kern w:val="0"/>
          <w:szCs w:val="21"/>
          <w:highlight w:val="none"/>
        </w:rPr>
        <w:t>的有效组成内容，也是我公司真实意思的表示，对我公司在与该项目有关的任何行为中始终具有优先的法律约束力。</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6</w:t>
      </w:r>
      <w:r>
        <w:rPr>
          <w:rFonts w:ascii="宋体" w:hAnsi="宋体"/>
          <w:kern w:val="0"/>
          <w:szCs w:val="21"/>
          <w:highlight w:val="none"/>
        </w:rPr>
        <w:t>、我方了解：无论</w:t>
      </w:r>
      <w:r>
        <w:rPr>
          <w:rFonts w:hint="eastAsia" w:ascii="宋体" w:hAnsi="宋体"/>
          <w:kern w:val="0"/>
          <w:szCs w:val="21"/>
          <w:highlight w:val="none"/>
        </w:rPr>
        <w:t>是否中选</w:t>
      </w:r>
      <w:r>
        <w:rPr>
          <w:rFonts w:ascii="宋体" w:hAnsi="宋体"/>
          <w:kern w:val="0"/>
          <w:szCs w:val="21"/>
          <w:highlight w:val="none"/>
        </w:rPr>
        <w:t>，我方将自行承担与</w:t>
      </w:r>
      <w:r>
        <w:rPr>
          <w:rFonts w:hint="eastAsia" w:ascii="宋体" w:hAnsi="宋体"/>
          <w:kern w:val="0"/>
          <w:szCs w:val="21"/>
          <w:highlight w:val="none"/>
        </w:rPr>
        <w:t>招比选申请</w:t>
      </w:r>
      <w:r>
        <w:rPr>
          <w:rFonts w:ascii="宋体" w:hAnsi="宋体"/>
          <w:kern w:val="0"/>
          <w:szCs w:val="21"/>
          <w:highlight w:val="none"/>
        </w:rPr>
        <w:t>活动所需的一切费用。</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我</w:t>
      </w:r>
      <w:r>
        <w:rPr>
          <w:rFonts w:hint="eastAsia" w:ascii="宋体" w:hAnsi="宋体"/>
          <w:kern w:val="0"/>
          <w:szCs w:val="21"/>
          <w:highlight w:val="none"/>
        </w:rPr>
        <w:t>方</w:t>
      </w:r>
      <w:r>
        <w:rPr>
          <w:rFonts w:ascii="宋体" w:hAnsi="宋体"/>
          <w:kern w:val="0"/>
          <w:szCs w:val="21"/>
          <w:highlight w:val="none"/>
        </w:rPr>
        <w:t>声明，我们所填报的资料是完全真实和准确的，并愿为此承担任何相关的法律责任。</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地址：</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 xml:space="preserve">    (</w:t>
      </w:r>
      <w:r>
        <w:rPr>
          <w:rFonts w:hint="eastAsia" w:ascii="宋体" w:hAnsi="宋体"/>
          <w:kern w:val="0"/>
          <w:szCs w:val="21"/>
          <w:highlight w:val="none"/>
        </w:rPr>
        <w:t>盖单位公章</w:t>
      </w:r>
      <w:r>
        <w:rPr>
          <w:rFonts w:ascii="宋体" w:hAnsi="宋体"/>
          <w:kern w:val="0"/>
          <w:szCs w:val="21"/>
          <w:highlight w:val="none"/>
        </w:rPr>
        <w:t>)</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邮政编码：</w:t>
      </w:r>
    </w:p>
    <w:p>
      <w:pPr>
        <w:widowControl/>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法定代表人（或委托代理人）：</w:t>
      </w:r>
      <w:r>
        <w:rPr>
          <w:rFonts w:ascii="宋体" w:hAnsi="宋体"/>
          <w:kern w:val="0"/>
          <w:szCs w:val="21"/>
          <w:highlight w:val="none"/>
        </w:rPr>
        <w:t>(签字</w:t>
      </w:r>
      <w:r>
        <w:rPr>
          <w:rFonts w:hint="eastAsia" w:ascii="宋体" w:hAnsi="宋体"/>
          <w:kern w:val="0"/>
          <w:szCs w:val="21"/>
          <w:highlight w:val="none"/>
        </w:rPr>
        <w:t>或盖章</w:t>
      </w:r>
      <w:r>
        <w:rPr>
          <w:rFonts w:ascii="宋体" w:hAnsi="宋体"/>
          <w:kern w:val="0"/>
          <w:szCs w:val="21"/>
          <w:highlight w:val="none"/>
        </w:rPr>
        <w:t>)</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电话：　　</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传真：</w:t>
      </w:r>
    </w:p>
    <w:p>
      <w:pPr>
        <w:widowControl/>
        <w:spacing w:line="360" w:lineRule="auto"/>
        <w:ind w:firstLine="420" w:firstLineChars="200"/>
        <w:jc w:val="left"/>
        <w:rPr>
          <w:rFonts w:ascii="宋体" w:hAnsi="宋体"/>
          <w:kern w:val="0"/>
          <w:szCs w:val="21"/>
          <w:highlight w:val="none"/>
        </w:rPr>
      </w:pPr>
      <w:r>
        <w:rPr>
          <w:rFonts w:ascii="宋体" w:hAnsi="宋体"/>
          <w:kern w:val="0"/>
          <w:szCs w:val="21"/>
          <w:highlight w:val="none"/>
        </w:rPr>
        <w:t>日期：年月日</w:t>
      </w:r>
    </w:p>
    <w:p>
      <w:pPr>
        <w:pStyle w:val="4"/>
        <w:pageBreakBefore/>
        <w:spacing w:after="100"/>
        <w:ind w:right="-57"/>
        <w:jc w:val="center"/>
        <w:rPr>
          <w:rFonts w:ascii="宋体" w:hAnsi="宋体"/>
          <w:sz w:val="24"/>
          <w:szCs w:val="24"/>
          <w:highlight w:val="none"/>
        </w:rPr>
      </w:pPr>
      <w:r>
        <w:rPr>
          <w:rFonts w:ascii="宋体" w:hAnsi="宋体"/>
          <w:sz w:val="24"/>
          <w:szCs w:val="24"/>
          <w:highlight w:val="none"/>
        </w:rPr>
        <w:t xml:space="preserve">B </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Fonts w:hint="eastAsia" w:ascii="宋体" w:hAnsi="宋体"/>
          <w:sz w:val="24"/>
          <w:szCs w:val="24"/>
          <w:highlight w:val="none"/>
        </w:rPr>
        <w:t>价格文件</w:t>
      </w:r>
      <w:bookmarkEnd w:id="1144"/>
    </w:p>
    <w:p>
      <w:pPr>
        <w:spacing w:line="360" w:lineRule="auto"/>
        <w:ind w:firstLine="422" w:firstLineChars="200"/>
        <w:jc w:val="left"/>
        <w:rPr>
          <w:rFonts w:ascii="宋体" w:hAnsi="宋体"/>
          <w:b/>
          <w:highlight w:val="none"/>
        </w:rPr>
      </w:pPr>
      <w:r>
        <w:rPr>
          <w:rFonts w:hint="eastAsia" w:ascii="宋体" w:hAnsi="宋体"/>
          <w:b/>
          <w:highlight w:val="none"/>
        </w:rPr>
        <w:t>价格文件格式</w:t>
      </w:r>
    </w:p>
    <w:p>
      <w:pPr>
        <w:spacing w:line="360" w:lineRule="auto"/>
        <w:ind w:firstLine="420" w:firstLineChars="200"/>
        <w:rPr>
          <w:highlight w:val="none"/>
        </w:rPr>
      </w:pPr>
      <w:r>
        <w:rPr>
          <w:rFonts w:hint="eastAsia"/>
          <w:highlight w:val="none"/>
        </w:rPr>
        <w:t>（</w:t>
      </w:r>
      <w:r>
        <w:rPr>
          <w:highlight w:val="none"/>
        </w:rPr>
        <w:t>1</w:t>
      </w:r>
      <w:r>
        <w:rPr>
          <w:rFonts w:hint="eastAsia"/>
          <w:highlight w:val="none"/>
        </w:rPr>
        <w:t>）比选申请报价一览表（格式见B1）；</w:t>
      </w:r>
    </w:p>
    <w:p>
      <w:pPr>
        <w:spacing w:line="360" w:lineRule="auto"/>
        <w:ind w:firstLine="420" w:firstLineChars="200"/>
        <w:rPr>
          <w:highlight w:val="none"/>
        </w:rPr>
      </w:pPr>
      <w:r>
        <w:rPr>
          <w:rFonts w:hint="eastAsia"/>
          <w:highlight w:val="none"/>
        </w:rPr>
        <w:t>（</w:t>
      </w:r>
      <w:r>
        <w:rPr>
          <w:highlight w:val="none"/>
        </w:rPr>
        <w:t>2</w:t>
      </w:r>
      <w:r>
        <w:rPr>
          <w:rFonts w:hint="eastAsia"/>
          <w:highlight w:val="none"/>
        </w:rPr>
        <w:t>）比选申请函（格式见B2）；</w:t>
      </w:r>
    </w:p>
    <w:p>
      <w:pPr>
        <w:spacing w:line="360" w:lineRule="auto"/>
        <w:ind w:firstLine="420" w:firstLineChars="200"/>
        <w:rPr>
          <w:highlight w:val="none"/>
        </w:rPr>
      </w:pPr>
      <w:r>
        <w:rPr>
          <w:rFonts w:hint="eastAsia"/>
          <w:highlight w:val="none"/>
        </w:rPr>
        <w:t>（</w:t>
      </w:r>
      <w:r>
        <w:rPr>
          <w:highlight w:val="none"/>
        </w:rPr>
        <w:t>3</w:t>
      </w:r>
      <w:r>
        <w:rPr>
          <w:rFonts w:hint="eastAsia"/>
          <w:highlight w:val="none"/>
        </w:rPr>
        <w:t>）比选申请报价表（格式见B3）；</w:t>
      </w:r>
    </w:p>
    <w:p>
      <w:pPr>
        <w:pStyle w:val="77"/>
        <w:widowControl/>
        <w:snapToGrid w:val="0"/>
        <w:spacing w:before="0" w:line="360" w:lineRule="auto"/>
        <w:ind w:left="0" w:right="720" w:firstLine="420" w:firstLineChars="200"/>
        <w:outlineLvl w:val="1"/>
        <w:rPr>
          <w:rFonts w:cs="宋体" w:asciiTheme="minorEastAsia" w:hAnsiTheme="minorEastAsia" w:eastAsiaTheme="minorEastAsia"/>
          <w:sz w:val="21"/>
          <w:szCs w:val="21"/>
          <w:highlight w:val="none"/>
        </w:rPr>
      </w:pPr>
      <w:r>
        <w:rPr>
          <w:rFonts w:hint="eastAsia"/>
          <w:sz w:val="21"/>
          <w:szCs w:val="21"/>
          <w:highlight w:val="none"/>
        </w:rPr>
        <w:t>（4）比选申请人认为应提交的其他比选申请资料（如有）。</w:t>
      </w: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77"/>
        <w:widowControl/>
        <w:snapToGrid w:val="0"/>
        <w:spacing w:before="0" w:line="360" w:lineRule="auto"/>
        <w:ind w:left="0" w:right="720"/>
        <w:outlineLvl w:val="1"/>
        <w:rPr>
          <w:rFonts w:cs="宋体" w:asciiTheme="minorEastAsia" w:hAnsiTheme="minorEastAsia" w:eastAsiaTheme="minorEastAsia"/>
          <w:szCs w:val="24"/>
          <w:highlight w:val="none"/>
        </w:rPr>
      </w:pPr>
    </w:p>
    <w:p>
      <w:pPr>
        <w:pStyle w:val="5"/>
        <w:tabs>
          <w:tab w:val="left" w:pos="567"/>
          <w:tab w:val="left" w:pos="720"/>
        </w:tabs>
        <w:snapToGrid w:val="0"/>
        <w:spacing w:after="100" w:line="360" w:lineRule="auto"/>
        <w:ind w:right="-57"/>
        <w:jc w:val="left"/>
        <w:rPr>
          <w:rFonts w:ascii="宋体" w:hAnsi="宋体" w:eastAsia="宋体"/>
          <w:sz w:val="21"/>
          <w:szCs w:val="21"/>
          <w:highlight w:val="none"/>
        </w:rPr>
      </w:pPr>
      <w:bookmarkStart w:id="1145" w:name="_Toc12951"/>
      <w:bookmarkStart w:id="1146" w:name="_Toc12983552"/>
      <w:bookmarkStart w:id="1147" w:name="_Toc1158"/>
      <w:bookmarkStart w:id="1148" w:name="_Toc414290526"/>
      <w:bookmarkStart w:id="1149" w:name="_Toc29231"/>
      <w:bookmarkStart w:id="1150" w:name="_Toc16489"/>
      <w:bookmarkStart w:id="1151" w:name="_Toc6992"/>
      <w:bookmarkStart w:id="1152" w:name="_Toc375564355"/>
      <w:bookmarkStart w:id="1153" w:name="_Toc9861"/>
      <w:bookmarkStart w:id="1154" w:name="_Toc9560"/>
      <w:bookmarkStart w:id="1155" w:name="_Toc18516"/>
      <w:bookmarkStart w:id="1156" w:name="_Toc27610"/>
      <w:bookmarkStart w:id="1157" w:name="_Toc7004"/>
      <w:bookmarkStart w:id="1158" w:name="_Toc18340"/>
      <w:bookmarkStart w:id="1159" w:name="_Toc29688"/>
      <w:bookmarkStart w:id="1160" w:name="_Toc12984812"/>
      <w:bookmarkStart w:id="1161" w:name="_Toc24487"/>
      <w:bookmarkStart w:id="1162" w:name="_Toc23615"/>
      <w:bookmarkStart w:id="1163" w:name="_Toc492478808"/>
      <w:bookmarkStart w:id="1164" w:name="_Toc13980"/>
      <w:bookmarkStart w:id="1165" w:name="_Toc10991"/>
      <w:bookmarkStart w:id="1166" w:name="_Toc25419"/>
      <w:bookmarkStart w:id="1167" w:name="_Toc24326"/>
      <w:bookmarkStart w:id="1168" w:name="_Toc25750680"/>
      <w:r>
        <w:rPr>
          <w:rFonts w:ascii="宋体" w:hAnsi="宋体" w:eastAsia="宋体"/>
          <w:sz w:val="21"/>
          <w:szCs w:val="21"/>
          <w:highlight w:val="none"/>
        </w:rPr>
        <w:t>B1比选申请报价一览表</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snapToGrid w:val="0"/>
        <w:spacing w:after="50"/>
        <w:ind w:right="-57"/>
        <w:jc w:val="center"/>
        <w:rPr>
          <w:rFonts w:ascii="宋体" w:hAnsi="宋体"/>
          <w:b/>
          <w:sz w:val="24"/>
          <w:szCs w:val="24"/>
          <w:highlight w:val="none"/>
        </w:rPr>
      </w:pPr>
      <w:r>
        <w:rPr>
          <w:rFonts w:hint="eastAsia" w:ascii="宋体" w:hAnsi="宋体"/>
          <w:b/>
          <w:sz w:val="24"/>
          <w:szCs w:val="24"/>
          <w:highlight w:val="none"/>
        </w:rPr>
        <w:t>比选申请报价一览表</w:t>
      </w:r>
    </w:p>
    <w:p>
      <w:pPr>
        <w:ind w:firstLine="420" w:firstLineChars="200"/>
        <w:rPr>
          <w:rFonts w:ascii="宋体" w:hAnsi="宋体"/>
          <w:highlight w:val="none"/>
          <w:u w:val="single"/>
        </w:rPr>
      </w:pPr>
      <w:r>
        <w:rPr>
          <w:rFonts w:hint="eastAsia" w:ascii="宋体" w:hAnsi="宋体"/>
          <w:highlight w:val="none"/>
        </w:rPr>
        <w:t>项目名称：</w:t>
      </w:r>
      <w:r>
        <w:rPr>
          <w:rFonts w:hint="eastAsia" w:ascii="宋体" w:hAnsi="宋体" w:cs="宋体"/>
          <w:highlight w:val="none"/>
        </w:rPr>
        <w:t>南宁市金盾道路清障有限责任公司那洪分公司电梯采购安装项目</w:t>
      </w:r>
    </w:p>
    <w:p>
      <w:pPr>
        <w:snapToGrid w:val="0"/>
        <w:spacing w:line="360" w:lineRule="auto"/>
        <w:ind w:right="-57" w:rightChars="-27" w:firstLine="420" w:firstLineChars="200"/>
        <w:rPr>
          <w:rFonts w:ascii="宋体" w:hAnsi="宋体"/>
          <w:highlight w:val="none"/>
        </w:rPr>
      </w:pPr>
    </w:p>
    <w:p>
      <w:pPr>
        <w:snapToGrid w:val="0"/>
        <w:spacing w:line="360" w:lineRule="auto"/>
        <w:ind w:right="-57" w:rightChars="-27" w:firstLine="420" w:firstLineChars="200"/>
        <w:rPr>
          <w:rFonts w:ascii="宋体" w:hAnsi="宋体"/>
          <w:highlight w:val="none"/>
        </w:rPr>
      </w:pPr>
      <w:r>
        <w:rPr>
          <w:rFonts w:hint="eastAsia" w:ascii="宋体" w:hAnsi="宋体"/>
          <w:highlight w:val="none"/>
        </w:rPr>
        <w:t>项目编号：</w:t>
      </w:r>
    </w:p>
    <w:p>
      <w:pPr>
        <w:snapToGrid w:val="0"/>
        <w:spacing w:line="360" w:lineRule="auto"/>
        <w:ind w:right="-57" w:rightChars="-27" w:firstLine="420" w:firstLineChars="200"/>
        <w:rPr>
          <w:rFonts w:ascii="宋体" w:hAnsi="宋体"/>
          <w:highlight w:val="none"/>
        </w:rPr>
      </w:pPr>
      <w:r>
        <w:rPr>
          <w:rFonts w:hint="eastAsia" w:ascii="宋体" w:hAnsi="宋体"/>
          <w:highlight w:val="none"/>
        </w:rPr>
        <w:t>比选申请人名称：</w:t>
      </w:r>
      <w:r>
        <w:rPr>
          <w:rFonts w:hint="eastAsia" w:ascii="宋体" w:hAnsi="宋体"/>
          <w:highlight w:val="none"/>
          <w:u w:val="single"/>
        </w:rPr>
        <w:t xml:space="preserve">                           </w:t>
      </w:r>
      <w:r>
        <w:rPr>
          <w:rFonts w:hint="eastAsia" w:ascii="宋体" w:hAnsi="宋体"/>
          <w:highlight w:val="none"/>
        </w:rPr>
        <w:t xml:space="preserve">                   单位：元</w:t>
      </w:r>
    </w:p>
    <w:p>
      <w:pPr>
        <w:spacing w:line="360" w:lineRule="auto"/>
        <w:rPr>
          <w:rFonts w:ascii="宋体" w:hAnsi="宋体"/>
          <w:highlight w:val="none"/>
        </w:rPr>
      </w:pPr>
    </w:p>
    <w:tbl>
      <w:tblPr>
        <w:tblStyle w:val="2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snapToGrid w:val="0"/>
              <w:ind w:right="-57" w:rightChars="-27"/>
              <w:jc w:val="center"/>
              <w:rPr>
                <w:rFonts w:ascii="宋体" w:hAnsi="宋体"/>
                <w:b/>
                <w:highlight w:val="none"/>
                <w:u w:val="single"/>
              </w:rPr>
            </w:pPr>
            <w:r>
              <w:rPr>
                <w:rFonts w:hint="eastAsia" w:ascii="宋体" w:hAnsi="宋体"/>
                <w:b/>
                <w:bCs/>
                <w:highlight w:val="none"/>
              </w:rPr>
              <w:t>比选申请报价</w:t>
            </w:r>
          </w:p>
        </w:tc>
        <w:tc>
          <w:tcPr>
            <w:tcW w:w="1178" w:type="dxa"/>
            <w:tcBorders>
              <w:bottom w:val="single" w:color="auto" w:sz="4" w:space="0"/>
            </w:tcBorders>
            <w:vAlign w:val="center"/>
          </w:tcPr>
          <w:p>
            <w:pPr>
              <w:snapToGrid w:val="0"/>
              <w:ind w:right="-57" w:rightChars="-27"/>
              <w:jc w:val="center"/>
              <w:rPr>
                <w:rFonts w:ascii="宋体" w:hAnsi="宋体"/>
                <w:b/>
                <w:highlight w:val="none"/>
              </w:rPr>
            </w:pPr>
            <w:r>
              <w:rPr>
                <w:rFonts w:hint="eastAsia" w:ascii="宋体" w:hAnsi="宋体"/>
                <w:b/>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snapToGrid w:val="0"/>
              <w:ind w:right="-57" w:rightChars="-27"/>
              <w:jc w:val="center"/>
              <w:rPr>
                <w:rFonts w:ascii="宋体" w:hAnsi="宋体"/>
                <w:b/>
                <w:bCs/>
                <w:highlight w:val="none"/>
              </w:rPr>
            </w:pPr>
            <w:r>
              <w:rPr>
                <w:rFonts w:hint="eastAsia" w:ascii="宋体" w:hAnsi="宋体"/>
                <w:b/>
                <w:bCs/>
                <w:highlight w:val="none"/>
              </w:rPr>
              <w:t>比选申请总报价</w:t>
            </w:r>
          </w:p>
          <w:p>
            <w:pPr>
              <w:snapToGrid w:val="0"/>
              <w:ind w:right="-57" w:rightChars="-27"/>
              <w:jc w:val="center"/>
              <w:rPr>
                <w:rFonts w:ascii="宋体" w:hAnsi="宋体"/>
                <w:b/>
                <w:bCs/>
                <w:highlight w:val="none"/>
              </w:rPr>
            </w:pPr>
            <w:r>
              <w:rPr>
                <w:rFonts w:hint="eastAsia" w:ascii="宋体" w:hAnsi="宋体"/>
                <w:b/>
                <w:bCs/>
                <w:highlight w:val="none"/>
              </w:rPr>
              <w:t>(</w:t>
            </w:r>
            <w:r>
              <w:rPr>
                <w:rFonts w:hint="eastAsia" w:ascii="宋体" w:hAnsi="宋体"/>
                <w:b/>
                <w:bCs/>
                <w:highlight w:val="none"/>
                <w:lang w:val="en-US" w:eastAsia="zh-CN"/>
              </w:rPr>
              <w:t>不</w:t>
            </w:r>
            <w:r>
              <w:rPr>
                <w:rFonts w:hint="eastAsia" w:ascii="宋体" w:hAnsi="宋体"/>
                <w:b/>
                <w:bCs/>
                <w:highlight w:val="none"/>
              </w:rPr>
              <w:t>含增值税)</w:t>
            </w:r>
          </w:p>
        </w:tc>
        <w:tc>
          <w:tcPr>
            <w:tcW w:w="5131" w:type="dxa"/>
            <w:tcBorders>
              <w:bottom w:val="single" w:color="auto" w:sz="4" w:space="0"/>
            </w:tcBorders>
            <w:vAlign w:val="center"/>
          </w:tcPr>
          <w:p>
            <w:pPr>
              <w:snapToGrid w:val="0"/>
              <w:ind w:right="-57" w:rightChars="-27"/>
              <w:jc w:val="left"/>
              <w:rPr>
                <w:rFonts w:ascii="宋体" w:hAnsi="宋体"/>
                <w:b/>
                <w:highlight w:val="none"/>
              </w:rPr>
            </w:pPr>
            <w:r>
              <w:rPr>
                <w:rFonts w:hint="eastAsia" w:ascii="宋体" w:hAnsi="宋体"/>
                <w:b/>
                <w:highlight w:val="none"/>
              </w:rPr>
              <w:t>小写：</w:t>
            </w:r>
          </w:p>
        </w:tc>
        <w:tc>
          <w:tcPr>
            <w:tcW w:w="1178" w:type="dxa"/>
            <w:vMerge w:val="restart"/>
            <w:vAlign w:val="center"/>
          </w:tcPr>
          <w:p>
            <w:pPr>
              <w:snapToGrid w:val="0"/>
              <w:ind w:right="-57" w:rightChars="-27"/>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snapToGrid w:val="0"/>
              <w:ind w:right="-57" w:rightChars="-27"/>
              <w:jc w:val="center"/>
              <w:rPr>
                <w:rFonts w:ascii="宋体" w:hAnsi="宋体"/>
                <w:b/>
                <w:bCs/>
                <w:highlight w:val="none"/>
              </w:rPr>
            </w:pPr>
          </w:p>
        </w:tc>
        <w:tc>
          <w:tcPr>
            <w:tcW w:w="5131" w:type="dxa"/>
            <w:tcBorders>
              <w:top w:val="single" w:color="auto" w:sz="4" w:space="0"/>
            </w:tcBorders>
            <w:vAlign w:val="center"/>
          </w:tcPr>
          <w:p>
            <w:pPr>
              <w:snapToGrid w:val="0"/>
              <w:ind w:right="-57" w:rightChars="-27"/>
              <w:jc w:val="left"/>
              <w:rPr>
                <w:rFonts w:ascii="宋体" w:hAnsi="宋体"/>
                <w:b/>
                <w:highlight w:val="none"/>
              </w:rPr>
            </w:pPr>
            <w:r>
              <w:rPr>
                <w:rFonts w:hint="eastAsia" w:ascii="宋体" w:hAnsi="宋体"/>
                <w:b/>
                <w:highlight w:val="none"/>
              </w:rPr>
              <w:t xml:space="preserve">大写： </w:t>
            </w:r>
          </w:p>
        </w:tc>
        <w:tc>
          <w:tcPr>
            <w:tcW w:w="1178" w:type="dxa"/>
            <w:vMerge w:val="continue"/>
            <w:vAlign w:val="center"/>
          </w:tcPr>
          <w:p>
            <w:pPr>
              <w:snapToGrid w:val="0"/>
              <w:ind w:right="-57" w:rightChars="-27"/>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ind w:right="-57" w:rightChars="-27"/>
              <w:jc w:val="center"/>
              <w:rPr>
                <w:rFonts w:hint="eastAsia" w:ascii="宋体" w:hAnsi="宋体"/>
                <w:b/>
                <w:highlight w:val="none"/>
                <w:lang w:eastAsia="zh-CN"/>
              </w:rPr>
            </w:pPr>
            <w:r>
              <w:rPr>
                <w:rFonts w:hint="eastAsia" w:ascii="宋体" w:hAnsi="宋体"/>
                <w:b/>
                <w:highlight w:val="none"/>
                <w:lang w:eastAsia="zh-CN"/>
              </w:rPr>
              <w:t>税率</w:t>
            </w:r>
          </w:p>
        </w:tc>
        <w:tc>
          <w:tcPr>
            <w:tcW w:w="6309" w:type="dxa"/>
            <w:gridSpan w:val="2"/>
            <w:vAlign w:val="center"/>
          </w:tcPr>
          <w:p>
            <w:pPr>
              <w:pStyle w:val="2"/>
              <w:spacing w:line="360" w:lineRule="auto"/>
              <w:ind w:firstLine="420" w:firstLineChars="200"/>
              <w:rPr>
                <w:rFonts w:hint="eastAsia"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ind w:right="-57" w:rightChars="-27"/>
              <w:jc w:val="center"/>
              <w:rPr>
                <w:rFonts w:ascii="宋体" w:hAnsi="宋体"/>
                <w:b/>
                <w:highlight w:val="none"/>
              </w:rPr>
            </w:pPr>
            <w:r>
              <w:rPr>
                <w:rFonts w:hint="eastAsia" w:ascii="宋体" w:hAnsi="宋体"/>
                <w:b/>
                <w:highlight w:val="none"/>
                <w:lang w:eastAsia="zh-CN"/>
              </w:rPr>
              <w:t>交货</w:t>
            </w:r>
            <w:r>
              <w:rPr>
                <w:rFonts w:hint="eastAsia" w:ascii="宋体" w:hAnsi="宋体"/>
                <w:b/>
                <w:highlight w:val="none"/>
              </w:rPr>
              <w:t>期</w:t>
            </w:r>
          </w:p>
        </w:tc>
        <w:tc>
          <w:tcPr>
            <w:tcW w:w="6309" w:type="dxa"/>
            <w:gridSpan w:val="2"/>
            <w:vAlign w:val="center"/>
          </w:tcPr>
          <w:p>
            <w:pPr>
              <w:pStyle w:val="2"/>
              <w:spacing w:line="360" w:lineRule="auto"/>
              <w:ind w:firstLine="422" w:firstLineChars="200"/>
              <w:rPr>
                <w:rFonts w:hAnsi="宋体"/>
                <w:b/>
                <w:highlight w:val="none"/>
              </w:rPr>
            </w:pPr>
          </w:p>
        </w:tc>
      </w:tr>
    </w:tbl>
    <w:p>
      <w:pPr>
        <w:spacing w:line="360" w:lineRule="auto"/>
        <w:rPr>
          <w:rFonts w:ascii="宋体" w:hAnsi="宋体"/>
          <w:highlight w:val="none"/>
        </w:rPr>
      </w:pPr>
    </w:p>
    <w:p>
      <w:pPr>
        <w:spacing w:line="360" w:lineRule="auto"/>
        <w:rPr>
          <w:rFonts w:ascii="宋体" w:hAnsi="宋体"/>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 xml:space="preserve"> </w:t>
      </w:r>
      <w:r>
        <w:rPr>
          <w:rFonts w:hint="eastAsia" w:asciiTheme="minorEastAsia" w:hAnsiTheme="minorEastAsia" w:eastAsiaTheme="minorEastAsia"/>
          <w:highlight w:val="none"/>
        </w:rPr>
        <w:t>比选申请报价应包括履行合同标的全过程产生的所有成本和费用以及比选申请人应承担的费用。</w:t>
      </w:r>
    </w:p>
    <w:p>
      <w:pPr>
        <w:spacing w:line="360" w:lineRule="auto"/>
        <w:ind w:right="-57" w:firstLine="420"/>
        <w:rPr>
          <w:rFonts w:ascii="宋体" w:hAnsi="宋体"/>
          <w:sz w:val="24"/>
          <w:szCs w:val="24"/>
          <w:highlight w:val="none"/>
        </w:rPr>
      </w:pPr>
    </w:p>
    <w:p>
      <w:pPr>
        <w:snapToGrid w:val="0"/>
        <w:spacing w:after="50" w:line="360" w:lineRule="auto"/>
        <w:ind w:left="953" w:right="-817" w:firstLine="1443"/>
        <w:rPr>
          <w:rFonts w:ascii="宋体" w:hAnsi="宋体"/>
          <w:highlight w:val="none"/>
        </w:rPr>
      </w:pPr>
    </w:p>
    <w:p>
      <w:pPr>
        <w:snapToGrid w:val="0"/>
        <w:spacing w:after="50" w:line="360" w:lineRule="auto"/>
        <w:ind w:left="955" w:right="-817" w:firstLine="2625" w:firstLineChars="1250"/>
        <w:rPr>
          <w:rFonts w:ascii="宋体" w:hAnsi="宋体"/>
          <w:highlight w:val="none"/>
          <w:u w:val="single"/>
        </w:rPr>
      </w:pPr>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50" w:line="360" w:lineRule="auto"/>
        <w:ind w:left="707" w:right="-817" w:firstLine="2835" w:firstLineChars="1350"/>
        <w:rPr>
          <w:rFonts w:ascii="宋体" w:hAnsi="宋体"/>
          <w:highlight w:val="none"/>
          <w:u w:val="single"/>
        </w:rPr>
      </w:pPr>
      <w:r>
        <w:rPr>
          <w:rFonts w:hint="eastAsia" w:ascii="宋体" w:hAnsi="宋体"/>
          <w:highlight w:val="none"/>
        </w:rPr>
        <w:t>法定代表人或被授权人（签字）：</w:t>
      </w:r>
      <w:r>
        <w:rPr>
          <w:rFonts w:hint="eastAsia" w:ascii="宋体" w:hAnsi="宋体"/>
          <w:highlight w:val="none"/>
          <w:u w:val="single"/>
        </w:rPr>
        <w:t xml:space="preserve">              </w:t>
      </w:r>
    </w:p>
    <w:p>
      <w:pPr>
        <w:spacing w:line="360" w:lineRule="auto"/>
        <w:ind w:right="-57"/>
        <w:jc w:val="center"/>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5"/>
        <w:tabs>
          <w:tab w:val="left" w:pos="567"/>
          <w:tab w:val="left" w:pos="720"/>
        </w:tabs>
        <w:snapToGrid w:val="0"/>
        <w:spacing w:after="0" w:line="360" w:lineRule="auto"/>
        <w:jc w:val="left"/>
        <w:rPr>
          <w:rFonts w:ascii="宋体" w:hAnsi="宋体" w:eastAsia="宋体" w:cs="Arial"/>
          <w:highlight w:val="none"/>
        </w:rPr>
      </w:pPr>
      <w:r>
        <w:rPr>
          <w:rFonts w:ascii="宋体" w:hAnsi="宋体" w:eastAsia="宋体"/>
          <w:highlight w:val="none"/>
        </w:rPr>
        <w:br w:type="page"/>
      </w:r>
      <w:bookmarkStart w:id="1169" w:name="_Toc58124833"/>
      <w:bookmarkStart w:id="1170" w:name="_Toc68859063"/>
      <w:bookmarkStart w:id="1171" w:name="_Toc61680485"/>
      <w:bookmarkStart w:id="1172" w:name="_Toc110413986"/>
      <w:bookmarkStart w:id="1173" w:name="_Toc10260"/>
      <w:bookmarkStart w:id="1174" w:name="_Toc11065"/>
      <w:bookmarkStart w:id="1175" w:name="_Toc25869"/>
      <w:bookmarkStart w:id="1176" w:name="_Toc14859"/>
      <w:bookmarkStart w:id="1177" w:name="_Toc17112"/>
      <w:bookmarkStart w:id="1178" w:name="_Toc375564356"/>
      <w:bookmarkStart w:id="1179" w:name="_Toc12984813"/>
      <w:bookmarkStart w:id="1180" w:name="_Toc6833"/>
      <w:bookmarkStart w:id="1181" w:name="_Toc4976"/>
      <w:bookmarkStart w:id="1182" w:name="_Toc32224"/>
      <w:bookmarkStart w:id="1183" w:name="_Toc20864"/>
      <w:bookmarkStart w:id="1184" w:name="_Toc21109"/>
      <w:bookmarkStart w:id="1185" w:name="_Toc6270"/>
      <w:bookmarkStart w:id="1186" w:name="_Toc8713"/>
      <w:bookmarkStart w:id="1187" w:name="_Toc2257"/>
      <w:bookmarkStart w:id="1188" w:name="_Toc20737"/>
      <w:bookmarkStart w:id="1189" w:name="_Toc14503"/>
      <w:bookmarkStart w:id="1190" w:name="_Toc2585"/>
      <w:bookmarkStart w:id="1191" w:name="_Toc492478809"/>
      <w:bookmarkStart w:id="1192" w:name="_Toc12983553"/>
      <w:bookmarkStart w:id="1193" w:name="_Toc29702"/>
      <w:bookmarkStart w:id="1194" w:name="_Toc15419"/>
      <w:bookmarkStart w:id="1195" w:name="_Toc414290527"/>
      <w:bookmarkStart w:id="1196" w:name="_Toc25750681"/>
      <w:bookmarkStart w:id="1197" w:name="_Toc241920153"/>
      <w:r>
        <w:rPr>
          <w:rFonts w:ascii="宋体" w:hAnsi="宋体" w:eastAsia="宋体"/>
          <w:sz w:val="21"/>
          <w:szCs w:val="21"/>
          <w:highlight w:val="none"/>
        </w:rPr>
        <w:t>B2比选申请</w:t>
      </w:r>
      <w:bookmarkEnd w:id="1169"/>
      <w:bookmarkEnd w:id="1170"/>
      <w:bookmarkEnd w:id="1171"/>
      <w:bookmarkEnd w:id="1172"/>
      <w:r>
        <w:rPr>
          <w:rFonts w:ascii="宋体" w:hAnsi="宋体" w:eastAsia="宋体"/>
          <w:sz w:val="21"/>
          <w:szCs w:val="21"/>
          <w:highlight w:val="none"/>
        </w:rPr>
        <w:t>函格式</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jc w:val="center"/>
        <w:rPr>
          <w:rFonts w:ascii="宋体" w:hAnsi="宋体"/>
          <w:b/>
          <w:sz w:val="32"/>
          <w:szCs w:val="32"/>
          <w:highlight w:val="none"/>
        </w:rPr>
      </w:pPr>
      <w:r>
        <w:rPr>
          <w:rFonts w:ascii="宋体" w:hAnsi="宋体"/>
          <w:b/>
          <w:sz w:val="32"/>
          <w:szCs w:val="32"/>
          <w:highlight w:val="none"/>
        </w:rPr>
        <w:t>比选申请函</w:t>
      </w:r>
    </w:p>
    <w:p>
      <w:pPr>
        <w:rPr>
          <w:rFonts w:ascii="宋体" w:hAnsi="宋体"/>
          <w:highlight w:val="none"/>
        </w:rPr>
      </w:pPr>
    </w:p>
    <w:p>
      <w:pPr>
        <w:spacing w:line="360" w:lineRule="auto"/>
        <w:rPr>
          <w:rFonts w:ascii="宋体" w:hAnsi="宋体"/>
          <w:highlight w:val="none"/>
        </w:rPr>
      </w:pPr>
      <w:r>
        <w:rPr>
          <w:rFonts w:ascii="宋体" w:hAnsi="宋体"/>
          <w:highlight w:val="none"/>
        </w:rPr>
        <w:t>致：</w:t>
      </w:r>
      <w:r>
        <w:rPr>
          <w:rFonts w:hint="eastAsia" w:ascii="宋体" w:hAnsi="宋体"/>
          <w:highlight w:val="none"/>
        </w:rPr>
        <w:t>南宁市金盾道路清障有限责任公司</w:t>
      </w:r>
    </w:p>
    <w:p>
      <w:pPr>
        <w:spacing w:line="360" w:lineRule="auto"/>
        <w:ind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采购项目比选</w:t>
      </w:r>
      <w:r>
        <w:rPr>
          <w:rFonts w:ascii="宋体" w:hAnsi="宋体"/>
          <w:highlight w:val="none"/>
        </w:rPr>
        <w:t>采购服务的比选申请邀请(项目编号：，签字人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rPr>
        <w:t>1</w:t>
      </w:r>
      <w:r>
        <w:rPr>
          <w:rFonts w:ascii="宋体" w:hAnsi="宋体"/>
          <w:highlight w:val="none"/>
          <w:u w:val="single"/>
        </w:rPr>
        <w:t xml:space="preserve"> </w:t>
      </w:r>
      <w:r>
        <w:rPr>
          <w:rFonts w:ascii="宋体" w:hAnsi="宋体"/>
          <w:highlight w:val="none"/>
        </w:rPr>
        <w:t>份（U盘）。</w:t>
      </w:r>
    </w:p>
    <w:p>
      <w:pPr>
        <w:spacing w:line="360" w:lineRule="auto"/>
        <w:ind w:firstLine="420" w:firstLineChars="200"/>
        <w:rPr>
          <w:rFonts w:ascii="宋体" w:hAnsi="宋体"/>
          <w:highlight w:val="none"/>
        </w:rPr>
      </w:pPr>
      <w:r>
        <w:rPr>
          <w:rFonts w:ascii="宋体" w:hAnsi="宋体"/>
          <w:highlight w:val="none"/>
        </w:rPr>
        <w:t>据此，签字人宣布同意如下：</w:t>
      </w:r>
    </w:p>
    <w:p>
      <w:pPr>
        <w:spacing w:line="360" w:lineRule="auto"/>
        <w:ind w:firstLine="420" w:firstLineChars="200"/>
        <w:rPr>
          <w:rFonts w:ascii="宋体" w:hAnsi="宋体"/>
          <w:highlight w:val="none"/>
        </w:rPr>
      </w:pPr>
      <w:bookmarkStart w:id="1198" w:name="_Toc375564357"/>
      <w:r>
        <w:rPr>
          <w:rFonts w:ascii="宋体" w:hAnsi="宋体"/>
          <w:highlight w:val="none"/>
        </w:rPr>
        <w:t>1. 按比选文件要求规定的应提交和交付的服务并履行全部合同义务的比选申请总价如本比选申请文件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1198"/>
    </w:p>
    <w:p>
      <w:pPr>
        <w:spacing w:line="360" w:lineRule="auto"/>
        <w:ind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line="360" w:lineRule="auto"/>
        <w:ind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highlight w:val="none"/>
          <w:u w:val="single"/>
        </w:rPr>
        <w:t>9</w:t>
      </w:r>
      <w:r>
        <w:rPr>
          <w:rFonts w:ascii="宋体" w:hAnsi="宋体"/>
          <w:highlight w:val="none"/>
          <w:u w:val="single"/>
        </w:rPr>
        <w:t>0</w:t>
      </w:r>
      <w:r>
        <w:rPr>
          <w:rFonts w:ascii="宋体" w:hAnsi="宋体"/>
          <w:highlight w:val="none"/>
        </w:rPr>
        <w:t>天内。</w:t>
      </w:r>
    </w:p>
    <w:p>
      <w:pPr>
        <w:spacing w:line="360" w:lineRule="auto"/>
        <w:ind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比选人</w:t>
      </w:r>
      <w:r>
        <w:rPr>
          <w:rFonts w:ascii="宋体" w:hAnsi="宋体"/>
          <w:highlight w:val="none"/>
        </w:rPr>
        <w:t>在比选申请有效期内撤销比选申请，</w:t>
      </w:r>
      <w:r>
        <w:rPr>
          <w:rFonts w:hint="eastAsia" w:ascii="宋体" w:hAnsi="宋体"/>
          <w:highlight w:val="none"/>
        </w:rPr>
        <w:t>所造成的损失比选人承担</w:t>
      </w:r>
      <w:r>
        <w:rPr>
          <w:rFonts w:ascii="宋体" w:hAnsi="宋体"/>
          <w:highlight w:val="none"/>
        </w:rPr>
        <w:t>。</w:t>
      </w:r>
    </w:p>
    <w:p>
      <w:pPr>
        <w:spacing w:line="360" w:lineRule="auto"/>
        <w:ind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highlight w:val="none"/>
        </w:rPr>
      </w:pPr>
      <w:r>
        <w:rPr>
          <w:rFonts w:hint="eastAsia" w:ascii="宋体" w:hAnsi="宋体"/>
          <w:highlight w:val="none"/>
        </w:rPr>
        <w:t>7</w:t>
      </w:r>
      <w:r>
        <w:rPr>
          <w:rFonts w:ascii="宋体" w:hAnsi="宋体"/>
          <w:highlight w:val="none"/>
        </w:rPr>
        <w:t>.与本比选申请有关的一切正式往来通讯请发往：</w:t>
      </w:r>
      <w:r>
        <w:rPr>
          <w:rFonts w:ascii="宋体" w:hAnsi="宋体"/>
          <w:highlight w:val="none"/>
        </w:rPr>
        <w:tab/>
      </w:r>
    </w:p>
    <w:p>
      <w:pPr>
        <w:spacing w:line="360" w:lineRule="auto"/>
        <w:ind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line="360" w:lineRule="auto"/>
        <w:ind w:firstLine="420" w:firstLineChars="200"/>
        <w:rPr>
          <w:rFonts w:ascii="宋体" w:hAnsi="宋体"/>
          <w:highlight w:val="none"/>
        </w:rPr>
      </w:pPr>
      <w:r>
        <w:rPr>
          <w:rFonts w:ascii="宋体" w:hAnsi="宋体"/>
          <w:highlight w:val="none"/>
        </w:rPr>
        <w:t>邮编：</w:t>
      </w:r>
      <w:r>
        <w:rPr>
          <w:rFonts w:hint="eastAsia" w:ascii="宋体" w:hAnsi="宋体"/>
          <w:highlight w:val="none"/>
          <w:u w:val="single"/>
        </w:rPr>
        <w:t xml:space="preserve">                     </w:t>
      </w:r>
      <w:r>
        <w:rPr>
          <w:rFonts w:ascii="宋体" w:hAnsi="宋体"/>
          <w:highlight w:val="none"/>
        </w:rPr>
        <w:t>传真：</w:t>
      </w:r>
      <w:r>
        <w:rPr>
          <w:rFonts w:hint="eastAsia" w:ascii="宋体" w:hAnsi="宋体"/>
          <w:highlight w:val="none"/>
          <w:u w:val="single"/>
        </w:rPr>
        <w:t xml:space="preserve">                     </w:t>
      </w:r>
    </w:p>
    <w:p>
      <w:pPr>
        <w:spacing w:line="360" w:lineRule="auto"/>
        <w:ind w:firstLine="420" w:firstLineChars="200"/>
        <w:rPr>
          <w:rFonts w:ascii="宋体" w:hAnsi="宋体"/>
          <w:highlight w:val="none"/>
        </w:rPr>
      </w:pPr>
      <w:r>
        <w:rPr>
          <w:rFonts w:ascii="宋体" w:hAnsi="宋体"/>
          <w:highlight w:val="none"/>
        </w:rPr>
        <w:t>电话：</w:t>
      </w:r>
      <w:r>
        <w:rPr>
          <w:rFonts w:hint="eastAsia" w:ascii="宋体" w:hAnsi="宋体"/>
          <w:highlight w:val="none"/>
          <w:u w:val="single"/>
        </w:rPr>
        <w:t xml:space="preserve">                     </w:t>
      </w:r>
      <w:r>
        <w:rPr>
          <w:rFonts w:ascii="宋体" w:hAnsi="宋体"/>
          <w:highlight w:val="none"/>
        </w:rPr>
        <w:t>电子邮件：</w:t>
      </w:r>
      <w:r>
        <w:rPr>
          <w:rFonts w:hint="eastAsia" w:ascii="宋体" w:hAnsi="宋体"/>
          <w:highlight w:val="none"/>
          <w:u w:val="single"/>
        </w:rPr>
        <w:t xml:space="preserve">                     </w:t>
      </w:r>
    </w:p>
    <w:p>
      <w:pPr>
        <w:spacing w:line="360" w:lineRule="auto"/>
        <w:ind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r>
        <w:rPr>
          <w:rFonts w:hint="eastAsia" w:ascii="宋体" w:hAnsi="宋体"/>
          <w:highlight w:val="none"/>
          <w:u w:val="single"/>
        </w:rPr>
        <w:t xml:space="preserve">              </w:t>
      </w:r>
    </w:p>
    <w:p>
      <w:pPr>
        <w:spacing w:line="360" w:lineRule="auto"/>
        <w:ind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r>
        <w:rPr>
          <w:rFonts w:hint="eastAsia" w:ascii="宋体" w:hAnsi="宋体"/>
          <w:highlight w:val="none"/>
          <w:u w:val="single"/>
        </w:rPr>
        <w:t xml:space="preserve">                     </w:t>
      </w:r>
    </w:p>
    <w:p>
      <w:pPr>
        <w:spacing w:line="360" w:lineRule="auto"/>
        <w:ind w:firstLine="420" w:firstLineChars="200"/>
        <w:rPr>
          <w:rFonts w:ascii="宋体" w:hAnsi="宋体"/>
          <w:highlight w:val="none"/>
        </w:rPr>
      </w:pPr>
      <w:r>
        <w:rPr>
          <w:rFonts w:hint="eastAsia" w:ascii="宋体" w:hAnsi="宋体" w:cs="Arial"/>
          <w:highlight w:val="none"/>
        </w:rPr>
        <w:t>日期：</w:t>
      </w:r>
      <w:r>
        <w:rPr>
          <w:rFonts w:hint="eastAsia" w:ascii="宋体" w:hAnsi="宋体" w:cs="Arial"/>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77"/>
        <w:widowControl/>
        <w:snapToGrid w:val="0"/>
        <w:spacing w:before="0" w:line="360" w:lineRule="auto"/>
        <w:ind w:left="0" w:right="720"/>
        <w:outlineLvl w:val="1"/>
        <w:rPr>
          <w:rFonts w:cs="宋体" w:asciiTheme="minorEastAsia" w:hAnsiTheme="minorEastAsia" w:eastAsiaTheme="minorEastAsia"/>
          <w:b/>
          <w:sz w:val="21"/>
          <w:szCs w:val="21"/>
          <w:highlight w:val="none"/>
        </w:rPr>
      </w:pPr>
    </w:p>
    <w:p>
      <w:pPr>
        <w:pStyle w:val="77"/>
        <w:widowControl/>
        <w:snapToGrid w:val="0"/>
        <w:spacing w:before="0" w:line="360" w:lineRule="auto"/>
        <w:ind w:left="0" w:right="720"/>
        <w:outlineLvl w:val="1"/>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B</w:t>
      </w:r>
      <w:r>
        <w:rPr>
          <w:rFonts w:cs="宋体" w:asciiTheme="minorEastAsia" w:hAnsiTheme="minorEastAsia" w:eastAsiaTheme="minorEastAsia"/>
          <w:b/>
          <w:sz w:val="21"/>
          <w:szCs w:val="21"/>
          <w:highlight w:val="none"/>
        </w:rPr>
        <w:t>3</w:t>
      </w:r>
      <w:r>
        <w:rPr>
          <w:rFonts w:hint="eastAsia" w:cs="宋体" w:asciiTheme="minorEastAsia" w:hAnsiTheme="minorEastAsia" w:eastAsiaTheme="minorEastAsia"/>
          <w:b/>
          <w:sz w:val="21"/>
          <w:szCs w:val="21"/>
          <w:highlight w:val="none"/>
        </w:rPr>
        <w:t>比选申请报价表格式</w:t>
      </w:r>
    </w:p>
    <w:p>
      <w:pPr>
        <w:snapToGrid w:val="0"/>
        <w:ind w:right="-816"/>
        <w:jc w:val="center"/>
        <w:rPr>
          <w:rFonts w:ascii="宋体" w:hAnsi="宋体"/>
          <w:highlight w:val="none"/>
        </w:rPr>
      </w:pPr>
    </w:p>
    <w:p>
      <w:pPr>
        <w:snapToGrid w:val="0"/>
        <w:ind w:right="-816"/>
        <w:jc w:val="center"/>
        <w:rPr>
          <w:rFonts w:ascii="宋体" w:hAnsi="宋体"/>
          <w:highlight w:val="none"/>
        </w:rPr>
      </w:pPr>
    </w:p>
    <w:p>
      <w:pPr>
        <w:snapToGrid w:val="0"/>
        <w:spacing w:before="50" w:after="50" w:line="360" w:lineRule="auto"/>
        <w:rPr>
          <w:rFonts w:ascii="宋体" w:hAnsi="宋体" w:cs="宋体"/>
          <w:szCs w:val="21"/>
          <w:highlight w:val="none"/>
        </w:rPr>
      </w:pPr>
      <w:r>
        <w:rPr>
          <w:rFonts w:hint="eastAsia" w:ascii="宋体" w:hAnsi="宋体" w:cs="宋体"/>
          <w:szCs w:val="21"/>
          <w:highlight w:val="none"/>
        </w:rPr>
        <w:t>项目名称：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before="50" w:after="50" w:line="360" w:lineRule="auto"/>
        <w:rPr>
          <w:rFonts w:ascii="宋体" w:hAnsi="宋体" w:cs="宋体"/>
          <w:szCs w:val="21"/>
          <w:highlight w:val="none"/>
        </w:rPr>
      </w:pPr>
      <w:r>
        <w:rPr>
          <w:rFonts w:hint="eastAsia" w:ascii="宋体" w:hAnsi="宋体" w:cs="宋体"/>
          <w:szCs w:val="21"/>
          <w:highlight w:val="none"/>
        </w:rPr>
        <w:t>项目编号：</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contextualSpacing/>
        <w:rPr>
          <w:rFonts w:ascii="宋体" w:hAnsi="宋体" w:cs="宋体"/>
          <w:szCs w:val="21"/>
          <w:highlight w:val="none"/>
          <w:u w:val="single"/>
        </w:rPr>
      </w:pPr>
      <w:r>
        <w:rPr>
          <w:rFonts w:hint="eastAsia" w:ascii="宋体" w:hAnsi="宋体" w:cs="宋体"/>
          <w:szCs w:val="21"/>
          <w:highlight w:val="none"/>
        </w:rPr>
        <w:t>分标号（此处有分标时填写具体分标号，无分标时填写“无”）：</w:t>
      </w:r>
      <w:r>
        <w:rPr>
          <w:rFonts w:hint="eastAsia" w:ascii="宋体" w:hAnsi="宋体" w:cs="宋体"/>
          <w:szCs w:val="21"/>
          <w:highlight w:val="none"/>
          <w:u w:val="single"/>
        </w:rPr>
        <w:t xml:space="preserve">                  </w:t>
      </w:r>
    </w:p>
    <w:p>
      <w:pPr>
        <w:snapToGrid w:val="0"/>
        <w:spacing w:before="50" w:after="50" w:line="360" w:lineRule="auto"/>
        <w:rPr>
          <w:rFonts w:ascii="宋体" w:hAnsi="宋体" w:cs="宋体"/>
          <w:szCs w:val="21"/>
          <w:highlight w:val="none"/>
          <w:u w:val="single"/>
        </w:rPr>
      </w:pPr>
      <w:r>
        <w:rPr>
          <w:rFonts w:hint="eastAsia" w:ascii="宋体" w:hAnsi="宋体" w:cs="宋体"/>
          <w:szCs w:val="21"/>
          <w:highlight w:val="none"/>
          <w:lang w:eastAsia="zh-CN"/>
        </w:rPr>
        <w:t>比选申请人</w:t>
      </w:r>
      <w:r>
        <w:rPr>
          <w:rFonts w:hint="eastAsia" w:ascii="宋体" w:hAnsi="宋体" w:cs="宋体"/>
          <w:szCs w:val="21"/>
          <w:highlight w:val="none"/>
        </w:rPr>
        <w:t>名称：</w:t>
      </w:r>
      <w:r>
        <w:rPr>
          <w:rFonts w:hint="eastAsia" w:ascii="宋体" w:hAnsi="宋体" w:cs="宋体"/>
          <w:szCs w:val="21"/>
          <w:highlight w:val="none"/>
          <w:u w:val="single"/>
        </w:rPr>
        <w:t xml:space="preserve">                     </w:t>
      </w:r>
    </w:p>
    <w:tbl>
      <w:tblPr>
        <w:tblStyle w:val="28"/>
        <w:tblW w:w="10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1251"/>
        <w:gridCol w:w="975"/>
        <w:gridCol w:w="918"/>
        <w:gridCol w:w="926"/>
        <w:gridCol w:w="1263"/>
        <w:gridCol w:w="170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lang w:eastAsia="zh-CN"/>
              </w:rPr>
              <w:t>货物</w:t>
            </w:r>
            <w:r>
              <w:rPr>
                <w:rFonts w:hint="eastAsia" w:ascii="宋体" w:hAnsi="宋体" w:cs="宋体"/>
                <w:szCs w:val="21"/>
                <w:highlight w:val="none"/>
              </w:rPr>
              <w:t>名称</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规格型号</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品牌</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数量</w:t>
            </w:r>
          </w:p>
          <w:p>
            <w:pPr>
              <w:jc w:val="center"/>
              <w:rPr>
                <w:rFonts w:ascii="宋体" w:hAnsi="宋体" w:cs="宋体"/>
                <w:szCs w:val="21"/>
                <w:highlight w:val="none"/>
              </w:rPr>
            </w:pPr>
            <w:r>
              <w:rPr>
                <w:rFonts w:hint="eastAsia" w:ascii="宋体" w:hAnsi="宋体" w:cs="宋体"/>
                <w:szCs w:val="21"/>
                <w:highlight w:val="none"/>
              </w:rPr>
              <w:t>①</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单位</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lang w:eastAsia="zh-CN"/>
              </w:rPr>
              <w:t>不含税</w:t>
            </w:r>
            <w:r>
              <w:rPr>
                <w:rFonts w:hint="eastAsia" w:ascii="宋体" w:hAnsi="宋体" w:cs="宋体"/>
                <w:szCs w:val="21"/>
                <w:highlight w:val="none"/>
              </w:rPr>
              <w:t>单价(元)</w:t>
            </w:r>
          </w:p>
          <w:p>
            <w:pPr>
              <w:jc w:val="center"/>
              <w:rPr>
                <w:rFonts w:ascii="宋体" w:hAnsi="宋体" w:cs="宋体"/>
                <w:szCs w:val="21"/>
                <w:highlight w:val="none"/>
              </w:rPr>
            </w:pPr>
            <w:r>
              <w:rPr>
                <w:rFonts w:hint="eastAsia" w:ascii="宋体" w:hAnsi="宋体" w:cs="宋体"/>
                <w:szCs w:val="21"/>
                <w:highlight w:val="none"/>
              </w:rPr>
              <w:t>②</w:t>
            </w:r>
          </w:p>
        </w:tc>
        <w:tc>
          <w:tcPr>
            <w:tcW w:w="17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lang w:eastAsia="zh-CN"/>
              </w:rPr>
              <w:t>不含税</w:t>
            </w:r>
            <w:r>
              <w:rPr>
                <w:rFonts w:hint="eastAsia" w:ascii="宋体" w:hAnsi="宋体" w:cs="宋体"/>
                <w:szCs w:val="21"/>
                <w:highlight w:val="none"/>
              </w:rPr>
              <w:t>合价（元）</w:t>
            </w:r>
          </w:p>
          <w:p>
            <w:pPr>
              <w:jc w:val="center"/>
              <w:rPr>
                <w:rFonts w:ascii="宋体" w:hAnsi="宋体" w:cs="宋体"/>
                <w:szCs w:val="21"/>
                <w:highlight w:val="none"/>
              </w:rPr>
            </w:pPr>
            <w:r>
              <w:rPr>
                <w:rFonts w:hint="eastAsia" w:ascii="宋体" w:hAnsi="宋体" w:cs="宋体"/>
                <w:szCs w:val="21"/>
                <w:highlight w:val="none"/>
              </w:rPr>
              <w:t>③＝①×②</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037" w:type="dxa"/>
            <w:tcBorders>
              <w:top w:val="single" w:color="auto" w:sz="4" w:space="0"/>
              <w:left w:val="single" w:color="auto" w:sz="4" w:space="0"/>
              <w:bottom w:val="single" w:color="auto" w:sz="4" w:space="0"/>
              <w:right w:val="single" w:color="auto" w:sz="4" w:space="0"/>
            </w:tcBorders>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037" w:type="dxa"/>
            <w:tcBorders>
              <w:top w:val="single" w:color="auto" w:sz="4" w:space="0"/>
              <w:left w:val="single" w:color="auto" w:sz="4" w:space="0"/>
              <w:bottom w:val="single" w:color="auto" w:sz="4" w:space="0"/>
              <w:right w:val="single" w:color="auto" w:sz="4" w:space="0"/>
            </w:tcBorders>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tc>
        <w:tc>
          <w:tcPr>
            <w:tcW w:w="1037" w:type="dxa"/>
            <w:tcBorders>
              <w:top w:val="single" w:color="auto" w:sz="4" w:space="0"/>
              <w:left w:val="single" w:color="auto" w:sz="4" w:space="0"/>
              <w:bottom w:val="single" w:color="auto" w:sz="4" w:space="0"/>
              <w:right w:val="single" w:color="auto" w:sz="4" w:space="0"/>
            </w:tcBorders>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056" w:type="dxa"/>
            <w:gridSpan w:val="9"/>
            <w:tcBorders>
              <w:top w:val="single" w:color="auto" w:sz="4" w:space="0"/>
              <w:left w:val="single" w:color="auto" w:sz="4" w:space="0"/>
              <w:bottom w:val="single" w:color="auto" w:sz="4" w:space="0"/>
              <w:right w:val="single" w:color="auto" w:sz="4" w:space="0"/>
            </w:tcBorders>
          </w:tcPr>
          <w:p>
            <w:pPr>
              <w:rPr>
                <w:rFonts w:ascii="宋体" w:hAnsi="宋体" w:cs="宋体"/>
                <w:szCs w:val="21"/>
                <w:highlight w:val="none"/>
              </w:rPr>
            </w:pPr>
            <w:r>
              <w:rPr>
                <w:rFonts w:hint="eastAsia" w:ascii="宋体" w:hAnsi="宋体" w:cs="宋体"/>
                <w:szCs w:val="21"/>
                <w:highlight w:val="none"/>
              </w:rPr>
              <w:t>合计：</w:t>
            </w:r>
            <w:r>
              <w:rPr>
                <w:rFonts w:hint="eastAsia" w:ascii="宋体" w:hAnsi="宋体" w:cs="宋体"/>
                <w:szCs w:val="21"/>
                <w:highlight w:val="none"/>
                <w:u w:val="single"/>
              </w:rPr>
              <w:t xml:space="preserve">（大写）人民币                        （小写）¥              </w:t>
            </w:r>
            <w:r>
              <w:rPr>
                <w:rFonts w:hint="eastAsia" w:ascii="宋体" w:hAnsi="宋体" w:cs="宋体"/>
                <w:szCs w:val="21"/>
                <w:highlight w:val="none"/>
              </w:rPr>
              <w:t xml:space="preserve">  </w:t>
            </w:r>
          </w:p>
        </w:tc>
      </w:tr>
    </w:tbl>
    <w:p>
      <w:pPr>
        <w:snapToGrid w:val="0"/>
        <w:spacing w:before="50" w:after="50" w:line="360" w:lineRule="auto"/>
        <w:rPr>
          <w:rFonts w:ascii="宋体" w:hAnsi="宋体" w:cs="宋体"/>
          <w:szCs w:val="21"/>
          <w:highlight w:val="none"/>
          <w:u w:val="single"/>
        </w:rPr>
      </w:pPr>
      <w:r>
        <w:rPr>
          <w:rFonts w:hint="eastAsia" w:ascii="宋体" w:hAnsi="宋体" w:cs="宋体"/>
          <w:szCs w:val="21"/>
          <w:highlight w:val="none"/>
        </w:rPr>
        <w:t xml:space="preserve">                     </w:t>
      </w:r>
    </w:p>
    <w:p>
      <w:pPr>
        <w:snapToGrid w:val="0"/>
        <w:ind w:right="-816"/>
        <w:rPr>
          <w:rFonts w:hint="eastAsia" w:ascii="宋体" w:hAnsi="宋体"/>
          <w:highlight w:val="none"/>
        </w:rPr>
      </w:pPr>
      <w:r>
        <w:rPr>
          <w:rFonts w:hint="eastAsia" w:ascii="宋体" w:hAnsi="宋体"/>
          <w:highlight w:val="none"/>
        </w:rPr>
        <w:t>注：</w:t>
      </w:r>
    </w:p>
    <w:p>
      <w:pPr>
        <w:snapToGrid w:val="0"/>
        <w:ind w:right="-816" w:firstLine="420" w:firstLineChars="200"/>
        <w:rPr>
          <w:rFonts w:ascii="宋体" w:hAnsi="宋体"/>
          <w:highlight w:val="none"/>
        </w:rPr>
      </w:pPr>
      <w:r>
        <w:rPr>
          <w:rFonts w:ascii="宋体" w:hAnsi="宋体"/>
          <w:highlight w:val="none"/>
        </w:rPr>
        <w:t>1、</w:t>
      </w:r>
      <w:r>
        <w:rPr>
          <w:rFonts w:hint="eastAsia" w:ascii="宋体" w:hAnsi="宋体"/>
          <w:highlight w:val="none"/>
        </w:rPr>
        <w:t>比选申请人须按第五章《用户需求书》中的</w:t>
      </w:r>
      <w:r>
        <w:rPr>
          <w:rFonts w:hint="eastAsia" w:ascii="宋体" w:hAnsi="宋体"/>
          <w:highlight w:val="none"/>
          <w:lang w:eastAsia="zh-CN"/>
        </w:rPr>
        <w:t>《电梯技术参数需求表》</w:t>
      </w:r>
      <w:r>
        <w:rPr>
          <w:rFonts w:hint="eastAsia" w:ascii="宋体" w:hAnsi="宋体"/>
          <w:highlight w:val="none"/>
        </w:rPr>
        <w:t>的顺序进行明细报价，不允许打乱顺序，不含税单价、不含税合价均精确到小数点后两位。</w:t>
      </w:r>
    </w:p>
    <w:p>
      <w:pPr>
        <w:snapToGrid w:val="0"/>
        <w:ind w:right="-816" w:firstLine="420" w:firstLineChars="200"/>
        <w:rPr>
          <w:rFonts w:ascii="宋体" w:hAnsi="宋体"/>
          <w:highlight w:val="none"/>
        </w:rPr>
      </w:pPr>
      <w:r>
        <w:rPr>
          <w:rFonts w:hint="eastAsia" w:ascii="宋体" w:hAnsi="宋体"/>
          <w:highlight w:val="none"/>
          <w:lang w:val="en-US" w:eastAsia="zh-CN"/>
        </w:rPr>
        <w:t>2.</w:t>
      </w:r>
      <w:r>
        <w:rPr>
          <w:rFonts w:ascii="宋体" w:hAnsi="宋体"/>
          <w:highlight w:val="none"/>
        </w:rPr>
        <w:t>比选申请人提供的比选申请报价表中货物的品牌及厂家应写明</w:t>
      </w:r>
      <w:r>
        <w:rPr>
          <w:rFonts w:hint="eastAsia" w:ascii="宋体" w:hAnsi="宋体"/>
          <w:highlight w:val="none"/>
        </w:rPr>
        <w:t>，如比选申请人拟投的货物为比选人非参考品牌之一的，则需要提供能证明拟投产品的质量及参数相当于参考品牌的行业内权威机构出具的检测报告及查询方式。</w:t>
      </w:r>
    </w:p>
    <w:p>
      <w:pPr>
        <w:snapToGrid w:val="0"/>
        <w:ind w:right="-816" w:firstLine="420" w:firstLineChars="200"/>
        <w:rPr>
          <w:rFonts w:ascii="宋体" w:hAnsi="宋体"/>
          <w:highlight w:val="none"/>
        </w:rPr>
      </w:pPr>
      <w:r>
        <w:rPr>
          <w:rFonts w:hint="eastAsia" w:ascii="宋体" w:hAnsi="宋体"/>
          <w:highlight w:val="none"/>
          <w:lang w:val="en-US" w:eastAsia="zh-CN"/>
        </w:rPr>
        <w:t>3.</w:t>
      </w:r>
      <w:r>
        <w:rPr>
          <w:rFonts w:hint="eastAsia" w:ascii="宋体" w:hAnsi="宋体"/>
          <w:highlight w:val="none"/>
        </w:rPr>
        <w:t>同一规格、型号的货物、材料在各分项报价中应为同一单价。比选申请人对每种货物</w:t>
      </w:r>
      <w:r>
        <w:rPr>
          <w:rFonts w:ascii="宋体" w:hAnsi="宋体"/>
          <w:highlight w:val="none"/>
        </w:rPr>
        <w:t>(</w:t>
      </w:r>
      <w:r>
        <w:rPr>
          <w:rFonts w:hint="eastAsia" w:ascii="宋体" w:hAnsi="宋体"/>
          <w:highlight w:val="none"/>
        </w:rPr>
        <w:t>指完全相同的同一货物</w:t>
      </w:r>
      <w:r>
        <w:rPr>
          <w:rFonts w:ascii="宋体" w:hAnsi="宋体"/>
          <w:highlight w:val="none"/>
        </w:rPr>
        <w:t>)</w:t>
      </w:r>
      <w:r>
        <w:rPr>
          <w:rFonts w:hint="eastAsia" w:ascii="宋体" w:hAnsi="宋体"/>
          <w:highlight w:val="none"/>
        </w:rPr>
        <w:t>只允许有一个报价，如有不同报价，则以最低报价为准。</w:t>
      </w:r>
    </w:p>
    <w:p>
      <w:pPr>
        <w:snapToGrid w:val="0"/>
        <w:ind w:right="-816"/>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pStyle w:val="20"/>
        <w:rPr>
          <w:rFonts w:ascii="宋体" w:hAnsi="宋体"/>
          <w:highlight w:val="none"/>
        </w:rPr>
      </w:pPr>
    </w:p>
    <w:p>
      <w:pPr>
        <w:snapToGrid w:val="0"/>
        <w:ind w:right="-816"/>
        <w:jc w:val="center"/>
        <w:rPr>
          <w:rFonts w:ascii="宋体" w:hAnsi="宋体"/>
          <w:highlight w:val="none"/>
        </w:rPr>
      </w:pPr>
    </w:p>
    <w:p>
      <w:pPr>
        <w:snapToGrid w:val="0"/>
        <w:ind w:right="-816"/>
        <w:jc w:val="center"/>
        <w:rPr>
          <w:rFonts w:ascii="宋体" w:hAnsi="宋体"/>
          <w:highlight w:val="none"/>
          <w:u w:val="single"/>
        </w:rPr>
      </w:pPr>
      <w:r>
        <w:rPr>
          <w:rFonts w:hint="eastAsia" w:ascii="宋体" w:hAnsi="宋体"/>
          <w:highlight w:val="none"/>
        </w:rPr>
        <w:t>比选申请人名称（盖章）：</w:t>
      </w:r>
      <w:r>
        <w:rPr>
          <w:rFonts w:hint="eastAsia" w:ascii="宋体" w:hAnsi="宋体"/>
          <w:highlight w:val="none"/>
          <w:u w:val="single"/>
        </w:rPr>
        <w:t xml:space="preserve">                </w:t>
      </w:r>
    </w:p>
    <w:p>
      <w:pPr>
        <w:spacing w:line="276" w:lineRule="auto"/>
        <w:ind w:firstLine="420" w:firstLineChars="200"/>
        <w:jc w:val="left"/>
        <w:rPr>
          <w:rFonts w:ascii="宋体" w:hAnsi="宋体"/>
          <w:highlight w:val="none"/>
        </w:rPr>
      </w:pPr>
      <w:r>
        <w:rPr>
          <w:rFonts w:hint="eastAsia" w:ascii="宋体" w:hAnsi="宋体"/>
          <w:highlight w:val="none"/>
        </w:rPr>
        <w:t xml:space="preserve">  </w:t>
      </w:r>
      <w:r>
        <w:rPr>
          <w:rFonts w:ascii="宋体" w:hAnsi="宋体"/>
          <w:highlight w:val="none"/>
        </w:rPr>
        <w:t xml:space="preserve">                               </w:t>
      </w:r>
    </w:p>
    <w:p>
      <w:pPr>
        <w:spacing w:line="276" w:lineRule="auto"/>
        <w:ind w:firstLine="5460" w:firstLineChars="2600"/>
        <w:jc w:val="left"/>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27"/>
        <w:ind w:left="0" w:leftChars="0" w:firstLine="0" w:firstLineChars="0"/>
        <w:rPr>
          <w:rFonts w:eastAsiaTheme="minorEastAsia"/>
          <w:highlight w:val="none"/>
        </w:rPr>
      </w:pPr>
    </w:p>
    <w:p>
      <w:pPr>
        <w:pStyle w:val="27"/>
        <w:ind w:firstLine="472"/>
        <w:jc w:val="center"/>
        <w:rPr>
          <w:rFonts w:asciiTheme="minorEastAsia" w:hAnsiTheme="minorEastAsia" w:eastAsiaTheme="minorEastAsia"/>
          <w:b/>
          <w:highlight w:val="none"/>
        </w:rPr>
      </w:pPr>
      <w:bookmarkStart w:id="1199" w:name="_Toc19107"/>
      <w:bookmarkStart w:id="1200" w:name="_Toc492478827"/>
      <w:bookmarkStart w:id="1201" w:name="_Toc414290562"/>
      <w:bookmarkStart w:id="1202" w:name="_Toc25220"/>
      <w:bookmarkStart w:id="1203" w:name="_Toc25750683"/>
      <w:bookmarkStart w:id="1204" w:name="_Toc32381"/>
      <w:bookmarkStart w:id="1205" w:name="_Toc13870"/>
      <w:bookmarkStart w:id="1206" w:name="_Toc9876"/>
      <w:bookmarkStart w:id="1207" w:name="_Toc6034"/>
      <w:bookmarkStart w:id="1208" w:name="_Toc22423"/>
      <w:bookmarkStart w:id="1209" w:name="_Toc14091"/>
      <w:bookmarkStart w:id="1210" w:name="_Toc19413"/>
      <w:bookmarkStart w:id="1211" w:name="_Toc15451"/>
      <w:bookmarkStart w:id="1212" w:name="_Toc17664"/>
      <w:bookmarkStart w:id="1213" w:name="_Toc25635"/>
      <w:bookmarkStart w:id="1214" w:name="_Toc2327"/>
      <w:bookmarkStart w:id="1215" w:name="_Toc29577"/>
      <w:bookmarkStart w:id="1216" w:name="_Toc8563"/>
      <w:bookmarkStart w:id="1217" w:name="_Toc3307"/>
      <w:bookmarkStart w:id="1218" w:name="_Toc30812"/>
    </w:p>
    <w:p>
      <w:pPr>
        <w:pStyle w:val="27"/>
        <w:ind w:firstLine="472"/>
        <w:jc w:val="center"/>
        <w:rPr>
          <w:rFonts w:hint="eastAsia" w:asciiTheme="minorEastAsia" w:hAnsiTheme="minorEastAsia" w:eastAsiaTheme="minorEastAsia"/>
          <w:b/>
          <w:highlight w:val="none"/>
        </w:rPr>
      </w:pPr>
    </w:p>
    <w:p>
      <w:pPr>
        <w:pStyle w:val="27"/>
        <w:ind w:firstLine="472"/>
        <w:jc w:val="center"/>
        <w:rPr>
          <w:rFonts w:hint="eastAsia" w:asciiTheme="minorEastAsia" w:hAnsiTheme="minorEastAsia" w:eastAsiaTheme="minorEastAsia"/>
          <w:b/>
          <w:highlight w:val="none"/>
        </w:rPr>
      </w:pPr>
    </w:p>
    <w:p>
      <w:pPr>
        <w:pStyle w:val="27"/>
        <w:ind w:firstLine="472"/>
        <w:jc w:val="center"/>
        <w:rPr>
          <w:rFonts w:hint="eastAsia" w:asciiTheme="minorEastAsia" w:hAnsiTheme="minorEastAsia" w:eastAsiaTheme="minorEastAsia"/>
          <w:b/>
          <w:highlight w:val="none"/>
        </w:rPr>
      </w:pPr>
    </w:p>
    <w:p>
      <w:pPr>
        <w:pStyle w:val="27"/>
        <w:ind w:firstLine="472"/>
        <w:jc w:val="center"/>
        <w:rPr>
          <w:rFonts w:hint="eastAsia" w:asciiTheme="minorEastAsia" w:hAnsiTheme="minorEastAsia" w:eastAsiaTheme="minorEastAsia"/>
          <w:b/>
          <w:highlight w:val="none"/>
        </w:rPr>
      </w:pPr>
    </w:p>
    <w:p>
      <w:pPr>
        <w:pStyle w:val="27"/>
        <w:ind w:firstLine="472"/>
        <w:jc w:val="center"/>
        <w:rPr>
          <w:rFonts w:asciiTheme="minorEastAsia" w:hAnsiTheme="minorEastAsia" w:eastAsiaTheme="minorEastAsia"/>
          <w:b/>
          <w:highlight w:val="none"/>
        </w:rPr>
      </w:pPr>
      <w:r>
        <w:rPr>
          <w:rFonts w:hint="eastAsia" w:asciiTheme="minorEastAsia" w:hAnsiTheme="minorEastAsia" w:eastAsiaTheme="minorEastAsia"/>
          <w:b/>
          <w:highlight w:val="none"/>
        </w:rPr>
        <w:t>C</w:t>
      </w:r>
      <w:r>
        <w:rPr>
          <w:rFonts w:asciiTheme="minorEastAsia" w:hAnsiTheme="minorEastAsia" w:eastAsiaTheme="minorEastAsia"/>
          <w:b/>
          <w:highlight w:val="none"/>
        </w:rPr>
        <w:t>技术</w:t>
      </w:r>
      <w:bookmarkEnd w:id="1199"/>
      <w:bookmarkEnd w:id="1200"/>
      <w:bookmarkEnd w:id="1201"/>
      <w:r>
        <w:rPr>
          <w:rFonts w:hint="eastAsia" w:asciiTheme="minorEastAsia" w:hAnsiTheme="minorEastAsia" w:eastAsiaTheme="minorEastAsia"/>
          <w:b/>
          <w:highlight w:val="none"/>
        </w:rPr>
        <w:t>文件</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27"/>
        <w:ind w:left="0" w:leftChars="0" w:firstLine="422" w:firstLineChars="200"/>
        <w:rPr>
          <w:rFonts w:asciiTheme="minorEastAsia" w:hAnsiTheme="minorEastAsia" w:eastAsiaTheme="minorEastAsia"/>
          <w:b/>
          <w:sz w:val="21"/>
          <w:szCs w:val="21"/>
          <w:highlight w:val="none"/>
        </w:rPr>
      </w:pPr>
    </w:p>
    <w:p>
      <w:pPr>
        <w:pStyle w:val="27"/>
        <w:ind w:left="0" w:leftChars="0" w:firstLine="422" w:firstLineChars="200"/>
        <w:rPr>
          <w:rFonts w:asciiTheme="minorEastAsia" w:hAnsiTheme="minorEastAsia" w:eastAsiaTheme="minorEastAsia"/>
          <w:sz w:val="21"/>
          <w:szCs w:val="21"/>
          <w:highlight w:val="none"/>
        </w:rPr>
      </w:pPr>
      <w:r>
        <w:rPr>
          <w:rFonts w:hint="eastAsia" w:asciiTheme="minorEastAsia" w:hAnsiTheme="minorEastAsia" w:eastAsiaTheme="minorEastAsia"/>
          <w:b/>
          <w:sz w:val="21"/>
          <w:szCs w:val="21"/>
          <w:highlight w:val="none"/>
        </w:rPr>
        <w:t>技术文件格式</w:t>
      </w:r>
    </w:p>
    <w:p>
      <w:pPr>
        <w:pStyle w:val="27"/>
        <w:spacing w:line="360" w:lineRule="auto"/>
        <w:ind w:left="0" w:leftChars="0" w:firstLineChars="200"/>
        <w:rPr>
          <w:rFonts w:asciiTheme="minorEastAsia" w:hAnsiTheme="minorEastAsia" w:eastAsiaTheme="minorEastAsia"/>
          <w:bCs/>
          <w:sz w:val="21"/>
          <w:szCs w:val="21"/>
          <w:highlight w:val="none"/>
        </w:rPr>
      </w:pPr>
      <w:r>
        <w:rPr>
          <w:rFonts w:hint="eastAsia" w:asciiTheme="minorEastAsia" w:hAnsiTheme="minorEastAsia" w:eastAsiaTheme="minorEastAsia"/>
          <w:bCs/>
          <w:sz w:val="21"/>
          <w:szCs w:val="21"/>
          <w:highlight w:val="none"/>
        </w:rPr>
        <w:t>（1）</w:t>
      </w:r>
      <w:r>
        <w:rPr>
          <w:rFonts w:hint="eastAsia" w:cs="微软雅黑" w:asciiTheme="minorEastAsia" w:hAnsiTheme="minorEastAsia" w:eastAsiaTheme="minorEastAsia"/>
          <w:sz w:val="21"/>
          <w:szCs w:val="21"/>
          <w:highlight w:val="none"/>
        </w:rPr>
        <w:t>项目实施方案（包括基本工作思路、工作计划及措施、服务响应时间、服务质量及保障等内容</w:t>
      </w:r>
      <w:r>
        <w:rPr>
          <w:rFonts w:hint="eastAsia"/>
          <w:highlight w:val="none"/>
        </w:rPr>
        <w:t>）</w:t>
      </w:r>
      <w:r>
        <w:rPr>
          <w:rFonts w:hint="eastAsia" w:asciiTheme="minorEastAsia" w:hAnsiTheme="minorEastAsia" w:eastAsiaTheme="minorEastAsia"/>
          <w:bCs/>
          <w:sz w:val="21"/>
          <w:szCs w:val="21"/>
          <w:highlight w:val="none"/>
        </w:rPr>
        <w:t>；</w:t>
      </w:r>
    </w:p>
    <w:p>
      <w:pPr>
        <w:pStyle w:val="27"/>
        <w:spacing w:line="360" w:lineRule="auto"/>
        <w:ind w:firstLine="0" w:firstLineChars="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w:t>
      </w:r>
      <w:r>
        <w:rPr>
          <w:rFonts w:hint="eastAsia" w:cs="微软雅黑" w:asciiTheme="minorEastAsia" w:hAnsiTheme="minorEastAsia" w:eastAsiaTheme="minorEastAsia"/>
          <w:sz w:val="21"/>
          <w:szCs w:val="21"/>
          <w:highlight w:val="none"/>
        </w:rPr>
        <w:t>比选响应表（格式见</w:t>
      </w:r>
      <w:r>
        <w:rPr>
          <w:rFonts w:hint="eastAsia" w:asciiTheme="minorEastAsia" w:hAnsiTheme="minorEastAsia" w:eastAsiaTheme="minorEastAsia"/>
          <w:sz w:val="21"/>
          <w:szCs w:val="21"/>
          <w:highlight w:val="none"/>
        </w:rPr>
        <w:t>C</w:t>
      </w:r>
      <w:r>
        <w:rPr>
          <w:rFonts w:asciiTheme="minorEastAsia" w:hAnsiTheme="minorEastAsia" w:eastAsiaTheme="minorEastAsia"/>
          <w:sz w:val="21"/>
          <w:szCs w:val="21"/>
          <w:highlight w:val="none"/>
        </w:rPr>
        <w:t>1</w:t>
      </w:r>
      <w:r>
        <w:rPr>
          <w:rFonts w:hint="eastAsia" w:cs="微软雅黑" w:asciiTheme="minorEastAsia" w:hAnsiTheme="minorEastAsia" w:eastAsiaTheme="minorEastAsia"/>
          <w:sz w:val="21"/>
          <w:szCs w:val="21"/>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（3）比选申请人认为应提交的其他比选申请资料（如有）。</w:t>
      </w: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p>
    <w:p>
      <w:pPr>
        <w:pStyle w:val="27"/>
        <w:ind w:firstLine="413"/>
        <w:rPr>
          <w:rFonts w:asciiTheme="minorEastAsia" w:hAnsiTheme="minorEastAsia" w:eastAsiaTheme="minorEastAsia"/>
          <w:b/>
          <w:sz w:val="21"/>
          <w:szCs w:val="21"/>
          <w:highlight w:val="none"/>
        </w:rPr>
      </w:pPr>
      <w:r>
        <w:rPr>
          <w:rFonts w:hint="eastAsia" w:asciiTheme="minorEastAsia" w:hAnsiTheme="minorEastAsia" w:eastAsiaTheme="minorEastAsia"/>
          <w:b/>
          <w:sz w:val="21"/>
          <w:szCs w:val="21"/>
          <w:highlight w:val="none"/>
        </w:rPr>
        <w:t>C</w:t>
      </w:r>
      <w:r>
        <w:rPr>
          <w:rFonts w:asciiTheme="minorEastAsia" w:hAnsiTheme="minorEastAsia" w:eastAsiaTheme="minorEastAsia"/>
          <w:b/>
          <w:sz w:val="21"/>
          <w:szCs w:val="21"/>
          <w:highlight w:val="none"/>
        </w:rPr>
        <w:t>1</w:t>
      </w:r>
      <w:r>
        <w:rPr>
          <w:rFonts w:hint="eastAsia" w:asciiTheme="minorEastAsia" w:hAnsiTheme="minorEastAsia" w:eastAsiaTheme="minorEastAsia"/>
          <w:b/>
          <w:sz w:val="21"/>
          <w:szCs w:val="21"/>
          <w:highlight w:val="none"/>
        </w:rPr>
        <w:t>比选响应表格式</w:t>
      </w:r>
    </w:p>
    <w:p>
      <w:pPr>
        <w:pStyle w:val="27"/>
        <w:ind w:firstLine="470"/>
        <w:rPr>
          <w:rFonts w:eastAsiaTheme="minorEastAsia"/>
          <w:highlight w:val="none"/>
        </w:rPr>
      </w:pPr>
    </w:p>
    <w:p>
      <w:pPr>
        <w:ind w:right="-57"/>
        <w:jc w:val="center"/>
        <w:rPr>
          <w:rFonts w:ascii="宋体" w:hAnsi="宋体"/>
          <w:b/>
          <w:highlight w:val="none"/>
        </w:rPr>
      </w:pPr>
      <w:r>
        <w:rPr>
          <w:rFonts w:hint="eastAsia" w:ascii="宋体" w:hAnsi="宋体"/>
          <w:b/>
          <w:highlight w:val="none"/>
        </w:rPr>
        <w:t>比选响应表</w:t>
      </w:r>
    </w:p>
    <w:p>
      <w:pPr>
        <w:rPr>
          <w:rFonts w:ascii="宋体" w:hAnsi="宋体" w:cs="宋体"/>
          <w:highlight w:val="none"/>
        </w:rPr>
      </w:pPr>
      <w:r>
        <w:rPr>
          <w:rFonts w:hint="eastAsia" w:ascii="宋体" w:hAnsi="宋体"/>
          <w:highlight w:val="none"/>
        </w:rPr>
        <w:t>项目名称：</w:t>
      </w:r>
      <w:r>
        <w:rPr>
          <w:rFonts w:hint="eastAsia" w:ascii="宋体" w:hAnsi="宋体" w:cs="宋体"/>
          <w:highlight w:val="none"/>
        </w:rPr>
        <w:t>南宁市金盾道路清障有限责任公司那洪分公司电梯采购安装项目</w:t>
      </w:r>
    </w:p>
    <w:p>
      <w:pPr>
        <w:ind w:right="-57"/>
        <w:jc w:val="left"/>
        <w:rPr>
          <w:rFonts w:ascii="宋体" w:hAnsi="宋体"/>
          <w:highlight w:val="none"/>
          <w:u w:val="single"/>
        </w:rPr>
      </w:pP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第五章</w:t>
            </w:r>
            <w:r>
              <w:rPr>
                <w:rFonts w:ascii="宋体" w:hAnsi="宋体"/>
                <w:highlight w:val="none"/>
              </w:rPr>
              <w:t xml:space="preserve"> </w:t>
            </w:r>
            <w:r>
              <w:rPr>
                <w:rFonts w:hint="eastAsia" w:ascii="宋体" w:hAnsi="宋体"/>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bl>
    <w:p>
      <w:pPr>
        <w:snapToGrid w:val="0"/>
        <w:spacing w:after="50"/>
        <w:ind w:right="-57"/>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3255" w:firstLineChars="1550"/>
        <w:rPr>
          <w:rFonts w:ascii="宋体" w:hAnsi="宋体"/>
          <w:highlight w:val="none"/>
          <w:u w:val="single"/>
        </w:rPr>
      </w:pPr>
      <w:r>
        <w:rPr>
          <w:rFonts w:hint="eastAsia" w:ascii="宋体" w:hAnsi="宋体"/>
          <w:highlight w:val="none"/>
        </w:rPr>
        <w:t>比选申请人名称（盖章）：</w:t>
      </w:r>
      <w:r>
        <w:rPr>
          <w:rFonts w:ascii="宋体" w:hAnsi="宋体"/>
          <w:highlight w:val="none"/>
          <w:u w:val="single"/>
        </w:rPr>
        <w:t xml:space="preserve">                   </w:t>
      </w:r>
    </w:p>
    <w:p>
      <w:pPr>
        <w:pStyle w:val="27"/>
        <w:ind w:firstLine="470"/>
        <w:rPr>
          <w:rFonts w:eastAsiaTheme="minorEastAsia"/>
          <w:highlight w:val="none"/>
        </w:rPr>
      </w:pPr>
    </w:p>
    <w:p>
      <w:pPr>
        <w:snapToGrid w:val="0"/>
        <w:spacing w:after="50" w:line="280" w:lineRule="exact"/>
        <w:ind w:left="707" w:right="-817"/>
        <w:jc w:val="center"/>
        <w:rPr>
          <w:rFonts w:ascii="宋体" w:hAnsi="宋体"/>
          <w:highlight w:val="none"/>
          <w:u w:val="single"/>
        </w:rPr>
      </w:pPr>
      <w:r>
        <w:rPr>
          <w:rFonts w:ascii="宋体" w:hAnsi="宋体"/>
          <w:highlight w:val="none"/>
        </w:rPr>
        <w:t xml:space="preserve"> 法定代表人或被授权人（签字）：</w:t>
      </w:r>
      <w:r>
        <w:rPr>
          <w:rFonts w:ascii="宋体" w:hAnsi="宋体"/>
          <w:highlight w:val="none"/>
          <w:u w:val="single"/>
        </w:rPr>
        <w:t xml:space="preserve">              </w:t>
      </w:r>
    </w:p>
    <w:p>
      <w:pPr>
        <w:pStyle w:val="27"/>
        <w:ind w:firstLine="470"/>
        <w:rPr>
          <w:rFonts w:ascii="宋体" w:hAnsi="宋体"/>
          <w:highlight w:val="none"/>
        </w:rPr>
      </w:pPr>
      <w:r>
        <w:rPr>
          <w:rFonts w:hint="eastAsia" w:ascii="宋体" w:hAnsi="宋体"/>
          <w:highlight w:val="none"/>
        </w:rPr>
        <w:t xml:space="preserve"> </w:t>
      </w:r>
    </w:p>
    <w:p>
      <w:pPr>
        <w:pStyle w:val="27"/>
        <w:ind w:firstLine="3830" w:firstLineChars="1596"/>
        <w:rPr>
          <w:rFonts w:eastAsiaTheme="minorEastAsia"/>
          <w:highlight w:val="none"/>
        </w:rPr>
      </w:pPr>
      <w:r>
        <w:rPr>
          <w:rFonts w:hint="eastAsia" w:ascii="宋体" w:hAnsi="宋体"/>
          <w:highlight w:val="none"/>
        </w:rPr>
        <w:t>日</w:t>
      </w:r>
      <w:r>
        <w:rPr>
          <w:rFonts w:ascii="宋体" w:hAnsi="宋体"/>
          <w:highlight w:val="none"/>
        </w:rPr>
        <w:t xml:space="preserve">  </w:t>
      </w:r>
      <w:r>
        <w:rPr>
          <w:rFonts w:hint="eastAsia" w:ascii="宋体" w:hAnsi="宋体"/>
          <w:highlight w:val="none"/>
        </w:rPr>
        <w:t>期：</w:t>
      </w:r>
      <w:r>
        <w:rPr>
          <w:rFonts w:ascii="宋体" w:hAnsi="宋体"/>
          <w:highlight w:val="none"/>
          <w:u w:val="single"/>
        </w:rPr>
        <w:t xml:space="preserve">    </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rPr>
        <w:t>日</w:t>
      </w: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left="0" w:leftChars="0" w:firstLine="0" w:firstLineChars="0"/>
        <w:rPr>
          <w:rFonts w:eastAsiaTheme="minorEastAsia"/>
          <w:highlight w:val="none"/>
        </w:rPr>
      </w:pPr>
    </w:p>
    <w:p>
      <w:pPr>
        <w:pStyle w:val="27"/>
        <w:ind w:left="0" w:leftChars="0" w:firstLine="0" w:firstLineChars="0"/>
        <w:rPr>
          <w:rFonts w:eastAsiaTheme="minorEastAsia"/>
          <w:highlight w:val="none"/>
        </w:rPr>
      </w:pPr>
    </w:p>
    <w:p>
      <w:pPr>
        <w:pStyle w:val="27"/>
        <w:ind w:left="0" w:leftChars="0" w:firstLine="0" w:firstLineChars="0"/>
        <w:jc w:val="center"/>
        <w:rPr>
          <w:rStyle w:val="78"/>
          <w:rFonts w:asciiTheme="minorEastAsia" w:hAnsiTheme="minorEastAsia" w:eastAsiaTheme="minorEastAsia"/>
          <w:highlight w:val="none"/>
        </w:rPr>
      </w:pPr>
      <w:bookmarkStart w:id="1219" w:name="_Toc25750688"/>
    </w:p>
    <w:p>
      <w:pPr>
        <w:pStyle w:val="27"/>
        <w:ind w:left="0" w:leftChars="0" w:firstLine="0" w:firstLineChars="0"/>
        <w:jc w:val="center"/>
        <w:rPr>
          <w:rStyle w:val="78"/>
          <w:rFonts w:asciiTheme="minorEastAsia" w:hAnsiTheme="minorEastAsia" w:eastAsiaTheme="minorEastAsia"/>
          <w:highlight w:val="none"/>
        </w:rPr>
      </w:pPr>
    </w:p>
    <w:p>
      <w:pPr>
        <w:pStyle w:val="27"/>
        <w:ind w:left="0" w:leftChars="0" w:firstLine="0" w:firstLineChars="0"/>
        <w:jc w:val="center"/>
        <w:rPr>
          <w:rFonts w:asciiTheme="minorEastAsia" w:hAnsiTheme="minorEastAsia" w:eastAsiaTheme="minorEastAsia"/>
          <w:highlight w:val="none"/>
        </w:rPr>
      </w:pPr>
      <w:r>
        <w:rPr>
          <w:rStyle w:val="78"/>
          <w:rFonts w:hint="eastAsia" w:asciiTheme="minorEastAsia" w:hAnsiTheme="minorEastAsia" w:eastAsiaTheme="minorEastAsia"/>
          <w:highlight w:val="none"/>
        </w:rPr>
        <w:t>第五章 用户需求书</w:t>
      </w:r>
      <w:bookmarkEnd w:id="1219"/>
    </w:p>
    <w:p>
      <w:pPr>
        <w:spacing w:line="360" w:lineRule="auto"/>
        <w:rPr>
          <w:rFonts w:cs="宋体" w:asciiTheme="minorEastAsia" w:hAnsiTheme="minorEastAsia" w:eastAsiaTheme="minorEastAsia"/>
          <w:kern w:val="0"/>
          <w:szCs w:val="21"/>
          <w:highlight w:val="none"/>
        </w:rPr>
      </w:pPr>
    </w:p>
    <w:p>
      <w:pPr>
        <w:jc w:val="center"/>
        <w:rPr>
          <w:rFonts w:ascii="宋体" w:hAnsi="宋体" w:cs="宋体"/>
          <w:sz w:val="44"/>
          <w:szCs w:val="48"/>
          <w:highlight w:val="none"/>
        </w:rPr>
      </w:pPr>
      <w:bookmarkStart w:id="1220" w:name="_Toc6674"/>
      <w:r>
        <w:rPr>
          <w:rFonts w:hint="eastAsia" w:ascii="宋体" w:hAnsi="宋体" w:cs="宋体"/>
          <w:sz w:val="44"/>
          <w:szCs w:val="48"/>
          <w:highlight w:val="none"/>
        </w:rPr>
        <w:t>南宁市金盾道路清障有限责任公司那洪分公司</w:t>
      </w:r>
    </w:p>
    <w:p>
      <w:pPr>
        <w:jc w:val="center"/>
        <w:rPr>
          <w:rFonts w:ascii="宋体" w:hAnsi="宋体" w:cs="宋体"/>
          <w:b/>
          <w:bCs/>
          <w:sz w:val="44"/>
          <w:szCs w:val="44"/>
          <w:highlight w:val="none"/>
        </w:rPr>
      </w:pPr>
      <w:r>
        <w:rPr>
          <w:rFonts w:hint="eastAsia" w:ascii="宋体" w:hAnsi="宋体" w:cs="宋体"/>
          <w:sz w:val="44"/>
          <w:szCs w:val="48"/>
          <w:highlight w:val="none"/>
        </w:rPr>
        <w:t>电梯采购安装项目</w:t>
      </w:r>
    </w:p>
    <w:p>
      <w:pPr>
        <w:jc w:val="center"/>
        <w:rPr>
          <w:rFonts w:ascii="宋体" w:hAnsi="宋体" w:cs="宋体"/>
          <w:b/>
          <w:bCs/>
          <w:sz w:val="44"/>
          <w:szCs w:val="44"/>
          <w:highlight w:val="none"/>
        </w:rPr>
      </w:pPr>
    </w:p>
    <w:p>
      <w:pPr>
        <w:jc w:val="center"/>
        <w:rPr>
          <w:rFonts w:ascii="宋体" w:hAnsi="宋体" w:cs="宋体"/>
          <w:b/>
          <w:bCs/>
          <w:sz w:val="44"/>
          <w:szCs w:val="44"/>
          <w:highlight w:val="none"/>
        </w:rPr>
      </w:pPr>
    </w:p>
    <w:p>
      <w:pPr>
        <w:rPr>
          <w:rFonts w:ascii="宋体" w:hAnsi="宋体" w:cs="宋体"/>
          <w:b/>
          <w:bCs/>
          <w:sz w:val="44"/>
          <w:szCs w:val="44"/>
          <w:highlight w:val="none"/>
        </w:rPr>
      </w:pPr>
    </w:p>
    <w:p>
      <w:pPr>
        <w:jc w:val="center"/>
        <w:rPr>
          <w:rFonts w:ascii="宋体" w:hAnsi="宋体" w:cs="宋体"/>
          <w:b/>
          <w:bCs/>
          <w:sz w:val="44"/>
          <w:szCs w:val="44"/>
          <w:highlight w:val="none"/>
        </w:rPr>
      </w:pPr>
    </w:p>
    <w:p>
      <w:pPr>
        <w:jc w:val="center"/>
        <w:rPr>
          <w:rFonts w:ascii="宋体" w:hAnsi="宋体" w:cs="宋体"/>
          <w:b/>
          <w:bCs/>
          <w:sz w:val="44"/>
          <w:szCs w:val="44"/>
          <w:highlight w:val="none"/>
        </w:rPr>
      </w:pPr>
    </w:p>
    <w:p>
      <w:pPr>
        <w:jc w:val="center"/>
        <w:rPr>
          <w:rFonts w:ascii="宋体" w:hAnsi="宋体" w:cs="宋体"/>
          <w:bCs/>
          <w:sz w:val="52"/>
          <w:szCs w:val="52"/>
          <w:highlight w:val="none"/>
        </w:rPr>
      </w:pPr>
      <w:r>
        <w:rPr>
          <w:rFonts w:hint="eastAsia" w:ascii="宋体" w:hAnsi="宋体" w:cs="宋体"/>
          <w:bCs/>
          <w:sz w:val="52"/>
          <w:szCs w:val="52"/>
          <w:highlight w:val="none"/>
        </w:rPr>
        <w:t>用户需求书</w:t>
      </w:r>
    </w:p>
    <w:p>
      <w:pPr>
        <w:jc w:val="center"/>
        <w:rPr>
          <w:rFonts w:ascii="宋体" w:hAnsi="宋体"/>
          <w:b/>
          <w:bCs/>
          <w:sz w:val="44"/>
          <w:szCs w:val="44"/>
          <w:highlight w:val="none"/>
        </w:rPr>
      </w:pPr>
    </w:p>
    <w:p>
      <w:pPr>
        <w:jc w:val="center"/>
        <w:rPr>
          <w:rFonts w:ascii="宋体" w:hAnsi="宋体"/>
          <w:b/>
          <w:bCs/>
          <w:sz w:val="44"/>
          <w:szCs w:val="44"/>
          <w:highlight w:val="none"/>
        </w:rPr>
      </w:pPr>
    </w:p>
    <w:p>
      <w:pPr>
        <w:jc w:val="center"/>
        <w:rPr>
          <w:rFonts w:ascii="宋体" w:hAnsi="宋体"/>
          <w:b/>
          <w:bCs/>
          <w:sz w:val="44"/>
          <w:szCs w:val="44"/>
          <w:highlight w:val="none"/>
        </w:rPr>
      </w:pPr>
    </w:p>
    <w:p>
      <w:pPr>
        <w:rPr>
          <w:rFonts w:ascii="宋体" w:hAnsi="宋体"/>
          <w:b/>
          <w:bCs/>
          <w:sz w:val="44"/>
          <w:szCs w:val="44"/>
          <w:highlight w:val="none"/>
        </w:rPr>
      </w:pPr>
    </w:p>
    <w:p>
      <w:pPr>
        <w:jc w:val="center"/>
        <w:rPr>
          <w:rFonts w:ascii="宋体" w:hAnsi="宋体"/>
          <w:sz w:val="32"/>
          <w:szCs w:val="32"/>
          <w:highlight w:val="none"/>
        </w:rPr>
      </w:pPr>
      <w:r>
        <w:rPr>
          <w:rFonts w:hint="eastAsia" w:ascii="宋体" w:hAnsi="宋体"/>
          <w:sz w:val="32"/>
          <w:szCs w:val="32"/>
          <w:highlight w:val="none"/>
        </w:rPr>
        <w:t>南宁市金盾道路清障有限责任公司</w:t>
      </w:r>
    </w:p>
    <w:p>
      <w:pPr>
        <w:jc w:val="center"/>
        <w:rPr>
          <w:rFonts w:ascii="宋体" w:hAnsi="宋体"/>
          <w:sz w:val="32"/>
          <w:szCs w:val="32"/>
          <w:highlight w:val="none"/>
        </w:rPr>
      </w:pPr>
      <w:r>
        <w:rPr>
          <w:rFonts w:hint="eastAsia" w:ascii="宋体" w:hAnsi="宋体"/>
          <w:sz w:val="32"/>
          <w:szCs w:val="32"/>
          <w:highlight w:val="none"/>
        </w:rPr>
        <w:t>2024年</w:t>
      </w:r>
      <w:r>
        <w:rPr>
          <w:rFonts w:hint="eastAsia" w:ascii="宋体" w:hAnsi="宋体"/>
          <w:sz w:val="32"/>
          <w:szCs w:val="32"/>
          <w:highlight w:val="none"/>
          <w:lang w:val="en-US" w:eastAsia="zh-CN"/>
        </w:rPr>
        <w:t>2</w:t>
      </w:r>
      <w:r>
        <w:rPr>
          <w:rFonts w:hint="eastAsia" w:ascii="宋体" w:hAnsi="宋体"/>
          <w:sz w:val="32"/>
          <w:szCs w:val="32"/>
          <w:highlight w:val="none"/>
        </w:rPr>
        <w:t>月</w:t>
      </w:r>
      <w:r>
        <w:rPr>
          <w:rFonts w:hint="eastAsia" w:ascii="宋体" w:hAnsi="宋体"/>
          <w:sz w:val="32"/>
          <w:szCs w:val="32"/>
          <w:highlight w:val="none"/>
          <w:lang w:val="en-US" w:eastAsia="zh-CN"/>
        </w:rPr>
        <w:t>22</w:t>
      </w:r>
      <w:r>
        <w:rPr>
          <w:rFonts w:hint="eastAsia" w:ascii="宋体" w:hAnsi="宋体"/>
          <w:sz w:val="32"/>
          <w:szCs w:val="32"/>
          <w:highlight w:val="none"/>
        </w:rPr>
        <w:t>日</w:t>
      </w:r>
    </w:p>
    <w:p>
      <w:pPr>
        <w:pStyle w:val="3"/>
        <w:numPr>
          <w:ilvl w:val="3"/>
          <w:numId w:val="0"/>
        </w:numPr>
        <w:ind w:right="-27"/>
        <w:rPr>
          <w:highlight w:val="none"/>
        </w:rPr>
      </w:pPr>
    </w:p>
    <w:p>
      <w:pPr>
        <w:rPr>
          <w:highlight w:val="none"/>
        </w:rPr>
      </w:pPr>
    </w:p>
    <w:p>
      <w:pPr>
        <w:pStyle w:val="2"/>
        <w:rPr>
          <w:highlight w:val="none"/>
        </w:rPr>
      </w:pPr>
    </w:p>
    <w:p>
      <w:pPr>
        <w:pStyle w:val="3"/>
        <w:numPr>
          <w:ilvl w:val="3"/>
          <w:numId w:val="0"/>
        </w:numPr>
        <w:rPr>
          <w:highlight w:val="none"/>
        </w:rPr>
      </w:pPr>
    </w:p>
    <w:p>
      <w:pPr>
        <w:rPr>
          <w:highlight w:val="none"/>
        </w:rPr>
      </w:pPr>
    </w:p>
    <w:p>
      <w:pPr>
        <w:pStyle w:val="27"/>
        <w:ind w:firstLine="470"/>
        <w:rPr>
          <w:highlight w:val="none"/>
        </w:rPr>
      </w:pPr>
    </w:p>
    <w:p>
      <w:pPr>
        <w:pStyle w:val="27"/>
        <w:ind w:firstLine="470"/>
        <w:rPr>
          <w:highlight w:val="none"/>
        </w:rPr>
      </w:pPr>
    </w:p>
    <w:p>
      <w:pPr>
        <w:pStyle w:val="27"/>
        <w:ind w:firstLine="470"/>
        <w:rPr>
          <w:highlight w:val="none"/>
        </w:rPr>
      </w:pPr>
    </w:p>
    <w:p>
      <w:pPr>
        <w:pStyle w:val="27"/>
        <w:ind w:firstLine="470"/>
        <w:rPr>
          <w:highlight w:val="none"/>
        </w:rPr>
      </w:pPr>
    </w:p>
    <w:p>
      <w:pPr>
        <w:pStyle w:val="27"/>
        <w:ind w:firstLine="470"/>
        <w:rPr>
          <w:highlight w:val="none"/>
        </w:rPr>
      </w:pPr>
    </w:p>
    <w:p>
      <w:pPr>
        <w:rPr>
          <w:highlight w:val="none"/>
        </w:rPr>
      </w:pPr>
    </w:p>
    <w:p>
      <w:pPr>
        <w:pStyle w:val="3"/>
        <w:numPr>
          <w:ilvl w:val="3"/>
          <w:numId w:val="0"/>
        </w:numPr>
        <w:ind w:right="-27"/>
        <w:rPr>
          <w:highlight w:val="none"/>
        </w:rPr>
      </w:pPr>
    </w:p>
    <w:p>
      <w:pPr>
        <w:rPr>
          <w:highlight w:val="none"/>
        </w:rPr>
      </w:pPr>
    </w:p>
    <w:p>
      <w:pPr>
        <w:pStyle w:val="2"/>
        <w:rPr>
          <w:highlight w:val="none"/>
        </w:rPr>
      </w:pPr>
    </w:p>
    <w:p>
      <w:pPr>
        <w:pStyle w:val="4"/>
        <w:tabs>
          <w:tab w:val="left" w:pos="0"/>
          <w:tab w:val="left" w:pos="420"/>
        </w:tabs>
        <w:spacing w:before="120" w:beforeLines="50" w:after="120" w:afterLines="50" w:line="240" w:lineRule="auto"/>
        <w:jc w:val="center"/>
        <w:rPr>
          <w:rFonts w:cs="宋体"/>
          <w:highlight w:val="none"/>
        </w:rPr>
      </w:pPr>
      <w:bookmarkStart w:id="1221" w:name="_Toc534613550"/>
      <w:bookmarkStart w:id="1222" w:name="_Toc2379"/>
      <w:bookmarkStart w:id="1223" w:name="_Toc14169"/>
      <w:bookmarkStart w:id="1224" w:name="_Toc25408"/>
      <w:bookmarkStart w:id="1225" w:name="_Toc28068"/>
      <w:bookmarkStart w:id="1226" w:name="_Toc3765"/>
      <w:bookmarkStart w:id="1227" w:name="_Toc364"/>
      <w:bookmarkStart w:id="1228" w:name="_Toc28487"/>
      <w:bookmarkStart w:id="1229" w:name="_Toc19004"/>
      <w:bookmarkStart w:id="1230" w:name="_Toc10677"/>
      <w:bookmarkStart w:id="1231" w:name="_Toc23919"/>
      <w:bookmarkStart w:id="1232" w:name="_Toc30392"/>
      <w:bookmarkStart w:id="1233" w:name="_Toc26682"/>
      <w:bookmarkStart w:id="1234" w:name="_Toc534612213"/>
      <w:bookmarkStart w:id="1235" w:name="_Toc5544"/>
      <w:bookmarkStart w:id="1236" w:name="_Toc31565"/>
      <w:bookmarkStart w:id="1237" w:name="_Toc32032"/>
      <w:bookmarkStart w:id="1238" w:name="_Toc533760358"/>
      <w:bookmarkStart w:id="1239" w:name="_Toc22726"/>
      <w:r>
        <w:rPr>
          <w:rFonts w:hint="eastAsia" w:ascii="黑体" w:hAnsi="黑体" w:eastAsia="黑体" w:cs="黑体"/>
          <w:highlight w:val="none"/>
        </w:rPr>
        <w:t>目  录</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22"/>
        <w:tabs>
          <w:tab w:val="right" w:leader="dot" w:pos="8306"/>
        </w:tabs>
        <w:autoSpaceDE/>
        <w:autoSpaceDN/>
        <w:adjustRightInd/>
        <w:spacing w:line="360" w:lineRule="auto"/>
        <w:rPr>
          <w:sz w:val="21"/>
          <w:szCs w:val="21"/>
          <w:highlight w:val="none"/>
        </w:rPr>
      </w:pPr>
      <w:r>
        <w:rPr>
          <w:rFonts w:hint="eastAsia"/>
          <w:sz w:val="24"/>
          <w:highlight w:val="none"/>
        </w:rPr>
        <w:fldChar w:fldCharType="begin"/>
      </w:r>
      <w:r>
        <w:rPr>
          <w:rFonts w:hint="eastAsia"/>
          <w:sz w:val="24"/>
          <w:highlight w:val="none"/>
        </w:rPr>
        <w:instrText xml:space="preserve">TOC \o "1-2" \h \u </w:instrText>
      </w:r>
      <w:r>
        <w:rPr>
          <w:rFonts w:hint="eastAsia"/>
          <w:sz w:val="24"/>
          <w:highlight w:val="none"/>
        </w:rPr>
        <w:fldChar w:fldCharType="separate"/>
      </w:r>
      <w:r>
        <w:rPr>
          <w:sz w:val="21"/>
          <w:szCs w:val="21"/>
          <w:highlight w:val="none"/>
        </w:rPr>
        <w:fldChar w:fldCharType="begin"/>
      </w:r>
      <w:r>
        <w:rPr>
          <w:sz w:val="21"/>
          <w:szCs w:val="21"/>
          <w:highlight w:val="none"/>
        </w:rPr>
        <w:instrText xml:space="preserve"> HYPERLINK \l "_Toc31356" </w:instrText>
      </w:r>
      <w:r>
        <w:rPr>
          <w:sz w:val="21"/>
          <w:szCs w:val="21"/>
          <w:highlight w:val="none"/>
        </w:rPr>
        <w:fldChar w:fldCharType="separate"/>
      </w:r>
      <w:r>
        <w:rPr>
          <w:rFonts w:ascii="Times New Roman" w:hAnsi="Times New Roman" w:cs="宋体"/>
          <w:sz w:val="21"/>
          <w:szCs w:val="21"/>
          <w:highlight w:val="none"/>
        </w:rPr>
        <w:t xml:space="preserve">1 </w:t>
      </w:r>
      <w:r>
        <w:rPr>
          <w:rFonts w:hint="eastAsia"/>
          <w:sz w:val="21"/>
          <w:szCs w:val="21"/>
          <w:highlight w:val="none"/>
        </w:rPr>
        <w:t>项目概况</w:t>
      </w:r>
      <w:r>
        <w:rPr>
          <w:sz w:val="21"/>
          <w:szCs w:val="21"/>
          <w:highlight w:val="none"/>
        </w:rPr>
        <w:tab/>
      </w:r>
      <w:r>
        <w:rPr>
          <w:rFonts w:hint="eastAsia"/>
          <w:sz w:val="21"/>
          <w:szCs w:val="21"/>
          <w:highlight w:val="none"/>
        </w:rPr>
        <w:t>3</w:t>
      </w:r>
      <w:r>
        <w:rPr>
          <w:rFonts w:hint="eastAsia"/>
          <w:sz w:val="21"/>
          <w:szCs w:val="21"/>
          <w:highlight w:val="none"/>
        </w:rPr>
        <w:fldChar w:fldCharType="end"/>
      </w:r>
    </w:p>
    <w:p>
      <w:pPr>
        <w:pStyle w:val="24"/>
        <w:tabs>
          <w:tab w:val="right" w:leader="dot" w:pos="8306"/>
          <w:tab w:val="clear" w:pos="9061"/>
        </w:tabs>
        <w:spacing w:line="360" w:lineRule="auto"/>
        <w:ind w:firstLine="420" w:firstLineChars="200"/>
        <w:rPr>
          <w:rFonts w:asciiTheme="minorEastAsia" w:hAnsiTheme="minorEastAsia" w:eastAsiaTheme="minorEastAsia" w:cstheme="minorEastAsia"/>
          <w:sz w:val="21"/>
          <w:szCs w:val="21"/>
          <w:highlight w:val="none"/>
        </w:rPr>
      </w:pPr>
      <w:r>
        <w:rPr>
          <w:sz w:val="21"/>
          <w:szCs w:val="21"/>
          <w:highlight w:val="none"/>
        </w:rPr>
        <w:fldChar w:fldCharType="begin"/>
      </w:r>
      <w:r>
        <w:rPr>
          <w:sz w:val="21"/>
          <w:szCs w:val="21"/>
          <w:highlight w:val="none"/>
        </w:rPr>
        <w:instrText xml:space="preserve"> HYPERLINK \l "_Toc13598" </w:instrText>
      </w:r>
      <w:r>
        <w:rPr>
          <w:sz w:val="21"/>
          <w:szCs w:val="21"/>
          <w:highlight w:val="none"/>
        </w:rPr>
        <w:fldChar w:fldCharType="separate"/>
      </w:r>
      <w:r>
        <w:rPr>
          <w:rFonts w:hint="eastAsia" w:asciiTheme="minorEastAsia" w:hAnsiTheme="minorEastAsia" w:eastAsiaTheme="minorEastAsia" w:cstheme="minorEastAsia"/>
          <w:sz w:val="21"/>
          <w:szCs w:val="21"/>
          <w:highlight w:val="none"/>
        </w:rPr>
        <w:t>1.1 工程概况</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rPr>
        <w:fldChar w:fldCharType="end"/>
      </w:r>
    </w:p>
    <w:p>
      <w:pPr>
        <w:pStyle w:val="24"/>
        <w:tabs>
          <w:tab w:val="right" w:leader="dot" w:pos="8306"/>
          <w:tab w:val="clear" w:pos="9061"/>
        </w:tabs>
        <w:spacing w:line="360" w:lineRule="auto"/>
        <w:ind w:firstLine="420" w:firstLineChars="200"/>
        <w:rPr>
          <w:sz w:val="21"/>
          <w:szCs w:val="21"/>
          <w:highlight w:val="none"/>
        </w:rPr>
      </w:pPr>
      <w:r>
        <w:rPr>
          <w:sz w:val="21"/>
          <w:szCs w:val="21"/>
          <w:highlight w:val="none"/>
        </w:rPr>
        <w:fldChar w:fldCharType="begin"/>
      </w:r>
      <w:r>
        <w:rPr>
          <w:sz w:val="21"/>
          <w:szCs w:val="21"/>
          <w:highlight w:val="none"/>
        </w:rPr>
        <w:instrText xml:space="preserve"> HYPERLINK \l "_Toc20605" </w:instrText>
      </w:r>
      <w:r>
        <w:rPr>
          <w:sz w:val="21"/>
          <w:szCs w:val="21"/>
          <w:highlight w:val="none"/>
        </w:rPr>
        <w:fldChar w:fldCharType="separate"/>
      </w:r>
      <w:r>
        <w:rPr>
          <w:rFonts w:hint="eastAsia" w:asciiTheme="minorEastAsia" w:hAnsiTheme="minorEastAsia" w:eastAsiaTheme="minorEastAsia" w:cstheme="minorEastAsia"/>
          <w:sz w:val="21"/>
          <w:szCs w:val="21"/>
          <w:highlight w:val="none"/>
        </w:rPr>
        <w:t>1.2 比选人及比选申请人</w:t>
      </w:r>
      <w:r>
        <w:rPr>
          <w:rFonts w:hint="eastAsia" w:asciiTheme="minorEastAsia" w:hAnsiTheme="minorEastAsia" w:eastAsiaTheme="minorEastAsia" w:cstheme="minorEastAsia"/>
          <w:sz w:val="21"/>
          <w:szCs w:val="21"/>
          <w:highlight w:val="none"/>
        </w:rPr>
        <w:tab/>
      </w:r>
      <w:r>
        <w:rPr>
          <w:rFonts w:hint="eastAsia" w:asciiTheme="minorEastAsia" w:hAnsiTheme="minorEastAsia" w:eastAsiaTheme="minorEastAsia" w:cstheme="minorEastAsia"/>
          <w:sz w:val="21"/>
          <w:szCs w:val="21"/>
          <w:highlight w:val="none"/>
        </w:rPr>
        <w:t>4</w:t>
      </w:r>
      <w:r>
        <w:rPr>
          <w:rFonts w:hint="eastAsia" w:asciiTheme="minorEastAsia" w:hAnsiTheme="minorEastAsia" w:eastAsiaTheme="minorEastAsia" w:cstheme="minorEastAsia"/>
          <w:sz w:val="21"/>
          <w:szCs w:val="21"/>
          <w:highlight w:val="none"/>
        </w:rPr>
        <w:fldChar w:fldCharType="end"/>
      </w:r>
    </w:p>
    <w:p>
      <w:pPr>
        <w:pStyle w:val="22"/>
        <w:tabs>
          <w:tab w:val="right" w:leader="dot" w:pos="8306"/>
        </w:tabs>
        <w:autoSpaceDE/>
        <w:autoSpaceDN/>
        <w:adjustRightInd/>
        <w:spacing w:line="360" w:lineRule="auto"/>
        <w:rPr>
          <w:sz w:val="21"/>
          <w:szCs w:val="21"/>
          <w:highlight w:val="none"/>
        </w:rPr>
      </w:pPr>
      <w:r>
        <w:rPr>
          <w:sz w:val="21"/>
          <w:szCs w:val="21"/>
          <w:highlight w:val="none"/>
        </w:rPr>
        <w:fldChar w:fldCharType="begin"/>
      </w:r>
      <w:r>
        <w:rPr>
          <w:sz w:val="21"/>
          <w:szCs w:val="21"/>
          <w:highlight w:val="none"/>
        </w:rPr>
        <w:instrText xml:space="preserve"> HYPERLINK \l "_Toc81" </w:instrText>
      </w:r>
      <w:r>
        <w:rPr>
          <w:sz w:val="21"/>
          <w:szCs w:val="21"/>
          <w:highlight w:val="none"/>
        </w:rPr>
        <w:fldChar w:fldCharType="separate"/>
      </w:r>
      <w:r>
        <w:rPr>
          <w:rFonts w:ascii="Times New Roman" w:hAnsi="Times New Roman" w:cs="宋体"/>
          <w:sz w:val="21"/>
          <w:szCs w:val="21"/>
          <w:highlight w:val="none"/>
        </w:rPr>
        <w:t xml:space="preserve">2 </w:t>
      </w:r>
      <w:r>
        <w:rPr>
          <w:rFonts w:hint="eastAsia"/>
          <w:sz w:val="21"/>
          <w:szCs w:val="21"/>
          <w:highlight w:val="none"/>
        </w:rPr>
        <w:t>项目范围</w:t>
      </w:r>
      <w:r>
        <w:rPr>
          <w:sz w:val="21"/>
          <w:szCs w:val="21"/>
          <w:highlight w:val="none"/>
        </w:rPr>
        <w:tab/>
      </w:r>
      <w:r>
        <w:rPr>
          <w:rFonts w:hint="eastAsia"/>
          <w:sz w:val="21"/>
          <w:szCs w:val="21"/>
          <w:highlight w:val="none"/>
        </w:rPr>
        <w:t>4</w:t>
      </w:r>
      <w:r>
        <w:rPr>
          <w:rFonts w:hint="eastAsia"/>
          <w:sz w:val="21"/>
          <w:szCs w:val="21"/>
          <w:highlight w:val="none"/>
        </w:rPr>
        <w:fldChar w:fldCharType="end"/>
      </w:r>
    </w:p>
    <w:p>
      <w:pPr>
        <w:pStyle w:val="24"/>
        <w:tabs>
          <w:tab w:val="right" w:leader="dot" w:pos="8306"/>
          <w:tab w:val="clear" w:pos="9061"/>
        </w:tabs>
        <w:spacing w:line="360" w:lineRule="auto"/>
        <w:ind w:firstLine="420" w:firstLineChars="200"/>
        <w:rPr>
          <w:rFonts w:ascii="Times New Roman" w:eastAsia="宋体" w:cs="宋体"/>
          <w:sz w:val="21"/>
          <w:szCs w:val="21"/>
          <w:highlight w:val="none"/>
        </w:rPr>
      </w:pPr>
      <w:r>
        <w:rPr>
          <w:sz w:val="21"/>
          <w:szCs w:val="21"/>
          <w:highlight w:val="none"/>
        </w:rPr>
        <w:fldChar w:fldCharType="begin"/>
      </w:r>
      <w:r>
        <w:rPr>
          <w:sz w:val="21"/>
          <w:szCs w:val="21"/>
          <w:highlight w:val="none"/>
        </w:rPr>
        <w:instrText xml:space="preserve"> HYPERLINK \l "_Toc16530" </w:instrText>
      </w:r>
      <w:r>
        <w:rPr>
          <w:sz w:val="21"/>
          <w:szCs w:val="21"/>
          <w:highlight w:val="none"/>
        </w:rPr>
        <w:fldChar w:fldCharType="separate"/>
      </w:r>
      <w:r>
        <w:rPr>
          <w:rFonts w:hint="eastAsia" w:ascii="Times New Roman" w:eastAsia="宋体" w:cs="宋体"/>
          <w:sz w:val="21"/>
          <w:szCs w:val="21"/>
          <w:highlight w:val="none"/>
        </w:rPr>
        <w:t>2.1 项目名称</w:t>
      </w:r>
      <w:r>
        <w:rPr>
          <w:rFonts w:hint="eastAsia" w:ascii="Times New Roman" w:eastAsia="宋体" w:cs="宋体"/>
          <w:sz w:val="21"/>
          <w:szCs w:val="21"/>
          <w:highlight w:val="none"/>
        </w:rPr>
        <w:tab/>
      </w:r>
      <w:r>
        <w:rPr>
          <w:rFonts w:hint="eastAsia" w:ascii="Times New Roman" w:eastAsia="宋体" w:cs="宋体"/>
          <w:sz w:val="21"/>
          <w:szCs w:val="21"/>
          <w:highlight w:val="none"/>
        </w:rPr>
        <w:t>4</w:t>
      </w:r>
      <w:r>
        <w:rPr>
          <w:rFonts w:hint="eastAsia" w:ascii="Times New Roman" w:eastAsia="宋体" w:cs="宋体"/>
          <w:sz w:val="21"/>
          <w:szCs w:val="21"/>
          <w:highlight w:val="none"/>
        </w:rPr>
        <w:fldChar w:fldCharType="end"/>
      </w:r>
    </w:p>
    <w:p>
      <w:pPr>
        <w:pStyle w:val="24"/>
        <w:tabs>
          <w:tab w:val="right" w:leader="dot" w:pos="8306"/>
          <w:tab w:val="clear" w:pos="9061"/>
        </w:tabs>
        <w:spacing w:line="360" w:lineRule="auto"/>
        <w:ind w:firstLine="420" w:firstLineChars="200"/>
        <w:rPr>
          <w:rFonts w:ascii="Times New Roman" w:eastAsia="宋体" w:cs="宋体"/>
          <w:sz w:val="21"/>
          <w:szCs w:val="21"/>
          <w:highlight w:val="none"/>
        </w:rPr>
      </w:pPr>
      <w:r>
        <w:rPr>
          <w:sz w:val="21"/>
          <w:szCs w:val="21"/>
          <w:highlight w:val="none"/>
        </w:rPr>
        <w:fldChar w:fldCharType="begin"/>
      </w:r>
      <w:r>
        <w:rPr>
          <w:sz w:val="21"/>
          <w:szCs w:val="21"/>
          <w:highlight w:val="none"/>
        </w:rPr>
        <w:instrText xml:space="preserve"> HYPERLINK \l "_Toc13029" </w:instrText>
      </w:r>
      <w:r>
        <w:rPr>
          <w:sz w:val="21"/>
          <w:szCs w:val="21"/>
          <w:highlight w:val="none"/>
        </w:rPr>
        <w:fldChar w:fldCharType="separate"/>
      </w:r>
      <w:r>
        <w:rPr>
          <w:rFonts w:hint="eastAsia" w:ascii="Times New Roman" w:eastAsia="宋体" w:cs="宋体"/>
          <w:sz w:val="21"/>
          <w:szCs w:val="21"/>
          <w:highlight w:val="none"/>
        </w:rPr>
        <w:t>2.2 项目清单</w:t>
      </w:r>
      <w:r>
        <w:rPr>
          <w:rFonts w:hint="eastAsia" w:ascii="Times New Roman" w:eastAsia="宋体" w:cs="宋体"/>
          <w:sz w:val="21"/>
          <w:szCs w:val="21"/>
          <w:highlight w:val="none"/>
        </w:rPr>
        <w:tab/>
      </w:r>
      <w:r>
        <w:rPr>
          <w:rFonts w:hint="eastAsia" w:ascii="Times New Roman" w:eastAsia="宋体" w:cs="宋体"/>
          <w:sz w:val="21"/>
          <w:szCs w:val="21"/>
          <w:highlight w:val="none"/>
        </w:rPr>
        <w:t>4</w:t>
      </w:r>
      <w:r>
        <w:rPr>
          <w:rFonts w:hint="eastAsia" w:ascii="Times New Roman" w:eastAsia="宋体" w:cs="宋体"/>
          <w:sz w:val="21"/>
          <w:szCs w:val="21"/>
          <w:highlight w:val="none"/>
        </w:rPr>
        <w:fldChar w:fldCharType="end"/>
      </w:r>
    </w:p>
    <w:p>
      <w:pPr>
        <w:pStyle w:val="22"/>
        <w:tabs>
          <w:tab w:val="right" w:leader="dot" w:pos="8306"/>
        </w:tabs>
        <w:autoSpaceDE/>
        <w:autoSpaceDN/>
        <w:adjustRightInd/>
        <w:spacing w:line="360" w:lineRule="auto"/>
        <w:ind w:firstLine="420" w:firstLineChars="200"/>
        <w:rPr>
          <w:rFonts w:ascii="Times New Roman" w:hAnsi="Times New Roman" w:cs="宋体"/>
          <w:caps w:val="0"/>
          <w:smallCaps/>
          <w:sz w:val="21"/>
          <w:szCs w:val="21"/>
          <w:highlight w:val="none"/>
        </w:rPr>
      </w:pPr>
      <w:r>
        <w:rPr>
          <w:sz w:val="21"/>
          <w:szCs w:val="21"/>
          <w:highlight w:val="none"/>
        </w:rPr>
        <w:fldChar w:fldCharType="begin"/>
      </w:r>
      <w:r>
        <w:rPr>
          <w:sz w:val="21"/>
          <w:szCs w:val="21"/>
          <w:highlight w:val="none"/>
        </w:rPr>
        <w:instrText xml:space="preserve"> HYPERLINK \l "_Toc17501" </w:instrText>
      </w:r>
      <w:r>
        <w:rPr>
          <w:sz w:val="21"/>
          <w:szCs w:val="21"/>
          <w:highlight w:val="none"/>
        </w:rPr>
        <w:fldChar w:fldCharType="separate"/>
      </w:r>
      <w:r>
        <w:rPr>
          <w:rFonts w:hint="eastAsia" w:ascii="Times New Roman" w:hAnsi="Times New Roman" w:cs="宋体"/>
          <w:caps w:val="0"/>
          <w:smallCaps/>
          <w:sz w:val="21"/>
          <w:szCs w:val="21"/>
          <w:highlight w:val="none"/>
        </w:rPr>
        <w:t>2.3 采购产品</w:t>
      </w:r>
      <w:r>
        <w:rPr>
          <w:rFonts w:ascii="Times New Roman" w:hAnsi="Times New Roman" w:cs="宋体"/>
          <w:caps w:val="0"/>
          <w:smallCaps/>
          <w:sz w:val="21"/>
          <w:szCs w:val="21"/>
          <w:highlight w:val="none"/>
        </w:rPr>
        <w:tab/>
      </w:r>
      <w:r>
        <w:rPr>
          <w:rFonts w:hint="eastAsia" w:ascii="Times New Roman" w:hAnsi="Times New Roman" w:cs="宋体"/>
          <w:caps w:val="0"/>
          <w:smallCaps/>
          <w:sz w:val="21"/>
          <w:szCs w:val="21"/>
          <w:highlight w:val="none"/>
        </w:rPr>
        <w:t>4</w:t>
      </w:r>
      <w:r>
        <w:rPr>
          <w:rFonts w:hint="eastAsia" w:ascii="Times New Roman" w:hAnsi="Times New Roman" w:cs="宋体"/>
          <w:caps w:val="0"/>
          <w:smallCaps/>
          <w:sz w:val="21"/>
          <w:szCs w:val="21"/>
          <w:highlight w:val="none"/>
        </w:rPr>
        <w:fldChar w:fldCharType="end"/>
      </w:r>
    </w:p>
    <w:p>
      <w:pPr>
        <w:pStyle w:val="2"/>
        <w:spacing w:line="360" w:lineRule="auto"/>
        <w:ind w:firstLine="420" w:firstLineChars="200"/>
        <w:rPr>
          <w:rFonts w:ascii="Times New Roman" w:hAnsi="Times New Roman" w:cs="Times New Roman"/>
          <w:sz w:val="21"/>
          <w:szCs w:val="21"/>
          <w:highlight w:val="none"/>
        </w:rPr>
      </w:pPr>
      <w:r>
        <w:rPr>
          <w:sz w:val="21"/>
          <w:szCs w:val="21"/>
          <w:highlight w:val="none"/>
        </w:rPr>
        <w:fldChar w:fldCharType="begin"/>
      </w:r>
      <w:r>
        <w:rPr>
          <w:sz w:val="21"/>
          <w:szCs w:val="21"/>
          <w:highlight w:val="none"/>
        </w:rPr>
        <w:instrText xml:space="preserve"> HYPERLINK \l "_Toc17501" </w:instrText>
      </w:r>
      <w:r>
        <w:rPr>
          <w:sz w:val="21"/>
          <w:szCs w:val="21"/>
          <w:highlight w:val="none"/>
        </w:rPr>
        <w:fldChar w:fldCharType="separate"/>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4</w:t>
      </w:r>
      <w:r>
        <w:rPr>
          <w:rFonts w:hint="eastAsia" w:cs="宋体"/>
          <w:sz w:val="21"/>
          <w:szCs w:val="21"/>
          <w:highlight w:val="none"/>
        </w:rPr>
        <w:t xml:space="preserve"> 承</w:t>
      </w:r>
      <w:r>
        <w:rPr>
          <w:rFonts w:hint="eastAsia" w:cs="宋体"/>
          <w:sz w:val="21"/>
          <w:szCs w:val="21"/>
          <w:highlight w:val="none"/>
        </w:rPr>
        <w:fldChar w:fldCharType="end"/>
      </w:r>
      <w:r>
        <w:rPr>
          <w:rFonts w:hint="eastAsia"/>
          <w:sz w:val="21"/>
          <w:szCs w:val="21"/>
          <w:highlight w:val="none"/>
        </w:rPr>
        <w:t>包方式</w:t>
      </w:r>
      <w:r>
        <w:rPr>
          <w:rFonts w:hint="eastAsia" w:ascii="Times New Roman" w:hAnsi="Times New Roman" w:cs="Times New Roman"/>
          <w:sz w:val="21"/>
          <w:szCs w:val="21"/>
          <w:highlight w:val="none"/>
        </w:rPr>
        <w:t>.............................................................................................................................4</w:t>
      </w:r>
    </w:p>
    <w:p>
      <w:pPr>
        <w:pStyle w:val="3"/>
        <w:numPr>
          <w:ilvl w:val="3"/>
          <w:numId w:val="0"/>
        </w:numPr>
        <w:ind w:firstLine="420" w:firstLineChars="200"/>
        <w:rPr>
          <w:rFonts w:ascii="Times New Roman" w:hAnsi="Times New Roman"/>
          <w:b w:val="0"/>
          <w:bCs w:val="0"/>
          <w:sz w:val="21"/>
          <w:szCs w:val="21"/>
          <w:highlight w:val="none"/>
        </w:rPr>
      </w:pPr>
      <w:r>
        <w:rPr>
          <w:rFonts w:hint="eastAsia"/>
          <w:b w:val="0"/>
          <w:bCs w:val="0"/>
          <w:sz w:val="21"/>
          <w:szCs w:val="21"/>
          <w:highlight w:val="none"/>
        </w:rPr>
        <w:t>2.5 项目分包.............................................................................................................................4</w:t>
      </w:r>
    </w:p>
    <w:p>
      <w:pPr>
        <w:spacing w:line="360" w:lineRule="auto"/>
        <w:ind w:firstLine="420" w:firstLineChars="200"/>
        <w:rPr>
          <w:sz w:val="21"/>
          <w:szCs w:val="21"/>
          <w:highlight w:val="none"/>
        </w:rPr>
      </w:pPr>
      <w:r>
        <w:rPr>
          <w:rFonts w:hint="eastAsia"/>
          <w:sz w:val="21"/>
          <w:szCs w:val="21"/>
          <w:highlight w:val="none"/>
        </w:rPr>
        <w:t>2.6 履约期.........................................................................................................................5</w:t>
      </w:r>
    </w:p>
    <w:p>
      <w:pPr>
        <w:pStyle w:val="2"/>
        <w:spacing w:line="360" w:lineRule="auto"/>
        <w:ind w:firstLine="420" w:firstLineChars="200"/>
        <w:rPr>
          <w:rFonts w:ascii="Times New Roman" w:hAnsi="Times New Roman" w:cs="Times New Roman"/>
          <w:sz w:val="21"/>
          <w:szCs w:val="21"/>
          <w:highlight w:val="none"/>
        </w:rPr>
      </w:pP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7</w:t>
      </w:r>
      <w:r>
        <w:rPr>
          <w:rFonts w:hint="eastAsia"/>
          <w:sz w:val="21"/>
          <w:szCs w:val="21"/>
          <w:highlight w:val="none"/>
        </w:rPr>
        <w:t xml:space="preserve"> 补充说明</w:t>
      </w:r>
      <w:r>
        <w:rPr>
          <w:rFonts w:hint="eastAsia" w:ascii="Times New Roman" w:hAnsi="Times New Roman" w:cs="Times New Roman"/>
          <w:sz w:val="21"/>
          <w:szCs w:val="21"/>
          <w:highlight w:val="none"/>
        </w:rPr>
        <w:t>.............................................................................................................................5</w:t>
      </w:r>
    </w:p>
    <w:p>
      <w:pPr>
        <w:pStyle w:val="24"/>
        <w:tabs>
          <w:tab w:val="right" w:leader="dot" w:pos="8306"/>
          <w:tab w:val="clear" w:pos="9061"/>
        </w:tabs>
        <w:spacing w:line="360" w:lineRule="auto"/>
        <w:ind w:firstLine="0" w:firstLineChars="0"/>
        <w:rPr>
          <w:sz w:val="21"/>
          <w:szCs w:val="21"/>
          <w:highlight w:val="none"/>
        </w:rPr>
      </w:pPr>
      <w:r>
        <w:rPr>
          <w:sz w:val="21"/>
          <w:szCs w:val="21"/>
          <w:highlight w:val="none"/>
        </w:rPr>
        <w:fldChar w:fldCharType="begin"/>
      </w:r>
      <w:r>
        <w:rPr>
          <w:sz w:val="21"/>
          <w:szCs w:val="21"/>
          <w:highlight w:val="none"/>
        </w:rPr>
        <w:instrText xml:space="preserve"> HYPERLINK \l "_Toc15379" </w:instrText>
      </w:r>
      <w:r>
        <w:rPr>
          <w:sz w:val="21"/>
          <w:szCs w:val="21"/>
          <w:highlight w:val="none"/>
        </w:rPr>
        <w:fldChar w:fldCharType="separate"/>
      </w:r>
      <w:r>
        <w:rPr>
          <w:rFonts w:hint="eastAsia" w:ascii="宋体" w:hAnsi="宋体" w:eastAsia="宋体" w:cs="宋体"/>
          <w:sz w:val="21"/>
          <w:szCs w:val="21"/>
          <w:highlight w:val="none"/>
        </w:rPr>
        <w:t xml:space="preserve">3 </w:t>
      </w:r>
      <w:r>
        <w:rPr>
          <w:rFonts w:hint="eastAsia" w:ascii="宋体" w:hAnsi="宋体" w:eastAsia="宋体" w:cs="宋体"/>
          <w:kern w:val="44"/>
          <w:sz w:val="21"/>
          <w:szCs w:val="21"/>
          <w:highlight w:val="none"/>
        </w:rPr>
        <w:t>项目管理</w:t>
      </w:r>
      <w:r>
        <w:rPr>
          <w:rFonts w:hint="eastAsia" w:ascii="宋体" w:hAnsi="宋体" w:eastAsia="宋体" w:cs="宋体"/>
          <w:sz w:val="21"/>
          <w:szCs w:val="21"/>
          <w:highlight w:val="none"/>
        </w:rPr>
        <w:tab/>
      </w:r>
      <w:r>
        <w:rPr>
          <w:rFonts w:hint="eastAsia" w:ascii="宋体" w:hAnsi="宋体" w:eastAsia="宋体" w:cs="宋体"/>
          <w:sz w:val="21"/>
          <w:szCs w:val="21"/>
          <w:highlight w:val="none"/>
        </w:rPr>
        <w:t>5</w:t>
      </w:r>
      <w:r>
        <w:rPr>
          <w:rFonts w:hint="eastAsia" w:ascii="宋体" w:hAnsi="宋体" w:eastAsia="宋体" w:cs="宋体"/>
          <w:sz w:val="21"/>
          <w:szCs w:val="21"/>
          <w:highlight w:val="none"/>
        </w:rPr>
        <w:fldChar w:fldCharType="end"/>
      </w:r>
    </w:p>
    <w:p>
      <w:pPr>
        <w:pStyle w:val="24"/>
        <w:tabs>
          <w:tab w:val="right" w:leader="dot" w:pos="8306"/>
          <w:tab w:val="clear" w:pos="9061"/>
        </w:tabs>
        <w:spacing w:line="360" w:lineRule="auto"/>
        <w:ind w:firstLine="420" w:firstLineChars="200"/>
        <w:rPr>
          <w:sz w:val="21"/>
          <w:szCs w:val="21"/>
          <w:highlight w:val="none"/>
        </w:rPr>
      </w:pPr>
      <w:r>
        <w:rPr>
          <w:sz w:val="21"/>
          <w:szCs w:val="21"/>
          <w:highlight w:val="none"/>
        </w:rPr>
        <w:fldChar w:fldCharType="begin"/>
      </w:r>
      <w:r>
        <w:rPr>
          <w:sz w:val="21"/>
          <w:szCs w:val="21"/>
          <w:highlight w:val="none"/>
        </w:rPr>
        <w:instrText xml:space="preserve"> HYPERLINK \l "_Toc29214" </w:instrText>
      </w:r>
      <w:r>
        <w:rPr>
          <w:sz w:val="21"/>
          <w:szCs w:val="21"/>
          <w:highlight w:val="none"/>
        </w:rPr>
        <w:fldChar w:fldCharType="separate"/>
      </w:r>
      <w:r>
        <w:rPr>
          <w:rFonts w:hint="eastAsia" w:cs="宋体"/>
          <w:sz w:val="21"/>
          <w:szCs w:val="21"/>
          <w:highlight w:val="none"/>
        </w:rPr>
        <w:t>3</w:t>
      </w:r>
      <w:r>
        <w:rPr>
          <w:rFonts w:ascii="Times New Roman" w:eastAsia="宋体" w:cs="宋体"/>
          <w:sz w:val="21"/>
          <w:szCs w:val="21"/>
          <w:highlight w:val="none"/>
        </w:rPr>
        <w:t>.</w:t>
      </w:r>
      <w:r>
        <w:rPr>
          <w:rFonts w:hint="eastAsia" w:cs="宋体"/>
          <w:sz w:val="21"/>
          <w:szCs w:val="21"/>
          <w:highlight w:val="none"/>
        </w:rPr>
        <w:t>1</w:t>
      </w:r>
      <w:r>
        <w:rPr>
          <w:rFonts w:ascii="Times New Roman" w:eastAsia="宋体" w:cs="宋体"/>
          <w:sz w:val="21"/>
          <w:szCs w:val="21"/>
          <w:highlight w:val="none"/>
        </w:rPr>
        <w:t xml:space="preserve"> </w:t>
      </w:r>
      <w:r>
        <w:rPr>
          <w:rFonts w:hint="eastAsia" w:ascii="宋体" w:hAnsi="宋体" w:cs="宋体"/>
          <w:kern w:val="44"/>
          <w:sz w:val="21"/>
          <w:szCs w:val="21"/>
          <w:highlight w:val="none"/>
        </w:rPr>
        <w:t>投标人</w:t>
      </w:r>
      <w:r>
        <w:rPr>
          <w:rFonts w:hint="eastAsia" w:ascii="宋体" w:hAnsi="宋体" w:eastAsia="宋体" w:cs="宋体"/>
          <w:kern w:val="44"/>
          <w:sz w:val="21"/>
          <w:szCs w:val="21"/>
          <w:highlight w:val="none"/>
        </w:rPr>
        <w:t>资质、人员要求</w:t>
      </w:r>
      <w:r>
        <w:rPr>
          <w:sz w:val="21"/>
          <w:szCs w:val="21"/>
          <w:highlight w:val="none"/>
        </w:rPr>
        <w:tab/>
      </w:r>
      <w:r>
        <w:rPr>
          <w:rFonts w:hint="eastAsia"/>
          <w:sz w:val="21"/>
          <w:szCs w:val="21"/>
          <w:highlight w:val="none"/>
        </w:rPr>
        <w:t>5</w:t>
      </w:r>
      <w:r>
        <w:rPr>
          <w:rFonts w:hint="eastAsia"/>
          <w:sz w:val="21"/>
          <w:szCs w:val="21"/>
          <w:highlight w:val="none"/>
        </w:rPr>
        <w:fldChar w:fldCharType="end"/>
      </w:r>
    </w:p>
    <w:p>
      <w:pPr>
        <w:pStyle w:val="22"/>
        <w:tabs>
          <w:tab w:val="right" w:leader="dot" w:pos="8306"/>
        </w:tabs>
        <w:autoSpaceDE/>
        <w:autoSpaceDN/>
        <w:adjustRightInd/>
        <w:spacing w:line="360" w:lineRule="auto"/>
        <w:rPr>
          <w:sz w:val="21"/>
          <w:szCs w:val="21"/>
          <w:highlight w:val="none"/>
        </w:rPr>
      </w:pPr>
      <w:r>
        <w:rPr>
          <w:sz w:val="21"/>
          <w:szCs w:val="21"/>
          <w:highlight w:val="none"/>
        </w:rPr>
        <w:fldChar w:fldCharType="begin"/>
      </w:r>
      <w:r>
        <w:rPr>
          <w:sz w:val="21"/>
          <w:szCs w:val="21"/>
          <w:highlight w:val="none"/>
        </w:rPr>
        <w:instrText xml:space="preserve"> HYPERLINK \l "_Toc25750" </w:instrText>
      </w:r>
      <w:r>
        <w:rPr>
          <w:sz w:val="21"/>
          <w:szCs w:val="21"/>
          <w:highlight w:val="none"/>
        </w:rPr>
        <w:fldChar w:fldCharType="separate"/>
      </w:r>
      <w:r>
        <w:rPr>
          <w:rFonts w:hint="eastAsia" w:cs="宋体"/>
          <w:sz w:val="21"/>
          <w:szCs w:val="21"/>
          <w:highlight w:val="none"/>
        </w:rPr>
        <w:t>4</w:t>
      </w:r>
      <w:r>
        <w:rPr>
          <w:rFonts w:ascii="Times New Roman" w:hAnsi="Times New Roman" w:cs="宋体"/>
          <w:sz w:val="21"/>
          <w:szCs w:val="21"/>
          <w:highlight w:val="none"/>
        </w:rPr>
        <w:t xml:space="preserve"> </w:t>
      </w:r>
      <w:r>
        <w:rPr>
          <w:rFonts w:hint="eastAsia" w:cs="宋体"/>
          <w:kern w:val="2"/>
          <w:sz w:val="21"/>
          <w:szCs w:val="21"/>
          <w:highlight w:val="none"/>
        </w:rPr>
        <w:t>项目服务要求</w:t>
      </w:r>
      <w:r>
        <w:rPr>
          <w:sz w:val="21"/>
          <w:szCs w:val="21"/>
          <w:highlight w:val="none"/>
        </w:rPr>
        <w:tab/>
      </w:r>
      <w:r>
        <w:rPr>
          <w:rFonts w:hint="eastAsia"/>
          <w:sz w:val="21"/>
          <w:szCs w:val="21"/>
          <w:highlight w:val="none"/>
        </w:rPr>
        <w:t>5</w:t>
      </w:r>
      <w:r>
        <w:rPr>
          <w:rFonts w:hint="eastAsia"/>
          <w:sz w:val="21"/>
          <w:szCs w:val="21"/>
          <w:highlight w:val="none"/>
        </w:rPr>
        <w:fldChar w:fldCharType="end"/>
      </w:r>
    </w:p>
    <w:p>
      <w:pPr>
        <w:pStyle w:val="24"/>
        <w:tabs>
          <w:tab w:val="right" w:leader="dot" w:pos="8306"/>
          <w:tab w:val="clear" w:pos="9061"/>
        </w:tabs>
        <w:spacing w:line="360" w:lineRule="auto"/>
        <w:ind w:firstLine="420" w:firstLineChars="200"/>
        <w:rPr>
          <w:sz w:val="21"/>
          <w:szCs w:val="21"/>
          <w:highlight w:val="none"/>
        </w:rPr>
      </w:pPr>
      <w:r>
        <w:rPr>
          <w:sz w:val="21"/>
          <w:szCs w:val="21"/>
          <w:highlight w:val="none"/>
        </w:rPr>
        <w:fldChar w:fldCharType="begin"/>
      </w:r>
      <w:r>
        <w:rPr>
          <w:sz w:val="21"/>
          <w:szCs w:val="21"/>
          <w:highlight w:val="none"/>
        </w:rPr>
        <w:instrText xml:space="preserve"> HYPERLINK \l "_Toc11322" </w:instrText>
      </w:r>
      <w:r>
        <w:rPr>
          <w:sz w:val="21"/>
          <w:szCs w:val="21"/>
          <w:highlight w:val="none"/>
        </w:rPr>
        <w:fldChar w:fldCharType="separate"/>
      </w:r>
      <w:r>
        <w:rPr>
          <w:rFonts w:hint="eastAsia" w:cs="宋体"/>
          <w:sz w:val="21"/>
          <w:szCs w:val="21"/>
          <w:highlight w:val="none"/>
        </w:rPr>
        <w:t>4</w:t>
      </w:r>
      <w:r>
        <w:rPr>
          <w:rFonts w:ascii="Times New Roman" w:eastAsia="宋体" w:cs="宋体"/>
          <w:sz w:val="21"/>
          <w:szCs w:val="21"/>
          <w:highlight w:val="none"/>
        </w:rPr>
        <w:t xml:space="preserve">.1 </w:t>
      </w:r>
      <w:r>
        <w:rPr>
          <w:rFonts w:hint="eastAsia" w:ascii="宋体" w:hAnsi="宋体" w:eastAsia="宋体" w:cs="宋体"/>
          <w:sz w:val="21"/>
          <w:szCs w:val="21"/>
          <w:highlight w:val="none"/>
        </w:rPr>
        <w:t>服务合同期</w:t>
      </w:r>
      <w:r>
        <w:rPr>
          <w:sz w:val="21"/>
          <w:szCs w:val="21"/>
          <w:highlight w:val="none"/>
        </w:rPr>
        <w:tab/>
      </w:r>
      <w:r>
        <w:rPr>
          <w:rFonts w:hint="eastAsia"/>
          <w:sz w:val="21"/>
          <w:szCs w:val="21"/>
          <w:highlight w:val="none"/>
        </w:rPr>
        <w:t>5</w:t>
      </w:r>
      <w:r>
        <w:rPr>
          <w:rFonts w:hint="eastAsia"/>
          <w:sz w:val="21"/>
          <w:szCs w:val="21"/>
          <w:highlight w:val="none"/>
        </w:rPr>
        <w:fldChar w:fldCharType="end"/>
      </w:r>
    </w:p>
    <w:p>
      <w:pPr>
        <w:pStyle w:val="24"/>
        <w:tabs>
          <w:tab w:val="right" w:leader="dot" w:pos="8306"/>
          <w:tab w:val="clear" w:pos="9061"/>
        </w:tabs>
        <w:spacing w:line="360" w:lineRule="auto"/>
        <w:ind w:firstLine="420" w:firstLineChars="200"/>
        <w:rPr>
          <w:rFonts w:ascii="Times New Roman" w:eastAsia="宋体"/>
          <w:sz w:val="21"/>
          <w:szCs w:val="21"/>
          <w:highlight w:val="none"/>
        </w:rPr>
      </w:pPr>
      <w:r>
        <w:rPr>
          <w:rFonts w:hint="eastAsia"/>
          <w:sz w:val="21"/>
          <w:szCs w:val="21"/>
          <w:highlight w:val="none"/>
        </w:rPr>
        <w:t xml:space="preserve">4.2 </w:t>
      </w:r>
      <w:r>
        <w:rPr>
          <w:rFonts w:hint="eastAsia" w:ascii="宋体" w:hAnsi="宋体" w:eastAsia="宋体" w:cs="宋体"/>
          <w:sz w:val="21"/>
          <w:szCs w:val="21"/>
          <w:highlight w:val="none"/>
        </w:rPr>
        <w:t>交货期、安装地点、验收要求</w:t>
      </w:r>
      <w:r>
        <w:rPr>
          <w:rFonts w:hint="eastAsia" w:ascii="Times New Roman"/>
          <w:sz w:val="21"/>
          <w:szCs w:val="21"/>
          <w:highlight w:val="none"/>
        </w:rPr>
        <w:t xml:space="preserve">....................................................................................   </w:t>
      </w:r>
      <w:r>
        <w:rPr>
          <w:rFonts w:hint="eastAsia"/>
          <w:sz w:val="21"/>
          <w:szCs w:val="21"/>
          <w:highlight w:val="none"/>
        </w:rPr>
        <w:t>5</w:t>
      </w:r>
    </w:p>
    <w:p>
      <w:pPr>
        <w:pStyle w:val="24"/>
        <w:tabs>
          <w:tab w:val="right" w:leader="dot" w:pos="8306"/>
          <w:tab w:val="clear" w:pos="9061"/>
        </w:tabs>
        <w:spacing w:line="360" w:lineRule="auto"/>
        <w:ind w:firstLine="420" w:firstLineChars="200"/>
        <w:rPr>
          <w:rFonts w:ascii="Times New Roman" w:eastAsia="宋体"/>
          <w:sz w:val="21"/>
          <w:szCs w:val="21"/>
          <w:highlight w:val="none"/>
        </w:rPr>
      </w:pPr>
      <w:r>
        <w:rPr>
          <w:rFonts w:hint="eastAsia"/>
          <w:sz w:val="21"/>
          <w:szCs w:val="21"/>
          <w:highlight w:val="none"/>
        </w:rPr>
        <w:t>4</w:t>
      </w:r>
      <w:r>
        <w:rPr>
          <w:rFonts w:ascii="Times New Roman" w:eastAsia="宋体"/>
          <w:sz w:val="21"/>
          <w:szCs w:val="21"/>
          <w:highlight w:val="none"/>
        </w:rPr>
        <w:t>.3</w:t>
      </w:r>
      <w:r>
        <w:rPr>
          <w:rFonts w:hint="eastAsia" w:ascii="宋体" w:hAnsi="宋体" w:eastAsia="宋体" w:cs="宋体"/>
          <w:sz w:val="21"/>
          <w:szCs w:val="21"/>
          <w:highlight w:val="none"/>
        </w:rPr>
        <w:t xml:space="preserve"> 售后服务要求</w:t>
      </w:r>
      <w:r>
        <w:rPr>
          <w:rFonts w:hint="eastAsia" w:ascii="Times New Roman" w:eastAsia="宋体"/>
          <w:sz w:val="21"/>
          <w:szCs w:val="21"/>
          <w:highlight w:val="none"/>
        </w:rPr>
        <w:t>.............................................................................................................</w:t>
      </w:r>
      <w:r>
        <w:rPr>
          <w:rFonts w:hint="eastAsia"/>
          <w:sz w:val="21"/>
          <w:szCs w:val="21"/>
          <w:highlight w:val="none"/>
        </w:rPr>
        <w:t>...  6</w:t>
      </w:r>
    </w:p>
    <w:p>
      <w:pPr>
        <w:pStyle w:val="24"/>
        <w:tabs>
          <w:tab w:val="right" w:leader="dot" w:pos="8306"/>
          <w:tab w:val="clear" w:pos="9061"/>
        </w:tabs>
        <w:spacing w:line="360" w:lineRule="auto"/>
        <w:ind w:firstLine="0" w:firstLineChars="0"/>
        <w:rPr>
          <w:rFonts w:ascii="宋体" w:hAnsi="宋体" w:eastAsia="宋体" w:cs="宋体"/>
          <w:sz w:val="21"/>
          <w:szCs w:val="21"/>
          <w:highlight w:val="none"/>
        </w:rPr>
      </w:pPr>
      <w:r>
        <w:rPr>
          <w:sz w:val="21"/>
          <w:szCs w:val="21"/>
          <w:highlight w:val="none"/>
        </w:rPr>
        <w:fldChar w:fldCharType="begin"/>
      </w:r>
      <w:r>
        <w:rPr>
          <w:sz w:val="21"/>
          <w:szCs w:val="21"/>
          <w:highlight w:val="none"/>
        </w:rPr>
        <w:instrText xml:space="preserve"> HYPERLINK \l "_Toc21717" </w:instrText>
      </w:r>
      <w:r>
        <w:rPr>
          <w:sz w:val="21"/>
          <w:szCs w:val="21"/>
          <w:highlight w:val="none"/>
        </w:rPr>
        <w:fldChar w:fldCharType="separate"/>
      </w:r>
      <w:r>
        <w:rPr>
          <w:rFonts w:hint="eastAsia" w:ascii="宋体" w:hAnsi="宋体" w:eastAsia="宋体" w:cs="宋体"/>
          <w:bCs/>
          <w:sz w:val="21"/>
          <w:szCs w:val="21"/>
          <w:highlight w:val="none"/>
        </w:rPr>
        <w:t>5</w:t>
      </w:r>
      <w:r>
        <w:rPr>
          <w:rFonts w:hint="eastAsia" w:ascii="宋体" w:hAnsi="宋体" w:eastAsia="宋体" w:cs="宋体"/>
          <w:sz w:val="21"/>
          <w:szCs w:val="21"/>
          <w:highlight w:val="none"/>
        </w:rPr>
        <w:t xml:space="preserve"> 工程安装施工要求</w:t>
      </w:r>
      <w:r>
        <w:rPr>
          <w:rFonts w:hint="eastAsia" w:ascii="宋体" w:hAnsi="宋体" w:eastAsia="宋体" w:cs="宋体"/>
          <w:sz w:val="21"/>
          <w:szCs w:val="21"/>
          <w:highlight w:val="none"/>
        </w:rPr>
        <w:tab/>
      </w:r>
      <w:r>
        <w:rPr>
          <w:rFonts w:hint="eastAsia" w:ascii="宋体" w:hAnsi="宋体" w:eastAsia="宋体" w:cs="宋体"/>
          <w:sz w:val="21"/>
          <w:szCs w:val="21"/>
          <w:highlight w:val="none"/>
        </w:rPr>
        <w:t>8</w:t>
      </w:r>
      <w:r>
        <w:rPr>
          <w:rFonts w:hint="eastAsia" w:ascii="宋体" w:hAnsi="宋体" w:eastAsia="宋体" w:cs="宋体"/>
          <w:sz w:val="21"/>
          <w:szCs w:val="21"/>
          <w:highlight w:val="none"/>
        </w:rPr>
        <w:fldChar w:fldCharType="end"/>
      </w:r>
    </w:p>
    <w:p>
      <w:pPr>
        <w:pStyle w:val="24"/>
        <w:tabs>
          <w:tab w:val="right" w:leader="dot" w:pos="8306"/>
          <w:tab w:val="clear" w:pos="9061"/>
        </w:tabs>
        <w:spacing w:line="360" w:lineRule="auto"/>
        <w:ind w:firstLine="0" w:firstLineChars="0"/>
        <w:rPr>
          <w:rFonts w:ascii="宋体" w:hAnsi="宋体" w:eastAsia="宋体" w:cs="宋体"/>
          <w:sz w:val="21"/>
          <w:szCs w:val="21"/>
          <w:highlight w:val="none"/>
        </w:rPr>
      </w:pPr>
      <w:r>
        <w:rPr>
          <w:sz w:val="21"/>
          <w:szCs w:val="21"/>
          <w:highlight w:val="none"/>
        </w:rPr>
        <w:fldChar w:fldCharType="begin"/>
      </w:r>
      <w:r>
        <w:rPr>
          <w:sz w:val="21"/>
          <w:szCs w:val="21"/>
          <w:highlight w:val="none"/>
        </w:rPr>
        <w:instrText xml:space="preserve"> HYPERLINK \l "_Toc15761" </w:instrText>
      </w:r>
      <w:r>
        <w:rPr>
          <w:sz w:val="21"/>
          <w:szCs w:val="21"/>
          <w:highlight w:val="none"/>
        </w:rPr>
        <w:fldChar w:fldCharType="separate"/>
      </w:r>
      <w:r>
        <w:rPr>
          <w:rFonts w:hint="eastAsia" w:ascii="宋体" w:hAnsi="宋体" w:eastAsia="宋体" w:cs="宋体"/>
          <w:sz w:val="21"/>
          <w:szCs w:val="21"/>
          <w:highlight w:val="none"/>
        </w:rPr>
        <w:t>6 其它要求及说明</w:t>
      </w:r>
      <w:r>
        <w:rPr>
          <w:rFonts w:hint="eastAsia" w:ascii="宋体" w:hAnsi="宋体" w:eastAsia="宋体" w:cs="宋体"/>
          <w:sz w:val="21"/>
          <w:szCs w:val="21"/>
          <w:highlight w:val="none"/>
        </w:rPr>
        <w:tab/>
      </w:r>
      <w:r>
        <w:rPr>
          <w:rFonts w:hint="eastAsia" w:ascii="宋体" w:hAnsi="宋体" w:eastAsia="宋体" w:cs="宋体"/>
          <w:sz w:val="21"/>
          <w:szCs w:val="21"/>
          <w:highlight w:val="none"/>
        </w:rPr>
        <w:t>9</w:t>
      </w:r>
      <w:r>
        <w:rPr>
          <w:rFonts w:hint="eastAsia" w:ascii="宋体" w:hAnsi="宋体" w:eastAsia="宋体" w:cs="宋体"/>
          <w:sz w:val="21"/>
          <w:szCs w:val="21"/>
          <w:highlight w:val="none"/>
        </w:rPr>
        <w:fldChar w:fldCharType="end"/>
      </w:r>
    </w:p>
    <w:p>
      <w:pPr>
        <w:pStyle w:val="24"/>
        <w:tabs>
          <w:tab w:val="right" w:leader="dot" w:pos="8306"/>
          <w:tab w:val="clear" w:pos="9061"/>
        </w:tabs>
        <w:spacing w:line="360" w:lineRule="auto"/>
        <w:ind w:firstLine="0" w:firstLineChars="0"/>
        <w:rPr>
          <w:rFonts w:eastAsia="宋体"/>
          <w:sz w:val="21"/>
          <w:szCs w:val="21"/>
          <w:highlight w:val="none"/>
        </w:rPr>
      </w:pPr>
      <w:r>
        <w:rPr>
          <w:rFonts w:hint="eastAsia" w:ascii="宋体" w:hAnsi="宋体" w:eastAsia="宋体" w:cs="宋体"/>
          <w:sz w:val="21"/>
          <w:szCs w:val="21"/>
          <w:highlight w:val="none"/>
        </w:rPr>
        <w:t xml:space="preserve">7 </w:t>
      </w:r>
      <w:r>
        <w:rPr>
          <w:sz w:val="21"/>
          <w:szCs w:val="21"/>
          <w:highlight w:val="none"/>
        </w:rPr>
        <w:fldChar w:fldCharType="begin"/>
      </w:r>
      <w:r>
        <w:rPr>
          <w:sz w:val="21"/>
          <w:szCs w:val="21"/>
          <w:highlight w:val="none"/>
        </w:rPr>
        <w:instrText xml:space="preserve"> HYPERLINK \l "_Toc25905" </w:instrText>
      </w:r>
      <w:r>
        <w:rPr>
          <w:sz w:val="21"/>
          <w:szCs w:val="21"/>
          <w:highlight w:val="none"/>
        </w:rPr>
        <w:fldChar w:fldCharType="separate"/>
      </w:r>
      <w:r>
        <w:rPr>
          <w:rFonts w:hint="eastAsia" w:ascii="宋体" w:hAnsi="宋体" w:eastAsia="宋体" w:cs="宋体"/>
          <w:sz w:val="21"/>
          <w:szCs w:val="21"/>
          <w:highlight w:val="none"/>
        </w:rPr>
        <w:t>附件</w:t>
      </w:r>
      <w:r>
        <w:rPr>
          <w:rFonts w:hint="eastAsia" w:ascii="宋体" w:hAnsi="宋体" w:eastAsia="宋体" w:cs="宋体"/>
          <w:sz w:val="21"/>
          <w:szCs w:val="21"/>
          <w:highlight w:val="none"/>
        </w:rPr>
        <w:tab/>
      </w:r>
      <w:r>
        <w:rPr>
          <w:rFonts w:hint="eastAsia" w:ascii="宋体" w:hAnsi="宋体" w:eastAsia="宋体" w:cs="宋体"/>
          <w:sz w:val="21"/>
          <w:szCs w:val="21"/>
          <w:highlight w:val="none"/>
        </w:rPr>
        <w:t>9</w:t>
      </w:r>
      <w:r>
        <w:rPr>
          <w:rFonts w:hint="eastAsia" w:ascii="宋体" w:hAnsi="宋体" w:eastAsia="宋体" w:cs="宋体"/>
          <w:sz w:val="21"/>
          <w:szCs w:val="21"/>
          <w:highlight w:val="none"/>
        </w:rPr>
        <w:fldChar w:fldCharType="end"/>
      </w:r>
    </w:p>
    <w:p>
      <w:pPr>
        <w:pStyle w:val="24"/>
        <w:tabs>
          <w:tab w:val="right" w:leader="dot" w:pos="8306"/>
          <w:tab w:val="clear" w:pos="9061"/>
        </w:tabs>
        <w:spacing w:line="360" w:lineRule="auto"/>
        <w:rPr>
          <w:rFonts w:ascii="Times New Roman" w:eastAsia="宋体"/>
          <w:sz w:val="21"/>
          <w:szCs w:val="21"/>
          <w:highlight w:val="none"/>
        </w:rPr>
      </w:pPr>
    </w:p>
    <w:p>
      <w:pPr>
        <w:rPr>
          <w:rFonts w:ascii="Times New Roman" w:hAnsi="Times New Roman"/>
          <w:highlight w:val="none"/>
        </w:rPr>
      </w:pPr>
    </w:p>
    <w:p>
      <w:pPr>
        <w:pStyle w:val="27"/>
        <w:ind w:firstLine="470"/>
        <w:rPr>
          <w:rFonts w:ascii="Times New Roman" w:hAnsi="Times New Roman" w:eastAsia="宋体" w:cs="Times New Roman"/>
          <w:highlight w:val="none"/>
        </w:rPr>
      </w:pPr>
    </w:p>
    <w:p>
      <w:pPr>
        <w:pStyle w:val="27"/>
        <w:ind w:firstLine="470"/>
        <w:rPr>
          <w:rFonts w:ascii="Times New Roman" w:hAnsi="Times New Roman" w:eastAsia="宋体" w:cs="Times New Roman"/>
          <w:highlight w:val="none"/>
        </w:rPr>
      </w:pPr>
    </w:p>
    <w:p>
      <w:pPr>
        <w:pStyle w:val="3"/>
        <w:numPr>
          <w:ilvl w:val="3"/>
          <w:numId w:val="0"/>
        </w:numPr>
        <w:rPr>
          <w:highlight w:val="none"/>
        </w:rPr>
      </w:pPr>
      <w:r>
        <w:rPr>
          <w:rFonts w:hint="eastAsia"/>
          <w:highlight w:val="none"/>
        </w:rPr>
        <w:fldChar w:fldCharType="end"/>
      </w:r>
    </w:p>
    <w:p>
      <w:pPr>
        <w:pStyle w:val="3"/>
        <w:numPr>
          <w:ilvl w:val="3"/>
          <w:numId w:val="0"/>
        </w:numPr>
        <w:rPr>
          <w:highlight w:val="none"/>
        </w:rPr>
      </w:pPr>
    </w:p>
    <w:p>
      <w:pPr>
        <w:rPr>
          <w:highlight w:val="none"/>
        </w:rPr>
      </w:pPr>
    </w:p>
    <w:p>
      <w:pPr>
        <w:pStyle w:val="20"/>
        <w:rPr>
          <w:highlight w:val="none"/>
        </w:rPr>
      </w:pPr>
    </w:p>
    <w:p>
      <w:pPr>
        <w:pStyle w:val="3"/>
        <w:numPr>
          <w:ilvl w:val="3"/>
          <w:numId w:val="0"/>
        </w:numPr>
        <w:spacing w:line="240" w:lineRule="auto"/>
        <w:rPr>
          <w:rFonts w:ascii="黑体" w:hAnsi="黑体" w:eastAsia="黑体" w:cs="黑体"/>
          <w:sz w:val="24"/>
          <w:szCs w:val="24"/>
          <w:highlight w:val="none"/>
        </w:rPr>
      </w:pPr>
    </w:p>
    <w:p>
      <w:pPr>
        <w:pStyle w:val="3"/>
        <w:numPr>
          <w:ilvl w:val="3"/>
          <w:numId w:val="0"/>
        </w:numPr>
        <w:spacing w:line="240" w:lineRule="auto"/>
        <w:rPr>
          <w:rFonts w:hint="eastAsia" w:ascii="黑体" w:hAnsi="黑体" w:eastAsia="黑体" w:cs="黑体"/>
          <w:sz w:val="24"/>
          <w:szCs w:val="24"/>
          <w:highlight w:val="none"/>
        </w:rPr>
      </w:pPr>
    </w:p>
    <w:p>
      <w:pPr>
        <w:pStyle w:val="3"/>
        <w:numPr>
          <w:ilvl w:val="3"/>
          <w:numId w:val="0"/>
        </w:numPr>
        <w:spacing w:line="240" w:lineRule="auto"/>
        <w:rPr>
          <w:rFonts w:hint="eastAsia" w:ascii="黑体" w:hAnsi="黑体" w:eastAsia="黑体" w:cs="黑体"/>
          <w:sz w:val="24"/>
          <w:szCs w:val="24"/>
          <w:highlight w:val="none"/>
        </w:rPr>
      </w:pPr>
    </w:p>
    <w:p>
      <w:pPr>
        <w:pStyle w:val="3"/>
        <w:numPr>
          <w:ilvl w:val="3"/>
          <w:numId w:val="0"/>
        </w:numPr>
        <w:spacing w:line="240" w:lineRule="auto"/>
        <w:rPr>
          <w:rFonts w:hint="eastAsia" w:ascii="黑体" w:hAnsi="黑体" w:eastAsia="黑体" w:cs="黑体"/>
          <w:sz w:val="24"/>
          <w:szCs w:val="24"/>
          <w:highlight w:val="none"/>
        </w:rPr>
      </w:pPr>
    </w:p>
    <w:p>
      <w:pPr>
        <w:rPr>
          <w:rFonts w:hint="eastAsia" w:ascii="黑体" w:hAnsi="黑体" w:eastAsia="黑体" w:cs="黑体"/>
          <w:sz w:val="24"/>
          <w:szCs w:val="24"/>
          <w:highlight w:val="none"/>
        </w:rPr>
      </w:pPr>
    </w:p>
    <w:p>
      <w:pPr>
        <w:pStyle w:val="3"/>
        <w:numPr>
          <w:ilvl w:val="3"/>
          <w:numId w:val="0"/>
        </w:numPr>
        <w:ind w:leftChars="0"/>
        <w:rPr>
          <w:rFonts w:hint="eastAsia"/>
        </w:rPr>
      </w:pPr>
    </w:p>
    <w:p>
      <w:pPr>
        <w:rPr>
          <w:rFonts w:hint="eastAsia"/>
        </w:rPr>
      </w:pPr>
    </w:p>
    <w:p>
      <w:pPr>
        <w:pStyle w:val="3"/>
        <w:numPr>
          <w:ilvl w:val="3"/>
          <w:numId w:val="0"/>
        </w:numPr>
        <w:spacing w:line="240" w:lineRule="auto"/>
        <w:rPr>
          <w:rFonts w:ascii="黑体" w:hAnsi="黑体" w:eastAsia="黑体" w:cs="黑体"/>
          <w:sz w:val="24"/>
          <w:szCs w:val="24"/>
          <w:highlight w:val="none"/>
        </w:rPr>
      </w:pPr>
      <w:r>
        <w:rPr>
          <w:rFonts w:hint="eastAsia" w:ascii="黑体" w:hAnsi="黑体" w:eastAsia="黑体" w:cs="黑体"/>
          <w:sz w:val="24"/>
          <w:szCs w:val="24"/>
          <w:highlight w:val="none"/>
        </w:rPr>
        <w:t>1项目概况</w:t>
      </w:r>
    </w:p>
    <w:p>
      <w:pPr>
        <w:pStyle w:val="3"/>
        <w:numPr>
          <w:ilvl w:val="3"/>
          <w:numId w:val="0"/>
        </w:numPr>
        <w:rPr>
          <w:rFonts w:ascii="宋体" w:hAnsi="宋体" w:cs="宋体"/>
          <w:highlight w:val="none"/>
        </w:rPr>
      </w:pPr>
      <w:r>
        <w:rPr>
          <w:rFonts w:hint="eastAsia" w:ascii="宋体" w:hAnsi="宋体" w:cs="宋体"/>
          <w:highlight w:val="none"/>
        </w:rPr>
        <w:t>1.1工程概况</w:t>
      </w:r>
    </w:p>
    <w:p>
      <w:pPr>
        <w:spacing w:line="360" w:lineRule="auto"/>
        <w:ind w:firstLine="420" w:firstLineChars="200"/>
        <w:rPr>
          <w:rFonts w:ascii="宋体" w:hAnsi="宋体" w:cs="宋体"/>
          <w:szCs w:val="21"/>
          <w:highlight w:val="none"/>
        </w:rPr>
      </w:pPr>
      <w:r>
        <w:rPr>
          <w:rFonts w:hint="eastAsia" w:ascii="宋体" w:hAnsi="宋体" w:cs="宋体"/>
          <w:szCs w:val="21"/>
          <w:highlight w:val="none"/>
          <w:lang w:bidi="ar"/>
        </w:rPr>
        <w:t>项目</w:t>
      </w:r>
      <w:r>
        <w:rPr>
          <w:rFonts w:hint="eastAsia" w:ascii="宋体" w:hAnsi="宋体" w:cs="宋体"/>
          <w:szCs w:val="21"/>
          <w:highlight w:val="none"/>
        </w:rPr>
        <w:t>具体工程概况如下：</w:t>
      </w:r>
    </w:p>
    <w:p>
      <w:pPr>
        <w:spacing w:line="360" w:lineRule="auto"/>
        <w:ind w:firstLine="420" w:firstLineChars="200"/>
        <w:rPr>
          <w:rFonts w:ascii="宋体" w:hAnsi="宋体" w:cs="宋体"/>
          <w:highlight w:val="none"/>
        </w:rPr>
      </w:pPr>
      <w:r>
        <w:rPr>
          <w:rFonts w:hint="eastAsia" w:ascii="宋体" w:hAnsi="宋体" w:cs="宋体"/>
          <w:szCs w:val="21"/>
          <w:highlight w:val="none"/>
        </w:rPr>
        <w:t>（1）那洪分公司采购及安装电梯1台</w:t>
      </w:r>
    </w:p>
    <w:p>
      <w:pPr>
        <w:pStyle w:val="3"/>
        <w:numPr>
          <w:ilvl w:val="3"/>
          <w:numId w:val="0"/>
        </w:numPr>
        <w:rPr>
          <w:rFonts w:ascii="宋体" w:hAnsi="宋体" w:cs="宋体"/>
          <w:kern w:val="44"/>
          <w:szCs w:val="21"/>
          <w:highlight w:val="none"/>
        </w:rPr>
      </w:pPr>
      <w:r>
        <w:rPr>
          <w:rFonts w:hint="eastAsia" w:ascii="宋体" w:hAnsi="宋体" w:cs="宋体"/>
          <w:highlight w:val="none"/>
        </w:rPr>
        <w:t>1.2</w:t>
      </w:r>
      <w:r>
        <w:rPr>
          <w:rFonts w:hint="eastAsia" w:ascii="宋体" w:hAnsi="宋体" w:cs="宋体"/>
          <w:kern w:val="44"/>
          <w:szCs w:val="21"/>
          <w:highlight w:val="none"/>
        </w:rPr>
        <w:t>比选人及比选申请人</w:t>
      </w:r>
    </w:p>
    <w:p>
      <w:pPr>
        <w:spacing w:line="360" w:lineRule="auto"/>
        <w:ind w:firstLine="420" w:firstLineChars="200"/>
        <w:rPr>
          <w:rFonts w:ascii="宋体" w:hAnsi="宋体" w:cs="宋体"/>
          <w:highlight w:val="none"/>
        </w:rPr>
      </w:pPr>
      <w:r>
        <w:rPr>
          <w:rFonts w:hint="eastAsia" w:ascii="宋体" w:hAnsi="宋体" w:cs="宋体"/>
          <w:highlight w:val="none"/>
        </w:rPr>
        <w:t>比选人：南宁市金盾道路清障有限责任公司。</w:t>
      </w:r>
    </w:p>
    <w:p>
      <w:pPr>
        <w:spacing w:line="360" w:lineRule="auto"/>
        <w:ind w:firstLine="420" w:firstLineChars="200"/>
        <w:rPr>
          <w:rFonts w:ascii="宋体" w:hAnsi="宋体" w:cs="宋体"/>
          <w:highlight w:val="none"/>
        </w:rPr>
      </w:pPr>
      <w:r>
        <w:rPr>
          <w:rFonts w:hint="eastAsia" w:ascii="宋体" w:hAnsi="宋体" w:cs="宋体"/>
          <w:highlight w:val="none"/>
        </w:rPr>
        <w:t>比选申请人：响应招标、参加投标申请竞争的法人。</w:t>
      </w:r>
    </w:p>
    <w:p>
      <w:pPr>
        <w:keepNext/>
        <w:keepLines/>
        <w:spacing w:line="360" w:lineRule="auto"/>
        <w:outlineLvl w:val="0"/>
        <w:rPr>
          <w:rFonts w:ascii="黑体" w:hAnsi="黑体" w:eastAsia="黑体" w:cs="黑体"/>
          <w:b/>
          <w:bCs/>
          <w:kern w:val="44"/>
          <w:sz w:val="24"/>
          <w:szCs w:val="24"/>
          <w:highlight w:val="none"/>
        </w:rPr>
      </w:pPr>
      <w:bookmarkStart w:id="1240" w:name="_Toc534969205"/>
      <w:bookmarkStart w:id="1241" w:name="_Toc15550"/>
      <w:bookmarkStart w:id="1242" w:name="_Toc312"/>
      <w:bookmarkStart w:id="1243" w:name="_Toc12011"/>
      <w:bookmarkStart w:id="1244" w:name="_Toc20512"/>
      <w:bookmarkStart w:id="1245" w:name="_Toc13444"/>
      <w:bookmarkStart w:id="1246" w:name="_Toc17117"/>
      <w:bookmarkStart w:id="1247" w:name="_Toc9308"/>
      <w:bookmarkStart w:id="1248" w:name="_Toc26008"/>
      <w:bookmarkStart w:id="1249" w:name="_Toc79434361"/>
      <w:bookmarkStart w:id="1250" w:name="_Toc23642"/>
      <w:bookmarkStart w:id="1251" w:name="_Toc24890"/>
      <w:bookmarkStart w:id="1252" w:name="_Toc17641"/>
      <w:bookmarkStart w:id="1253" w:name="_Toc481482229"/>
      <w:bookmarkStart w:id="1254" w:name="_Toc17905"/>
      <w:bookmarkStart w:id="1255" w:name="_Toc3834"/>
      <w:bookmarkStart w:id="1256" w:name="_Toc467076702"/>
      <w:bookmarkStart w:id="1257" w:name="_Toc27658"/>
      <w:bookmarkStart w:id="1258" w:name="_Toc25385"/>
      <w:bookmarkStart w:id="1259" w:name="_Toc13920"/>
      <w:bookmarkStart w:id="1260" w:name="_Toc13767"/>
      <w:bookmarkStart w:id="1261" w:name="_Toc13032"/>
      <w:bookmarkStart w:id="1262" w:name="_Toc7166"/>
      <w:bookmarkStart w:id="1263" w:name="_Toc481565831"/>
      <w:bookmarkStart w:id="1264" w:name="_Toc6512"/>
      <w:bookmarkStart w:id="1265" w:name="_Toc497122885"/>
      <w:bookmarkStart w:id="1266" w:name="_Toc11746"/>
      <w:bookmarkStart w:id="1267" w:name="_Toc6419"/>
      <w:bookmarkStart w:id="1268" w:name="_Toc9998"/>
      <w:bookmarkStart w:id="1269" w:name="_Toc25033"/>
      <w:bookmarkStart w:id="1270" w:name="_Toc22375"/>
      <w:bookmarkStart w:id="1271" w:name="_Toc1959"/>
      <w:bookmarkStart w:id="1272" w:name="_Toc28597"/>
      <w:bookmarkStart w:id="1273" w:name="_Toc32247"/>
      <w:bookmarkStart w:id="1274" w:name="_Toc2575"/>
      <w:bookmarkStart w:id="1275" w:name="_Toc9087"/>
      <w:bookmarkStart w:id="1276" w:name="_Toc30424"/>
      <w:bookmarkStart w:id="1277" w:name="_Toc10741"/>
      <w:bookmarkStart w:id="1278" w:name="_Toc5982"/>
      <w:bookmarkStart w:id="1279" w:name="_Toc22617"/>
      <w:bookmarkStart w:id="1280" w:name="_Toc31853"/>
      <w:bookmarkStart w:id="1281" w:name="_Toc26870"/>
      <w:bookmarkStart w:id="1282" w:name="_Toc14788"/>
      <w:bookmarkStart w:id="1283" w:name="_Toc427229175"/>
      <w:bookmarkStart w:id="1284" w:name="_Toc21285"/>
      <w:bookmarkStart w:id="1285" w:name="_Toc13298"/>
      <w:bookmarkStart w:id="1286" w:name="_Toc377652889"/>
      <w:bookmarkStart w:id="1287" w:name="_Toc28947"/>
      <w:bookmarkStart w:id="1288" w:name="_Toc29340"/>
      <w:bookmarkStart w:id="1289" w:name="_Toc60212982"/>
      <w:bookmarkStart w:id="1290" w:name="_Toc13047"/>
      <w:bookmarkStart w:id="1291" w:name="_Toc25274"/>
      <w:bookmarkStart w:id="1292" w:name="_Toc20758"/>
      <w:bookmarkStart w:id="1293" w:name="_Toc23"/>
      <w:bookmarkStart w:id="1294" w:name="_Toc6126"/>
      <w:r>
        <w:rPr>
          <w:rFonts w:hint="eastAsia" w:ascii="黑体" w:hAnsi="黑体" w:eastAsia="黑体" w:cs="黑体"/>
          <w:b/>
          <w:bCs/>
          <w:kern w:val="44"/>
          <w:sz w:val="24"/>
          <w:szCs w:val="24"/>
          <w:highlight w:val="none"/>
        </w:rPr>
        <w:t>2项目范围</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keepNext/>
        <w:keepLines/>
        <w:spacing w:line="360" w:lineRule="auto"/>
        <w:outlineLvl w:val="1"/>
        <w:rPr>
          <w:rFonts w:ascii="宋体" w:hAnsi="宋体" w:cs="宋体"/>
          <w:b/>
          <w:bCs/>
          <w:kern w:val="44"/>
          <w:szCs w:val="21"/>
          <w:highlight w:val="none"/>
        </w:rPr>
      </w:pPr>
      <w:bookmarkStart w:id="1295" w:name="_Toc31919"/>
      <w:bookmarkStart w:id="1296" w:name="_Toc14168"/>
      <w:bookmarkStart w:id="1297" w:name="_Toc24539"/>
      <w:bookmarkStart w:id="1298" w:name="_Toc20385"/>
      <w:bookmarkStart w:id="1299" w:name="_Toc4847"/>
      <w:bookmarkStart w:id="1300" w:name="_Toc3649"/>
      <w:bookmarkStart w:id="1301" w:name="_Toc4143"/>
      <w:bookmarkStart w:id="1302" w:name="_Toc30903"/>
      <w:bookmarkStart w:id="1303" w:name="_Toc15041"/>
      <w:bookmarkStart w:id="1304" w:name="_Toc7160"/>
      <w:bookmarkStart w:id="1305" w:name="_Toc21761"/>
      <w:bookmarkStart w:id="1306" w:name="_Toc10386"/>
      <w:bookmarkStart w:id="1307" w:name="_Toc13208"/>
      <w:bookmarkStart w:id="1308" w:name="_Toc8131"/>
      <w:bookmarkStart w:id="1309" w:name="_Toc14349"/>
      <w:bookmarkStart w:id="1310" w:name="_Toc26112"/>
      <w:bookmarkStart w:id="1311" w:name="_Toc26685"/>
      <w:bookmarkStart w:id="1312" w:name="_Toc79434363"/>
      <w:bookmarkStart w:id="1313" w:name="_Toc27244"/>
      <w:bookmarkStart w:id="1314" w:name="_Toc3263"/>
      <w:bookmarkStart w:id="1315" w:name="_Toc2176"/>
      <w:bookmarkStart w:id="1316" w:name="_Toc3031"/>
      <w:bookmarkStart w:id="1317" w:name="_Toc7894"/>
      <w:bookmarkStart w:id="1318" w:name="_Toc21982"/>
      <w:bookmarkStart w:id="1319" w:name="_Toc5456"/>
      <w:bookmarkStart w:id="1320" w:name="_Toc60212984"/>
      <w:bookmarkStart w:id="1321" w:name="_Toc15703"/>
      <w:bookmarkStart w:id="1322" w:name="_Toc21410"/>
      <w:bookmarkStart w:id="1323" w:name="_Toc17423"/>
      <w:bookmarkStart w:id="1324" w:name="_Toc9816"/>
      <w:bookmarkStart w:id="1325" w:name="_Toc24002"/>
      <w:bookmarkStart w:id="1326" w:name="_Toc8705"/>
      <w:bookmarkStart w:id="1327" w:name="_Toc8939"/>
      <w:bookmarkStart w:id="1328" w:name="_Toc3800"/>
      <w:bookmarkStart w:id="1329" w:name="_Toc23418"/>
      <w:r>
        <w:rPr>
          <w:rFonts w:hint="eastAsia" w:ascii="宋体" w:hAnsi="宋体" w:cs="宋体"/>
          <w:b/>
          <w:bCs/>
          <w:kern w:val="44"/>
          <w:szCs w:val="21"/>
          <w:highlight w:val="none"/>
        </w:rPr>
        <w:t>2.1项目</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Fonts w:hint="eastAsia" w:ascii="宋体" w:hAnsi="宋体" w:cs="宋体"/>
          <w:b/>
          <w:bCs/>
          <w:kern w:val="44"/>
          <w:szCs w:val="21"/>
          <w:highlight w:val="none"/>
        </w:rPr>
        <w:t>名称</w:t>
      </w:r>
    </w:p>
    <w:p>
      <w:pPr>
        <w:ind w:firstLine="420" w:firstLineChars="200"/>
        <w:rPr>
          <w:rFonts w:ascii="宋体" w:hAnsi="宋体" w:cs="宋体"/>
          <w:highlight w:val="none"/>
        </w:rPr>
      </w:pPr>
      <w:bookmarkStart w:id="1330" w:name="_Toc23141"/>
      <w:bookmarkStart w:id="1331" w:name="_Toc10938"/>
      <w:bookmarkStart w:id="1332" w:name="_Toc10258"/>
      <w:bookmarkStart w:id="1333" w:name="_Toc32367"/>
      <w:bookmarkStart w:id="1334" w:name="_Toc29388"/>
      <w:bookmarkStart w:id="1335" w:name="_Toc17076"/>
      <w:bookmarkStart w:id="1336" w:name="_Toc4517"/>
      <w:bookmarkStart w:id="1337" w:name="_Toc26671"/>
      <w:bookmarkStart w:id="1338" w:name="_Toc9123"/>
      <w:bookmarkStart w:id="1339" w:name="_Toc27518"/>
      <w:bookmarkStart w:id="1340" w:name="_Toc13503"/>
      <w:r>
        <w:rPr>
          <w:rFonts w:hint="eastAsia" w:ascii="宋体" w:hAnsi="宋体" w:cs="宋体"/>
          <w:highlight w:val="none"/>
        </w:rPr>
        <w:t>南宁市金盾道路清障有限责任公司那洪分公司电梯采购安装项目</w:t>
      </w:r>
    </w:p>
    <w:p>
      <w:pPr>
        <w:keepNext/>
        <w:keepLines/>
        <w:spacing w:line="360" w:lineRule="auto"/>
        <w:outlineLvl w:val="1"/>
        <w:rPr>
          <w:rFonts w:ascii="宋体" w:hAnsi="宋体" w:cs="宋体"/>
          <w:b/>
          <w:bCs/>
          <w:kern w:val="44"/>
          <w:szCs w:val="21"/>
          <w:highlight w:val="none"/>
        </w:rPr>
      </w:pPr>
      <w:bookmarkStart w:id="1341" w:name="_Toc2747"/>
      <w:bookmarkStart w:id="1342" w:name="_Toc24406"/>
      <w:bookmarkStart w:id="1343" w:name="_Toc6277"/>
      <w:bookmarkStart w:id="1344" w:name="_Toc16345"/>
      <w:bookmarkStart w:id="1345" w:name="_Toc9102"/>
      <w:bookmarkStart w:id="1346" w:name="_Toc15136"/>
      <w:bookmarkStart w:id="1347" w:name="_Toc18137"/>
      <w:bookmarkStart w:id="1348" w:name="_Toc79434364"/>
      <w:bookmarkStart w:id="1349" w:name="_Toc22292"/>
      <w:bookmarkStart w:id="1350" w:name="_Toc9287"/>
      <w:bookmarkStart w:id="1351" w:name="_Toc11540"/>
      <w:bookmarkStart w:id="1352" w:name="_Toc60212986"/>
      <w:bookmarkStart w:id="1353" w:name="_Toc26686"/>
      <w:bookmarkStart w:id="1354" w:name="_Toc10305"/>
      <w:bookmarkStart w:id="1355" w:name="_Toc32122"/>
      <w:bookmarkStart w:id="1356" w:name="_Toc16672"/>
      <w:bookmarkStart w:id="1357" w:name="_Toc19887"/>
      <w:bookmarkStart w:id="1358" w:name="_Toc4593"/>
      <w:bookmarkStart w:id="1359" w:name="_Toc17015"/>
      <w:bookmarkStart w:id="1360" w:name="_Toc14372"/>
      <w:r>
        <w:rPr>
          <w:rFonts w:hint="eastAsia" w:ascii="宋体" w:hAnsi="宋体" w:cs="宋体"/>
          <w:b/>
          <w:bCs/>
          <w:kern w:val="44"/>
          <w:szCs w:val="21"/>
          <w:highlight w:val="none"/>
        </w:rPr>
        <w:t>2.2项目清单</w:t>
      </w:r>
    </w:p>
    <w:p>
      <w:pPr>
        <w:pStyle w:val="2"/>
        <w:spacing w:line="360" w:lineRule="auto"/>
        <w:ind w:firstLine="420" w:firstLineChars="200"/>
        <w:rPr>
          <w:rFonts w:cs="仿宋_GB2312" w:asciiTheme="minorEastAsia" w:hAnsiTheme="minorEastAsia" w:eastAsiaTheme="minorEastAsia"/>
          <w:kern w:val="44"/>
          <w:szCs w:val="21"/>
          <w:highlight w:val="none"/>
        </w:rPr>
      </w:pPr>
      <w:r>
        <w:rPr>
          <w:rFonts w:hint="eastAsia" w:hAnsi="宋体" w:cs="宋体"/>
          <w:highlight w:val="none"/>
        </w:rPr>
        <w:t>南宁市金盾道路清障有限责任公司那洪分公司</w:t>
      </w:r>
      <w:r>
        <w:rPr>
          <w:rFonts w:hint="eastAsia" w:hAnsi="宋体" w:cs="宋体"/>
          <w:szCs w:val="21"/>
          <w:highlight w:val="none"/>
        </w:rPr>
        <w:t>采购的电梯</w:t>
      </w:r>
      <w:r>
        <w:rPr>
          <w:rFonts w:hint="eastAsia" w:cs="仿宋_GB2312" w:asciiTheme="minorEastAsia" w:hAnsiTheme="minorEastAsia" w:eastAsiaTheme="minorEastAsia"/>
          <w:kern w:val="44"/>
          <w:szCs w:val="21"/>
          <w:highlight w:val="none"/>
        </w:rPr>
        <w:t>按清单中的需求进行提供技术服务</w:t>
      </w:r>
      <w:r>
        <w:rPr>
          <w:rFonts w:hint="eastAsia" w:hAnsi="宋体" w:cs="宋体"/>
          <w:szCs w:val="21"/>
          <w:highlight w:val="none"/>
        </w:rPr>
        <w:t>（见附件1）</w:t>
      </w:r>
      <w:r>
        <w:rPr>
          <w:rFonts w:hint="eastAsia" w:cs="仿宋_GB2312" w:asciiTheme="minorEastAsia" w:hAnsiTheme="minorEastAsia" w:eastAsiaTheme="minorEastAsia"/>
          <w:kern w:val="44"/>
          <w:szCs w:val="21"/>
          <w:highlight w:val="none"/>
        </w:rPr>
        <w:t>。</w:t>
      </w:r>
    </w:p>
    <w:p>
      <w:pPr>
        <w:pStyle w:val="3"/>
        <w:numPr>
          <w:ilvl w:val="3"/>
          <w:numId w:val="0"/>
        </w:numPr>
        <w:rPr>
          <w:highlight w:val="none"/>
        </w:rPr>
      </w:pPr>
      <w:r>
        <w:rPr>
          <w:rFonts w:hint="eastAsia" w:cs="仿宋_GB2312" w:asciiTheme="minorEastAsia" w:hAnsiTheme="minorEastAsia" w:eastAsiaTheme="minorEastAsia"/>
          <w:kern w:val="44"/>
          <w:szCs w:val="21"/>
          <w:highlight w:val="none"/>
        </w:rPr>
        <w:t>2.3采购产品</w:t>
      </w:r>
    </w:p>
    <w:p>
      <w:pPr>
        <w:pStyle w:val="2"/>
        <w:spacing w:line="360" w:lineRule="auto"/>
        <w:ind w:firstLine="420" w:firstLineChars="200"/>
        <w:rPr>
          <w:rFonts w:hAnsi="宋体" w:cs="宋体"/>
          <w:highlight w:val="none"/>
        </w:rPr>
      </w:pPr>
      <w:r>
        <w:rPr>
          <w:rFonts w:hint="eastAsia" w:hAnsi="宋体" w:cs="宋体"/>
          <w:highlight w:val="none"/>
        </w:rPr>
        <w:t>南宁市金盾道路清障有限责任公司那洪分公司</w:t>
      </w:r>
      <w:r>
        <w:rPr>
          <w:rFonts w:hint="eastAsia" w:hAnsi="宋体" w:cs="宋体"/>
          <w:szCs w:val="21"/>
          <w:highlight w:val="none"/>
        </w:rPr>
        <w:t>采购及安装电梯1台。</w:t>
      </w:r>
    </w:p>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Pr>
        <w:pStyle w:val="2"/>
        <w:spacing w:line="360" w:lineRule="auto"/>
        <w:rPr>
          <w:rFonts w:hAnsi="宋体" w:cs="宋体"/>
          <w:b/>
          <w:bCs/>
          <w:szCs w:val="21"/>
          <w:highlight w:val="none"/>
        </w:rPr>
      </w:pPr>
      <w:r>
        <w:rPr>
          <w:rFonts w:hint="eastAsia" w:hAnsi="宋体" w:cs="宋体"/>
          <w:b/>
          <w:bCs/>
          <w:szCs w:val="21"/>
          <w:highlight w:val="none"/>
        </w:rPr>
        <w:t>2.4承包方式</w:t>
      </w:r>
    </w:p>
    <w:p>
      <w:pPr>
        <w:spacing w:line="360" w:lineRule="auto"/>
        <w:ind w:firstLine="420" w:firstLineChars="200"/>
        <w:rPr>
          <w:rFonts w:ascii="宋体" w:hAnsi="宋体" w:cs="宋体"/>
          <w:szCs w:val="21"/>
          <w:highlight w:val="none"/>
          <w:lang w:bidi="ar"/>
        </w:rPr>
      </w:pPr>
      <w:r>
        <w:rPr>
          <w:rFonts w:hint="eastAsia" w:ascii="宋体" w:hAnsi="宋体" w:cs="宋体"/>
          <w:szCs w:val="21"/>
          <w:highlight w:val="none"/>
          <w:lang w:bidi="ar"/>
        </w:rPr>
        <w:t>本项目以“包干报价”的方式采购安装电梯。</w:t>
      </w:r>
    </w:p>
    <w:p>
      <w:pPr>
        <w:pStyle w:val="5"/>
        <w:numPr>
          <w:ilvl w:val="255"/>
          <w:numId w:val="0"/>
        </w:numPr>
        <w:tabs>
          <w:tab w:val="left" w:pos="0"/>
        </w:tabs>
        <w:spacing w:before="0" w:after="0" w:line="360" w:lineRule="auto"/>
        <w:rPr>
          <w:rFonts w:ascii="宋体" w:hAnsi="宋体" w:eastAsia="宋体" w:cs="宋体"/>
          <w:bCs/>
          <w:sz w:val="21"/>
          <w:szCs w:val="21"/>
          <w:highlight w:val="none"/>
        </w:rPr>
      </w:pPr>
      <w:bookmarkStart w:id="1361" w:name="_Toc8450"/>
      <w:bookmarkStart w:id="1362" w:name="_Toc4969"/>
      <w:bookmarkStart w:id="1363" w:name="_Toc26891956"/>
      <w:bookmarkStart w:id="1364" w:name="_Toc16094"/>
      <w:bookmarkStart w:id="1365" w:name="_Toc12626"/>
      <w:bookmarkStart w:id="1366" w:name="_Toc1241"/>
      <w:bookmarkStart w:id="1367" w:name="_Toc30272"/>
      <w:bookmarkStart w:id="1368" w:name="_Toc31207"/>
      <w:bookmarkStart w:id="1369" w:name="_Toc31250"/>
      <w:bookmarkStart w:id="1370" w:name="_Toc9668"/>
      <w:bookmarkStart w:id="1371" w:name="_Toc5491"/>
      <w:bookmarkStart w:id="1372" w:name="_Toc52267558"/>
      <w:bookmarkStart w:id="1373" w:name="_Toc9199"/>
      <w:bookmarkStart w:id="1374" w:name="_Toc4505"/>
      <w:bookmarkStart w:id="1375" w:name="_Toc17024"/>
      <w:bookmarkStart w:id="1376" w:name="_Toc7974"/>
      <w:bookmarkStart w:id="1377" w:name="_Toc19038"/>
      <w:bookmarkStart w:id="1378" w:name="_Toc21797"/>
      <w:bookmarkStart w:id="1379" w:name="_Toc8447"/>
      <w:bookmarkStart w:id="1380" w:name="_Toc29710"/>
      <w:bookmarkStart w:id="1381" w:name="_Toc8053"/>
      <w:bookmarkStart w:id="1382" w:name="_Toc27402"/>
      <w:bookmarkStart w:id="1383" w:name="_Toc26207"/>
      <w:bookmarkStart w:id="1384" w:name="_Toc32502"/>
      <w:bookmarkStart w:id="1385" w:name="_Toc21118"/>
      <w:bookmarkStart w:id="1386" w:name="_Toc18620"/>
      <w:bookmarkStart w:id="1387" w:name="_Toc30404"/>
      <w:bookmarkStart w:id="1388" w:name="_Toc14981"/>
      <w:bookmarkStart w:id="1389" w:name="_Toc603"/>
      <w:bookmarkStart w:id="1390" w:name="_Toc13017"/>
      <w:bookmarkStart w:id="1391" w:name="_Toc6353"/>
      <w:bookmarkStart w:id="1392" w:name="_Toc25454"/>
      <w:bookmarkStart w:id="1393" w:name="_Toc4531"/>
      <w:bookmarkStart w:id="1394" w:name="_Toc2420"/>
      <w:bookmarkStart w:id="1395" w:name="_Toc8785"/>
      <w:bookmarkStart w:id="1396" w:name="_Toc29619"/>
      <w:bookmarkStart w:id="1397" w:name="_Toc8090"/>
      <w:r>
        <w:rPr>
          <w:rFonts w:hint="eastAsia" w:ascii="宋体" w:hAnsi="宋体" w:eastAsia="宋体" w:cs="宋体"/>
          <w:bCs/>
          <w:sz w:val="21"/>
          <w:szCs w:val="21"/>
          <w:highlight w:val="none"/>
        </w:rPr>
        <w:t>2.5项目分包</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spacing w:line="360" w:lineRule="auto"/>
        <w:ind w:firstLine="420" w:firstLineChars="200"/>
        <w:rPr>
          <w:rFonts w:ascii="宋体" w:hAnsi="宋体" w:cs="宋体"/>
          <w:szCs w:val="21"/>
          <w:highlight w:val="none"/>
          <w:lang w:bidi="ar"/>
        </w:rPr>
      </w:pPr>
      <w:r>
        <w:rPr>
          <w:rFonts w:hint="eastAsia" w:ascii="宋体" w:hAnsi="宋体" w:cs="宋体"/>
          <w:szCs w:val="21"/>
          <w:highlight w:val="none"/>
          <w:lang w:bidi="ar"/>
        </w:rPr>
        <w:t>本项目不允许联合体投标及任何形式的转包或分包。</w:t>
      </w:r>
    </w:p>
    <w:p>
      <w:pPr>
        <w:pStyle w:val="5"/>
        <w:numPr>
          <w:ilvl w:val="255"/>
          <w:numId w:val="0"/>
        </w:numPr>
        <w:tabs>
          <w:tab w:val="left" w:pos="0"/>
        </w:tabs>
        <w:spacing w:before="0" w:after="0" w:line="360" w:lineRule="auto"/>
        <w:rPr>
          <w:rFonts w:ascii="宋体" w:hAnsi="宋体" w:eastAsia="宋体" w:cs="宋体"/>
          <w:bCs/>
          <w:sz w:val="21"/>
          <w:szCs w:val="21"/>
          <w:highlight w:val="none"/>
        </w:rPr>
      </w:pPr>
      <w:bookmarkStart w:id="1398" w:name="_Toc15313"/>
      <w:bookmarkStart w:id="1399" w:name="_Toc17617"/>
      <w:bookmarkStart w:id="1400" w:name="_Toc23970"/>
      <w:bookmarkStart w:id="1401" w:name="_Toc12673"/>
      <w:bookmarkStart w:id="1402" w:name="_Toc21651"/>
      <w:bookmarkStart w:id="1403" w:name="_Toc31289"/>
      <w:bookmarkStart w:id="1404" w:name="_Toc26891957"/>
      <w:bookmarkStart w:id="1405" w:name="_Toc25808"/>
      <w:bookmarkStart w:id="1406" w:name="_Toc63848639"/>
      <w:bookmarkStart w:id="1407" w:name="_Toc8242"/>
      <w:bookmarkStart w:id="1408" w:name="_Toc12041"/>
      <w:bookmarkStart w:id="1409" w:name="_Toc24629"/>
      <w:bookmarkStart w:id="1410" w:name="_Toc16269"/>
      <w:bookmarkStart w:id="1411" w:name="_Toc10711"/>
      <w:bookmarkStart w:id="1412" w:name="_Toc10289"/>
      <w:bookmarkStart w:id="1413" w:name="_Toc1025"/>
      <w:bookmarkStart w:id="1414" w:name="_Toc63846896"/>
      <w:bookmarkStart w:id="1415" w:name="_Toc12241"/>
      <w:bookmarkStart w:id="1416" w:name="_Toc18083"/>
      <w:bookmarkStart w:id="1417" w:name="_Toc16832"/>
      <w:bookmarkStart w:id="1418" w:name="_Toc17114"/>
      <w:bookmarkStart w:id="1419" w:name="_Toc13329"/>
      <w:bookmarkStart w:id="1420" w:name="_Toc25610"/>
      <w:bookmarkStart w:id="1421" w:name="_Toc21611"/>
      <w:bookmarkStart w:id="1422" w:name="_Toc26804"/>
      <w:bookmarkStart w:id="1423" w:name="_Toc8240"/>
      <w:bookmarkStart w:id="1424" w:name="_Toc3630"/>
      <w:bookmarkStart w:id="1425" w:name="_Toc8800"/>
      <w:bookmarkStart w:id="1426" w:name="_Toc2183"/>
      <w:bookmarkStart w:id="1427" w:name="_Toc17156"/>
      <w:bookmarkStart w:id="1428" w:name="_Toc780"/>
      <w:bookmarkStart w:id="1429" w:name="_Toc8431"/>
      <w:bookmarkStart w:id="1430" w:name="_Toc7878"/>
      <w:bookmarkStart w:id="1431" w:name="_Toc28052"/>
      <w:bookmarkStart w:id="1432" w:name="_Toc3911"/>
      <w:bookmarkStart w:id="1433" w:name="_Toc7535"/>
      <w:bookmarkStart w:id="1434" w:name="_Toc13533"/>
      <w:r>
        <w:rPr>
          <w:rFonts w:hint="eastAsia" w:ascii="宋体" w:hAnsi="宋体" w:eastAsia="宋体" w:cs="宋体"/>
          <w:bCs/>
          <w:sz w:val="21"/>
          <w:szCs w:val="21"/>
          <w:highlight w:val="none"/>
        </w:rPr>
        <w:t>2.6履约期</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2"/>
        <w:spacing w:line="360" w:lineRule="auto"/>
        <w:ind w:firstLine="420" w:firstLineChars="200"/>
        <w:rPr>
          <w:rFonts w:hAnsi="宋体"/>
          <w:szCs w:val="21"/>
          <w:highlight w:val="none"/>
        </w:rPr>
      </w:pPr>
      <w:r>
        <w:rPr>
          <w:rFonts w:hint="eastAsia" w:hAnsi="宋体" w:cs="宋体"/>
          <w:szCs w:val="21"/>
          <w:highlight w:val="none"/>
        </w:rPr>
        <w:t>合同签订之日起90 个日历日内到货并安装完毕，30个日历日内完成特种设备使用登记并取得特种设备检验机构出具的《电梯准用证》，无条件交付比选人使用</w:t>
      </w:r>
      <w:r>
        <w:rPr>
          <w:rFonts w:hint="eastAsia" w:hAnsi="宋体"/>
          <w:szCs w:val="21"/>
          <w:highlight w:val="none"/>
        </w:rPr>
        <w:t>。</w:t>
      </w:r>
    </w:p>
    <w:p>
      <w:pPr>
        <w:pStyle w:val="5"/>
        <w:numPr>
          <w:ilvl w:val="255"/>
          <w:numId w:val="0"/>
        </w:numPr>
        <w:tabs>
          <w:tab w:val="left" w:pos="0"/>
        </w:tabs>
        <w:spacing w:before="0" w:after="0" w:line="360" w:lineRule="auto"/>
        <w:rPr>
          <w:rFonts w:ascii="宋体" w:hAnsi="宋体" w:eastAsia="宋体" w:cs="宋体"/>
          <w:bCs/>
          <w:sz w:val="21"/>
          <w:szCs w:val="21"/>
          <w:highlight w:val="none"/>
        </w:rPr>
      </w:pPr>
      <w:bookmarkStart w:id="1435" w:name="_Toc2468"/>
      <w:bookmarkStart w:id="1436" w:name="_Toc29516"/>
      <w:bookmarkStart w:id="1437" w:name="_Toc26418"/>
      <w:bookmarkStart w:id="1438" w:name="_Toc26613"/>
      <w:bookmarkStart w:id="1439" w:name="_Toc1537"/>
      <w:bookmarkStart w:id="1440" w:name="_Toc8842"/>
      <w:bookmarkStart w:id="1441" w:name="_Toc24016"/>
      <w:bookmarkStart w:id="1442" w:name="_Toc14769"/>
      <w:bookmarkStart w:id="1443" w:name="_Toc14772"/>
      <w:bookmarkStart w:id="1444" w:name="_Toc27030"/>
      <w:bookmarkStart w:id="1445" w:name="_Toc388"/>
      <w:bookmarkStart w:id="1446" w:name="_Toc8078"/>
      <w:bookmarkStart w:id="1447" w:name="_Toc11704"/>
      <w:bookmarkStart w:id="1448" w:name="_Toc10210"/>
      <w:bookmarkStart w:id="1449" w:name="_Toc9562"/>
      <w:bookmarkStart w:id="1450" w:name="_Toc18326"/>
      <w:bookmarkStart w:id="1451" w:name="_Toc6767"/>
      <w:bookmarkStart w:id="1452" w:name="_Toc14452"/>
      <w:bookmarkStart w:id="1453" w:name="_Toc16744"/>
      <w:bookmarkStart w:id="1454" w:name="_Toc4650"/>
      <w:bookmarkStart w:id="1455" w:name="_Toc28502"/>
      <w:bookmarkStart w:id="1456" w:name="_Toc898"/>
      <w:bookmarkStart w:id="1457" w:name="_Toc11798"/>
      <w:bookmarkStart w:id="1458" w:name="_Toc1296"/>
      <w:bookmarkStart w:id="1459" w:name="_Toc63848640"/>
      <w:bookmarkStart w:id="1460" w:name="_Toc31926"/>
      <w:bookmarkStart w:id="1461" w:name="_Toc63846897"/>
      <w:bookmarkStart w:id="1462" w:name="_Toc21590"/>
      <w:bookmarkStart w:id="1463" w:name="_Toc25967"/>
      <w:r>
        <w:rPr>
          <w:rFonts w:hint="eastAsia" w:ascii="宋体" w:hAnsi="宋体" w:eastAsia="宋体" w:cs="宋体"/>
          <w:bCs/>
          <w:sz w:val="21"/>
          <w:szCs w:val="21"/>
          <w:highlight w:val="none"/>
        </w:rPr>
        <w:t>2.7补充说明</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3"/>
        <w:numPr>
          <w:ilvl w:val="3"/>
          <w:numId w:val="0"/>
        </w:numPr>
        <w:ind w:firstLine="420" w:firstLineChars="200"/>
        <w:rPr>
          <w:highlight w:val="none"/>
        </w:rPr>
      </w:pPr>
      <w:r>
        <w:rPr>
          <w:rFonts w:hint="eastAsia" w:ascii="宋体" w:hAnsi="宋体" w:cs="宋体"/>
          <w:b w:val="0"/>
          <w:bCs w:val="0"/>
          <w:highlight w:val="none"/>
        </w:rPr>
        <w:t>合同执行期间，如需调整项目的安装内容，应经比选人同意后，比选申请人方可执行，并按相关流程办理合同变更手续</w:t>
      </w:r>
      <w:r>
        <w:rPr>
          <w:rFonts w:ascii="宋体" w:hAnsi="宋体" w:cs="宋体"/>
          <w:b w:val="0"/>
          <w:bCs w:val="0"/>
          <w:highlight w:val="none"/>
        </w:rPr>
        <w:t>。</w:t>
      </w:r>
    </w:p>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Pr>
        <w:keepNext/>
        <w:keepLines/>
        <w:spacing w:line="360" w:lineRule="auto"/>
        <w:outlineLvl w:val="0"/>
        <w:rPr>
          <w:rFonts w:ascii="黑体" w:hAnsi="黑体" w:eastAsia="黑体" w:cs="黑体"/>
          <w:b/>
          <w:bCs/>
          <w:kern w:val="44"/>
          <w:sz w:val="24"/>
          <w:szCs w:val="24"/>
          <w:highlight w:val="none"/>
        </w:rPr>
      </w:pPr>
      <w:bookmarkStart w:id="1464" w:name="_Toc3748"/>
      <w:bookmarkStart w:id="1465" w:name="_Toc20918"/>
      <w:bookmarkStart w:id="1466" w:name="_Toc3846"/>
      <w:bookmarkStart w:id="1467" w:name="_Toc20650"/>
      <w:bookmarkStart w:id="1468" w:name="_Toc79434375"/>
      <w:bookmarkStart w:id="1469" w:name="_Toc6320"/>
      <w:bookmarkStart w:id="1470" w:name="_Toc13597"/>
      <w:bookmarkStart w:id="1471" w:name="_Toc9144"/>
      <w:r>
        <w:rPr>
          <w:rFonts w:hint="eastAsia" w:ascii="黑体" w:hAnsi="黑体" w:eastAsia="黑体" w:cs="黑体"/>
          <w:b/>
          <w:bCs/>
          <w:kern w:val="44"/>
          <w:sz w:val="24"/>
          <w:szCs w:val="24"/>
          <w:highlight w:val="none"/>
        </w:rPr>
        <w:t>3项目管理</w:t>
      </w:r>
      <w:bookmarkEnd w:id="1464"/>
      <w:bookmarkEnd w:id="1465"/>
      <w:bookmarkEnd w:id="1466"/>
      <w:bookmarkEnd w:id="1467"/>
      <w:bookmarkEnd w:id="1468"/>
      <w:bookmarkEnd w:id="1469"/>
      <w:bookmarkEnd w:id="1470"/>
      <w:bookmarkEnd w:id="1471"/>
    </w:p>
    <w:p>
      <w:pPr>
        <w:keepNext/>
        <w:keepLines/>
        <w:spacing w:line="360" w:lineRule="auto"/>
        <w:outlineLvl w:val="1"/>
        <w:rPr>
          <w:rFonts w:ascii="宋体" w:hAnsi="宋体" w:cs="宋体"/>
          <w:b/>
          <w:bCs/>
          <w:kern w:val="44"/>
          <w:szCs w:val="21"/>
          <w:highlight w:val="none"/>
        </w:rPr>
      </w:pPr>
      <w:bookmarkStart w:id="1472" w:name="_Toc24564"/>
      <w:bookmarkStart w:id="1473" w:name="_Toc534969211"/>
      <w:bookmarkStart w:id="1474" w:name="_Toc2784"/>
      <w:bookmarkStart w:id="1475" w:name="_Toc11102"/>
      <w:bookmarkStart w:id="1476" w:name="_Toc9279"/>
      <w:bookmarkStart w:id="1477" w:name="_Toc27729"/>
      <w:bookmarkStart w:id="1478" w:name="_Toc29627"/>
      <w:bookmarkStart w:id="1479" w:name="_Toc24389"/>
      <w:bookmarkStart w:id="1480" w:name="_Toc31187"/>
      <w:bookmarkStart w:id="1481" w:name="_Toc11407"/>
      <w:bookmarkStart w:id="1482" w:name="_Toc1168"/>
      <w:bookmarkStart w:id="1483" w:name="_Toc17593"/>
      <w:bookmarkStart w:id="1484" w:name="_Toc19586"/>
      <w:bookmarkStart w:id="1485" w:name="_Toc6176"/>
      <w:bookmarkStart w:id="1486" w:name="_Toc21932_WPSOffice_Level2"/>
      <w:bookmarkStart w:id="1487" w:name="_Toc30110"/>
      <w:bookmarkStart w:id="1488" w:name="_Toc21793"/>
      <w:bookmarkStart w:id="1489" w:name="_Toc5809"/>
      <w:bookmarkStart w:id="1490" w:name="_Toc18492"/>
      <w:bookmarkStart w:id="1491" w:name="_Toc19844_WPSOffice_Level2"/>
      <w:bookmarkStart w:id="1492" w:name="_Toc3856"/>
      <w:bookmarkStart w:id="1493" w:name="_Toc9206"/>
      <w:bookmarkStart w:id="1494" w:name="_Toc18064"/>
      <w:bookmarkStart w:id="1495" w:name="_Toc4052"/>
      <w:bookmarkStart w:id="1496" w:name="_Toc31333_WPSOffice_Level2"/>
      <w:bookmarkStart w:id="1497" w:name="_Toc25950"/>
      <w:bookmarkStart w:id="1498" w:name="_Toc25136"/>
      <w:bookmarkStart w:id="1499" w:name="_Toc25725"/>
      <w:bookmarkStart w:id="1500" w:name="_Toc18886"/>
      <w:bookmarkStart w:id="1501" w:name="_Toc18352"/>
      <w:bookmarkStart w:id="1502" w:name="_Toc11532"/>
      <w:bookmarkStart w:id="1503" w:name="_Toc10856"/>
      <w:bookmarkStart w:id="1504" w:name="_Toc4763"/>
      <w:bookmarkStart w:id="1505" w:name="_Toc1244"/>
      <w:bookmarkStart w:id="1506" w:name="_Toc8030"/>
      <w:bookmarkStart w:id="1507" w:name="_Toc79434376"/>
      <w:bookmarkStart w:id="1508" w:name="_Toc7050"/>
      <w:bookmarkStart w:id="1509" w:name="_Toc28350"/>
      <w:bookmarkStart w:id="1510" w:name="_Toc19298"/>
      <w:bookmarkStart w:id="1511" w:name="_Toc28543"/>
      <w:bookmarkStart w:id="1512" w:name="_Toc18740"/>
      <w:bookmarkStart w:id="1513" w:name="_Toc28561"/>
      <w:bookmarkStart w:id="1514" w:name="_Toc26546"/>
      <w:bookmarkStart w:id="1515" w:name="_Toc8219"/>
      <w:bookmarkStart w:id="1516" w:name="_Toc60212996"/>
      <w:bookmarkStart w:id="1517" w:name="_Toc27611"/>
      <w:r>
        <w:rPr>
          <w:rFonts w:hint="eastAsia" w:ascii="宋体" w:hAnsi="宋体" w:cs="宋体"/>
          <w:b/>
          <w:bCs/>
          <w:kern w:val="44"/>
          <w:szCs w:val="21"/>
          <w:highlight w:val="none"/>
        </w:rPr>
        <w:t>3.1</w:t>
      </w:r>
      <w:bookmarkEnd w:id="1472"/>
      <w:bookmarkEnd w:id="1473"/>
      <w:bookmarkEnd w:id="1474"/>
      <w:bookmarkEnd w:id="1475"/>
      <w:bookmarkEnd w:id="1476"/>
      <w:bookmarkEnd w:id="1477"/>
      <w:bookmarkEnd w:id="1478"/>
      <w:bookmarkEnd w:id="1479"/>
      <w:bookmarkEnd w:id="1480"/>
      <w:bookmarkEnd w:id="1481"/>
      <w:bookmarkEnd w:id="1482"/>
      <w:bookmarkEnd w:id="1483"/>
      <w:r>
        <w:rPr>
          <w:rFonts w:hint="eastAsia" w:ascii="宋体" w:hAnsi="宋体" w:cs="宋体"/>
          <w:b/>
          <w:bCs/>
          <w:kern w:val="44"/>
          <w:szCs w:val="21"/>
          <w:highlight w:val="none"/>
        </w:rPr>
        <w:t>比选人资质</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Fonts w:hint="eastAsia" w:ascii="宋体" w:hAnsi="宋体" w:cs="宋体"/>
          <w:b/>
          <w:bCs/>
          <w:kern w:val="44"/>
          <w:szCs w:val="21"/>
          <w:highlight w:val="none"/>
        </w:rPr>
        <w:t>、人员要求</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keepNext/>
        <w:keepLines/>
        <w:spacing w:line="360" w:lineRule="auto"/>
        <w:outlineLvl w:val="1"/>
        <w:rPr>
          <w:rFonts w:ascii="宋体" w:hAnsi="宋体" w:cs="宋体"/>
          <w:b/>
          <w:bCs/>
          <w:kern w:val="44"/>
          <w:szCs w:val="21"/>
          <w:highlight w:val="none"/>
        </w:rPr>
      </w:pPr>
      <w:r>
        <w:rPr>
          <w:rFonts w:hint="eastAsia" w:ascii="宋体" w:hAnsi="宋体" w:cs="宋体"/>
          <w:b/>
          <w:bCs/>
          <w:kern w:val="44"/>
          <w:szCs w:val="21"/>
          <w:highlight w:val="none"/>
        </w:rPr>
        <w:t>3.1.1比选申请人单位资质要求</w:t>
      </w:r>
    </w:p>
    <w:p>
      <w:pPr>
        <w:spacing w:line="360" w:lineRule="auto"/>
        <w:ind w:firstLine="420" w:firstLineChars="200"/>
        <w:rPr>
          <w:rFonts w:ascii="宋体" w:hAnsi="宋体" w:cs="宋体"/>
          <w:highlight w:val="none"/>
        </w:rPr>
      </w:pPr>
      <w:r>
        <w:rPr>
          <w:rFonts w:hint="eastAsia" w:ascii="宋体" w:hAnsi="宋体" w:cs="宋体"/>
          <w:highlight w:val="none"/>
        </w:rPr>
        <w:t>3</w:t>
      </w:r>
      <w:r>
        <w:rPr>
          <w:rFonts w:ascii="宋体" w:hAnsi="宋体" w:cs="宋体"/>
          <w:highlight w:val="none"/>
        </w:rPr>
        <w:t>.1.1</w:t>
      </w:r>
      <w:r>
        <w:rPr>
          <w:rFonts w:hint="eastAsia" w:ascii="宋体" w:hAnsi="宋体" w:cs="宋体"/>
          <w:highlight w:val="none"/>
        </w:rPr>
        <w:t>.1</w:t>
      </w:r>
      <w:r>
        <w:rPr>
          <w:rFonts w:hint="eastAsia" w:asciiTheme="minorEastAsia" w:hAnsiTheme="minorEastAsia" w:eastAsiaTheme="minorEastAsia"/>
          <w:highlight w:val="none"/>
        </w:rPr>
        <w:t>比选申请人为中华人民共和国境内依法设立的法人或其他组织，</w:t>
      </w:r>
      <w:r>
        <w:rPr>
          <w:rFonts w:hint="eastAsia"/>
          <w:highlight w:val="none"/>
        </w:rPr>
        <w:t>若以分公司名义参与比选申请，必须出具总公司授权参与的证明</w:t>
      </w:r>
      <w:r>
        <w:rPr>
          <w:rFonts w:hint="eastAsia" w:ascii="宋体" w:hAnsi="宋体" w:cs="宋体"/>
          <w:highlight w:val="none"/>
        </w:rPr>
        <w:t>。</w:t>
      </w:r>
    </w:p>
    <w:p>
      <w:pPr>
        <w:pStyle w:val="2"/>
        <w:spacing w:line="360" w:lineRule="auto"/>
        <w:ind w:firstLine="420" w:firstLineChars="200"/>
        <w:rPr>
          <w:highlight w:val="none"/>
        </w:rPr>
      </w:pPr>
      <w:r>
        <w:rPr>
          <w:rFonts w:hint="eastAsia" w:hAnsi="宋体" w:eastAsiaTheme="minorEastAsia"/>
          <w:szCs w:val="21"/>
          <w:highlight w:val="none"/>
        </w:rPr>
        <w:t>3.1.1.2</w:t>
      </w:r>
      <w:r>
        <w:rPr>
          <w:rFonts w:hint="eastAsia" w:hAnsi="宋体" w:cs="宋体"/>
          <w:szCs w:val="21"/>
          <w:highlight w:val="none"/>
        </w:rPr>
        <w:t>满足《中华人民共和国政府采购法》第二十二条规定</w:t>
      </w:r>
      <w:r>
        <w:rPr>
          <w:rFonts w:hint="eastAsia" w:ascii="Times New Roman" w:hAnsi="Times New Roman" w:cs="Times New Roman"/>
          <w:szCs w:val="21"/>
          <w:highlight w:val="none"/>
        </w:rPr>
        <w:t>。</w:t>
      </w:r>
    </w:p>
    <w:p>
      <w:pPr>
        <w:spacing w:line="360" w:lineRule="auto"/>
        <w:ind w:firstLine="420" w:firstLineChars="200"/>
        <w:rPr>
          <w:rFonts w:hint="eastAsia" w:asciiTheme="minorEastAsia" w:hAnsiTheme="minorEastAsia" w:eastAsiaTheme="minorEastAsia"/>
          <w:highlight w:val="none"/>
        </w:rPr>
      </w:pPr>
      <w:r>
        <w:rPr>
          <w:rFonts w:hint="eastAsia" w:ascii="宋体" w:hAnsi="宋体" w:cs="宋体"/>
          <w:highlight w:val="none"/>
        </w:rPr>
        <w:t>3</w:t>
      </w:r>
      <w:r>
        <w:rPr>
          <w:rFonts w:ascii="宋体" w:hAnsi="宋体" w:cs="宋体"/>
          <w:highlight w:val="none"/>
        </w:rPr>
        <w:t>.1.</w:t>
      </w:r>
      <w:r>
        <w:rPr>
          <w:rFonts w:hint="eastAsia" w:ascii="宋体" w:hAnsi="宋体" w:cs="宋体"/>
          <w:highlight w:val="none"/>
        </w:rPr>
        <w:t>1.3</w:t>
      </w:r>
      <w:r>
        <w:rPr>
          <w:rFonts w:hint="eastAsia" w:ascii="宋体" w:hAnsi="宋体" w:cs="宋体"/>
          <w:szCs w:val="21"/>
          <w:highlight w:val="none"/>
        </w:rPr>
        <w:t>本项目的特定资格要求：</w:t>
      </w:r>
      <w:r>
        <w:rPr>
          <w:rFonts w:hint="eastAsia" w:asciiTheme="minorEastAsia" w:hAnsiTheme="minorEastAsia" w:eastAsiaTheme="minorEastAsia"/>
          <w:highlight w:val="none"/>
        </w:rPr>
        <w:t>比选申请人</w:t>
      </w:r>
      <w:r>
        <w:rPr>
          <w:rFonts w:hint="eastAsia" w:ascii="宋体" w:hAnsi="宋体" w:cs="宋体"/>
          <w:szCs w:val="21"/>
          <w:highlight w:val="none"/>
        </w:rPr>
        <w:t>必须具有《中华人民共和国特种设备安装改造维修许可证（电梯）》安装、维修</w:t>
      </w:r>
      <w:r>
        <w:rPr>
          <w:rFonts w:ascii="宋体" w:hAnsi="宋体" w:cs="宋体"/>
          <w:szCs w:val="21"/>
          <w:highlight w:val="none"/>
        </w:rPr>
        <w:t>A2</w:t>
      </w:r>
      <w:r>
        <w:rPr>
          <w:rFonts w:hint="eastAsia" w:ascii="宋体" w:hAnsi="宋体" w:cs="宋体"/>
          <w:szCs w:val="21"/>
          <w:highlight w:val="none"/>
        </w:rPr>
        <w:t>级及以上证书或《中华人民共和国特种设备生产许可证》电梯安装（含修理）【曳引驱动载货电梯和强制驱动载货电梯（含防爆电梯中的载货电梯）】证书</w:t>
      </w:r>
      <w:r>
        <w:rPr>
          <w:rFonts w:hint="eastAsia" w:asciiTheme="minorEastAsia" w:hAnsiTheme="minorEastAsia" w:eastAsiaTheme="minorEastAsia"/>
          <w:highlight w:val="none"/>
        </w:rPr>
        <w:t>。</w:t>
      </w:r>
    </w:p>
    <w:p>
      <w:pPr>
        <w:pStyle w:val="2"/>
        <w:spacing w:line="360" w:lineRule="auto"/>
        <w:ind w:firstLine="420" w:firstLineChars="200"/>
        <w:rPr>
          <w:highlight w:val="none"/>
        </w:rPr>
      </w:pPr>
      <w:r>
        <w:rPr>
          <w:rFonts w:hint="eastAsia" w:ascii="宋体" w:hAnsi="宋体" w:cs="宋体"/>
          <w:highlight w:val="none"/>
        </w:rPr>
        <w:t>3.1.1.</w:t>
      </w:r>
      <w:r>
        <w:rPr>
          <w:rFonts w:hint="eastAsia" w:ascii="宋体" w:hAnsi="宋体" w:cs="宋体"/>
          <w:highlight w:val="none"/>
          <w:lang w:val="en-US" w:eastAsia="zh-CN"/>
        </w:rPr>
        <w:t>4</w:t>
      </w:r>
      <w:r>
        <w:rPr>
          <w:rFonts w:hint="eastAsia"/>
          <w:highlight w:val="none"/>
          <w:lang w:val="en-US" w:eastAsia="zh-CN"/>
        </w:rPr>
        <w:t>对在“信用中国”网站(www.creditchina. gov.cn)被列入失信被执行人、重大税收违法失信主体的比选申请人，不得参与采购活动。</w:t>
      </w:r>
    </w:p>
    <w:p>
      <w:pPr>
        <w:spacing w:line="360" w:lineRule="auto"/>
        <w:ind w:firstLine="420" w:firstLineChars="200"/>
        <w:rPr>
          <w:rFonts w:ascii="宋体" w:hAnsi="宋体" w:cs="宋体"/>
          <w:highlight w:val="none"/>
        </w:rPr>
      </w:pPr>
      <w:r>
        <w:rPr>
          <w:rFonts w:hint="eastAsia" w:ascii="宋体" w:hAnsi="宋体" w:cs="宋体"/>
          <w:highlight w:val="none"/>
        </w:rPr>
        <w:t>3.1.1.</w:t>
      </w:r>
      <w:r>
        <w:rPr>
          <w:rFonts w:hint="eastAsia" w:ascii="宋体" w:hAnsi="宋体" w:cs="宋体"/>
          <w:highlight w:val="none"/>
          <w:lang w:val="en-US" w:eastAsia="zh-CN"/>
        </w:rPr>
        <w:t>5</w:t>
      </w:r>
      <w:r>
        <w:rPr>
          <w:rFonts w:hint="eastAsia" w:asciiTheme="minorEastAsia" w:hAnsiTheme="minorEastAsia" w:eastAsiaTheme="minorEastAsia"/>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cs="宋体"/>
          <w:highlight w:val="none"/>
        </w:rPr>
        <w:t>。</w:t>
      </w:r>
    </w:p>
    <w:p>
      <w:pPr>
        <w:pStyle w:val="20"/>
        <w:spacing w:line="360" w:lineRule="auto"/>
        <w:ind w:firstLine="420" w:firstLineChars="200"/>
        <w:rPr>
          <w:rFonts w:asciiTheme="minorEastAsia" w:hAnsiTheme="minorEastAsia" w:eastAsiaTheme="minorEastAsia"/>
          <w:sz w:val="21"/>
          <w:szCs w:val="22"/>
          <w:highlight w:val="none"/>
        </w:rPr>
      </w:pPr>
      <w:r>
        <w:rPr>
          <w:rFonts w:hint="eastAsia" w:ascii="宋体" w:hAnsi="宋体" w:cs="宋体"/>
          <w:sz w:val="21"/>
          <w:szCs w:val="22"/>
          <w:highlight w:val="none"/>
        </w:rPr>
        <w:t>3.1.1.</w:t>
      </w:r>
      <w:r>
        <w:rPr>
          <w:rFonts w:hint="eastAsia" w:ascii="宋体" w:hAnsi="宋体" w:cs="宋体"/>
          <w:sz w:val="21"/>
          <w:szCs w:val="22"/>
          <w:highlight w:val="none"/>
          <w:lang w:val="en-US" w:eastAsia="zh-CN"/>
        </w:rPr>
        <w:t>6</w:t>
      </w:r>
      <w:r>
        <w:rPr>
          <w:rFonts w:hint="eastAsia" w:asciiTheme="minorEastAsia" w:hAnsiTheme="minorEastAsia" w:eastAsiaTheme="minorEastAsia"/>
          <w:sz w:val="21"/>
          <w:szCs w:val="22"/>
          <w:highlight w:val="none"/>
        </w:rPr>
        <w:t>单位负责人为同一人或者存在控股、管理关系的不同单位，不得参加同一标段比选申请或者未划分标段的同一比选项目比选申请。</w:t>
      </w:r>
    </w:p>
    <w:p>
      <w:pPr>
        <w:pStyle w:val="20"/>
        <w:spacing w:line="360" w:lineRule="auto"/>
        <w:ind w:firstLine="420" w:firstLineChars="200"/>
        <w:rPr>
          <w:rFonts w:ascii="宋体" w:hAnsi="宋体" w:cs="宋体"/>
          <w:sz w:val="21"/>
          <w:szCs w:val="22"/>
          <w:highlight w:val="none"/>
        </w:rPr>
      </w:pPr>
      <w:r>
        <w:rPr>
          <w:rFonts w:hint="eastAsia" w:asciiTheme="minorEastAsia" w:hAnsiTheme="minorEastAsia" w:eastAsiaTheme="minorEastAsia"/>
          <w:sz w:val="21"/>
          <w:szCs w:val="22"/>
          <w:highlight w:val="none"/>
        </w:rPr>
        <w:t>3.1.1.</w:t>
      </w:r>
      <w:r>
        <w:rPr>
          <w:rFonts w:hint="eastAsia" w:asciiTheme="minorEastAsia" w:hAnsiTheme="minorEastAsia" w:eastAsiaTheme="minorEastAsia"/>
          <w:sz w:val="21"/>
          <w:szCs w:val="22"/>
          <w:highlight w:val="none"/>
          <w:lang w:val="en-US" w:eastAsia="zh-CN"/>
        </w:rPr>
        <w:t>7</w:t>
      </w:r>
      <w:r>
        <w:rPr>
          <w:rFonts w:hint="eastAsia" w:asciiTheme="minorEastAsia" w:hAnsiTheme="minorEastAsia" w:eastAsiaTheme="minorEastAsia"/>
          <w:sz w:val="21"/>
          <w:szCs w:val="22"/>
          <w:highlight w:val="none"/>
        </w:rPr>
        <w:t>本项目不接受联合体比选申请。</w:t>
      </w:r>
    </w:p>
    <w:p>
      <w:pPr>
        <w:pStyle w:val="2"/>
        <w:spacing w:line="360" w:lineRule="auto"/>
        <w:rPr>
          <w:rFonts w:ascii="黑体" w:hAnsi="黑体" w:eastAsia="黑体" w:cs="黑体"/>
          <w:b/>
          <w:bCs/>
          <w:sz w:val="24"/>
          <w:szCs w:val="24"/>
          <w:highlight w:val="none"/>
        </w:rPr>
      </w:pPr>
      <w:r>
        <w:rPr>
          <w:rFonts w:hint="eastAsia" w:ascii="黑体" w:hAnsi="黑体" w:eastAsia="黑体" w:cs="黑体"/>
          <w:b/>
          <w:bCs/>
          <w:sz w:val="24"/>
          <w:szCs w:val="24"/>
          <w:highlight w:val="none"/>
        </w:rPr>
        <w:t>4项目服务要求</w:t>
      </w:r>
    </w:p>
    <w:p>
      <w:pPr>
        <w:spacing w:line="360" w:lineRule="auto"/>
        <w:rPr>
          <w:rFonts w:ascii="宋体" w:hAnsi="宋体" w:cs="宋体"/>
          <w:b/>
          <w:bCs/>
          <w:szCs w:val="21"/>
          <w:highlight w:val="none"/>
        </w:rPr>
      </w:pPr>
      <w:r>
        <w:rPr>
          <w:rFonts w:hint="eastAsia" w:ascii="宋体" w:hAnsi="宋体" w:cs="宋体"/>
          <w:b/>
          <w:bCs/>
          <w:szCs w:val="21"/>
          <w:highlight w:val="none"/>
        </w:rPr>
        <w:t>4.1服务合同期：</w:t>
      </w:r>
    </w:p>
    <w:p>
      <w:pPr>
        <w:spacing w:line="360" w:lineRule="auto"/>
        <w:ind w:firstLine="420" w:firstLineChars="200"/>
        <w:rPr>
          <w:rFonts w:ascii="宋体" w:hAnsi="宋体"/>
          <w:szCs w:val="21"/>
          <w:highlight w:val="none"/>
        </w:rPr>
      </w:pPr>
      <w:r>
        <w:rPr>
          <w:rFonts w:hint="eastAsia" w:ascii="宋体" w:hAnsi="宋体" w:cs="宋体"/>
          <w:szCs w:val="21"/>
          <w:highlight w:val="none"/>
        </w:rPr>
        <w:t>合同签订之日起90 个日历日内到货并安装完毕，30个日历日内完成特种设备使用登记并取得特种设备检验机构出具的《电梯准用证》，无条件交付</w:t>
      </w:r>
      <w:r>
        <w:rPr>
          <w:rFonts w:hint="eastAsia" w:hAnsi="宋体" w:cs="宋体"/>
          <w:szCs w:val="21"/>
          <w:highlight w:val="none"/>
        </w:rPr>
        <w:t>比选</w:t>
      </w:r>
      <w:r>
        <w:rPr>
          <w:rFonts w:hint="eastAsia" w:ascii="宋体" w:hAnsi="宋体" w:cs="宋体"/>
          <w:szCs w:val="21"/>
          <w:highlight w:val="none"/>
        </w:rPr>
        <w:t>人使用。</w:t>
      </w:r>
    </w:p>
    <w:p>
      <w:pPr>
        <w:spacing w:line="360" w:lineRule="auto"/>
        <w:rPr>
          <w:highlight w:val="none"/>
        </w:rPr>
      </w:pPr>
      <w:r>
        <w:rPr>
          <w:rFonts w:hint="eastAsia" w:ascii="宋体" w:hAnsi="宋体"/>
          <w:b/>
          <w:bCs/>
          <w:szCs w:val="21"/>
          <w:highlight w:val="none"/>
        </w:rPr>
        <w:t>4.2</w:t>
      </w:r>
      <w:r>
        <w:rPr>
          <w:rFonts w:hint="eastAsia"/>
          <w:b/>
          <w:bCs/>
          <w:highlight w:val="none"/>
        </w:rPr>
        <w:t>交货期、安装地点、验收要求：</w:t>
      </w:r>
    </w:p>
    <w:p>
      <w:pPr>
        <w:spacing w:line="360" w:lineRule="auto"/>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4.2.1</w:t>
      </w:r>
      <w:r>
        <w:rPr>
          <w:rFonts w:hint="eastAsia"/>
          <w:highlight w:val="none"/>
        </w:rPr>
        <w:t>交货期：合同签订之日起90 个日历日内到货并安装完毕，30个日历日内完成特种设备使用登记并取得特种设备检验机构出具的《电梯准用证》，无条件交付</w:t>
      </w:r>
      <w:r>
        <w:rPr>
          <w:rFonts w:hint="eastAsia" w:hAnsi="宋体" w:cs="宋体"/>
          <w:szCs w:val="21"/>
          <w:highlight w:val="none"/>
        </w:rPr>
        <w:t>比选</w:t>
      </w:r>
      <w:r>
        <w:rPr>
          <w:rFonts w:hint="eastAsia" w:ascii="宋体" w:hAnsi="宋体" w:cs="宋体"/>
          <w:szCs w:val="21"/>
          <w:highlight w:val="none"/>
        </w:rPr>
        <w:t>人</w:t>
      </w:r>
      <w:r>
        <w:rPr>
          <w:rFonts w:hint="eastAsia"/>
          <w:highlight w:val="none"/>
        </w:rPr>
        <w:t>使用</w:t>
      </w:r>
      <w:r>
        <w:rPr>
          <w:rFonts w:hint="eastAsia" w:cs="宋体" w:asciiTheme="minorEastAsia" w:hAnsiTheme="minorEastAsia" w:eastAsiaTheme="minorEastAsia"/>
          <w:kern w:val="0"/>
          <w:szCs w:val="21"/>
          <w:highlight w:val="none"/>
        </w:rPr>
        <w:t>；</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4.2.2</w:t>
      </w:r>
      <w:r>
        <w:rPr>
          <w:rFonts w:hint="eastAsia"/>
          <w:highlight w:val="none"/>
        </w:rPr>
        <w:t>安装地点：</w:t>
      </w:r>
      <w:r>
        <w:rPr>
          <w:rFonts w:hint="eastAsia"/>
          <w:highlight w:val="none"/>
          <w:lang w:val="en-US" w:eastAsia="zh-CN"/>
        </w:rPr>
        <w:t>南宁市江南区洞岭路9号</w:t>
      </w:r>
      <w:r>
        <w:rPr>
          <w:rFonts w:hint="eastAsia"/>
          <w:highlight w:val="none"/>
        </w:rPr>
        <w:t>；</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4.2.3</w:t>
      </w:r>
      <w:r>
        <w:rPr>
          <w:rFonts w:hint="eastAsia"/>
          <w:highlight w:val="none"/>
        </w:rPr>
        <w:t>验收要求：本项目采购需求的电梯产品应符合国家相关的质量标准和制造要求，交货时，成交人应随同货物提供出厂检验报告；</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4.2.4</w:t>
      </w:r>
      <w:r>
        <w:rPr>
          <w:rFonts w:hint="eastAsia"/>
          <w:highlight w:val="none"/>
        </w:rPr>
        <w:t>安装调试检验：货物到达后，由</w:t>
      </w:r>
      <w:r>
        <w:rPr>
          <w:rFonts w:hint="eastAsia" w:hAnsi="宋体" w:cs="宋体"/>
          <w:szCs w:val="21"/>
          <w:highlight w:val="none"/>
        </w:rPr>
        <w:t>比选</w:t>
      </w:r>
      <w:r>
        <w:rPr>
          <w:rFonts w:hint="eastAsia" w:ascii="宋体" w:hAnsi="宋体" w:cs="宋体"/>
          <w:szCs w:val="21"/>
          <w:highlight w:val="none"/>
        </w:rPr>
        <w:t>人</w:t>
      </w:r>
      <w:r>
        <w:rPr>
          <w:rFonts w:hint="eastAsia"/>
          <w:highlight w:val="none"/>
        </w:rPr>
        <w:t>会同有关部门进行基本质量和数量的验收（但不作为最终合格的保证），电梯安装调试（包括整机性能测试）过程，成交人应作详细检验记录。安装调试检验结果应符合制造厂产品标准和采购文件规定的技术要求。检验记录应提交给采购人；</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4.2.5</w:t>
      </w:r>
      <w:r>
        <w:rPr>
          <w:rFonts w:hint="eastAsia"/>
          <w:highlight w:val="none"/>
        </w:rPr>
        <w:t>项目验收：电梯安装调试结束后，</w:t>
      </w:r>
      <w:r>
        <w:rPr>
          <w:rFonts w:hint="eastAsia" w:ascii="Times New Roman" w:hAnsi="Times New Roman"/>
          <w:szCs w:val="24"/>
          <w:highlight w:val="none"/>
        </w:rPr>
        <w:t>由</w:t>
      </w:r>
      <w:r>
        <w:rPr>
          <w:rFonts w:hint="eastAsia"/>
          <w:highlight w:val="none"/>
        </w:rPr>
        <w:t>成交人</w:t>
      </w:r>
      <w:r>
        <w:rPr>
          <w:rFonts w:hint="eastAsia" w:ascii="Times New Roman" w:hAnsi="Times New Roman"/>
          <w:szCs w:val="24"/>
          <w:highlight w:val="none"/>
        </w:rPr>
        <w:t>负责联系广西壮族自治区特种设备检验研究院等部门，进行联合验收并出具相应监督检验合格报告和办理准用许可证，验收费用由中标单位承担；</w:t>
      </w:r>
    </w:p>
    <w:p>
      <w:pPr>
        <w:pStyle w:val="2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4.2.6安装验收标准必须符合如下标准要求：《电梯安装验收规范》（GB/T 10060-2011）、《电梯工程施工质量验收规范》（GB 50310-2002），电力、消防、安监部门的有关规定等；</w:t>
      </w:r>
    </w:p>
    <w:p>
      <w:pPr>
        <w:pStyle w:val="20"/>
        <w:spacing w:line="360" w:lineRule="auto"/>
        <w:ind w:firstLine="420" w:firstLineChars="20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4.2.7签订合同后，成交人必须提供生产厂家或代理商针对本项目供货证明，否则，不予验收；</w:t>
      </w:r>
    </w:p>
    <w:p>
      <w:pPr>
        <w:pStyle w:val="20"/>
        <w:spacing w:line="360" w:lineRule="auto"/>
        <w:ind w:firstLine="420" w:firstLineChars="20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4.2.8在供货前，须提供能满足本项目的售后服务能力的证明（提供有效的售后服务证明材料及安装维修资质复印件或其他文件），否则，不予验收。</w:t>
      </w:r>
    </w:p>
    <w:p>
      <w:pPr>
        <w:spacing w:line="360" w:lineRule="auto"/>
        <w:rPr>
          <w:rFonts w:cs="宋体" w:asciiTheme="minorEastAsia" w:hAnsiTheme="minorEastAsia"/>
          <w:kern w:val="0"/>
          <w:szCs w:val="21"/>
          <w:highlight w:val="none"/>
        </w:rPr>
      </w:pPr>
      <w:r>
        <w:rPr>
          <w:rFonts w:hint="eastAsia" w:cs="宋体" w:asciiTheme="minorEastAsia" w:hAnsiTheme="minorEastAsia" w:eastAsiaTheme="minorEastAsia"/>
          <w:b/>
          <w:bCs/>
          <w:kern w:val="0"/>
          <w:szCs w:val="21"/>
          <w:highlight w:val="none"/>
        </w:rPr>
        <w:t>4.3</w:t>
      </w:r>
      <w:r>
        <w:rPr>
          <w:rFonts w:hint="eastAsia"/>
          <w:b/>
          <w:bCs/>
          <w:highlight w:val="none"/>
        </w:rPr>
        <w:t>售后服务要求：</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4.3.1</w:t>
      </w:r>
      <w:r>
        <w:rPr>
          <w:rFonts w:hint="eastAsia"/>
          <w:highlight w:val="none"/>
        </w:rPr>
        <w:t>质保期：</w:t>
      </w:r>
    </w:p>
    <w:p>
      <w:pPr>
        <w:spacing w:line="360" w:lineRule="auto"/>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（1）</w:t>
      </w:r>
      <w:r>
        <w:rPr>
          <w:rFonts w:hint="eastAsia"/>
          <w:highlight w:val="none"/>
        </w:rPr>
        <w:t>自安装、调试验收合格并交付使用之日起不少于1年免费保修；</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2</w:t>
      </w:r>
      <w:r>
        <w:rPr>
          <w:rFonts w:hint="eastAsia" w:cs="宋体" w:asciiTheme="minorEastAsia" w:hAnsiTheme="minorEastAsia" w:eastAsiaTheme="minorEastAsia"/>
          <w:kern w:val="0"/>
          <w:szCs w:val="21"/>
          <w:highlight w:val="none"/>
        </w:rPr>
        <w:t>）</w:t>
      </w:r>
      <w:r>
        <w:rPr>
          <w:rFonts w:hint="eastAsia"/>
          <w:highlight w:val="none"/>
        </w:rPr>
        <w:t>质保期最少1年，质保期内每季度进行一次全面的检修，每月两次免费保养服务（检测、清洁、加油、调整、校正），提供24小时的急修服务，一旦电梯出现故障，接到报修电话后30分钟内有维修人员到达现场排除故障；一般故障修复时间不超过2小时，重大故障修复时间不超过24小时；质保期内发生故障需更换零配件的，必须保证零配件为原厂配件；质保期满后，需提供终身有偿维护保养服务，并承诺以优于市场价格收取维保费</w:t>
      </w:r>
      <w:r>
        <w:rPr>
          <w:rFonts w:hint="eastAsia" w:cs="宋体" w:asciiTheme="minorEastAsia" w:hAnsiTheme="minorEastAsia" w:eastAsiaTheme="minorEastAsia"/>
          <w:kern w:val="0"/>
          <w:szCs w:val="21"/>
          <w:highlight w:val="none"/>
        </w:rPr>
        <w:t>；</w:t>
      </w:r>
    </w:p>
    <w:p>
      <w:pPr>
        <w:spacing w:line="360" w:lineRule="auto"/>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3</w:t>
      </w:r>
      <w:r>
        <w:rPr>
          <w:rFonts w:hint="eastAsia" w:cs="宋体" w:asciiTheme="minorEastAsia" w:hAnsiTheme="minorEastAsia" w:eastAsiaTheme="minorEastAsia"/>
          <w:kern w:val="0"/>
          <w:szCs w:val="21"/>
          <w:highlight w:val="none"/>
        </w:rPr>
        <w:t>）</w:t>
      </w:r>
      <w:r>
        <w:rPr>
          <w:rFonts w:hint="eastAsia"/>
          <w:highlight w:val="none"/>
        </w:rPr>
        <w:t>负责为比选人免费培训电梯技术人员（1-2名）</w:t>
      </w:r>
      <w:r>
        <w:rPr>
          <w:rFonts w:hint="eastAsia" w:cs="宋体" w:asciiTheme="minorEastAsia" w:hAnsiTheme="minorEastAsia" w:eastAsiaTheme="minorEastAsia"/>
          <w:kern w:val="0"/>
          <w:szCs w:val="21"/>
          <w:highlight w:val="none"/>
        </w:rPr>
        <w:t>；</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4</w:t>
      </w:r>
      <w:r>
        <w:rPr>
          <w:rFonts w:hint="eastAsia" w:cs="宋体" w:asciiTheme="minorEastAsia" w:hAnsiTheme="minorEastAsia" w:eastAsiaTheme="minorEastAsia"/>
          <w:kern w:val="0"/>
          <w:szCs w:val="21"/>
          <w:highlight w:val="none"/>
        </w:rPr>
        <w:t>）如</w:t>
      </w:r>
      <w:r>
        <w:rPr>
          <w:rFonts w:hint="eastAsia"/>
          <w:highlight w:val="none"/>
        </w:rPr>
        <w:t>免费为用户建立电梯设备管理档案；</w:t>
      </w:r>
    </w:p>
    <w:p>
      <w:pPr>
        <w:spacing w:line="360" w:lineRule="auto"/>
        <w:ind w:firstLine="420" w:firstLineChars="200"/>
        <w:rPr>
          <w:rFonts w:cs="宋体" w:asciiTheme="minorEastAsia" w:hAnsiTheme="minorEastAsia"/>
          <w:kern w:val="0"/>
          <w:szCs w:val="21"/>
          <w:highlight w:val="none"/>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5</w:t>
      </w:r>
      <w:r>
        <w:rPr>
          <w:rFonts w:hint="eastAsia" w:cs="宋体" w:asciiTheme="minorEastAsia" w:hAnsiTheme="minorEastAsia" w:eastAsiaTheme="minorEastAsia"/>
          <w:kern w:val="0"/>
          <w:szCs w:val="21"/>
          <w:highlight w:val="none"/>
        </w:rPr>
        <w:t>）</w:t>
      </w:r>
      <w:r>
        <w:rPr>
          <w:rFonts w:hint="eastAsia"/>
          <w:highlight w:val="none"/>
        </w:rPr>
        <w:t>零部件、配件及安装材料必须是未经使用的全新的并符合国家有关质量安全标准的合格产品；</w:t>
      </w:r>
    </w:p>
    <w:p>
      <w:pPr>
        <w:pStyle w:val="20"/>
        <w:ind w:firstLine="420" w:firstLineChars="20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（6）设备应包含必备的易损易耗备件和专用工具</w:t>
      </w:r>
    </w:p>
    <w:p>
      <w:pPr>
        <w:spacing w:line="360" w:lineRule="auto"/>
        <w:rPr>
          <w:rFonts w:ascii="黑体" w:hAnsi="黑体" w:eastAsia="黑体" w:cs="黑体"/>
          <w:b/>
          <w:bCs/>
          <w:sz w:val="24"/>
          <w:szCs w:val="24"/>
          <w:highlight w:val="none"/>
        </w:rPr>
      </w:pPr>
      <w:r>
        <w:rPr>
          <w:rFonts w:hint="eastAsia" w:ascii="黑体" w:hAnsi="黑体" w:eastAsia="黑体" w:cs="黑体"/>
          <w:sz w:val="24"/>
          <w:szCs w:val="24"/>
          <w:highlight w:val="none"/>
        </w:rPr>
        <w:t>5</w:t>
      </w:r>
      <w:r>
        <w:rPr>
          <w:rFonts w:hint="eastAsia" w:ascii="黑体" w:hAnsi="黑体" w:eastAsia="黑体" w:cs="黑体"/>
          <w:b/>
          <w:bCs/>
          <w:sz w:val="24"/>
          <w:szCs w:val="24"/>
          <w:highlight w:val="none"/>
        </w:rPr>
        <w:t>工程安装施工要求</w:t>
      </w:r>
    </w:p>
    <w:p>
      <w:pPr>
        <w:spacing w:line="360" w:lineRule="exact"/>
        <w:rPr>
          <w:highlight w:val="none"/>
        </w:rPr>
      </w:pPr>
      <w:r>
        <w:rPr>
          <w:rFonts w:hint="eastAsia"/>
          <w:highlight w:val="none"/>
        </w:rPr>
        <w:t>（1）成交人负责全套机组的安装调试。</w:t>
      </w:r>
    </w:p>
    <w:p>
      <w:pPr>
        <w:spacing w:line="360" w:lineRule="exact"/>
        <w:rPr>
          <w:highlight w:val="none"/>
        </w:rPr>
      </w:pPr>
      <w:r>
        <w:rPr>
          <w:rFonts w:hint="eastAsia"/>
          <w:highlight w:val="none"/>
        </w:rPr>
        <w:t>（2）成交人必须提供技术方案包含安装施工，安装施工进度，有安全、质量、技术的保证措施，人员配备及须提供服务方案及图纸给采购人。</w:t>
      </w:r>
    </w:p>
    <w:p>
      <w:pPr>
        <w:spacing w:line="360" w:lineRule="exact"/>
        <w:rPr>
          <w:highlight w:val="none"/>
        </w:rPr>
      </w:pPr>
      <w:r>
        <w:rPr>
          <w:rFonts w:hint="eastAsia"/>
          <w:highlight w:val="none"/>
        </w:rPr>
        <w:t>（3）设备安装调试必须严格执行国家有关技术标准，成交人自负责施工人员人身、设备安全责任。</w:t>
      </w:r>
    </w:p>
    <w:p>
      <w:pPr>
        <w:spacing w:line="360" w:lineRule="exact"/>
        <w:rPr>
          <w:highlight w:val="none"/>
        </w:rPr>
      </w:pPr>
      <w:r>
        <w:rPr>
          <w:rFonts w:hint="eastAsia"/>
          <w:highlight w:val="none"/>
        </w:rPr>
        <w:t>（4）成交人负责办理有关电梯设备安装的开工报装和竣工验收手续且承担负责相关费用。</w:t>
      </w:r>
    </w:p>
    <w:p>
      <w:pPr>
        <w:spacing w:line="360" w:lineRule="exact"/>
        <w:rPr>
          <w:highlight w:val="none"/>
        </w:rPr>
      </w:pPr>
      <w:r>
        <w:rPr>
          <w:rFonts w:hint="eastAsia"/>
          <w:highlight w:val="none"/>
        </w:rPr>
        <w:t>（5）成交人向当地质检部门提出验收申请，并协助当地质检部门检验验收，成交人并负责办理特种设备使用登记证，费用由成交人负责。</w:t>
      </w:r>
    </w:p>
    <w:p>
      <w:pPr>
        <w:spacing w:line="360" w:lineRule="exact"/>
        <w:rPr>
          <w:highlight w:val="none"/>
        </w:rPr>
      </w:pPr>
      <w:r>
        <w:rPr>
          <w:rFonts w:hint="eastAsia"/>
          <w:highlight w:val="none"/>
        </w:rPr>
        <w:t>（6）本项目的电梯安装负责人必须具有电梯安装上岗证或职称证。</w:t>
      </w:r>
    </w:p>
    <w:p>
      <w:pPr>
        <w:spacing w:line="360" w:lineRule="auto"/>
        <w:rPr>
          <w:rFonts w:ascii="宋体" w:hAnsi="宋体" w:cs="宋体"/>
          <w:b/>
          <w:bCs/>
          <w:szCs w:val="21"/>
          <w:highlight w:val="none"/>
        </w:rPr>
      </w:pPr>
      <w:r>
        <w:rPr>
          <w:rFonts w:hint="eastAsia" w:ascii="黑体" w:hAnsi="黑体" w:eastAsia="黑体" w:cs="黑体"/>
          <w:b/>
          <w:bCs/>
          <w:sz w:val="24"/>
          <w:szCs w:val="24"/>
          <w:highlight w:val="none"/>
        </w:rPr>
        <w:t>6其它要求及说明</w:t>
      </w:r>
      <w:r>
        <w:rPr>
          <w:rFonts w:hint="eastAsia" w:ascii="宋体" w:hAnsi="宋体" w:cs="宋体"/>
          <w:b/>
          <w:bCs/>
          <w:szCs w:val="21"/>
          <w:highlight w:val="none"/>
        </w:rPr>
        <w:tab/>
      </w:r>
    </w:p>
    <w:p>
      <w:pPr>
        <w:spacing w:line="360" w:lineRule="exact"/>
        <w:rPr>
          <w:highlight w:val="none"/>
        </w:rPr>
      </w:pPr>
      <w:r>
        <w:rPr>
          <w:rFonts w:hint="eastAsia"/>
          <w:highlight w:val="none"/>
        </w:rPr>
        <w:t>（1）比选申请人必须提供项目实施方案（包括基本工作思路、工作计划及措施、服务响应时间、服务质量及保障等内容）。</w:t>
      </w:r>
    </w:p>
    <w:p>
      <w:pPr>
        <w:spacing w:line="360" w:lineRule="exact"/>
        <w:rPr>
          <w:highlight w:val="none"/>
        </w:rPr>
      </w:pPr>
      <w:r>
        <w:rPr>
          <w:rFonts w:hint="eastAsia"/>
          <w:highlight w:val="none"/>
        </w:rPr>
        <w:t>（2）比选申请人应提供成功案例业绩证明（合同、中标通知书等相关案例）。</w:t>
      </w:r>
    </w:p>
    <w:p>
      <w:pPr>
        <w:spacing w:line="360" w:lineRule="exact"/>
        <w:rPr>
          <w:highlight w:val="none"/>
        </w:rPr>
      </w:pPr>
      <w:r>
        <w:rPr>
          <w:rFonts w:hint="eastAsia"/>
          <w:highlight w:val="none"/>
        </w:rPr>
        <w:t>（3）货物需按规定的标准或技术规格书要求进行出厂前检查与试验，检验与试验所需费用应包含在竞标报价中。</w:t>
      </w:r>
    </w:p>
    <w:p>
      <w:pPr>
        <w:spacing w:line="360" w:lineRule="exact"/>
        <w:rPr>
          <w:highlight w:val="none"/>
        </w:rPr>
      </w:pPr>
      <w:r>
        <w:rPr>
          <w:rFonts w:hint="eastAsia"/>
          <w:highlight w:val="none"/>
        </w:rPr>
        <w:t>（4）为了保证是正规合法渠道的产品，供货前成交人必须提供生产厂家/代理商出具该项目中标产品的供货证明原件。</w:t>
      </w:r>
    </w:p>
    <w:p>
      <w:pPr>
        <w:spacing w:line="360" w:lineRule="exact"/>
        <w:rPr>
          <w:highlight w:val="none"/>
        </w:rPr>
      </w:pPr>
      <w:r>
        <w:rPr>
          <w:rFonts w:hint="eastAsia"/>
          <w:highlight w:val="none"/>
        </w:rPr>
        <w:t>（5）比选申请人承诺比选产品必须是全新未使用过的合格产品。</w:t>
      </w:r>
    </w:p>
    <w:p>
      <w:pPr>
        <w:spacing w:line="360" w:lineRule="exact"/>
        <w:rPr>
          <w:highlight w:val="none"/>
        </w:rPr>
      </w:pPr>
      <w:r>
        <w:rPr>
          <w:rFonts w:hint="eastAsia"/>
          <w:highlight w:val="none"/>
        </w:rPr>
        <w:t>（6）比选申请人若有请提供备品备件库详细清单。</w:t>
      </w:r>
    </w:p>
    <w:p>
      <w:pPr>
        <w:pStyle w:val="6"/>
        <w:spacing w:after="0" w:line="360" w:lineRule="auto"/>
        <w:rPr>
          <w:rFonts w:ascii="黑体" w:hAnsi="黑体" w:eastAsia="黑体" w:cs="黑体"/>
          <w:b/>
          <w:bCs/>
          <w:sz w:val="24"/>
          <w:szCs w:val="24"/>
          <w:highlight w:val="none"/>
        </w:rPr>
      </w:pPr>
      <w:r>
        <w:rPr>
          <w:rFonts w:hint="eastAsia" w:ascii="黑体" w:hAnsi="黑体" w:eastAsia="黑体" w:cs="黑体"/>
          <w:b/>
          <w:bCs/>
          <w:sz w:val="24"/>
          <w:szCs w:val="24"/>
          <w:highlight w:val="none"/>
        </w:rPr>
        <w:t>7附件</w:t>
      </w:r>
    </w:p>
    <w:p>
      <w:pPr>
        <w:pStyle w:val="6"/>
        <w:spacing w:after="0" w:line="360" w:lineRule="auto"/>
        <w:ind w:firstLine="420" w:firstLineChars="200"/>
        <w:rPr>
          <w:rFonts w:ascii="宋体" w:hAnsi="宋体" w:cs="宋体"/>
          <w:szCs w:val="21"/>
          <w:highlight w:val="none"/>
        </w:rPr>
      </w:pPr>
      <w:r>
        <w:rPr>
          <w:rFonts w:hint="eastAsia" w:ascii="宋体" w:hAnsi="宋体" w:cs="宋体"/>
          <w:szCs w:val="21"/>
          <w:highlight w:val="none"/>
        </w:rPr>
        <w:t>附件1：电梯技术参数需求表</w:t>
      </w: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pStyle w:val="6"/>
        <w:spacing w:after="0" w:line="360" w:lineRule="auto"/>
        <w:ind w:firstLine="420" w:firstLineChars="200"/>
        <w:rPr>
          <w:rFonts w:ascii="宋体" w:hAnsi="宋体" w:cs="宋体"/>
          <w:szCs w:val="21"/>
          <w:highlight w:val="none"/>
        </w:rPr>
      </w:pPr>
    </w:p>
    <w:p>
      <w:pPr>
        <w:snapToGrid w:val="0"/>
        <w:rPr>
          <w:rFonts w:ascii="宋体" w:hAnsi="宋体" w:cs="宋体"/>
          <w:b/>
          <w:bCs/>
          <w:szCs w:val="21"/>
          <w:highlight w:val="none"/>
        </w:rPr>
      </w:pPr>
    </w:p>
    <w:p>
      <w:pPr>
        <w:snapToGrid w:val="0"/>
        <w:jc w:val="center"/>
        <w:rPr>
          <w:rFonts w:ascii="宋体" w:hAnsi="宋体"/>
          <w:b/>
          <w:highlight w:val="none"/>
        </w:rPr>
      </w:pPr>
      <w:r>
        <w:rPr>
          <w:rFonts w:hint="eastAsia" w:ascii="宋体" w:hAnsi="宋体" w:cs="宋体"/>
          <w:b/>
          <w:bCs/>
          <w:szCs w:val="21"/>
          <w:highlight w:val="none"/>
        </w:rPr>
        <w:t>附件1：</w:t>
      </w:r>
      <w:r>
        <w:rPr>
          <w:rFonts w:hint="eastAsia" w:ascii="宋体" w:hAnsi="宋体"/>
          <w:b/>
          <w:sz w:val="28"/>
          <w:szCs w:val="28"/>
          <w:highlight w:val="none"/>
        </w:rPr>
        <w:t>电梯技术参数需求表</w:t>
      </w:r>
    </w:p>
    <w:p>
      <w:pPr>
        <w:pStyle w:val="6"/>
        <w:spacing w:after="0" w:line="360" w:lineRule="auto"/>
        <w:rPr>
          <w:rFonts w:ascii="宋体" w:hAnsi="宋体" w:cs="宋体"/>
          <w:sz w:val="18"/>
          <w:szCs w:val="18"/>
          <w:highlight w:val="none"/>
        </w:rPr>
      </w:pPr>
    </w:p>
    <w:tbl>
      <w:tblPr>
        <w:tblStyle w:val="28"/>
        <w:tblW w:w="10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596"/>
        <w:gridCol w:w="1203"/>
        <w:gridCol w:w="795"/>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Merge w:val="restart"/>
            <w:tcBorders>
              <w:top w:val="single" w:color="auto" w:sz="4" w:space="0"/>
            </w:tcBorders>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需求一览表</w:t>
            </w:r>
          </w:p>
        </w:tc>
        <w:tc>
          <w:tcPr>
            <w:tcW w:w="596" w:type="dxa"/>
            <w:tcBorders>
              <w:top w:val="single" w:color="auto" w:sz="4" w:space="0"/>
            </w:tcBorders>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序号</w:t>
            </w:r>
          </w:p>
        </w:tc>
        <w:tc>
          <w:tcPr>
            <w:tcW w:w="1203" w:type="dxa"/>
            <w:tcBorders>
              <w:top w:val="single" w:color="auto" w:sz="4" w:space="0"/>
            </w:tcBorders>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名称</w:t>
            </w:r>
          </w:p>
        </w:tc>
        <w:tc>
          <w:tcPr>
            <w:tcW w:w="795" w:type="dxa"/>
            <w:tcBorders>
              <w:top w:val="single" w:color="auto" w:sz="4" w:space="0"/>
            </w:tcBorders>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数量及单位</w:t>
            </w:r>
          </w:p>
          <w:p>
            <w:pPr>
              <w:spacing w:line="360" w:lineRule="exact"/>
              <w:jc w:val="center"/>
              <w:rPr>
                <w:rFonts w:ascii="宋体" w:hAnsi="宋体" w:cs="宋体"/>
                <w:szCs w:val="21"/>
                <w:highlight w:val="none"/>
              </w:rPr>
            </w:pPr>
          </w:p>
        </w:tc>
        <w:tc>
          <w:tcPr>
            <w:tcW w:w="7085" w:type="dxa"/>
            <w:tcBorders>
              <w:top w:val="single" w:color="auto" w:sz="4" w:space="0"/>
            </w:tcBorders>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Merge w:val="continue"/>
            <w:vAlign w:val="center"/>
          </w:tcPr>
          <w:p>
            <w:pPr>
              <w:spacing w:line="360" w:lineRule="exact"/>
              <w:jc w:val="center"/>
              <w:rPr>
                <w:rFonts w:hint="eastAsia" w:ascii="宋体" w:hAnsi="宋体" w:cs="宋体"/>
                <w:szCs w:val="21"/>
                <w:highlight w:val="none"/>
              </w:rPr>
            </w:pPr>
          </w:p>
          <w:p>
            <w:pPr>
              <w:pStyle w:val="20"/>
              <w:rPr>
                <w:rFonts w:hint="eastAsia" w:ascii="宋体" w:hAnsi="宋体" w:cs="宋体"/>
                <w:szCs w:val="21"/>
                <w:highlight w:val="none"/>
              </w:rPr>
            </w:pPr>
          </w:p>
          <w:p>
            <w:pPr>
              <w:pStyle w:val="20"/>
              <w:rPr>
                <w:rFonts w:hint="eastAsia" w:ascii="宋体" w:hAnsi="宋体" w:cs="宋体"/>
                <w:szCs w:val="21"/>
                <w:highlight w:val="none"/>
              </w:rPr>
            </w:pPr>
          </w:p>
        </w:tc>
        <w:tc>
          <w:tcPr>
            <w:tcW w:w="596" w:type="dxa"/>
            <w:tcBorders>
              <w:top w:val="single" w:color="auto" w:sz="4" w:space="0"/>
            </w:tcBorders>
            <w:vAlign w:val="center"/>
          </w:tcPr>
          <w:p>
            <w:pPr>
              <w:spacing w:line="360" w:lineRule="exact"/>
              <w:jc w:val="center"/>
              <w:rPr>
                <w:rFonts w:hint="eastAsia" w:ascii="宋体" w:hAnsi="宋体" w:cs="宋体"/>
                <w:szCs w:val="21"/>
                <w:highlight w:val="none"/>
              </w:rPr>
            </w:pPr>
          </w:p>
        </w:tc>
        <w:tc>
          <w:tcPr>
            <w:tcW w:w="1203" w:type="dxa"/>
            <w:tcBorders>
              <w:top w:val="single" w:color="auto" w:sz="4" w:space="0"/>
            </w:tcBorders>
            <w:vAlign w:val="center"/>
          </w:tcPr>
          <w:p>
            <w:pPr>
              <w:spacing w:line="360" w:lineRule="exact"/>
              <w:jc w:val="center"/>
              <w:rPr>
                <w:rFonts w:hint="eastAsia" w:ascii="宋体" w:hAnsi="宋体" w:cs="宋体"/>
                <w:szCs w:val="21"/>
                <w:highlight w:val="none"/>
              </w:rPr>
            </w:pPr>
          </w:p>
        </w:tc>
        <w:tc>
          <w:tcPr>
            <w:tcW w:w="795" w:type="dxa"/>
            <w:tcBorders>
              <w:top w:val="single" w:color="auto" w:sz="4" w:space="0"/>
            </w:tcBorders>
            <w:vAlign w:val="center"/>
          </w:tcPr>
          <w:p>
            <w:pPr>
              <w:spacing w:line="360" w:lineRule="exact"/>
              <w:jc w:val="center"/>
              <w:rPr>
                <w:rFonts w:ascii="宋体" w:hAnsi="宋体" w:cs="宋体"/>
                <w:szCs w:val="21"/>
                <w:highlight w:val="none"/>
              </w:rPr>
            </w:pPr>
          </w:p>
        </w:tc>
        <w:tc>
          <w:tcPr>
            <w:tcW w:w="7085" w:type="dxa"/>
            <w:tcBorders>
              <w:top w:val="single" w:color="auto" w:sz="4" w:space="0"/>
            </w:tcBorders>
            <w:vAlign w:val="center"/>
          </w:tcPr>
          <w:p>
            <w:pPr>
              <w:spacing w:line="36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26" w:type="dxa"/>
            <w:vMerge w:val="continue"/>
            <w:vAlign w:val="center"/>
          </w:tcPr>
          <w:p>
            <w:pPr>
              <w:spacing w:line="360" w:lineRule="exact"/>
              <w:jc w:val="center"/>
              <w:rPr>
                <w:rFonts w:ascii="宋体" w:hAnsi="宋体" w:cs="宋体"/>
                <w:szCs w:val="21"/>
                <w:highlight w:val="none"/>
              </w:rPr>
            </w:pPr>
          </w:p>
        </w:tc>
        <w:tc>
          <w:tcPr>
            <w:tcW w:w="596" w:type="dxa"/>
            <w:vAlign w:val="center"/>
          </w:tcPr>
          <w:p>
            <w:pPr>
              <w:widowControl/>
              <w:spacing w:after="200" w:line="360" w:lineRule="exact"/>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1203"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电梯</w:t>
            </w:r>
          </w:p>
        </w:tc>
        <w:tc>
          <w:tcPr>
            <w:tcW w:w="795"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1台</w:t>
            </w:r>
          </w:p>
        </w:tc>
        <w:tc>
          <w:tcPr>
            <w:tcW w:w="7085" w:type="dxa"/>
          </w:tcPr>
          <w:p>
            <w:pPr>
              <w:pStyle w:val="9"/>
              <w:ind w:firstLine="420" w:firstLineChars="200"/>
              <w:rPr>
                <w:rFonts w:ascii="宋体" w:hAnsi="宋体" w:eastAsia="宋体" w:cs="宋体"/>
                <w:sz w:val="21"/>
                <w:szCs w:val="21"/>
                <w:highlight w:val="none"/>
              </w:rPr>
            </w:pPr>
            <w:r>
              <w:rPr>
                <w:rFonts w:hint="eastAsia" w:ascii="宋体" w:hAnsi="宋体" w:eastAsia="宋体" w:cs="宋体"/>
                <w:b w:val="0"/>
                <w:sz w:val="21"/>
                <w:szCs w:val="21"/>
                <w:highlight w:val="none"/>
              </w:rPr>
              <w:t>（1）产品参数要求</w:t>
            </w:r>
          </w:p>
          <w:tbl>
            <w:tblPr>
              <w:tblStyle w:val="28"/>
              <w:tblW w:w="4999"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685"/>
              <w:gridCol w:w="42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产品名称</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VH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产品型号</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VH-10000-0.5-VVVF-2/2/2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额定速度m/s</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额定载重(kg)</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10000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台   数</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停站层数（层/站/门）</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2/2/2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提升高度(m)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运行控制</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单控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轿厢尺寸:CW×CD×CH(mm)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2600*6000*2400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开门尺寸:OP×OPH(mm)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2300*2300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井道尺寸:HW×HD(mm)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3900*6600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底坑深度(mm)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1600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Align w:val="center"/>
                </w:tcPr>
                <w:p>
                  <w:pPr>
                    <w:spacing w:line="360" w:lineRule="exact"/>
                    <w:jc w:val="left"/>
                    <w:rPr>
                      <w:rFonts w:ascii="宋体" w:hAnsi="宋体" w:cs="宋体"/>
                      <w:szCs w:val="21"/>
                      <w:highlight w:val="none"/>
                    </w:rPr>
                  </w:pPr>
                  <w:r>
                    <w:rPr>
                      <w:rFonts w:hint="eastAsia" w:ascii="宋体" w:hAnsi="宋体" w:cs="宋体"/>
                      <w:szCs w:val="21"/>
                      <w:highlight w:val="none"/>
                    </w:rPr>
                    <w:t>顶层高度(mm)</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4900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restar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轿</w:t>
                  </w:r>
                </w:p>
                <w:p>
                  <w:pPr>
                    <w:spacing w:line="340" w:lineRule="exact"/>
                    <w:jc w:val="center"/>
                    <w:rPr>
                      <w:rFonts w:ascii="宋体" w:hAnsi="宋体" w:cs="宋体"/>
                      <w:szCs w:val="21"/>
                      <w:highlight w:val="none"/>
                    </w:rPr>
                  </w:pPr>
                </w:p>
                <w:p>
                  <w:pPr>
                    <w:spacing w:line="340" w:lineRule="exact"/>
                    <w:jc w:val="center"/>
                    <w:rPr>
                      <w:rFonts w:ascii="宋体" w:hAnsi="宋体" w:cs="宋体"/>
                      <w:szCs w:val="21"/>
                      <w:highlight w:val="none"/>
                    </w:rPr>
                  </w:pPr>
                </w:p>
                <w:p>
                  <w:pPr>
                    <w:spacing w:line="340" w:lineRule="exact"/>
                    <w:jc w:val="center"/>
                    <w:rPr>
                      <w:rFonts w:ascii="宋体" w:hAnsi="宋体" w:cs="宋体"/>
                      <w:szCs w:val="21"/>
                      <w:highlight w:val="none"/>
                    </w:rPr>
                  </w:pPr>
                  <w:r>
                    <w:rPr>
                      <w:rFonts w:hint="eastAsia" w:ascii="宋体" w:hAnsi="宋体" w:cs="宋体"/>
                      <w:szCs w:val="21"/>
                      <w:highlight w:val="none"/>
                    </w:rPr>
                    <w:t>厢</w:t>
                  </w:r>
                </w:p>
              </w:tc>
              <w:tc>
                <w:tcPr>
                  <w:tcW w:w="1232" w:type="pct"/>
                  <w:vAlign w:val="center"/>
                </w:tcPr>
                <w:p>
                  <w:pPr>
                    <w:spacing w:line="360" w:lineRule="exact"/>
                    <w:jc w:val="left"/>
                    <w:rPr>
                      <w:rFonts w:ascii="宋体" w:hAnsi="宋体" w:cs="宋体"/>
                      <w:szCs w:val="21"/>
                      <w:highlight w:val="none"/>
                    </w:rPr>
                  </w:pPr>
                  <w:r>
                    <w:rPr>
                      <w:rFonts w:hint="eastAsia" w:ascii="宋体" w:hAnsi="宋体" w:cs="宋体"/>
                      <w:szCs w:val="21"/>
                      <w:highlight w:val="none"/>
                    </w:rPr>
                    <w:t>轿门材质</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侧围壁材质</w:t>
                  </w:r>
                </w:p>
              </w:tc>
              <w:tc>
                <w:tcPr>
                  <w:tcW w:w="3101" w:type="pct"/>
                  <w:vAlign w:val="center"/>
                </w:tcPr>
                <w:p>
                  <w:pPr>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后围壁材质</w:t>
                  </w:r>
                </w:p>
              </w:tc>
              <w:tc>
                <w:tcPr>
                  <w:tcW w:w="3101"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前围壁材质</w:t>
                  </w:r>
                </w:p>
              </w:tc>
              <w:tc>
                <w:tcPr>
                  <w:tcW w:w="3101" w:type="pct"/>
                  <w:vAlign w:val="center"/>
                </w:tcPr>
                <w:p>
                  <w:pPr>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轿   顶</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轿   底</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花纹钢板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轿内操纵箱</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发纹不锈钢面板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门保护系统</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2D光幕门保护系统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门 系 统</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VVVF变频门机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restar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厅</w:t>
                  </w:r>
                </w:p>
                <w:p>
                  <w:pPr>
                    <w:spacing w:line="340" w:lineRule="exact"/>
                    <w:jc w:val="center"/>
                    <w:rPr>
                      <w:rFonts w:ascii="宋体" w:hAnsi="宋体" w:cs="宋体"/>
                      <w:szCs w:val="21"/>
                      <w:highlight w:val="none"/>
                    </w:rPr>
                  </w:pPr>
                </w:p>
                <w:p>
                  <w:pPr>
                    <w:spacing w:line="340" w:lineRule="exact"/>
                    <w:jc w:val="center"/>
                    <w:rPr>
                      <w:rFonts w:ascii="宋体" w:hAnsi="宋体" w:cs="宋体"/>
                      <w:szCs w:val="21"/>
                      <w:highlight w:val="none"/>
                    </w:rPr>
                  </w:pPr>
                  <w:r>
                    <w:rPr>
                      <w:rFonts w:hint="eastAsia" w:ascii="宋体" w:hAnsi="宋体" w:cs="宋体"/>
                      <w:szCs w:val="21"/>
                      <w:highlight w:val="none"/>
                    </w:rPr>
                    <w:t>门</w:t>
                  </w: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开门方式</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中分双折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厅    门</w:t>
                  </w:r>
                </w:p>
              </w:tc>
              <w:tc>
                <w:tcPr>
                  <w:tcW w:w="3101" w:type="pct"/>
                  <w:vAlign w:val="center"/>
                </w:tcPr>
                <w:p>
                  <w:pPr>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门    套</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喷涂钢板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地    坎</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铸铁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面板材料</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发纹不锈钢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6" w:type="pct"/>
                  <w:vMerge w:val="continue"/>
                  <w:vAlign w:val="center"/>
                </w:tcPr>
                <w:p>
                  <w:pPr>
                    <w:spacing w:line="340" w:lineRule="exact"/>
                    <w:jc w:val="center"/>
                    <w:rPr>
                      <w:rFonts w:ascii="宋体" w:hAnsi="宋体" w:cs="宋体"/>
                      <w:szCs w:val="21"/>
                      <w:highlight w:val="none"/>
                    </w:rPr>
                  </w:pPr>
                </w:p>
              </w:tc>
              <w:tc>
                <w:tcPr>
                  <w:tcW w:w="1232" w:type="pct"/>
                  <w:vAlign w:val="center"/>
                </w:tcPr>
                <w:p>
                  <w:pPr>
                    <w:spacing w:line="340" w:lineRule="exact"/>
                    <w:jc w:val="left"/>
                    <w:rPr>
                      <w:rFonts w:ascii="宋体" w:hAnsi="宋体" w:cs="宋体"/>
                      <w:szCs w:val="21"/>
                      <w:highlight w:val="none"/>
                    </w:rPr>
                  </w:pPr>
                  <w:r>
                    <w:rPr>
                      <w:rFonts w:hint="eastAsia" w:ascii="宋体" w:hAnsi="宋体" w:cs="宋体"/>
                      <w:szCs w:val="21"/>
                      <w:highlight w:val="none"/>
                    </w:rPr>
                    <w:t>显    示</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点阵显示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Merge w:val="restar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电    源:</w:t>
                  </w: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动力电源：交流380伏,三相,50赫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Merge w:val="continue"/>
                  <w:vAlign w:val="center"/>
                </w:tcPr>
                <w:p>
                  <w:pPr>
                    <w:spacing w:line="340" w:lineRule="exact"/>
                    <w:jc w:val="center"/>
                    <w:rPr>
                      <w:rFonts w:ascii="宋体" w:hAnsi="宋体" w:cs="宋体"/>
                      <w:szCs w:val="21"/>
                      <w:highlight w:val="none"/>
                    </w:rPr>
                  </w:pP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电 压 差：±7%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98" w:type="pct"/>
                  <w:gridSpan w:val="2"/>
                  <w:vMerge w:val="continue"/>
                  <w:vAlign w:val="center"/>
                </w:tcPr>
                <w:p>
                  <w:pPr>
                    <w:spacing w:line="340" w:lineRule="exact"/>
                    <w:jc w:val="center"/>
                    <w:rPr>
                      <w:rFonts w:ascii="宋体" w:hAnsi="宋体" w:cs="宋体"/>
                      <w:szCs w:val="21"/>
                      <w:highlight w:val="none"/>
                    </w:rPr>
                  </w:pPr>
                </w:p>
              </w:tc>
              <w:tc>
                <w:tcPr>
                  <w:tcW w:w="3101" w:type="pct"/>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照明电源：交流220伏,单相,50赫</w:t>
                  </w:r>
                </w:p>
              </w:tc>
            </w:tr>
          </w:tbl>
          <w:p>
            <w:pPr>
              <w:ind w:firstLine="420" w:firstLineChars="200"/>
              <w:rPr>
                <w:rFonts w:ascii="宋体" w:hAnsi="宋体" w:cs="宋体"/>
                <w:bCs/>
                <w:szCs w:val="21"/>
                <w:highlight w:val="none"/>
              </w:rPr>
            </w:pPr>
          </w:p>
          <w:p>
            <w:pPr>
              <w:ind w:firstLine="420" w:firstLineChars="200"/>
              <w:rPr>
                <w:rFonts w:ascii="宋体" w:hAnsi="宋体" w:cs="宋体"/>
                <w:bCs/>
                <w:szCs w:val="21"/>
                <w:highlight w:val="none"/>
              </w:rPr>
            </w:pPr>
            <w:r>
              <w:rPr>
                <w:rFonts w:hint="eastAsia" w:ascii="宋体" w:hAnsi="宋体" w:cs="宋体"/>
                <w:bCs/>
                <w:szCs w:val="21"/>
                <w:highlight w:val="none"/>
              </w:rPr>
              <w:t>（2）电梯功能要求</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8"/>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94"/>
                    <w:ind w:left="623"/>
                    <w:rPr>
                      <w:rFonts w:ascii="宋体" w:hAnsi="宋体" w:cs="宋体"/>
                      <w:bCs/>
                      <w:szCs w:val="21"/>
                      <w:highlight w:val="none"/>
                    </w:rPr>
                  </w:pPr>
                  <w:r>
                    <w:rPr>
                      <w:rFonts w:hint="eastAsia" w:ascii="宋体" w:hAnsi="宋体" w:cs="宋体"/>
                      <w:bCs/>
                      <w:szCs w:val="21"/>
                      <w:highlight w:val="none"/>
                    </w:rPr>
                    <w:t>功能名称</w:t>
                  </w:r>
                </w:p>
              </w:tc>
              <w:tc>
                <w:tcPr>
                  <w:tcW w:w="3856" w:type="pct"/>
                  <w:vAlign w:val="center"/>
                </w:tcPr>
                <w:p>
                  <w:pPr>
                    <w:autoSpaceDE w:val="0"/>
                    <w:autoSpaceDN w:val="0"/>
                    <w:adjustRightInd w:val="0"/>
                    <w:snapToGrid w:val="0"/>
                    <w:spacing w:before="194"/>
                    <w:ind w:left="2838"/>
                    <w:rPr>
                      <w:rFonts w:ascii="宋体" w:hAnsi="宋体" w:cs="宋体"/>
                      <w:bCs/>
                      <w:szCs w:val="21"/>
                      <w:highlight w:val="none"/>
                    </w:rPr>
                  </w:pPr>
                  <w:r>
                    <w:rPr>
                      <w:rFonts w:hint="eastAsia" w:ascii="宋体" w:hAnsi="宋体" w:cs="宋体"/>
                      <w:bCs/>
                      <w:szCs w:val="21"/>
                      <w:highlight w:val="none"/>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34" w:line="314" w:lineRule="auto"/>
                    <w:ind w:left="94" w:leftChars="45" w:right="443" w:rightChars="211"/>
                    <w:rPr>
                      <w:rFonts w:ascii="宋体" w:hAnsi="宋体" w:cs="宋体"/>
                      <w:szCs w:val="21"/>
                      <w:highlight w:val="none"/>
                    </w:rPr>
                  </w:pPr>
                  <w:r>
                    <w:rPr>
                      <w:rFonts w:hint="eastAsia" w:ascii="宋体" w:hAnsi="宋体" w:cs="宋体"/>
                      <w:szCs w:val="21"/>
                      <w:highlight w:val="none"/>
                    </w:rPr>
                    <w:t>无呼自返基站功能</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单台电梯时，可根据大楼实际需求设定运行基站，在预定时间内如果没有召唤或指令登记，轿厢将自动返回基站，关门待机，基站一般设在交通流量大的楼层或一楼大厅。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53"/>
                    <w:ind w:left="94" w:leftChars="45"/>
                    <w:rPr>
                      <w:rFonts w:ascii="宋体" w:hAnsi="宋体" w:cs="宋体"/>
                      <w:szCs w:val="21"/>
                      <w:highlight w:val="none"/>
                    </w:rPr>
                  </w:pPr>
                  <w:r>
                    <w:rPr>
                      <w:rFonts w:hint="eastAsia" w:ascii="宋体" w:hAnsi="宋体" w:cs="宋体"/>
                      <w:szCs w:val="21"/>
                      <w:highlight w:val="none"/>
                    </w:rPr>
                    <w:t>设置厅、轿门时间</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响应门厅呼梯开门的时间和响应轿内指令而开门的时间是不一样的，并可以单独设定。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32"/>
                    <w:ind w:left="94" w:leftChars="45"/>
                    <w:rPr>
                      <w:rFonts w:ascii="宋体" w:hAnsi="宋体" w:cs="宋体"/>
                      <w:szCs w:val="21"/>
                      <w:highlight w:val="none"/>
                    </w:rPr>
                  </w:pPr>
                  <w:r>
                    <w:rPr>
                      <w:rFonts w:hint="eastAsia" w:ascii="宋体" w:hAnsi="宋体" w:cs="宋体"/>
                      <w:szCs w:val="21"/>
                      <w:highlight w:val="none"/>
                    </w:rPr>
                    <w:t>关门时间保护</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当电梯由于机械卡阻等原因导致不能开门到位超过预定时间，电梯重复三次关门后，未侦测到门关闭信号，电梯会自动进入保护状态，当电梯监测到门已正常关闭时，电梯将恢复正常操作。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53"/>
                    <w:ind w:left="94" w:leftChars="45"/>
                    <w:rPr>
                      <w:rFonts w:ascii="宋体" w:hAnsi="宋体" w:cs="宋体"/>
                      <w:szCs w:val="21"/>
                      <w:highlight w:val="none"/>
                    </w:rPr>
                  </w:pPr>
                  <w:r>
                    <w:rPr>
                      <w:rFonts w:hint="eastAsia" w:ascii="宋体" w:hAnsi="宋体" w:cs="宋体"/>
                      <w:szCs w:val="21"/>
                      <w:highlight w:val="none"/>
                    </w:rPr>
                    <w:t>开、关门按钮</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电梯轿厢操纵面板上设有控制开关门的微动按钮，以方便乘客根据需要灵活掌握开关门的时间。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6"/>
                    <w:ind w:left="94" w:leftChars="45"/>
                    <w:rPr>
                      <w:rFonts w:ascii="宋体" w:hAnsi="宋体" w:cs="宋体"/>
                      <w:szCs w:val="21"/>
                      <w:highlight w:val="none"/>
                    </w:rPr>
                  </w:pPr>
                  <w:r>
                    <w:rPr>
                      <w:rFonts w:hint="eastAsia" w:ascii="宋体" w:hAnsi="宋体" w:cs="宋体"/>
                      <w:szCs w:val="21"/>
                      <w:highlight w:val="none"/>
                    </w:rPr>
                    <w:t>紧急消防操作</w:t>
                  </w:r>
                </w:p>
              </w:tc>
              <w:tc>
                <w:tcPr>
                  <w:tcW w:w="3856" w:type="pct"/>
                  <w:vAlign w:val="center"/>
                </w:tcPr>
                <w:p>
                  <w:pPr>
                    <w:tabs>
                      <w:tab w:val="left" w:pos="7366"/>
                    </w:tabs>
                    <w:autoSpaceDE w:val="0"/>
                    <w:autoSpaceDN w:val="0"/>
                    <w:adjustRightInd w:val="0"/>
                    <w:snapToGrid w:val="0"/>
                    <w:spacing w:before="56" w:line="278" w:lineRule="auto"/>
                    <w:ind w:left="108" w:right="321" w:rightChars="153"/>
                    <w:rPr>
                      <w:rFonts w:ascii="宋体" w:hAnsi="宋体" w:cs="宋体"/>
                      <w:szCs w:val="21"/>
                      <w:highlight w:val="none"/>
                    </w:rPr>
                  </w:pPr>
                  <w:r>
                    <w:rPr>
                      <w:rFonts w:hint="eastAsia" w:ascii="宋体" w:hAnsi="宋体" w:cs="宋体"/>
                      <w:szCs w:val="21"/>
                      <w:highlight w:val="none"/>
                    </w:rPr>
                    <w:t>大楼发生火警时，系统在接收到火警信号后，将取消所有指令和召唤信号，驱动电梯直接返回消防层，开门疏散乘客。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6"/>
                    <w:ind w:left="94" w:leftChars="45"/>
                    <w:rPr>
                      <w:rFonts w:ascii="宋体" w:hAnsi="宋体" w:cs="宋体"/>
                      <w:szCs w:val="21"/>
                      <w:highlight w:val="none"/>
                    </w:rPr>
                  </w:pPr>
                  <w:r>
                    <w:rPr>
                      <w:rFonts w:hint="eastAsia" w:ascii="宋体" w:hAnsi="宋体" w:cs="宋体"/>
                      <w:szCs w:val="21"/>
                      <w:highlight w:val="none"/>
                    </w:rPr>
                    <w:t>轿内紧急照明</w:t>
                  </w:r>
                </w:p>
              </w:tc>
              <w:tc>
                <w:tcPr>
                  <w:tcW w:w="3856" w:type="pct"/>
                  <w:vAlign w:val="center"/>
                </w:tcPr>
                <w:p>
                  <w:pPr>
                    <w:tabs>
                      <w:tab w:val="left" w:pos="7366"/>
                    </w:tabs>
                    <w:autoSpaceDE w:val="0"/>
                    <w:autoSpaceDN w:val="0"/>
                    <w:adjustRightInd w:val="0"/>
                    <w:snapToGrid w:val="0"/>
                    <w:spacing w:before="212"/>
                    <w:ind w:left="108" w:right="321" w:rightChars="153"/>
                    <w:rPr>
                      <w:rFonts w:ascii="宋体" w:hAnsi="宋体" w:cs="宋体"/>
                      <w:szCs w:val="21"/>
                      <w:highlight w:val="none"/>
                    </w:rPr>
                  </w:pPr>
                  <w:r>
                    <w:rPr>
                      <w:rFonts w:hint="eastAsia" w:ascii="宋体" w:hAnsi="宋体" w:cs="宋体"/>
                      <w:szCs w:val="21"/>
                      <w:highlight w:val="none"/>
                    </w:rPr>
                    <w:t>当照明电源发生故障时，自动为轿内的照明提供可再充电的应急电源。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53"/>
                    <w:ind w:left="94" w:leftChars="45"/>
                    <w:rPr>
                      <w:rFonts w:ascii="宋体" w:hAnsi="宋体" w:cs="宋体"/>
                      <w:szCs w:val="21"/>
                      <w:highlight w:val="none"/>
                    </w:rPr>
                  </w:pPr>
                  <w:r>
                    <w:rPr>
                      <w:rFonts w:hint="eastAsia" w:ascii="宋体" w:hAnsi="宋体" w:cs="宋体"/>
                      <w:szCs w:val="21"/>
                      <w:highlight w:val="none"/>
                    </w:rPr>
                    <w:t>全集选控制</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pacing w:val="-1"/>
                      <w:szCs w:val="21"/>
                      <w:highlight w:val="none"/>
                    </w:rPr>
                  </w:pPr>
                  <w:r>
                    <w:rPr>
                      <w:rFonts w:hint="eastAsia" w:ascii="宋体" w:hAnsi="宋体" w:cs="宋体"/>
                      <w:szCs w:val="21"/>
                      <w:highlight w:val="none"/>
                    </w:rPr>
                    <w:t>所有登记的轿厢和门厅呼梯指令，将按照电梯到达层站的顺序全部被</w:t>
                  </w:r>
                  <w:r>
                    <w:rPr>
                      <w:rFonts w:hint="eastAsia" w:ascii="宋体" w:hAnsi="宋体" w:cs="宋体"/>
                      <w:spacing w:val="-2"/>
                      <w:szCs w:val="21"/>
                      <w:highlight w:val="none"/>
                    </w:rPr>
                    <w:t>响应。轿厢的运行方向将由第一次登记的轿厢和</w:t>
                  </w:r>
                  <w:r>
                    <w:rPr>
                      <w:rFonts w:hint="eastAsia" w:ascii="宋体" w:hAnsi="宋体" w:cs="宋体"/>
                      <w:spacing w:val="-1"/>
                      <w:szCs w:val="21"/>
                      <w:highlight w:val="none"/>
                    </w:rPr>
                    <w:t>门厅呼梯指令来确定。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6" w:line="315" w:lineRule="auto"/>
                    <w:ind w:left="94" w:leftChars="45" w:right="444"/>
                    <w:rPr>
                      <w:rFonts w:ascii="宋体" w:hAnsi="宋体" w:cs="宋体"/>
                      <w:szCs w:val="21"/>
                      <w:highlight w:val="none"/>
                    </w:rPr>
                  </w:pPr>
                  <w:r>
                    <w:rPr>
                      <w:rFonts w:hint="eastAsia" w:ascii="宋体" w:hAnsi="宋体" w:cs="宋体"/>
                      <w:szCs w:val="21"/>
                      <w:highlight w:val="none"/>
                    </w:rPr>
                    <w:t>厅和轿厢数字式位置指示器</w:t>
                  </w:r>
                </w:p>
              </w:tc>
              <w:tc>
                <w:tcPr>
                  <w:tcW w:w="3856" w:type="pct"/>
                  <w:vAlign w:val="center"/>
                </w:tcPr>
                <w:p>
                  <w:pPr>
                    <w:tabs>
                      <w:tab w:val="left" w:pos="7366"/>
                    </w:tabs>
                    <w:autoSpaceDE w:val="0"/>
                    <w:autoSpaceDN w:val="0"/>
                    <w:adjustRightInd w:val="0"/>
                    <w:snapToGrid w:val="0"/>
                    <w:spacing w:before="232" w:line="278" w:lineRule="auto"/>
                    <w:ind w:left="108" w:right="321" w:rightChars="153"/>
                    <w:rPr>
                      <w:rFonts w:ascii="宋体" w:hAnsi="宋体" w:cs="宋体"/>
                      <w:szCs w:val="21"/>
                      <w:highlight w:val="none"/>
                    </w:rPr>
                  </w:pPr>
                  <w:r>
                    <w:rPr>
                      <w:rFonts w:hint="eastAsia" w:ascii="宋体" w:hAnsi="宋体" w:cs="宋体"/>
                      <w:szCs w:val="21"/>
                      <w:highlight w:val="none"/>
                    </w:rPr>
                    <w:t>在轿内的操纵面板及每层楼的大厅召唤盒上以数字方式显示电梯所在层站，以方便乘客了解电梯当前运行位置。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line="314" w:lineRule="auto"/>
                    <w:ind w:left="94" w:leftChars="45" w:right="444"/>
                    <w:rPr>
                      <w:rFonts w:ascii="宋体" w:hAnsi="宋体" w:cs="宋体"/>
                      <w:szCs w:val="21"/>
                      <w:highlight w:val="none"/>
                    </w:rPr>
                  </w:pPr>
                  <w:r>
                    <w:rPr>
                      <w:rFonts w:hint="eastAsia" w:ascii="宋体" w:hAnsi="宋体" w:cs="宋体"/>
                      <w:szCs w:val="21"/>
                      <w:highlight w:val="none"/>
                    </w:rPr>
                    <w:t>厅和轿厢呼梯/登记</w:t>
                  </w:r>
                </w:p>
              </w:tc>
              <w:tc>
                <w:tcPr>
                  <w:tcW w:w="3856" w:type="pct"/>
                  <w:vAlign w:val="center"/>
                </w:tcPr>
                <w:p>
                  <w:pPr>
                    <w:tabs>
                      <w:tab w:val="left" w:pos="7366"/>
                    </w:tabs>
                    <w:autoSpaceDE w:val="0"/>
                    <w:autoSpaceDN w:val="0"/>
                    <w:adjustRightInd w:val="0"/>
                    <w:snapToGrid w:val="0"/>
                    <w:spacing w:before="213"/>
                    <w:ind w:left="109" w:right="321" w:rightChars="153"/>
                    <w:rPr>
                      <w:rFonts w:ascii="宋体" w:hAnsi="宋体" w:cs="宋体"/>
                      <w:szCs w:val="21"/>
                      <w:highlight w:val="none"/>
                    </w:rPr>
                  </w:pPr>
                  <w:r>
                    <w:rPr>
                      <w:rFonts w:hint="eastAsia" w:ascii="宋体" w:hAnsi="宋体" w:cs="宋体"/>
                      <w:szCs w:val="21"/>
                      <w:highlight w:val="none"/>
                    </w:rPr>
                    <w:t>登记门厅和轿厢内的呼梯指令，并存储，此时按钮灯点亮。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6"/>
                    <w:ind w:left="94" w:leftChars="45"/>
                    <w:rPr>
                      <w:rFonts w:ascii="宋体" w:hAnsi="宋体" w:cs="宋体"/>
                      <w:szCs w:val="21"/>
                      <w:highlight w:val="none"/>
                    </w:rPr>
                  </w:pPr>
                  <w:r>
                    <w:rPr>
                      <w:rFonts w:hint="eastAsia" w:ascii="宋体" w:hAnsi="宋体" w:cs="宋体"/>
                      <w:szCs w:val="21"/>
                      <w:highlight w:val="none"/>
                    </w:rPr>
                    <w:t>厅及轿厢运行方向显示</w:t>
                  </w:r>
                </w:p>
              </w:tc>
              <w:tc>
                <w:tcPr>
                  <w:tcW w:w="3856" w:type="pct"/>
                  <w:vAlign w:val="center"/>
                </w:tcPr>
                <w:p>
                  <w:pPr>
                    <w:tabs>
                      <w:tab w:val="left" w:pos="7366"/>
                    </w:tabs>
                    <w:autoSpaceDE w:val="0"/>
                    <w:autoSpaceDN w:val="0"/>
                    <w:adjustRightInd w:val="0"/>
                    <w:snapToGrid w:val="0"/>
                    <w:spacing w:before="191"/>
                    <w:ind w:left="108" w:right="321" w:rightChars="153"/>
                    <w:rPr>
                      <w:rFonts w:ascii="宋体" w:hAnsi="宋体" w:cs="宋体"/>
                      <w:szCs w:val="21"/>
                      <w:highlight w:val="none"/>
                    </w:rPr>
                  </w:pPr>
                  <w:r>
                    <w:rPr>
                      <w:rFonts w:hint="eastAsia" w:ascii="宋体" w:hAnsi="宋体" w:cs="宋体"/>
                      <w:szCs w:val="21"/>
                      <w:highlight w:val="none"/>
                    </w:rPr>
                    <w:t>门厅或轿厢内显示电梯运行方向的指示器，可以是静态或动态的。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6" w:line="277" w:lineRule="auto"/>
                    <w:ind w:left="94" w:leftChars="45"/>
                    <w:rPr>
                      <w:rFonts w:ascii="宋体" w:hAnsi="宋体" w:cs="宋体"/>
                      <w:szCs w:val="21"/>
                      <w:highlight w:val="none"/>
                    </w:rPr>
                  </w:pPr>
                  <w:r>
                    <w:rPr>
                      <w:rFonts w:hint="eastAsia" w:ascii="宋体" w:hAnsi="宋体" w:cs="宋体"/>
                      <w:szCs w:val="21"/>
                      <w:highlight w:val="none"/>
                    </w:rPr>
                    <w:t>监控室与机房、轿厢对讲（不含机房到监</w:t>
                  </w:r>
                </w:p>
                <w:p>
                  <w:pPr>
                    <w:autoSpaceDE w:val="0"/>
                    <w:autoSpaceDN w:val="0"/>
                    <w:adjustRightInd w:val="0"/>
                    <w:snapToGrid w:val="0"/>
                    <w:ind w:left="94" w:leftChars="45"/>
                    <w:rPr>
                      <w:rFonts w:ascii="宋体" w:hAnsi="宋体" w:cs="宋体"/>
                      <w:szCs w:val="21"/>
                      <w:highlight w:val="none"/>
                    </w:rPr>
                  </w:pPr>
                  <w:r>
                    <w:rPr>
                      <w:rFonts w:hint="eastAsia" w:ascii="宋体" w:hAnsi="宋体" w:cs="宋体"/>
                      <w:szCs w:val="21"/>
                      <w:highlight w:val="none"/>
                    </w:rPr>
                    <w:t>控室连线）</w:t>
                  </w:r>
                </w:p>
              </w:tc>
              <w:tc>
                <w:tcPr>
                  <w:tcW w:w="3856" w:type="pct"/>
                  <w:vAlign w:val="center"/>
                </w:tcPr>
                <w:p>
                  <w:pPr>
                    <w:tabs>
                      <w:tab w:val="left" w:pos="7366"/>
                    </w:tabs>
                    <w:autoSpaceDE w:val="0"/>
                    <w:autoSpaceDN w:val="0"/>
                    <w:adjustRightInd w:val="0"/>
                    <w:snapToGrid w:val="0"/>
                    <w:spacing w:before="191" w:line="278" w:lineRule="auto"/>
                    <w:ind w:left="108" w:right="321" w:rightChars="153"/>
                    <w:rPr>
                      <w:rFonts w:ascii="宋体" w:hAnsi="宋体" w:cs="宋体"/>
                      <w:szCs w:val="21"/>
                      <w:highlight w:val="none"/>
                    </w:rPr>
                  </w:pPr>
                  <w:r>
                    <w:rPr>
                      <w:rFonts w:hint="eastAsia" w:ascii="宋体" w:hAnsi="宋体" w:cs="宋体"/>
                      <w:szCs w:val="21"/>
                      <w:highlight w:val="none"/>
                    </w:rPr>
                    <w:t>可提供监控室与机房、轿厢（轿顶、底坑）的对讲，其中监控室为母机，可根据客户需求提供一对一或一对多方式。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153"/>
                    <w:ind w:left="94" w:leftChars="45"/>
                    <w:rPr>
                      <w:rFonts w:ascii="宋体" w:hAnsi="宋体" w:cs="宋体"/>
                      <w:szCs w:val="21"/>
                      <w:highlight w:val="none"/>
                    </w:rPr>
                  </w:pPr>
                  <w:r>
                    <w:rPr>
                      <w:rFonts w:hint="eastAsia" w:ascii="宋体" w:hAnsi="宋体" w:cs="宋体"/>
                      <w:szCs w:val="21"/>
                      <w:highlight w:val="none"/>
                    </w:rPr>
                    <w:t>独立服务</w:t>
                  </w:r>
                </w:p>
              </w:tc>
              <w:tc>
                <w:tcPr>
                  <w:tcW w:w="3856" w:type="pct"/>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启动位于轿厢操纵箱内的专用开关，电梯将脱离群控，独立运行，并只响应电梯的轿内操作。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tcBorders>
                    <w:bottom w:val="single" w:color="auto" w:sz="4" w:space="0"/>
                  </w:tcBorders>
                  <w:vAlign w:val="center"/>
                </w:tcPr>
                <w:p>
                  <w:pPr>
                    <w:autoSpaceDE w:val="0"/>
                    <w:autoSpaceDN w:val="0"/>
                    <w:adjustRightInd w:val="0"/>
                    <w:snapToGrid w:val="0"/>
                    <w:spacing w:before="153"/>
                    <w:ind w:left="94" w:leftChars="45"/>
                    <w:rPr>
                      <w:rFonts w:ascii="宋体" w:hAnsi="宋体" w:cs="宋体"/>
                      <w:szCs w:val="21"/>
                      <w:highlight w:val="none"/>
                    </w:rPr>
                  </w:pPr>
                  <w:r>
                    <w:rPr>
                      <w:rFonts w:hint="eastAsia" w:ascii="宋体" w:hAnsi="宋体" w:cs="宋体"/>
                      <w:szCs w:val="21"/>
                      <w:highlight w:val="none"/>
                    </w:rPr>
                    <w:t>满载不停梯</w:t>
                  </w:r>
                </w:p>
              </w:tc>
              <w:tc>
                <w:tcPr>
                  <w:tcW w:w="3856" w:type="pct"/>
                  <w:tcBorders>
                    <w:bottom w:val="single" w:color="auto" w:sz="4" w:space="0"/>
                  </w:tcBorders>
                  <w:vAlign w:val="center"/>
                </w:tcPr>
                <w:p>
                  <w:pPr>
                    <w:tabs>
                      <w:tab w:val="left" w:pos="7366"/>
                    </w:tabs>
                    <w:autoSpaceDE w:val="0"/>
                    <w:autoSpaceDN w:val="0"/>
                    <w:adjustRightInd w:val="0"/>
                    <w:snapToGrid w:val="0"/>
                    <w:spacing w:line="278" w:lineRule="auto"/>
                    <w:ind w:left="108" w:right="321" w:rightChars="153"/>
                    <w:rPr>
                      <w:rFonts w:ascii="宋体" w:hAnsi="宋体" w:cs="宋体"/>
                      <w:szCs w:val="21"/>
                      <w:highlight w:val="none"/>
                    </w:rPr>
                  </w:pPr>
                  <w:r>
                    <w:rPr>
                      <w:rFonts w:hint="eastAsia" w:ascii="宋体" w:hAnsi="宋体" w:cs="宋体"/>
                      <w:szCs w:val="21"/>
                      <w:highlight w:val="none"/>
                    </w:rPr>
                    <w:t>当轿厢内载荷达到满载预设值时，即进入满载直驶状态，电梯将不再应答厅外召唤而直接响应轿内指令直达指定楼层。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超载不启动</w:t>
                  </w:r>
                </w:p>
                <w:p>
                  <w:pPr>
                    <w:autoSpaceDE w:val="0"/>
                    <w:autoSpaceDN w:val="0"/>
                    <w:adjustRightInd w:val="0"/>
                    <w:snapToGrid w:val="0"/>
                    <w:spacing w:before="83"/>
                    <w:ind w:left="94" w:leftChars="45"/>
                    <w:rPr>
                      <w:rFonts w:ascii="宋体" w:hAnsi="宋体" w:cs="宋体"/>
                      <w:szCs w:val="21"/>
                      <w:highlight w:val="none"/>
                    </w:rPr>
                  </w:pPr>
                  <w:r>
                    <w:rPr>
                      <w:rFonts w:hint="eastAsia" w:ascii="宋体" w:hAnsi="宋体" w:cs="宋体"/>
                      <w:szCs w:val="21"/>
                      <w:highlight w:val="none"/>
                    </w:rPr>
                    <w:t>(警示灯及蜂鸣器)</w:t>
                  </w:r>
                </w:p>
              </w:tc>
              <w:tc>
                <w:tcPr>
                  <w:tcW w:w="3856" w:type="pct"/>
                  <w:tcBorders>
                    <w:top w:val="single" w:color="auto" w:sz="4" w:space="0"/>
                    <w:left w:val="single" w:color="auto" w:sz="4" w:space="0"/>
                    <w:bottom w:val="single" w:color="auto" w:sz="4" w:space="0"/>
                    <w:right w:val="single" w:color="auto" w:sz="4" w:space="0"/>
                  </w:tcBorders>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当轿厢的载重量超出额定允许的载重时，超载蜂鸣器会鸣响以提示超载。此时显示超载，轿厢不关门，电梯不能起动。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tcBorders>
                    <w:top w:val="single" w:color="auto" w:sz="4" w:space="0"/>
                  </w:tcBorders>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运行次数显示功能</w:t>
                  </w:r>
                </w:p>
              </w:tc>
              <w:tc>
                <w:tcPr>
                  <w:tcW w:w="3856" w:type="pct"/>
                  <w:tcBorders>
                    <w:top w:val="single" w:color="auto" w:sz="4" w:space="0"/>
                  </w:tcBorders>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为方便维护保养，可通过手持操作器来查看电梯总共运行的次数。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轿顶与控制柜紧急电动运行</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在轿顶、机房放置检修操作开关，检修按钮和急停装置，轿顶检修优先机房检修，在检修操作开始后，除了响应检修相关的操作，轿厢禁止响应其他操作而移动。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轿内通风手动及照明自动控制功能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可通过在轿厢控制屏上的开关手动操作风扇，照明是系统根据电梯的运行状况自动控制的。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故障自动检测功能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自动检测电梯系统所发生的所有故障。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警铃</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供在特殊情况下乘客通过按动轿厢内报警按钮，及时通知外界。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光幕门保护装置</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门光幕保护系统在电梯门口形成了一个看不见的光幕保护安全网，一旦光线受到干扰，电梯门会立刻重新开启而不会碰到乘客。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误登陆取消</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乘客按下指令按钮被响应后，发现与实际要求不符，可在指令登记后连按2次错误指令的按钮，该登记的信号就被取消。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驻停</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当不再需要使用电梯时，启动位于大厅的停梯开关，电梯将在响应完呼梯后自动返回到指定层并停梯。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自动开关门</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电梯停靠层站后自动开门，然后自动关门。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撞底缓冲装置</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在井道底部设置缓冲部件，保障乘客/货物的安全。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门区外不能自动开</w:t>
                  </w:r>
                </w:p>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门</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当电梯不在开门区，开门机无法自动开门。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预转矩输出</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系统根据轿厢的载重预定输出转矩，使电梯实现平稳启动。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电网电压波动检测功能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当电网电压波动太大，系统进入自保护状态。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接触器反馈检测功</w:t>
                  </w:r>
                </w:p>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当接触器故障，系统将记录故障并进入自保护状态。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继电器检查保护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当继电器故障，系统将记录故障并进入自保护状态。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速度反馈检测功能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当电梯运行速度异常，系统进入保护状态。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故障低速自救功能</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当电梯处于非检修状态下，且未停在平层区。此时只要符合启动的安全要求，电梯将自动以慢速运行至最近平层区开门，乘客可以安全离开电梯。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反向指令自动消除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若选择楼层与运行方向相反，自动取消该指令。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本层外召开门</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电梯正在关门或已关门但未启动时，若本层外召，则重新关门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重复关门</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执行关门指令后，在规定的时间内门联锁回路没有接通时，重新开门后再关门。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不停层设置</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通过所设楼层时不停靠。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待梯层设定</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在无司机状态、在一定时间内即无内选也无外召时，轿厢自动运行到待命层。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楼层显示字符的任</w:t>
                  </w:r>
                </w:p>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意设定</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通过控制柜内液晶显示器的按键操作任意设置各楼层的显示字。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输入口干扰评价</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可对输入信号进行评价并通过控制柜内液晶显示器显示出来，指示作业人员对井道线及随行电缆合理布线、妥善接地、从根本上消除因某些随行电缆及井道线与主控电脑板并行连接对主控电脑板输入产生干扰而造成的电梯层显串号、不平层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井道自学习</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检修状态下自下限位开关起向上运行至上限位开关止，测出各楼层的门区位置及井道开关位置的数据，并永久保存。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逆向运行保护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当系统检测到电梯连续3秒钟运行的方向与指令方向不一致时，就会立即紧急停车，故障报警，并在CUP复位前，禁止电梯一切动作。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防打滑保护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系统检测到钢丝绳打滑将停止轿厢一切运行。并直到CUP复位才能恢复正常运行。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安全回路保护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安全回路断开，电梯将立刻停止运行。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限位保护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系统检测到限位开关动作，将立刻停止电梯运行。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上下极限保护装置</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系统检测到限位开关动作，整个系统将立刻断电。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门连锁保护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全部门连锁都闭合，电梯方能运行。如运行中门联锁断开或抖动，电梯将停止运行。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运行接触器保护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系统可检测电机回路接触器动作是否可靠。如发现异常，将停止电梯运行。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抱闸检测保护</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通过抱闸臂检测开关对抱闸的打开与闭合实时监测。当抱闸未按要求打开时，系统将终止电梯启动。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手动松闸救援</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非平衡状态下，远程手动松闸，慢速溜车，进入口区后自动报警，手动开门救援。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端站换速及楼层号校正</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系统在运行中检测到端站开关后，电梯将强迫换速并自动校正楼层显示。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手动选层</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通过控制柜内液晶显示器的按键操作，进行内选登记。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机房开关门</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通过控制柜内液晶显示器的按键操作，尽享开关门命令输入。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ind w:left="94" w:leftChars="45"/>
                    <w:rPr>
                      <w:rFonts w:ascii="宋体" w:hAnsi="宋体" w:cs="宋体"/>
                      <w:szCs w:val="21"/>
                      <w:highlight w:val="none"/>
                    </w:rPr>
                  </w:pPr>
                  <w:r>
                    <w:rPr>
                      <w:rFonts w:hint="eastAsia" w:ascii="宋体" w:hAnsi="宋体" w:cs="宋体"/>
                      <w:szCs w:val="21"/>
                      <w:highlight w:val="none"/>
                    </w:rPr>
                    <w:t>防捣乱</w:t>
                  </w:r>
                </w:p>
              </w:tc>
              <w:tc>
                <w:tcPr>
                  <w:tcW w:w="3856" w:type="pct"/>
                  <w:vAlign w:val="center"/>
                </w:tcPr>
                <w:p>
                  <w:pPr>
                    <w:tabs>
                      <w:tab w:val="left" w:pos="7366"/>
                    </w:tabs>
                    <w:autoSpaceDE w:val="0"/>
                    <w:autoSpaceDN w:val="0"/>
                    <w:adjustRightInd w:val="0"/>
                    <w:snapToGrid w:val="0"/>
                    <w:spacing w:before="57" w:line="278" w:lineRule="auto"/>
                    <w:ind w:left="108" w:right="321" w:rightChars="153"/>
                    <w:rPr>
                      <w:rFonts w:ascii="宋体" w:hAnsi="宋体" w:cs="宋体"/>
                      <w:szCs w:val="21"/>
                      <w:highlight w:val="none"/>
                    </w:rPr>
                  </w:pPr>
                  <w:r>
                    <w:rPr>
                      <w:rFonts w:hint="eastAsia" w:ascii="宋体" w:hAnsi="宋体" w:cs="宋体"/>
                      <w:szCs w:val="21"/>
                      <w:highlight w:val="none"/>
                    </w:rPr>
                    <w:t>当系统侦测到电梯轻载时，而轿内登记了过多的指令，所有的轿内指令将被取消，要求重新登记合适数量的轿内指令。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line="360" w:lineRule="auto"/>
                    <w:ind w:left="94" w:leftChars="45"/>
                    <w:rPr>
                      <w:rFonts w:ascii="宋体" w:hAnsi="宋体" w:cs="宋体"/>
                      <w:szCs w:val="21"/>
                      <w:highlight w:val="none"/>
                    </w:rPr>
                  </w:pPr>
                  <w:r>
                    <w:rPr>
                      <w:rFonts w:hint="eastAsia" w:ascii="宋体" w:hAnsi="宋体" w:cs="宋体"/>
                      <w:szCs w:val="21"/>
                      <w:highlight w:val="none"/>
                    </w:rPr>
                    <w:t>两台并联</w:t>
                  </w:r>
                </w:p>
              </w:tc>
              <w:tc>
                <w:tcPr>
                  <w:tcW w:w="3856" w:type="pct"/>
                  <w:vAlign w:val="center"/>
                </w:tcPr>
                <w:p>
                  <w:pPr>
                    <w:tabs>
                      <w:tab w:val="left" w:pos="7366"/>
                    </w:tabs>
                    <w:autoSpaceDE w:val="0"/>
                    <w:autoSpaceDN w:val="0"/>
                    <w:adjustRightInd w:val="0"/>
                    <w:snapToGrid w:val="0"/>
                    <w:spacing w:before="57" w:line="360" w:lineRule="auto"/>
                    <w:ind w:left="108" w:right="321" w:rightChars="153"/>
                    <w:rPr>
                      <w:rFonts w:ascii="宋体" w:hAnsi="宋体" w:cs="宋体"/>
                      <w:szCs w:val="21"/>
                      <w:highlight w:val="none"/>
                    </w:rPr>
                  </w:pPr>
                  <w:r>
                    <w:rPr>
                      <w:rFonts w:hint="eastAsia" w:ascii="宋体" w:hAnsi="宋体" w:cs="宋体"/>
                      <w:szCs w:val="21"/>
                      <w:highlight w:val="none"/>
                    </w:rPr>
                    <w:t>将两台电梯的呼梯信息进行动态集中管理，得到最高的运转效率。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line="360" w:lineRule="auto"/>
                    <w:ind w:left="94" w:leftChars="45"/>
                    <w:rPr>
                      <w:rFonts w:ascii="宋体" w:hAnsi="宋体" w:cs="宋体"/>
                      <w:szCs w:val="21"/>
                      <w:highlight w:val="none"/>
                    </w:rPr>
                  </w:pPr>
                  <w:r>
                    <w:rPr>
                      <w:rFonts w:hint="eastAsia" w:ascii="宋体" w:hAnsi="宋体" w:cs="宋体"/>
                      <w:szCs w:val="21"/>
                      <w:highlight w:val="none"/>
                    </w:rPr>
                    <w:t>驱动设备过热保护</w:t>
                  </w:r>
                </w:p>
              </w:tc>
              <w:tc>
                <w:tcPr>
                  <w:tcW w:w="3856" w:type="pct"/>
                  <w:vAlign w:val="center"/>
                </w:tcPr>
                <w:p>
                  <w:pPr>
                    <w:tabs>
                      <w:tab w:val="left" w:pos="7366"/>
                    </w:tabs>
                    <w:autoSpaceDE w:val="0"/>
                    <w:autoSpaceDN w:val="0"/>
                    <w:adjustRightInd w:val="0"/>
                    <w:snapToGrid w:val="0"/>
                    <w:spacing w:before="57" w:line="360" w:lineRule="auto"/>
                    <w:ind w:left="108" w:right="321" w:rightChars="153"/>
                    <w:rPr>
                      <w:rFonts w:ascii="宋体" w:hAnsi="宋体" w:cs="宋体"/>
                      <w:szCs w:val="21"/>
                      <w:highlight w:val="none"/>
                    </w:rPr>
                  </w:pPr>
                  <w:r>
                    <w:rPr>
                      <w:rFonts w:hint="eastAsia" w:ascii="宋体" w:hAnsi="宋体" w:cs="宋体"/>
                      <w:szCs w:val="21"/>
                      <w:highlight w:val="none"/>
                    </w:rPr>
                    <w:t>当主机的温度超过设定值，系统停止供电，强制停止。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line="360" w:lineRule="auto"/>
                    <w:ind w:left="94" w:leftChars="45"/>
                    <w:rPr>
                      <w:rFonts w:ascii="宋体" w:hAnsi="宋体" w:cs="宋体"/>
                      <w:szCs w:val="21"/>
                      <w:highlight w:val="none"/>
                    </w:rPr>
                  </w:pPr>
                  <w:r>
                    <w:rPr>
                      <w:rFonts w:hint="eastAsia" w:ascii="宋体" w:hAnsi="宋体" w:cs="宋体"/>
                      <w:szCs w:val="21"/>
                      <w:highlight w:val="none"/>
                    </w:rPr>
                    <w:t>消防联动</w:t>
                  </w:r>
                </w:p>
              </w:tc>
              <w:tc>
                <w:tcPr>
                  <w:tcW w:w="3856" w:type="pct"/>
                  <w:vAlign w:val="center"/>
                </w:tcPr>
                <w:p>
                  <w:pPr>
                    <w:tabs>
                      <w:tab w:val="left" w:pos="7366"/>
                    </w:tabs>
                    <w:autoSpaceDE w:val="0"/>
                    <w:autoSpaceDN w:val="0"/>
                    <w:adjustRightInd w:val="0"/>
                    <w:snapToGrid w:val="0"/>
                    <w:spacing w:before="57" w:line="360" w:lineRule="auto"/>
                    <w:ind w:left="108" w:right="321" w:rightChars="153"/>
                    <w:rPr>
                      <w:rFonts w:ascii="宋体" w:hAnsi="宋体" w:cs="宋体"/>
                      <w:szCs w:val="21"/>
                      <w:highlight w:val="none"/>
                    </w:rPr>
                  </w:pPr>
                  <w:r>
                    <w:rPr>
                      <w:rFonts w:hint="eastAsia" w:ascii="宋体" w:hAnsi="宋体" w:cs="宋体"/>
                      <w:szCs w:val="21"/>
                      <w:highlight w:val="none"/>
                    </w:rPr>
                    <w:t>电梯提供消防信号反馈的干接点。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143" w:type="pct"/>
                  <w:vAlign w:val="center"/>
                </w:tcPr>
                <w:p>
                  <w:pPr>
                    <w:autoSpaceDE w:val="0"/>
                    <w:autoSpaceDN w:val="0"/>
                    <w:adjustRightInd w:val="0"/>
                    <w:snapToGrid w:val="0"/>
                    <w:spacing w:before="38" w:line="360" w:lineRule="auto"/>
                    <w:ind w:left="94" w:leftChars="45"/>
                    <w:rPr>
                      <w:rFonts w:ascii="宋体" w:hAnsi="宋体" w:cs="宋体"/>
                      <w:szCs w:val="21"/>
                      <w:highlight w:val="none"/>
                    </w:rPr>
                  </w:pPr>
                  <w:r>
                    <w:rPr>
                      <w:rFonts w:hint="eastAsia" w:ascii="宋体" w:hAnsi="宋体" w:cs="宋体"/>
                      <w:szCs w:val="21"/>
                      <w:highlight w:val="none"/>
                    </w:rPr>
                    <w:t>风扇自动控制</w:t>
                  </w:r>
                </w:p>
              </w:tc>
              <w:tc>
                <w:tcPr>
                  <w:tcW w:w="3856" w:type="pct"/>
                  <w:vAlign w:val="center"/>
                </w:tcPr>
                <w:p>
                  <w:pPr>
                    <w:tabs>
                      <w:tab w:val="left" w:pos="7366"/>
                    </w:tabs>
                    <w:autoSpaceDE w:val="0"/>
                    <w:autoSpaceDN w:val="0"/>
                    <w:adjustRightInd w:val="0"/>
                    <w:snapToGrid w:val="0"/>
                    <w:spacing w:before="57" w:line="360" w:lineRule="auto"/>
                    <w:ind w:left="108" w:right="321" w:rightChars="153"/>
                    <w:rPr>
                      <w:rFonts w:ascii="宋体" w:hAnsi="宋体" w:cs="宋体"/>
                      <w:szCs w:val="21"/>
                      <w:highlight w:val="none"/>
                    </w:rPr>
                  </w:pPr>
                  <w:r>
                    <w:rPr>
                      <w:rFonts w:hint="eastAsia" w:ascii="宋体" w:hAnsi="宋体" w:cs="宋体"/>
                      <w:szCs w:val="21"/>
                      <w:highlight w:val="none"/>
                    </w:rPr>
                    <w:t>系统根据电梯的运行状况自动控制风扇开关。</w:t>
                  </w:r>
                </w:p>
              </w:tc>
            </w:tr>
          </w:tbl>
          <w:p>
            <w:pPr>
              <w:spacing w:line="360" w:lineRule="exact"/>
              <w:jc w:val="center"/>
              <w:rPr>
                <w:rFonts w:ascii="宋体" w:hAnsi="宋体" w:cs="宋体"/>
                <w:szCs w:val="21"/>
                <w:highlight w:val="none"/>
              </w:rPr>
            </w:pPr>
          </w:p>
        </w:tc>
      </w:tr>
    </w:tbl>
    <w:p>
      <w:pPr>
        <w:spacing w:line="428" w:lineRule="exact"/>
        <w:ind w:left="119"/>
        <w:rPr>
          <w:rFonts w:ascii="宋体" w:hAnsi="宋体" w:cs="宋体"/>
          <w:sz w:val="32"/>
          <w:szCs w:val="32"/>
          <w:highlight w:val="none"/>
        </w:rPr>
        <w:sectPr>
          <w:footerReference r:id="rId5" w:type="first"/>
          <w:footerReference r:id="rId4" w:type="default"/>
          <w:pgSz w:w="11911" w:h="16838"/>
          <w:pgMar w:top="1134" w:right="1134" w:bottom="1134" w:left="1134" w:header="720" w:footer="720" w:gutter="0"/>
          <w:pgNumType w:start="1"/>
          <w:cols w:space="720" w:num="1"/>
        </w:sectPr>
      </w:pPr>
    </w:p>
    <w:p>
      <w:pPr>
        <w:pStyle w:val="2"/>
        <w:pageBreakBefore/>
        <w:ind w:right="-57"/>
        <w:jc w:val="center"/>
        <w:outlineLvl w:val="0"/>
        <w:rPr>
          <w:rStyle w:val="78"/>
          <w:rFonts w:asciiTheme="minorEastAsia" w:hAnsiTheme="minorEastAsia" w:eastAsiaTheme="minorEastAsia"/>
          <w:highlight w:val="none"/>
        </w:rPr>
      </w:pPr>
      <w:bookmarkStart w:id="1518" w:name="_Toc4284"/>
      <w:bookmarkStart w:id="1519" w:name="_Toc21231"/>
      <w:bookmarkStart w:id="1520" w:name="_Toc147"/>
      <w:bookmarkStart w:id="1521" w:name="_Toc25908"/>
      <w:bookmarkStart w:id="1522" w:name="_Toc26286"/>
      <w:bookmarkStart w:id="1523" w:name="_Toc25750691"/>
      <w:bookmarkStart w:id="1524" w:name="_Toc1104"/>
      <w:bookmarkStart w:id="1525" w:name="_Toc22547"/>
      <w:bookmarkStart w:id="1526" w:name="_Toc3174"/>
      <w:bookmarkStart w:id="1527" w:name="_Toc5008"/>
      <w:bookmarkStart w:id="1528" w:name="_Toc17186"/>
      <w:bookmarkStart w:id="1529" w:name="_Toc14104"/>
      <w:bookmarkStart w:id="1530" w:name="_Toc1777"/>
      <w:bookmarkStart w:id="1531" w:name="_Toc531"/>
      <w:bookmarkStart w:id="1532" w:name="_Toc14738"/>
      <w:bookmarkStart w:id="1533" w:name="_Toc3551"/>
      <w:bookmarkStart w:id="1534" w:name="_Toc6090"/>
      <w:bookmarkStart w:id="1535" w:name="_Toc9329"/>
      <w:r>
        <w:rPr>
          <w:rStyle w:val="78"/>
          <w:rFonts w:hint="eastAsia" w:asciiTheme="minorEastAsia" w:hAnsiTheme="minorEastAsia" w:eastAsiaTheme="minorEastAsia"/>
          <w:highlight w:val="none"/>
        </w:rPr>
        <w:t>第六章</w:t>
      </w:r>
      <w:r>
        <w:rPr>
          <w:rStyle w:val="78"/>
          <w:rFonts w:asciiTheme="minorEastAsia" w:hAnsiTheme="minorEastAsia" w:eastAsiaTheme="minorEastAsia"/>
          <w:highlight w:val="none"/>
        </w:rPr>
        <w:t xml:space="preserve"> </w:t>
      </w:r>
      <w:r>
        <w:rPr>
          <w:rStyle w:val="78"/>
          <w:rFonts w:hint="eastAsia" w:asciiTheme="minorEastAsia" w:hAnsiTheme="minorEastAsia" w:eastAsiaTheme="minorEastAsia"/>
          <w:highlight w:val="none"/>
        </w:rPr>
        <w:t>评分办法</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ind w:firstLine="562" w:firstLineChars="200"/>
        <w:outlineLvl w:val="1"/>
        <w:rPr>
          <w:rFonts w:cs="Arial" w:asciiTheme="minorEastAsia" w:hAnsiTheme="minorEastAsia" w:eastAsiaTheme="minorEastAsia"/>
          <w:b/>
          <w:bCs/>
          <w:sz w:val="28"/>
          <w:szCs w:val="28"/>
          <w:highlight w:val="none"/>
        </w:rPr>
      </w:pPr>
      <w:bookmarkStart w:id="1536" w:name="_Toc25750692"/>
    </w:p>
    <w:p>
      <w:pPr>
        <w:spacing w:line="360" w:lineRule="auto"/>
        <w:ind w:firstLine="562" w:firstLineChars="200"/>
        <w:outlineLvl w:val="1"/>
        <w:rPr>
          <w:rFonts w:cs="Arial" w:asciiTheme="minorEastAsia" w:hAnsiTheme="minorEastAsia" w:eastAsiaTheme="minorEastAsia"/>
          <w:b/>
          <w:bCs/>
          <w:sz w:val="28"/>
          <w:szCs w:val="28"/>
          <w:highlight w:val="none"/>
        </w:rPr>
      </w:pPr>
      <w:r>
        <w:rPr>
          <w:rFonts w:hint="eastAsia" w:cs="Arial" w:asciiTheme="minorEastAsia" w:hAnsiTheme="minorEastAsia" w:eastAsiaTheme="minorEastAsia"/>
          <w:b/>
          <w:bCs/>
          <w:sz w:val="28"/>
          <w:szCs w:val="28"/>
          <w:highlight w:val="none"/>
        </w:rPr>
        <w:t>一、评审原则</w:t>
      </w:r>
      <w:bookmarkEnd w:id="1536"/>
    </w:p>
    <w:p>
      <w:pPr>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1.1</w:t>
      </w:r>
      <w:r>
        <w:rPr>
          <w:rFonts w:hint="eastAsia" w:cs="Arial" w:asciiTheme="minorEastAsia" w:hAnsiTheme="minorEastAsia" w:eastAsiaTheme="minorEastAsia"/>
          <w:bCs/>
          <w:highlight w:val="none"/>
        </w:rPr>
        <w:t>评审委员会成员构成：本项目由南宁市金盾道路清障有限责任公司5人及以上单数组成评审小组，对比选申请文件按评审标准进行评审；由南宁市金盾道路清障有限责任公司综合管理部党务人员作为评审会议主持人，纪检监察部门进行监督。</w:t>
      </w:r>
    </w:p>
    <w:p>
      <w:pPr>
        <w:spacing w:line="360" w:lineRule="auto"/>
        <w:ind w:firstLine="420" w:firstLineChars="200"/>
        <w:rPr>
          <w:rFonts w:cs="Arial" w:asciiTheme="minorEastAsia" w:hAnsiTheme="minorEastAsia" w:eastAsiaTheme="minorEastAsia"/>
          <w:highlight w:val="none"/>
        </w:rPr>
      </w:pPr>
      <w:r>
        <w:rPr>
          <w:rFonts w:cs="Arial" w:asciiTheme="minorEastAsia" w:hAnsiTheme="minorEastAsia" w:eastAsiaTheme="minorEastAsia"/>
          <w:highlight w:val="none"/>
        </w:rPr>
        <w:t>1.2</w:t>
      </w:r>
      <w:r>
        <w:rPr>
          <w:rFonts w:hint="eastAsia" w:cs="Arial" w:asciiTheme="minorEastAsia" w:hAnsiTheme="minorEastAsia" w:eastAsiaTheme="minorEastAsia"/>
          <w:bCs/>
          <w:highlight w:val="none"/>
        </w:rPr>
        <w:t>评审依据：评审委员会以比选文件、比选申请文件为评审依据。</w:t>
      </w:r>
    </w:p>
    <w:p>
      <w:pPr>
        <w:spacing w:line="360" w:lineRule="auto"/>
        <w:ind w:firstLine="420" w:firstLineChars="200"/>
        <w:rPr>
          <w:rFonts w:cs="Arial" w:asciiTheme="minorEastAsia" w:hAnsiTheme="minorEastAsia" w:eastAsiaTheme="minorEastAsia"/>
          <w:bCs/>
          <w:highlight w:val="none"/>
        </w:rPr>
      </w:pPr>
      <w:r>
        <w:rPr>
          <w:rFonts w:cs="Arial" w:asciiTheme="minorEastAsia" w:hAnsiTheme="minorEastAsia" w:eastAsiaTheme="minorEastAsia"/>
          <w:highlight w:val="none"/>
        </w:rPr>
        <w:t>1.3</w:t>
      </w:r>
      <w:r>
        <w:rPr>
          <w:rFonts w:hint="eastAsia" w:cs="Arial" w:asciiTheme="minorEastAsia" w:hAnsiTheme="minorEastAsia" w:eastAsiaTheme="minorEastAsia"/>
          <w:bCs/>
          <w:highlight w:val="none"/>
        </w:rPr>
        <w:t>评审方式：以封闭方式进行。</w:t>
      </w:r>
    </w:p>
    <w:p>
      <w:pPr>
        <w:spacing w:line="360" w:lineRule="auto"/>
        <w:ind w:firstLine="562" w:firstLineChars="200"/>
        <w:outlineLvl w:val="1"/>
        <w:rPr>
          <w:rFonts w:cs="Arial" w:asciiTheme="minorEastAsia" w:hAnsiTheme="minorEastAsia" w:eastAsiaTheme="minorEastAsia"/>
          <w:b/>
          <w:highlight w:val="none"/>
        </w:rPr>
      </w:pPr>
      <w:bookmarkStart w:id="1537" w:name="_Toc15880"/>
      <w:bookmarkStart w:id="1538" w:name="_Toc29000"/>
      <w:bookmarkStart w:id="1539" w:name="_Toc25750693"/>
      <w:bookmarkStart w:id="1540" w:name="_Toc5136"/>
      <w:bookmarkStart w:id="1541" w:name="_Toc478566177"/>
      <w:bookmarkStart w:id="1542" w:name="_Toc11240"/>
      <w:r>
        <w:rPr>
          <w:rFonts w:hint="eastAsia" w:cs="Arial" w:asciiTheme="minorEastAsia" w:hAnsiTheme="minorEastAsia" w:eastAsiaTheme="minorEastAsia"/>
          <w:b/>
          <w:bCs/>
          <w:sz w:val="28"/>
          <w:szCs w:val="28"/>
          <w:highlight w:val="none"/>
        </w:rPr>
        <w:t>二、评定方法</w:t>
      </w:r>
      <w:bookmarkEnd w:id="1537"/>
      <w:bookmarkEnd w:id="1538"/>
      <w:bookmarkEnd w:id="1539"/>
      <w:bookmarkEnd w:id="1540"/>
      <w:bookmarkEnd w:id="1541"/>
      <w:bookmarkEnd w:id="1542"/>
    </w:p>
    <w:p>
      <w:pPr>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2.1对资格性和符合性检查合格的比选申请文件，采用最低评审价法进行评审。</w:t>
      </w:r>
    </w:p>
    <w:p>
      <w:pPr>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2.2评审委员会将依照本比选文件相关规定对质量和服务均能满足实质性响应要求的比选申请人所提交的报价按照由低到高的顺序提出</w:t>
      </w:r>
      <w:r>
        <w:rPr>
          <w:rFonts w:cs="Arial" w:asciiTheme="minorEastAsia" w:hAnsiTheme="minorEastAsia" w:eastAsiaTheme="minorEastAsia"/>
          <w:highlight w:val="none"/>
        </w:rPr>
        <w:t>1-</w:t>
      </w:r>
      <w:r>
        <w:rPr>
          <w:rFonts w:hint="eastAsia" w:cs="Arial" w:asciiTheme="minorEastAsia" w:hAnsiTheme="minorEastAsia" w:eastAsiaTheme="minorEastAsia"/>
          <w:highlight w:val="none"/>
        </w:rPr>
        <w:t>3名中选候选人，并编写评审报告。</w:t>
      </w:r>
    </w:p>
    <w:p>
      <w:pPr>
        <w:spacing w:line="360" w:lineRule="auto"/>
        <w:ind w:firstLine="420" w:firstLineChars="200"/>
        <w:rPr>
          <w:rFonts w:cs="Arial" w:asciiTheme="minorEastAsia" w:hAnsiTheme="minorEastAsia" w:eastAsiaTheme="minorEastAsia"/>
          <w:highlight w:val="none"/>
        </w:rPr>
      </w:pPr>
      <w:r>
        <w:rPr>
          <w:rFonts w:hint="eastAsia" w:cs="Arial" w:asciiTheme="minorEastAsia" w:hAnsiTheme="minorEastAsia" w:eastAsiaTheme="minorEastAsia"/>
          <w:highlight w:val="none"/>
        </w:rPr>
        <w:t>2.3若比选申请人的报价相同</w:t>
      </w:r>
      <w:r>
        <w:rPr>
          <w:rFonts w:cs="Arial" w:asciiTheme="minorEastAsia" w:hAnsiTheme="minorEastAsia" w:eastAsiaTheme="minorEastAsia"/>
          <w:highlight w:val="none"/>
        </w:rPr>
        <w:t>，</w:t>
      </w:r>
      <w:r>
        <w:rPr>
          <w:rFonts w:hint="eastAsia" w:cs="Arial" w:asciiTheme="minorEastAsia" w:hAnsiTheme="minorEastAsia" w:eastAsiaTheme="minorEastAsia"/>
          <w:highlight w:val="none"/>
        </w:rPr>
        <w:t>评审委员会</w:t>
      </w:r>
      <w:r>
        <w:rPr>
          <w:rFonts w:cs="Arial" w:asciiTheme="minorEastAsia" w:hAnsiTheme="minorEastAsia" w:eastAsiaTheme="minorEastAsia"/>
          <w:highlight w:val="none"/>
        </w:rPr>
        <w:t>以记名投票的方式按少数服从多数的原则决定其排名顺序</w:t>
      </w:r>
      <w:r>
        <w:rPr>
          <w:rFonts w:hint="eastAsia" w:cs="Arial" w:asciiTheme="minorEastAsia" w:hAnsiTheme="minorEastAsia" w:eastAsiaTheme="minorEastAsia"/>
          <w:highlight w:val="none"/>
        </w:rPr>
        <w:t>。</w:t>
      </w:r>
    </w:p>
    <w:p>
      <w:pPr>
        <w:spacing w:line="360" w:lineRule="auto"/>
        <w:ind w:left="707" w:leftChars="267" w:hanging="146" w:hangingChars="52"/>
        <w:rPr>
          <w:rFonts w:cs="Arial" w:asciiTheme="minorEastAsia" w:hAnsiTheme="minorEastAsia" w:eastAsiaTheme="minorEastAsia"/>
          <w:b/>
          <w:bCs/>
          <w:sz w:val="28"/>
          <w:szCs w:val="28"/>
          <w:highlight w:val="none"/>
        </w:rPr>
      </w:pPr>
      <w:r>
        <w:rPr>
          <w:rFonts w:hint="eastAsia" w:cs="Arial" w:asciiTheme="minorEastAsia" w:hAnsiTheme="minorEastAsia" w:eastAsiaTheme="minorEastAsia"/>
          <w:b/>
          <w:bCs/>
          <w:sz w:val="28"/>
          <w:szCs w:val="28"/>
          <w:highlight w:val="none"/>
        </w:rPr>
        <w:t>三、评审流程</w:t>
      </w:r>
    </w:p>
    <w:p>
      <w:pPr>
        <w:tabs>
          <w:tab w:val="left" w:pos="567"/>
        </w:tabs>
        <w:spacing w:line="360" w:lineRule="auto"/>
        <w:ind w:left="422"/>
        <w:rPr>
          <w:rFonts w:asciiTheme="minorEastAsia" w:hAnsiTheme="minorEastAsia" w:eastAsiaTheme="minorEastAsia"/>
          <w:b/>
          <w:highlight w:val="none"/>
        </w:rPr>
      </w:pPr>
      <w:r>
        <w:rPr>
          <w:rFonts w:hint="eastAsia" w:asciiTheme="minorEastAsia" w:hAnsiTheme="minorEastAsia" w:eastAsiaTheme="minorEastAsia"/>
          <w:b/>
          <w:highlight w:val="none"/>
        </w:rPr>
        <w:t>3.1资格审查</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资格审查采用定性评审法，审查比选申请人是否符合法律、法规、规章及比选文件对企业资质、业绩和其他强制性标准，是否处于正常的经营状况等情况。</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在本阶段不符合任何一项资格评审标准的比选申请人将被比选人拒绝，不得进入下一阶段的评审。评审标准详见附表一《资格审查表》。</w:t>
      </w:r>
    </w:p>
    <w:p>
      <w:pPr>
        <w:tabs>
          <w:tab w:val="left" w:pos="567"/>
        </w:tabs>
        <w:spacing w:line="360" w:lineRule="auto"/>
        <w:ind w:left="422"/>
        <w:rPr>
          <w:rFonts w:asciiTheme="minorEastAsia" w:hAnsiTheme="minorEastAsia" w:eastAsiaTheme="minorEastAsia"/>
          <w:b/>
          <w:highlight w:val="none"/>
        </w:rPr>
      </w:pPr>
      <w:r>
        <w:rPr>
          <w:rFonts w:hint="eastAsia" w:asciiTheme="minorEastAsia" w:hAnsiTheme="minorEastAsia" w:eastAsiaTheme="minorEastAsia"/>
          <w:b/>
          <w:highlight w:val="none"/>
        </w:rPr>
        <w:t>3.2初步评审</w:t>
      </w:r>
    </w:p>
    <w:p>
      <w:pPr>
        <w:tabs>
          <w:tab w:val="left" w:pos="851"/>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asciiTheme="minorEastAsia" w:hAnsiTheme="minorEastAsia" w:eastAsiaTheme="minorEastAsia"/>
          <w:highlight w:val="none"/>
        </w:rPr>
        <w:t>评审委员会根据</w:t>
      </w:r>
      <w:r>
        <w:rPr>
          <w:rFonts w:hint="eastAsia" w:asciiTheme="minorEastAsia" w:hAnsiTheme="minorEastAsia" w:eastAsiaTheme="minorEastAsia"/>
          <w:highlight w:val="none"/>
        </w:rPr>
        <w:t>比选</w:t>
      </w:r>
      <w:r>
        <w:rPr>
          <w:rFonts w:asciiTheme="minorEastAsia" w:hAnsiTheme="minorEastAsia" w:eastAsiaTheme="minorEastAsia"/>
          <w:highlight w:val="none"/>
        </w:rPr>
        <w:t>文件的要求对</w:t>
      </w:r>
      <w:r>
        <w:rPr>
          <w:rFonts w:hint="eastAsia" w:asciiTheme="minorEastAsia" w:hAnsiTheme="minorEastAsia" w:eastAsiaTheme="minorEastAsia"/>
          <w:highlight w:val="none"/>
        </w:rPr>
        <w:t>比选申请</w:t>
      </w:r>
      <w:r>
        <w:rPr>
          <w:rFonts w:asciiTheme="minorEastAsia" w:hAnsiTheme="minorEastAsia" w:eastAsiaTheme="minorEastAsia"/>
          <w:highlight w:val="none"/>
        </w:rPr>
        <w:t>人进行</w:t>
      </w:r>
      <w:r>
        <w:rPr>
          <w:rFonts w:hint="eastAsia" w:asciiTheme="minorEastAsia" w:hAnsiTheme="minorEastAsia" w:eastAsiaTheme="minorEastAsia"/>
          <w:highlight w:val="none"/>
        </w:rPr>
        <w:t>符合性</w:t>
      </w:r>
      <w:r>
        <w:rPr>
          <w:rFonts w:asciiTheme="minorEastAsia" w:hAnsiTheme="minorEastAsia" w:eastAsiaTheme="minorEastAsia"/>
          <w:highlight w:val="none"/>
        </w:rPr>
        <w:t>评审，未通过</w:t>
      </w:r>
      <w:r>
        <w:rPr>
          <w:rFonts w:hint="eastAsia" w:asciiTheme="minorEastAsia" w:hAnsiTheme="minorEastAsia" w:eastAsiaTheme="minorEastAsia"/>
          <w:highlight w:val="none"/>
        </w:rPr>
        <w:t>符合性</w:t>
      </w:r>
      <w:r>
        <w:rPr>
          <w:rFonts w:asciiTheme="minorEastAsia" w:hAnsiTheme="minorEastAsia" w:eastAsiaTheme="minorEastAsia"/>
          <w:highlight w:val="none"/>
        </w:rPr>
        <w:t>评审的</w:t>
      </w:r>
      <w:r>
        <w:rPr>
          <w:rFonts w:hint="eastAsia" w:asciiTheme="minorEastAsia" w:hAnsiTheme="minorEastAsia" w:eastAsiaTheme="minorEastAsia"/>
          <w:highlight w:val="none"/>
        </w:rPr>
        <w:t>比选申请</w:t>
      </w:r>
      <w:r>
        <w:rPr>
          <w:rFonts w:asciiTheme="minorEastAsia" w:hAnsiTheme="minorEastAsia" w:eastAsiaTheme="minorEastAsia"/>
          <w:highlight w:val="none"/>
        </w:rPr>
        <w:t>人不得进入下一阶段的评审。评审</w:t>
      </w:r>
      <w:r>
        <w:rPr>
          <w:rFonts w:hint="eastAsia" w:asciiTheme="minorEastAsia" w:hAnsiTheme="minorEastAsia" w:eastAsiaTheme="minorEastAsia"/>
          <w:highlight w:val="none"/>
        </w:rPr>
        <w:t>标准</w:t>
      </w:r>
      <w:r>
        <w:rPr>
          <w:rFonts w:asciiTheme="minorEastAsia" w:hAnsiTheme="minorEastAsia" w:eastAsiaTheme="minorEastAsia"/>
          <w:highlight w:val="none"/>
        </w:rPr>
        <w:t>见附表二《</w:t>
      </w:r>
      <w:r>
        <w:rPr>
          <w:rFonts w:hint="eastAsia" w:asciiTheme="minorEastAsia" w:hAnsiTheme="minorEastAsia" w:eastAsiaTheme="minorEastAsia"/>
          <w:highlight w:val="none"/>
        </w:rPr>
        <w:t>符合性</w:t>
      </w:r>
      <w:r>
        <w:rPr>
          <w:rFonts w:asciiTheme="minorEastAsia" w:hAnsiTheme="minorEastAsia" w:eastAsiaTheme="minorEastAsia"/>
          <w:highlight w:val="none"/>
        </w:rPr>
        <w:t>评审表》。</w:t>
      </w:r>
    </w:p>
    <w:p>
      <w:pPr>
        <w:tabs>
          <w:tab w:val="left" w:pos="851"/>
          <w:tab w:val="left" w:pos="1134"/>
        </w:tabs>
        <w:spacing w:line="360" w:lineRule="auto"/>
        <w:ind w:left="422"/>
        <w:rPr>
          <w:rFonts w:asciiTheme="minorEastAsia" w:hAnsiTheme="minorEastAsia" w:eastAsiaTheme="minorEastAsia"/>
          <w:b/>
          <w:highlight w:val="none"/>
        </w:rPr>
      </w:pPr>
      <w:r>
        <w:rPr>
          <w:rFonts w:hint="eastAsia" w:asciiTheme="minorEastAsia" w:hAnsiTheme="minorEastAsia" w:eastAsiaTheme="minorEastAsia"/>
          <w:b/>
          <w:highlight w:val="none"/>
        </w:rPr>
        <w:t>3.3价格评审</w:t>
      </w:r>
    </w:p>
    <w:p>
      <w:pPr>
        <w:tabs>
          <w:tab w:val="left" w:pos="851"/>
        </w:tabs>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3.3.1评审委员会</w:t>
      </w:r>
      <w:r>
        <w:rPr>
          <w:rFonts w:hint="eastAsia" w:asciiTheme="minorEastAsia" w:hAnsiTheme="minorEastAsia" w:eastAsiaTheme="minorEastAsia"/>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line="360" w:lineRule="auto"/>
        <w:ind w:left="105" w:leftChars="50"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asciiTheme="minorEastAsia" w:hAnsiTheme="minorEastAsia" w:eastAsiaTheme="minorEastAsia"/>
          <w:highlight w:val="none"/>
        </w:rPr>
        <w:t>.</w:t>
      </w:r>
      <w:r>
        <w:rPr>
          <w:rFonts w:hint="eastAsia" w:asciiTheme="minorEastAsia" w:hAnsiTheme="minorEastAsia" w:eastAsiaTheme="minorEastAsia"/>
          <w:highlight w:val="none"/>
        </w:rPr>
        <w:t>3</w:t>
      </w:r>
      <w:r>
        <w:rPr>
          <w:rFonts w:asciiTheme="minorEastAsia" w:hAnsiTheme="minorEastAsia" w:eastAsiaTheme="minorEastAsia"/>
          <w:highlight w:val="none"/>
        </w:rPr>
        <w:t>.2评审委员会</w:t>
      </w:r>
      <w:r>
        <w:rPr>
          <w:rFonts w:hint="eastAsia" w:asciiTheme="minorEastAsia" w:hAnsiTheme="minorEastAsia" w:eastAsiaTheme="minorEastAsia"/>
          <w:highlight w:val="none"/>
        </w:rPr>
        <w:t xml:space="preserve">对资格审查合格且通过初步评审的比选申请人比选申请报价进行算术修正，计算出评审总价。算术修正的原则如下： </w:t>
      </w:r>
    </w:p>
    <w:p>
      <w:pPr>
        <w:tabs>
          <w:tab w:val="left" w:pos="851"/>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）评审价以</w:t>
      </w:r>
      <w:r>
        <w:rPr>
          <w:rFonts w:hint="eastAsia" w:asciiTheme="minorEastAsia" w:hAnsiTheme="minorEastAsia" w:eastAsiaTheme="minorEastAsia"/>
          <w:highlight w:val="none"/>
          <w:lang w:val="en-US" w:eastAsia="zh-CN"/>
        </w:rPr>
        <w:t>不</w:t>
      </w:r>
      <w:r>
        <w:rPr>
          <w:rFonts w:hint="eastAsia" w:asciiTheme="minorEastAsia" w:hAnsiTheme="minorEastAsia" w:eastAsiaTheme="minorEastAsia"/>
          <w:highlight w:val="none"/>
        </w:rPr>
        <w:t>含税总报价为基准。</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asciiTheme="minorEastAsia" w:hAnsiTheme="minorEastAsia" w:eastAsiaTheme="minorEastAsia"/>
          <w:highlight w:val="none"/>
        </w:rPr>
        <w:t>（2）比选申请报价大写金额与小写金额不一致的，以大写金额为准</w:t>
      </w:r>
      <w:r>
        <w:rPr>
          <w:rFonts w:asciiTheme="minorEastAsia" w:hAnsiTheme="minorEastAsia" w:eastAsiaTheme="minorEastAsia"/>
          <w:highlight w:val="none"/>
        </w:rPr>
        <w:t>。</w:t>
      </w:r>
    </w:p>
    <w:p>
      <w:pPr>
        <w:tabs>
          <w:tab w:val="left" w:pos="420"/>
          <w:tab w:val="left" w:pos="1134"/>
        </w:tabs>
        <w:spacing w:line="360" w:lineRule="auto"/>
        <w:ind w:firstLine="420" w:firstLineChars="200"/>
        <w:rPr>
          <w:rFonts w:cs="Arial"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w:t>
      </w:r>
      <w:r>
        <w:rPr>
          <w:rFonts w:hint="eastAsia" w:ascii="宋体" w:hAnsi="宋体" w:cs="Arial"/>
          <w:color w:val="auto"/>
          <w:highlight w:val="none"/>
        </w:rPr>
        <w:t>按上述修正错误的规则对比选申请报价进行修正。评</w:t>
      </w:r>
      <w:r>
        <w:rPr>
          <w:rFonts w:hint="eastAsia" w:ascii="宋体" w:hAnsi="宋体" w:cs="Arial"/>
          <w:color w:val="auto"/>
          <w:highlight w:val="none"/>
          <w:lang w:eastAsia="zh-CN"/>
        </w:rPr>
        <w:t>审</w:t>
      </w:r>
      <w:r>
        <w:rPr>
          <w:rFonts w:hint="eastAsia" w:ascii="宋体" w:hAnsi="宋体" w:cs="Arial"/>
          <w:color w:val="auto"/>
          <w:highlight w:val="none"/>
        </w:rPr>
        <w:t>价格及</w:t>
      </w:r>
      <w:r>
        <w:rPr>
          <w:rFonts w:hint="eastAsia" w:ascii="宋体" w:hAnsi="宋体" w:cs="Arial"/>
          <w:color w:val="auto"/>
          <w:highlight w:val="none"/>
          <w:lang w:eastAsia="zh-CN"/>
        </w:rPr>
        <w:t>中选</w:t>
      </w:r>
      <w:r>
        <w:rPr>
          <w:rFonts w:hint="eastAsia" w:ascii="宋体" w:hAnsi="宋体" w:cs="Arial"/>
          <w:color w:val="auto"/>
          <w:highlight w:val="none"/>
        </w:rPr>
        <w:t>价均以修正后的报价为准。如比选申请人不接受按以上规则确定的评</w:t>
      </w:r>
      <w:r>
        <w:rPr>
          <w:rFonts w:hint="eastAsia" w:ascii="宋体" w:hAnsi="宋体" w:cs="Arial"/>
          <w:color w:val="auto"/>
          <w:highlight w:val="none"/>
          <w:lang w:eastAsia="zh-CN"/>
        </w:rPr>
        <w:t>审</w:t>
      </w:r>
      <w:r>
        <w:rPr>
          <w:rFonts w:hint="eastAsia" w:ascii="宋体" w:hAnsi="宋体" w:cs="Arial"/>
          <w:color w:val="auto"/>
          <w:highlight w:val="none"/>
        </w:rPr>
        <w:t>价格和</w:t>
      </w:r>
      <w:r>
        <w:rPr>
          <w:rFonts w:hint="eastAsia" w:ascii="宋体" w:hAnsi="宋体" w:cs="Arial"/>
          <w:color w:val="auto"/>
          <w:highlight w:val="none"/>
          <w:lang w:eastAsia="zh-CN"/>
        </w:rPr>
        <w:t>中选</w:t>
      </w:r>
      <w:r>
        <w:rPr>
          <w:rFonts w:hint="eastAsia" w:ascii="宋体" w:hAnsi="宋体" w:cs="Arial"/>
          <w:color w:val="auto"/>
          <w:highlight w:val="none"/>
        </w:rPr>
        <w:t>价，则其比选申请将被拒绝。</w:t>
      </w:r>
    </w:p>
    <w:p>
      <w:pPr>
        <w:tabs>
          <w:tab w:val="left" w:pos="567"/>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3.3.3出现下列情况的将不通过价格评审：</w:t>
      </w:r>
    </w:p>
    <w:p>
      <w:pPr>
        <w:pStyle w:val="76"/>
        <w:tabs>
          <w:tab w:val="left" w:pos="567"/>
        </w:tabs>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line="360" w:lineRule="auto"/>
        <w:ind w:left="422"/>
        <w:rPr>
          <w:rFonts w:asciiTheme="minorEastAsia" w:hAnsiTheme="minorEastAsia" w:eastAsiaTheme="minorEastAsia"/>
          <w:b w:val="0"/>
          <w:bCs/>
          <w:highlight w:val="none"/>
        </w:rPr>
      </w:pPr>
      <w:r>
        <w:rPr>
          <w:rFonts w:hint="eastAsia" w:asciiTheme="minorEastAsia" w:hAnsiTheme="minorEastAsia" w:eastAsiaTheme="minorEastAsia"/>
          <w:b w:val="0"/>
          <w:bCs/>
          <w:highlight w:val="none"/>
        </w:rPr>
        <w:t>3.3.4价格评审结果</w:t>
      </w:r>
    </w:p>
    <w:p>
      <w:pPr>
        <w:tabs>
          <w:tab w:val="left" w:pos="851"/>
        </w:tabs>
        <w:spacing w:line="360" w:lineRule="auto"/>
        <w:ind w:firstLine="420" w:firstLineChars="200"/>
        <w:rPr>
          <w:rFonts w:hint="eastAsia" w:cs="Arial" w:asciiTheme="minorEastAsia" w:hAnsiTheme="minorEastAsia" w:eastAsiaTheme="minorEastAsia"/>
          <w:b w:val="0"/>
          <w:bCs w:val="0"/>
          <w:highlight w:val="none"/>
        </w:rPr>
      </w:pPr>
      <w:r>
        <w:rPr>
          <w:rFonts w:hint="eastAsia" w:asciiTheme="minorEastAsia" w:hAnsiTheme="minorEastAsia" w:eastAsiaTheme="minorEastAsia"/>
          <w:highlight w:val="none"/>
        </w:rPr>
        <w:t>通过价格评审计算出比选申请人的实际评审总价，填写《比选申请价格评审表》（见附表三），由评审委员根据通过资格审查及符合性评审的比选申请人报价</w:t>
      </w:r>
      <w:r>
        <w:rPr>
          <w:rFonts w:hint="eastAsia" w:cs="Arial" w:asciiTheme="minorEastAsia" w:hAnsiTheme="minorEastAsia" w:eastAsiaTheme="minorEastAsia"/>
          <w:highlight w:val="none"/>
        </w:rPr>
        <w:t>按照由低到高的顺序提出</w:t>
      </w:r>
      <w:r>
        <w:rPr>
          <w:rFonts w:cs="Arial" w:asciiTheme="minorEastAsia" w:hAnsiTheme="minorEastAsia" w:eastAsiaTheme="minorEastAsia"/>
          <w:highlight w:val="none"/>
        </w:rPr>
        <w:t>1-3</w:t>
      </w:r>
      <w:r>
        <w:rPr>
          <w:rFonts w:hint="eastAsia" w:cs="Arial" w:asciiTheme="minorEastAsia" w:hAnsiTheme="minorEastAsia" w:eastAsiaTheme="minorEastAsia"/>
          <w:highlight w:val="none"/>
        </w:rPr>
        <w:t>名中选</w:t>
      </w:r>
      <w:r>
        <w:rPr>
          <w:rFonts w:hint="eastAsia" w:cs="Arial" w:asciiTheme="minorEastAsia" w:hAnsiTheme="minorEastAsia" w:eastAsiaTheme="minorEastAsia"/>
          <w:b w:val="0"/>
          <w:bCs w:val="0"/>
          <w:highlight w:val="none"/>
        </w:rPr>
        <w:t>候选人，并编写评审报告。</w:t>
      </w:r>
    </w:p>
    <w:p>
      <w:pPr>
        <w:tabs>
          <w:tab w:val="left" w:pos="567"/>
        </w:tabs>
        <w:spacing w:line="360" w:lineRule="auto"/>
        <w:ind w:left="422"/>
        <w:rPr>
          <w:rFonts w:asciiTheme="minorEastAsia" w:hAnsiTheme="minorEastAsia" w:eastAsiaTheme="minorEastAsia"/>
          <w:b/>
          <w:highlight w:val="none"/>
        </w:rPr>
      </w:pPr>
      <w:r>
        <w:rPr>
          <w:rFonts w:hint="eastAsia" w:asciiTheme="minorEastAsia" w:hAnsiTheme="minorEastAsia" w:eastAsiaTheme="minorEastAsia"/>
          <w:b/>
          <w:highlight w:val="none"/>
        </w:rPr>
        <w:t>3.</w:t>
      </w:r>
      <w:r>
        <w:rPr>
          <w:rFonts w:hint="eastAsia" w:asciiTheme="minorEastAsia" w:hAnsiTheme="minorEastAsia" w:eastAsiaTheme="minorEastAsia"/>
          <w:b/>
          <w:highlight w:val="none"/>
          <w:lang w:val="en-US" w:eastAsia="zh-CN"/>
        </w:rPr>
        <w:t>4</w:t>
      </w:r>
      <w:r>
        <w:rPr>
          <w:rFonts w:asciiTheme="minorEastAsia" w:hAnsiTheme="minorEastAsia" w:eastAsiaTheme="minorEastAsia"/>
          <w:b/>
          <w:highlight w:val="none"/>
        </w:rPr>
        <w:t>澄清或补正</w:t>
      </w:r>
    </w:p>
    <w:p>
      <w:pPr>
        <w:tabs>
          <w:tab w:val="left" w:pos="851"/>
          <w:tab w:val="left" w:pos="1134"/>
        </w:tabs>
        <w:spacing w:line="360" w:lineRule="auto"/>
        <w:ind w:left="42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ind w:left="42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.2</w:t>
      </w:r>
      <w:r>
        <w:rPr>
          <w:rFonts w:asciiTheme="minorEastAsia" w:hAnsiTheme="minorEastAsia" w:eastAsiaTheme="minorEastAsia"/>
          <w:highlight w:val="none"/>
        </w:rPr>
        <w:t>比选申请人须以书面形式提供澄清或补正文件，经评审委员会确认方可作为比选申请文件的组成部分。</w:t>
      </w:r>
    </w:p>
    <w:p>
      <w:pPr>
        <w:tabs>
          <w:tab w:val="left" w:pos="851"/>
          <w:tab w:val="left" w:pos="1134"/>
        </w:tabs>
        <w:spacing w:line="360" w:lineRule="auto"/>
        <w:ind w:left="42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.3</w:t>
      </w:r>
      <w:r>
        <w:rPr>
          <w:rFonts w:asciiTheme="minorEastAsia" w:hAnsiTheme="minorEastAsia" w:eastAsiaTheme="minorEastAsia"/>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ind w:left="42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.4</w:t>
      </w:r>
      <w:r>
        <w:rPr>
          <w:rFonts w:asciiTheme="minorEastAsia" w:hAnsiTheme="minorEastAsia" w:eastAsiaTheme="minorEastAsia"/>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ind w:left="420"/>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.5</w:t>
      </w:r>
      <w:r>
        <w:rPr>
          <w:rFonts w:asciiTheme="minorEastAsia" w:hAnsiTheme="minorEastAsia" w:eastAsiaTheme="minorEastAsia"/>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3.</w:t>
      </w:r>
      <w:r>
        <w:rPr>
          <w:rFonts w:hint="eastAsia" w:asciiTheme="minorEastAsia" w:hAnsiTheme="minorEastAsia" w:eastAsiaTheme="minorEastAsia"/>
          <w:b/>
          <w:highlight w:val="none"/>
          <w:lang w:val="en-US" w:eastAsia="zh-CN"/>
        </w:rPr>
        <w:t>5</w:t>
      </w:r>
      <w:r>
        <w:rPr>
          <w:rFonts w:asciiTheme="minorEastAsia" w:hAnsiTheme="minorEastAsia" w:eastAsiaTheme="minorEastAsia"/>
          <w:b/>
          <w:highlight w:val="none"/>
        </w:rPr>
        <w:t>评审报告</w:t>
      </w:r>
    </w:p>
    <w:p>
      <w:pPr>
        <w:tabs>
          <w:tab w:val="left" w:pos="993"/>
          <w:tab w:val="left" w:pos="1134"/>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Theme="minorEastAsia" w:hAnsiTheme="minorEastAsia" w:eastAsiaTheme="minorEastAsia"/>
          <w:highlight w:val="none"/>
        </w:rPr>
        <w:t>。</w:t>
      </w:r>
    </w:p>
    <w:p>
      <w:pPr>
        <w:tabs>
          <w:tab w:val="left" w:pos="851"/>
          <w:tab w:val="left" w:pos="993"/>
        </w:tabs>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）评审委员会根据报价按由低到高的顺序进行排序。</w:t>
      </w:r>
      <w:r>
        <w:rPr>
          <w:rFonts w:asciiTheme="minorEastAsia" w:hAnsiTheme="minorEastAsia" w:eastAsiaTheme="minorEastAsia"/>
          <w:highlight w:val="none"/>
        </w:rPr>
        <w:t>并在评审报告中</w:t>
      </w:r>
      <w:r>
        <w:rPr>
          <w:rFonts w:hint="eastAsia" w:asciiTheme="minorEastAsia" w:hAnsiTheme="minorEastAsia" w:eastAsiaTheme="minorEastAsia"/>
          <w:highlight w:val="none"/>
        </w:rPr>
        <w:t>推荐报价最低的比选申请人为第一中选候选人，推荐第二低者为第二中选候选人，第三低者为第三中选候选人。如果有</w:t>
      </w:r>
      <w:r>
        <w:rPr>
          <w:rFonts w:asciiTheme="minorEastAsia" w:hAnsiTheme="minorEastAsia" w:eastAsiaTheme="minorEastAsia"/>
          <w:highlight w:val="none"/>
        </w:rPr>
        <w:t>2</w:t>
      </w:r>
      <w:r>
        <w:rPr>
          <w:rFonts w:hint="eastAsia" w:asciiTheme="minorEastAsia" w:hAnsiTheme="minorEastAsia" w:eastAsiaTheme="minorEastAsia"/>
          <w:highlight w:val="none"/>
        </w:rPr>
        <w:t>个或</w:t>
      </w:r>
      <w:r>
        <w:rPr>
          <w:rFonts w:asciiTheme="minorEastAsia" w:hAnsiTheme="minorEastAsia" w:eastAsiaTheme="minorEastAsia"/>
          <w:highlight w:val="none"/>
        </w:rPr>
        <w:t>2</w:t>
      </w:r>
      <w:r>
        <w:rPr>
          <w:rFonts w:hint="eastAsia" w:asciiTheme="minorEastAsia" w:hAnsiTheme="minorEastAsia" w:eastAsiaTheme="minorEastAsia"/>
          <w:highlight w:val="none"/>
        </w:rPr>
        <w:t>个以上的比选申请人报价相同的，</w:t>
      </w:r>
      <w:r>
        <w:rPr>
          <w:rFonts w:hint="eastAsia" w:cs="Arial" w:asciiTheme="minorEastAsia" w:hAnsiTheme="minorEastAsia" w:eastAsiaTheme="minorEastAsia"/>
          <w:highlight w:val="none"/>
        </w:rPr>
        <w:t>评审委员会</w:t>
      </w:r>
      <w:r>
        <w:rPr>
          <w:rFonts w:cs="Arial" w:asciiTheme="minorEastAsia" w:hAnsiTheme="minorEastAsia" w:eastAsiaTheme="minorEastAsia"/>
          <w:highlight w:val="none"/>
        </w:rPr>
        <w:t>以记名投票的方式按少数服从多数的原则决定其排名顺序</w:t>
      </w:r>
      <w:r>
        <w:rPr>
          <w:rFonts w:hint="eastAsia" w:cs="Arial" w:asciiTheme="minorEastAsia" w:hAnsiTheme="minorEastAsia" w:eastAsiaTheme="minorEastAsia"/>
          <w:highlight w:val="none"/>
        </w:rPr>
        <w:t>。</w:t>
      </w:r>
    </w:p>
    <w:p>
      <w:pPr>
        <w:spacing w:line="360" w:lineRule="auto"/>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3.6</w:t>
      </w:r>
      <w:r>
        <w:rPr>
          <w:rFonts w:asciiTheme="minorEastAsia" w:hAnsiTheme="minorEastAsia" w:eastAsiaTheme="minorEastAsia"/>
          <w:b/>
          <w:highlight w:val="none"/>
        </w:rPr>
        <w:t>否决比选申请条件</w:t>
      </w:r>
    </w:p>
    <w:p>
      <w:pPr>
        <w:spacing w:line="360" w:lineRule="auto"/>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比选申请文件有下列情形之一的，评审委员会应按否决比选申请处理：</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（1）不符合附表一《资格审查表》规定的；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（2）不符合附表二《符合性评审表》规定的；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（3）法定代表人未按规定出具授权委托书的(采用委托代理人形式的)；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（4）在比选申请文件中有虚假文件和/或资料的；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（5）比选申请文件中附有比选人不能接受的条件；</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（6）比选申请文件实质上不响应比选文件的要求的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 xml:space="preserve">（7）比选申请人以经评审委员会评审认定为低于成本的报价竞标； </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（8）比选申请人扰乱会场秩序，经劝阻仍然无理取闹的；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（9）比选申请人未能按照评审委员会要求，对其比选申请文件进行澄清、说明和补正的；</w:t>
      </w:r>
    </w:p>
    <w:p>
      <w:pPr>
        <w:tabs>
          <w:tab w:val="left" w:pos="1276"/>
        </w:tabs>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（10）比选申请人以他人的名义比选申请、串通比选申请、以行贿手段谋取中选或者以其他弄虚作假方式比选申请的。</w:t>
      </w:r>
    </w:p>
    <w:p>
      <w:pPr>
        <w:tabs>
          <w:tab w:val="left" w:pos="1276"/>
        </w:tabs>
        <w:ind w:left="420"/>
        <w:jc w:val="left"/>
        <w:rPr>
          <w:rFonts w:asciiTheme="minorEastAsia" w:hAnsiTheme="minorEastAsia" w:eastAsiaTheme="minorEastAsia"/>
          <w:b/>
          <w:highlight w:val="none"/>
        </w:rPr>
        <w:sectPr>
          <w:pgSz w:w="11905" w:h="16838"/>
          <w:pgMar w:top="1418" w:right="1418" w:bottom="1304" w:left="1418" w:header="454" w:footer="567" w:gutter="0"/>
          <w:cols w:space="720" w:num="1"/>
          <w:docGrid w:linePitch="312" w:charSpace="0"/>
        </w:sectPr>
      </w:pPr>
    </w:p>
    <w:p>
      <w:pPr>
        <w:pStyle w:val="4"/>
        <w:spacing w:after="0" w:line="360" w:lineRule="auto"/>
        <w:ind w:right="-57"/>
        <w:rPr>
          <w:rFonts w:asciiTheme="minorEastAsia" w:hAnsiTheme="minorEastAsia" w:eastAsiaTheme="minorEastAsia"/>
          <w:sz w:val="21"/>
          <w:szCs w:val="21"/>
          <w:highlight w:val="none"/>
        </w:rPr>
      </w:pPr>
      <w:bookmarkStart w:id="1543" w:name="_Toc22464"/>
      <w:bookmarkStart w:id="1544" w:name="_Toc31611"/>
      <w:bookmarkStart w:id="1545" w:name="_Toc9189"/>
      <w:bookmarkStart w:id="1546" w:name="_Toc414290583"/>
      <w:bookmarkStart w:id="1547" w:name="_Toc19557"/>
      <w:bookmarkStart w:id="1548" w:name="_Toc10968"/>
      <w:bookmarkStart w:id="1549" w:name="_Toc29245"/>
      <w:bookmarkStart w:id="1550" w:name="_Toc9730"/>
      <w:bookmarkStart w:id="1551" w:name="_Toc434"/>
      <w:bookmarkStart w:id="1552" w:name="_Toc15224"/>
      <w:bookmarkStart w:id="1553" w:name="_Toc25750694"/>
      <w:bookmarkStart w:id="1554" w:name="_Toc29923"/>
      <w:bookmarkStart w:id="1555" w:name="_Toc28404"/>
      <w:bookmarkStart w:id="1556" w:name="_Toc492478849"/>
      <w:bookmarkStart w:id="1557" w:name="_Toc27271"/>
      <w:bookmarkStart w:id="1558" w:name="_Toc9588"/>
      <w:bookmarkStart w:id="1559" w:name="_Toc16364"/>
      <w:bookmarkStart w:id="1560" w:name="_Toc23314"/>
      <w:bookmarkStart w:id="1561" w:name="_Toc15073"/>
      <w:bookmarkStart w:id="1562" w:name="_Toc18096"/>
      <w:r>
        <w:rPr>
          <w:rFonts w:hint="eastAsia" w:asciiTheme="minorEastAsia" w:hAnsiTheme="minorEastAsia" w:eastAsiaTheme="minorEastAsia"/>
          <w:sz w:val="21"/>
          <w:szCs w:val="21"/>
          <w:highlight w:val="none"/>
        </w:rPr>
        <w:t>附表一 资格审查表</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snapToGrid w:val="0"/>
        <w:spacing w:line="360" w:lineRule="exact"/>
        <w:ind w:left="420" w:right="240"/>
        <w:jc w:val="center"/>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序号</w:t>
            </w:r>
          </w:p>
        </w:tc>
        <w:tc>
          <w:tcPr>
            <w:tcW w:w="1076"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项目内容</w:t>
            </w:r>
          </w:p>
        </w:tc>
        <w:tc>
          <w:tcPr>
            <w:tcW w:w="2873"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合格条件标准</w:t>
            </w:r>
          </w:p>
        </w:tc>
        <w:tc>
          <w:tcPr>
            <w:tcW w:w="1379"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评审依据</w:t>
            </w:r>
          </w:p>
        </w:tc>
        <w:tc>
          <w:tcPr>
            <w:tcW w:w="1094"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评审结果（合格</w:t>
            </w:r>
            <w:r>
              <w:rPr>
                <w:rFonts w:asciiTheme="minorEastAsia" w:hAnsiTheme="minorEastAsia" w:eastAsiaTheme="minorEastAsia"/>
                <w:highlight w:val="none"/>
              </w:rPr>
              <w:t>/</w:t>
            </w:r>
            <w:r>
              <w:rPr>
                <w:rFonts w:hint="eastAsia" w:asciiTheme="minorEastAsia" w:hAnsiTheme="minorEastAsia" w:eastAsiaTheme="minorEastAsia"/>
                <w:highlight w:val="none"/>
              </w:rPr>
              <w:t>不合格）</w:t>
            </w:r>
          </w:p>
        </w:tc>
        <w:tc>
          <w:tcPr>
            <w:tcW w:w="2401"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Theme="minorEastAsia" w:hAnsiTheme="minorEastAsia" w:eastAsiaTheme="minorEastAsia"/>
                <w:highlight w:val="none"/>
              </w:rPr>
            </w:pPr>
            <w:r>
              <w:rPr>
                <w:rFonts w:asciiTheme="minorEastAsia" w:hAnsiTheme="minorEastAsia" w:eastAsiaTheme="minorEastAsia"/>
                <w:highlight w:val="none"/>
              </w:rPr>
              <w:t>1</w:t>
            </w:r>
          </w:p>
        </w:tc>
        <w:tc>
          <w:tcPr>
            <w:tcW w:w="107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身份证明材料</w:t>
            </w:r>
          </w:p>
        </w:tc>
        <w:tc>
          <w:tcPr>
            <w:tcW w:w="2873"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法定代表人授权书及法定代表人资格证明书（如无授权时，只需提供法定代表人资格证明书）、法定代表人及被授权人身份证复印件。</w:t>
            </w:r>
          </w:p>
        </w:tc>
        <w:tc>
          <w:tcPr>
            <w:tcW w:w="1379"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法定代表人授权书，法定代表人资格证明书和身份证复印件</w:t>
            </w:r>
          </w:p>
        </w:tc>
        <w:tc>
          <w:tcPr>
            <w:tcW w:w="1094" w:type="dxa"/>
            <w:vAlign w:val="center"/>
          </w:tcPr>
          <w:p>
            <w:pPr>
              <w:rPr>
                <w:rFonts w:asciiTheme="minorEastAsia" w:hAnsiTheme="minorEastAsia" w:eastAsiaTheme="minorEastAsia"/>
                <w:highlight w:val="none"/>
              </w:rPr>
            </w:pPr>
          </w:p>
        </w:tc>
        <w:tc>
          <w:tcPr>
            <w:tcW w:w="2401"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asciiTheme="minorEastAsia" w:hAnsiTheme="minorEastAsia" w:eastAsiaTheme="minorEastAsia"/>
                <w:highlight w:val="none"/>
              </w:rPr>
            </w:pPr>
            <w:r>
              <w:rPr>
                <w:rFonts w:asciiTheme="minorEastAsia" w:hAnsiTheme="minorEastAsia" w:eastAsiaTheme="minorEastAsia"/>
                <w:highlight w:val="none"/>
              </w:rPr>
              <w:t>2</w:t>
            </w:r>
          </w:p>
        </w:tc>
        <w:tc>
          <w:tcPr>
            <w:tcW w:w="107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比选申请人资格</w:t>
            </w:r>
          </w:p>
        </w:tc>
        <w:tc>
          <w:tcPr>
            <w:tcW w:w="2873"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比选申请人为中华人民共和国境内依法设立的法人或其他组织</w:t>
            </w:r>
          </w:p>
        </w:tc>
        <w:tc>
          <w:tcPr>
            <w:tcW w:w="1379"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营业执照副本或事业单位法人证书等证明文件</w:t>
            </w:r>
          </w:p>
        </w:tc>
        <w:tc>
          <w:tcPr>
            <w:tcW w:w="1094" w:type="dxa"/>
            <w:vAlign w:val="center"/>
          </w:tcPr>
          <w:p>
            <w:pPr>
              <w:rPr>
                <w:rFonts w:asciiTheme="minorEastAsia" w:hAnsiTheme="minorEastAsia" w:eastAsiaTheme="minorEastAsia"/>
                <w:highlight w:val="none"/>
              </w:rPr>
            </w:pPr>
          </w:p>
        </w:tc>
        <w:tc>
          <w:tcPr>
            <w:tcW w:w="2401"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asciiTheme="minorEastAsia" w:hAnsiTheme="minorEastAsia" w:eastAsiaTheme="minorEastAsia"/>
                <w:highlight w:val="none"/>
              </w:rPr>
            </w:pPr>
            <w:r>
              <w:rPr>
                <w:rFonts w:asciiTheme="minorEastAsia" w:hAnsiTheme="minorEastAsia" w:eastAsiaTheme="minorEastAsia"/>
                <w:highlight w:val="none"/>
              </w:rPr>
              <w:t>3</w:t>
            </w:r>
          </w:p>
        </w:tc>
        <w:tc>
          <w:tcPr>
            <w:tcW w:w="107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资质证书</w:t>
            </w:r>
          </w:p>
        </w:tc>
        <w:tc>
          <w:tcPr>
            <w:tcW w:w="2873" w:type="dxa"/>
            <w:vAlign w:val="center"/>
          </w:tcPr>
          <w:p>
            <w:pPr>
              <w:rPr>
                <w:rFonts w:asciiTheme="minorEastAsia" w:hAnsiTheme="minorEastAsia" w:eastAsiaTheme="minorEastAsia"/>
                <w:highlight w:val="none"/>
              </w:rPr>
            </w:pPr>
            <w:r>
              <w:rPr>
                <w:rFonts w:hint="eastAsia" w:asciiTheme="minorEastAsia" w:hAnsiTheme="minorEastAsia" w:eastAsiaTheme="minorEastAsia"/>
                <w:color w:val="000000" w:themeColor="text1"/>
                <w:highlight w:val="none"/>
                <w14:textFill>
                  <w14:solidFill>
                    <w14:schemeClr w14:val="tx1"/>
                  </w14:solidFill>
                </w14:textFill>
              </w:rPr>
              <w:t>比选申请人</w:t>
            </w:r>
            <w:r>
              <w:rPr>
                <w:rFonts w:hint="eastAsia" w:ascii="宋体" w:hAnsi="宋体" w:cs="宋体"/>
                <w:color w:val="000000" w:themeColor="text1"/>
                <w:szCs w:val="21"/>
                <w:highlight w:val="none"/>
                <w14:textFill>
                  <w14:solidFill>
                    <w14:schemeClr w14:val="tx1"/>
                  </w14:solidFill>
                </w14:textFill>
              </w:rPr>
              <w:t>必须具有《中华人民共和国特种设备安装改造维修许可证（电梯）》安装、维修</w:t>
            </w:r>
            <w:r>
              <w:rPr>
                <w:rFonts w:ascii="宋体" w:hAnsi="宋体" w:cs="宋体"/>
                <w:color w:val="000000" w:themeColor="text1"/>
                <w:szCs w:val="21"/>
                <w:highlight w:val="none"/>
                <w14:textFill>
                  <w14:solidFill>
                    <w14:schemeClr w14:val="tx1"/>
                  </w14:solidFill>
                </w14:textFill>
              </w:rPr>
              <w:t>A2</w:t>
            </w:r>
            <w:r>
              <w:rPr>
                <w:rFonts w:hint="eastAsia" w:ascii="宋体" w:hAnsi="宋体" w:cs="宋体"/>
                <w:color w:val="000000" w:themeColor="text1"/>
                <w:szCs w:val="21"/>
                <w:highlight w:val="none"/>
                <w14:textFill>
                  <w14:solidFill>
                    <w14:schemeClr w14:val="tx1"/>
                  </w14:solidFill>
                </w14:textFill>
              </w:rPr>
              <w:t>级及以上证书或《中华人民共和国特种设备生产许可证》电梯安装（含修理）【曳引驱动载货电梯和强制驱动载货电梯（含防爆电梯中的载货电梯）】证书</w:t>
            </w:r>
          </w:p>
        </w:tc>
        <w:tc>
          <w:tcPr>
            <w:tcW w:w="1379"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资质证书复印件</w:t>
            </w:r>
          </w:p>
        </w:tc>
        <w:tc>
          <w:tcPr>
            <w:tcW w:w="1094" w:type="dxa"/>
            <w:vAlign w:val="center"/>
          </w:tcPr>
          <w:p>
            <w:pPr>
              <w:rPr>
                <w:rFonts w:asciiTheme="minorEastAsia" w:hAnsiTheme="minorEastAsia" w:eastAsiaTheme="minorEastAsia"/>
                <w:highlight w:val="none"/>
              </w:rPr>
            </w:pPr>
          </w:p>
        </w:tc>
        <w:tc>
          <w:tcPr>
            <w:tcW w:w="2401"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比选申请人有效的资质证书复印件并加盖公章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asciiTheme="minorEastAsia" w:hAnsiTheme="minorEastAsia" w:eastAsiaTheme="minorEastAsia"/>
                <w:highlight w:val="none"/>
              </w:rPr>
            </w:pPr>
            <w:r>
              <w:rPr>
                <w:rFonts w:asciiTheme="minorEastAsia" w:hAnsiTheme="minorEastAsia" w:eastAsiaTheme="minorEastAsia"/>
                <w:highlight w:val="none"/>
              </w:rPr>
              <w:t>4</w:t>
            </w:r>
          </w:p>
        </w:tc>
        <w:tc>
          <w:tcPr>
            <w:tcW w:w="1076"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承诺书</w:t>
            </w:r>
          </w:p>
        </w:tc>
        <w:tc>
          <w:tcPr>
            <w:tcW w:w="2873"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比选申请人没有处于行政主管部门或业主取消比选申请资格的处罚期内，且没有被责令停业，财产被接管</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rPr>
              <w:t>破产状态；比选申请截止日前</w:t>
            </w:r>
            <w:r>
              <w:rPr>
                <w:rFonts w:asciiTheme="minorEastAsia" w:hAnsiTheme="minorEastAsia" w:eastAsiaTheme="minorEastAsia"/>
                <w:highlight w:val="none"/>
              </w:rPr>
              <w:t>3</w:t>
            </w:r>
            <w:r>
              <w:rPr>
                <w:rFonts w:hint="eastAsia" w:asciiTheme="minorEastAsia" w:hAnsiTheme="minorEastAsia" w:eastAsiaTheme="minorEastAsia"/>
                <w:highlight w:val="none"/>
              </w:rPr>
              <w:t>年内没有骗取中选、严重违约责任事故的情况。</w:t>
            </w:r>
          </w:p>
        </w:tc>
        <w:tc>
          <w:tcPr>
            <w:tcW w:w="1379"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承诺书原件</w:t>
            </w:r>
          </w:p>
        </w:tc>
        <w:tc>
          <w:tcPr>
            <w:tcW w:w="1094" w:type="dxa"/>
            <w:vAlign w:val="center"/>
          </w:tcPr>
          <w:p>
            <w:pPr>
              <w:rPr>
                <w:rFonts w:asciiTheme="minorEastAsia" w:hAnsiTheme="minorEastAsia" w:eastAsiaTheme="minorEastAsia"/>
                <w:highlight w:val="none"/>
              </w:rPr>
            </w:pPr>
          </w:p>
        </w:tc>
        <w:tc>
          <w:tcPr>
            <w:tcW w:w="2401"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按规定格式提供承诺书</w:t>
            </w:r>
          </w:p>
        </w:tc>
      </w:tr>
    </w:tbl>
    <w:p>
      <w:pPr>
        <w:snapToGrid w:val="0"/>
        <w:rPr>
          <w:rFonts w:asciiTheme="minorEastAsia" w:hAnsiTheme="minorEastAsia" w:eastAsiaTheme="minorEastAsia"/>
          <w:b/>
          <w:highlight w:val="none"/>
        </w:rPr>
      </w:pPr>
      <w:r>
        <w:rPr>
          <w:rFonts w:hint="eastAsia" w:asciiTheme="minorEastAsia" w:hAnsiTheme="minorEastAsia" w:eastAsiaTheme="minorEastAsia"/>
          <w:b/>
          <w:highlight w:val="none"/>
        </w:rPr>
        <w:t>注：1.以上所有证明资料原件备查。</w:t>
      </w:r>
    </w:p>
    <w:p>
      <w:pPr>
        <w:snapToGrid w:val="0"/>
        <w:ind w:firstLine="42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2.比选申请人如未通过上述资格审查，则作比选申请被否决处理并不得进入下一阶段评审。</w:t>
      </w:r>
    </w:p>
    <w:p>
      <w:pPr>
        <w:pStyle w:val="4"/>
        <w:spacing w:after="0" w:line="360" w:lineRule="auto"/>
        <w:ind w:right="-57"/>
        <w:rPr>
          <w:rFonts w:asciiTheme="minorEastAsia" w:hAnsiTheme="minorEastAsia" w:eastAsiaTheme="minorEastAsia"/>
          <w:sz w:val="24"/>
          <w:szCs w:val="24"/>
          <w:highlight w:val="none"/>
        </w:rPr>
      </w:pPr>
      <w:r>
        <w:rPr>
          <w:rFonts w:asciiTheme="minorEastAsia" w:hAnsiTheme="minorEastAsia" w:eastAsiaTheme="minorEastAsia"/>
          <w:highlight w:val="none"/>
        </w:rPr>
        <w:br w:type="page"/>
      </w:r>
      <w:bookmarkStart w:id="1563" w:name="_Toc25750695"/>
      <w:bookmarkStart w:id="1564" w:name="_Toc191"/>
      <w:bookmarkStart w:id="1565" w:name="_Toc1459"/>
      <w:bookmarkStart w:id="1566" w:name="_Toc8945"/>
      <w:bookmarkStart w:id="1567" w:name="_Toc12984826"/>
      <w:bookmarkStart w:id="1568" w:name="_Toc5737"/>
      <w:bookmarkStart w:id="1569" w:name="_Toc6102"/>
      <w:bookmarkStart w:id="1570" w:name="_Toc12983557"/>
      <w:bookmarkStart w:id="1571" w:name="_Toc22635"/>
      <w:bookmarkStart w:id="1572" w:name="_Toc15103"/>
      <w:bookmarkStart w:id="1573" w:name="_Toc3409"/>
      <w:bookmarkStart w:id="1574" w:name="_Toc19299"/>
      <w:bookmarkStart w:id="1575" w:name="_Toc20215"/>
      <w:bookmarkStart w:id="1576" w:name="_Toc492478850"/>
      <w:bookmarkStart w:id="1577" w:name="_Toc6612"/>
      <w:bookmarkStart w:id="1578" w:name="_Toc7852"/>
      <w:bookmarkStart w:id="1579" w:name="_Toc5811"/>
      <w:bookmarkStart w:id="1580" w:name="_Toc31487"/>
      <w:bookmarkStart w:id="1581" w:name="_Toc25123"/>
      <w:bookmarkStart w:id="1582" w:name="_Toc9343"/>
      <w:bookmarkStart w:id="1583" w:name="_Toc29670"/>
      <w:r>
        <w:rPr>
          <w:rFonts w:asciiTheme="minorEastAsia" w:hAnsiTheme="minorEastAsia" w:eastAsiaTheme="minorEastAsia"/>
          <w:sz w:val="21"/>
          <w:szCs w:val="21"/>
          <w:highlight w:val="none"/>
        </w:rPr>
        <w:t xml:space="preserve">附表二 </w:t>
      </w:r>
      <w:r>
        <w:rPr>
          <w:rFonts w:hint="eastAsia" w:asciiTheme="minorEastAsia" w:hAnsiTheme="minorEastAsia" w:eastAsiaTheme="minorEastAsia"/>
          <w:sz w:val="21"/>
          <w:szCs w:val="21"/>
          <w:highlight w:val="none"/>
        </w:rPr>
        <w:t>符合性</w:t>
      </w:r>
      <w:r>
        <w:rPr>
          <w:rFonts w:asciiTheme="minorEastAsia" w:hAnsiTheme="minorEastAsia" w:eastAsiaTheme="minorEastAsia"/>
          <w:sz w:val="21"/>
          <w:szCs w:val="21"/>
          <w:highlight w:val="none"/>
        </w:rPr>
        <w:t>评审表</w:t>
      </w:r>
      <w:bookmarkEnd w:id="1563"/>
    </w:p>
    <w:p>
      <w:pPr>
        <w:jc w:val="center"/>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符合性</w:t>
      </w:r>
      <w:r>
        <w:rPr>
          <w:rFonts w:asciiTheme="minorEastAsia" w:hAnsiTheme="minorEastAsia" w:eastAsiaTheme="minorEastAsia"/>
          <w:b/>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rPr>
                <w:rFonts w:asciiTheme="minorEastAsia" w:hAnsiTheme="minorEastAsia" w:eastAsiaTheme="minorEastAsia"/>
                <w:highlight w:val="none"/>
              </w:rPr>
            </w:pPr>
            <w:r>
              <w:rPr>
                <w:rFonts w:asciiTheme="minorEastAsia" w:hAnsiTheme="minorEastAsia" w:eastAsiaTheme="minorEastAsia"/>
                <w:highlight w:val="none"/>
              </w:rPr>
              <w:t>序号</w:t>
            </w:r>
          </w:p>
        </w:tc>
        <w:tc>
          <w:tcPr>
            <w:tcW w:w="6096" w:type="dxa"/>
            <w:tcBorders>
              <w:top w:val="single" w:color="auto" w:sz="1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评审项目</w:t>
            </w:r>
          </w:p>
        </w:tc>
        <w:tc>
          <w:tcPr>
            <w:tcW w:w="1134" w:type="dxa"/>
            <w:tcBorders>
              <w:top w:val="single" w:color="auto" w:sz="1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评审结果</w:t>
            </w:r>
          </w:p>
        </w:tc>
        <w:tc>
          <w:tcPr>
            <w:tcW w:w="1098" w:type="dxa"/>
            <w:tcBorders>
              <w:top w:val="single" w:color="auto" w:sz="1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rPr>
                <w:rFonts w:asciiTheme="minorEastAsia" w:hAnsiTheme="minorEastAsia" w:eastAsiaTheme="minorEastAsia"/>
                <w:highlight w:val="none"/>
              </w:rPr>
            </w:pPr>
            <w:r>
              <w:rPr>
                <w:rFonts w:asciiTheme="minorEastAsia" w:hAnsiTheme="minorEastAsia" w:eastAsiaTheme="minorEastAsia"/>
                <w:highlight w:val="none"/>
              </w:rPr>
              <w:t>1</w:t>
            </w:r>
          </w:p>
        </w:tc>
        <w:tc>
          <w:tcPr>
            <w:tcW w:w="609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比选申请文件按要求在规定的位置签字（或盖章）并加盖比选申请人单位公章的</w:t>
            </w:r>
          </w:p>
        </w:tc>
        <w:tc>
          <w:tcPr>
            <w:tcW w:w="1134" w:type="dxa"/>
          </w:tcPr>
          <w:p>
            <w:pPr>
              <w:rPr>
                <w:rFonts w:asciiTheme="minorEastAsia" w:hAnsiTheme="minorEastAsia" w:eastAsiaTheme="minorEastAsia"/>
                <w:highlight w:val="none"/>
              </w:rPr>
            </w:pPr>
          </w:p>
        </w:tc>
        <w:tc>
          <w:tcPr>
            <w:tcW w:w="1098" w:type="dxa"/>
            <w:vMerge w:val="restart"/>
            <w:vAlign w:val="center"/>
          </w:tcPr>
          <w:p>
            <w:pPr>
              <w:rPr>
                <w:rFonts w:asciiTheme="minorEastAsia" w:hAnsiTheme="minorEastAsia" w:eastAsiaTheme="minorEastAsia"/>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rFonts w:asciiTheme="minorEastAsia" w:hAnsiTheme="minorEastAsia" w:eastAsiaTheme="minorEastAsia"/>
                <w:highlight w:val="none"/>
              </w:rPr>
            </w:pPr>
            <w:r>
              <w:rPr>
                <w:rFonts w:asciiTheme="minorEastAsia" w:hAnsiTheme="minorEastAsia" w:eastAsiaTheme="minorEastAsia"/>
                <w:highlight w:val="none"/>
              </w:rPr>
              <w:t>2</w:t>
            </w:r>
          </w:p>
        </w:tc>
        <w:tc>
          <w:tcPr>
            <w:tcW w:w="609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比选申请文件的实质性内容按规定填写、内容齐全的；（按比选文件第四章节规定格式填写的）</w:t>
            </w:r>
          </w:p>
        </w:tc>
        <w:tc>
          <w:tcPr>
            <w:tcW w:w="1134" w:type="dxa"/>
          </w:tcPr>
          <w:p>
            <w:pPr>
              <w:rPr>
                <w:rFonts w:asciiTheme="minorEastAsia" w:hAnsiTheme="minorEastAsia" w:eastAsiaTheme="minorEastAsia"/>
                <w:highlight w:val="none"/>
              </w:rPr>
            </w:pPr>
          </w:p>
        </w:tc>
        <w:tc>
          <w:tcPr>
            <w:tcW w:w="1098" w:type="dxa"/>
            <w:vMerge w:val="continue"/>
            <w:vAlign w:val="center"/>
          </w:tcPr>
          <w:p>
            <w:pPr>
              <w:rPr>
                <w:rFonts w:asciiTheme="minorEastAsia" w:hAnsiTheme="minorEastAsia" w:eastAsiaTheme="minorEastAsia"/>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3</w:t>
            </w:r>
          </w:p>
        </w:tc>
        <w:tc>
          <w:tcPr>
            <w:tcW w:w="609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在比选申请文件中无虚假文件和</w:t>
            </w:r>
            <w:r>
              <w:rPr>
                <w:rFonts w:asciiTheme="minorEastAsia" w:hAnsiTheme="minorEastAsia" w:eastAsiaTheme="minorEastAsia"/>
                <w:highlight w:val="none"/>
              </w:rPr>
              <w:t>/</w:t>
            </w:r>
            <w:r>
              <w:rPr>
                <w:rFonts w:hint="eastAsia" w:asciiTheme="minorEastAsia" w:hAnsiTheme="minorEastAsia" w:eastAsiaTheme="minorEastAsia"/>
                <w:highlight w:val="none"/>
              </w:rPr>
              <w:t>或资料的</w:t>
            </w:r>
          </w:p>
        </w:tc>
        <w:tc>
          <w:tcPr>
            <w:tcW w:w="1134" w:type="dxa"/>
          </w:tcPr>
          <w:p>
            <w:pPr>
              <w:rPr>
                <w:rFonts w:asciiTheme="minorEastAsia" w:hAnsiTheme="minorEastAsia" w:eastAsiaTheme="minorEastAsia"/>
                <w:highlight w:val="none"/>
              </w:rPr>
            </w:pPr>
          </w:p>
        </w:tc>
        <w:tc>
          <w:tcPr>
            <w:tcW w:w="1098" w:type="dxa"/>
            <w:vMerge w:val="continue"/>
            <w:vAlign w:val="center"/>
          </w:tcPr>
          <w:p>
            <w:pPr>
              <w:rPr>
                <w:rFonts w:asciiTheme="minorEastAsia" w:hAnsiTheme="minorEastAsia" w:eastAsiaTheme="minorEastAsia"/>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4</w:t>
            </w:r>
          </w:p>
        </w:tc>
        <w:tc>
          <w:tcPr>
            <w:tcW w:w="6096" w:type="dxa"/>
            <w:vAlign w:val="center"/>
          </w:tcPr>
          <w:p>
            <w:pPr>
              <w:rPr>
                <w:rFonts w:asciiTheme="minorEastAsia" w:hAnsiTheme="minorEastAsia" w:eastAsiaTheme="minorEastAsia"/>
                <w:highlight w:val="none"/>
              </w:rPr>
            </w:pPr>
            <w:r>
              <w:rPr>
                <w:rFonts w:asciiTheme="minorEastAsia" w:hAnsiTheme="minorEastAsia" w:eastAsiaTheme="minorEastAsia"/>
                <w:highlight w:val="none"/>
              </w:rPr>
              <w:t>满足《用户需求书》中的实质性条款。</w:t>
            </w:r>
          </w:p>
        </w:tc>
        <w:tc>
          <w:tcPr>
            <w:tcW w:w="1134" w:type="dxa"/>
            <w:tcBorders>
              <w:bottom w:val="single" w:color="auto" w:sz="4" w:space="0"/>
            </w:tcBorders>
          </w:tcPr>
          <w:p>
            <w:pPr>
              <w:rPr>
                <w:rFonts w:asciiTheme="minorEastAsia" w:hAnsiTheme="minorEastAsia" w:eastAsiaTheme="minorEastAsia"/>
                <w:highlight w:val="none"/>
              </w:rPr>
            </w:pPr>
          </w:p>
        </w:tc>
        <w:tc>
          <w:tcPr>
            <w:tcW w:w="1098" w:type="dxa"/>
            <w:vMerge w:val="continue"/>
            <w:vAlign w:val="center"/>
          </w:tcPr>
          <w:p>
            <w:pPr>
              <w:rPr>
                <w:rFonts w:asciiTheme="minorEastAsia" w:hAnsiTheme="minorEastAsia" w:eastAsiaTheme="minorEastAsia"/>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5</w:t>
            </w:r>
          </w:p>
        </w:tc>
        <w:tc>
          <w:tcPr>
            <w:tcW w:w="609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比选响应表“完全响应”的</w:t>
            </w:r>
          </w:p>
        </w:tc>
        <w:tc>
          <w:tcPr>
            <w:tcW w:w="1134" w:type="dxa"/>
            <w:tcBorders>
              <w:bottom w:val="single" w:color="auto" w:sz="4" w:space="0"/>
            </w:tcBorders>
          </w:tcPr>
          <w:p>
            <w:pPr>
              <w:rPr>
                <w:rFonts w:asciiTheme="minorEastAsia" w:hAnsiTheme="minorEastAsia" w:eastAsiaTheme="minorEastAsia"/>
                <w:highlight w:val="none"/>
              </w:rPr>
            </w:pPr>
          </w:p>
        </w:tc>
        <w:tc>
          <w:tcPr>
            <w:tcW w:w="1098" w:type="dxa"/>
            <w:vMerge w:val="continue"/>
            <w:vAlign w:val="center"/>
          </w:tcPr>
          <w:p>
            <w:pPr>
              <w:rPr>
                <w:rFonts w:asciiTheme="minorEastAsia" w:hAnsiTheme="minorEastAsia" w:eastAsiaTheme="minorEastAsia"/>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6</w:t>
            </w:r>
          </w:p>
        </w:tc>
        <w:tc>
          <w:tcPr>
            <w:tcW w:w="6096" w:type="dxa"/>
            <w:vAlign w:val="center"/>
          </w:tcPr>
          <w:p>
            <w:pPr>
              <w:rPr>
                <w:rFonts w:asciiTheme="minorEastAsia" w:hAnsiTheme="minorEastAsia" w:eastAsiaTheme="minorEastAsia"/>
                <w:highlight w:val="none"/>
              </w:rPr>
            </w:pPr>
            <w:r>
              <w:rPr>
                <w:rFonts w:hint="eastAsia" w:asciiTheme="minorEastAsia" w:hAnsiTheme="minorEastAsia" w:eastAsiaTheme="minorEastAsia"/>
                <w:highlight w:val="none"/>
              </w:rPr>
              <w:t>无比选文件、法律、法规规定的其他否决比选申请条件</w:t>
            </w:r>
          </w:p>
        </w:tc>
        <w:tc>
          <w:tcPr>
            <w:tcW w:w="1134" w:type="dxa"/>
          </w:tcPr>
          <w:p>
            <w:pPr>
              <w:rPr>
                <w:rFonts w:asciiTheme="minorEastAsia" w:hAnsiTheme="minorEastAsia" w:eastAsiaTheme="minorEastAsia"/>
                <w:highlight w:val="none"/>
              </w:rPr>
            </w:pPr>
          </w:p>
        </w:tc>
        <w:tc>
          <w:tcPr>
            <w:tcW w:w="1098" w:type="dxa"/>
            <w:vMerge w:val="continue"/>
            <w:vAlign w:val="center"/>
          </w:tcPr>
          <w:p>
            <w:pPr>
              <w:rPr>
                <w:rFonts w:asciiTheme="minorEastAsia" w:hAnsiTheme="minorEastAsia" w:eastAsiaTheme="minorEastAsia"/>
                <w:highlight w:val="none"/>
              </w:rPr>
            </w:pPr>
          </w:p>
        </w:tc>
      </w:tr>
    </w:tbl>
    <w:p>
      <w:pPr>
        <w:jc w:val="left"/>
        <w:rPr>
          <w:rFonts w:asciiTheme="minorEastAsia" w:hAnsiTheme="minorEastAsia" w:eastAsiaTheme="minorEastAsia"/>
          <w:sz w:val="24"/>
          <w:szCs w:val="24"/>
          <w:highlight w:val="none"/>
        </w:rPr>
      </w:pPr>
      <w:r>
        <w:rPr>
          <w:rFonts w:asciiTheme="minorEastAsia" w:hAnsiTheme="minorEastAsia" w:eastAsiaTheme="minorEastAsia"/>
          <w:highlight w:val="none"/>
        </w:rPr>
        <w:t>注：</w:t>
      </w:r>
      <w:r>
        <w:rPr>
          <w:rFonts w:hint="eastAsia" w:asciiTheme="minorEastAsia" w:hAnsiTheme="minorEastAsia" w:eastAsiaTheme="minorEastAsia"/>
          <w:highlight w:val="none"/>
        </w:rPr>
        <w:t>1.</w:t>
      </w:r>
      <w:r>
        <w:rPr>
          <w:rFonts w:asciiTheme="minorEastAsia" w:hAnsiTheme="minorEastAsia" w:eastAsiaTheme="minorEastAsia"/>
          <w:highlight w:val="none"/>
        </w:rPr>
        <w:t>评审结果填写合格打√，不合格打×，凡评审结果有一项不合格者，结论为不通过。</w:t>
      </w:r>
    </w:p>
    <w:p>
      <w:pPr>
        <w:jc w:val="center"/>
        <w:rPr>
          <w:rFonts w:asciiTheme="minorEastAsia" w:hAnsiTheme="minorEastAsia" w:eastAsiaTheme="minorEastAsia"/>
          <w:b/>
          <w:sz w:val="24"/>
          <w:szCs w:val="24"/>
          <w:highlight w:val="none"/>
        </w:rPr>
      </w:pPr>
    </w:p>
    <w:p>
      <w:pPr>
        <w:jc w:val="center"/>
        <w:rPr>
          <w:rFonts w:asciiTheme="minorEastAsia" w:hAnsiTheme="minorEastAsia" w:eastAsiaTheme="minorEastAsia"/>
          <w:b/>
          <w:sz w:val="24"/>
          <w:szCs w:val="24"/>
          <w:highlight w:val="none"/>
        </w:rPr>
      </w:pPr>
      <w:r>
        <w:rPr>
          <w:rFonts w:asciiTheme="minorEastAsia" w:hAnsiTheme="minorEastAsia" w:eastAsiaTheme="minorEastAsia"/>
          <w:highlight w:val="none"/>
        </w:rPr>
        <w:br w:type="page"/>
      </w:r>
    </w:p>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Pr>
        <w:jc w:val="left"/>
        <w:rPr>
          <w:rFonts w:asciiTheme="minorEastAsia" w:hAnsiTheme="minorEastAsia" w:eastAsiaTheme="minorEastAsia"/>
          <w:b/>
          <w:highlight w:val="none"/>
        </w:rPr>
        <w:sectPr>
          <w:footerReference r:id="rId6" w:type="default"/>
          <w:pgSz w:w="11905" w:h="16838"/>
          <w:pgMar w:top="1418" w:right="1418" w:bottom="1418" w:left="1418" w:header="454" w:footer="567" w:gutter="0"/>
          <w:cols w:space="720" w:num="1"/>
          <w:docGrid w:linePitch="319" w:charSpace="0"/>
        </w:sectPr>
      </w:pPr>
    </w:p>
    <w:p>
      <w:pPr>
        <w:rPr>
          <w:rFonts w:ascii="宋体" w:hAnsi="宋体"/>
          <w:b/>
          <w:highlight w:val="none"/>
        </w:rPr>
      </w:pPr>
      <w:bookmarkStart w:id="1584" w:name="_Toc9220"/>
      <w:bookmarkStart w:id="1585" w:name="_Toc24793"/>
      <w:bookmarkStart w:id="1586" w:name="_Toc10414"/>
      <w:bookmarkStart w:id="1587" w:name="_Toc6932"/>
      <w:bookmarkStart w:id="1588" w:name="_Toc414290588"/>
      <w:bookmarkStart w:id="1589" w:name="_Toc21541"/>
      <w:bookmarkStart w:id="1590" w:name="_Toc20211"/>
      <w:bookmarkStart w:id="1591" w:name="_Toc27431"/>
      <w:bookmarkStart w:id="1592" w:name="_Toc32725"/>
      <w:bookmarkStart w:id="1593" w:name="_Toc22896"/>
      <w:bookmarkStart w:id="1594" w:name="_Toc1145"/>
      <w:bookmarkStart w:id="1595" w:name="_Toc6960"/>
      <w:bookmarkStart w:id="1596" w:name="_Toc8803"/>
      <w:bookmarkStart w:id="1597" w:name="_Toc1480"/>
      <w:bookmarkStart w:id="1598" w:name="_Toc22594"/>
      <w:bookmarkStart w:id="1599" w:name="_Toc10654"/>
      <w:bookmarkStart w:id="1600" w:name="_Toc492478858"/>
      <w:bookmarkStart w:id="1601" w:name="_Toc11048"/>
      <w:bookmarkStart w:id="1602" w:name="_Toc4223"/>
      <w:r>
        <w:rPr>
          <w:rFonts w:hint="eastAsia" w:ascii="宋体" w:hAnsi="宋体"/>
          <w:b/>
          <w:highlight w:val="none"/>
        </w:rPr>
        <w:t>附表三 比选申请价格评审表</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spacing w:before="159"/>
        <w:ind w:right="-57"/>
        <w:jc w:val="center"/>
        <w:rPr>
          <w:rFonts w:ascii="宋体" w:hAnsi="宋体"/>
          <w:b/>
          <w:sz w:val="28"/>
          <w:szCs w:val="28"/>
          <w:highlight w:val="none"/>
        </w:rPr>
      </w:pPr>
      <w:r>
        <w:rPr>
          <w:rFonts w:hint="eastAsia" w:ascii="宋体" w:hAnsi="宋体"/>
          <w:b/>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序号</w:t>
            </w:r>
          </w:p>
        </w:tc>
        <w:tc>
          <w:tcPr>
            <w:tcW w:w="4536" w:type="dxa"/>
            <w:tcBorders>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比选申请人名称</w:t>
            </w:r>
          </w:p>
        </w:tc>
        <w:tc>
          <w:tcPr>
            <w:tcW w:w="2268" w:type="dxa"/>
            <w:tcBorders>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59" w:type="dxa"/>
            <w:tcBorders>
              <w:left w:val="single" w:color="auto" w:sz="4" w:space="0"/>
              <w:right w:val="single" w:color="auto" w:sz="4" w:space="0"/>
            </w:tcBorders>
            <w:vAlign w:val="center"/>
          </w:tcPr>
          <w:p>
            <w:pPr>
              <w:rPr>
                <w:rFonts w:ascii="宋体" w:hAnsi="宋体"/>
                <w:highlight w:val="none"/>
              </w:rPr>
            </w:pPr>
          </w:p>
        </w:tc>
        <w:tc>
          <w:tcPr>
            <w:tcW w:w="4536" w:type="dxa"/>
            <w:tcBorders>
              <w:left w:val="single" w:color="auto" w:sz="4" w:space="0"/>
              <w:right w:val="single" w:color="auto" w:sz="4" w:space="0"/>
            </w:tcBorders>
            <w:vAlign w:val="center"/>
          </w:tcPr>
          <w:p>
            <w:pPr>
              <w:rPr>
                <w:rFonts w:ascii="宋体" w:hAnsi="宋体"/>
                <w:highlight w:val="none"/>
              </w:rPr>
            </w:pPr>
          </w:p>
        </w:tc>
        <w:tc>
          <w:tcPr>
            <w:tcW w:w="2268" w:type="dxa"/>
            <w:tcBorders>
              <w:left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59" w:type="dxa"/>
            <w:tcBorders>
              <w:left w:val="single" w:color="auto" w:sz="4" w:space="0"/>
              <w:bottom w:val="single" w:color="auto" w:sz="4" w:space="0"/>
              <w:right w:val="single" w:color="auto" w:sz="4" w:space="0"/>
            </w:tcBorders>
            <w:vAlign w:val="center"/>
          </w:tcPr>
          <w:p>
            <w:pPr>
              <w:rPr>
                <w:rFonts w:ascii="宋体" w:hAnsi="宋体"/>
                <w:highlight w:val="none"/>
              </w:rPr>
            </w:pPr>
          </w:p>
        </w:tc>
        <w:tc>
          <w:tcPr>
            <w:tcW w:w="4536" w:type="dxa"/>
            <w:tcBorders>
              <w:left w:val="single" w:color="auto" w:sz="4" w:space="0"/>
              <w:bottom w:val="single" w:color="auto" w:sz="4" w:space="0"/>
              <w:right w:val="single" w:color="auto" w:sz="4" w:space="0"/>
            </w:tcBorders>
            <w:vAlign w:val="center"/>
          </w:tcPr>
          <w:p>
            <w:pPr>
              <w:rPr>
                <w:rFonts w:ascii="宋体" w:hAnsi="宋体"/>
                <w:highlight w:val="none"/>
              </w:rPr>
            </w:pPr>
          </w:p>
        </w:tc>
        <w:tc>
          <w:tcPr>
            <w:tcW w:w="2268" w:type="dxa"/>
            <w:tcBorders>
              <w:left w:val="single" w:color="auto" w:sz="4" w:space="0"/>
              <w:bottom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59" w:type="dxa"/>
            <w:tcBorders>
              <w:left w:val="single" w:color="auto" w:sz="4" w:space="0"/>
              <w:right w:val="single" w:color="auto" w:sz="4" w:space="0"/>
            </w:tcBorders>
            <w:vAlign w:val="center"/>
          </w:tcPr>
          <w:p>
            <w:pPr>
              <w:rPr>
                <w:rFonts w:ascii="宋体" w:hAnsi="宋体"/>
                <w:highlight w:val="none"/>
              </w:rPr>
            </w:pPr>
          </w:p>
        </w:tc>
        <w:tc>
          <w:tcPr>
            <w:tcW w:w="4536" w:type="dxa"/>
            <w:tcBorders>
              <w:left w:val="single" w:color="auto" w:sz="4" w:space="0"/>
              <w:right w:val="single" w:color="auto" w:sz="4" w:space="0"/>
            </w:tcBorders>
            <w:vAlign w:val="center"/>
          </w:tcPr>
          <w:p>
            <w:pPr>
              <w:rPr>
                <w:rFonts w:ascii="宋体" w:hAnsi="宋体"/>
                <w:highlight w:val="none"/>
              </w:rPr>
            </w:pPr>
          </w:p>
        </w:tc>
        <w:tc>
          <w:tcPr>
            <w:tcW w:w="2268" w:type="dxa"/>
            <w:tcBorders>
              <w:left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59" w:type="dxa"/>
            <w:tcBorders>
              <w:left w:val="single" w:color="auto" w:sz="4" w:space="0"/>
              <w:right w:val="single" w:color="auto" w:sz="4" w:space="0"/>
            </w:tcBorders>
            <w:vAlign w:val="center"/>
          </w:tcPr>
          <w:p>
            <w:pPr>
              <w:rPr>
                <w:rFonts w:ascii="宋体" w:hAnsi="宋体"/>
                <w:highlight w:val="none"/>
              </w:rPr>
            </w:pPr>
          </w:p>
        </w:tc>
        <w:tc>
          <w:tcPr>
            <w:tcW w:w="4536" w:type="dxa"/>
            <w:tcBorders>
              <w:left w:val="single" w:color="auto" w:sz="4" w:space="0"/>
              <w:right w:val="single" w:color="auto" w:sz="4" w:space="0"/>
            </w:tcBorders>
            <w:vAlign w:val="center"/>
          </w:tcPr>
          <w:p>
            <w:pPr>
              <w:rPr>
                <w:rFonts w:ascii="宋体" w:hAnsi="宋体"/>
                <w:highlight w:val="none"/>
              </w:rPr>
            </w:pPr>
          </w:p>
        </w:tc>
        <w:tc>
          <w:tcPr>
            <w:tcW w:w="2268" w:type="dxa"/>
            <w:tcBorders>
              <w:left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59" w:type="dxa"/>
            <w:tcBorders>
              <w:left w:val="single" w:color="auto" w:sz="4" w:space="0"/>
              <w:right w:val="single" w:color="auto" w:sz="4" w:space="0"/>
            </w:tcBorders>
            <w:vAlign w:val="center"/>
          </w:tcPr>
          <w:p>
            <w:pPr>
              <w:rPr>
                <w:rFonts w:ascii="宋体" w:hAnsi="宋体"/>
                <w:highlight w:val="none"/>
              </w:rPr>
            </w:pPr>
          </w:p>
        </w:tc>
        <w:tc>
          <w:tcPr>
            <w:tcW w:w="4536" w:type="dxa"/>
            <w:tcBorders>
              <w:left w:val="single" w:color="auto" w:sz="4" w:space="0"/>
              <w:right w:val="single" w:color="auto" w:sz="4" w:space="0"/>
            </w:tcBorders>
            <w:vAlign w:val="center"/>
          </w:tcPr>
          <w:p>
            <w:pPr>
              <w:rPr>
                <w:rFonts w:ascii="宋体" w:hAnsi="宋体"/>
                <w:highlight w:val="none"/>
              </w:rPr>
            </w:pPr>
          </w:p>
        </w:tc>
        <w:tc>
          <w:tcPr>
            <w:tcW w:w="2268" w:type="dxa"/>
            <w:tcBorders>
              <w:left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bl>
    <w:p>
      <w:pPr>
        <w:spacing w:line="360" w:lineRule="auto"/>
        <w:jc w:val="left"/>
        <w:rPr>
          <w:rFonts w:ascii="宋体" w:hAnsi="宋体"/>
          <w:highlight w:val="none"/>
        </w:rPr>
      </w:pPr>
      <w:r>
        <w:rPr>
          <w:rFonts w:hint="eastAsia" w:ascii="宋体" w:hAnsi="宋体"/>
          <w:highlight w:val="none"/>
        </w:rPr>
        <w:t>注：1.如有修正，</w:t>
      </w:r>
      <w:r>
        <w:rPr>
          <w:rFonts w:hint="eastAsia" w:hAnsi="宋体"/>
          <w:highlight w:val="none"/>
        </w:rPr>
        <w:t>评审委员会</w:t>
      </w:r>
      <w:r>
        <w:rPr>
          <w:rFonts w:hint="eastAsia" w:ascii="宋体" w:hAnsi="宋体"/>
          <w:highlight w:val="none"/>
        </w:rPr>
        <w:t>需填写附表《比选申请报价修正表》并由比选申请人代表签字确认；如无修正，评审价=比选申请报价。</w:t>
      </w:r>
    </w:p>
    <w:p>
      <w:pPr>
        <w:tabs>
          <w:tab w:val="left" w:pos="420"/>
          <w:tab w:val="left" w:pos="1134"/>
        </w:tabs>
        <w:spacing w:line="360" w:lineRule="auto"/>
        <w:ind w:firstLine="420" w:firstLineChars="200"/>
        <w:rPr>
          <w:rFonts w:eastAsiaTheme="minorEastAsia"/>
          <w:sz w:val="21"/>
          <w:szCs w:val="21"/>
          <w:highlight w:val="none"/>
        </w:rPr>
      </w:pPr>
      <w:r>
        <w:rPr>
          <w:rFonts w:hint="eastAsia" w:ascii="宋体" w:hAnsi="宋体"/>
          <w:sz w:val="21"/>
          <w:szCs w:val="21"/>
          <w:highlight w:val="none"/>
        </w:rPr>
        <w:t>2.</w:t>
      </w:r>
      <w:r>
        <w:rPr>
          <w:rFonts w:hint="eastAsia" w:ascii="宋体" w:hAnsi="宋体" w:cs="Arial"/>
          <w:color w:val="auto"/>
          <w:highlight w:val="none"/>
        </w:rPr>
        <w:t>评</w:t>
      </w:r>
      <w:r>
        <w:rPr>
          <w:rFonts w:hint="eastAsia" w:ascii="宋体" w:hAnsi="宋体" w:cs="Arial"/>
          <w:color w:val="auto"/>
          <w:highlight w:val="none"/>
          <w:lang w:eastAsia="zh-CN"/>
        </w:rPr>
        <w:t>审</w:t>
      </w:r>
      <w:r>
        <w:rPr>
          <w:rFonts w:hint="eastAsia" w:ascii="宋体" w:hAnsi="宋体" w:cs="Arial"/>
          <w:color w:val="auto"/>
          <w:highlight w:val="none"/>
        </w:rPr>
        <w:t>价格及</w:t>
      </w:r>
      <w:r>
        <w:rPr>
          <w:rFonts w:hint="eastAsia" w:ascii="宋体" w:hAnsi="宋体" w:cs="Arial"/>
          <w:color w:val="auto"/>
          <w:highlight w:val="none"/>
          <w:lang w:eastAsia="zh-CN"/>
        </w:rPr>
        <w:t>中选</w:t>
      </w:r>
      <w:r>
        <w:rPr>
          <w:rFonts w:hint="eastAsia" w:ascii="宋体" w:hAnsi="宋体" w:cs="Arial"/>
          <w:color w:val="auto"/>
          <w:highlight w:val="none"/>
        </w:rPr>
        <w:t>价均以修正后的报价为准。如比选申请人不接受按以上规则确定的评标价格和</w:t>
      </w:r>
      <w:r>
        <w:rPr>
          <w:rFonts w:hint="eastAsia" w:ascii="宋体" w:hAnsi="宋体" w:cs="Arial"/>
          <w:color w:val="auto"/>
          <w:highlight w:val="none"/>
          <w:lang w:eastAsia="zh-CN"/>
        </w:rPr>
        <w:t>中选</w:t>
      </w:r>
      <w:r>
        <w:rPr>
          <w:rFonts w:hint="eastAsia" w:ascii="宋体" w:hAnsi="宋体" w:cs="Arial"/>
          <w:color w:val="auto"/>
          <w:highlight w:val="none"/>
        </w:rPr>
        <w:t>价，则其比选申请将被拒绝。</w:t>
      </w:r>
      <w:r>
        <w:rPr>
          <w:rFonts w:hint="eastAsia" w:ascii="宋体" w:hAnsi="宋体"/>
          <w:sz w:val="21"/>
          <w:szCs w:val="21"/>
          <w:highlight w:val="none"/>
        </w:rPr>
        <w:t>如比选申请人不接受按以上规则确定的评审总价和中选价，则其比选申请将被拒绝。</w:t>
      </w:r>
    </w:p>
    <w:p>
      <w:pPr>
        <w:ind w:firstLine="643" w:firstLineChars="200"/>
        <w:jc w:val="center"/>
        <w:outlineLvl w:val="0"/>
        <w:rPr>
          <w:rStyle w:val="38"/>
          <w:rFonts w:asciiTheme="minorEastAsia" w:hAnsiTheme="minorEastAsia"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pStyle w:val="27"/>
        <w:ind w:firstLine="470"/>
        <w:rPr>
          <w:rFonts w:eastAsiaTheme="minorEastAsia"/>
          <w:highlight w:val="none"/>
        </w:rPr>
      </w:pPr>
    </w:p>
    <w:p>
      <w:pPr>
        <w:spacing w:before="159"/>
        <w:ind w:right="-57"/>
        <w:jc w:val="center"/>
        <w:rPr>
          <w:rFonts w:ascii="宋体" w:hAnsi="宋体"/>
          <w:b/>
          <w:sz w:val="28"/>
          <w:szCs w:val="28"/>
          <w:highlight w:val="none"/>
        </w:rPr>
      </w:pPr>
      <w:r>
        <w:rPr>
          <w:rFonts w:hint="eastAsia" w:ascii="宋体" w:hAnsi="宋体"/>
          <w:b/>
          <w:sz w:val="28"/>
          <w:szCs w:val="28"/>
          <w:highlight w:val="none"/>
        </w:rPr>
        <w:t>附表：比选申请报价修正表</w:t>
      </w:r>
    </w:p>
    <w:tbl>
      <w:tblPr>
        <w:tblStyle w:val="28"/>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3101"/>
        <w:gridCol w:w="3872"/>
        <w:gridCol w:w="5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bottom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编号</w:t>
            </w:r>
          </w:p>
        </w:tc>
        <w:tc>
          <w:tcPr>
            <w:tcW w:w="3101" w:type="dxa"/>
            <w:tcBorders>
              <w:left w:val="single" w:color="auto" w:sz="4" w:space="0"/>
              <w:bottom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修正前比选申请报价</w:t>
            </w:r>
          </w:p>
        </w:tc>
        <w:tc>
          <w:tcPr>
            <w:tcW w:w="5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highlight w:val="none"/>
              </w:rPr>
            </w:pPr>
          </w:p>
        </w:tc>
        <w:tc>
          <w:tcPr>
            <w:tcW w:w="3101" w:type="dxa"/>
            <w:tcBorders>
              <w:left w:val="single" w:color="auto" w:sz="4" w:space="0"/>
              <w:right w:val="single" w:color="auto" w:sz="4" w:space="0"/>
            </w:tcBorders>
            <w:vAlign w:val="center"/>
          </w:tcPr>
          <w:p>
            <w:pPr>
              <w:jc w:val="left"/>
              <w:rPr>
                <w:rFonts w:ascii="宋体" w:hAnsi="宋体"/>
                <w:highlight w:val="none"/>
              </w:rPr>
            </w:pPr>
          </w:p>
        </w:tc>
        <w:tc>
          <w:tcPr>
            <w:tcW w:w="3872" w:type="dxa"/>
            <w:tcBorders>
              <w:left w:val="single" w:color="auto" w:sz="4" w:space="0"/>
              <w:right w:val="single" w:color="auto" w:sz="4" w:space="0"/>
            </w:tcBorders>
            <w:vAlign w:val="center"/>
          </w:tcPr>
          <w:p>
            <w:pPr>
              <w:rPr>
                <w:rFonts w:ascii="宋体" w:hAnsi="宋体"/>
                <w:highlight w:val="none"/>
              </w:rPr>
            </w:pPr>
          </w:p>
        </w:tc>
        <w:tc>
          <w:tcPr>
            <w:tcW w:w="5218" w:type="dxa"/>
            <w:tcBorders>
              <w:top w:val="single" w:color="auto" w:sz="4" w:space="0"/>
              <w:left w:val="single" w:color="auto" w:sz="4" w:space="0"/>
              <w:bottom w:val="single" w:color="auto" w:sz="4" w:space="0"/>
              <w:right w:val="single" w:color="auto" w:sz="4" w:space="0"/>
            </w:tcBorders>
          </w:tcPr>
          <w:p>
            <w:pPr>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highlight w:val="none"/>
              </w:rPr>
            </w:pPr>
          </w:p>
        </w:tc>
        <w:tc>
          <w:tcPr>
            <w:tcW w:w="3101" w:type="dxa"/>
            <w:tcBorders>
              <w:left w:val="single" w:color="auto" w:sz="4" w:space="0"/>
              <w:right w:val="single" w:color="auto" w:sz="4" w:space="0"/>
            </w:tcBorders>
            <w:vAlign w:val="center"/>
          </w:tcPr>
          <w:p>
            <w:pPr>
              <w:jc w:val="left"/>
              <w:rPr>
                <w:rFonts w:ascii="宋体" w:hAnsi="宋体" w:cs="宋体"/>
                <w:highlight w:val="none"/>
              </w:rPr>
            </w:pPr>
          </w:p>
        </w:tc>
        <w:tc>
          <w:tcPr>
            <w:tcW w:w="3872" w:type="dxa"/>
            <w:tcBorders>
              <w:left w:val="single" w:color="auto" w:sz="4" w:space="0"/>
              <w:right w:val="single" w:color="auto" w:sz="4" w:space="0"/>
            </w:tcBorders>
            <w:vAlign w:val="center"/>
          </w:tcPr>
          <w:p>
            <w:pPr>
              <w:jc w:val="center"/>
              <w:rPr>
                <w:rFonts w:ascii="宋体" w:hAnsi="宋体" w:cs="宋体"/>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highlight w:val="none"/>
              </w:rPr>
            </w:pPr>
          </w:p>
        </w:tc>
        <w:tc>
          <w:tcPr>
            <w:tcW w:w="3101" w:type="dxa"/>
            <w:tcBorders>
              <w:left w:val="single" w:color="auto" w:sz="4" w:space="0"/>
              <w:right w:val="single" w:color="auto" w:sz="4" w:space="0"/>
            </w:tcBorders>
            <w:vAlign w:val="center"/>
          </w:tcPr>
          <w:p>
            <w:pPr>
              <w:jc w:val="left"/>
              <w:rPr>
                <w:rFonts w:ascii="宋体" w:hAnsi="宋体" w:cs="宋体"/>
                <w:highlight w:val="none"/>
              </w:rPr>
            </w:pPr>
          </w:p>
        </w:tc>
        <w:tc>
          <w:tcPr>
            <w:tcW w:w="3872" w:type="dxa"/>
            <w:tcBorders>
              <w:left w:val="single" w:color="auto" w:sz="4" w:space="0"/>
              <w:right w:val="single" w:color="auto" w:sz="4" w:space="0"/>
            </w:tcBorders>
            <w:vAlign w:val="center"/>
          </w:tcPr>
          <w:p>
            <w:pPr>
              <w:jc w:val="center"/>
              <w:rPr>
                <w:rFonts w:ascii="宋体" w:hAnsi="宋体" w:cs="宋体"/>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highlight w:val="none"/>
              </w:rPr>
            </w:pPr>
          </w:p>
        </w:tc>
        <w:tc>
          <w:tcPr>
            <w:tcW w:w="3101" w:type="dxa"/>
            <w:tcBorders>
              <w:left w:val="single" w:color="auto" w:sz="4" w:space="0"/>
              <w:right w:val="single" w:color="auto" w:sz="4" w:space="0"/>
            </w:tcBorders>
            <w:vAlign w:val="center"/>
          </w:tcPr>
          <w:p>
            <w:pPr>
              <w:jc w:val="left"/>
              <w:rPr>
                <w:rFonts w:ascii="宋体" w:hAnsi="宋体" w:cs="宋体"/>
                <w:highlight w:val="none"/>
              </w:rPr>
            </w:pPr>
          </w:p>
        </w:tc>
        <w:tc>
          <w:tcPr>
            <w:tcW w:w="3872" w:type="dxa"/>
            <w:tcBorders>
              <w:left w:val="single" w:color="auto" w:sz="4" w:space="0"/>
              <w:right w:val="single" w:color="auto" w:sz="4" w:space="0"/>
            </w:tcBorders>
            <w:vAlign w:val="center"/>
          </w:tcPr>
          <w:p>
            <w:pPr>
              <w:jc w:val="center"/>
              <w:rPr>
                <w:rFonts w:ascii="宋体" w:hAnsi="宋体" w:cs="宋体"/>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highlight w:val="none"/>
              </w:rPr>
            </w:pPr>
          </w:p>
        </w:tc>
        <w:tc>
          <w:tcPr>
            <w:tcW w:w="3101" w:type="dxa"/>
            <w:tcBorders>
              <w:left w:val="single" w:color="auto" w:sz="4" w:space="0"/>
              <w:right w:val="single" w:color="auto" w:sz="4" w:space="0"/>
            </w:tcBorders>
            <w:vAlign w:val="center"/>
          </w:tcPr>
          <w:p>
            <w:pPr>
              <w:jc w:val="center"/>
              <w:rPr>
                <w:rFonts w:ascii="宋体" w:hAnsi="宋体"/>
                <w:highlight w:val="none"/>
              </w:rPr>
            </w:pPr>
          </w:p>
        </w:tc>
        <w:tc>
          <w:tcPr>
            <w:tcW w:w="3872" w:type="dxa"/>
            <w:tcBorders>
              <w:left w:val="single" w:color="auto" w:sz="4" w:space="0"/>
              <w:right w:val="single" w:color="auto" w:sz="4" w:space="0"/>
            </w:tcBorders>
            <w:vAlign w:val="center"/>
          </w:tcPr>
          <w:p>
            <w:pPr>
              <w:jc w:val="left"/>
              <w:rPr>
                <w:rFonts w:ascii="宋体" w:hAnsi="宋体"/>
                <w:b/>
                <w:sz w:val="24"/>
                <w:szCs w:val="24"/>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比选申请人名称</w:t>
            </w:r>
          </w:p>
        </w:tc>
        <w:tc>
          <w:tcPr>
            <w:tcW w:w="12191" w:type="dxa"/>
            <w:gridSpan w:val="3"/>
            <w:tcBorders>
              <w:left w:val="single" w:color="auto" w:sz="4" w:space="0"/>
              <w:right w:val="single" w:color="auto" w:sz="4" w:space="0"/>
            </w:tcBorders>
            <w:vAlign w:val="center"/>
          </w:tcPr>
          <w:p>
            <w:pPr>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比选申请人声明</w:t>
            </w:r>
          </w:p>
        </w:tc>
        <w:tc>
          <w:tcPr>
            <w:tcW w:w="12191" w:type="dxa"/>
            <w:gridSpan w:val="3"/>
            <w:tcBorders>
              <w:left w:val="single" w:color="auto" w:sz="4" w:space="0"/>
              <w:right w:val="single" w:color="auto" w:sz="4" w:space="0"/>
            </w:tcBorders>
            <w:vAlign w:val="center"/>
          </w:tcPr>
          <w:p>
            <w:pPr>
              <w:rPr>
                <w:rFonts w:ascii="宋体" w:hAnsi="宋体"/>
                <w:b/>
                <w:sz w:val="24"/>
                <w:szCs w:val="24"/>
                <w:highlight w:val="none"/>
              </w:rPr>
            </w:pPr>
            <w:r>
              <w:rPr>
                <w:rFonts w:hint="eastAsia" w:ascii="宋体" w:hAnsi="宋体" w:cs="宋体"/>
                <w:b/>
                <w:sz w:val="24"/>
                <w:szCs w:val="24"/>
                <w:highlight w:val="none"/>
              </w:rPr>
              <w:t>我单位（</w:t>
            </w:r>
            <w:r>
              <w:rPr>
                <w:rFonts w:ascii="宋体" w:hAnsi="宋体"/>
                <w:b/>
                <w:sz w:val="44"/>
                <w:szCs w:val="44"/>
                <w:highlight w:val="none"/>
              </w:rPr>
              <w:t>□</w:t>
            </w:r>
            <w:r>
              <w:rPr>
                <w:rFonts w:hint="eastAsia" w:ascii="宋体" w:hAnsi="宋体" w:cs="宋体"/>
                <w:b/>
                <w:sz w:val="24"/>
                <w:szCs w:val="24"/>
                <w:highlight w:val="none"/>
              </w:rPr>
              <w:t>接受</w:t>
            </w:r>
            <w:r>
              <w:rPr>
                <w:rFonts w:ascii="宋体" w:hAnsi="宋体"/>
                <w:b/>
                <w:sz w:val="44"/>
                <w:szCs w:val="44"/>
                <w:highlight w:val="none"/>
              </w:rPr>
              <w:t>□</w:t>
            </w:r>
            <w:r>
              <w:rPr>
                <w:rFonts w:ascii="宋体" w:hAnsi="宋体"/>
                <w:b/>
                <w:sz w:val="24"/>
                <w:szCs w:val="24"/>
                <w:highlight w:val="none"/>
              </w:rPr>
              <w:t>不接受</w:t>
            </w:r>
            <w:r>
              <w:rPr>
                <w:rFonts w:hint="eastAsia" w:ascii="宋体" w:hAnsi="宋体"/>
                <w:b/>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highlight w:val="none"/>
              </w:rPr>
            </w:pPr>
            <w:r>
              <w:rPr>
                <w:rFonts w:hint="eastAsia" w:ascii="宋体" w:hAnsi="宋体"/>
                <w:b/>
                <w:sz w:val="24"/>
                <w:szCs w:val="24"/>
                <w:highlight w:val="none"/>
              </w:rPr>
              <w:t>比选申请人代表签字</w:t>
            </w:r>
          </w:p>
        </w:tc>
        <w:tc>
          <w:tcPr>
            <w:tcW w:w="12191" w:type="dxa"/>
            <w:gridSpan w:val="3"/>
            <w:tcBorders>
              <w:left w:val="single" w:color="auto" w:sz="4" w:space="0"/>
              <w:right w:val="single" w:color="auto" w:sz="4" w:space="0"/>
            </w:tcBorders>
            <w:vAlign w:val="center"/>
          </w:tcPr>
          <w:p>
            <w:pPr>
              <w:rPr>
                <w:rFonts w:ascii="宋体" w:hAnsi="宋体" w:cs="宋体"/>
                <w:b/>
                <w:sz w:val="24"/>
                <w:szCs w:val="24"/>
                <w:highlight w:val="none"/>
              </w:rPr>
            </w:pPr>
          </w:p>
          <w:p>
            <w:pPr>
              <w:rPr>
                <w:rFonts w:ascii="宋体" w:hAnsi="宋体" w:cs="宋体"/>
                <w:b/>
                <w:sz w:val="24"/>
                <w:szCs w:val="24"/>
                <w:highlight w:val="none"/>
              </w:rPr>
            </w:pPr>
            <w:r>
              <w:rPr>
                <w:rFonts w:hint="eastAsia" w:ascii="宋体" w:hAnsi="宋体" w:cs="宋体"/>
                <w:b/>
                <w:sz w:val="24"/>
                <w:szCs w:val="24"/>
                <w:highlight w:val="none"/>
              </w:rPr>
              <w:t xml:space="preserve">                                                                     日期：    年   月   日</w:t>
            </w:r>
          </w:p>
        </w:tc>
      </w:tr>
    </w:tbl>
    <w:p>
      <w:pPr>
        <w:pStyle w:val="27"/>
        <w:spacing w:after="0" w:line="240" w:lineRule="auto"/>
        <w:ind w:left="0" w:leftChars="0" w:firstLine="0" w:firstLineChars="0"/>
        <w:rPr>
          <w:rFonts w:hint="eastAsia" w:ascii="宋体" w:hAnsi="宋体"/>
          <w:sz w:val="21"/>
          <w:szCs w:val="21"/>
        </w:rPr>
      </w:pPr>
      <w:r>
        <w:rPr>
          <w:rFonts w:hint="eastAsia" w:ascii="宋体" w:hAnsi="宋体"/>
          <w:sz w:val="21"/>
          <w:szCs w:val="21"/>
        </w:rPr>
        <w:t>注：评</w:t>
      </w:r>
      <w:r>
        <w:rPr>
          <w:rFonts w:hint="eastAsia" w:ascii="宋体" w:hAnsi="宋体" w:eastAsia="宋体"/>
          <w:sz w:val="21"/>
          <w:szCs w:val="21"/>
          <w:lang w:eastAsia="zh-CN"/>
        </w:rPr>
        <w:t>审</w:t>
      </w:r>
      <w:r>
        <w:rPr>
          <w:rFonts w:hint="eastAsia" w:ascii="宋体" w:hAnsi="宋体"/>
          <w:sz w:val="21"/>
          <w:szCs w:val="21"/>
        </w:rPr>
        <w:t>价格及</w:t>
      </w:r>
      <w:r>
        <w:rPr>
          <w:rFonts w:hint="eastAsia" w:ascii="宋体" w:hAnsi="宋体"/>
          <w:sz w:val="21"/>
          <w:szCs w:val="21"/>
          <w:lang w:eastAsia="zh-CN"/>
        </w:rPr>
        <w:t>中选</w:t>
      </w:r>
      <w:r>
        <w:rPr>
          <w:rFonts w:hint="eastAsia" w:ascii="宋体" w:hAnsi="宋体"/>
          <w:sz w:val="21"/>
          <w:szCs w:val="21"/>
        </w:rPr>
        <w:t>价均以修正后的报价为准。如比选申请人不接受按以上规则确定的评</w:t>
      </w:r>
      <w:r>
        <w:rPr>
          <w:rFonts w:hint="eastAsia" w:ascii="宋体" w:hAnsi="宋体" w:eastAsia="宋体"/>
          <w:sz w:val="21"/>
          <w:szCs w:val="21"/>
          <w:lang w:eastAsia="zh-CN"/>
        </w:rPr>
        <w:t>审</w:t>
      </w:r>
      <w:r>
        <w:rPr>
          <w:rFonts w:hint="eastAsia" w:ascii="宋体" w:hAnsi="宋体"/>
          <w:sz w:val="21"/>
          <w:szCs w:val="21"/>
        </w:rPr>
        <w:t>价格和</w:t>
      </w:r>
      <w:r>
        <w:rPr>
          <w:rFonts w:hint="eastAsia" w:ascii="宋体" w:hAnsi="宋体"/>
          <w:sz w:val="21"/>
          <w:szCs w:val="21"/>
          <w:lang w:eastAsia="zh-CN"/>
        </w:rPr>
        <w:t>中选</w:t>
      </w:r>
      <w:r>
        <w:rPr>
          <w:rFonts w:hint="eastAsia" w:ascii="宋体" w:hAnsi="宋体"/>
          <w:sz w:val="21"/>
          <w:szCs w:val="21"/>
        </w:rPr>
        <w:t>价，则其比选申请将被拒绝。如比选申请人不接受按以上规则确定的评审总价和中选价，则其比选申请将被拒绝。</w:t>
      </w:r>
      <w:bookmarkEnd w:id="8"/>
      <w:bookmarkEnd w:id="9"/>
      <w:bookmarkEnd w:id="10"/>
      <w:bookmarkEnd w:id="11"/>
      <w:bookmarkEnd w:id="1016"/>
      <w:bookmarkEnd w:id="1220"/>
    </w:p>
    <w:p>
      <w:pPr>
        <w:pStyle w:val="27"/>
        <w:spacing w:line="360" w:lineRule="auto"/>
        <w:ind w:left="0" w:leftChars="0" w:firstLine="0" w:firstLineChars="0"/>
        <w:rPr>
          <w:rFonts w:hint="eastAsia" w:ascii="宋体" w:hAnsi="宋体"/>
          <w:sz w:val="21"/>
          <w:szCs w:val="21"/>
        </w:rPr>
      </w:pPr>
    </w:p>
    <w:sectPr>
      <w:headerReference r:id="rId7" w:type="default"/>
      <w:footerReference r:id="rId8" w:type="default"/>
      <w:pgSz w:w="16838" w:h="11906" w:orient="landscape"/>
      <w:pgMar w:top="851" w:right="1134" w:bottom="1134" w:left="1134"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22</w:t>
                          </w:r>
                          <w:r>
                            <w:fldChar w:fldCharType="end"/>
                          </w:r>
                        </w:p>
                      </w:txbxContent>
                    </wps:txbx>
                    <wps:bodyPr wrap="none" lIns="0" tIns="0" rIns="0" bIns="0">
                      <a:spAutoFit/>
                    </wps:bodyPr>
                  </wps:wsp>
                </a:graphicData>
              </a:graphic>
            </wp:anchor>
          </w:drawing>
        </mc:Choice>
        <mc:Fallback>
          <w:pict>
            <v:shape id="文本框 513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UxGXDxgEAAJADAAAOAAAAAAAAAAEAIAAAAB4BAABkcnMvZTJvRG9jLnht&#10;bFBLBQYAAAAABgAGAFkBAABW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22</w:t>
                    </w:r>
                    <w:r>
                      <w:fldChar w:fldCharType="end"/>
                    </w:r>
                  </w:p>
                </w:txbxContent>
              </v:textbox>
            </v:shape>
          </w:pict>
        </mc:Fallback>
      </mc:AlternateContent>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wrap="none" lIns="0" tIns="0" rIns="0" bIns="0">
                      <a:spAutoFit/>
                    </wps:bodyPr>
                  </wps:wsp>
                </a:graphicData>
              </a:graphic>
            </wp:anchor>
          </w:drawing>
        </mc:Choice>
        <mc:Fallback>
          <w:pict>
            <v:shape id="文本框 51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Kt7nSMQBAACQAwAADgAAAAAAAAABACAAAAAeAQAAZHJzL2Uyb0RvYy54bWxQ&#10;SwUGAAAAAAYABgBZAQAAVA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57"/>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24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b/>
                              <w:sz w:val="24"/>
                              <w:szCs w:val="24"/>
                            </w:rPr>
                            <w:fldChar w:fldCharType="begin"/>
                          </w:r>
                          <w:r>
                            <w:rPr>
                              <w:b/>
                            </w:rPr>
                            <w:instrText xml:space="preserve">PAGE</w:instrText>
                          </w:r>
                          <w:r>
                            <w:rPr>
                              <w:b/>
                              <w:sz w:val="24"/>
                              <w:szCs w:val="24"/>
                            </w:rPr>
                            <w:fldChar w:fldCharType="separate"/>
                          </w:r>
                          <w:r>
                            <w:rPr>
                              <w:b/>
                            </w:rPr>
                            <w:t>26</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56</w:t>
                          </w:r>
                          <w:r>
                            <w:rPr>
                              <w:b/>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rPr>
                        <w:b/>
                        <w:sz w:val="24"/>
                        <w:szCs w:val="24"/>
                      </w:rPr>
                      <w:fldChar w:fldCharType="begin"/>
                    </w:r>
                    <w:r>
                      <w:rPr>
                        <w:b/>
                      </w:rPr>
                      <w:instrText xml:space="preserve">PAGE</w:instrText>
                    </w:r>
                    <w:r>
                      <w:rPr>
                        <w:b/>
                        <w:sz w:val="24"/>
                        <w:szCs w:val="24"/>
                      </w:rPr>
                      <w:fldChar w:fldCharType="separate"/>
                    </w:r>
                    <w:r>
                      <w:rPr>
                        <w:b/>
                      </w:rPr>
                      <w:t>26</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56</w:t>
                    </w:r>
                    <w:r>
                      <w:rPr>
                        <w:b/>
                        <w:sz w:val="24"/>
                        <w:szCs w:val="24"/>
                      </w:rPr>
                      <w:fldChar w:fldCharType="end"/>
                    </w:r>
                  </w:p>
                </w:txbxContent>
              </v:textbox>
            </v:shape>
          </w:pict>
        </mc:Fallback>
      </mc:AlternateContent>
    </w:r>
  </w:p>
  <w:p>
    <w:pPr>
      <w:pStyle w:val="20"/>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9F63A"/>
    <w:multiLevelType w:val="singleLevel"/>
    <w:tmpl w:val="FBD9F63A"/>
    <w:lvl w:ilvl="0" w:tentative="0">
      <w:start w:val="1"/>
      <w:numFmt w:val="decimal"/>
      <w:lvlText w:val="%1."/>
      <w:lvlJc w:val="left"/>
      <w:pPr>
        <w:tabs>
          <w:tab w:val="left" w:pos="312"/>
        </w:tabs>
      </w:p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7">
    <w:nsid w:val="582BA484"/>
    <w:multiLevelType w:val="multilevel"/>
    <w:tmpl w:val="582BA484"/>
    <w:lvl w:ilvl="0" w:tentative="0">
      <w:start w:val="1"/>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pStyle w:val="3"/>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8">
    <w:nsid w:val="5D78FAF7"/>
    <w:multiLevelType w:val="singleLevel"/>
    <w:tmpl w:val="5D78FAF7"/>
    <w:lvl w:ilvl="0" w:tentative="0">
      <w:start w:val="2"/>
      <w:numFmt w:val="decimal"/>
      <w:suff w:val="nothing"/>
      <w:lvlText w:val="%1、"/>
      <w:lvlJc w:val="left"/>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OTZiYzYxNmNiODYzZGQ1MDI4Y2RkOGU3OGYzYjAifQ=="/>
  </w:docVars>
  <w:rsids>
    <w:rsidRoot w:val="00834952"/>
    <w:rsid w:val="00012855"/>
    <w:rsid w:val="0001577F"/>
    <w:rsid w:val="00037530"/>
    <w:rsid w:val="0004327F"/>
    <w:rsid w:val="00045389"/>
    <w:rsid w:val="000478BD"/>
    <w:rsid w:val="0006566D"/>
    <w:rsid w:val="00067DF1"/>
    <w:rsid w:val="000A239F"/>
    <w:rsid w:val="000A6B3A"/>
    <w:rsid w:val="000C0B7C"/>
    <w:rsid w:val="001345D8"/>
    <w:rsid w:val="0014535A"/>
    <w:rsid w:val="00196678"/>
    <w:rsid w:val="001A0670"/>
    <w:rsid w:val="001D0D4D"/>
    <w:rsid w:val="001D36B4"/>
    <w:rsid w:val="0025580E"/>
    <w:rsid w:val="002738CF"/>
    <w:rsid w:val="002A024A"/>
    <w:rsid w:val="002A302D"/>
    <w:rsid w:val="002B7F17"/>
    <w:rsid w:val="002F70C4"/>
    <w:rsid w:val="003128C0"/>
    <w:rsid w:val="00312F90"/>
    <w:rsid w:val="00317CF4"/>
    <w:rsid w:val="00320F94"/>
    <w:rsid w:val="00322095"/>
    <w:rsid w:val="00330065"/>
    <w:rsid w:val="00365FB8"/>
    <w:rsid w:val="003B376B"/>
    <w:rsid w:val="003B48AC"/>
    <w:rsid w:val="003B6D36"/>
    <w:rsid w:val="00414BD5"/>
    <w:rsid w:val="00452B23"/>
    <w:rsid w:val="00467F0F"/>
    <w:rsid w:val="004805A4"/>
    <w:rsid w:val="00490762"/>
    <w:rsid w:val="004A5324"/>
    <w:rsid w:val="004A6CF5"/>
    <w:rsid w:val="004C3B2B"/>
    <w:rsid w:val="004D1D49"/>
    <w:rsid w:val="004D2BD1"/>
    <w:rsid w:val="00500CB1"/>
    <w:rsid w:val="005451B2"/>
    <w:rsid w:val="00560D08"/>
    <w:rsid w:val="005624BB"/>
    <w:rsid w:val="00571434"/>
    <w:rsid w:val="005A03A9"/>
    <w:rsid w:val="005A20CD"/>
    <w:rsid w:val="005B052B"/>
    <w:rsid w:val="005C0F6A"/>
    <w:rsid w:val="005D6FD5"/>
    <w:rsid w:val="005F30F2"/>
    <w:rsid w:val="006301C1"/>
    <w:rsid w:val="006629AF"/>
    <w:rsid w:val="00684851"/>
    <w:rsid w:val="006B3D36"/>
    <w:rsid w:val="006E2D99"/>
    <w:rsid w:val="006F1D4E"/>
    <w:rsid w:val="007162D4"/>
    <w:rsid w:val="00721272"/>
    <w:rsid w:val="007367D0"/>
    <w:rsid w:val="00752CC6"/>
    <w:rsid w:val="00756573"/>
    <w:rsid w:val="007B3779"/>
    <w:rsid w:val="007B4195"/>
    <w:rsid w:val="007B6386"/>
    <w:rsid w:val="007E0164"/>
    <w:rsid w:val="00801687"/>
    <w:rsid w:val="00801CE2"/>
    <w:rsid w:val="00834952"/>
    <w:rsid w:val="00835B14"/>
    <w:rsid w:val="00835B3A"/>
    <w:rsid w:val="00890046"/>
    <w:rsid w:val="00895C43"/>
    <w:rsid w:val="008B67E7"/>
    <w:rsid w:val="0090342A"/>
    <w:rsid w:val="0091231C"/>
    <w:rsid w:val="00915DA8"/>
    <w:rsid w:val="00921D56"/>
    <w:rsid w:val="00941BF0"/>
    <w:rsid w:val="009509EA"/>
    <w:rsid w:val="00954A03"/>
    <w:rsid w:val="009556A2"/>
    <w:rsid w:val="00993886"/>
    <w:rsid w:val="009A44D5"/>
    <w:rsid w:val="009B3299"/>
    <w:rsid w:val="009C24A7"/>
    <w:rsid w:val="009F15D9"/>
    <w:rsid w:val="00A10900"/>
    <w:rsid w:val="00A10F8D"/>
    <w:rsid w:val="00A351ED"/>
    <w:rsid w:val="00A4046B"/>
    <w:rsid w:val="00A46483"/>
    <w:rsid w:val="00A73BFF"/>
    <w:rsid w:val="00AA0E00"/>
    <w:rsid w:val="00AE337E"/>
    <w:rsid w:val="00AE7A23"/>
    <w:rsid w:val="00AF342F"/>
    <w:rsid w:val="00B02DCE"/>
    <w:rsid w:val="00B061DC"/>
    <w:rsid w:val="00B2245A"/>
    <w:rsid w:val="00B50D2C"/>
    <w:rsid w:val="00B54F6D"/>
    <w:rsid w:val="00B56E9B"/>
    <w:rsid w:val="00B606B3"/>
    <w:rsid w:val="00BF3211"/>
    <w:rsid w:val="00C16FAA"/>
    <w:rsid w:val="00C64865"/>
    <w:rsid w:val="00C748F9"/>
    <w:rsid w:val="00C75877"/>
    <w:rsid w:val="00C84121"/>
    <w:rsid w:val="00C933A4"/>
    <w:rsid w:val="00CB686F"/>
    <w:rsid w:val="00CB70B9"/>
    <w:rsid w:val="00CC3CB7"/>
    <w:rsid w:val="00CD12F0"/>
    <w:rsid w:val="00CE16BE"/>
    <w:rsid w:val="00CF0570"/>
    <w:rsid w:val="00D00AD6"/>
    <w:rsid w:val="00D06E3D"/>
    <w:rsid w:val="00D2683A"/>
    <w:rsid w:val="00D412B3"/>
    <w:rsid w:val="00D75C62"/>
    <w:rsid w:val="00D85797"/>
    <w:rsid w:val="00D91801"/>
    <w:rsid w:val="00D945F7"/>
    <w:rsid w:val="00DA032D"/>
    <w:rsid w:val="00DA2685"/>
    <w:rsid w:val="00DA5989"/>
    <w:rsid w:val="00DE55E9"/>
    <w:rsid w:val="00DE717F"/>
    <w:rsid w:val="00DF72F1"/>
    <w:rsid w:val="00E77D99"/>
    <w:rsid w:val="00EB7A88"/>
    <w:rsid w:val="00ED68FF"/>
    <w:rsid w:val="00EF4649"/>
    <w:rsid w:val="00F13047"/>
    <w:rsid w:val="00F54236"/>
    <w:rsid w:val="00F61477"/>
    <w:rsid w:val="00F66852"/>
    <w:rsid w:val="00F92F8C"/>
    <w:rsid w:val="00FA0487"/>
    <w:rsid w:val="00FA0997"/>
    <w:rsid w:val="010076BC"/>
    <w:rsid w:val="01B85F94"/>
    <w:rsid w:val="02DA55E0"/>
    <w:rsid w:val="03201DBA"/>
    <w:rsid w:val="03417FAE"/>
    <w:rsid w:val="038A3A0E"/>
    <w:rsid w:val="03DA0F23"/>
    <w:rsid w:val="05BE3812"/>
    <w:rsid w:val="063D011D"/>
    <w:rsid w:val="0733411E"/>
    <w:rsid w:val="07B8689D"/>
    <w:rsid w:val="08320672"/>
    <w:rsid w:val="08404F36"/>
    <w:rsid w:val="09000E03"/>
    <w:rsid w:val="099C28C8"/>
    <w:rsid w:val="09A3577C"/>
    <w:rsid w:val="0A9E5945"/>
    <w:rsid w:val="0B740E51"/>
    <w:rsid w:val="0B9E2C97"/>
    <w:rsid w:val="0BA042DC"/>
    <w:rsid w:val="0C474647"/>
    <w:rsid w:val="0FBE0154"/>
    <w:rsid w:val="0FCE2E18"/>
    <w:rsid w:val="103E67E9"/>
    <w:rsid w:val="104506BF"/>
    <w:rsid w:val="109E1B85"/>
    <w:rsid w:val="111D5E14"/>
    <w:rsid w:val="118D32CD"/>
    <w:rsid w:val="11BF5D2F"/>
    <w:rsid w:val="125735A8"/>
    <w:rsid w:val="125E66E4"/>
    <w:rsid w:val="12AF5E94"/>
    <w:rsid w:val="14FE3C87"/>
    <w:rsid w:val="161F17E0"/>
    <w:rsid w:val="164C43A6"/>
    <w:rsid w:val="1658169C"/>
    <w:rsid w:val="16700829"/>
    <w:rsid w:val="17064115"/>
    <w:rsid w:val="17DF2075"/>
    <w:rsid w:val="18622CA6"/>
    <w:rsid w:val="18F95DBE"/>
    <w:rsid w:val="19C47120"/>
    <w:rsid w:val="1A8544B5"/>
    <w:rsid w:val="1CEF6999"/>
    <w:rsid w:val="1D0A1CFC"/>
    <w:rsid w:val="1D357546"/>
    <w:rsid w:val="1D920D7D"/>
    <w:rsid w:val="1F2B5BA0"/>
    <w:rsid w:val="1F2D19CC"/>
    <w:rsid w:val="20715E42"/>
    <w:rsid w:val="20C642D5"/>
    <w:rsid w:val="220E2CEE"/>
    <w:rsid w:val="23391F4C"/>
    <w:rsid w:val="234176A7"/>
    <w:rsid w:val="241D16E6"/>
    <w:rsid w:val="24AD207A"/>
    <w:rsid w:val="24B26AFB"/>
    <w:rsid w:val="24FA1411"/>
    <w:rsid w:val="255306D3"/>
    <w:rsid w:val="264C3146"/>
    <w:rsid w:val="279E1165"/>
    <w:rsid w:val="28450662"/>
    <w:rsid w:val="289968F9"/>
    <w:rsid w:val="28A91778"/>
    <w:rsid w:val="29FB5A57"/>
    <w:rsid w:val="2B0D60A8"/>
    <w:rsid w:val="2B621D5D"/>
    <w:rsid w:val="2BE661C1"/>
    <w:rsid w:val="2C27202D"/>
    <w:rsid w:val="2C3173BB"/>
    <w:rsid w:val="2F947E44"/>
    <w:rsid w:val="30231B28"/>
    <w:rsid w:val="302636EE"/>
    <w:rsid w:val="31290838"/>
    <w:rsid w:val="325030D1"/>
    <w:rsid w:val="32DC28E3"/>
    <w:rsid w:val="343A5DD7"/>
    <w:rsid w:val="384A14D8"/>
    <w:rsid w:val="388E648D"/>
    <w:rsid w:val="38D961E8"/>
    <w:rsid w:val="397D20AE"/>
    <w:rsid w:val="3A455E38"/>
    <w:rsid w:val="3B5A02A3"/>
    <w:rsid w:val="3B7B10AF"/>
    <w:rsid w:val="3D7E7371"/>
    <w:rsid w:val="3E546AAD"/>
    <w:rsid w:val="3EFC4A0B"/>
    <w:rsid w:val="3F5E6F5C"/>
    <w:rsid w:val="3FB41C4F"/>
    <w:rsid w:val="40A315E2"/>
    <w:rsid w:val="40D04314"/>
    <w:rsid w:val="41434174"/>
    <w:rsid w:val="414D7A2B"/>
    <w:rsid w:val="41586871"/>
    <w:rsid w:val="41BD6E08"/>
    <w:rsid w:val="41EF130C"/>
    <w:rsid w:val="42B23D5F"/>
    <w:rsid w:val="437238EF"/>
    <w:rsid w:val="43892A22"/>
    <w:rsid w:val="43A24DD0"/>
    <w:rsid w:val="441D54D2"/>
    <w:rsid w:val="444C3D3F"/>
    <w:rsid w:val="4606397B"/>
    <w:rsid w:val="48CA0DEE"/>
    <w:rsid w:val="491C7800"/>
    <w:rsid w:val="4C371B43"/>
    <w:rsid w:val="4C5735AF"/>
    <w:rsid w:val="4CA47122"/>
    <w:rsid w:val="4D833C96"/>
    <w:rsid w:val="4E4B5067"/>
    <w:rsid w:val="4E6B37FD"/>
    <w:rsid w:val="4F72711D"/>
    <w:rsid w:val="4FE334CD"/>
    <w:rsid w:val="50454464"/>
    <w:rsid w:val="5082042C"/>
    <w:rsid w:val="50871D4A"/>
    <w:rsid w:val="5094368E"/>
    <w:rsid w:val="50B72EC9"/>
    <w:rsid w:val="50BB64D4"/>
    <w:rsid w:val="50DE4BD2"/>
    <w:rsid w:val="52D77B94"/>
    <w:rsid w:val="52F5566F"/>
    <w:rsid w:val="546B4E7C"/>
    <w:rsid w:val="54B835A9"/>
    <w:rsid w:val="55FE37EF"/>
    <w:rsid w:val="56772E9D"/>
    <w:rsid w:val="56F05B0F"/>
    <w:rsid w:val="59866BF2"/>
    <w:rsid w:val="5A802642"/>
    <w:rsid w:val="5B4D4C7A"/>
    <w:rsid w:val="5C2A0A80"/>
    <w:rsid w:val="5D620BF4"/>
    <w:rsid w:val="5E534184"/>
    <w:rsid w:val="5E8E1ADD"/>
    <w:rsid w:val="5E96232F"/>
    <w:rsid w:val="5FC34926"/>
    <w:rsid w:val="603748E2"/>
    <w:rsid w:val="611661F4"/>
    <w:rsid w:val="61DB770F"/>
    <w:rsid w:val="61F26380"/>
    <w:rsid w:val="62D059B1"/>
    <w:rsid w:val="639C2195"/>
    <w:rsid w:val="64887113"/>
    <w:rsid w:val="656222DD"/>
    <w:rsid w:val="65EF46BD"/>
    <w:rsid w:val="67797852"/>
    <w:rsid w:val="681775C9"/>
    <w:rsid w:val="6877202A"/>
    <w:rsid w:val="699F4235"/>
    <w:rsid w:val="6A324F1C"/>
    <w:rsid w:val="6A6600BF"/>
    <w:rsid w:val="6AB5197E"/>
    <w:rsid w:val="6AC33F7B"/>
    <w:rsid w:val="6AFE471D"/>
    <w:rsid w:val="6C565206"/>
    <w:rsid w:val="6C89137E"/>
    <w:rsid w:val="6CB859E8"/>
    <w:rsid w:val="6E2A4841"/>
    <w:rsid w:val="6EBF4811"/>
    <w:rsid w:val="6ECE2375"/>
    <w:rsid w:val="6F0C1D16"/>
    <w:rsid w:val="6F6D6D19"/>
    <w:rsid w:val="6FFA067D"/>
    <w:rsid w:val="7016437A"/>
    <w:rsid w:val="7041595B"/>
    <w:rsid w:val="705D620E"/>
    <w:rsid w:val="70D05BCF"/>
    <w:rsid w:val="70D55675"/>
    <w:rsid w:val="72963482"/>
    <w:rsid w:val="729A1589"/>
    <w:rsid w:val="736A2FC8"/>
    <w:rsid w:val="73793025"/>
    <w:rsid w:val="793E2247"/>
    <w:rsid w:val="793E39CD"/>
    <w:rsid w:val="79975481"/>
    <w:rsid w:val="7BDD1145"/>
    <w:rsid w:val="7C94129E"/>
    <w:rsid w:val="7C9A6318"/>
    <w:rsid w:val="7CD97B5E"/>
    <w:rsid w:val="7D741635"/>
    <w:rsid w:val="7DF74740"/>
    <w:rsid w:val="7E73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7"/>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link w:val="38"/>
    <w:autoRedefine/>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1"/>
    <w:next w:val="1"/>
    <w:link w:val="39"/>
    <w:autoRedefine/>
    <w:qFormat/>
    <w:uiPriority w:val="0"/>
    <w:pPr>
      <w:keepNext/>
      <w:keepLines/>
      <w:spacing w:before="260" w:after="260" w:line="413" w:lineRule="auto"/>
      <w:outlineLvl w:val="2"/>
    </w:pPr>
    <w:rPr>
      <w:rFonts w:ascii="Times New Roman" w:hAnsi="Times New Roman"/>
      <w:b/>
      <w:sz w:val="32"/>
      <w:szCs w:val="20"/>
    </w:rPr>
  </w:style>
  <w:style w:type="paragraph" w:styleId="3">
    <w:name w:val="heading 4"/>
    <w:basedOn w:val="1"/>
    <w:next w:val="1"/>
    <w:autoRedefine/>
    <w:qFormat/>
    <w:uiPriority w:val="0"/>
    <w:pPr>
      <w:keepNext/>
      <w:keepLines/>
      <w:numPr>
        <w:ilvl w:val="3"/>
        <w:numId w:val="1"/>
      </w:numPr>
      <w:spacing w:line="360" w:lineRule="auto"/>
      <w:jc w:val="left"/>
      <w:outlineLvl w:val="3"/>
    </w:pPr>
    <w:rPr>
      <w:b/>
      <w:bCs/>
      <w:szCs w:val="28"/>
    </w:rPr>
  </w:style>
  <w:style w:type="paragraph" w:styleId="8">
    <w:name w:val="heading 5"/>
    <w:basedOn w:val="1"/>
    <w:next w:val="1"/>
    <w:autoRedefine/>
    <w:unhideWhenUsed/>
    <w:qFormat/>
    <w:uiPriority w:val="9"/>
    <w:pPr>
      <w:keepNext/>
      <w:keepLines/>
      <w:spacing w:before="280" w:after="290" w:line="372" w:lineRule="auto"/>
      <w:outlineLvl w:val="4"/>
    </w:pPr>
    <w:rPr>
      <w:b/>
      <w:sz w:val="28"/>
    </w:rPr>
  </w:style>
  <w:style w:type="paragraph" w:styleId="9">
    <w:name w:val="heading 6"/>
    <w:basedOn w:val="1"/>
    <w:next w:val="1"/>
    <w:autoRedefine/>
    <w:qFormat/>
    <w:uiPriority w:val="99"/>
    <w:pPr>
      <w:keepNext/>
      <w:keepLines/>
      <w:spacing w:before="240" w:after="64" w:line="320" w:lineRule="auto"/>
      <w:outlineLvl w:val="5"/>
    </w:pPr>
    <w:rPr>
      <w:rFonts w:ascii="Arial" w:hAnsi="Arial" w:eastAsia="黑体"/>
      <w:b/>
      <w:bCs/>
      <w:sz w:val="24"/>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link w:val="42"/>
    <w:autoRedefine/>
    <w:qFormat/>
    <w:uiPriority w:val="0"/>
    <w:pPr>
      <w:adjustRightInd w:val="0"/>
      <w:spacing w:line="312" w:lineRule="atLeast"/>
      <w:textAlignment w:val="baseline"/>
    </w:pPr>
    <w:rPr>
      <w:rFonts w:ascii="宋体" w:hAnsi="Courier New" w:cstheme="minorBidi"/>
    </w:rPr>
  </w:style>
  <w:style w:type="paragraph" w:styleId="6">
    <w:name w:val="Body Text"/>
    <w:basedOn w:val="1"/>
    <w:link w:val="57"/>
    <w:autoRedefine/>
    <w:qFormat/>
    <w:uiPriority w:val="0"/>
    <w:pPr>
      <w:spacing w:after="120"/>
    </w:pPr>
  </w:style>
  <w:style w:type="paragraph" w:styleId="10">
    <w:name w:val="toc 7"/>
    <w:basedOn w:val="1"/>
    <w:next w:val="1"/>
    <w:autoRedefine/>
    <w:semiHidden/>
    <w:unhideWhenUsed/>
    <w:qFormat/>
    <w:uiPriority w:val="39"/>
    <w:pPr>
      <w:ind w:left="2520" w:leftChars="1200"/>
    </w:pPr>
  </w:style>
  <w:style w:type="paragraph" w:styleId="11">
    <w:name w:val="Normal Indent"/>
    <w:basedOn w:val="1"/>
    <w:link w:val="46"/>
    <w:autoRedefine/>
    <w:qFormat/>
    <w:uiPriority w:val="0"/>
    <w:pPr>
      <w:autoSpaceDE w:val="0"/>
      <w:autoSpaceDN w:val="0"/>
      <w:adjustRightInd w:val="0"/>
      <w:spacing w:line="315" w:lineRule="atLeast"/>
      <w:ind w:firstLine="420"/>
      <w:jc w:val="left"/>
    </w:pPr>
    <w:rPr>
      <w:rFonts w:ascii="楷体_GB2312" w:eastAsia="楷体_GB2312" w:hAnsiTheme="minorHAnsi" w:cstheme="minorBidi"/>
      <w:sz w:val="28"/>
    </w:rPr>
  </w:style>
  <w:style w:type="paragraph" w:styleId="12">
    <w:name w:val="Document Map"/>
    <w:basedOn w:val="1"/>
    <w:link w:val="53"/>
    <w:autoRedefine/>
    <w:qFormat/>
    <w:uiPriority w:val="0"/>
    <w:pPr>
      <w:shd w:val="clear" w:color="auto" w:fill="000080"/>
    </w:pPr>
    <w:rPr>
      <w:rFonts w:ascii="Times New Roman" w:hAnsi="Times New Roman"/>
      <w:sz w:val="30"/>
      <w:szCs w:val="20"/>
    </w:rPr>
  </w:style>
  <w:style w:type="paragraph" w:styleId="13">
    <w:name w:val="annotation text"/>
    <w:basedOn w:val="1"/>
    <w:next w:val="14"/>
    <w:link w:val="49"/>
    <w:autoRedefine/>
    <w:qFormat/>
    <w:uiPriority w:val="0"/>
    <w:pPr>
      <w:jc w:val="left"/>
    </w:pPr>
    <w:rPr>
      <w:rFonts w:eastAsiaTheme="minorEastAsia" w:cstheme="minorBidi"/>
    </w:rPr>
  </w:style>
  <w:style w:type="paragraph" w:styleId="14">
    <w:name w:val="Body Text Indent"/>
    <w:basedOn w:val="1"/>
    <w:next w:val="15"/>
    <w:link w:val="45"/>
    <w:autoRedefine/>
    <w:qFormat/>
    <w:uiPriority w:val="0"/>
    <w:pPr>
      <w:spacing w:line="480" w:lineRule="exact"/>
      <w:ind w:firstLine="549" w:firstLineChars="196"/>
    </w:pPr>
    <w:rPr>
      <w:rFonts w:ascii="仿宋_GB2312" w:eastAsia="仿宋_GB2312" w:cs="Arial" w:hAnsiTheme="minorHAnsi"/>
      <w:color w:val="000000"/>
      <w:sz w:val="28"/>
      <w:szCs w:val="24"/>
    </w:rPr>
  </w:style>
  <w:style w:type="paragraph" w:styleId="1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6">
    <w:name w:val="toc 3"/>
    <w:basedOn w:val="1"/>
    <w:next w:val="1"/>
    <w:autoRedefine/>
    <w:qFormat/>
    <w:uiPriority w:val="39"/>
    <w:pPr>
      <w:tabs>
        <w:tab w:val="right" w:leader="dot" w:pos="9061"/>
      </w:tabs>
      <w:ind w:firstLine="602" w:firstLineChars="301"/>
      <w:jc w:val="left"/>
    </w:pPr>
    <w:rPr>
      <w:rFonts w:ascii="Times New Roman" w:hAnsi="Times New Roman"/>
      <w:i/>
      <w:sz w:val="20"/>
      <w:szCs w:val="20"/>
    </w:rPr>
  </w:style>
  <w:style w:type="paragraph" w:styleId="17">
    <w:name w:val="Date"/>
    <w:basedOn w:val="1"/>
    <w:next w:val="1"/>
    <w:link w:val="56"/>
    <w:autoRedefine/>
    <w:qFormat/>
    <w:uiPriority w:val="0"/>
    <w:rPr>
      <w:rFonts w:ascii="宋体" w:hAnsi="Times New Roman"/>
      <w:color w:val="000000"/>
      <w:kern w:val="0"/>
      <w:sz w:val="30"/>
      <w:szCs w:val="20"/>
    </w:rPr>
  </w:style>
  <w:style w:type="paragraph" w:styleId="18">
    <w:name w:val="Body Text Indent 2"/>
    <w:basedOn w:val="1"/>
    <w:link w:val="59"/>
    <w:autoRedefine/>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19">
    <w:name w:val="Balloon Text"/>
    <w:basedOn w:val="1"/>
    <w:link w:val="51"/>
    <w:autoRedefine/>
    <w:qFormat/>
    <w:uiPriority w:val="0"/>
    <w:rPr>
      <w:rFonts w:ascii="Times New Roman" w:hAnsi="Times New Roman"/>
      <w:sz w:val="18"/>
      <w:szCs w:val="20"/>
    </w:rPr>
  </w:style>
  <w:style w:type="paragraph" w:styleId="20">
    <w:name w:val="footer"/>
    <w:basedOn w:val="1"/>
    <w:link w:val="36"/>
    <w:autoRedefine/>
    <w:unhideWhenUsed/>
    <w:qFormat/>
    <w:uiPriority w:val="99"/>
    <w:pPr>
      <w:tabs>
        <w:tab w:val="center" w:pos="4153"/>
        <w:tab w:val="right" w:pos="8306"/>
      </w:tabs>
      <w:snapToGrid w:val="0"/>
      <w:jc w:val="left"/>
    </w:pPr>
    <w:rPr>
      <w:sz w:val="18"/>
      <w:szCs w:val="18"/>
    </w:rPr>
  </w:style>
  <w:style w:type="paragraph" w:styleId="21">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autoSpaceDE w:val="0"/>
      <w:autoSpaceDN w:val="0"/>
      <w:adjustRightInd w:val="0"/>
      <w:spacing w:line="420" w:lineRule="exact"/>
      <w:jc w:val="left"/>
    </w:pPr>
    <w:rPr>
      <w:rFonts w:ascii="宋体" w:hAnsi="宋体"/>
      <w:caps/>
      <w:kern w:val="0"/>
      <w:sz w:val="28"/>
      <w:szCs w:val="20"/>
    </w:rPr>
  </w:style>
  <w:style w:type="paragraph" w:styleId="23">
    <w:name w:val="Body Text Indent 3"/>
    <w:basedOn w:val="1"/>
    <w:link w:val="50"/>
    <w:autoRedefine/>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24">
    <w:name w:val="toc 2"/>
    <w:basedOn w:val="1"/>
    <w:next w:val="1"/>
    <w:autoRedefine/>
    <w:qFormat/>
    <w:uiPriority w:val="39"/>
    <w:pPr>
      <w:tabs>
        <w:tab w:val="right" w:leader="dot" w:pos="9061"/>
      </w:tabs>
      <w:ind w:firstLine="601" w:firstLineChars="286"/>
      <w:jc w:val="left"/>
    </w:pPr>
    <w:rPr>
      <w:rFonts w:ascii="楷体_GB2312" w:hAnsi="Times New Roman" w:eastAsia="楷体_GB2312"/>
      <w:smallCaps/>
      <w:kern w:val="0"/>
      <w:szCs w:val="20"/>
    </w:rPr>
  </w:style>
  <w:style w:type="paragraph" w:styleId="25">
    <w:name w:val="Title"/>
    <w:basedOn w:val="1"/>
    <w:next w:val="1"/>
    <w:link w:val="47"/>
    <w:autoRedefine/>
    <w:qFormat/>
    <w:uiPriority w:val="0"/>
    <w:pPr>
      <w:spacing w:before="240" w:after="60"/>
      <w:jc w:val="center"/>
      <w:outlineLvl w:val="0"/>
    </w:pPr>
    <w:rPr>
      <w:rFonts w:ascii="Cambria" w:hAnsi="Cambria" w:eastAsiaTheme="minorEastAsia"/>
      <w:b/>
      <w:bCs/>
      <w:sz w:val="32"/>
      <w:szCs w:val="32"/>
    </w:rPr>
  </w:style>
  <w:style w:type="paragraph" w:styleId="26">
    <w:name w:val="annotation subject"/>
    <w:basedOn w:val="13"/>
    <w:next w:val="13"/>
    <w:link w:val="41"/>
    <w:autoRedefine/>
    <w:qFormat/>
    <w:uiPriority w:val="0"/>
    <w:rPr>
      <w:b/>
      <w:bCs/>
    </w:rPr>
  </w:style>
  <w:style w:type="paragraph" w:styleId="27">
    <w:name w:val="Body Text First Indent 2"/>
    <w:basedOn w:val="14"/>
    <w:autoRedefine/>
    <w:unhideWhenUsed/>
    <w:qFormat/>
    <w:uiPriority w:val="0"/>
    <w:pPr>
      <w:spacing w:after="120" w:line="240" w:lineRule="auto"/>
      <w:ind w:left="420" w:leftChars="200" w:firstLine="420"/>
    </w:pPr>
    <w:rPr>
      <w:rFonts w:ascii="Calibri" w:hAnsi="Calibri" w:eastAsia="Times New Roman"/>
      <w:color w:val="auto"/>
      <w:sz w:val="24"/>
    </w:rPr>
  </w:style>
  <w:style w:type="table" w:styleId="29">
    <w:name w:val="Table Grid"/>
    <w:basedOn w:val="28"/>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22"/>
    <w:rPr>
      <w:b/>
      <w:bCs/>
    </w:rPr>
  </w:style>
  <w:style w:type="character" w:styleId="32">
    <w:name w:val="page number"/>
    <w:basedOn w:val="30"/>
    <w:autoRedefine/>
    <w:qFormat/>
    <w:uiPriority w:val="0"/>
  </w:style>
  <w:style w:type="character" w:styleId="33">
    <w:name w:val="Hyperlink"/>
    <w:autoRedefine/>
    <w:qFormat/>
    <w:uiPriority w:val="99"/>
    <w:rPr>
      <w:color w:val="0000FF"/>
      <w:u w:val="single"/>
    </w:rPr>
  </w:style>
  <w:style w:type="character" w:styleId="34">
    <w:name w:val="annotation reference"/>
    <w:basedOn w:val="30"/>
    <w:autoRedefine/>
    <w:qFormat/>
    <w:uiPriority w:val="0"/>
    <w:rPr>
      <w:sz w:val="21"/>
      <w:szCs w:val="21"/>
    </w:rPr>
  </w:style>
  <w:style w:type="character" w:customStyle="1" w:styleId="35">
    <w:name w:val="页眉 字符"/>
    <w:basedOn w:val="30"/>
    <w:link w:val="21"/>
    <w:autoRedefine/>
    <w:qFormat/>
    <w:uiPriority w:val="99"/>
    <w:rPr>
      <w:sz w:val="18"/>
      <w:szCs w:val="18"/>
    </w:rPr>
  </w:style>
  <w:style w:type="character" w:customStyle="1" w:styleId="36">
    <w:name w:val="页脚 字符"/>
    <w:basedOn w:val="30"/>
    <w:link w:val="20"/>
    <w:autoRedefine/>
    <w:qFormat/>
    <w:uiPriority w:val="99"/>
    <w:rPr>
      <w:sz w:val="18"/>
      <w:szCs w:val="18"/>
    </w:rPr>
  </w:style>
  <w:style w:type="character" w:customStyle="1" w:styleId="37">
    <w:name w:val="标题 1 字符"/>
    <w:basedOn w:val="30"/>
    <w:link w:val="4"/>
    <w:autoRedefine/>
    <w:qFormat/>
    <w:uiPriority w:val="0"/>
    <w:rPr>
      <w:rFonts w:ascii="Times New Roman" w:hAnsi="Times New Roman" w:eastAsia="宋体" w:cs="Times New Roman"/>
      <w:b/>
      <w:kern w:val="44"/>
      <w:sz w:val="44"/>
      <w:szCs w:val="20"/>
    </w:rPr>
  </w:style>
  <w:style w:type="character" w:customStyle="1" w:styleId="38">
    <w:name w:val="标题 2 字符"/>
    <w:basedOn w:val="30"/>
    <w:link w:val="5"/>
    <w:autoRedefine/>
    <w:qFormat/>
    <w:uiPriority w:val="0"/>
    <w:rPr>
      <w:rFonts w:ascii="Arial" w:hAnsi="Arial" w:eastAsia="黑体" w:cs="Times New Roman"/>
      <w:b/>
      <w:sz w:val="32"/>
      <w:szCs w:val="20"/>
    </w:rPr>
  </w:style>
  <w:style w:type="character" w:customStyle="1" w:styleId="39">
    <w:name w:val="标题 3 字符"/>
    <w:basedOn w:val="30"/>
    <w:link w:val="7"/>
    <w:autoRedefine/>
    <w:qFormat/>
    <w:uiPriority w:val="0"/>
    <w:rPr>
      <w:rFonts w:ascii="Times New Roman" w:hAnsi="Times New Roman" w:eastAsia="宋体" w:cs="Times New Roman"/>
      <w:b/>
      <w:sz w:val="32"/>
      <w:szCs w:val="20"/>
    </w:rPr>
  </w:style>
  <w:style w:type="character" w:customStyle="1" w:styleId="40">
    <w:name w:val="纯文本 Char1"/>
    <w:autoRedefine/>
    <w:qFormat/>
    <w:uiPriority w:val="0"/>
    <w:rPr>
      <w:rFonts w:ascii="宋体" w:hAnsi="Courier New" w:eastAsia="宋体"/>
      <w:sz w:val="21"/>
      <w:lang w:val="en-US" w:eastAsia="zh-CN" w:bidi="ar-SA"/>
    </w:rPr>
  </w:style>
  <w:style w:type="character" w:customStyle="1" w:styleId="41">
    <w:name w:val="批注主题 字符"/>
    <w:link w:val="26"/>
    <w:autoRedefine/>
    <w:qFormat/>
    <w:uiPriority w:val="0"/>
    <w:rPr>
      <w:rFonts w:ascii="Calibri" w:hAnsi="Calibri"/>
      <w:b/>
      <w:bCs/>
    </w:rPr>
  </w:style>
  <w:style w:type="character" w:customStyle="1" w:styleId="42">
    <w:name w:val="纯文本 字符"/>
    <w:link w:val="2"/>
    <w:autoRedefine/>
    <w:qFormat/>
    <w:uiPriority w:val="0"/>
    <w:rPr>
      <w:rFonts w:ascii="宋体" w:hAnsi="Courier New" w:eastAsia="宋体"/>
    </w:rPr>
  </w:style>
  <w:style w:type="character" w:customStyle="1" w:styleId="43">
    <w:name w:val="无间隔 Char"/>
    <w:link w:val="44"/>
    <w:autoRedefine/>
    <w:qFormat/>
    <w:uiPriority w:val="1"/>
    <w:rPr>
      <w:rFonts w:ascii="Calibri" w:hAnsi="Calibri"/>
      <w:sz w:val="22"/>
    </w:rPr>
  </w:style>
  <w:style w:type="paragraph" w:customStyle="1" w:styleId="44">
    <w:name w:val="无间隔1"/>
    <w:link w:val="43"/>
    <w:autoRedefine/>
    <w:qFormat/>
    <w:uiPriority w:val="1"/>
    <w:rPr>
      <w:rFonts w:ascii="Calibri" w:hAnsi="Calibri" w:eastAsiaTheme="minorEastAsia" w:cstheme="minorBidi"/>
      <w:kern w:val="2"/>
      <w:sz w:val="22"/>
      <w:szCs w:val="22"/>
      <w:lang w:val="en-US" w:eastAsia="zh-CN" w:bidi="ar-SA"/>
    </w:rPr>
  </w:style>
  <w:style w:type="character" w:customStyle="1" w:styleId="45">
    <w:name w:val="正文文本缩进 字符"/>
    <w:link w:val="14"/>
    <w:autoRedefine/>
    <w:qFormat/>
    <w:locked/>
    <w:uiPriority w:val="0"/>
    <w:rPr>
      <w:rFonts w:ascii="仿宋_GB2312" w:eastAsia="仿宋_GB2312" w:cs="Arial"/>
      <w:color w:val="000000"/>
      <w:sz w:val="28"/>
      <w:szCs w:val="24"/>
    </w:rPr>
  </w:style>
  <w:style w:type="character" w:customStyle="1" w:styleId="46">
    <w:name w:val="正文缩进 字符"/>
    <w:link w:val="11"/>
    <w:autoRedefine/>
    <w:qFormat/>
    <w:uiPriority w:val="0"/>
    <w:rPr>
      <w:rFonts w:ascii="楷体_GB2312" w:eastAsia="楷体_GB2312"/>
      <w:sz w:val="28"/>
    </w:rPr>
  </w:style>
  <w:style w:type="character" w:customStyle="1" w:styleId="47">
    <w:name w:val="标题 字符"/>
    <w:link w:val="25"/>
    <w:autoRedefine/>
    <w:qFormat/>
    <w:uiPriority w:val="0"/>
    <w:rPr>
      <w:rFonts w:ascii="Cambria" w:hAnsi="Cambria" w:cs="Times New Roman"/>
      <w:b/>
      <w:bCs/>
      <w:sz w:val="32"/>
      <w:szCs w:val="32"/>
    </w:rPr>
  </w:style>
  <w:style w:type="character" w:customStyle="1" w:styleId="48">
    <w:name w:val="普通文字1 Char1"/>
    <w:autoRedefine/>
    <w:qFormat/>
    <w:uiPriority w:val="0"/>
    <w:rPr>
      <w:rFonts w:ascii="宋体" w:hAnsi="Courier New" w:eastAsia="宋体"/>
      <w:kern w:val="2"/>
      <w:sz w:val="21"/>
      <w:lang w:val="en-US" w:eastAsia="zh-CN" w:bidi="ar-SA"/>
    </w:rPr>
  </w:style>
  <w:style w:type="character" w:customStyle="1" w:styleId="49">
    <w:name w:val="批注文字 字符"/>
    <w:link w:val="13"/>
    <w:autoRedefine/>
    <w:qFormat/>
    <w:uiPriority w:val="0"/>
    <w:rPr>
      <w:rFonts w:ascii="Calibri" w:hAnsi="Calibri"/>
    </w:rPr>
  </w:style>
  <w:style w:type="character" w:customStyle="1" w:styleId="50">
    <w:name w:val="正文文本缩进 3 字符"/>
    <w:basedOn w:val="30"/>
    <w:link w:val="23"/>
    <w:autoRedefine/>
    <w:qFormat/>
    <w:uiPriority w:val="0"/>
    <w:rPr>
      <w:rFonts w:ascii="方正仿宋简体" w:hAnsi="Times New Roman" w:eastAsia="方正仿宋简体" w:cs="Times New Roman"/>
      <w:color w:val="000000"/>
      <w:kern w:val="0"/>
      <w:sz w:val="28"/>
      <w:szCs w:val="20"/>
    </w:rPr>
  </w:style>
  <w:style w:type="character" w:customStyle="1" w:styleId="51">
    <w:name w:val="批注框文本 字符"/>
    <w:basedOn w:val="30"/>
    <w:link w:val="19"/>
    <w:autoRedefine/>
    <w:qFormat/>
    <w:uiPriority w:val="0"/>
    <w:rPr>
      <w:rFonts w:ascii="Times New Roman" w:hAnsi="Times New Roman" w:eastAsia="宋体" w:cs="Times New Roman"/>
      <w:sz w:val="18"/>
      <w:szCs w:val="20"/>
    </w:rPr>
  </w:style>
  <w:style w:type="character" w:customStyle="1" w:styleId="52">
    <w:name w:val="纯文本 Char2"/>
    <w:basedOn w:val="30"/>
    <w:autoRedefine/>
    <w:semiHidden/>
    <w:qFormat/>
    <w:uiPriority w:val="99"/>
    <w:rPr>
      <w:rFonts w:ascii="宋体" w:hAnsi="Courier New" w:eastAsia="宋体" w:cs="Courier New"/>
      <w:szCs w:val="21"/>
    </w:rPr>
  </w:style>
  <w:style w:type="character" w:customStyle="1" w:styleId="53">
    <w:name w:val="文档结构图 字符"/>
    <w:basedOn w:val="30"/>
    <w:link w:val="12"/>
    <w:autoRedefine/>
    <w:qFormat/>
    <w:uiPriority w:val="0"/>
    <w:rPr>
      <w:rFonts w:ascii="Times New Roman" w:hAnsi="Times New Roman" w:eastAsia="宋体" w:cs="Times New Roman"/>
      <w:sz w:val="30"/>
      <w:szCs w:val="20"/>
      <w:shd w:val="clear" w:color="auto" w:fill="000080"/>
    </w:rPr>
  </w:style>
  <w:style w:type="character" w:customStyle="1" w:styleId="54">
    <w:name w:val="批注文字 Char1"/>
    <w:basedOn w:val="30"/>
    <w:autoRedefine/>
    <w:semiHidden/>
    <w:qFormat/>
    <w:uiPriority w:val="99"/>
    <w:rPr>
      <w:rFonts w:ascii="Calibri" w:hAnsi="Calibri" w:eastAsia="宋体" w:cs="Times New Roman"/>
    </w:rPr>
  </w:style>
  <w:style w:type="character" w:customStyle="1" w:styleId="55">
    <w:name w:val="正文文本缩进 Char1"/>
    <w:basedOn w:val="30"/>
    <w:autoRedefine/>
    <w:semiHidden/>
    <w:qFormat/>
    <w:uiPriority w:val="99"/>
    <w:rPr>
      <w:rFonts w:ascii="Calibri" w:hAnsi="Calibri" w:eastAsia="宋体" w:cs="Times New Roman"/>
    </w:rPr>
  </w:style>
  <w:style w:type="character" w:customStyle="1" w:styleId="56">
    <w:name w:val="日期 字符"/>
    <w:basedOn w:val="30"/>
    <w:link w:val="17"/>
    <w:autoRedefine/>
    <w:qFormat/>
    <w:uiPriority w:val="0"/>
    <w:rPr>
      <w:rFonts w:ascii="宋体" w:hAnsi="Times New Roman" w:eastAsia="宋体" w:cs="Times New Roman"/>
      <w:color w:val="000000"/>
      <w:kern w:val="0"/>
      <w:sz w:val="30"/>
      <w:szCs w:val="20"/>
    </w:rPr>
  </w:style>
  <w:style w:type="character" w:customStyle="1" w:styleId="57">
    <w:name w:val="正文文本 字符"/>
    <w:basedOn w:val="30"/>
    <w:link w:val="6"/>
    <w:autoRedefine/>
    <w:qFormat/>
    <w:uiPriority w:val="0"/>
    <w:rPr>
      <w:rFonts w:ascii="Calibri" w:hAnsi="Calibri" w:eastAsia="宋体" w:cs="Times New Roman"/>
    </w:rPr>
  </w:style>
  <w:style w:type="character" w:customStyle="1" w:styleId="58">
    <w:name w:val="标题 Char1"/>
    <w:basedOn w:val="30"/>
    <w:autoRedefine/>
    <w:qFormat/>
    <w:uiPriority w:val="10"/>
    <w:rPr>
      <w:rFonts w:eastAsia="宋体" w:asciiTheme="majorHAnsi" w:hAnsiTheme="majorHAnsi" w:cstheme="majorBidi"/>
      <w:b/>
      <w:bCs/>
      <w:sz w:val="32"/>
      <w:szCs w:val="32"/>
    </w:rPr>
  </w:style>
  <w:style w:type="character" w:customStyle="1" w:styleId="59">
    <w:name w:val="正文文本缩进 2 字符"/>
    <w:basedOn w:val="30"/>
    <w:link w:val="18"/>
    <w:autoRedefine/>
    <w:qFormat/>
    <w:uiPriority w:val="0"/>
    <w:rPr>
      <w:rFonts w:ascii="方正仿宋简体" w:hAnsi="Times New Roman" w:eastAsia="方正仿宋简体" w:cs="Times New Roman"/>
      <w:color w:val="000000"/>
      <w:kern w:val="0"/>
      <w:sz w:val="30"/>
      <w:szCs w:val="20"/>
    </w:rPr>
  </w:style>
  <w:style w:type="character" w:customStyle="1" w:styleId="60">
    <w:name w:val="批注主题 Char1"/>
    <w:basedOn w:val="54"/>
    <w:autoRedefine/>
    <w:semiHidden/>
    <w:qFormat/>
    <w:uiPriority w:val="99"/>
    <w:rPr>
      <w:rFonts w:ascii="Calibri" w:hAnsi="Calibri" w:eastAsia="宋体" w:cs="Times New Roman"/>
      <w:b/>
      <w:bCs/>
    </w:rPr>
  </w:style>
  <w:style w:type="paragraph" w:customStyle="1" w:styleId="61">
    <w:name w:val="修订1"/>
    <w:autoRedefine/>
    <w:unhideWhenUsed/>
    <w:qFormat/>
    <w:uiPriority w:val="99"/>
    <w:rPr>
      <w:rFonts w:ascii="Calibri" w:hAnsi="Calibri" w:eastAsia="宋体" w:cs="Times New Roman"/>
      <w:kern w:val="2"/>
      <w:sz w:val="21"/>
      <w:szCs w:val="22"/>
      <w:lang w:val="en-US" w:eastAsia="zh-CN" w:bidi="ar-SA"/>
    </w:rPr>
  </w:style>
  <w:style w:type="paragraph" w:customStyle="1" w:styleId="62">
    <w:name w:val="Char2"/>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63">
    <w:name w:val="Char"/>
    <w:basedOn w:val="12"/>
    <w:autoRedefine/>
    <w:qFormat/>
    <w:uiPriority w:val="0"/>
    <w:pPr>
      <w:widowControl/>
      <w:ind w:firstLine="454"/>
      <w:jc w:val="left"/>
    </w:pPr>
    <w:rPr>
      <w:rFonts w:ascii="Tahoma" w:hAnsi="Tahoma"/>
      <w:kern w:val="0"/>
      <w:sz w:val="24"/>
    </w:rPr>
  </w:style>
  <w:style w:type="paragraph" w:customStyle="1" w:styleId="64">
    <w:name w:val="Char Char Char Char Char Char Char Char Char Char Char Char"/>
    <w:basedOn w:val="1"/>
    <w:autoRedefine/>
    <w:qFormat/>
    <w:uiPriority w:val="0"/>
    <w:rPr>
      <w:rFonts w:ascii="宋体" w:hAnsi="宋体" w:cs="Courier New"/>
      <w:sz w:val="32"/>
      <w:szCs w:val="32"/>
    </w:rPr>
  </w:style>
  <w:style w:type="paragraph" w:customStyle="1" w:styleId="65">
    <w:name w:val="Inside Address"/>
    <w:basedOn w:val="6"/>
    <w:autoRedefine/>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66">
    <w:name w:val="样式1"/>
    <w:basedOn w:val="1"/>
    <w:autoRedefine/>
    <w:qFormat/>
    <w:uiPriority w:val="0"/>
    <w:pPr>
      <w:spacing w:before="120" w:after="120" w:line="300" w:lineRule="auto"/>
    </w:pPr>
    <w:rPr>
      <w:rFonts w:ascii="宋体" w:hAnsi="宋体"/>
      <w:b/>
      <w:sz w:val="24"/>
      <w:szCs w:val="20"/>
    </w:rPr>
  </w:style>
  <w:style w:type="paragraph" w:customStyle="1" w:styleId="67">
    <w:name w:val="TOC 标题1"/>
    <w:basedOn w:val="4"/>
    <w:next w:val="1"/>
    <w:autoRedefine/>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8">
    <w:name w:val="2ji"/>
    <w:basedOn w:val="5"/>
    <w:autoRedefine/>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69">
    <w:name w:val="列出段落1"/>
    <w:basedOn w:val="1"/>
    <w:autoRedefine/>
    <w:qFormat/>
    <w:uiPriority w:val="0"/>
    <w:pPr>
      <w:ind w:firstLine="420" w:firstLineChars="200"/>
    </w:pPr>
  </w:style>
  <w:style w:type="paragraph" w:customStyle="1" w:styleId="70">
    <w:name w:val="Char1"/>
    <w:basedOn w:val="1"/>
    <w:autoRedefine/>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71">
    <w:name w:val="Char Char Char Char Char Char Char Char Char Char"/>
    <w:basedOn w:val="1"/>
    <w:autoRedefine/>
    <w:qFormat/>
    <w:uiPriority w:val="0"/>
    <w:pPr>
      <w:widowControl/>
      <w:spacing w:after="160" w:line="240" w:lineRule="exact"/>
      <w:jc w:val="left"/>
    </w:pPr>
    <w:rPr>
      <w:rFonts w:ascii="Times New Roman" w:hAnsi="Times New Roman"/>
      <w:szCs w:val="20"/>
    </w:rPr>
  </w:style>
  <w:style w:type="paragraph" w:customStyle="1" w:styleId="72">
    <w:name w:val="列出段落11"/>
    <w:basedOn w:val="1"/>
    <w:autoRedefine/>
    <w:qFormat/>
    <w:uiPriority w:val="34"/>
    <w:pPr>
      <w:ind w:firstLine="420" w:firstLineChars="200"/>
    </w:pPr>
  </w:style>
  <w:style w:type="paragraph" w:customStyle="1" w:styleId="73">
    <w:name w:val="TOC 标题11"/>
    <w:basedOn w:val="4"/>
    <w:next w:val="1"/>
    <w:autoRedefine/>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4">
    <w:name w:val="缺省文本"/>
    <w:basedOn w:val="1"/>
    <w:autoRedefine/>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75">
    <w:name w:val="节"/>
    <w:basedOn w:val="5"/>
    <w:autoRedefine/>
    <w:qFormat/>
    <w:uiPriority w:val="0"/>
    <w:pPr>
      <w:tabs>
        <w:tab w:val="left" w:pos="576"/>
      </w:tabs>
      <w:spacing w:line="240" w:lineRule="auto"/>
      <w:ind w:left="840" w:hanging="420"/>
    </w:pPr>
    <w:rPr>
      <w:rFonts w:ascii="黑体"/>
      <w:b w:val="0"/>
      <w:bCs/>
      <w:sz w:val="28"/>
      <w:szCs w:val="28"/>
    </w:rPr>
  </w:style>
  <w:style w:type="paragraph" w:styleId="76">
    <w:name w:val="List Paragraph"/>
    <w:basedOn w:val="1"/>
    <w:autoRedefine/>
    <w:qFormat/>
    <w:uiPriority w:val="34"/>
    <w:pPr>
      <w:ind w:firstLine="420" w:firstLineChars="200"/>
    </w:pPr>
  </w:style>
  <w:style w:type="paragraph" w:customStyle="1" w:styleId="77">
    <w:name w:val="Blockquote"/>
    <w:basedOn w:val="1"/>
    <w:autoRedefine/>
    <w:qFormat/>
    <w:uiPriority w:val="0"/>
    <w:pPr>
      <w:autoSpaceDE w:val="0"/>
      <w:autoSpaceDN w:val="0"/>
      <w:adjustRightInd w:val="0"/>
      <w:spacing w:before="100"/>
      <w:ind w:left="360" w:right="360"/>
      <w:jc w:val="left"/>
    </w:pPr>
    <w:rPr>
      <w:sz w:val="24"/>
      <w:szCs w:val="20"/>
    </w:rPr>
  </w:style>
  <w:style w:type="character" w:customStyle="1" w:styleId="78">
    <w:name w:val="标题 2 Char"/>
    <w:autoRedefine/>
    <w:qFormat/>
    <w:uiPriority w:val="0"/>
    <w:rPr>
      <w:rFonts w:ascii="Arial" w:hAnsi="Arial" w:eastAsia="黑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B1E08-147C-42D3-8E47-2DA910DB38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5276</Words>
  <Characters>30074</Characters>
  <Lines>250</Lines>
  <Paragraphs>70</Paragraphs>
  <TotalTime>51</TotalTime>
  <ScaleCrop>false</ScaleCrop>
  <LinksUpToDate>false</LinksUpToDate>
  <CharactersWithSpaces>35280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2020-03-03T02:51:00Z</dcterms:created>
  <dc:creator>陈宏强</dc:creator>
  <cp:lastModifiedBy>飛鳥了</cp:lastModifiedBy>
  <cp:lastPrinted>2024-02-29T02:13:09Z</cp:lastPrinted>
  <dcterms:modified xsi:type="dcterms:W3CDTF">2024-02-29T02:27:59Z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4003D3E6FA294F108D464BDAE7675BC3_13</vt:lpwstr>
  </property>
</Properties>
</file>